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0A42F" w14:textId="073AFBD9" w:rsidR="009F08B4" w:rsidRPr="00C72177" w:rsidRDefault="009F08B4" w:rsidP="00020440">
      <w:pPr>
        <w:pStyle w:val="Heading1"/>
        <w:numPr>
          <w:ilvl w:val="0"/>
          <w:numId w:val="0"/>
        </w:numPr>
        <w:pBdr>
          <w:bottom w:val="none" w:sz="0" w:space="0" w:color="auto"/>
        </w:pBdr>
        <w:spacing w:before="480" w:after="360"/>
        <w:jc w:val="center"/>
        <w:rPr>
          <w:rFonts w:ascii="Arial" w:hAnsi="Arial" w:cs="Arial"/>
          <w:b/>
          <w:bCs/>
          <w:color w:val="000080"/>
          <w:sz w:val="36"/>
          <w:szCs w:val="36"/>
        </w:rPr>
      </w:pPr>
      <w:bookmarkStart w:id="0" w:name="_Hlk126091152"/>
      <w:r>
        <w:rPr>
          <w:rFonts w:ascii="Arial" w:hAnsi="Arial" w:cs="Arial"/>
          <w:b/>
          <w:bCs/>
          <w:color w:val="000080"/>
          <w:sz w:val="36"/>
          <w:szCs w:val="36"/>
        </w:rPr>
        <w:t>Medical Services Advisory Committee (MSAC) Public Summary Document</w:t>
      </w:r>
    </w:p>
    <w:p w14:paraId="7A128FDE" w14:textId="4C28511B" w:rsidR="00772829" w:rsidRPr="00CE28E3" w:rsidRDefault="00772829" w:rsidP="00251B2F">
      <w:pPr>
        <w:pStyle w:val="Subtitle"/>
      </w:pPr>
      <w:r w:rsidRPr="00CE28E3">
        <w:t xml:space="preserve">Application No. </w:t>
      </w:r>
      <w:r w:rsidR="00251B2F">
        <w:t>1722 – Axicabtagene ciloleucel (YESCARTA®) for relapsed</w:t>
      </w:r>
      <w:r w:rsidR="00A56349">
        <w:t xml:space="preserve"> or </w:t>
      </w:r>
      <w:r w:rsidR="00251B2F">
        <w:t>refractory large B-cell lymphoma</w:t>
      </w:r>
    </w:p>
    <w:p w14:paraId="35263561" w14:textId="6DC1770C" w:rsidR="00772829" w:rsidRPr="00CE28E3" w:rsidRDefault="00772829" w:rsidP="00772829">
      <w:pPr>
        <w:tabs>
          <w:tab w:val="left" w:pos="3686"/>
        </w:tabs>
        <w:spacing w:after="240"/>
        <w:rPr>
          <w:rFonts w:ascii="Arial" w:hAnsi="Arial" w:cs="Arial"/>
          <w:b/>
        </w:rPr>
      </w:pPr>
      <w:bookmarkStart w:id="1" w:name="_Hlk126091169"/>
      <w:bookmarkEnd w:id="0"/>
      <w:r w:rsidRPr="00CE28E3">
        <w:rPr>
          <w:rFonts w:ascii="Arial" w:hAnsi="Arial" w:cs="Arial"/>
          <w:b/>
        </w:rPr>
        <w:t>Applicant:</w:t>
      </w:r>
      <w:r w:rsidRPr="00CE28E3">
        <w:rPr>
          <w:rFonts w:ascii="Arial" w:hAnsi="Arial" w:cs="Arial"/>
          <w:b/>
        </w:rPr>
        <w:tab/>
      </w:r>
      <w:r w:rsidR="0046416F" w:rsidRPr="0046416F">
        <w:rPr>
          <w:rFonts w:ascii="Arial" w:hAnsi="Arial" w:cs="Arial"/>
          <w:b/>
        </w:rPr>
        <w:t>Gilead Sciences Pty Limited</w:t>
      </w:r>
    </w:p>
    <w:p w14:paraId="7035D72F" w14:textId="77777777" w:rsidR="002610F9" w:rsidRPr="002610F9" w:rsidRDefault="00772829" w:rsidP="0027398A">
      <w:pPr>
        <w:tabs>
          <w:tab w:val="left" w:pos="3686"/>
        </w:tabs>
        <w:spacing w:after="360"/>
        <w:rPr>
          <w:rFonts w:ascii="Arial" w:hAnsi="Arial" w:cs="Arial"/>
          <w:b/>
        </w:rPr>
      </w:pPr>
      <w:r w:rsidRPr="00CE28E3">
        <w:rPr>
          <w:rFonts w:ascii="Arial" w:hAnsi="Arial" w:cs="Arial"/>
          <w:b/>
        </w:rPr>
        <w:t xml:space="preserve">Date of </w:t>
      </w:r>
      <w:r w:rsidR="009F08B4">
        <w:rPr>
          <w:rFonts w:ascii="Arial" w:hAnsi="Arial" w:cs="Arial"/>
          <w:b/>
        </w:rPr>
        <w:t>MSAC</w:t>
      </w:r>
      <w:r w:rsidRPr="00CE28E3">
        <w:rPr>
          <w:rFonts w:ascii="Arial" w:hAnsi="Arial" w:cs="Arial"/>
          <w:b/>
        </w:rPr>
        <w:t xml:space="preserve"> consideration:</w:t>
      </w:r>
      <w:r w:rsidRPr="00CE28E3">
        <w:rPr>
          <w:rFonts w:ascii="Arial" w:hAnsi="Arial" w:cs="Arial"/>
          <w:b/>
        </w:rPr>
        <w:tab/>
      </w:r>
      <w:r w:rsidR="009F08B4">
        <w:rPr>
          <w:rFonts w:ascii="Arial" w:hAnsi="Arial" w:cs="Arial"/>
          <w:b/>
        </w:rPr>
        <w:t>30-31 March</w:t>
      </w:r>
      <w:r w:rsidR="008E065A">
        <w:rPr>
          <w:rFonts w:ascii="Arial" w:hAnsi="Arial" w:cs="Arial"/>
          <w:b/>
        </w:rPr>
        <w:t xml:space="preserve"> 2023</w:t>
      </w:r>
      <w:bookmarkEnd w:id="1"/>
    </w:p>
    <w:p w14:paraId="19E134FD" w14:textId="019C9CBE" w:rsidR="00305C73" w:rsidRPr="00305C73" w:rsidRDefault="00305C73" w:rsidP="00305C73">
      <w:pPr>
        <w:rPr>
          <w:rFonts w:ascii="Franklin Gothic Book" w:hAnsi="Franklin Gothic Book"/>
          <w:color w:val="0000FF"/>
          <w:sz w:val="22"/>
          <w:szCs w:val="22"/>
          <w:u w:val="single"/>
        </w:rPr>
      </w:pPr>
      <w:bookmarkStart w:id="2" w:name="_Toc69491415"/>
      <w:r w:rsidRPr="00305C73">
        <w:rPr>
          <w:rFonts w:ascii="Franklin Gothic Book" w:hAnsi="Franklin Gothic Book"/>
          <w:sz w:val="22"/>
          <w:szCs w:val="22"/>
        </w:rPr>
        <w:t xml:space="preserve">Context for decision: MSAC makes its advice in accordance with its Terms of Reference, </w:t>
      </w:r>
      <w:hyperlink r:id="rId8" w:tooltip="Link to Medical Services Advisory Committee website" w:history="1">
        <w:r w:rsidRPr="00305C73">
          <w:rPr>
            <w:rStyle w:val="Hyperlink"/>
            <w:rFonts w:ascii="Franklin Gothic Book" w:hAnsi="Franklin Gothic Book"/>
            <w:sz w:val="22"/>
            <w:szCs w:val="22"/>
          </w:rPr>
          <w:t>visit the MSAC website</w:t>
        </w:r>
      </w:hyperlink>
    </w:p>
    <w:p w14:paraId="7EAA7262" w14:textId="151D048A" w:rsidR="00772829" w:rsidRPr="00CE28E3" w:rsidRDefault="00C36633" w:rsidP="00C36633">
      <w:pPr>
        <w:pStyle w:val="Heading2"/>
        <w:numPr>
          <w:ilvl w:val="0"/>
          <w:numId w:val="0"/>
        </w:numPr>
      </w:pPr>
      <w:r>
        <w:t>1.</w:t>
      </w:r>
      <w:r>
        <w:tab/>
      </w:r>
      <w:r w:rsidR="00772829" w:rsidRPr="00CE28E3">
        <w:t xml:space="preserve">Purpose </w:t>
      </w:r>
      <w:r w:rsidR="00772829" w:rsidRPr="00CE28E3">
        <w:rPr>
          <w:szCs w:val="32"/>
        </w:rPr>
        <w:t>of</w:t>
      </w:r>
      <w:r w:rsidR="00772829" w:rsidRPr="00CE28E3">
        <w:t xml:space="preserve"> application</w:t>
      </w:r>
      <w:bookmarkEnd w:id="2"/>
    </w:p>
    <w:p w14:paraId="4B6FCE03" w14:textId="65707BE2" w:rsidR="00C233D6" w:rsidRDefault="00772829" w:rsidP="00B94F5D">
      <w:pPr>
        <w:pStyle w:val="a-TEXT"/>
      </w:pPr>
      <w:bookmarkStart w:id="3" w:name="_Hlk69734469"/>
      <w:r w:rsidRPr="00EA572D">
        <w:t xml:space="preserve">An application requesting public funding of </w:t>
      </w:r>
      <w:r w:rsidR="00B4324D" w:rsidRPr="00EA572D">
        <w:t>a</w:t>
      </w:r>
      <w:r w:rsidR="00AF0D10" w:rsidRPr="00EA572D">
        <w:t>xicabtagene ciloleucel (YESCARTA®)</w:t>
      </w:r>
      <w:r w:rsidR="00983273">
        <w:t>, henceforth referred to as AXI</w:t>
      </w:r>
      <w:r w:rsidR="00BF35E0">
        <w:t>,</w:t>
      </w:r>
      <w:r w:rsidR="00AF0D10" w:rsidRPr="00EA572D">
        <w:t xml:space="preserve"> for</w:t>
      </w:r>
      <w:r w:rsidR="00BF35E0">
        <w:t xml:space="preserve"> the treatment </w:t>
      </w:r>
      <w:r w:rsidR="000625DE">
        <w:t>of</w:t>
      </w:r>
      <w:r w:rsidR="00AF0D10" w:rsidRPr="00EA572D">
        <w:t xml:space="preserve"> relapsed or refractory</w:t>
      </w:r>
      <w:r w:rsidR="002615DA">
        <w:t xml:space="preserve"> (</w:t>
      </w:r>
      <w:r w:rsidR="00622228">
        <w:t>r</w:t>
      </w:r>
      <w:r w:rsidR="002615DA">
        <w:t>/</w:t>
      </w:r>
      <w:r w:rsidR="00DB57A9">
        <w:t>r</w:t>
      </w:r>
      <w:r w:rsidR="002615DA">
        <w:t>)</w:t>
      </w:r>
      <w:r w:rsidR="00AF0D10" w:rsidRPr="00EA572D">
        <w:t xml:space="preserve"> large B-cell lymphoma</w:t>
      </w:r>
      <w:r w:rsidRPr="00EA572D">
        <w:t xml:space="preserve"> </w:t>
      </w:r>
      <w:r w:rsidR="003A2E50" w:rsidRPr="00EA572D">
        <w:t xml:space="preserve">(LBCL) </w:t>
      </w:r>
      <w:r w:rsidR="007D54A9" w:rsidRPr="00EA572D">
        <w:t xml:space="preserve">in the </w:t>
      </w:r>
      <w:proofErr w:type="gramStart"/>
      <w:r w:rsidR="007D54A9" w:rsidRPr="00EA572D">
        <w:t>second-line</w:t>
      </w:r>
      <w:proofErr w:type="gramEnd"/>
      <w:r w:rsidR="007D54A9" w:rsidRPr="00EA572D">
        <w:t xml:space="preserve"> (2L) setting </w:t>
      </w:r>
      <w:r w:rsidRPr="00EA572D">
        <w:t xml:space="preserve">was received from </w:t>
      </w:r>
      <w:r w:rsidR="00994B25" w:rsidRPr="00EA572D">
        <w:t>Gilead Sciences Pty Limited</w:t>
      </w:r>
      <w:r w:rsidRPr="00EA572D">
        <w:t xml:space="preserve"> by the Department of Health</w:t>
      </w:r>
      <w:r w:rsidR="00C151F3">
        <w:t xml:space="preserve"> and Aged Care</w:t>
      </w:r>
      <w:r w:rsidRPr="00EA572D">
        <w:t>.</w:t>
      </w:r>
      <w:r w:rsidR="00C83846" w:rsidRPr="00EA572D">
        <w:t xml:space="preserve"> </w:t>
      </w:r>
      <w:r w:rsidR="00226D5B">
        <w:t>AXI</w:t>
      </w:r>
      <w:r w:rsidR="00B55D98">
        <w:t xml:space="preserve"> is currently funded </w:t>
      </w:r>
      <w:r w:rsidR="000D229B">
        <w:t xml:space="preserve">for the treatment of LBCL </w:t>
      </w:r>
      <w:r w:rsidR="00B55D98">
        <w:t xml:space="preserve">in the </w:t>
      </w:r>
      <w:proofErr w:type="gramStart"/>
      <w:r w:rsidR="00B55D98">
        <w:t>third-line</w:t>
      </w:r>
      <w:proofErr w:type="gramEnd"/>
      <w:r w:rsidR="00B55D98">
        <w:t xml:space="preserve"> (3L) setting under</w:t>
      </w:r>
      <w:r w:rsidR="00B55D98" w:rsidRPr="00C60258">
        <w:t xml:space="preserve"> </w:t>
      </w:r>
      <w:r w:rsidR="000D229B">
        <w:t>the National Health Reform Agreement</w:t>
      </w:r>
      <w:r w:rsidR="00B55D98">
        <w:t>.</w:t>
      </w:r>
    </w:p>
    <w:p w14:paraId="1A91A826" w14:textId="5A45DDAA" w:rsidR="009F08B4" w:rsidRDefault="009F08B4" w:rsidP="009F08B4">
      <w:pPr>
        <w:pStyle w:val="Heading2"/>
        <w:numPr>
          <w:ilvl w:val="0"/>
          <w:numId w:val="0"/>
        </w:numPr>
      </w:pPr>
      <w:r>
        <w:t>2.</w:t>
      </w:r>
      <w:r>
        <w:tab/>
        <w:t>MSAC’s advice to the Minister</w:t>
      </w:r>
    </w:p>
    <w:p w14:paraId="313F1445" w14:textId="3AA83BFF" w:rsidR="00ED6B28" w:rsidRPr="00ED6B28" w:rsidRDefault="00ED6B28" w:rsidP="00ED6B28">
      <w:pPr>
        <w:rPr>
          <w:rFonts w:ascii="Franklin Gothic Book" w:hAnsi="Franklin Gothic Book"/>
          <w:sz w:val="22"/>
          <w:szCs w:val="22"/>
        </w:rPr>
      </w:pPr>
      <w:r w:rsidRPr="00ED6B28">
        <w:rPr>
          <w:rFonts w:ascii="Franklin Gothic Book" w:hAnsi="Franklin Gothic Book"/>
          <w:sz w:val="22"/>
          <w:szCs w:val="22"/>
        </w:rPr>
        <w:t xml:space="preserve">After considering the strength of the available evidence in relation to comparative safety, clinical effectiveness, cost-effectiveness and total cost, MSAC did not support public funding of axicabtagene ciloleucel (AXI) for the treatment of relapsed or refractory large B-cell lymphoma (LBCL) in the </w:t>
      </w:r>
      <w:proofErr w:type="gramStart"/>
      <w:r w:rsidRPr="00ED6B28">
        <w:rPr>
          <w:rFonts w:ascii="Franklin Gothic Book" w:hAnsi="Franklin Gothic Book"/>
          <w:sz w:val="22"/>
          <w:szCs w:val="22"/>
        </w:rPr>
        <w:t>second-line</w:t>
      </w:r>
      <w:proofErr w:type="gramEnd"/>
      <w:r w:rsidRPr="00ED6B28">
        <w:rPr>
          <w:rFonts w:ascii="Franklin Gothic Book" w:hAnsi="Franklin Gothic Book"/>
          <w:sz w:val="22"/>
          <w:szCs w:val="22"/>
        </w:rPr>
        <w:t xml:space="preserve"> (2L) setting. MSAC recognised the clinical need for the proposed treatment in this population. MSAC considered that from the evidence presented for evaluation, it was uncertain whether AXI demonstrated durable survival outcomes relative to standard of care, and that AXI had an inferior safety profile. MSAC was also concerned with the use of event-free survival (EFS) as a primary endpoint, which was likely to be biased in favour of the AXI arm, and that the trial did not adequately capture the difference between AXI in the 2L vs 3L setting, which had flow on effects to the economic model. MSAC also considered that the incremental cost-effectiveness ratio (ICER) was highly uncertain and was underestimated due to the optimistic extrapolation of survival favouring AXI. MSAC noted that additional evidence to support the application had been provided in the pre-MSAC response, but it</w:t>
      </w:r>
      <w:r w:rsidR="005607AF">
        <w:rPr>
          <w:rFonts w:ascii="Franklin Gothic Book" w:hAnsi="Franklin Gothic Book"/>
          <w:sz w:val="22"/>
          <w:szCs w:val="22"/>
        </w:rPr>
        <w:t xml:space="preserve"> </w:t>
      </w:r>
      <w:r w:rsidRPr="00ED6B28">
        <w:rPr>
          <w:rFonts w:ascii="Franklin Gothic Book" w:hAnsi="Franklin Gothic Book"/>
          <w:sz w:val="22"/>
          <w:szCs w:val="22"/>
        </w:rPr>
        <w:t xml:space="preserve">did not allow sufficient time for it to be evaluated and therefore </w:t>
      </w:r>
      <w:r w:rsidR="00111EF2">
        <w:rPr>
          <w:rFonts w:ascii="Franklin Gothic Book" w:hAnsi="Franklin Gothic Book"/>
          <w:sz w:val="22"/>
          <w:szCs w:val="22"/>
        </w:rPr>
        <w:t>it was</w:t>
      </w:r>
      <w:r w:rsidRPr="00ED6B28">
        <w:rPr>
          <w:rFonts w:ascii="Franklin Gothic Book" w:hAnsi="Franklin Gothic Book"/>
          <w:sz w:val="22"/>
          <w:szCs w:val="22"/>
        </w:rPr>
        <w:t xml:space="preserve"> not able to be fully considered by MSAC.</w:t>
      </w:r>
    </w:p>
    <w:p w14:paraId="5BF958CE" w14:textId="51FFF673" w:rsidR="00ED6B28" w:rsidRPr="00ED6B28" w:rsidRDefault="00ED6B28" w:rsidP="003B4782">
      <w:pPr>
        <w:spacing w:before="240"/>
        <w:rPr>
          <w:rFonts w:ascii="Franklin Gothic Book" w:hAnsi="Franklin Gothic Book"/>
          <w:sz w:val="22"/>
          <w:szCs w:val="22"/>
        </w:rPr>
      </w:pPr>
      <w:r w:rsidRPr="00ED6B28">
        <w:rPr>
          <w:rFonts w:ascii="Franklin Gothic Book" w:hAnsi="Franklin Gothic Book"/>
          <w:sz w:val="22"/>
          <w:szCs w:val="22"/>
        </w:rPr>
        <w:t xml:space="preserve">MSAC advised that the economic evaluation needed revisions, including incorporation and evaluation of new evidence submitted in the pre-MSAC response, use of progression-free survival (PFS) as the outcome measure, use of more standard modelling techniques, along with other revisions. MSAC also advised that a price for AXI should be ascertained at which it is acceptably cost-effective. MSAC noted the high and uncertain budget impact, that the price of AXI had not been adequately justified, and no payment for performance or risk sharing criteria were proposed for consideration by MSAC. MSAC also noted </w:t>
      </w:r>
      <w:r w:rsidR="000C7E34">
        <w:rPr>
          <w:rFonts w:ascii="Franklin Gothic Book" w:hAnsi="Franklin Gothic Book"/>
          <w:sz w:val="22"/>
          <w:szCs w:val="22"/>
        </w:rPr>
        <w:t xml:space="preserve">four submissions from </w:t>
      </w:r>
      <w:r w:rsidRPr="00ED6B28">
        <w:rPr>
          <w:rFonts w:ascii="Franklin Gothic Book" w:hAnsi="Franklin Gothic Book"/>
          <w:sz w:val="22"/>
          <w:szCs w:val="22"/>
        </w:rPr>
        <w:t xml:space="preserve">the </w:t>
      </w:r>
      <w:r w:rsidR="00F31ABD">
        <w:rPr>
          <w:rFonts w:ascii="Franklin Gothic Book" w:hAnsi="Franklin Gothic Book"/>
          <w:sz w:val="22"/>
          <w:szCs w:val="22"/>
        </w:rPr>
        <w:t>S</w:t>
      </w:r>
      <w:r w:rsidR="00F31ABD" w:rsidRPr="00ED6B28">
        <w:rPr>
          <w:rFonts w:ascii="Franklin Gothic Book" w:hAnsi="Franklin Gothic Book"/>
          <w:sz w:val="22"/>
          <w:szCs w:val="22"/>
        </w:rPr>
        <w:t xml:space="preserve">tates </w:t>
      </w:r>
      <w:r w:rsidRPr="00ED6B28">
        <w:rPr>
          <w:rFonts w:ascii="Franklin Gothic Book" w:hAnsi="Franklin Gothic Book"/>
          <w:sz w:val="22"/>
          <w:szCs w:val="22"/>
        </w:rPr>
        <w:t xml:space="preserve">and </w:t>
      </w:r>
      <w:r w:rsidR="00F31ABD">
        <w:rPr>
          <w:rFonts w:ascii="Franklin Gothic Book" w:hAnsi="Franklin Gothic Book"/>
          <w:sz w:val="22"/>
          <w:szCs w:val="22"/>
        </w:rPr>
        <w:t>T</w:t>
      </w:r>
      <w:r w:rsidR="00F31ABD" w:rsidRPr="00ED6B28">
        <w:rPr>
          <w:rFonts w:ascii="Franklin Gothic Book" w:hAnsi="Franklin Gothic Book"/>
          <w:sz w:val="22"/>
          <w:szCs w:val="22"/>
        </w:rPr>
        <w:t xml:space="preserve">erritories </w:t>
      </w:r>
      <w:r w:rsidRPr="00ED6B28">
        <w:rPr>
          <w:rFonts w:ascii="Franklin Gothic Book" w:hAnsi="Franklin Gothic Book"/>
          <w:sz w:val="22"/>
          <w:szCs w:val="22"/>
        </w:rPr>
        <w:t>were not supportive of the application as joint funders of this highly specialised therapy via the National Health Reform Agreement.</w:t>
      </w:r>
    </w:p>
    <w:tbl>
      <w:tblPr>
        <w:tblStyle w:val="TableGrid"/>
        <w:tblW w:w="0" w:type="auto"/>
        <w:tblLook w:val="04A0" w:firstRow="1" w:lastRow="0" w:firstColumn="1" w:lastColumn="0" w:noHBand="0" w:noVBand="1"/>
        <w:tblDescription w:val="Consumer summary of MSAC consideration"/>
      </w:tblPr>
      <w:tblGrid>
        <w:gridCol w:w="9016"/>
      </w:tblGrid>
      <w:tr w:rsidR="00ED6B28" w:rsidRPr="00ED6B28" w14:paraId="6FF38207" w14:textId="77777777" w:rsidTr="00F51C7B">
        <w:trPr>
          <w:tblHeader/>
        </w:trPr>
        <w:tc>
          <w:tcPr>
            <w:tcW w:w="9016" w:type="dxa"/>
          </w:tcPr>
          <w:p w14:paraId="07D0CA74" w14:textId="77777777" w:rsidR="00ED6B28" w:rsidRPr="00ED6B28" w:rsidRDefault="00ED6B28" w:rsidP="003B4782">
            <w:pPr>
              <w:pStyle w:val="Heading3"/>
              <w:spacing w:before="120"/>
              <w:rPr>
                <w:rFonts w:ascii="Franklin Gothic Book" w:eastAsiaTheme="minorHAnsi" w:hAnsi="Franklin Gothic Book" w:cstheme="minorBidi"/>
                <w:b/>
                <w:bCs/>
                <w:iCs/>
              </w:rPr>
            </w:pPr>
            <w:r w:rsidRPr="00ED6B28">
              <w:rPr>
                <w:rFonts w:ascii="Franklin Gothic Book" w:hAnsi="Franklin Gothic Book"/>
                <w:b/>
                <w:bCs/>
              </w:rPr>
              <w:lastRenderedPageBreak/>
              <w:t>Consumer summary</w:t>
            </w:r>
          </w:p>
        </w:tc>
      </w:tr>
      <w:tr w:rsidR="00ED6B28" w:rsidRPr="00ED6B28" w14:paraId="0A58D3C5" w14:textId="77777777" w:rsidTr="00F51C7B">
        <w:tc>
          <w:tcPr>
            <w:tcW w:w="9016" w:type="dxa"/>
          </w:tcPr>
          <w:p w14:paraId="6BD04817" w14:textId="4401DD2B" w:rsidR="00ED6B28" w:rsidRDefault="00ED6B28" w:rsidP="00F51C7B">
            <w:pPr>
              <w:rPr>
                <w:rFonts w:ascii="Franklin Gothic Book" w:hAnsi="Franklin Gothic Book"/>
                <w:sz w:val="22"/>
                <w:szCs w:val="22"/>
              </w:rPr>
            </w:pPr>
            <w:r w:rsidRPr="00ED6B28">
              <w:rPr>
                <w:rFonts w:ascii="Franklin Gothic Book" w:hAnsi="Franklin Gothic Book"/>
                <w:sz w:val="22"/>
                <w:szCs w:val="22"/>
              </w:rPr>
              <w:t xml:space="preserve">This is an application from Gilead Science Pty Ltd requesting </w:t>
            </w:r>
            <w:r w:rsidR="00BF345C">
              <w:rPr>
                <w:rFonts w:ascii="Franklin Gothic Book" w:hAnsi="Franklin Gothic Book"/>
                <w:sz w:val="22"/>
                <w:szCs w:val="22"/>
              </w:rPr>
              <w:t>public funding</w:t>
            </w:r>
            <w:r w:rsidRPr="00ED6B28">
              <w:rPr>
                <w:rFonts w:ascii="Franklin Gothic Book" w:hAnsi="Franklin Gothic Book"/>
                <w:sz w:val="22"/>
                <w:szCs w:val="22"/>
              </w:rPr>
              <w:t xml:space="preserve"> of </w:t>
            </w:r>
            <w:r w:rsidR="00B228F3">
              <w:rPr>
                <w:rFonts w:ascii="Franklin Gothic Book" w:hAnsi="Franklin Gothic Book"/>
                <w:sz w:val="22"/>
                <w:szCs w:val="22"/>
              </w:rPr>
              <w:t xml:space="preserve">the cell-therapy </w:t>
            </w:r>
            <w:proofErr w:type="spellStart"/>
            <w:r w:rsidRPr="00ED6B28">
              <w:rPr>
                <w:rFonts w:ascii="Franklin Gothic Book" w:hAnsi="Franklin Gothic Book"/>
                <w:sz w:val="22"/>
                <w:szCs w:val="22"/>
              </w:rPr>
              <w:t>axicabtagene</w:t>
            </w:r>
            <w:proofErr w:type="spellEnd"/>
            <w:r w:rsidRPr="00ED6B28">
              <w:rPr>
                <w:rFonts w:ascii="Franklin Gothic Book" w:hAnsi="Franklin Gothic Book"/>
                <w:sz w:val="22"/>
                <w:szCs w:val="22"/>
              </w:rPr>
              <w:t xml:space="preserve"> </w:t>
            </w:r>
            <w:proofErr w:type="spellStart"/>
            <w:r w:rsidRPr="00ED6B28">
              <w:rPr>
                <w:rFonts w:ascii="Franklin Gothic Book" w:hAnsi="Franklin Gothic Book"/>
                <w:sz w:val="22"/>
                <w:szCs w:val="22"/>
              </w:rPr>
              <w:t>ciloleucel</w:t>
            </w:r>
            <w:proofErr w:type="spellEnd"/>
            <w:r w:rsidRPr="00ED6B28">
              <w:rPr>
                <w:rFonts w:ascii="Franklin Gothic Book" w:hAnsi="Franklin Gothic Book"/>
                <w:sz w:val="22"/>
                <w:szCs w:val="22"/>
              </w:rPr>
              <w:t xml:space="preserve"> (</w:t>
            </w:r>
            <w:proofErr w:type="spellStart"/>
            <w:r w:rsidRPr="00ED6B28">
              <w:rPr>
                <w:rFonts w:ascii="Franklin Gothic Book" w:hAnsi="Franklin Gothic Book"/>
                <w:sz w:val="22"/>
                <w:szCs w:val="22"/>
              </w:rPr>
              <w:t>Yescarta</w:t>
            </w:r>
            <w:proofErr w:type="spellEnd"/>
            <w:r w:rsidRPr="00ED6B28">
              <w:rPr>
                <w:rFonts w:ascii="Franklin Gothic Book" w:hAnsi="Franklin Gothic Book"/>
                <w:sz w:val="22"/>
                <w:szCs w:val="22"/>
              </w:rPr>
              <w:t>®) for relapsed or refractory large B-cell lymphoma as second-line therapy</w:t>
            </w:r>
            <w:r w:rsidR="007D1F88">
              <w:rPr>
                <w:rFonts w:ascii="Franklin Gothic Book" w:hAnsi="Franklin Gothic Book"/>
                <w:sz w:val="22"/>
                <w:szCs w:val="22"/>
              </w:rPr>
              <w:t xml:space="preserve"> (second course of treatment if the first course of treatment</w:t>
            </w:r>
            <w:r w:rsidR="00E701C9">
              <w:rPr>
                <w:rFonts w:ascii="Franklin Gothic Book" w:hAnsi="Franklin Gothic Book"/>
                <w:sz w:val="22"/>
                <w:szCs w:val="22"/>
              </w:rPr>
              <w:t xml:space="preserve"> is not effective in treating the disease)</w:t>
            </w:r>
            <w:r w:rsidRPr="00ED6B28">
              <w:rPr>
                <w:rFonts w:ascii="Franklin Gothic Book" w:hAnsi="Franklin Gothic Book"/>
                <w:sz w:val="22"/>
                <w:szCs w:val="22"/>
              </w:rPr>
              <w:t>.</w:t>
            </w:r>
          </w:p>
          <w:p w14:paraId="306A9CCF" w14:textId="46BA4ADD" w:rsidR="00ED6B28" w:rsidRPr="00ED6B28" w:rsidRDefault="00ED6B28" w:rsidP="00031CAC">
            <w:pPr>
              <w:spacing w:before="240"/>
              <w:rPr>
                <w:rFonts w:ascii="Franklin Gothic Book" w:hAnsi="Franklin Gothic Book"/>
                <w:sz w:val="22"/>
                <w:szCs w:val="22"/>
              </w:rPr>
            </w:pPr>
            <w:r w:rsidRPr="00ED6B28">
              <w:rPr>
                <w:rFonts w:ascii="Franklin Gothic Book" w:hAnsi="Franklin Gothic Book"/>
                <w:sz w:val="22"/>
                <w:szCs w:val="22"/>
              </w:rPr>
              <w:t xml:space="preserve">Large B-cell lymphoma is a </w:t>
            </w:r>
            <w:r w:rsidR="00285E68">
              <w:rPr>
                <w:rFonts w:ascii="Franklin Gothic Book" w:hAnsi="Franklin Gothic Book"/>
                <w:sz w:val="22"/>
                <w:szCs w:val="22"/>
              </w:rPr>
              <w:t>type</w:t>
            </w:r>
            <w:r w:rsidR="00285E68" w:rsidRPr="00ED6B28">
              <w:rPr>
                <w:rFonts w:ascii="Franklin Gothic Book" w:hAnsi="Franklin Gothic Book"/>
                <w:sz w:val="22"/>
                <w:szCs w:val="22"/>
              </w:rPr>
              <w:t xml:space="preserve"> </w:t>
            </w:r>
            <w:r w:rsidRPr="00ED6B28">
              <w:rPr>
                <w:rFonts w:ascii="Franklin Gothic Book" w:hAnsi="Franklin Gothic Book"/>
                <w:sz w:val="22"/>
                <w:szCs w:val="22"/>
              </w:rPr>
              <w:t xml:space="preserve">of blood cancer that </w:t>
            </w:r>
            <w:r w:rsidR="00863AD8">
              <w:rPr>
                <w:rFonts w:ascii="Franklin Gothic Book" w:hAnsi="Franklin Gothic Book"/>
                <w:sz w:val="22"/>
                <w:szCs w:val="22"/>
              </w:rPr>
              <w:t>arise</w:t>
            </w:r>
            <w:r w:rsidR="0088588B">
              <w:rPr>
                <w:rFonts w:ascii="Franklin Gothic Book" w:hAnsi="Franklin Gothic Book"/>
                <w:sz w:val="22"/>
                <w:szCs w:val="22"/>
              </w:rPr>
              <w:t>s</w:t>
            </w:r>
            <w:r w:rsidR="00863AD8">
              <w:rPr>
                <w:rFonts w:ascii="Franklin Gothic Book" w:hAnsi="Franklin Gothic Book"/>
                <w:sz w:val="22"/>
                <w:szCs w:val="22"/>
              </w:rPr>
              <w:t xml:space="preserve"> from lymphocytes</w:t>
            </w:r>
            <w:r w:rsidR="00B66F69">
              <w:rPr>
                <w:rFonts w:ascii="Franklin Gothic Book" w:hAnsi="Franklin Gothic Book"/>
                <w:sz w:val="22"/>
                <w:szCs w:val="22"/>
              </w:rPr>
              <w:t xml:space="preserve"> (a type of white blood cell)</w:t>
            </w:r>
            <w:r w:rsidR="00774FD8">
              <w:rPr>
                <w:rFonts w:ascii="Franklin Gothic Book" w:hAnsi="Franklin Gothic Book"/>
                <w:sz w:val="22"/>
                <w:szCs w:val="22"/>
              </w:rPr>
              <w:t>,</w:t>
            </w:r>
            <w:r w:rsidR="00B36282">
              <w:rPr>
                <w:rFonts w:ascii="Franklin Gothic Book" w:hAnsi="Franklin Gothic Book"/>
                <w:sz w:val="22"/>
                <w:szCs w:val="22"/>
              </w:rPr>
              <w:t xml:space="preserve"> which are part of the body’s immune system.</w:t>
            </w:r>
            <w:r w:rsidR="000D61C4">
              <w:rPr>
                <w:rFonts w:ascii="Franklin Gothic Book" w:hAnsi="Franklin Gothic Book"/>
                <w:sz w:val="22"/>
                <w:szCs w:val="22"/>
              </w:rPr>
              <w:t xml:space="preserve"> </w:t>
            </w:r>
            <w:r w:rsidR="003F1563">
              <w:rPr>
                <w:rFonts w:ascii="Franklin Gothic Book" w:hAnsi="Franklin Gothic Book"/>
                <w:sz w:val="22"/>
                <w:szCs w:val="22"/>
              </w:rPr>
              <w:t xml:space="preserve">Large B-cell lymphoma is a </w:t>
            </w:r>
            <w:r w:rsidR="00F373C8">
              <w:rPr>
                <w:rFonts w:ascii="Franklin Gothic Book" w:hAnsi="Franklin Gothic Book"/>
                <w:sz w:val="22"/>
                <w:szCs w:val="22"/>
              </w:rPr>
              <w:t>form</w:t>
            </w:r>
            <w:r w:rsidR="003F1563">
              <w:rPr>
                <w:rFonts w:ascii="Franklin Gothic Book" w:hAnsi="Franklin Gothic Book"/>
                <w:sz w:val="22"/>
                <w:szCs w:val="22"/>
              </w:rPr>
              <w:t xml:space="preserve"> of </w:t>
            </w:r>
            <w:r w:rsidRPr="00ED6B28">
              <w:rPr>
                <w:rFonts w:ascii="Franklin Gothic Book" w:hAnsi="Franklin Gothic Book"/>
                <w:sz w:val="22"/>
                <w:szCs w:val="22"/>
              </w:rPr>
              <w:t>non-Hodgkin’s lymphoma</w:t>
            </w:r>
            <w:r w:rsidR="003F1563">
              <w:rPr>
                <w:rFonts w:ascii="Franklin Gothic Book" w:hAnsi="Franklin Gothic Book"/>
                <w:sz w:val="22"/>
                <w:szCs w:val="22"/>
              </w:rPr>
              <w:t>, a</w:t>
            </w:r>
            <w:r w:rsidR="0088588B">
              <w:rPr>
                <w:rFonts w:ascii="Franklin Gothic Book" w:hAnsi="Franklin Gothic Book"/>
                <w:sz w:val="22"/>
                <w:szCs w:val="22"/>
              </w:rPr>
              <w:t>n</w:t>
            </w:r>
            <w:r w:rsidR="003F1563">
              <w:rPr>
                <w:rFonts w:ascii="Franklin Gothic Book" w:hAnsi="Franklin Gothic Book"/>
                <w:sz w:val="22"/>
                <w:szCs w:val="22"/>
              </w:rPr>
              <w:t>d p</w:t>
            </w:r>
            <w:r w:rsidRPr="00ED6B28">
              <w:rPr>
                <w:rFonts w:ascii="Franklin Gothic Book" w:hAnsi="Franklin Gothic Book"/>
                <w:sz w:val="22"/>
                <w:szCs w:val="22"/>
              </w:rPr>
              <w:t>atients typically present with swelling of</w:t>
            </w:r>
            <w:r w:rsidR="0088588B">
              <w:rPr>
                <w:rFonts w:ascii="Franklin Gothic Book" w:hAnsi="Franklin Gothic Book"/>
                <w:sz w:val="22"/>
                <w:szCs w:val="22"/>
              </w:rPr>
              <w:t xml:space="preserve"> the</w:t>
            </w:r>
            <w:r w:rsidRPr="00ED6B28">
              <w:rPr>
                <w:rFonts w:ascii="Franklin Gothic Book" w:hAnsi="Franklin Gothic Book"/>
                <w:sz w:val="22"/>
                <w:szCs w:val="22"/>
              </w:rPr>
              <w:t xml:space="preserve"> lymph nodes or disease</w:t>
            </w:r>
            <w:r w:rsidR="00AF0C10">
              <w:rPr>
                <w:rFonts w:ascii="Franklin Gothic Book" w:hAnsi="Franklin Gothic Book"/>
                <w:sz w:val="22"/>
                <w:szCs w:val="22"/>
              </w:rPr>
              <w:t xml:space="preserve"> in other parts of the body such as the stomach, </w:t>
            </w:r>
            <w:r w:rsidR="00F97814">
              <w:rPr>
                <w:rFonts w:ascii="Franklin Gothic Book" w:hAnsi="Franklin Gothic Book"/>
                <w:sz w:val="22"/>
                <w:szCs w:val="22"/>
              </w:rPr>
              <w:t>bowel</w:t>
            </w:r>
            <w:r w:rsidR="00B77620">
              <w:rPr>
                <w:rFonts w:ascii="Franklin Gothic Book" w:hAnsi="Franklin Gothic Book"/>
                <w:sz w:val="22"/>
                <w:szCs w:val="22"/>
              </w:rPr>
              <w:t xml:space="preserve">, </w:t>
            </w:r>
            <w:proofErr w:type="gramStart"/>
            <w:r w:rsidR="00B77620">
              <w:rPr>
                <w:rFonts w:ascii="Franklin Gothic Book" w:hAnsi="Franklin Gothic Book"/>
                <w:sz w:val="22"/>
                <w:szCs w:val="22"/>
              </w:rPr>
              <w:t>skin</w:t>
            </w:r>
            <w:proofErr w:type="gramEnd"/>
            <w:r w:rsidR="00B77620">
              <w:rPr>
                <w:rFonts w:ascii="Franklin Gothic Book" w:hAnsi="Franklin Gothic Book"/>
                <w:sz w:val="22"/>
                <w:szCs w:val="22"/>
              </w:rPr>
              <w:t xml:space="preserve"> and lungs</w:t>
            </w:r>
            <w:r w:rsidR="00F373C8">
              <w:rPr>
                <w:rFonts w:ascii="Franklin Gothic Book" w:hAnsi="Franklin Gothic Book"/>
                <w:sz w:val="22"/>
                <w:szCs w:val="22"/>
              </w:rPr>
              <w:t>,</w:t>
            </w:r>
            <w:r w:rsidR="00B77620">
              <w:rPr>
                <w:rFonts w:ascii="Franklin Gothic Book" w:hAnsi="Franklin Gothic Book"/>
                <w:sz w:val="22"/>
                <w:szCs w:val="22"/>
              </w:rPr>
              <w:t xml:space="preserve"> which can cause swelling and discomfort</w:t>
            </w:r>
            <w:r w:rsidRPr="00ED6B28">
              <w:rPr>
                <w:rFonts w:ascii="Franklin Gothic Book" w:hAnsi="Franklin Gothic Book"/>
                <w:sz w:val="22"/>
                <w:szCs w:val="22"/>
              </w:rPr>
              <w:t>.</w:t>
            </w:r>
            <w:r w:rsidR="00AD3762">
              <w:rPr>
                <w:rFonts w:ascii="Franklin Gothic Book" w:hAnsi="Franklin Gothic Book"/>
                <w:sz w:val="22"/>
                <w:szCs w:val="22"/>
              </w:rPr>
              <w:t xml:space="preserve"> In addition, patients can have fever, </w:t>
            </w:r>
            <w:r w:rsidR="00424CA3">
              <w:rPr>
                <w:rFonts w:ascii="Franklin Gothic Book" w:hAnsi="Franklin Gothic Book"/>
                <w:sz w:val="22"/>
                <w:szCs w:val="22"/>
              </w:rPr>
              <w:t>night sweats and unexplained weight loss.</w:t>
            </w:r>
          </w:p>
          <w:p w14:paraId="1597C2BF" w14:textId="4180B7C3" w:rsidR="00ED6B28" w:rsidRDefault="00ED6B28" w:rsidP="00031CAC">
            <w:pPr>
              <w:spacing w:before="240"/>
              <w:rPr>
                <w:rFonts w:ascii="Franklin Gothic Book" w:hAnsi="Franklin Gothic Book"/>
                <w:sz w:val="22"/>
                <w:szCs w:val="22"/>
              </w:rPr>
            </w:pPr>
            <w:r w:rsidRPr="00ED6B28">
              <w:rPr>
                <w:rFonts w:ascii="Franklin Gothic Book" w:hAnsi="Franklin Gothic Book"/>
                <w:sz w:val="22"/>
                <w:szCs w:val="22"/>
              </w:rPr>
              <w:t xml:space="preserve">Axicabtagene ciloleucel is a CAR T-cell </w:t>
            </w:r>
            <w:r w:rsidR="004F530F">
              <w:rPr>
                <w:rFonts w:ascii="Franklin Gothic Book" w:hAnsi="Franklin Gothic Book"/>
                <w:sz w:val="22"/>
                <w:szCs w:val="22"/>
              </w:rPr>
              <w:t>therapy that is</w:t>
            </w:r>
            <w:r w:rsidR="004F530F" w:rsidRPr="00ED6B28">
              <w:rPr>
                <w:rFonts w:ascii="Franklin Gothic Book" w:hAnsi="Franklin Gothic Book"/>
                <w:sz w:val="22"/>
                <w:szCs w:val="22"/>
              </w:rPr>
              <w:t xml:space="preserve"> </w:t>
            </w:r>
            <w:r w:rsidRPr="00ED6B28">
              <w:rPr>
                <w:rFonts w:ascii="Franklin Gothic Book" w:hAnsi="Franklin Gothic Book"/>
                <w:sz w:val="22"/>
                <w:szCs w:val="22"/>
              </w:rPr>
              <w:t>produced using a patient’s own T-cells</w:t>
            </w:r>
            <w:r w:rsidR="004F530F">
              <w:rPr>
                <w:rFonts w:ascii="Franklin Gothic Book" w:hAnsi="Franklin Gothic Book"/>
                <w:sz w:val="22"/>
                <w:szCs w:val="22"/>
              </w:rPr>
              <w:t xml:space="preserve"> (another form of immune cell)</w:t>
            </w:r>
            <w:r w:rsidRPr="00ED6B28">
              <w:rPr>
                <w:rFonts w:ascii="Franklin Gothic Book" w:hAnsi="Franklin Gothic Book"/>
                <w:sz w:val="22"/>
                <w:szCs w:val="22"/>
              </w:rPr>
              <w:t xml:space="preserve">, making the product unique to each patient. For CAR-T therapy, a patient’s T-cells are collected and genetically modified in a lab to express an anti-CD19 chimeric antigen receptor (CAR) that targets the lymphoma B-cells. The modified T-cells are </w:t>
            </w:r>
            <w:r w:rsidR="00286E48">
              <w:rPr>
                <w:rFonts w:ascii="Franklin Gothic Book" w:hAnsi="Franklin Gothic Book"/>
                <w:sz w:val="22"/>
                <w:szCs w:val="22"/>
              </w:rPr>
              <w:t xml:space="preserve">multiplied and </w:t>
            </w:r>
            <w:r w:rsidRPr="00ED6B28">
              <w:rPr>
                <w:rFonts w:ascii="Franklin Gothic Book" w:hAnsi="Franklin Gothic Book"/>
                <w:sz w:val="22"/>
                <w:szCs w:val="22"/>
              </w:rPr>
              <w:t>then infused back into the patient where they target and kill the cancerous lymphoma B-cells</w:t>
            </w:r>
            <w:r w:rsidR="00A67A66">
              <w:rPr>
                <w:rFonts w:ascii="Franklin Gothic Book" w:hAnsi="Franklin Gothic Book"/>
                <w:sz w:val="22"/>
                <w:szCs w:val="22"/>
              </w:rPr>
              <w:t>, thereby treating the lymphoma</w:t>
            </w:r>
            <w:r w:rsidRPr="00ED6B28">
              <w:rPr>
                <w:rFonts w:ascii="Franklin Gothic Book" w:hAnsi="Franklin Gothic Book"/>
                <w:sz w:val="22"/>
                <w:szCs w:val="22"/>
              </w:rPr>
              <w:t>.</w:t>
            </w:r>
          </w:p>
          <w:p w14:paraId="110F21EA" w14:textId="3572B64E" w:rsidR="00A67A66" w:rsidRPr="00ED6B28" w:rsidRDefault="00A67A66" w:rsidP="00031CAC">
            <w:pPr>
              <w:spacing w:before="240"/>
              <w:rPr>
                <w:rFonts w:ascii="Franklin Gothic Book" w:hAnsi="Franklin Gothic Book"/>
                <w:sz w:val="22"/>
                <w:szCs w:val="22"/>
              </w:rPr>
            </w:pPr>
            <w:r w:rsidRPr="00ED6B28">
              <w:rPr>
                <w:rFonts w:ascii="Franklin Gothic Book" w:hAnsi="Franklin Gothic Book"/>
                <w:sz w:val="22"/>
                <w:szCs w:val="22"/>
              </w:rPr>
              <w:t xml:space="preserve">CAR-T cell therapies are </w:t>
            </w:r>
            <w:r w:rsidR="00686A31">
              <w:rPr>
                <w:rFonts w:ascii="Franklin Gothic Book" w:hAnsi="Franklin Gothic Book"/>
                <w:sz w:val="22"/>
                <w:szCs w:val="22"/>
              </w:rPr>
              <w:t xml:space="preserve">a relatively new type of treatment that are </w:t>
            </w:r>
            <w:r w:rsidRPr="00ED6B28">
              <w:rPr>
                <w:rFonts w:ascii="Franklin Gothic Book" w:hAnsi="Franklin Gothic Book"/>
                <w:sz w:val="22"/>
                <w:szCs w:val="22"/>
              </w:rPr>
              <w:t>used when patients with some types of cancer</w:t>
            </w:r>
            <w:r w:rsidR="00686A31">
              <w:rPr>
                <w:rFonts w:ascii="Franklin Gothic Book" w:hAnsi="Franklin Gothic Book"/>
                <w:sz w:val="22"/>
                <w:szCs w:val="22"/>
              </w:rPr>
              <w:t>s</w:t>
            </w:r>
            <w:r w:rsidR="00D92D34">
              <w:rPr>
                <w:rFonts w:ascii="Franklin Gothic Book" w:hAnsi="Franklin Gothic Book"/>
                <w:sz w:val="22"/>
                <w:szCs w:val="22"/>
              </w:rPr>
              <w:t xml:space="preserve"> (currently blood cancers</w:t>
            </w:r>
            <w:r w:rsidRPr="00ED6B28">
              <w:rPr>
                <w:rFonts w:ascii="Franklin Gothic Book" w:hAnsi="Franklin Gothic Book"/>
                <w:sz w:val="22"/>
                <w:szCs w:val="22"/>
              </w:rPr>
              <w:t xml:space="preserve"> such as large B-cell lymphoma</w:t>
            </w:r>
            <w:r w:rsidR="00D92D34">
              <w:rPr>
                <w:rFonts w:ascii="Franklin Gothic Book" w:hAnsi="Franklin Gothic Book"/>
                <w:sz w:val="22"/>
                <w:szCs w:val="22"/>
              </w:rPr>
              <w:t>)</w:t>
            </w:r>
            <w:r w:rsidRPr="00ED6B28">
              <w:rPr>
                <w:rFonts w:ascii="Franklin Gothic Book" w:hAnsi="Franklin Gothic Book"/>
                <w:sz w:val="22"/>
                <w:szCs w:val="22"/>
              </w:rPr>
              <w:t xml:space="preserve">, don’t respond to (refractory), or relapse </w:t>
            </w:r>
            <w:r w:rsidR="00777635" w:rsidRPr="00ED6B28">
              <w:rPr>
                <w:rFonts w:ascii="Franklin Gothic Book" w:hAnsi="Franklin Gothic Book"/>
                <w:sz w:val="22"/>
                <w:szCs w:val="22"/>
              </w:rPr>
              <w:t>(come back)</w:t>
            </w:r>
            <w:r w:rsidRPr="00ED6B28">
              <w:rPr>
                <w:rFonts w:ascii="Franklin Gothic Book" w:hAnsi="Franklin Gothic Book"/>
                <w:sz w:val="22"/>
                <w:szCs w:val="22"/>
              </w:rPr>
              <w:t xml:space="preserve"> after, other types of treatment, such as chemotherapy. Second-line therapy means that axicabtagene ciloleucel would be a second choice after another therapy, likely chemoimmunotherapy.</w:t>
            </w:r>
          </w:p>
          <w:p w14:paraId="7A16C85D" w14:textId="29C42948" w:rsidR="00ED6B28" w:rsidRPr="00ED6B28" w:rsidRDefault="00ED6B28" w:rsidP="00031CAC">
            <w:pPr>
              <w:spacing w:before="240"/>
              <w:rPr>
                <w:rFonts w:ascii="Franklin Gothic Book" w:hAnsi="Franklin Gothic Book"/>
                <w:sz w:val="22"/>
                <w:szCs w:val="22"/>
              </w:rPr>
            </w:pPr>
            <w:r w:rsidRPr="00ED6B28">
              <w:rPr>
                <w:rFonts w:ascii="Franklin Gothic Book" w:hAnsi="Franklin Gothic Book"/>
                <w:sz w:val="22"/>
                <w:szCs w:val="22"/>
              </w:rPr>
              <w:t xml:space="preserve">MSAC considered that, from the evidence presented for evaluation, it was uncertain whether axicabtagene ciloleucel demonstrated durable </w:t>
            </w:r>
            <w:r w:rsidR="00DF1B04">
              <w:rPr>
                <w:rFonts w:ascii="Franklin Gothic Book" w:hAnsi="Franklin Gothic Book"/>
                <w:sz w:val="22"/>
                <w:szCs w:val="22"/>
              </w:rPr>
              <w:t xml:space="preserve">health </w:t>
            </w:r>
            <w:r w:rsidR="004C3E58">
              <w:rPr>
                <w:rFonts w:ascii="Franklin Gothic Book" w:hAnsi="Franklin Gothic Book"/>
                <w:sz w:val="22"/>
                <w:szCs w:val="22"/>
              </w:rPr>
              <w:t>benefits compared to current second-line treatments</w:t>
            </w:r>
            <w:r w:rsidRPr="00ED6B28">
              <w:rPr>
                <w:rFonts w:ascii="Franklin Gothic Book" w:hAnsi="Franklin Gothic Book"/>
                <w:sz w:val="22"/>
                <w:szCs w:val="22"/>
              </w:rPr>
              <w:t xml:space="preserve"> </w:t>
            </w:r>
            <w:r w:rsidR="00DF1B04">
              <w:rPr>
                <w:rFonts w:ascii="Franklin Gothic Book" w:hAnsi="Franklin Gothic Book"/>
                <w:sz w:val="22"/>
                <w:szCs w:val="22"/>
              </w:rPr>
              <w:t>(</w:t>
            </w:r>
            <w:r w:rsidRPr="00ED6B28">
              <w:rPr>
                <w:rFonts w:ascii="Franklin Gothic Book" w:hAnsi="Franklin Gothic Book"/>
                <w:sz w:val="22"/>
                <w:szCs w:val="22"/>
              </w:rPr>
              <w:t>standard of care</w:t>
            </w:r>
            <w:r w:rsidR="00DF1B04">
              <w:rPr>
                <w:rFonts w:ascii="Franklin Gothic Book" w:hAnsi="Franklin Gothic Book"/>
                <w:sz w:val="22"/>
                <w:szCs w:val="22"/>
              </w:rPr>
              <w:t>)</w:t>
            </w:r>
            <w:r w:rsidRPr="00ED6B28">
              <w:rPr>
                <w:rFonts w:ascii="Franklin Gothic Book" w:hAnsi="Franklin Gothic Book"/>
                <w:sz w:val="22"/>
                <w:szCs w:val="22"/>
              </w:rPr>
              <w:t xml:space="preserve">, and that </w:t>
            </w:r>
            <w:r w:rsidR="007E4A09">
              <w:rPr>
                <w:rFonts w:ascii="Franklin Gothic Book" w:hAnsi="Franklin Gothic Book"/>
                <w:sz w:val="22"/>
                <w:szCs w:val="22"/>
              </w:rPr>
              <w:t>it</w:t>
            </w:r>
            <w:r w:rsidR="007E4A09" w:rsidRPr="00ED6B28">
              <w:rPr>
                <w:rFonts w:ascii="Franklin Gothic Book" w:hAnsi="Franklin Gothic Book"/>
                <w:sz w:val="22"/>
                <w:szCs w:val="22"/>
              </w:rPr>
              <w:t xml:space="preserve"> </w:t>
            </w:r>
            <w:r w:rsidRPr="00ED6B28">
              <w:rPr>
                <w:rFonts w:ascii="Franklin Gothic Book" w:hAnsi="Franklin Gothic Book"/>
                <w:sz w:val="22"/>
                <w:szCs w:val="22"/>
              </w:rPr>
              <w:t xml:space="preserve">was not as safe as standard of care. MSAC advised that </w:t>
            </w:r>
            <w:r w:rsidR="005A601A">
              <w:rPr>
                <w:rFonts w:ascii="Franklin Gothic Book" w:hAnsi="Franklin Gothic Book"/>
                <w:sz w:val="22"/>
                <w:szCs w:val="22"/>
              </w:rPr>
              <w:t xml:space="preserve">based on this evidence, </w:t>
            </w:r>
            <w:r w:rsidRPr="00ED6B28">
              <w:rPr>
                <w:rFonts w:ascii="Franklin Gothic Book" w:hAnsi="Franklin Gothic Book"/>
                <w:sz w:val="22"/>
                <w:szCs w:val="22"/>
              </w:rPr>
              <w:t xml:space="preserve">the application did not </w:t>
            </w:r>
            <w:r w:rsidR="006B23B6">
              <w:rPr>
                <w:rFonts w:ascii="Franklin Gothic Book" w:hAnsi="Franklin Gothic Book"/>
                <w:sz w:val="22"/>
                <w:szCs w:val="22"/>
              </w:rPr>
              <w:t>demonstrate</w:t>
            </w:r>
            <w:r w:rsidR="006B23B6" w:rsidRPr="00ED6B28">
              <w:rPr>
                <w:rFonts w:ascii="Franklin Gothic Book" w:hAnsi="Franklin Gothic Book"/>
                <w:sz w:val="22"/>
                <w:szCs w:val="22"/>
              </w:rPr>
              <w:t xml:space="preserve"> </w:t>
            </w:r>
            <w:r w:rsidRPr="00ED6B28">
              <w:rPr>
                <w:rFonts w:ascii="Franklin Gothic Book" w:hAnsi="Franklin Gothic Book"/>
                <w:sz w:val="22"/>
                <w:szCs w:val="22"/>
              </w:rPr>
              <w:t>good value for money</w:t>
            </w:r>
            <w:r w:rsidR="005A601A">
              <w:rPr>
                <w:rFonts w:ascii="Franklin Gothic Book" w:hAnsi="Franklin Gothic Book"/>
                <w:sz w:val="22"/>
                <w:szCs w:val="22"/>
              </w:rPr>
              <w:t>.</w:t>
            </w:r>
            <w:r w:rsidR="005A776E">
              <w:rPr>
                <w:rFonts w:ascii="Franklin Gothic Book" w:hAnsi="Franklin Gothic Book"/>
                <w:sz w:val="22"/>
                <w:szCs w:val="22"/>
              </w:rPr>
              <w:t xml:space="preserve"> MSAC advised that</w:t>
            </w:r>
            <w:r w:rsidRPr="00ED6B28">
              <w:rPr>
                <w:rFonts w:ascii="Franklin Gothic Book" w:hAnsi="Franklin Gothic Book"/>
                <w:sz w:val="22"/>
                <w:szCs w:val="22"/>
              </w:rPr>
              <w:t xml:space="preserve"> the application </w:t>
            </w:r>
            <w:r w:rsidR="005A776E">
              <w:rPr>
                <w:rFonts w:ascii="Franklin Gothic Book" w:hAnsi="Franklin Gothic Book"/>
                <w:sz w:val="22"/>
                <w:szCs w:val="22"/>
              </w:rPr>
              <w:t>could be improved with</w:t>
            </w:r>
            <w:r w:rsidR="005A776E" w:rsidRPr="00ED6B28">
              <w:rPr>
                <w:rFonts w:ascii="Franklin Gothic Book" w:hAnsi="Franklin Gothic Book"/>
                <w:sz w:val="22"/>
                <w:szCs w:val="22"/>
              </w:rPr>
              <w:t xml:space="preserve"> </w:t>
            </w:r>
            <w:r w:rsidRPr="00ED6B28">
              <w:rPr>
                <w:rFonts w:ascii="Franklin Gothic Book" w:hAnsi="Franklin Gothic Book"/>
                <w:sz w:val="22"/>
                <w:szCs w:val="22"/>
              </w:rPr>
              <w:t xml:space="preserve">revisions, including incorporation and evaluation of new evidence </w:t>
            </w:r>
            <w:r w:rsidR="005A776E">
              <w:rPr>
                <w:rFonts w:ascii="Franklin Gothic Book" w:hAnsi="Franklin Gothic Book"/>
                <w:sz w:val="22"/>
                <w:szCs w:val="22"/>
              </w:rPr>
              <w:t xml:space="preserve">that was </w:t>
            </w:r>
            <w:r w:rsidRPr="00ED6B28">
              <w:rPr>
                <w:rFonts w:ascii="Franklin Gothic Book" w:hAnsi="Franklin Gothic Book"/>
                <w:sz w:val="22"/>
                <w:szCs w:val="22"/>
              </w:rPr>
              <w:t xml:space="preserve">submitted late </w:t>
            </w:r>
            <w:r w:rsidR="005A776E">
              <w:rPr>
                <w:rFonts w:ascii="Franklin Gothic Book" w:hAnsi="Franklin Gothic Book"/>
                <w:sz w:val="22"/>
                <w:szCs w:val="22"/>
              </w:rPr>
              <w:t xml:space="preserve">in the process, as well as </w:t>
            </w:r>
            <w:r w:rsidR="00E726C4">
              <w:rPr>
                <w:rFonts w:ascii="Franklin Gothic Book" w:hAnsi="Franklin Gothic Book"/>
                <w:sz w:val="22"/>
                <w:szCs w:val="22"/>
              </w:rPr>
              <w:t xml:space="preserve">changes in </w:t>
            </w:r>
            <w:r w:rsidR="00C25DC9">
              <w:rPr>
                <w:rFonts w:ascii="Franklin Gothic Book" w:hAnsi="Franklin Gothic Book"/>
                <w:sz w:val="22"/>
                <w:szCs w:val="22"/>
              </w:rPr>
              <w:t xml:space="preserve">how the </w:t>
            </w:r>
            <w:r w:rsidR="004E2D80">
              <w:rPr>
                <w:rFonts w:ascii="Franklin Gothic Book" w:hAnsi="Franklin Gothic Book"/>
                <w:sz w:val="22"/>
                <w:szCs w:val="22"/>
              </w:rPr>
              <w:t xml:space="preserve">health </w:t>
            </w:r>
            <w:r w:rsidR="00C25DC9">
              <w:rPr>
                <w:rFonts w:ascii="Franklin Gothic Book" w:hAnsi="Franklin Gothic Book"/>
                <w:sz w:val="22"/>
                <w:szCs w:val="22"/>
              </w:rPr>
              <w:t xml:space="preserve">benefit </w:t>
            </w:r>
            <w:r w:rsidR="00E726C4">
              <w:rPr>
                <w:rFonts w:ascii="Franklin Gothic Book" w:hAnsi="Franklin Gothic Book"/>
                <w:sz w:val="22"/>
                <w:szCs w:val="22"/>
              </w:rPr>
              <w:t>i</w:t>
            </w:r>
            <w:r w:rsidR="00C25DC9">
              <w:rPr>
                <w:rFonts w:ascii="Franklin Gothic Book" w:hAnsi="Franklin Gothic Book"/>
                <w:sz w:val="22"/>
                <w:szCs w:val="22"/>
              </w:rPr>
              <w:t>s measured</w:t>
            </w:r>
            <w:r w:rsidR="003C7E8B">
              <w:rPr>
                <w:rFonts w:ascii="Franklin Gothic Book" w:hAnsi="Franklin Gothic Book"/>
                <w:sz w:val="22"/>
                <w:szCs w:val="22"/>
              </w:rPr>
              <w:t xml:space="preserve"> and analysed</w:t>
            </w:r>
            <w:r w:rsidRPr="00ED6B28">
              <w:rPr>
                <w:rFonts w:ascii="Franklin Gothic Book" w:hAnsi="Franklin Gothic Book"/>
                <w:sz w:val="22"/>
                <w:szCs w:val="22"/>
              </w:rPr>
              <w:t xml:space="preserve">. MSAC noted the high and uncertain </w:t>
            </w:r>
            <w:r w:rsidR="004E2D80">
              <w:rPr>
                <w:rFonts w:ascii="Franklin Gothic Book" w:hAnsi="Franklin Gothic Book"/>
                <w:sz w:val="22"/>
                <w:szCs w:val="22"/>
              </w:rPr>
              <w:t>cost of the treatment</w:t>
            </w:r>
            <w:r w:rsidRPr="00ED6B28">
              <w:rPr>
                <w:rFonts w:ascii="Franklin Gothic Book" w:hAnsi="Franklin Gothic Book"/>
                <w:sz w:val="22"/>
                <w:szCs w:val="22"/>
              </w:rPr>
              <w:t xml:space="preserve">, and </w:t>
            </w:r>
            <w:r w:rsidR="004E2D80">
              <w:rPr>
                <w:rFonts w:ascii="Franklin Gothic Book" w:hAnsi="Franklin Gothic Book"/>
                <w:sz w:val="22"/>
                <w:szCs w:val="22"/>
              </w:rPr>
              <w:t xml:space="preserve">that no measures to mitigate the high cost or uncertainty </w:t>
            </w:r>
            <w:r w:rsidRPr="00ED6B28">
              <w:rPr>
                <w:rFonts w:ascii="Franklin Gothic Book" w:hAnsi="Franklin Gothic Book"/>
                <w:sz w:val="22"/>
                <w:szCs w:val="22"/>
              </w:rPr>
              <w:t>were proposed for consideration by MSAC.</w:t>
            </w:r>
          </w:p>
          <w:p w14:paraId="571193B7" w14:textId="3F9590BF" w:rsidR="00ED6B28" w:rsidRPr="00ED6B28" w:rsidRDefault="00ED6B28" w:rsidP="00031CAC">
            <w:pPr>
              <w:spacing w:before="240"/>
              <w:rPr>
                <w:rFonts w:ascii="Franklin Gothic Book" w:hAnsi="Franklin Gothic Book"/>
                <w:sz w:val="22"/>
                <w:szCs w:val="22"/>
              </w:rPr>
            </w:pPr>
            <w:r w:rsidRPr="00ED6B28">
              <w:rPr>
                <w:rFonts w:ascii="Franklin Gothic Book" w:hAnsi="Franklin Gothic Book"/>
                <w:sz w:val="22"/>
                <w:szCs w:val="22"/>
              </w:rPr>
              <w:t>MSAC also noted the</w:t>
            </w:r>
            <w:r w:rsidR="00DA2589">
              <w:rPr>
                <w:rFonts w:ascii="Franklin Gothic Book" w:hAnsi="Franklin Gothic Book"/>
                <w:sz w:val="22"/>
                <w:szCs w:val="22"/>
              </w:rPr>
              <w:t xml:space="preserve"> four submissions from</w:t>
            </w:r>
            <w:r w:rsidRPr="00ED6B28">
              <w:rPr>
                <w:rFonts w:ascii="Franklin Gothic Book" w:hAnsi="Franklin Gothic Book"/>
                <w:sz w:val="22"/>
                <w:szCs w:val="22"/>
              </w:rPr>
              <w:t xml:space="preserve"> </w:t>
            </w:r>
            <w:r w:rsidR="00675BCC">
              <w:rPr>
                <w:rFonts w:ascii="Franklin Gothic Book" w:hAnsi="Franklin Gothic Book"/>
                <w:sz w:val="22"/>
                <w:szCs w:val="22"/>
              </w:rPr>
              <w:t>S</w:t>
            </w:r>
            <w:r w:rsidR="00675BCC" w:rsidRPr="00ED6B28">
              <w:rPr>
                <w:rFonts w:ascii="Franklin Gothic Book" w:hAnsi="Franklin Gothic Book"/>
                <w:sz w:val="22"/>
                <w:szCs w:val="22"/>
              </w:rPr>
              <w:t xml:space="preserve">tates </w:t>
            </w:r>
            <w:r w:rsidRPr="00ED6B28">
              <w:rPr>
                <w:rFonts w:ascii="Franklin Gothic Book" w:hAnsi="Franklin Gothic Book"/>
                <w:sz w:val="22"/>
                <w:szCs w:val="22"/>
              </w:rPr>
              <w:t xml:space="preserve">and </w:t>
            </w:r>
            <w:r w:rsidR="00675BCC">
              <w:rPr>
                <w:rFonts w:ascii="Franklin Gothic Book" w:hAnsi="Franklin Gothic Book"/>
                <w:sz w:val="22"/>
                <w:szCs w:val="22"/>
              </w:rPr>
              <w:t>T</w:t>
            </w:r>
            <w:r w:rsidR="00675BCC" w:rsidRPr="00ED6B28">
              <w:rPr>
                <w:rFonts w:ascii="Franklin Gothic Book" w:hAnsi="Franklin Gothic Book"/>
                <w:sz w:val="22"/>
                <w:szCs w:val="22"/>
              </w:rPr>
              <w:t xml:space="preserve">erritories </w:t>
            </w:r>
            <w:r w:rsidRPr="00ED6B28">
              <w:rPr>
                <w:rFonts w:ascii="Franklin Gothic Book" w:hAnsi="Franklin Gothic Book"/>
                <w:sz w:val="22"/>
                <w:szCs w:val="22"/>
              </w:rPr>
              <w:t>were not supportive of the application as joint funders of this highly specialised therapy via the National Health Reform Agreement.</w:t>
            </w:r>
          </w:p>
          <w:p w14:paraId="585CBE1A" w14:textId="4F88412F" w:rsidR="00ED6B28" w:rsidRPr="00ED6B28" w:rsidRDefault="00ED6B28" w:rsidP="00F51C7B">
            <w:pPr>
              <w:pStyle w:val="Heading3"/>
              <w:rPr>
                <w:rFonts w:ascii="Franklin Gothic Book" w:hAnsi="Franklin Gothic Book"/>
                <w:b/>
                <w:bCs/>
              </w:rPr>
            </w:pPr>
            <w:r w:rsidRPr="00ED6B28">
              <w:rPr>
                <w:rFonts w:ascii="Franklin Gothic Book" w:hAnsi="Franklin Gothic Book"/>
                <w:b/>
                <w:bCs/>
              </w:rPr>
              <w:t xml:space="preserve">MSAC’s advice to the </w:t>
            </w:r>
            <w:proofErr w:type="gramStart"/>
            <w:r w:rsidRPr="00ED6B28">
              <w:rPr>
                <w:rFonts w:ascii="Franklin Gothic Book" w:hAnsi="Franklin Gothic Book"/>
                <w:b/>
                <w:bCs/>
              </w:rPr>
              <w:t>Commonwealth Minister</w:t>
            </w:r>
            <w:proofErr w:type="gramEnd"/>
            <w:r w:rsidRPr="00ED6B28">
              <w:rPr>
                <w:rFonts w:ascii="Franklin Gothic Book" w:hAnsi="Franklin Gothic Book"/>
                <w:b/>
                <w:bCs/>
              </w:rPr>
              <w:t xml:space="preserve"> for Health</w:t>
            </w:r>
            <w:r w:rsidR="008C6AC5">
              <w:rPr>
                <w:rFonts w:ascii="Franklin Gothic Book" w:hAnsi="Franklin Gothic Book"/>
                <w:b/>
                <w:bCs/>
              </w:rPr>
              <w:t xml:space="preserve"> and Aged Care</w:t>
            </w:r>
          </w:p>
          <w:p w14:paraId="78F5D77D" w14:textId="2CD8C70A" w:rsidR="00ED6B28" w:rsidRPr="00ED6B28" w:rsidRDefault="00ED6B28" w:rsidP="00F51C7B">
            <w:pPr>
              <w:rPr>
                <w:rFonts w:ascii="Franklin Gothic Book" w:hAnsi="Franklin Gothic Book"/>
                <w:sz w:val="22"/>
                <w:szCs w:val="22"/>
              </w:rPr>
            </w:pPr>
            <w:r w:rsidRPr="00ED6B28">
              <w:rPr>
                <w:rFonts w:ascii="Franklin Gothic Book" w:hAnsi="Franklin Gothic Book"/>
                <w:sz w:val="22"/>
                <w:szCs w:val="22"/>
              </w:rPr>
              <w:t xml:space="preserve">MSAC did not support public funding of axicabtagene ciloleucel for the treatment of relapsed or refractory large B-cell lymphoma </w:t>
            </w:r>
            <w:r w:rsidR="00AA1AC7">
              <w:rPr>
                <w:rFonts w:ascii="Franklin Gothic Book" w:hAnsi="Franklin Gothic Book"/>
                <w:sz w:val="22"/>
                <w:szCs w:val="22"/>
              </w:rPr>
              <w:t>as</w:t>
            </w:r>
            <w:r w:rsidRPr="00ED6B28">
              <w:rPr>
                <w:rFonts w:ascii="Franklin Gothic Book" w:hAnsi="Franklin Gothic Book"/>
                <w:sz w:val="22"/>
                <w:szCs w:val="22"/>
              </w:rPr>
              <w:t xml:space="preserve"> second-line </w:t>
            </w:r>
            <w:r w:rsidR="00AA1AC7">
              <w:rPr>
                <w:rFonts w:ascii="Franklin Gothic Book" w:hAnsi="Franklin Gothic Book"/>
                <w:sz w:val="22"/>
                <w:szCs w:val="22"/>
              </w:rPr>
              <w:t>therapy</w:t>
            </w:r>
            <w:r w:rsidRPr="00ED6B28">
              <w:rPr>
                <w:rFonts w:ascii="Franklin Gothic Book" w:hAnsi="Franklin Gothic Book"/>
                <w:sz w:val="22"/>
                <w:szCs w:val="22"/>
              </w:rPr>
              <w:t>. MSAC considered that</w:t>
            </w:r>
            <w:r w:rsidR="00600ED4">
              <w:rPr>
                <w:rFonts w:ascii="Franklin Gothic Book" w:hAnsi="Franklin Gothic Book"/>
                <w:sz w:val="22"/>
                <w:szCs w:val="22"/>
              </w:rPr>
              <w:t xml:space="preserve"> from the evidence presented,</w:t>
            </w:r>
            <w:r w:rsidRPr="00ED6B28">
              <w:rPr>
                <w:rFonts w:ascii="Franklin Gothic Book" w:hAnsi="Franklin Gothic Book"/>
                <w:sz w:val="22"/>
                <w:szCs w:val="22"/>
              </w:rPr>
              <w:t xml:space="preserve"> </w:t>
            </w:r>
            <w:r w:rsidR="00272553">
              <w:rPr>
                <w:rFonts w:ascii="Franklin Gothic Book" w:hAnsi="Franklin Gothic Book"/>
                <w:sz w:val="22"/>
                <w:szCs w:val="22"/>
              </w:rPr>
              <w:t xml:space="preserve">the benefit of treatment </w:t>
            </w:r>
            <w:r w:rsidR="00353213">
              <w:rPr>
                <w:rFonts w:ascii="Franklin Gothic Book" w:hAnsi="Franklin Gothic Book"/>
                <w:sz w:val="22"/>
                <w:szCs w:val="22"/>
              </w:rPr>
              <w:t>i</w:t>
            </w:r>
            <w:r w:rsidR="00272553">
              <w:rPr>
                <w:rFonts w:ascii="Franklin Gothic Book" w:hAnsi="Franklin Gothic Book"/>
                <w:sz w:val="22"/>
                <w:szCs w:val="22"/>
              </w:rPr>
              <w:t xml:space="preserve">s uncertain and </w:t>
            </w:r>
            <w:r w:rsidRPr="00ED6B28">
              <w:rPr>
                <w:rFonts w:ascii="Franklin Gothic Book" w:hAnsi="Franklin Gothic Book"/>
                <w:sz w:val="22"/>
                <w:szCs w:val="22"/>
              </w:rPr>
              <w:t xml:space="preserve">there </w:t>
            </w:r>
            <w:r w:rsidR="00353213">
              <w:rPr>
                <w:rFonts w:ascii="Franklin Gothic Book" w:hAnsi="Franklin Gothic Book"/>
                <w:sz w:val="22"/>
                <w:szCs w:val="22"/>
              </w:rPr>
              <w:t>a</w:t>
            </w:r>
            <w:r w:rsidR="00353213" w:rsidRPr="00ED6B28">
              <w:rPr>
                <w:rFonts w:ascii="Franklin Gothic Book" w:hAnsi="Franklin Gothic Book"/>
                <w:sz w:val="22"/>
                <w:szCs w:val="22"/>
              </w:rPr>
              <w:t xml:space="preserve">re </w:t>
            </w:r>
            <w:r w:rsidRPr="00ED6B28">
              <w:rPr>
                <w:rFonts w:ascii="Franklin Gothic Book" w:hAnsi="Franklin Gothic Book"/>
                <w:sz w:val="22"/>
                <w:szCs w:val="22"/>
              </w:rPr>
              <w:t>safety issues</w:t>
            </w:r>
            <w:r w:rsidR="00272553">
              <w:rPr>
                <w:rFonts w:ascii="Franklin Gothic Book" w:hAnsi="Franklin Gothic Book"/>
                <w:sz w:val="22"/>
                <w:szCs w:val="22"/>
              </w:rPr>
              <w:t xml:space="preserve"> compared to current treatments.</w:t>
            </w:r>
            <w:r w:rsidR="00580CF0">
              <w:rPr>
                <w:rFonts w:ascii="Franklin Gothic Book" w:hAnsi="Franklin Gothic Book"/>
                <w:sz w:val="22"/>
                <w:szCs w:val="22"/>
              </w:rPr>
              <w:t xml:space="preserve"> MSAC advised that further evaluation </w:t>
            </w:r>
            <w:r w:rsidR="00353213">
              <w:rPr>
                <w:rFonts w:ascii="Franklin Gothic Book" w:hAnsi="Franklin Gothic Book"/>
                <w:sz w:val="22"/>
                <w:szCs w:val="22"/>
              </w:rPr>
              <w:t>i</w:t>
            </w:r>
            <w:r w:rsidR="00580CF0">
              <w:rPr>
                <w:rFonts w:ascii="Franklin Gothic Book" w:hAnsi="Franklin Gothic Book"/>
                <w:sz w:val="22"/>
                <w:szCs w:val="22"/>
              </w:rPr>
              <w:t xml:space="preserve">s needed of new data </w:t>
            </w:r>
            <w:r w:rsidR="003B24A8">
              <w:rPr>
                <w:rFonts w:ascii="Franklin Gothic Book" w:hAnsi="Franklin Gothic Book"/>
                <w:sz w:val="22"/>
                <w:szCs w:val="22"/>
              </w:rPr>
              <w:t>that is now available</w:t>
            </w:r>
            <w:r w:rsidR="00580CF0">
              <w:rPr>
                <w:rFonts w:ascii="Franklin Gothic Book" w:hAnsi="Franklin Gothic Book"/>
                <w:sz w:val="22"/>
                <w:szCs w:val="22"/>
              </w:rPr>
              <w:t xml:space="preserve"> as well as adjustments to the analysis</w:t>
            </w:r>
            <w:r w:rsidR="00984389">
              <w:rPr>
                <w:rFonts w:ascii="Franklin Gothic Book" w:hAnsi="Franklin Gothic Book"/>
                <w:sz w:val="22"/>
                <w:szCs w:val="22"/>
              </w:rPr>
              <w:t xml:space="preserve"> to better inform its consideration</w:t>
            </w:r>
            <w:r w:rsidRPr="00ED6B28">
              <w:rPr>
                <w:rFonts w:ascii="Franklin Gothic Book" w:hAnsi="Franklin Gothic Book"/>
                <w:sz w:val="22"/>
                <w:szCs w:val="22"/>
              </w:rPr>
              <w:t>.</w:t>
            </w:r>
          </w:p>
        </w:tc>
      </w:tr>
    </w:tbl>
    <w:p w14:paraId="57147BF4" w14:textId="6B927574" w:rsidR="009F08B4" w:rsidRDefault="009F08B4" w:rsidP="009F08B4">
      <w:pPr>
        <w:pStyle w:val="Heading2"/>
        <w:numPr>
          <w:ilvl w:val="0"/>
          <w:numId w:val="0"/>
        </w:numPr>
      </w:pPr>
      <w:r>
        <w:t>3.</w:t>
      </w:r>
      <w:r>
        <w:tab/>
        <w:t>Summary of consideration and rationale for MSAC’s advice</w:t>
      </w:r>
    </w:p>
    <w:p w14:paraId="3D59F831" w14:textId="39847689" w:rsidR="00541D2B" w:rsidRPr="00541D2B" w:rsidRDefault="00541D2B" w:rsidP="00541D2B">
      <w:pPr>
        <w:rPr>
          <w:rFonts w:ascii="Franklin Gothic Book" w:hAnsi="Franklin Gothic Book"/>
          <w:sz w:val="22"/>
          <w:szCs w:val="22"/>
        </w:rPr>
      </w:pPr>
      <w:bookmarkStart w:id="4" w:name="_Toc69491416"/>
      <w:bookmarkEnd w:id="3"/>
      <w:r w:rsidRPr="00541D2B">
        <w:rPr>
          <w:rFonts w:ascii="Franklin Gothic Book" w:hAnsi="Franklin Gothic Book"/>
          <w:sz w:val="22"/>
          <w:szCs w:val="22"/>
        </w:rPr>
        <w:t xml:space="preserve">MSAC noted that this application is from Gilead Sciences Pty Limited for the chimeric antigen receptor-T (CAR-T) cell therapy, axicabtagene ciloleucel (YESCARTA®), referred to as AXI, for the treatment of relapsed or refractory (r/r) LBCL in the 2L setting. The application seeks joint funding by the Commonwealth and states and territories through the High Cost, Highly </w:t>
      </w:r>
      <w:r w:rsidRPr="00541D2B">
        <w:rPr>
          <w:rFonts w:ascii="Franklin Gothic Book" w:hAnsi="Franklin Gothic Book"/>
          <w:sz w:val="22"/>
          <w:szCs w:val="22"/>
        </w:rPr>
        <w:lastRenderedPageBreak/>
        <w:t>Specialised Therapy arrangements included in the National Health Reform Agreement (NHRA) Addendum 2020–25.</w:t>
      </w:r>
    </w:p>
    <w:p w14:paraId="3F93419F" w14:textId="400A3901" w:rsidR="00541D2B" w:rsidRPr="00541D2B" w:rsidRDefault="00541D2B" w:rsidP="009F2BA8">
      <w:pPr>
        <w:spacing w:before="240"/>
        <w:rPr>
          <w:rStyle w:val="eop"/>
          <w:rFonts w:ascii="Franklin Gothic Book" w:eastAsiaTheme="majorEastAsia" w:hAnsi="Franklin Gothic Book"/>
          <w:color w:val="000000"/>
          <w:sz w:val="22"/>
          <w:szCs w:val="22"/>
          <w:shd w:val="clear" w:color="auto" w:fill="FFFFFF"/>
        </w:rPr>
      </w:pPr>
      <w:r w:rsidRPr="00541D2B">
        <w:rPr>
          <w:rFonts w:ascii="Franklin Gothic Book" w:hAnsi="Franklin Gothic Book"/>
          <w:sz w:val="22"/>
          <w:szCs w:val="22"/>
        </w:rPr>
        <w:t xml:space="preserve">MSAC noted that </w:t>
      </w:r>
      <w:r w:rsidRPr="00541D2B">
        <w:rPr>
          <w:rStyle w:val="normaltextrun"/>
          <w:rFonts w:ascii="Franklin Gothic Book" w:eastAsiaTheme="majorEastAsia" w:hAnsi="Franklin Gothic Book"/>
          <w:color w:val="000000"/>
          <w:sz w:val="22"/>
          <w:szCs w:val="22"/>
          <w:shd w:val="clear" w:color="auto" w:fill="FFFFFF"/>
        </w:rPr>
        <w:t xml:space="preserve">AXI has recently been approved for usage in this 2L setting by the Therapeutic Goods Administration (TGA). MSAC noted that AXI is also currently funded in the </w:t>
      </w:r>
      <w:proofErr w:type="gramStart"/>
      <w:r w:rsidRPr="00541D2B">
        <w:rPr>
          <w:rStyle w:val="normaltextrun"/>
          <w:rFonts w:ascii="Franklin Gothic Book" w:eastAsiaTheme="majorEastAsia" w:hAnsi="Franklin Gothic Book"/>
          <w:color w:val="000000"/>
          <w:sz w:val="22"/>
          <w:szCs w:val="22"/>
          <w:shd w:val="clear" w:color="auto" w:fill="FFFFFF"/>
        </w:rPr>
        <w:t>third-line</w:t>
      </w:r>
      <w:proofErr w:type="gramEnd"/>
      <w:r w:rsidRPr="00541D2B">
        <w:rPr>
          <w:rStyle w:val="normaltextrun"/>
          <w:rFonts w:ascii="Franklin Gothic Book" w:eastAsiaTheme="majorEastAsia" w:hAnsi="Franklin Gothic Book"/>
          <w:color w:val="000000"/>
          <w:sz w:val="22"/>
          <w:szCs w:val="22"/>
          <w:shd w:val="clear" w:color="auto" w:fill="FFFFFF"/>
        </w:rPr>
        <w:t xml:space="preserve"> (3L) setting through the NHRA for the treatment of r/r diffuse large B-cell lymphoma (DLBCL), transformed follicular lymphoma (TFL) and primary mediastinal B-cell lymphoma (PMBCL).</w:t>
      </w:r>
    </w:p>
    <w:p w14:paraId="0F495817" w14:textId="3449733B" w:rsidR="00541D2B" w:rsidRPr="00541D2B" w:rsidRDefault="00541D2B" w:rsidP="009F2BA8">
      <w:pPr>
        <w:spacing w:before="240"/>
        <w:rPr>
          <w:rFonts w:ascii="Franklin Gothic Book" w:hAnsi="Franklin Gothic Book"/>
          <w:sz w:val="22"/>
          <w:szCs w:val="22"/>
        </w:rPr>
      </w:pPr>
      <w:r w:rsidRPr="00541D2B">
        <w:rPr>
          <w:rFonts w:ascii="Franklin Gothic Book" w:hAnsi="Franklin Gothic Book"/>
          <w:sz w:val="22"/>
          <w:szCs w:val="22"/>
        </w:rPr>
        <w:t xml:space="preserve">MSAC noted that it is due to consider a review of the first CAR-T therapy (tisagenlecleucel for paediatric acute lymphocytic leukemia) at its July 2023 meeting; this will be the first review of any CAR-T therapy that has been recommended for public subsidy in Australia. MSAC considered that, despite being for a different patient population, there may be merit to this review being completed prior to any recommendations for AXI being made, as key information pertaining to the </w:t>
      </w:r>
      <w:proofErr w:type="gramStart"/>
      <w:r w:rsidR="00A46E18">
        <w:rPr>
          <w:rFonts w:ascii="Franklin Gothic Book" w:hAnsi="Franklin Gothic Book"/>
          <w:sz w:val="22"/>
          <w:szCs w:val="22"/>
        </w:rPr>
        <w:t>real world</w:t>
      </w:r>
      <w:proofErr w:type="gramEnd"/>
      <w:r w:rsidR="00A46E18">
        <w:rPr>
          <w:rFonts w:ascii="Franklin Gothic Book" w:hAnsi="Franklin Gothic Book"/>
          <w:sz w:val="22"/>
          <w:szCs w:val="22"/>
        </w:rPr>
        <w:t xml:space="preserve"> cost</w:t>
      </w:r>
      <w:r w:rsidRPr="00541D2B">
        <w:rPr>
          <w:rFonts w:ascii="Franklin Gothic Book" w:hAnsi="Franklin Gothic Book"/>
          <w:sz w:val="22"/>
          <w:szCs w:val="22"/>
        </w:rPr>
        <w:t xml:space="preserve"> of CAR-T therapies would be expected to be informative.</w:t>
      </w:r>
    </w:p>
    <w:p w14:paraId="0BC53058" w14:textId="77777777" w:rsidR="00541D2B" w:rsidRPr="00541D2B" w:rsidRDefault="00541D2B" w:rsidP="009F2BA8">
      <w:pPr>
        <w:spacing w:before="240"/>
        <w:rPr>
          <w:rFonts w:ascii="Franklin Gothic Book" w:hAnsi="Franklin Gothic Book"/>
          <w:sz w:val="22"/>
          <w:szCs w:val="22"/>
        </w:rPr>
      </w:pPr>
      <w:r w:rsidRPr="00541D2B">
        <w:rPr>
          <w:rFonts w:ascii="Franklin Gothic Book" w:hAnsi="Franklin Gothic Book"/>
          <w:sz w:val="22"/>
          <w:szCs w:val="22"/>
        </w:rPr>
        <w:t>MSAC noted that there is no ratified PICO confirmation as this application bypassed PASC. The applicant-developed assessment report (ADAR) appropriately addressed the population requirements of the proposed PICO but did not propose clear eligibility criteria for treatment to better define the proportion of patients who would be expected to be treated with AXI in the 2L setting.</w:t>
      </w:r>
    </w:p>
    <w:p w14:paraId="26DC461C" w14:textId="3EEA4AF6" w:rsidR="00541D2B" w:rsidRPr="00541D2B" w:rsidRDefault="00541D2B" w:rsidP="009F2BA8">
      <w:pPr>
        <w:spacing w:before="240"/>
        <w:rPr>
          <w:rFonts w:ascii="Franklin Gothic Book" w:hAnsi="Franklin Gothic Book"/>
          <w:sz w:val="22"/>
          <w:szCs w:val="22"/>
        </w:rPr>
      </w:pPr>
      <w:r w:rsidRPr="00541D2B">
        <w:rPr>
          <w:rFonts w:ascii="Franklin Gothic Book" w:hAnsi="Franklin Gothic Book"/>
          <w:sz w:val="22"/>
          <w:szCs w:val="22"/>
        </w:rPr>
        <w:t>MSAC recognised the clinical need for the proposed treatment in this population. The application stated that 6,400 people were diagnosed with non-Hodgkin’s lymphoma in 2021</w:t>
      </w:r>
      <w:r w:rsidRPr="00541D2B">
        <w:rPr>
          <w:rFonts w:ascii="Arial" w:hAnsi="Arial" w:cs="Arial"/>
          <w:sz w:val="22"/>
          <w:szCs w:val="22"/>
        </w:rPr>
        <w:t>​</w:t>
      </w:r>
      <w:r w:rsidRPr="00541D2B">
        <w:rPr>
          <w:rFonts w:ascii="Franklin Gothic Book" w:hAnsi="Franklin Gothic Book"/>
          <w:sz w:val="22"/>
          <w:szCs w:val="22"/>
        </w:rPr>
        <w:t xml:space="preserve"> and it is estimated that approximately 2,500 cases of LBCL are diagnosed each year</w:t>
      </w:r>
      <w:r w:rsidRPr="00541D2B">
        <w:rPr>
          <w:rFonts w:ascii="Arial" w:hAnsi="Arial" w:cs="Arial"/>
          <w:sz w:val="22"/>
          <w:szCs w:val="22"/>
        </w:rPr>
        <w:t>​</w:t>
      </w:r>
      <w:r w:rsidRPr="00541D2B">
        <w:rPr>
          <w:rFonts w:ascii="Franklin Gothic Book" w:hAnsi="Franklin Gothic Book"/>
          <w:sz w:val="22"/>
          <w:szCs w:val="22"/>
        </w:rPr>
        <w:t>. Of those, approximately 1,000 patients per year will not achieve long-term remission</w:t>
      </w:r>
      <w:r w:rsidRPr="00541D2B">
        <w:rPr>
          <w:rFonts w:ascii="Arial" w:hAnsi="Arial" w:cs="Arial"/>
          <w:sz w:val="22"/>
          <w:szCs w:val="22"/>
        </w:rPr>
        <w:t>​</w:t>
      </w:r>
      <w:r w:rsidRPr="00541D2B">
        <w:rPr>
          <w:rFonts w:ascii="Franklin Gothic Book" w:hAnsi="Franklin Gothic Book"/>
          <w:sz w:val="22"/>
          <w:szCs w:val="22"/>
        </w:rPr>
        <w:t xml:space="preserve">, and </w:t>
      </w:r>
      <w:r w:rsidR="002610F9" w:rsidRPr="00D14DA0">
        <w:rPr>
          <w:rFonts w:ascii="Franklin Gothic Book" w:hAnsi="Franklin Gothic Book"/>
          <w:color w:val="000000"/>
          <w:w w:val="66"/>
          <w:sz w:val="22"/>
          <w:szCs w:val="22"/>
          <w:shd w:val="solid" w:color="000000" w:fill="000000"/>
          <w:fitText w:val="440" w:id="-1217620480"/>
          <w14:textFill>
            <w14:solidFill>
              <w14:srgbClr w14:val="000000">
                <w14:alpha w14:val="100000"/>
              </w14:srgbClr>
            </w14:solidFill>
          </w14:textFill>
        </w:rPr>
        <w:t>|||||</w:t>
      </w:r>
      <w:r w:rsidR="002610F9" w:rsidRPr="00D14DA0">
        <w:rPr>
          <w:rFonts w:ascii="Franklin Gothic Book" w:hAnsi="Franklin Gothic Book"/>
          <w:color w:val="000000"/>
          <w:spacing w:val="4"/>
          <w:w w:val="66"/>
          <w:sz w:val="22"/>
          <w:szCs w:val="22"/>
          <w:shd w:val="solid" w:color="000000" w:fill="000000"/>
          <w:fitText w:val="440" w:id="-1217620480"/>
          <w14:textFill>
            <w14:solidFill>
              <w14:srgbClr w14:val="000000">
                <w14:alpha w14:val="100000"/>
              </w14:srgbClr>
            </w14:solidFill>
          </w14:textFill>
        </w:rPr>
        <w:t>|</w:t>
      </w:r>
      <w:r w:rsidRPr="00541D2B">
        <w:rPr>
          <w:rFonts w:ascii="Franklin Gothic Book" w:hAnsi="Franklin Gothic Book"/>
          <w:sz w:val="22"/>
          <w:szCs w:val="22"/>
        </w:rPr>
        <w:t xml:space="preserve"> will be refractory or have relapse no more than 12 months after completion of 1L chemoimmunotherapy. However, MSAC noted that the figure in the ADAR of </w:t>
      </w:r>
      <w:r w:rsidR="002610F9" w:rsidRPr="002610F9">
        <w:rPr>
          <w:rFonts w:ascii="Franklin Gothic Book" w:hAnsi="Franklin Gothic Book"/>
          <w:color w:val="000000"/>
          <w:spacing w:val="8"/>
          <w:w w:val="60"/>
          <w:sz w:val="22"/>
          <w:szCs w:val="22"/>
          <w:shd w:val="solid" w:color="000000" w:fill="000000"/>
          <w:fitText w:val="440" w:id="-1217620479"/>
          <w14:textFill>
            <w14:solidFill>
              <w14:srgbClr w14:val="000000">
                <w14:alpha w14:val="100000"/>
              </w14:srgbClr>
            </w14:solidFill>
          </w14:textFill>
        </w:rPr>
        <w:t>|||||</w:t>
      </w:r>
      <w:r w:rsidR="002610F9" w:rsidRPr="002610F9">
        <w:rPr>
          <w:rFonts w:ascii="Franklin Gothic Book" w:hAnsi="Franklin Gothic Book"/>
          <w:color w:val="000000"/>
          <w:spacing w:val="5"/>
          <w:w w:val="60"/>
          <w:sz w:val="22"/>
          <w:szCs w:val="22"/>
          <w:shd w:val="solid" w:color="000000" w:fill="000000"/>
          <w:fitText w:val="440" w:id="-1217620479"/>
          <w14:textFill>
            <w14:solidFill>
              <w14:srgbClr w14:val="000000">
                <w14:alpha w14:val="100000"/>
              </w14:srgbClr>
            </w14:solidFill>
          </w14:textFill>
        </w:rPr>
        <w:t>|</w:t>
      </w:r>
      <w:r w:rsidRPr="00541D2B">
        <w:rPr>
          <w:rFonts w:ascii="Franklin Gothic Book" w:hAnsi="Franklin Gothic Book"/>
          <w:sz w:val="22"/>
          <w:szCs w:val="22"/>
        </w:rPr>
        <w:t xml:space="preserve"> of patients being refractory or who relapse no more than 12 months after completion of 1L treatment and who would be candidates for treatment with </w:t>
      </w:r>
      <w:r w:rsidR="00D23E2D">
        <w:rPr>
          <w:rFonts w:ascii="Franklin Gothic Book" w:hAnsi="Franklin Gothic Book"/>
          <w:sz w:val="22"/>
          <w:szCs w:val="22"/>
        </w:rPr>
        <w:t>AXI</w:t>
      </w:r>
      <w:r w:rsidRPr="00541D2B">
        <w:rPr>
          <w:rFonts w:ascii="Franklin Gothic Book" w:hAnsi="Franklin Gothic Book"/>
          <w:sz w:val="22"/>
          <w:szCs w:val="22"/>
        </w:rPr>
        <w:t xml:space="preserve"> has not been justified nor has any reference been provided.</w:t>
      </w:r>
    </w:p>
    <w:p w14:paraId="6B7A651B" w14:textId="0C54F697" w:rsidR="00541D2B" w:rsidRPr="00541D2B" w:rsidRDefault="00541D2B" w:rsidP="009F2BA8">
      <w:pPr>
        <w:spacing w:before="240"/>
        <w:rPr>
          <w:rFonts w:ascii="Franklin Gothic Book" w:hAnsi="Franklin Gothic Book"/>
          <w:sz w:val="22"/>
          <w:szCs w:val="22"/>
        </w:rPr>
      </w:pPr>
      <w:r w:rsidRPr="00541D2B">
        <w:rPr>
          <w:rFonts w:ascii="Franklin Gothic Book" w:hAnsi="Franklin Gothic Book"/>
          <w:sz w:val="22"/>
          <w:szCs w:val="22"/>
        </w:rPr>
        <w:t xml:space="preserve">MSAC noted that the ADAR was based on direct evidence from the randomised-controlled ZUMA-7 trial. This trial compared standard of care (SoC; n = 180 involving salvage chemotherapy and, in responders, high-dose therapy [HDT] with autologous stem cell transplantation [ASCT]) with AXI, (n = 179), in the 2L setting. Patients were permitted to receive a 3L CAR-T (AXI) upon disease progression in the SoC arm; a total of 100 participants (56%) received 3rd line CAR-T therapy after </w:t>
      </w:r>
      <w:proofErr w:type="spellStart"/>
      <w:r w:rsidRPr="00541D2B">
        <w:rPr>
          <w:rFonts w:ascii="Franklin Gothic Book" w:hAnsi="Franklin Gothic Book"/>
          <w:sz w:val="22"/>
          <w:szCs w:val="22"/>
        </w:rPr>
        <w:t>SoC.</w:t>
      </w:r>
      <w:proofErr w:type="spellEnd"/>
    </w:p>
    <w:p w14:paraId="51859AD8" w14:textId="73A7EDA6" w:rsidR="00541D2B" w:rsidRPr="00541D2B" w:rsidRDefault="00541D2B" w:rsidP="009F2BA8">
      <w:pPr>
        <w:spacing w:before="240"/>
        <w:rPr>
          <w:rFonts w:ascii="Franklin Gothic Book" w:hAnsi="Franklin Gothic Book"/>
          <w:sz w:val="22"/>
          <w:szCs w:val="22"/>
        </w:rPr>
      </w:pPr>
      <w:r w:rsidRPr="00541D2B">
        <w:rPr>
          <w:rFonts w:ascii="Franklin Gothic Book" w:hAnsi="Franklin Gothic Book"/>
          <w:sz w:val="22"/>
          <w:szCs w:val="22"/>
        </w:rPr>
        <w:t xml:space="preserve">MSAC noted that the evidence does not support the clinical claim that the use of AXI in patients with LBCL refractory to, or relapsed no more than 12 months after, completion of 1L treatment with chemoimmunotherapy results in noninferior safety compared with SoC (involving salvage chemotherapy and, in responders, HDT + auto-SCT). The adverse event (AE) profile of AXI in the ZUMA-7 trials was consistent with the profile observed in other studies of CAR T-Cell therapy in patients with relapsed or refractory LBCL. The frequency of AEs, including those of </w:t>
      </w:r>
      <w:r w:rsidR="005C2BD8">
        <w:rPr>
          <w:rFonts w:ascii="Franklin Gothic Book" w:hAnsi="Franklin Gothic Book"/>
          <w:sz w:val="22"/>
          <w:szCs w:val="22"/>
        </w:rPr>
        <w:t>G</w:t>
      </w:r>
      <w:r w:rsidRPr="00541D2B">
        <w:rPr>
          <w:rFonts w:ascii="Franklin Gothic Book" w:hAnsi="Franklin Gothic Book"/>
          <w:sz w:val="22"/>
          <w:szCs w:val="22"/>
        </w:rPr>
        <w:t>rade ≥ 3 and of serious AEs, was high in both the AXI and SoC arms of the trial (all patients experienced at least one treatment-emergent AE); however, it was higher in the AXI arm. Also, the AE profile differed between the two groups, with the incidence of cytokine release syndrome (CRS) and neurologic events being higher in the AXI group, and the incidence of febrile neutropenia being higher in the SoC group.</w:t>
      </w:r>
    </w:p>
    <w:p w14:paraId="0D9228D0" w14:textId="54880376" w:rsidR="00541D2B" w:rsidRPr="00541D2B" w:rsidRDefault="00541D2B" w:rsidP="009F2BA8">
      <w:pPr>
        <w:spacing w:before="240"/>
        <w:rPr>
          <w:rFonts w:ascii="Franklin Gothic Book" w:hAnsi="Franklin Gothic Book"/>
          <w:sz w:val="22"/>
          <w:szCs w:val="22"/>
        </w:rPr>
      </w:pPr>
      <w:r w:rsidRPr="00541D2B">
        <w:rPr>
          <w:rFonts w:ascii="Franklin Gothic Book" w:hAnsi="Franklin Gothic Book"/>
          <w:sz w:val="22"/>
          <w:szCs w:val="22"/>
        </w:rPr>
        <w:t xml:space="preserve">MSAC noted the pre-MSAC response from the applicant, which stated that although AEs such as neurologic events and CRS were observed more commonly in the AXI arm, febrile neutropenia was more prevalent in the SoC arm, and that overall, there was no statistically significant difference in the proportion of patients experiencing </w:t>
      </w:r>
      <w:r w:rsidR="005C2BD8">
        <w:rPr>
          <w:rFonts w:ascii="Franklin Gothic Book" w:hAnsi="Franklin Gothic Book"/>
          <w:sz w:val="22"/>
          <w:szCs w:val="22"/>
        </w:rPr>
        <w:t>G</w:t>
      </w:r>
      <w:r w:rsidRPr="00541D2B">
        <w:rPr>
          <w:rFonts w:ascii="Franklin Gothic Book" w:hAnsi="Franklin Gothic Book"/>
          <w:sz w:val="22"/>
          <w:szCs w:val="22"/>
        </w:rPr>
        <w:t xml:space="preserve">rade ≥ 3 serious AEs across both arms. The applicant also stated that improvement in management of AEs is evidenced in the updating of the Special Warnings section of approved Product Information for AXI, which now includes </w:t>
      </w:r>
      <w:r w:rsidRPr="00541D2B">
        <w:rPr>
          <w:rFonts w:ascii="Franklin Gothic Book" w:hAnsi="Franklin Gothic Book"/>
          <w:sz w:val="22"/>
          <w:szCs w:val="22"/>
        </w:rPr>
        <w:lastRenderedPageBreak/>
        <w:t>findings from cohorts 4 and 6 of the ZUMA-1 study that have resulted in revisions to the guidance on managing CRS and neurologic toxicity to reduce the severity of these events. The applicant also stated that the dossier for 3L+ AXI provided to the MSAC Secretariat show</w:t>
      </w:r>
      <w:r w:rsidR="00596611">
        <w:rPr>
          <w:rFonts w:ascii="Franklin Gothic Book" w:hAnsi="Franklin Gothic Book"/>
          <w:sz w:val="22"/>
          <w:szCs w:val="22"/>
        </w:rPr>
        <w:t>ed</w:t>
      </w:r>
      <w:r w:rsidRPr="00541D2B">
        <w:rPr>
          <w:rFonts w:ascii="Franklin Gothic Book" w:hAnsi="Franklin Gothic Book"/>
          <w:sz w:val="22"/>
          <w:szCs w:val="22"/>
        </w:rPr>
        <w:t xml:space="preserve"> that the rates of CRS and neurologic events in worldwide registries were similar or lower than the rates reported in the ZUMA-1 study. However, MSAC noted that the dossier</w:t>
      </w:r>
      <w:r w:rsidR="00D962C5">
        <w:rPr>
          <w:rFonts w:ascii="Franklin Gothic Book" w:hAnsi="Franklin Gothic Book"/>
          <w:sz w:val="22"/>
          <w:szCs w:val="22"/>
        </w:rPr>
        <w:t xml:space="preserve"> was not included</w:t>
      </w:r>
      <w:r w:rsidRPr="00541D2B">
        <w:rPr>
          <w:rFonts w:ascii="Franklin Gothic Book" w:hAnsi="Franklin Gothic Book"/>
          <w:sz w:val="22"/>
          <w:szCs w:val="22"/>
        </w:rPr>
        <w:t xml:space="preserve"> </w:t>
      </w:r>
      <w:r w:rsidR="006D588A">
        <w:rPr>
          <w:rFonts w:ascii="Franklin Gothic Book" w:hAnsi="Franklin Gothic Book"/>
          <w:sz w:val="22"/>
          <w:szCs w:val="22"/>
        </w:rPr>
        <w:t xml:space="preserve">as part of </w:t>
      </w:r>
      <w:r w:rsidR="001E1FF9">
        <w:rPr>
          <w:rFonts w:ascii="Franklin Gothic Book" w:hAnsi="Franklin Gothic Book"/>
          <w:sz w:val="22"/>
          <w:szCs w:val="22"/>
        </w:rPr>
        <w:t>the submitted ADAR</w:t>
      </w:r>
      <w:r w:rsidR="006D588A">
        <w:rPr>
          <w:rFonts w:ascii="Franklin Gothic Book" w:hAnsi="Franklin Gothic Book"/>
          <w:sz w:val="22"/>
          <w:szCs w:val="22"/>
        </w:rPr>
        <w:t xml:space="preserve"> for consideration</w:t>
      </w:r>
      <w:r w:rsidRPr="00541D2B">
        <w:rPr>
          <w:rFonts w:ascii="Franklin Gothic Book" w:hAnsi="Franklin Gothic Book"/>
          <w:sz w:val="22"/>
          <w:szCs w:val="22"/>
        </w:rPr>
        <w:t xml:space="preserve"> </w:t>
      </w:r>
      <w:r w:rsidR="001E1FF9">
        <w:rPr>
          <w:rFonts w:ascii="Franklin Gothic Book" w:hAnsi="Franklin Gothic Book"/>
          <w:sz w:val="22"/>
          <w:szCs w:val="22"/>
        </w:rPr>
        <w:t xml:space="preserve">at </w:t>
      </w:r>
      <w:r w:rsidRPr="00541D2B">
        <w:rPr>
          <w:rFonts w:ascii="Franklin Gothic Book" w:hAnsi="Franklin Gothic Book"/>
          <w:sz w:val="22"/>
          <w:szCs w:val="22"/>
        </w:rPr>
        <w:t>its March 2023 meeting.</w:t>
      </w:r>
    </w:p>
    <w:p w14:paraId="3B346CF5" w14:textId="23CC6769" w:rsidR="00541D2B" w:rsidRPr="00541D2B" w:rsidRDefault="00541D2B" w:rsidP="009F2BA8">
      <w:pPr>
        <w:spacing w:before="240"/>
        <w:rPr>
          <w:rFonts w:ascii="Franklin Gothic Book" w:hAnsi="Franklin Gothic Book"/>
          <w:sz w:val="22"/>
          <w:szCs w:val="22"/>
        </w:rPr>
      </w:pPr>
      <w:r w:rsidRPr="00541D2B">
        <w:rPr>
          <w:rFonts w:ascii="Franklin Gothic Book" w:hAnsi="Franklin Gothic Book"/>
          <w:sz w:val="22"/>
          <w:szCs w:val="22"/>
        </w:rPr>
        <w:t xml:space="preserve">MSAC noted that EFS was defined as the time from randomisation to the earliest date of disease progression per the Lugano Classification, commencement of new lymphoma therapy, or death from any cause. More than twice as many patients in the AXI arm compared with the SoC arm of the ZUMA-7 trial were still free of events at 24 months (40.5% vs 16.3%, respectively). Median EFS was 8.3 months for patients treated with AXI compared to only 2.0 months for patients treated with </w:t>
      </w:r>
      <w:proofErr w:type="spellStart"/>
      <w:r w:rsidRPr="00541D2B">
        <w:rPr>
          <w:rFonts w:ascii="Franklin Gothic Book" w:hAnsi="Franklin Gothic Book"/>
          <w:sz w:val="22"/>
          <w:szCs w:val="22"/>
        </w:rPr>
        <w:t>SoC.</w:t>
      </w:r>
      <w:proofErr w:type="spellEnd"/>
      <w:r w:rsidRPr="00541D2B">
        <w:rPr>
          <w:rFonts w:ascii="Franklin Gothic Book" w:hAnsi="Franklin Gothic Book"/>
          <w:sz w:val="22"/>
          <w:szCs w:val="22"/>
        </w:rPr>
        <w:t xml:space="preserve"> The difference in EFS across the two arms was statistically significant (HR: 0.398; 95% </w:t>
      </w:r>
      <w:r w:rsidR="007B0FAB">
        <w:rPr>
          <w:rFonts w:ascii="Franklin Gothic Book" w:hAnsi="Franklin Gothic Book"/>
          <w:sz w:val="22"/>
          <w:szCs w:val="22"/>
        </w:rPr>
        <w:t>confidence interval [</w:t>
      </w:r>
      <w:r w:rsidRPr="00541D2B">
        <w:rPr>
          <w:rFonts w:ascii="Franklin Gothic Book" w:hAnsi="Franklin Gothic Book"/>
          <w:sz w:val="22"/>
          <w:szCs w:val="22"/>
        </w:rPr>
        <w:t>CI</w:t>
      </w:r>
      <w:r w:rsidR="007B0FAB">
        <w:rPr>
          <w:rFonts w:ascii="Franklin Gothic Book" w:hAnsi="Franklin Gothic Book"/>
          <w:sz w:val="22"/>
          <w:szCs w:val="22"/>
        </w:rPr>
        <w:t>]</w:t>
      </w:r>
      <w:r w:rsidRPr="00541D2B">
        <w:rPr>
          <w:rFonts w:ascii="Franklin Gothic Book" w:hAnsi="Franklin Gothic Book"/>
          <w:sz w:val="22"/>
          <w:szCs w:val="22"/>
        </w:rPr>
        <w:t xml:space="preserve">: 0.308, 0.514). However, there were some early events in the SoC arm due to patients who commenced a new lymphoma therapy in the absence of any evaluable disease assessment being assessed as having an event at the randomisation date. Therefore, </w:t>
      </w:r>
      <w:r w:rsidR="000F2908">
        <w:rPr>
          <w:rFonts w:ascii="Franklin Gothic Book" w:hAnsi="Franklin Gothic Book"/>
          <w:sz w:val="22"/>
          <w:szCs w:val="22"/>
        </w:rPr>
        <w:t xml:space="preserve">MSAC considered that </w:t>
      </w:r>
      <w:r w:rsidRPr="00541D2B">
        <w:rPr>
          <w:rFonts w:ascii="Franklin Gothic Book" w:hAnsi="Franklin Gothic Book"/>
          <w:sz w:val="22"/>
          <w:szCs w:val="22"/>
        </w:rPr>
        <w:t>the endpoint of EFS is driven by “lymphoma treatment” and is heavily biased to favour the intervention.</w:t>
      </w:r>
    </w:p>
    <w:p w14:paraId="587DCED0" w14:textId="514A43FD" w:rsidR="00541D2B" w:rsidRDefault="00541D2B" w:rsidP="009F2BA8">
      <w:pPr>
        <w:spacing w:before="240"/>
        <w:rPr>
          <w:rFonts w:ascii="Franklin Gothic Book" w:hAnsi="Franklin Gothic Book"/>
          <w:sz w:val="22"/>
          <w:szCs w:val="22"/>
        </w:rPr>
      </w:pPr>
      <w:r w:rsidRPr="00541D2B">
        <w:rPr>
          <w:rFonts w:ascii="Franklin Gothic Book" w:hAnsi="Franklin Gothic Book"/>
          <w:sz w:val="22"/>
          <w:szCs w:val="22"/>
        </w:rPr>
        <w:t>MSAC noted that the long-term incremental benefit is highly uncertain as the</w:t>
      </w:r>
      <w:r w:rsidR="002673AB">
        <w:rPr>
          <w:rFonts w:ascii="Franklin Gothic Book" w:hAnsi="Franklin Gothic Book"/>
          <w:sz w:val="22"/>
          <w:szCs w:val="22"/>
        </w:rPr>
        <w:t xml:space="preserve"> ADAR did </w:t>
      </w:r>
      <w:r w:rsidR="0049047E">
        <w:rPr>
          <w:rFonts w:ascii="Franklin Gothic Book" w:hAnsi="Franklin Gothic Book"/>
          <w:sz w:val="22"/>
          <w:szCs w:val="22"/>
        </w:rPr>
        <w:t xml:space="preserve">not include </w:t>
      </w:r>
      <w:r w:rsidRPr="00541D2B">
        <w:rPr>
          <w:rFonts w:ascii="Franklin Gothic Book" w:hAnsi="Franklin Gothic Book"/>
          <w:sz w:val="22"/>
          <w:szCs w:val="22"/>
        </w:rPr>
        <w:t>data on survival beyond 2 years</w:t>
      </w:r>
      <w:r w:rsidR="00161237">
        <w:rPr>
          <w:rFonts w:ascii="Franklin Gothic Book" w:hAnsi="Franklin Gothic Book"/>
          <w:sz w:val="22"/>
          <w:szCs w:val="22"/>
        </w:rPr>
        <w:t xml:space="preserve">. </w:t>
      </w:r>
      <w:r w:rsidR="005B5785">
        <w:rPr>
          <w:rFonts w:ascii="Franklin Gothic Book" w:hAnsi="Franklin Gothic Book"/>
          <w:sz w:val="22"/>
          <w:szCs w:val="22"/>
        </w:rPr>
        <w:t xml:space="preserve">MSAC noted that </w:t>
      </w:r>
      <w:r w:rsidR="007A0FE6">
        <w:rPr>
          <w:rFonts w:ascii="Franklin Gothic Book" w:hAnsi="Franklin Gothic Book"/>
          <w:sz w:val="22"/>
          <w:szCs w:val="22"/>
        </w:rPr>
        <w:t xml:space="preserve">the updated </w:t>
      </w:r>
      <w:r w:rsidR="005E36A8">
        <w:rPr>
          <w:rFonts w:ascii="Franklin Gothic Book" w:hAnsi="Franklin Gothic Book"/>
          <w:sz w:val="22"/>
          <w:szCs w:val="22"/>
        </w:rPr>
        <w:t>OS data</w:t>
      </w:r>
      <w:r w:rsidR="00587C75">
        <w:rPr>
          <w:rFonts w:ascii="Franklin Gothic Book" w:hAnsi="Franklin Gothic Book"/>
          <w:sz w:val="22"/>
          <w:szCs w:val="22"/>
        </w:rPr>
        <w:t xml:space="preserve"> </w:t>
      </w:r>
      <w:r w:rsidR="001176B0">
        <w:rPr>
          <w:rFonts w:ascii="Franklin Gothic Book" w:hAnsi="Franklin Gothic Book"/>
          <w:sz w:val="22"/>
          <w:szCs w:val="22"/>
        </w:rPr>
        <w:t>(median duration of fo</w:t>
      </w:r>
      <w:r w:rsidR="0067311E">
        <w:rPr>
          <w:rFonts w:ascii="Franklin Gothic Book" w:hAnsi="Franklin Gothic Book"/>
          <w:sz w:val="22"/>
          <w:szCs w:val="22"/>
        </w:rPr>
        <w:t xml:space="preserve">llow-up: 45.8 months) </w:t>
      </w:r>
      <w:r w:rsidR="00675D20">
        <w:rPr>
          <w:rFonts w:ascii="Franklin Gothic Book" w:hAnsi="Franklin Gothic Book"/>
          <w:sz w:val="22"/>
          <w:szCs w:val="22"/>
        </w:rPr>
        <w:t xml:space="preserve">provided by the applicant in </w:t>
      </w:r>
      <w:r w:rsidR="005E36A8">
        <w:rPr>
          <w:rFonts w:ascii="Franklin Gothic Book" w:hAnsi="Franklin Gothic Book"/>
          <w:sz w:val="22"/>
          <w:szCs w:val="22"/>
        </w:rPr>
        <w:t>the pre-</w:t>
      </w:r>
      <w:r w:rsidR="0009172B">
        <w:rPr>
          <w:rFonts w:ascii="Franklin Gothic Book" w:hAnsi="Franklin Gothic Book"/>
          <w:sz w:val="22"/>
          <w:szCs w:val="22"/>
        </w:rPr>
        <w:t>MSAC</w:t>
      </w:r>
      <w:r w:rsidR="005E36A8">
        <w:rPr>
          <w:rFonts w:ascii="Franklin Gothic Book" w:hAnsi="Franklin Gothic Book"/>
          <w:sz w:val="22"/>
          <w:szCs w:val="22"/>
        </w:rPr>
        <w:t xml:space="preserve"> response</w:t>
      </w:r>
      <w:r w:rsidR="009A18F8">
        <w:rPr>
          <w:rFonts w:ascii="Franklin Gothic Book" w:hAnsi="Franklin Gothic Book"/>
          <w:sz w:val="22"/>
          <w:szCs w:val="22"/>
        </w:rPr>
        <w:t xml:space="preserve"> compared </w:t>
      </w:r>
      <w:r w:rsidR="001E70B7">
        <w:rPr>
          <w:rFonts w:ascii="Franklin Gothic Book" w:hAnsi="Franklin Gothic Book"/>
          <w:sz w:val="22"/>
          <w:szCs w:val="22"/>
        </w:rPr>
        <w:t xml:space="preserve">with the </w:t>
      </w:r>
      <w:r w:rsidR="001E70B7" w:rsidRPr="001E70B7">
        <w:rPr>
          <w:rFonts w:ascii="Franklin Gothic Book" w:hAnsi="Franklin Gothic Book"/>
          <w:sz w:val="22"/>
          <w:szCs w:val="22"/>
        </w:rPr>
        <w:t>updated interim analysis</w:t>
      </w:r>
      <w:r w:rsidR="00BE4A5B">
        <w:rPr>
          <w:rFonts w:ascii="Franklin Gothic Book" w:hAnsi="Franklin Gothic Book"/>
          <w:sz w:val="22"/>
          <w:szCs w:val="22"/>
        </w:rPr>
        <w:t xml:space="preserve"> (median duration of follow-up: 20 months) </w:t>
      </w:r>
      <w:r w:rsidR="001E70B7" w:rsidRPr="001E70B7">
        <w:rPr>
          <w:rFonts w:ascii="Franklin Gothic Book" w:hAnsi="Franklin Gothic Book"/>
          <w:sz w:val="22"/>
          <w:szCs w:val="22"/>
        </w:rPr>
        <w:t>reported in the ADAR</w:t>
      </w:r>
      <w:r w:rsidR="00766F26">
        <w:rPr>
          <w:rFonts w:ascii="Franklin Gothic Book" w:hAnsi="Franklin Gothic Book"/>
          <w:sz w:val="22"/>
          <w:szCs w:val="22"/>
        </w:rPr>
        <w:t xml:space="preserve"> </w:t>
      </w:r>
      <w:r w:rsidR="001E70B7" w:rsidRPr="001E70B7">
        <w:rPr>
          <w:rFonts w:ascii="Franklin Gothic Book" w:hAnsi="Franklin Gothic Book"/>
          <w:sz w:val="22"/>
          <w:szCs w:val="22"/>
        </w:rPr>
        <w:t>which showed a difference in favour of AXI</w:t>
      </w:r>
      <w:r w:rsidR="004B29F8">
        <w:rPr>
          <w:rFonts w:ascii="Franklin Gothic Book" w:hAnsi="Franklin Gothic Book"/>
          <w:sz w:val="22"/>
          <w:szCs w:val="22"/>
        </w:rPr>
        <w:t xml:space="preserve"> </w:t>
      </w:r>
      <w:r w:rsidR="004B29F8" w:rsidRPr="00AE2BC5">
        <w:rPr>
          <w:rFonts w:ascii="Franklin Gothic Book" w:hAnsi="Franklin Gothic Book"/>
          <w:sz w:val="22"/>
          <w:szCs w:val="22"/>
        </w:rPr>
        <w:t>(</w:t>
      </w:r>
      <w:r w:rsidR="004B29F8" w:rsidRPr="00AE2BC5">
        <w:rPr>
          <w:rFonts w:ascii="Franklin Gothic Book" w:hAnsi="Franklin Gothic Book"/>
          <w:color w:val="000000"/>
          <w:sz w:val="22"/>
          <w:szCs w:val="20"/>
          <w:lang w:eastAsia="en-AU"/>
        </w:rPr>
        <w:t xml:space="preserve">HR </w:t>
      </w:r>
      <w:r w:rsidR="003A65DB" w:rsidRPr="00AE2BC5">
        <w:rPr>
          <w:rFonts w:ascii="Franklin Gothic Book" w:hAnsi="Franklin Gothic Book"/>
          <w:color w:val="000000"/>
          <w:sz w:val="22"/>
          <w:szCs w:val="20"/>
          <w:lang w:eastAsia="en-AU"/>
        </w:rPr>
        <w:t xml:space="preserve">= </w:t>
      </w:r>
      <w:r w:rsidR="004B29F8" w:rsidRPr="00AE2BC5">
        <w:rPr>
          <w:rFonts w:ascii="Franklin Gothic Book" w:hAnsi="Franklin Gothic Book"/>
          <w:color w:val="000000"/>
          <w:sz w:val="22"/>
          <w:szCs w:val="20"/>
          <w:lang w:eastAsia="en-AU"/>
        </w:rPr>
        <w:t>0.726</w:t>
      </w:r>
      <w:r w:rsidR="00675D20" w:rsidRPr="00AE2BC5">
        <w:rPr>
          <w:rFonts w:ascii="Franklin Gothic Book" w:hAnsi="Franklin Gothic Book"/>
          <w:color w:val="000000"/>
          <w:sz w:val="22"/>
          <w:szCs w:val="20"/>
          <w:lang w:eastAsia="en-AU"/>
        </w:rPr>
        <w:t xml:space="preserve"> [95% CI: 0.540, 0.977 vs. </w:t>
      </w:r>
      <w:r w:rsidR="004B29F8" w:rsidRPr="00AE2BC5">
        <w:rPr>
          <w:rFonts w:ascii="Franklin Gothic Book" w:hAnsi="Franklin Gothic Book"/>
          <w:color w:val="000000"/>
          <w:sz w:val="22"/>
          <w:szCs w:val="20"/>
          <w:lang w:eastAsia="en-AU"/>
        </w:rPr>
        <w:t>0.708 [95% CI: 0.515, 0.972</w:t>
      </w:r>
      <w:r w:rsidR="00675D20" w:rsidRPr="00AE2BC5">
        <w:rPr>
          <w:rFonts w:ascii="Franklin Gothic Book" w:hAnsi="Franklin Gothic Book"/>
          <w:color w:val="000000"/>
          <w:sz w:val="22"/>
          <w:szCs w:val="20"/>
          <w:lang w:eastAsia="en-AU"/>
        </w:rPr>
        <w:t>, respectively</w:t>
      </w:r>
      <w:r w:rsidR="004B29F8" w:rsidRPr="00AE2BC5">
        <w:rPr>
          <w:rFonts w:ascii="Franklin Gothic Book" w:hAnsi="Franklin Gothic Book"/>
          <w:color w:val="000000"/>
          <w:sz w:val="22"/>
          <w:szCs w:val="20"/>
          <w:lang w:eastAsia="en-AU"/>
        </w:rPr>
        <w:t xml:space="preserve">]. </w:t>
      </w:r>
      <w:r w:rsidR="005E36A8" w:rsidRPr="00AE2BC5">
        <w:rPr>
          <w:rFonts w:ascii="Franklin Gothic Book" w:hAnsi="Franklin Gothic Book"/>
          <w:sz w:val="22"/>
          <w:szCs w:val="22"/>
        </w:rPr>
        <w:t xml:space="preserve"> </w:t>
      </w:r>
      <w:r w:rsidR="0009172B" w:rsidRPr="00AE2BC5">
        <w:rPr>
          <w:rFonts w:ascii="Franklin Gothic Book" w:hAnsi="Franklin Gothic Book"/>
          <w:sz w:val="22"/>
          <w:szCs w:val="22"/>
        </w:rPr>
        <w:t xml:space="preserve"> </w:t>
      </w:r>
      <w:r w:rsidR="003C4DD8" w:rsidRPr="00AE2BC5">
        <w:rPr>
          <w:rFonts w:ascii="Franklin Gothic Book" w:hAnsi="Franklin Gothic Book"/>
          <w:sz w:val="22"/>
          <w:szCs w:val="22"/>
        </w:rPr>
        <w:t>However, MS</w:t>
      </w:r>
      <w:r w:rsidR="003C4DD8">
        <w:rPr>
          <w:rFonts w:ascii="Franklin Gothic Book" w:hAnsi="Franklin Gothic Book"/>
          <w:sz w:val="22"/>
          <w:szCs w:val="22"/>
        </w:rPr>
        <w:t xml:space="preserve">AC </w:t>
      </w:r>
      <w:r w:rsidR="000D07CB">
        <w:rPr>
          <w:rFonts w:ascii="Franklin Gothic Book" w:hAnsi="Franklin Gothic Book"/>
          <w:sz w:val="22"/>
          <w:szCs w:val="22"/>
        </w:rPr>
        <w:t>considered</w:t>
      </w:r>
      <w:r w:rsidR="0009172B">
        <w:rPr>
          <w:rFonts w:ascii="Franklin Gothic Book" w:hAnsi="Franklin Gothic Book"/>
          <w:sz w:val="22"/>
          <w:szCs w:val="22"/>
        </w:rPr>
        <w:t xml:space="preserve"> there was </w:t>
      </w:r>
      <w:r w:rsidR="00AE7329">
        <w:rPr>
          <w:rFonts w:ascii="Franklin Gothic Book" w:hAnsi="Franklin Gothic Book"/>
          <w:sz w:val="22"/>
          <w:szCs w:val="22"/>
        </w:rPr>
        <w:t>in</w:t>
      </w:r>
      <w:r w:rsidR="0009172B">
        <w:rPr>
          <w:rFonts w:ascii="Franklin Gothic Book" w:hAnsi="Franklin Gothic Book"/>
          <w:sz w:val="22"/>
          <w:szCs w:val="22"/>
        </w:rPr>
        <w:t>sufficient time for this to be evaluated or incorporated into the analysis.</w:t>
      </w:r>
    </w:p>
    <w:p w14:paraId="29DCBA09" w14:textId="6F2D7132" w:rsidR="00602B24" w:rsidRPr="00541D2B" w:rsidRDefault="00602B24" w:rsidP="009F2BA8">
      <w:pPr>
        <w:spacing w:before="240"/>
        <w:rPr>
          <w:rFonts w:ascii="Franklin Gothic Book" w:hAnsi="Franklin Gothic Book"/>
          <w:sz w:val="22"/>
          <w:szCs w:val="22"/>
        </w:rPr>
      </w:pPr>
      <w:r w:rsidRPr="00541D2B">
        <w:rPr>
          <w:rFonts w:ascii="Franklin Gothic Book" w:hAnsi="Franklin Gothic Book"/>
          <w:sz w:val="22"/>
          <w:szCs w:val="22"/>
        </w:rPr>
        <w:t>MSAC noted that the model compared AXI at 2L with chemotherapy and stem cell transplant</w:t>
      </w:r>
      <w:r w:rsidRPr="00541D2B">
        <w:rPr>
          <w:rFonts w:ascii="Arial" w:hAnsi="Arial" w:cs="Arial"/>
          <w:sz w:val="22"/>
          <w:szCs w:val="22"/>
        </w:rPr>
        <w:t>​</w:t>
      </w:r>
      <w:r w:rsidRPr="00541D2B">
        <w:rPr>
          <w:rFonts w:ascii="Franklin Gothic Book" w:hAnsi="Franklin Gothic Book"/>
          <w:sz w:val="22"/>
          <w:szCs w:val="22"/>
        </w:rPr>
        <w:t xml:space="preserve"> rather than the real-world scenario where 3L CAR-T therapy may follow unsuccessful 2L treatment.</w:t>
      </w:r>
      <w:r w:rsidRPr="00541D2B">
        <w:rPr>
          <w:rFonts w:ascii="Arial" w:hAnsi="Arial" w:cs="Arial"/>
          <w:sz w:val="22"/>
          <w:szCs w:val="22"/>
        </w:rPr>
        <w:t>​</w:t>
      </w:r>
      <w:r w:rsidRPr="00541D2B">
        <w:rPr>
          <w:rFonts w:ascii="Franklin Gothic Book" w:hAnsi="Franklin Gothic Book"/>
          <w:sz w:val="22"/>
          <w:szCs w:val="22"/>
        </w:rPr>
        <w:t xml:space="preserve"> In other words, there is interest in 2L versus current 3L (AXI or Kymriah®)</w:t>
      </w:r>
      <w:r w:rsidRPr="00541D2B">
        <w:rPr>
          <w:rFonts w:ascii="Arial" w:hAnsi="Arial" w:cs="Arial"/>
          <w:sz w:val="22"/>
          <w:szCs w:val="22"/>
        </w:rPr>
        <w:t>​</w:t>
      </w:r>
      <w:r w:rsidRPr="00541D2B">
        <w:rPr>
          <w:rFonts w:ascii="Franklin Gothic Book" w:hAnsi="Franklin Gothic Book"/>
          <w:sz w:val="22"/>
          <w:szCs w:val="22"/>
        </w:rPr>
        <w:t xml:space="preserve">. In its pre-MSAC response, the applicant noted that as there were patients receiving 3L+ CAR-T therapies in the SoC group, the updated significant overall survival (OS) results in ZUMA-7 reflect the real-world treatment pathway and demonstrate the benefit of treating this population earlier with 2L AXI compared to delaying until patients are in 3L or later (3L+). </w:t>
      </w:r>
      <w:proofErr w:type="gramStart"/>
      <w:r>
        <w:rPr>
          <w:rFonts w:ascii="Franklin Gothic Book" w:hAnsi="Franklin Gothic Book"/>
          <w:sz w:val="22"/>
          <w:szCs w:val="22"/>
        </w:rPr>
        <w:t>However</w:t>
      </w:r>
      <w:proofErr w:type="gramEnd"/>
      <w:r>
        <w:rPr>
          <w:rFonts w:ascii="Franklin Gothic Book" w:hAnsi="Franklin Gothic Book"/>
          <w:sz w:val="22"/>
          <w:szCs w:val="22"/>
        </w:rPr>
        <w:t xml:space="preserve"> </w:t>
      </w:r>
      <w:r w:rsidRPr="00541D2B">
        <w:rPr>
          <w:rFonts w:ascii="Franklin Gothic Book" w:hAnsi="Franklin Gothic Book"/>
          <w:sz w:val="22"/>
          <w:szCs w:val="22"/>
        </w:rPr>
        <w:t xml:space="preserve">MSAC noted that </w:t>
      </w:r>
      <w:r>
        <w:rPr>
          <w:rFonts w:ascii="Franklin Gothic Book" w:hAnsi="Franklin Gothic Book"/>
          <w:sz w:val="22"/>
          <w:szCs w:val="22"/>
        </w:rPr>
        <w:t xml:space="preserve">the real world data regarding 3L treatment in the Australian setting </w:t>
      </w:r>
      <w:r w:rsidRPr="00541D2B">
        <w:rPr>
          <w:rFonts w:ascii="Franklin Gothic Book" w:hAnsi="Franklin Gothic Book"/>
          <w:sz w:val="22"/>
          <w:szCs w:val="22"/>
        </w:rPr>
        <w:t xml:space="preserve">needs to </w:t>
      </w:r>
      <w:r>
        <w:rPr>
          <w:rFonts w:ascii="Franklin Gothic Book" w:hAnsi="Franklin Gothic Book"/>
          <w:sz w:val="22"/>
          <w:szCs w:val="22"/>
        </w:rPr>
        <w:t>be incorporated</w:t>
      </w:r>
      <w:r w:rsidRPr="00541D2B">
        <w:rPr>
          <w:rFonts w:ascii="Franklin Gothic Book" w:hAnsi="Franklin Gothic Book"/>
          <w:sz w:val="22"/>
          <w:szCs w:val="22"/>
        </w:rPr>
        <w:t xml:space="preserve"> into </w:t>
      </w:r>
      <w:r w:rsidR="000A41A9">
        <w:rPr>
          <w:rFonts w:ascii="Franklin Gothic Book" w:hAnsi="Franklin Gothic Book"/>
          <w:sz w:val="22"/>
          <w:szCs w:val="22"/>
        </w:rPr>
        <w:t xml:space="preserve">the model so that it can be </w:t>
      </w:r>
      <w:r w:rsidRPr="00541D2B">
        <w:rPr>
          <w:rFonts w:ascii="Franklin Gothic Book" w:hAnsi="Franklin Gothic Book"/>
          <w:sz w:val="22"/>
          <w:szCs w:val="22"/>
        </w:rPr>
        <w:t>evaluat</w:t>
      </w:r>
      <w:r w:rsidR="000A41A9">
        <w:rPr>
          <w:rFonts w:ascii="Franklin Gothic Book" w:hAnsi="Franklin Gothic Book"/>
          <w:sz w:val="22"/>
          <w:szCs w:val="22"/>
        </w:rPr>
        <w:t>ed</w:t>
      </w:r>
      <w:r w:rsidRPr="00541D2B">
        <w:rPr>
          <w:rFonts w:ascii="Franklin Gothic Book" w:hAnsi="Franklin Gothic Book"/>
          <w:sz w:val="22"/>
          <w:szCs w:val="22"/>
        </w:rPr>
        <w:t>.</w:t>
      </w:r>
    </w:p>
    <w:p w14:paraId="6D73EA03" w14:textId="7709AD26" w:rsidR="00541D2B" w:rsidRPr="00541D2B" w:rsidRDefault="00541D2B" w:rsidP="00541D2B">
      <w:pPr>
        <w:spacing w:before="240"/>
        <w:rPr>
          <w:rFonts w:ascii="Franklin Gothic Book" w:hAnsi="Franklin Gothic Book"/>
          <w:sz w:val="22"/>
          <w:szCs w:val="22"/>
        </w:rPr>
      </w:pPr>
      <w:r w:rsidRPr="00541D2B">
        <w:rPr>
          <w:rFonts w:ascii="Franklin Gothic Book" w:hAnsi="Franklin Gothic Book"/>
          <w:sz w:val="22"/>
          <w:szCs w:val="22"/>
        </w:rPr>
        <w:t xml:space="preserve">MSAC noted that the economic analysis used a mixed-cure fraction model to extrapolate the OS for patients with LBCL in the model. Based on the ZUMA-7 trial data, MSAC considered that the cure rate </w:t>
      </w:r>
      <w:r w:rsidR="00C002C6">
        <w:rPr>
          <w:rFonts w:ascii="Franklin Gothic Book" w:hAnsi="Franklin Gothic Book"/>
          <w:sz w:val="22"/>
          <w:szCs w:val="22"/>
        </w:rPr>
        <w:t xml:space="preserve">used in the model </w:t>
      </w:r>
      <w:r w:rsidRPr="00541D2B">
        <w:rPr>
          <w:rFonts w:ascii="Franklin Gothic Book" w:hAnsi="Franklin Gothic Book"/>
          <w:sz w:val="22"/>
          <w:szCs w:val="22"/>
        </w:rPr>
        <w:t>may be too optimistic, noting that the Kaplan Meier estimates of OS at 24 months after randomisation in the AXI arm w</w:t>
      </w:r>
      <w:r w:rsidR="00F533DE">
        <w:rPr>
          <w:rFonts w:ascii="Franklin Gothic Book" w:hAnsi="Franklin Gothic Book"/>
          <w:sz w:val="22"/>
          <w:szCs w:val="22"/>
        </w:rPr>
        <w:t>as</w:t>
      </w:r>
      <w:r w:rsidRPr="00541D2B">
        <w:rPr>
          <w:rFonts w:ascii="Franklin Gothic Book" w:hAnsi="Franklin Gothic Book"/>
          <w:sz w:val="22"/>
          <w:szCs w:val="22"/>
        </w:rPr>
        <w:t xml:space="preserve"> 60.7% (95% CI: 52.8, 67.7%) compared with 51.3% (</w:t>
      </w:r>
      <w:r w:rsidR="00F533DE" w:rsidRPr="00541D2B">
        <w:rPr>
          <w:rFonts w:ascii="Franklin Gothic Book" w:hAnsi="Franklin Gothic Book"/>
          <w:sz w:val="22"/>
          <w:szCs w:val="22"/>
        </w:rPr>
        <w:t xml:space="preserve">95% CI: </w:t>
      </w:r>
      <w:r w:rsidRPr="00541D2B">
        <w:rPr>
          <w:rFonts w:ascii="Franklin Gothic Book" w:hAnsi="Franklin Gothic Book"/>
          <w:sz w:val="22"/>
          <w:szCs w:val="22"/>
        </w:rPr>
        <w:t>43.4%, 58.7%)</w:t>
      </w:r>
      <w:r w:rsidR="00F533DE">
        <w:rPr>
          <w:rFonts w:ascii="Franklin Gothic Book" w:hAnsi="Franklin Gothic Book"/>
          <w:sz w:val="22"/>
          <w:szCs w:val="22"/>
        </w:rPr>
        <w:t xml:space="preserve"> </w:t>
      </w:r>
      <w:r w:rsidR="00F533DE" w:rsidRPr="00541D2B">
        <w:rPr>
          <w:rFonts w:ascii="Franklin Gothic Book" w:hAnsi="Franklin Gothic Book"/>
          <w:sz w:val="22"/>
          <w:szCs w:val="22"/>
        </w:rPr>
        <w:t>in the SOC</w:t>
      </w:r>
      <w:r w:rsidR="00F533DE">
        <w:rPr>
          <w:rFonts w:ascii="Franklin Gothic Book" w:hAnsi="Franklin Gothic Book"/>
          <w:sz w:val="22"/>
          <w:szCs w:val="22"/>
        </w:rPr>
        <w:t xml:space="preserve"> arm</w:t>
      </w:r>
      <w:r w:rsidRPr="00541D2B">
        <w:rPr>
          <w:rFonts w:ascii="Franklin Gothic Book" w:hAnsi="Franklin Gothic Book"/>
          <w:sz w:val="22"/>
          <w:szCs w:val="22"/>
        </w:rPr>
        <w:t xml:space="preserve">. Further, the distribution chosen (generalised gamma) resulted in the most optimistic scenario favouring AXI. The model approach also does not allow for participants experiencing a relapse once they are in the “cured” state. </w:t>
      </w:r>
      <w:r w:rsidR="005955BF">
        <w:rPr>
          <w:rFonts w:ascii="Franklin Gothic Book" w:hAnsi="Franklin Gothic Book"/>
          <w:sz w:val="22"/>
          <w:szCs w:val="22"/>
        </w:rPr>
        <w:t>MSAC noted that mixed-cure models</w:t>
      </w:r>
      <w:r w:rsidR="00406D91">
        <w:rPr>
          <w:rFonts w:ascii="Franklin Gothic Book" w:hAnsi="Franklin Gothic Book"/>
          <w:sz w:val="22"/>
          <w:szCs w:val="22"/>
        </w:rPr>
        <w:t xml:space="preserve"> are generally used where there are long periods of disease stabilisation, and in this case the evidence</w:t>
      </w:r>
      <w:r w:rsidR="009759D1">
        <w:rPr>
          <w:rFonts w:ascii="Franklin Gothic Book" w:hAnsi="Franklin Gothic Book"/>
          <w:sz w:val="22"/>
          <w:szCs w:val="22"/>
        </w:rPr>
        <w:t xml:space="preserve"> in the ADAR</w:t>
      </w:r>
      <w:r w:rsidR="00406D91">
        <w:rPr>
          <w:rFonts w:ascii="Franklin Gothic Book" w:hAnsi="Franklin Gothic Book"/>
          <w:sz w:val="22"/>
          <w:szCs w:val="22"/>
        </w:rPr>
        <w:t xml:space="preserve"> d</w:t>
      </w:r>
      <w:r w:rsidR="009759D1">
        <w:rPr>
          <w:rFonts w:ascii="Franklin Gothic Book" w:hAnsi="Franklin Gothic Book"/>
          <w:sz w:val="22"/>
          <w:szCs w:val="22"/>
        </w:rPr>
        <w:t>id</w:t>
      </w:r>
      <w:r w:rsidR="00406D91">
        <w:rPr>
          <w:rFonts w:ascii="Franklin Gothic Book" w:hAnsi="Franklin Gothic Book"/>
          <w:sz w:val="22"/>
          <w:szCs w:val="22"/>
        </w:rPr>
        <w:t xml:space="preserve"> not yet demonstrate this. </w:t>
      </w:r>
      <w:proofErr w:type="gramStart"/>
      <w:r w:rsidR="00E278C6">
        <w:rPr>
          <w:rFonts w:ascii="Franklin Gothic Book" w:hAnsi="Franklin Gothic Book"/>
          <w:sz w:val="22"/>
          <w:szCs w:val="22"/>
        </w:rPr>
        <w:t>Therefore</w:t>
      </w:r>
      <w:proofErr w:type="gramEnd"/>
      <w:r w:rsidR="00E278C6">
        <w:rPr>
          <w:rFonts w:ascii="Franklin Gothic Book" w:hAnsi="Franklin Gothic Book"/>
          <w:sz w:val="22"/>
          <w:szCs w:val="22"/>
        </w:rPr>
        <w:t xml:space="preserve"> MSAC </w:t>
      </w:r>
      <w:r w:rsidR="00535052">
        <w:rPr>
          <w:rFonts w:ascii="Franklin Gothic Book" w:hAnsi="Franklin Gothic Book"/>
          <w:sz w:val="22"/>
          <w:szCs w:val="22"/>
        </w:rPr>
        <w:t xml:space="preserve">considered </w:t>
      </w:r>
      <w:r w:rsidR="00757648">
        <w:rPr>
          <w:rFonts w:ascii="Franklin Gothic Book" w:hAnsi="Franklin Gothic Book"/>
          <w:sz w:val="22"/>
          <w:szCs w:val="22"/>
        </w:rPr>
        <w:t xml:space="preserve">a more standard partitioned survival model should </w:t>
      </w:r>
      <w:r w:rsidR="00844BB9">
        <w:rPr>
          <w:rFonts w:ascii="Franklin Gothic Book" w:hAnsi="Franklin Gothic Book"/>
          <w:sz w:val="22"/>
          <w:szCs w:val="22"/>
        </w:rPr>
        <w:t xml:space="preserve">also </w:t>
      </w:r>
      <w:r w:rsidR="00B55E84">
        <w:rPr>
          <w:rFonts w:ascii="Franklin Gothic Book" w:hAnsi="Franklin Gothic Book"/>
          <w:sz w:val="22"/>
          <w:szCs w:val="22"/>
        </w:rPr>
        <w:t xml:space="preserve">be used </w:t>
      </w:r>
      <w:r w:rsidR="00844BB9">
        <w:rPr>
          <w:rFonts w:ascii="Franklin Gothic Book" w:hAnsi="Franklin Gothic Book"/>
          <w:sz w:val="22"/>
          <w:szCs w:val="22"/>
        </w:rPr>
        <w:t>as</w:t>
      </w:r>
      <w:r w:rsidR="00B55E84">
        <w:rPr>
          <w:rFonts w:ascii="Franklin Gothic Book" w:hAnsi="Franklin Gothic Book"/>
          <w:sz w:val="22"/>
          <w:szCs w:val="22"/>
        </w:rPr>
        <w:t xml:space="preserve"> </w:t>
      </w:r>
      <w:r w:rsidR="00D267C7">
        <w:rPr>
          <w:rFonts w:ascii="Franklin Gothic Book" w:hAnsi="Franklin Gothic Book"/>
          <w:sz w:val="22"/>
          <w:szCs w:val="22"/>
        </w:rPr>
        <w:t xml:space="preserve">in </w:t>
      </w:r>
      <w:r w:rsidR="00B55E84">
        <w:rPr>
          <w:rFonts w:ascii="Franklin Gothic Book" w:hAnsi="Franklin Gothic Book"/>
          <w:sz w:val="22"/>
          <w:szCs w:val="22"/>
        </w:rPr>
        <w:t xml:space="preserve">addition </w:t>
      </w:r>
      <w:r w:rsidR="00844BB9">
        <w:rPr>
          <w:rFonts w:ascii="Franklin Gothic Book" w:hAnsi="Franklin Gothic Book"/>
          <w:sz w:val="22"/>
          <w:szCs w:val="22"/>
        </w:rPr>
        <w:t xml:space="preserve">to the </w:t>
      </w:r>
      <w:r w:rsidR="00D267C7">
        <w:rPr>
          <w:rFonts w:ascii="Franklin Gothic Book" w:hAnsi="Franklin Gothic Book"/>
          <w:sz w:val="22"/>
          <w:szCs w:val="22"/>
        </w:rPr>
        <w:t>mixed-cure model</w:t>
      </w:r>
      <w:r w:rsidR="00B55E84">
        <w:rPr>
          <w:rFonts w:ascii="Franklin Gothic Book" w:hAnsi="Franklin Gothic Book"/>
          <w:sz w:val="22"/>
          <w:szCs w:val="22"/>
        </w:rPr>
        <w:t>.</w:t>
      </w:r>
    </w:p>
    <w:p w14:paraId="12E556E0" w14:textId="08724BA3" w:rsidR="00541D2B" w:rsidRPr="00541D2B" w:rsidRDefault="00541D2B" w:rsidP="00541D2B">
      <w:pPr>
        <w:spacing w:before="240"/>
        <w:rPr>
          <w:rFonts w:ascii="Franklin Gothic Book" w:hAnsi="Franklin Gothic Book"/>
          <w:sz w:val="22"/>
          <w:szCs w:val="22"/>
        </w:rPr>
      </w:pPr>
      <w:r w:rsidRPr="00541D2B">
        <w:rPr>
          <w:rFonts w:ascii="Franklin Gothic Book" w:hAnsi="Franklin Gothic Book"/>
          <w:sz w:val="22"/>
          <w:szCs w:val="22"/>
        </w:rPr>
        <w:t>MSAC noted ESC’s concern that the model was primarily driven by the EFS endpoint, which is an unvalidated endpoint and likely favours AXI. MSAC also noted that the EFS endpoint was available to 15 months and after this point</w:t>
      </w:r>
      <w:r w:rsidR="000A41A9">
        <w:rPr>
          <w:rFonts w:ascii="Franklin Gothic Book" w:hAnsi="Franklin Gothic Book"/>
          <w:sz w:val="22"/>
          <w:szCs w:val="22"/>
        </w:rPr>
        <w:t xml:space="preserve"> the data were extrapolated</w:t>
      </w:r>
      <w:r w:rsidRPr="00541D2B">
        <w:rPr>
          <w:rFonts w:ascii="Franklin Gothic Book" w:hAnsi="Franklin Gothic Book"/>
          <w:sz w:val="22"/>
          <w:szCs w:val="22"/>
        </w:rPr>
        <w:t>.</w:t>
      </w:r>
    </w:p>
    <w:p w14:paraId="03428481" w14:textId="7C6E9F02" w:rsidR="00541D2B" w:rsidRPr="00541D2B" w:rsidRDefault="00541D2B" w:rsidP="00541D2B">
      <w:pPr>
        <w:spacing w:before="240"/>
        <w:rPr>
          <w:rFonts w:ascii="Franklin Gothic Book" w:hAnsi="Franklin Gothic Book"/>
          <w:sz w:val="22"/>
          <w:szCs w:val="22"/>
        </w:rPr>
      </w:pPr>
      <w:r w:rsidRPr="00541D2B">
        <w:rPr>
          <w:rFonts w:ascii="Franklin Gothic Book" w:hAnsi="Franklin Gothic Book"/>
          <w:sz w:val="22"/>
          <w:szCs w:val="22"/>
        </w:rPr>
        <w:t xml:space="preserve">MSAC noted the respecified base case in the commentary, using a discount rate of 5% and a 30-year time-horizon, which </w:t>
      </w:r>
      <w:r w:rsidR="00691DC4">
        <w:rPr>
          <w:rFonts w:ascii="Franklin Gothic Book" w:hAnsi="Franklin Gothic Book"/>
          <w:sz w:val="22"/>
          <w:szCs w:val="22"/>
        </w:rPr>
        <w:t xml:space="preserve">it considered </w:t>
      </w:r>
      <w:r w:rsidRPr="00541D2B">
        <w:rPr>
          <w:rFonts w:ascii="Franklin Gothic Book" w:hAnsi="Franklin Gothic Book"/>
          <w:sz w:val="22"/>
          <w:szCs w:val="22"/>
        </w:rPr>
        <w:t>is more appropriate given the average age of patients at presentation. While MSAC considered that the respecified base-case</w:t>
      </w:r>
      <w:r w:rsidR="00DB310D">
        <w:rPr>
          <w:rFonts w:ascii="Franklin Gothic Book" w:hAnsi="Franklin Gothic Book"/>
          <w:sz w:val="22"/>
          <w:szCs w:val="22"/>
        </w:rPr>
        <w:t xml:space="preserve"> </w:t>
      </w:r>
      <w:r w:rsidRPr="00541D2B">
        <w:rPr>
          <w:rFonts w:ascii="Franklin Gothic Book" w:hAnsi="Franklin Gothic Book"/>
          <w:sz w:val="22"/>
          <w:szCs w:val="22"/>
        </w:rPr>
        <w:t>should</w:t>
      </w:r>
      <w:r w:rsidR="008B2976">
        <w:rPr>
          <w:rFonts w:ascii="Franklin Gothic Book" w:hAnsi="Franklin Gothic Book"/>
          <w:sz w:val="22"/>
          <w:szCs w:val="22"/>
        </w:rPr>
        <w:t xml:space="preserve"> still</w:t>
      </w:r>
      <w:r w:rsidRPr="00541D2B">
        <w:rPr>
          <w:rFonts w:ascii="Franklin Gothic Book" w:hAnsi="Franklin Gothic Book"/>
          <w:sz w:val="22"/>
          <w:szCs w:val="22"/>
        </w:rPr>
        <w:t xml:space="preserve"> be regarded as </w:t>
      </w:r>
      <w:r w:rsidRPr="00541D2B">
        <w:rPr>
          <w:rFonts w:ascii="Franklin Gothic Book" w:hAnsi="Franklin Gothic Book"/>
          <w:sz w:val="22"/>
          <w:szCs w:val="22"/>
        </w:rPr>
        <w:lastRenderedPageBreak/>
        <w:t xml:space="preserve">exploratory due to the issues noted with the use of EFS and model structure, the resultant ICER of </w:t>
      </w:r>
      <w:r w:rsidRPr="00FA1F5D">
        <w:rPr>
          <w:rFonts w:ascii="Franklin Gothic Book" w:hAnsi="Franklin Gothic Book"/>
          <w:sz w:val="22"/>
          <w:szCs w:val="22"/>
        </w:rPr>
        <w:t>$</w:t>
      </w:r>
      <w:r w:rsidR="002610F9" w:rsidRPr="002610F9">
        <w:rPr>
          <w:rFonts w:ascii="Franklin Gothic Book" w:hAnsi="Franklin Gothic Book"/>
          <w:color w:val="000000"/>
          <w:w w:val="66"/>
          <w:sz w:val="22"/>
          <w:szCs w:val="22"/>
          <w:shd w:val="solid" w:color="000000" w:fill="000000"/>
          <w:fitText w:val="440" w:id="-1217620478"/>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2"/>
          <w:shd w:val="solid" w:color="000000" w:fill="000000"/>
          <w:fitText w:val="440" w:id="-1217620478"/>
          <w14:textFill>
            <w14:solidFill>
              <w14:srgbClr w14:val="000000">
                <w14:alpha w14:val="100000"/>
              </w14:srgbClr>
            </w14:solidFill>
          </w14:textFill>
        </w:rPr>
        <w:t>|</w:t>
      </w:r>
      <w:r w:rsidRPr="00541D2B">
        <w:rPr>
          <w:rFonts w:ascii="Franklin Gothic Book" w:hAnsi="Franklin Gothic Book"/>
          <w:sz w:val="22"/>
          <w:szCs w:val="22"/>
        </w:rPr>
        <w:t xml:space="preserve"> per quality-adjusted life year (QALY) gained was noted.</w:t>
      </w:r>
    </w:p>
    <w:p w14:paraId="661F65FC" w14:textId="42F7C584" w:rsidR="00B21D8F" w:rsidRDefault="00B21D8F" w:rsidP="00541D2B">
      <w:pPr>
        <w:spacing w:before="240"/>
        <w:rPr>
          <w:rFonts w:ascii="Franklin Gothic Book" w:hAnsi="Franklin Gothic Book"/>
          <w:sz w:val="22"/>
          <w:szCs w:val="22"/>
        </w:rPr>
      </w:pPr>
      <w:r>
        <w:rPr>
          <w:rFonts w:ascii="Franklin Gothic Book" w:hAnsi="Franklin Gothic Book"/>
          <w:color w:val="000000"/>
          <w:sz w:val="22"/>
          <w:szCs w:val="20"/>
          <w:lang w:eastAsia="en-AU"/>
        </w:rPr>
        <w:t xml:space="preserve">MSAC </w:t>
      </w:r>
      <w:r w:rsidRPr="00C2126B">
        <w:rPr>
          <w:rFonts w:ascii="Franklin Gothic Book" w:hAnsi="Franklin Gothic Book"/>
          <w:color w:val="000000"/>
          <w:sz w:val="22"/>
          <w:szCs w:val="20"/>
          <w:lang w:eastAsia="en-AU"/>
        </w:rPr>
        <w:t xml:space="preserve">noted </w:t>
      </w:r>
      <w:r w:rsidR="00A65576">
        <w:rPr>
          <w:rFonts w:ascii="Franklin Gothic Book" w:hAnsi="Franklin Gothic Book"/>
          <w:color w:val="000000"/>
          <w:sz w:val="22"/>
          <w:szCs w:val="20"/>
          <w:lang w:eastAsia="en-AU"/>
        </w:rPr>
        <w:t>the ESC</w:t>
      </w:r>
      <w:r w:rsidRPr="00C2126B">
        <w:rPr>
          <w:rFonts w:ascii="Franklin Gothic Book" w:hAnsi="Franklin Gothic Book"/>
          <w:color w:val="000000"/>
          <w:sz w:val="22"/>
          <w:szCs w:val="20"/>
          <w:lang w:eastAsia="en-AU"/>
        </w:rPr>
        <w:t xml:space="preserve"> </w:t>
      </w:r>
      <w:r w:rsidR="00EF353F">
        <w:rPr>
          <w:rFonts w:ascii="Franklin Gothic Book" w:hAnsi="Franklin Gothic Book"/>
          <w:color w:val="000000"/>
          <w:sz w:val="22"/>
          <w:szCs w:val="20"/>
          <w:lang w:eastAsia="en-AU"/>
        </w:rPr>
        <w:t xml:space="preserve">additional </w:t>
      </w:r>
      <w:r w:rsidRPr="00C2126B">
        <w:rPr>
          <w:rFonts w:ascii="Franklin Gothic Book" w:hAnsi="Franklin Gothic Book"/>
          <w:color w:val="000000"/>
          <w:sz w:val="22"/>
          <w:szCs w:val="20"/>
          <w:lang w:eastAsia="en-AU"/>
        </w:rPr>
        <w:t>concerns with the model</w:t>
      </w:r>
      <w:r>
        <w:rPr>
          <w:rFonts w:ascii="Franklin Gothic Book" w:hAnsi="Franklin Gothic Book"/>
          <w:color w:val="000000"/>
          <w:sz w:val="22"/>
          <w:szCs w:val="20"/>
          <w:lang w:eastAsia="en-AU"/>
        </w:rPr>
        <w:t xml:space="preserve"> and </w:t>
      </w:r>
      <w:r w:rsidR="00A65576">
        <w:rPr>
          <w:rFonts w:ascii="Franklin Gothic Book" w:hAnsi="Franklin Gothic Book"/>
          <w:color w:val="000000"/>
          <w:sz w:val="22"/>
          <w:szCs w:val="20"/>
          <w:lang w:eastAsia="en-AU"/>
        </w:rPr>
        <w:t xml:space="preserve">that these were </w:t>
      </w:r>
      <w:r>
        <w:rPr>
          <w:rFonts w:ascii="Franklin Gothic Book" w:hAnsi="Franklin Gothic Book"/>
          <w:color w:val="000000"/>
          <w:sz w:val="22"/>
          <w:szCs w:val="20"/>
          <w:lang w:eastAsia="en-AU"/>
        </w:rPr>
        <w:t xml:space="preserve">investigated in additional </w:t>
      </w:r>
      <w:r w:rsidR="009D528B">
        <w:rPr>
          <w:rFonts w:ascii="Franklin Gothic Book" w:hAnsi="Franklin Gothic Book"/>
          <w:color w:val="000000"/>
          <w:sz w:val="22"/>
          <w:szCs w:val="20"/>
          <w:lang w:eastAsia="en-AU"/>
        </w:rPr>
        <w:t>exploratory</w:t>
      </w:r>
      <w:r w:rsidR="00DE5A77">
        <w:rPr>
          <w:rFonts w:ascii="Franklin Gothic Book" w:hAnsi="Franklin Gothic Book"/>
          <w:color w:val="000000"/>
          <w:sz w:val="22"/>
          <w:szCs w:val="20"/>
          <w:lang w:eastAsia="en-AU"/>
        </w:rPr>
        <w:t xml:space="preserve"> </w:t>
      </w:r>
      <w:r>
        <w:rPr>
          <w:rFonts w:ascii="Franklin Gothic Book" w:hAnsi="Franklin Gothic Book"/>
          <w:color w:val="000000"/>
          <w:sz w:val="22"/>
          <w:szCs w:val="20"/>
          <w:lang w:eastAsia="en-AU"/>
        </w:rPr>
        <w:t xml:space="preserve">sensitivity analyses (see Table </w:t>
      </w:r>
      <w:r w:rsidR="00863A9C">
        <w:rPr>
          <w:rFonts w:ascii="Franklin Gothic Book" w:hAnsi="Franklin Gothic Book"/>
          <w:color w:val="000000"/>
          <w:sz w:val="22"/>
          <w:szCs w:val="20"/>
          <w:lang w:eastAsia="en-AU"/>
        </w:rPr>
        <w:t>10</w:t>
      </w:r>
      <w:r>
        <w:rPr>
          <w:rFonts w:ascii="Franklin Gothic Book" w:hAnsi="Franklin Gothic Book"/>
          <w:color w:val="000000"/>
          <w:sz w:val="22"/>
          <w:szCs w:val="20"/>
          <w:lang w:eastAsia="en-AU"/>
        </w:rPr>
        <w:t>)</w:t>
      </w:r>
      <w:r w:rsidRPr="00C2126B">
        <w:rPr>
          <w:rFonts w:ascii="Franklin Gothic Book" w:hAnsi="Franklin Gothic Book"/>
          <w:color w:val="000000"/>
          <w:sz w:val="22"/>
          <w:szCs w:val="20"/>
          <w:lang w:eastAsia="en-AU"/>
        </w:rPr>
        <w:t xml:space="preserve">. Firstly, it assumes one-off cost of </w:t>
      </w:r>
      <w:r w:rsidRPr="009F72EE">
        <w:rPr>
          <w:rFonts w:ascii="Franklin Gothic Book" w:hAnsi="Franklin Gothic Book"/>
          <w:color w:val="000000"/>
          <w:sz w:val="22"/>
          <w:szCs w:val="20"/>
          <w:lang w:eastAsia="en-AU"/>
        </w:rPr>
        <w:t>$36,000</w:t>
      </w:r>
      <w:r w:rsidRPr="00C2126B">
        <w:rPr>
          <w:rFonts w:ascii="Franklin Gothic Book" w:hAnsi="Franklin Gothic Book"/>
          <w:color w:val="000000"/>
          <w:sz w:val="22"/>
          <w:szCs w:val="20"/>
          <w:lang w:eastAsia="en-AU"/>
        </w:rPr>
        <w:t xml:space="preserve"> for both the administration of a CAR-T therapy and treatment of associated AEs. </w:t>
      </w:r>
      <w:r w:rsidR="003E1D76">
        <w:rPr>
          <w:rFonts w:ascii="Franklin Gothic Book" w:hAnsi="Franklin Gothic Book"/>
          <w:color w:val="000000"/>
          <w:sz w:val="22"/>
          <w:szCs w:val="20"/>
          <w:lang w:eastAsia="en-AU"/>
        </w:rPr>
        <w:t>MSAC agreed</w:t>
      </w:r>
      <w:r w:rsidRPr="00C2126B">
        <w:rPr>
          <w:rFonts w:ascii="Franklin Gothic Book" w:hAnsi="Franklin Gothic Book"/>
          <w:color w:val="000000"/>
          <w:sz w:val="22"/>
          <w:szCs w:val="20"/>
          <w:lang w:eastAsia="en-AU"/>
        </w:rPr>
        <w:t xml:space="preserve"> that it is clear from the literature that this is likely a significant underestimate of costs</w:t>
      </w:r>
      <w:r>
        <w:rPr>
          <w:rFonts w:ascii="Franklin Gothic Book" w:hAnsi="Franklin Gothic Book"/>
          <w:color w:val="000000"/>
          <w:sz w:val="22"/>
          <w:szCs w:val="20"/>
          <w:lang w:eastAsia="en-AU"/>
        </w:rPr>
        <w:t xml:space="preserve">, due to factors such as treatment of AEs, intensive care unit stays and </w:t>
      </w:r>
      <w:r w:rsidR="00741AC9">
        <w:rPr>
          <w:rFonts w:ascii="Franklin Gothic Book" w:hAnsi="Franklin Gothic Book"/>
          <w:color w:val="000000"/>
          <w:sz w:val="22"/>
          <w:szCs w:val="20"/>
          <w:lang w:eastAsia="en-AU"/>
        </w:rPr>
        <w:t>intravenous immunoglobulin</w:t>
      </w:r>
      <w:r>
        <w:rPr>
          <w:rFonts w:ascii="Franklin Gothic Book" w:hAnsi="Franklin Gothic Book"/>
          <w:color w:val="000000"/>
          <w:sz w:val="22"/>
          <w:szCs w:val="20"/>
          <w:lang w:eastAsia="en-AU"/>
        </w:rPr>
        <w:t xml:space="preserve"> </w:t>
      </w:r>
      <w:r w:rsidR="00741AC9">
        <w:rPr>
          <w:rFonts w:ascii="Franklin Gothic Book" w:hAnsi="Franklin Gothic Book"/>
          <w:color w:val="000000"/>
          <w:sz w:val="22"/>
          <w:szCs w:val="20"/>
          <w:lang w:eastAsia="en-AU"/>
        </w:rPr>
        <w:t>(</w:t>
      </w:r>
      <w:r>
        <w:rPr>
          <w:rFonts w:ascii="Franklin Gothic Book" w:hAnsi="Franklin Gothic Book"/>
          <w:color w:val="000000"/>
          <w:sz w:val="22"/>
          <w:szCs w:val="20"/>
          <w:lang w:eastAsia="en-AU"/>
        </w:rPr>
        <w:t>IVIG</w:t>
      </w:r>
      <w:r w:rsidR="00741AC9">
        <w:rPr>
          <w:rFonts w:ascii="Franklin Gothic Book" w:hAnsi="Franklin Gothic Book"/>
          <w:color w:val="000000"/>
          <w:sz w:val="22"/>
          <w:szCs w:val="20"/>
          <w:lang w:eastAsia="en-AU"/>
        </w:rPr>
        <w:t>)</w:t>
      </w:r>
      <w:r>
        <w:rPr>
          <w:rFonts w:ascii="Franklin Gothic Book" w:hAnsi="Franklin Gothic Book"/>
          <w:color w:val="000000"/>
          <w:sz w:val="22"/>
          <w:szCs w:val="20"/>
          <w:lang w:eastAsia="en-AU"/>
        </w:rPr>
        <w:t xml:space="preserve"> usage, with $46,575 per month cited</w:t>
      </w:r>
      <w:r>
        <w:rPr>
          <w:rStyle w:val="FootnoteReference"/>
          <w:rFonts w:ascii="Franklin Gothic Book" w:hAnsi="Franklin Gothic Book"/>
          <w:color w:val="000000"/>
          <w:sz w:val="22"/>
          <w:szCs w:val="20"/>
          <w:lang w:eastAsia="en-AU"/>
        </w:rPr>
        <w:footnoteRef/>
      </w:r>
      <w:r w:rsidRPr="00C2126B">
        <w:rPr>
          <w:rFonts w:ascii="Franklin Gothic Book" w:hAnsi="Franklin Gothic Book"/>
          <w:color w:val="000000"/>
          <w:sz w:val="22"/>
          <w:szCs w:val="20"/>
          <w:lang w:eastAsia="en-AU"/>
        </w:rPr>
        <w:t xml:space="preserve">. </w:t>
      </w:r>
      <w:r w:rsidR="003E1D76">
        <w:rPr>
          <w:rFonts w:ascii="Franklin Gothic Book" w:hAnsi="Franklin Gothic Book"/>
          <w:color w:val="000000"/>
          <w:sz w:val="22"/>
          <w:szCs w:val="20"/>
          <w:lang w:eastAsia="en-AU"/>
        </w:rPr>
        <w:t xml:space="preserve">MSAC </w:t>
      </w:r>
      <w:r w:rsidRPr="00C2126B">
        <w:rPr>
          <w:rFonts w:ascii="Franklin Gothic Book" w:hAnsi="Franklin Gothic Book"/>
          <w:color w:val="000000"/>
          <w:sz w:val="22"/>
          <w:szCs w:val="20"/>
          <w:lang w:eastAsia="en-AU"/>
        </w:rPr>
        <w:t xml:space="preserve">also noted that the model only assumed a </w:t>
      </w:r>
      <w:proofErr w:type="gramStart"/>
      <w:r w:rsidRPr="00C2126B">
        <w:rPr>
          <w:rFonts w:ascii="Franklin Gothic Book" w:hAnsi="Franklin Gothic Book"/>
          <w:color w:val="000000"/>
          <w:sz w:val="22"/>
          <w:szCs w:val="20"/>
          <w:lang w:eastAsia="en-AU"/>
        </w:rPr>
        <w:t>one month</w:t>
      </w:r>
      <w:proofErr w:type="gramEnd"/>
      <w:r w:rsidRPr="00C2126B">
        <w:rPr>
          <w:rFonts w:ascii="Franklin Gothic Book" w:hAnsi="Franklin Gothic Book"/>
          <w:color w:val="000000"/>
          <w:sz w:val="22"/>
          <w:szCs w:val="20"/>
          <w:lang w:eastAsia="en-AU"/>
        </w:rPr>
        <w:t xml:space="preserve"> utility decrement associated with CAR-T administration. </w:t>
      </w:r>
      <w:r w:rsidR="003E1D76">
        <w:rPr>
          <w:rFonts w:ascii="Franklin Gothic Book" w:hAnsi="Franklin Gothic Book"/>
          <w:color w:val="000000"/>
          <w:sz w:val="22"/>
          <w:szCs w:val="20"/>
          <w:lang w:eastAsia="en-AU"/>
        </w:rPr>
        <w:t>MSAC</w:t>
      </w:r>
      <w:r w:rsidRPr="00C2126B">
        <w:rPr>
          <w:rFonts w:ascii="Franklin Gothic Book" w:hAnsi="Franklin Gothic Book"/>
          <w:color w:val="000000"/>
          <w:sz w:val="22"/>
          <w:szCs w:val="20"/>
          <w:lang w:eastAsia="en-AU"/>
        </w:rPr>
        <w:t xml:space="preserve"> considered that based on the evidence presented and the literature highlighting the seriousness of the AE profile and significant burden to patients</w:t>
      </w:r>
      <w:r>
        <w:rPr>
          <w:rStyle w:val="FootnoteReference"/>
          <w:rFonts w:ascii="Franklin Gothic Book" w:hAnsi="Franklin Gothic Book"/>
          <w:color w:val="000000"/>
          <w:sz w:val="22"/>
          <w:szCs w:val="20"/>
          <w:lang w:eastAsia="en-AU"/>
        </w:rPr>
        <w:footnoteRef/>
      </w:r>
      <w:r w:rsidRPr="00C2126B">
        <w:rPr>
          <w:rFonts w:ascii="Franklin Gothic Book" w:hAnsi="Franklin Gothic Book"/>
          <w:color w:val="000000"/>
          <w:sz w:val="22"/>
          <w:szCs w:val="20"/>
          <w:lang w:eastAsia="en-AU"/>
        </w:rPr>
        <w:t>, that this would also be a significant underestimate and would favour AXI</w:t>
      </w:r>
      <w:r w:rsidR="00BB1D5F">
        <w:rPr>
          <w:rFonts w:ascii="Franklin Gothic Book" w:hAnsi="Franklin Gothic Book"/>
          <w:color w:val="000000"/>
          <w:sz w:val="22"/>
          <w:szCs w:val="20"/>
          <w:lang w:eastAsia="en-AU"/>
        </w:rPr>
        <w:t>.</w:t>
      </w:r>
    </w:p>
    <w:p w14:paraId="29E1F406" w14:textId="460E9B88" w:rsidR="00541D2B" w:rsidRPr="00541D2B" w:rsidRDefault="00541D2B" w:rsidP="00541D2B">
      <w:pPr>
        <w:spacing w:before="240"/>
        <w:rPr>
          <w:rFonts w:ascii="Franklin Gothic Book" w:hAnsi="Franklin Gothic Book"/>
          <w:sz w:val="22"/>
          <w:szCs w:val="22"/>
        </w:rPr>
      </w:pPr>
      <w:r w:rsidRPr="00541D2B">
        <w:rPr>
          <w:rFonts w:ascii="Franklin Gothic Book" w:hAnsi="Franklin Gothic Book"/>
          <w:sz w:val="22"/>
          <w:szCs w:val="22"/>
        </w:rPr>
        <w:t xml:space="preserve">MSAC noted that incorporating increased hospitalisation costs for the first 3.3 months of $46,575 per month and a utility decrement to account for the 25% of patients who required a stay in the intensive care unit resulted in an ICER of </w:t>
      </w:r>
      <w:r w:rsidRPr="00FA1F5D">
        <w:rPr>
          <w:rFonts w:ascii="Franklin Gothic Book" w:hAnsi="Franklin Gothic Book"/>
          <w:sz w:val="22"/>
          <w:szCs w:val="22"/>
        </w:rPr>
        <w:t>$</w:t>
      </w:r>
      <w:r w:rsidR="002610F9" w:rsidRPr="002610F9">
        <w:rPr>
          <w:rFonts w:ascii="Franklin Gothic Book" w:hAnsi="Franklin Gothic Book"/>
          <w:color w:val="000000"/>
          <w:w w:val="66"/>
          <w:sz w:val="22"/>
          <w:szCs w:val="22"/>
          <w:shd w:val="solid" w:color="000000" w:fill="000000"/>
          <w:fitText w:val="440" w:id="-1217620477"/>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2"/>
          <w:shd w:val="solid" w:color="000000" w:fill="000000"/>
          <w:fitText w:val="440" w:id="-1217620477"/>
          <w14:textFill>
            <w14:solidFill>
              <w14:srgbClr w14:val="000000">
                <w14:alpha w14:val="100000"/>
              </w14:srgbClr>
            </w14:solidFill>
          </w14:textFill>
        </w:rPr>
        <w:t>|</w:t>
      </w:r>
      <w:r w:rsidRPr="00FA1F5D">
        <w:rPr>
          <w:rFonts w:ascii="Franklin Gothic Book" w:hAnsi="Franklin Gothic Book"/>
          <w:sz w:val="22"/>
          <w:szCs w:val="22"/>
        </w:rPr>
        <w:t>/QALY</w:t>
      </w:r>
      <w:r w:rsidRPr="00541D2B">
        <w:rPr>
          <w:rFonts w:ascii="Franklin Gothic Book" w:hAnsi="Franklin Gothic Book"/>
          <w:sz w:val="22"/>
          <w:szCs w:val="22"/>
        </w:rPr>
        <w:t>.</w:t>
      </w:r>
      <w:r w:rsidR="009E26D3">
        <w:rPr>
          <w:rFonts w:ascii="Franklin Gothic Book" w:hAnsi="Franklin Gothic Book"/>
          <w:sz w:val="22"/>
          <w:szCs w:val="22"/>
        </w:rPr>
        <w:t xml:space="preserve"> MSAC noted the pre-MSAC response</w:t>
      </w:r>
      <w:r w:rsidR="008155A5">
        <w:rPr>
          <w:rFonts w:ascii="Franklin Gothic Book" w:hAnsi="Franklin Gothic Book"/>
          <w:sz w:val="22"/>
          <w:szCs w:val="22"/>
        </w:rPr>
        <w:t xml:space="preserve"> </w:t>
      </w:r>
      <w:r w:rsidR="002A4656">
        <w:rPr>
          <w:rFonts w:ascii="Franklin Gothic Book" w:hAnsi="Franklin Gothic Book"/>
          <w:sz w:val="22"/>
          <w:szCs w:val="22"/>
        </w:rPr>
        <w:t xml:space="preserve">considered </w:t>
      </w:r>
      <w:r w:rsidR="008F6154">
        <w:rPr>
          <w:rFonts w:ascii="Franklin Gothic Book" w:hAnsi="Franklin Gothic Book"/>
          <w:sz w:val="22"/>
          <w:szCs w:val="22"/>
        </w:rPr>
        <w:t xml:space="preserve">that the </w:t>
      </w:r>
      <w:r w:rsidR="007F126E">
        <w:rPr>
          <w:rFonts w:ascii="Franklin Gothic Book" w:hAnsi="Franklin Gothic Book"/>
          <w:sz w:val="22"/>
          <w:szCs w:val="22"/>
        </w:rPr>
        <w:t xml:space="preserve">ESC </w:t>
      </w:r>
      <w:r w:rsidR="008F6154">
        <w:rPr>
          <w:rFonts w:ascii="Franklin Gothic Book" w:hAnsi="Franklin Gothic Book"/>
          <w:sz w:val="22"/>
          <w:szCs w:val="22"/>
        </w:rPr>
        <w:t xml:space="preserve">sensitivity </w:t>
      </w:r>
      <w:r w:rsidR="009D1766">
        <w:rPr>
          <w:rFonts w:ascii="Franklin Gothic Book" w:hAnsi="Franklin Gothic Book"/>
          <w:sz w:val="22"/>
          <w:szCs w:val="22"/>
        </w:rPr>
        <w:t xml:space="preserve">analyses </w:t>
      </w:r>
      <w:r w:rsidR="00F87A09" w:rsidRPr="00F87A09">
        <w:rPr>
          <w:rFonts w:ascii="Franklin Gothic Book" w:hAnsi="Franklin Gothic Book"/>
          <w:sz w:val="22"/>
          <w:szCs w:val="22"/>
        </w:rPr>
        <w:t>that appl</w:t>
      </w:r>
      <w:r w:rsidR="002D51B5">
        <w:rPr>
          <w:rFonts w:ascii="Franklin Gothic Book" w:hAnsi="Franklin Gothic Book"/>
          <w:sz w:val="22"/>
          <w:szCs w:val="22"/>
        </w:rPr>
        <w:t>ied</w:t>
      </w:r>
      <w:r w:rsidR="00F87A09" w:rsidRPr="00F87A09">
        <w:rPr>
          <w:rFonts w:ascii="Franklin Gothic Book" w:hAnsi="Franklin Gothic Book"/>
          <w:sz w:val="22"/>
          <w:szCs w:val="22"/>
        </w:rPr>
        <w:t xml:space="preserve"> additional </w:t>
      </w:r>
      <w:proofErr w:type="spellStart"/>
      <w:r w:rsidR="00F87A09" w:rsidRPr="00F87A09">
        <w:rPr>
          <w:rFonts w:ascii="Franklin Gothic Book" w:hAnsi="Franklin Gothic Book"/>
          <w:sz w:val="22"/>
          <w:szCs w:val="22"/>
        </w:rPr>
        <w:t>disutilities</w:t>
      </w:r>
      <w:proofErr w:type="spellEnd"/>
      <w:r w:rsidR="00F87A09" w:rsidRPr="00F87A09">
        <w:rPr>
          <w:rFonts w:ascii="Franklin Gothic Book" w:hAnsi="Franklin Gothic Book"/>
          <w:sz w:val="22"/>
          <w:szCs w:val="22"/>
        </w:rPr>
        <w:t xml:space="preserve"> double count these </w:t>
      </w:r>
      <w:proofErr w:type="spellStart"/>
      <w:r w:rsidR="00F87A09" w:rsidRPr="00F87A09">
        <w:rPr>
          <w:rFonts w:ascii="Franklin Gothic Book" w:hAnsi="Franklin Gothic Book"/>
          <w:sz w:val="22"/>
          <w:szCs w:val="22"/>
        </w:rPr>
        <w:t>disutilities</w:t>
      </w:r>
      <w:proofErr w:type="spellEnd"/>
      <w:r w:rsidR="00702FC2">
        <w:rPr>
          <w:rFonts w:ascii="Franklin Gothic Book" w:hAnsi="Franklin Gothic Book"/>
          <w:sz w:val="22"/>
          <w:szCs w:val="22"/>
        </w:rPr>
        <w:t xml:space="preserve"> </w:t>
      </w:r>
      <w:r w:rsidR="00F87A09" w:rsidRPr="00F87A09">
        <w:rPr>
          <w:rFonts w:ascii="Franklin Gothic Book" w:hAnsi="Franklin Gothic Book"/>
          <w:sz w:val="22"/>
          <w:szCs w:val="22"/>
        </w:rPr>
        <w:t>and should be corrected</w:t>
      </w:r>
      <w:r w:rsidR="00F87A09">
        <w:rPr>
          <w:rFonts w:ascii="Franklin Gothic Book" w:hAnsi="Franklin Gothic Book"/>
          <w:sz w:val="22"/>
          <w:szCs w:val="22"/>
        </w:rPr>
        <w:t>. MSAC</w:t>
      </w:r>
      <w:r w:rsidR="00702FC2">
        <w:rPr>
          <w:rFonts w:ascii="Franklin Gothic Book" w:hAnsi="Franklin Gothic Book"/>
          <w:sz w:val="22"/>
          <w:szCs w:val="22"/>
        </w:rPr>
        <w:t xml:space="preserve"> noted this </w:t>
      </w:r>
      <w:proofErr w:type="gramStart"/>
      <w:r w:rsidR="00702FC2">
        <w:rPr>
          <w:rFonts w:ascii="Franklin Gothic Book" w:hAnsi="Franklin Gothic Book"/>
          <w:sz w:val="22"/>
          <w:szCs w:val="22"/>
        </w:rPr>
        <w:t>concern, but</w:t>
      </w:r>
      <w:proofErr w:type="gramEnd"/>
      <w:r w:rsidR="00F87A09">
        <w:rPr>
          <w:rFonts w:ascii="Franklin Gothic Book" w:hAnsi="Franklin Gothic Book"/>
          <w:sz w:val="22"/>
          <w:szCs w:val="22"/>
        </w:rPr>
        <w:t xml:space="preserve"> </w:t>
      </w:r>
      <w:r w:rsidR="00561216">
        <w:rPr>
          <w:rFonts w:ascii="Franklin Gothic Book" w:hAnsi="Franklin Gothic Book"/>
          <w:sz w:val="22"/>
          <w:szCs w:val="22"/>
        </w:rPr>
        <w:t xml:space="preserve">considered that </w:t>
      </w:r>
      <w:r w:rsidR="00BD0EE1">
        <w:rPr>
          <w:rFonts w:ascii="Franklin Gothic Book" w:hAnsi="Franklin Gothic Book"/>
          <w:sz w:val="22"/>
          <w:szCs w:val="22"/>
        </w:rPr>
        <w:t xml:space="preserve">specific </w:t>
      </w:r>
      <w:r w:rsidR="00E911C2">
        <w:rPr>
          <w:rFonts w:ascii="Franklin Gothic Book" w:hAnsi="Franklin Gothic Book"/>
          <w:sz w:val="22"/>
          <w:szCs w:val="22"/>
        </w:rPr>
        <w:t>utility weights for AE</w:t>
      </w:r>
      <w:r w:rsidR="002622C4">
        <w:rPr>
          <w:rFonts w:ascii="Franklin Gothic Book" w:hAnsi="Franklin Gothic Book"/>
          <w:sz w:val="22"/>
          <w:szCs w:val="22"/>
        </w:rPr>
        <w:t xml:space="preserve">s </w:t>
      </w:r>
      <w:r w:rsidR="000A41A9">
        <w:rPr>
          <w:rFonts w:ascii="Franklin Gothic Book" w:hAnsi="Franklin Gothic Book"/>
          <w:sz w:val="22"/>
          <w:szCs w:val="22"/>
        </w:rPr>
        <w:t>sh</w:t>
      </w:r>
      <w:r w:rsidR="002622C4">
        <w:rPr>
          <w:rFonts w:ascii="Franklin Gothic Book" w:hAnsi="Franklin Gothic Book"/>
          <w:sz w:val="22"/>
          <w:szCs w:val="22"/>
        </w:rPr>
        <w:t xml:space="preserve">ould be used rather </w:t>
      </w:r>
      <w:r w:rsidR="00561216">
        <w:rPr>
          <w:rFonts w:ascii="Franklin Gothic Book" w:hAnsi="Franklin Gothic Book"/>
          <w:sz w:val="22"/>
          <w:szCs w:val="22"/>
        </w:rPr>
        <w:t>than using average utility weights</w:t>
      </w:r>
      <w:r w:rsidR="00F55005">
        <w:rPr>
          <w:rFonts w:ascii="Franklin Gothic Book" w:hAnsi="Franklin Gothic Book"/>
          <w:sz w:val="22"/>
          <w:szCs w:val="22"/>
        </w:rPr>
        <w:t xml:space="preserve"> observed from </w:t>
      </w:r>
      <w:r w:rsidR="00B35634">
        <w:rPr>
          <w:rFonts w:ascii="Franklin Gothic Book" w:hAnsi="Franklin Gothic Book"/>
          <w:sz w:val="22"/>
          <w:szCs w:val="22"/>
        </w:rPr>
        <w:t xml:space="preserve">the </w:t>
      </w:r>
      <w:r w:rsidR="00F55005">
        <w:rPr>
          <w:rFonts w:ascii="Franklin Gothic Book" w:hAnsi="Franklin Gothic Book"/>
          <w:sz w:val="22"/>
          <w:szCs w:val="22"/>
        </w:rPr>
        <w:t>trial</w:t>
      </w:r>
      <w:r w:rsidR="002D51B5">
        <w:rPr>
          <w:rFonts w:ascii="Franklin Gothic Book" w:hAnsi="Franklin Gothic Book"/>
          <w:sz w:val="22"/>
          <w:szCs w:val="22"/>
        </w:rPr>
        <w:t>.</w:t>
      </w:r>
      <w:r w:rsidR="008155A5">
        <w:rPr>
          <w:rFonts w:ascii="Franklin Gothic Book" w:hAnsi="Franklin Gothic Book"/>
          <w:sz w:val="22"/>
          <w:szCs w:val="22"/>
        </w:rPr>
        <w:t xml:space="preserve"> </w:t>
      </w:r>
      <w:r w:rsidR="0092357D">
        <w:rPr>
          <w:rFonts w:ascii="Franklin Gothic Book" w:hAnsi="Franklin Gothic Book"/>
          <w:sz w:val="22"/>
          <w:szCs w:val="22"/>
        </w:rPr>
        <w:t xml:space="preserve"> </w:t>
      </w:r>
      <w:r w:rsidR="002D51B5">
        <w:rPr>
          <w:rFonts w:ascii="Franklin Gothic Book" w:hAnsi="Franklin Gothic Book"/>
          <w:sz w:val="22"/>
          <w:szCs w:val="22"/>
        </w:rPr>
        <w:t>MSAC noted t</w:t>
      </w:r>
      <w:r w:rsidRPr="00541D2B">
        <w:rPr>
          <w:rFonts w:ascii="Franklin Gothic Book" w:hAnsi="Franklin Gothic Book"/>
          <w:sz w:val="22"/>
          <w:szCs w:val="22"/>
        </w:rPr>
        <w:t xml:space="preserve">here is also uncertainty in the uptake of 3L CAR-T in Australia, with lower uptake than was predicted. MSAC noted that the model assumes an uptake of </w:t>
      </w:r>
      <w:r w:rsidR="002610F9" w:rsidRPr="002610F9">
        <w:rPr>
          <w:rFonts w:ascii="Franklin Gothic Book" w:hAnsi="Franklin Gothic Book"/>
          <w:color w:val="000000"/>
          <w:w w:val="66"/>
          <w:sz w:val="22"/>
          <w:szCs w:val="22"/>
          <w:shd w:val="solid" w:color="000000" w:fill="000000"/>
          <w:fitText w:val="440" w:id="-1217620476"/>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2"/>
          <w:shd w:val="solid" w:color="000000" w:fill="000000"/>
          <w:fitText w:val="440" w:id="-1217620476"/>
          <w14:textFill>
            <w14:solidFill>
              <w14:srgbClr w14:val="000000">
                <w14:alpha w14:val="100000"/>
              </w14:srgbClr>
            </w14:solidFill>
          </w14:textFill>
        </w:rPr>
        <w:t>|</w:t>
      </w:r>
      <w:r w:rsidRPr="00541D2B">
        <w:rPr>
          <w:rFonts w:ascii="Franklin Gothic Book" w:hAnsi="Franklin Gothic Book"/>
          <w:sz w:val="22"/>
          <w:szCs w:val="22"/>
        </w:rPr>
        <w:t xml:space="preserve"> however, the pre-ESC response indicated it is approximately </w:t>
      </w:r>
      <w:r w:rsidR="002610F9" w:rsidRPr="002610F9">
        <w:rPr>
          <w:rFonts w:ascii="Franklin Gothic Book" w:hAnsi="Franklin Gothic Book"/>
          <w:color w:val="000000"/>
          <w:w w:val="66"/>
          <w:sz w:val="22"/>
          <w:szCs w:val="22"/>
          <w:shd w:val="solid" w:color="000000" w:fill="000000"/>
          <w:fitText w:val="440" w:id="-1217620475"/>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2"/>
          <w:shd w:val="solid" w:color="000000" w:fill="000000"/>
          <w:fitText w:val="440" w:id="-1217620475"/>
          <w14:textFill>
            <w14:solidFill>
              <w14:srgbClr w14:val="000000">
                <w14:alpha w14:val="100000"/>
              </w14:srgbClr>
            </w14:solidFill>
          </w14:textFill>
        </w:rPr>
        <w:t>|</w:t>
      </w:r>
      <w:r w:rsidRPr="00541D2B">
        <w:rPr>
          <w:rFonts w:ascii="Franklin Gothic Book" w:hAnsi="Franklin Gothic Book"/>
          <w:sz w:val="22"/>
          <w:szCs w:val="22"/>
        </w:rPr>
        <w:t xml:space="preserve"> in the Australian setting and that the ICER was sensitive to this estimate</w:t>
      </w:r>
      <w:r w:rsidR="00AF60B0">
        <w:rPr>
          <w:rFonts w:ascii="Franklin Gothic Book" w:hAnsi="Franklin Gothic Book"/>
          <w:sz w:val="22"/>
          <w:szCs w:val="22"/>
        </w:rPr>
        <w:t xml:space="preserve">. MSAC </w:t>
      </w:r>
      <w:r w:rsidR="00BD04D3">
        <w:rPr>
          <w:rFonts w:ascii="Franklin Gothic Book" w:hAnsi="Franklin Gothic Book"/>
          <w:sz w:val="22"/>
          <w:szCs w:val="22"/>
        </w:rPr>
        <w:t xml:space="preserve">noted </w:t>
      </w:r>
      <w:r w:rsidR="00784C16">
        <w:rPr>
          <w:rFonts w:ascii="Franklin Gothic Book" w:hAnsi="Franklin Gothic Book"/>
          <w:sz w:val="22"/>
          <w:szCs w:val="22"/>
        </w:rPr>
        <w:t>the pre-M</w:t>
      </w:r>
      <w:r w:rsidR="00695D27">
        <w:rPr>
          <w:rFonts w:ascii="Franklin Gothic Book" w:hAnsi="Franklin Gothic Book"/>
          <w:sz w:val="22"/>
          <w:szCs w:val="22"/>
        </w:rPr>
        <w:t>S</w:t>
      </w:r>
      <w:r w:rsidR="00784C16">
        <w:rPr>
          <w:rFonts w:ascii="Franklin Gothic Book" w:hAnsi="Franklin Gothic Book"/>
          <w:sz w:val="22"/>
          <w:szCs w:val="22"/>
        </w:rPr>
        <w:t>AC response which stated</w:t>
      </w:r>
      <w:r w:rsidR="00695D27">
        <w:rPr>
          <w:rFonts w:ascii="Franklin Gothic Book" w:hAnsi="Franklin Gothic Book"/>
          <w:sz w:val="22"/>
          <w:szCs w:val="22"/>
        </w:rPr>
        <w:t xml:space="preserve"> the sensitivity analysis</w:t>
      </w:r>
      <w:r w:rsidR="00950E05">
        <w:rPr>
          <w:rFonts w:ascii="Franklin Gothic Book" w:hAnsi="Franklin Gothic Book"/>
          <w:sz w:val="22"/>
          <w:szCs w:val="22"/>
        </w:rPr>
        <w:t xml:space="preserve"> </w:t>
      </w:r>
      <w:r w:rsidR="00950E05" w:rsidRPr="00950E05">
        <w:rPr>
          <w:rFonts w:ascii="Franklin Gothic Book" w:hAnsi="Franklin Gothic Book"/>
          <w:sz w:val="22"/>
          <w:szCs w:val="22"/>
        </w:rPr>
        <w:t xml:space="preserve">that applies costs of 3L CAR T-cell therapy for </w:t>
      </w:r>
      <w:r w:rsidR="002610F9" w:rsidRPr="002610F9">
        <w:rPr>
          <w:rFonts w:ascii="Franklin Gothic Book" w:hAnsi="Franklin Gothic Book"/>
          <w:color w:val="000000"/>
          <w:w w:val="66"/>
          <w:sz w:val="22"/>
          <w:szCs w:val="22"/>
          <w:shd w:val="solid" w:color="000000" w:fill="000000"/>
          <w:fitText w:val="440" w:id="-1217620474"/>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2"/>
          <w:shd w:val="solid" w:color="000000" w:fill="000000"/>
          <w:fitText w:val="440" w:id="-1217620474"/>
          <w14:textFill>
            <w14:solidFill>
              <w14:srgbClr w14:val="000000">
                <w14:alpha w14:val="100000"/>
              </w14:srgbClr>
            </w14:solidFill>
          </w14:textFill>
        </w:rPr>
        <w:t>|</w:t>
      </w:r>
      <w:r w:rsidR="00950E05" w:rsidRPr="00950E05">
        <w:rPr>
          <w:rFonts w:ascii="Franklin Gothic Book" w:hAnsi="Franklin Gothic Book"/>
          <w:sz w:val="22"/>
          <w:szCs w:val="22"/>
        </w:rPr>
        <w:t xml:space="preserve"> of patients (Australian setting) instead of </w:t>
      </w:r>
      <w:r w:rsidR="002610F9" w:rsidRPr="002610F9">
        <w:rPr>
          <w:rFonts w:ascii="Franklin Gothic Book" w:hAnsi="Franklin Gothic Book"/>
          <w:color w:val="000000"/>
          <w:w w:val="66"/>
          <w:sz w:val="22"/>
          <w:szCs w:val="22"/>
          <w:shd w:val="solid" w:color="000000" w:fill="000000"/>
          <w:fitText w:val="440" w:id="-1217620473"/>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2"/>
          <w:shd w:val="solid" w:color="000000" w:fill="000000"/>
          <w:fitText w:val="440" w:id="-1217620473"/>
          <w14:textFill>
            <w14:solidFill>
              <w14:srgbClr w14:val="000000">
                <w14:alpha w14:val="100000"/>
              </w14:srgbClr>
            </w14:solidFill>
          </w14:textFill>
        </w:rPr>
        <w:t>|</w:t>
      </w:r>
      <w:r w:rsidR="00950E05" w:rsidRPr="00950E05">
        <w:rPr>
          <w:rFonts w:ascii="Franklin Gothic Book" w:hAnsi="Franklin Gothic Book"/>
          <w:sz w:val="22"/>
          <w:szCs w:val="22"/>
        </w:rPr>
        <w:t xml:space="preserve"> of patients (ZUMA-7) in the SoC arm</w:t>
      </w:r>
      <w:r w:rsidR="00695D27">
        <w:rPr>
          <w:rFonts w:ascii="Franklin Gothic Book" w:hAnsi="Franklin Gothic Book"/>
          <w:sz w:val="22"/>
          <w:szCs w:val="22"/>
        </w:rPr>
        <w:t xml:space="preserve"> was incorrect </w:t>
      </w:r>
      <w:r w:rsidR="001B6B64" w:rsidRPr="001B6B64">
        <w:rPr>
          <w:rFonts w:ascii="Franklin Gothic Book" w:hAnsi="Franklin Gothic Book"/>
          <w:sz w:val="22"/>
          <w:szCs w:val="22"/>
        </w:rPr>
        <w:t>because it does not make corresponding changes to outcomes</w:t>
      </w:r>
      <w:r w:rsidR="00E7434B">
        <w:rPr>
          <w:rFonts w:ascii="Franklin Gothic Book" w:hAnsi="Franklin Gothic Book"/>
          <w:sz w:val="22"/>
          <w:szCs w:val="22"/>
        </w:rPr>
        <w:t xml:space="preserve">. </w:t>
      </w:r>
      <w:r w:rsidR="001D2CF9">
        <w:rPr>
          <w:rFonts w:ascii="Franklin Gothic Book" w:hAnsi="Franklin Gothic Book"/>
          <w:sz w:val="22"/>
          <w:szCs w:val="22"/>
        </w:rPr>
        <w:t xml:space="preserve">MSAC </w:t>
      </w:r>
      <w:r w:rsidR="00BD04D3">
        <w:rPr>
          <w:rFonts w:ascii="Franklin Gothic Book" w:hAnsi="Franklin Gothic Book"/>
          <w:sz w:val="22"/>
          <w:szCs w:val="22"/>
        </w:rPr>
        <w:t xml:space="preserve">acknowledged this </w:t>
      </w:r>
      <w:proofErr w:type="gramStart"/>
      <w:r w:rsidR="00BD04D3">
        <w:rPr>
          <w:rFonts w:ascii="Franklin Gothic Book" w:hAnsi="Franklin Gothic Book"/>
          <w:sz w:val="22"/>
          <w:szCs w:val="22"/>
        </w:rPr>
        <w:t>issue</w:t>
      </w:r>
      <w:r w:rsidR="00C9055E">
        <w:rPr>
          <w:rFonts w:ascii="Franklin Gothic Book" w:hAnsi="Franklin Gothic Book"/>
          <w:sz w:val="22"/>
          <w:szCs w:val="22"/>
        </w:rPr>
        <w:t>,</w:t>
      </w:r>
      <w:r w:rsidR="00E7434B">
        <w:rPr>
          <w:rFonts w:ascii="Franklin Gothic Book" w:hAnsi="Franklin Gothic Book"/>
          <w:sz w:val="22"/>
          <w:szCs w:val="22"/>
        </w:rPr>
        <w:t xml:space="preserve"> but</w:t>
      </w:r>
      <w:proofErr w:type="gramEnd"/>
      <w:r w:rsidR="00E7434B">
        <w:rPr>
          <w:rFonts w:ascii="Franklin Gothic Book" w:hAnsi="Franklin Gothic Book"/>
          <w:sz w:val="22"/>
          <w:szCs w:val="22"/>
        </w:rPr>
        <w:t xml:space="preserve"> considered </w:t>
      </w:r>
      <w:r w:rsidR="008740E1">
        <w:rPr>
          <w:rFonts w:ascii="Franklin Gothic Book" w:hAnsi="Franklin Gothic Book"/>
          <w:sz w:val="22"/>
          <w:szCs w:val="22"/>
        </w:rPr>
        <w:t xml:space="preserve">that </w:t>
      </w:r>
      <w:r w:rsidR="00AA1960">
        <w:rPr>
          <w:rFonts w:ascii="Franklin Gothic Book" w:hAnsi="Franklin Gothic Book"/>
          <w:sz w:val="22"/>
          <w:szCs w:val="22"/>
        </w:rPr>
        <w:t xml:space="preserve">any resubmission </w:t>
      </w:r>
      <w:r w:rsidR="00055885">
        <w:rPr>
          <w:rFonts w:ascii="Franklin Gothic Book" w:hAnsi="Franklin Gothic Book"/>
          <w:sz w:val="22"/>
          <w:szCs w:val="22"/>
        </w:rPr>
        <w:t>should</w:t>
      </w:r>
      <w:r w:rsidR="006A1CD1">
        <w:rPr>
          <w:rFonts w:ascii="Franklin Gothic Book" w:hAnsi="Franklin Gothic Book"/>
          <w:sz w:val="22"/>
          <w:szCs w:val="22"/>
        </w:rPr>
        <w:t xml:space="preserve"> further</w:t>
      </w:r>
      <w:r w:rsidR="00055885">
        <w:rPr>
          <w:rFonts w:ascii="Franklin Gothic Book" w:hAnsi="Franklin Gothic Book"/>
          <w:sz w:val="22"/>
          <w:szCs w:val="22"/>
        </w:rPr>
        <w:t xml:space="preserve"> investigate th</w:t>
      </w:r>
      <w:r w:rsidR="007A5BDC">
        <w:rPr>
          <w:rFonts w:ascii="Franklin Gothic Book" w:hAnsi="Franklin Gothic Book"/>
          <w:sz w:val="22"/>
          <w:szCs w:val="22"/>
        </w:rPr>
        <w:t>is</w:t>
      </w:r>
      <w:r w:rsidR="00836FF1">
        <w:rPr>
          <w:rFonts w:ascii="Franklin Gothic Book" w:hAnsi="Franklin Gothic Book"/>
          <w:sz w:val="22"/>
          <w:szCs w:val="22"/>
        </w:rPr>
        <w:t xml:space="preserve"> model driver</w:t>
      </w:r>
      <w:r w:rsidR="001A08B8">
        <w:rPr>
          <w:rFonts w:ascii="Franklin Gothic Book" w:hAnsi="Franklin Gothic Book"/>
          <w:sz w:val="22"/>
          <w:szCs w:val="22"/>
        </w:rPr>
        <w:t>,</w:t>
      </w:r>
      <w:r w:rsidR="0074220D">
        <w:rPr>
          <w:rFonts w:ascii="Franklin Gothic Book" w:hAnsi="Franklin Gothic Book"/>
          <w:sz w:val="22"/>
          <w:szCs w:val="22"/>
        </w:rPr>
        <w:t xml:space="preserve"> given th</w:t>
      </w:r>
      <w:r w:rsidR="00E80C59">
        <w:rPr>
          <w:rFonts w:ascii="Franklin Gothic Book" w:hAnsi="Franklin Gothic Book"/>
          <w:sz w:val="22"/>
          <w:szCs w:val="22"/>
        </w:rPr>
        <w:t xml:space="preserve">e local data </w:t>
      </w:r>
      <w:r w:rsidR="009B6788">
        <w:rPr>
          <w:rFonts w:ascii="Franklin Gothic Book" w:hAnsi="Franklin Gothic Book"/>
          <w:sz w:val="22"/>
          <w:szCs w:val="22"/>
        </w:rPr>
        <w:t xml:space="preserve">indicated the use of </w:t>
      </w:r>
      <w:r w:rsidR="009B6788" w:rsidRPr="00541D2B">
        <w:rPr>
          <w:rFonts w:ascii="Franklin Gothic Book" w:hAnsi="Franklin Gothic Book"/>
          <w:sz w:val="22"/>
          <w:szCs w:val="22"/>
        </w:rPr>
        <w:t>3L CAR-T therapy</w:t>
      </w:r>
      <w:r w:rsidR="00671E99">
        <w:rPr>
          <w:rFonts w:ascii="Franklin Gothic Book" w:hAnsi="Franklin Gothic Book"/>
          <w:sz w:val="22"/>
          <w:szCs w:val="22"/>
        </w:rPr>
        <w:t xml:space="preserve"> was much lower than the trial.</w:t>
      </w:r>
    </w:p>
    <w:p w14:paraId="36F11553" w14:textId="48107878" w:rsidR="00541D2B" w:rsidRPr="00541D2B" w:rsidRDefault="00541D2B" w:rsidP="00541D2B">
      <w:pPr>
        <w:spacing w:before="240"/>
        <w:rPr>
          <w:rFonts w:ascii="Franklin Gothic Book" w:hAnsi="Franklin Gothic Book"/>
          <w:sz w:val="22"/>
          <w:szCs w:val="22"/>
        </w:rPr>
      </w:pPr>
      <w:r w:rsidRPr="00541D2B">
        <w:rPr>
          <w:rFonts w:ascii="Franklin Gothic Book" w:hAnsi="Franklin Gothic Book"/>
          <w:sz w:val="22"/>
          <w:szCs w:val="22"/>
        </w:rPr>
        <w:t xml:space="preserve">MSAC noted that no justification for the </w:t>
      </w:r>
      <w:r w:rsidR="0010790D">
        <w:rPr>
          <w:rFonts w:ascii="Franklin Gothic Book" w:hAnsi="Franklin Gothic Book"/>
          <w:sz w:val="22"/>
          <w:szCs w:val="22"/>
        </w:rPr>
        <w:t xml:space="preserve">proposed </w:t>
      </w:r>
      <w:r w:rsidRPr="00541D2B">
        <w:rPr>
          <w:rFonts w:ascii="Franklin Gothic Book" w:hAnsi="Franklin Gothic Book"/>
          <w:sz w:val="22"/>
          <w:szCs w:val="22"/>
        </w:rPr>
        <w:t xml:space="preserve">pricing had been presented. Overall, the net effective average price currently paid for AXI in the 3L setting and sought for AXI in the 2L setting is </w:t>
      </w:r>
      <w:r w:rsidRPr="00FA1F5D">
        <w:rPr>
          <w:rFonts w:ascii="Franklin Gothic Book" w:hAnsi="Franklin Gothic Book"/>
          <w:sz w:val="22"/>
          <w:szCs w:val="22"/>
        </w:rPr>
        <w:t>$</w:t>
      </w:r>
      <w:r w:rsidR="002610F9" w:rsidRPr="002610F9">
        <w:rPr>
          <w:rFonts w:ascii="Franklin Gothic Book" w:hAnsi="Franklin Gothic Book"/>
          <w:color w:val="000000"/>
          <w:w w:val="66"/>
          <w:sz w:val="22"/>
          <w:szCs w:val="22"/>
          <w:shd w:val="solid" w:color="000000" w:fill="000000"/>
          <w:fitText w:val="440" w:id="-1217620472"/>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2"/>
          <w:shd w:val="solid" w:color="000000" w:fill="000000"/>
          <w:fitText w:val="440" w:id="-1217620472"/>
          <w14:textFill>
            <w14:solidFill>
              <w14:srgbClr w14:val="000000">
                <w14:alpha w14:val="100000"/>
              </w14:srgbClr>
            </w14:solidFill>
          </w14:textFill>
        </w:rPr>
        <w:t>|</w:t>
      </w:r>
      <w:r w:rsidRPr="00541D2B">
        <w:rPr>
          <w:rFonts w:ascii="Franklin Gothic Book" w:hAnsi="Franklin Gothic Book"/>
          <w:sz w:val="22"/>
          <w:szCs w:val="22"/>
        </w:rPr>
        <w:t xml:space="preserve"> per patient infused. MSAC noted that the payment schedule </w:t>
      </w:r>
      <w:r w:rsidR="00180864">
        <w:rPr>
          <w:rFonts w:ascii="Franklin Gothic Book" w:hAnsi="Franklin Gothic Book"/>
          <w:sz w:val="22"/>
          <w:szCs w:val="22"/>
        </w:rPr>
        <w:t>based</w:t>
      </w:r>
      <w:r w:rsidR="00532F8E">
        <w:rPr>
          <w:rFonts w:ascii="Franklin Gothic Book" w:hAnsi="Franklin Gothic Book"/>
          <w:sz w:val="22"/>
          <w:szCs w:val="22"/>
        </w:rPr>
        <w:t xml:space="preserve"> on</w:t>
      </w:r>
      <w:r w:rsidR="00180864" w:rsidRPr="00541D2B">
        <w:rPr>
          <w:rFonts w:ascii="Franklin Gothic Book" w:hAnsi="Franklin Gothic Book"/>
          <w:sz w:val="22"/>
          <w:szCs w:val="22"/>
        </w:rPr>
        <w:t xml:space="preserve"> </w:t>
      </w:r>
      <w:r w:rsidRPr="00541D2B">
        <w:rPr>
          <w:rFonts w:ascii="Franklin Gothic Book" w:hAnsi="Franklin Gothic Book"/>
          <w:sz w:val="22"/>
          <w:szCs w:val="22"/>
        </w:rPr>
        <w:t xml:space="preserve">upon infusion and on outcomes was not included in the ADAR, and although the applicant noted that this could be discussed </w:t>
      </w:r>
      <w:proofErr w:type="gramStart"/>
      <w:r w:rsidRPr="00541D2B">
        <w:rPr>
          <w:rFonts w:ascii="Franklin Gothic Book" w:hAnsi="Franklin Gothic Book"/>
          <w:sz w:val="22"/>
          <w:szCs w:val="22"/>
        </w:rPr>
        <w:t>at a later date</w:t>
      </w:r>
      <w:proofErr w:type="gramEnd"/>
      <w:r w:rsidRPr="00541D2B">
        <w:rPr>
          <w:rFonts w:ascii="Franklin Gothic Book" w:hAnsi="Franklin Gothic Book"/>
          <w:sz w:val="22"/>
          <w:szCs w:val="22"/>
        </w:rPr>
        <w:t>, MSAC considered that details of any arrangements would be essential for future applications. MSAC also advised that</w:t>
      </w:r>
      <w:r w:rsidR="006B6814">
        <w:rPr>
          <w:rFonts w:ascii="Franklin Gothic Book" w:hAnsi="Franklin Gothic Book"/>
          <w:sz w:val="22"/>
          <w:szCs w:val="22"/>
        </w:rPr>
        <w:t xml:space="preserve"> the economic evaluation </w:t>
      </w:r>
      <w:r w:rsidR="00901250">
        <w:rPr>
          <w:rFonts w:ascii="Franklin Gothic Book" w:hAnsi="Franklin Gothic Book"/>
          <w:sz w:val="22"/>
          <w:szCs w:val="22"/>
        </w:rPr>
        <w:t>needed to be revised and</w:t>
      </w:r>
      <w:r w:rsidRPr="00541D2B">
        <w:rPr>
          <w:rFonts w:ascii="Franklin Gothic Book" w:hAnsi="Franklin Gothic Book"/>
          <w:sz w:val="22"/>
          <w:szCs w:val="22"/>
        </w:rPr>
        <w:t xml:space="preserve"> a price for AXI </w:t>
      </w:r>
      <w:r w:rsidR="00901250">
        <w:rPr>
          <w:rFonts w:ascii="Franklin Gothic Book" w:hAnsi="Franklin Gothic Book"/>
          <w:sz w:val="22"/>
          <w:szCs w:val="22"/>
        </w:rPr>
        <w:t>needed to be</w:t>
      </w:r>
      <w:r w:rsidRPr="00541D2B">
        <w:rPr>
          <w:rFonts w:ascii="Franklin Gothic Book" w:hAnsi="Franklin Gothic Book"/>
          <w:sz w:val="22"/>
          <w:szCs w:val="22"/>
        </w:rPr>
        <w:t xml:space="preserve"> ascertained at which it is acceptably cost-effective.</w:t>
      </w:r>
    </w:p>
    <w:p w14:paraId="59CBD317" w14:textId="6B07A943" w:rsidR="00541D2B" w:rsidRPr="00541D2B" w:rsidRDefault="00541D2B" w:rsidP="00541D2B">
      <w:pPr>
        <w:spacing w:before="240"/>
        <w:rPr>
          <w:rFonts w:ascii="Franklin Gothic Book" w:hAnsi="Franklin Gothic Book"/>
          <w:sz w:val="22"/>
          <w:szCs w:val="22"/>
        </w:rPr>
      </w:pPr>
      <w:r w:rsidRPr="00541D2B">
        <w:rPr>
          <w:rFonts w:ascii="Franklin Gothic Book" w:hAnsi="Franklin Gothic Book"/>
          <w:sz w:val="22"/>
          <w:szCs w:val="22"/>
        </w:rPr>
        <w:t xml:space="preserve">MSAC noted that the ADAR presented a financial impact of </w:t>
      </w:r>
      <w:r w:rsidRPr="00FA1F5D">
        <w:rPr>
          <w:rFonts w:ascii="Franklin Gothic Book" w:hAnsi="Franklin Gothic Book"/>
          <w:sz w:val="22"/>
          <w:szCs w:val="22"/>
        </w:rPr>
        <w:t>$</w:t>
      </w:r>
      <w:r w:rsidR="002610F9" w:rsidRPr="002610F9">
        <w:rPr>
          <w:rFonts w:ascii="Franklin Gothic Book" w:hAnsi="Franklin Gothic Book"/>
          <w:color w:val="000000"/>
          <w:w w:val="66"/>
          <w:sz w:val="22"/>
          <w:szCs w:val="22"/>
          <w:shd w:val="solid" w:color="000000" w:fill="000000"/>
          <w:fitText w:val="440" w:id="-1217620471"/>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2"/>
          <w:shd w:val="solid" w:color="000000" w:fill="000000"/>
          <w:fitText w:val="440" w:id="-1217620471"/>
          <w14:textFill>
            <w14:solidFill>
              <w14:srgbClr w14:val="000000">
                <w14:alpha w14:val="100000"/>
              </w14:srgbClr>
            </w14:solidFill>
          </w14:textFill>
        </w:rPr>
        <w:t>|</w:t>
      </w:r>
      <w:r w:rsidRPr="00541D2B">
        <w:rPr>
          <w:rFonts w:ascii="Franklin Gothic Book" w:hAnsi="Franklin Gothic Book"/>
          <w:sz w:val="22"/>
          <w:szCs w:val="22"/>
        </w:rPr>
        <w:t xml:space="preserve"> in </w:t>
      </w:r>
      <w:r w:rsidR="00671E99">
        <w:rPr>
          <w:rFonts w:ascii="Franklin Gothic Book" w:hAnsi="Franklin Gothic Book"/>
          <w:sz w:val="22"/>
          <w:szCs w:val="22"/>
        </w:rPr>
        <w:t>Y</w:t>
      </w:r>
      <w:r w:rsidRPr="00541D2B">
        <w:rPr>
          <w:rFonts w:ascii="Franklin Gothic Book" w:hAnsi="Franklin Gothic Book"/>
          <w:sz w:val="22"/>
          <w:szCs w:val="22"/>
        </w:rPr>
        <w:t xml:space="preserve">ear 1 to </w:t>
      </w:r>
      <w:r w:rsidRPr="00FA1F5D">
        <w:rPr>
          <w:rFonts w:ascii="Franklin Gothic Book" w:hAnsi="Franklin Gothic Book"/>
          <w:sz w:val="22"/>
          <w:szCs w:val="22"/>
        </w:rPr>
        <w:t>$</w:t>
      </w:r>
      <w:r w:rsidR="002610F9" w:rsidRPr="002610F9">
        <w:rPr>
          <w:rFonts w:ascii="Franklin Gothic Book" w:hAnsi="Franklin Gothic Book"/>
          <w:color w:val="000000"/>
          <w:w w:val="66"/>
          <w:sz w:val="22"/>
          <w:szCs w:val="22"/>
          <w:shd w:val="solid" w:color="000000" w:fill="000000"/>
          <w:fitText w:val="440" w:id="-1217620470"/>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2"/>
          <w:shd w:val="solid" w:color="000000" w:fill="000000"/>
          <w:fitText w:val="440" w:id="-1217620470"/>
          <w14:textFill>
            <w14:solidFill>
              <w14:srgbClr w14:val="000000">
                <w14:alpha w14:val="100000"/>
              </w14:srgbClr>
            </w14:solidFill>
          </w14:textFill>
        </w:rPr>
        <w:t>|</w:t>
      </w:r>
      <w:r w:rsidRPr="00541D2B">
        <w:rPr>
          <w:rFonts w:ascii="Franklin Gothic Book" w:hAnsi="Franklin Gothic Book"/>
          <w:sz w:val="22"/>
          <w:szCs w:val="22"/>
        </w:rPr>
        <w:t xml:space="preserve"> in </w:t>
      </w:r>
      <w:r w:rsidR="00671E99">
        <w:rPr>
          <w:rFonts w:ascii="Franklin Gothic Book" w:hAnsi="Franklin Gothic Book"/>
          <w:sz w:val="22"/>
          <w:szCs w:val="22"/>
        </w:rPr>
        <w:t>Y</w:t>
      </w:r>
      <w:r w:rsidRPr="00541D2B">
        <w:rPr>
          <w:rFonts w:ascii="Franklin Gothic Book" w:hAnsi="Franklin Gothic Book"/>
          <w:sz w:val="22"/>
          <w:szCs w:val="22"/>
        </w:rPr>
        <w:t>ear</w:t>
      </w:r>
      <w:r w:rsidRPr="00541D2B">
        <w:rPr>
          <w:rFonts w:ascii="Arial" w:hAnsi="Arial" w:cs="Arial"/>
          <w:sz w:val="22"/>
          <w:szCs w:val="22"/>
        </w:rPr>
        <w:t> </w:t>
      </w:r>
      <w:r w:rsidRPr="00541D2B">
        <w:rPr>
          <w:rFonts w:ascii="Franklin Gothic Book" w:hAnsi="Franklin Gothic Book"/>
          <w:sz w:val="22"/>
          <w:szCs w:val="22"/>
        </w:rPr>
        <w:t>6</w:t>
      </w:r>
      <w:r w:rsidR="00323CC6">
        <w:rPr>
          <w:rFonts w:ascii="Franklin Gothic Book" w:hAnsi="Franklin Gothic Book"/>
          <w:sz w:val="22"/>
          <w:szCs w:val="22"/>
        </w:rPr>
        <w:t xml:space="preserve">, with an assumption of </w:t>
      </w:r>
      <w:r w:rsidR="004F393E">
        <w:rPr>
          <w:rFonts w:ascii="Franklin Gothic Book" w:hAnsi="Franklin Gothic Book"/>
          <w:sz w:val="22"/>
          <w:szCs w:val="22"/>
        </w:rPr>
        <w:t>one CAR T treatment per lifetime</w:t>
      </w:r>
      <w:r w:rsidRPr="00541D2B">
        <w:rPr>
          <w:rFonts w:ascii="Franklin Gothic Book" w:hAnsi="Franklin Gothic Book"/>
          <w:sz w:val="22"/>
          <w:szCs w:val="22"/>
        </w:rPr>
        <w:t xml:space="preserve">. However, when considering increased hospital costs and a </w:t>
      </w:r>
      <w:r w:rsidR="002610F9" w:rsidRPr="002610F9">
        <w:rPr>
          <w:rFonts w:ascii="Franklin Gothic Book" w:hAnsi="Franklin Gothic Book"/>
          <w:color w:val="000000"/>
          <w:w w:val="66"/>
          <w:sz w:val="22"/>
          <w:szCs w:val="22"/>
          <w:shd w:val="solid" w:color="000000" w:fill="000000"/>
          <w:fitText w:val="440" w:id="-1217620469"/>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2"/>
          <w:shd w:val="solid" w:color="000000" w:fill="000000"/>
          <w:fitText w:val="440" w:id="-1217620469"/>
          <w14:textFill>
            <w14:solidFill>
              <w14:srgbClr w14:val="000000">
                <w14:alpha w14:val="100000"/>
              </w14:srgbClr>
            </w14:solidFill>
          </w14:textFill>
        </w:rPr>
        <w:t>|</w:t>
      </w:r>
      <w:r w:rsidRPr="00541D2B">
        <w:rPr>
          <w:rFonts w:ascii="Franklin Gothic Book" w:hAnsi="Franklin Gothic Book"/>
          <w:sz w:val="22"/>
          <w:szCs w:val="22"/>
        </w:rPr>
        <w:t xml:space="preserve"> uptake rate for 3L CAR-T in multivariate sensitivity analyses, MSAC noted this financial impact increased significantly to </w:t>
      </w:r>
      <w:r w:rsidRPr="00FA1F5D">
        <w:rPr>
          <w:rFonts w:ascii="Franklin Gothic Book" w:hAnsi="Franklin Gothic Book"/>
          <w:sz w:val="22"/>
          <w:szCs w:val="22"/>
        </w:rPr>
        <w:t>$</w:t>
      </w:r>
      <w:r w:rsidR="002610F9" w:rsidRPr="002610F9">
        <w:rPr>
          <w:rFonts w:ascii="Franklin Gothic Book" w:hAnsi="Franklin Gothic Book"/>
          <w:color w:val="000000"/>
          <w:w w:val="66"/>
          <w:sz w:val="22"/>
          <w:szCs w:val="22"/>
          <w:shd w:val="solid" w:color="000000" w:fill="000000"/>
          <w:fitText w:val="440" w:id="-1217620468"/>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2"/>
          <w:shd w:val="solid" w:color="000000" w:fill="000000"/>
          <w:fitText w:val="440" w:id="-1217620468"/>
          <w14:textFill>
            <w14:solidFill>
              <w14:srgbClr w14:val="000000">
                <w14:alpha w14:val="100000"/>
              </w14:srgbClr>
            </w14:solidFill>
          </w14:textFill>
        </w:rPr>
        <w:t>|</w:t>
      </w:r>
      <w:r w:rsidRPr="00541D2B">
        <w:rPr>
          <w:rFonts w:ascii="Franklin Gothic Book" w:hAnsi="Franklin Gothic Book"/>
          <w:sz w:val="22"/>
          <w:szCs w:val="22"/>
        </w:rPr>
        <w:t xml:space="preserve"> in </w:t>
      </w:r>
      <w:r w:rsidR="00BC15E5">
        <w:rPr>
          <w:rFonts w:ascii="Franklin Gothic Book" w:hAnsi="Franklin Gothic Book"/>
          <w:sz w:val="22"/>
          <w:szCs w:val="22"/>
        </w:rPr>
        <w:t>Y</w:t>
      </w:r>
      <w:r w:rsidRPr="00541D2B">
        <w:rPr>
          <w:rFonts w:ascii="Franklin Gothic Book" w:hAnsi="Franklin Gothic Book"/>
          <w:sz w:val="22"/>
          <w:szCs w:val="22"/>
        </w:rPr>
        <w:t xml:space="preserve">ear 1 to </w:t>
      </w:r>
      <w:r w:rsidRPr="00FA1F5D">
        <w:rPr>
          <w:rFonts w:ascii="Franklin Gothic Book" w:hAnsi="Franklin Gothic Book"/>
          <w:sz w:val="22"/>
          <w:szCs w:val="22"/>
        </w:rPr>
        <w:t>$</w:t>
      </w:r>
      <w:r w:rsidR="002610F9" w:rsidRPr="002610F9">
        <w:rPr>
          <w:rFonts w:ascii="Franklin Gothic Book" w:hAnsi="Franklin Gothic Book"/>
          <w:color w:val="000000"/>
          <w:w w:val="65"/>
          <w:sz w:val="22"/>
          <w:szCs w:val="22"/>
          <w:shd w:val="solid" w:color="000000" w:fill="000000"/>
          <w:fitText w:val="430" w:id="-1217620467"/>
          <w14:textFill>
            <w14:solidFill>
              <w14:srgbClr w14:val="000000">
                <w14:alpha w14:val="100000"/>
              </w14:srgbClr>
            </w14:solidFill>
          </w14:textFill>
        </w:rPr>
        <w:t>|||||</w:t>
      </w:r>
      <w:r w:rsidR="002610F9" w:rsidRPr="002610F9">
        <w:rPr>
          <w:rFonts w:ascii="Franklin Gothic Book" w:hAnsi="Franklin Gothic Book"/>
          <w:color w:val="000000"/>
          <w:spacing w:val="2"/>
          <w:w w:val="65"/>
          <w:sz w:val="22"/>
          <w:szCs w:val="22"/>
          <w:shd w:val="solid" w:color="000000" w:fill="000000"/>
          <w:fitText w:val="430" w:id="-1217620467"/>
          <w14:textFill>
            <w14:solidFill>
              <w14:srgbClr w14:val="000000">
                <w14:alpha w14:val="100000"/>
              </w14:srgbClr>
            </w14:solidFill>
          </w14:textFill>
        </w:rPr>
        <w:t>|</w:t>
      </w:r>
      <w:r w:rsidRPr="00541D2B">
        <w:rPr>
          <w:rFonts w:ascii="Arial" w:hAnsi="Arial" w:cs="Arial"/>
          <w:sz w:val="22"/>
          <w:szCs w:val="22"/>
        </w:rPr>
        <w:t>​</w:t>
      </w:r>
      <w:r w:rsidRPr="00541D2B">
        <w:rPr>
          <w:rFonts w:ascii="Franklin Gothic Book" w:hAnsi="Franklin Gothic Book"/>
          <w:sz w:val="22"/>
          <w:szCs w:val="22"/>
        </w:rPr>
        <w:t xml:space="preserve"> in </w:t>
      </w:r>
      <w:r w:rsidR="00BC15E5">
        <w:rPr>
          <w:rFonts w:ascii="Franklin Gothic Book" w:hAnsi="Franklin Gothic Book"/>
          <w:sz w:val="22"/>
          <w:szCs w:val="22"/>
        </w:rPr>
        <w:t>Y</w:t>
      </w:r>
      <w:r w:rsidRPr="00541D2B">
        <w:rPr>
          <w:rFonts w:ascii="Franklin Gothic Book" w:hAnsi="Franklin Gothic Book"/>
          <w:sz w:val="22"/>
          <w:szCs w:val="22"/>
        </w:rPr>
        <w:t>ear</w:t>
      </w:r>
      <w:r w:rsidRPr="00541D2B">
        <w:rPr>
          <w:rFonts w:ascii="Arial" w:hAnsi="Arial" w:cs="Arial"/>
          <w:sz w:val="22"/>
          <w:szCs w:val="22"/>
        </w:rPr>
        <w:t> </w:t>
      </w:r>
      <w:r w:rsidRPr="00541D2B">
        <w:rPr>
          <w:rFonts w:ascii="Franklin Gothic Book" w:hAnsi="Franklin Gothic Book"/>
          <w:sz w:val="22"/>
          <w:szCs w:val="22"/>
        </w:rPr>
        <w:t>6.</w:t>
      </w:r>
    </w:p>
    <w:p w14:paraId="7B6DED32" w14:textId="642ECFEE" w:rsidR="00541D2B" w:rsidRPr="00541D2B" w:rsidRDefault="00541D2B" w:rsidP="00541D2B">
      <w:pPr>
        <w:spacing w:before="240"/>
        <w:rPr>
          <w:rFonts w:ascii="Franklin Gothic Book" w:hAnsi="Franklin Gothic Book"/>
          <w:sz w:val="22"/>
          <w:szCs w:val="22"/>
        </w:rPr>
      </w:pPr>
      <w:r w:rsidRPr="00541D2B">
        <w:rPr>
          <w:rFonts w:ascii="Franklin Gothic Book" w:hAnsi="Franklin Gothic Book"/>
          <w:sz w:val="22"/>
          <w:szCs w:val="22"/>
        </w:rPr>
        <w:t>MSAC noted that the estimated net budget impact to the NHRA was uncertain</w:t>
      </w:r>
      <w:proofErr w:type="gramStart"/>
      <w:r w:rsidRPr="00541D2B">
        <w:rPr>
          <w:rFonts w:ascii="Franklin Gothic Book" w:hAnsi="Franklin Gothic Book"/>
          <w:sz w:val="22"/>
          <w:szCs w:val="22"/>
        </w:rPr>
        <w:t>, in particular, due</w:t>
      </w:r>
      <w:proofErr w:type="gramEnd"/>
      <w:r w:rsidRPr="00541D2B">
        <w:rPr>
          <w:rFonts w:ascii="Franklin Gothic Book" w:hAnsi="Franklin Gothic Book"/>
          <w:sz w:val="22"/>
          <w:szCs w:val="22"/>
        </w:rPr>
        <w:t xml:space="preserve"> to the lack of clearly defined eligibility criteria for AXI and lack of clarity around costs of administration and treatment of AEs. MSAC considered that the actual budget impact could therefore be higher than the </w:t>
      </w:r>
      <w:r w:rsidRPr="00FA1F5D">
        <w:rPr>
          <w:rFonts w:ascii="Franklin Gothic Book" w:hAnsi="Franklin Gothic Book"/>
          <w:sz w:val="22"/>
          <w:szCs w:val="22"/>
        </w:rPr>
        <w:t>$</w:t>
      </w:r>
      <w:r w:rsidR="002610F9" w:rsidRPr="002610F9">
        <w:rPr>
          <w:rFonts w:ascii="Franklin Gothic Book" w:hAnsi="Franklin Gothic Book"/>
          <w:color w:val="000000"/>
          <w:w w:val="66"/>
          <w:sz w:val="22"/>
          <w:szCs w:val="22"/>
          <w:shd w:val="solid" w:color="000000" w:fill="000000"/>
          <w:fitText w:val="440" w:id="-1217620466"/>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2"/>
          <w:shd w:val="solid" w:color="000000" w:fill="000000"/>
          <w:fitText w:val="440" w:id="-1217620466"/>
          <w14:textFill>
            <w14:solidFill>
              <w14:srgbClr w14:val="000000">
                <w14:alpha w14:val="100000"/>
              </w14:srgbClr>
            </w14:solidFill>
          </w14:textFill>
        </w:rPr>
        <w:t>|</w:t>
      </w:r>
      <w:r w:rsidRPr="00541D2B">
        <w:rPr>
          <w:rFonts w:ascii="Franklin Gothic Book" w:hAnsi="Franklin Gothic Book"/>
          <w:sz w:val="22"/>
          <w:szCs w:val="22"/>
        </w:rPr>
        <w:t xml:space="preserve"> in Year 1 and </w:t>
      </w:r>
      <w:r w:rsidRPr="00FA1F5D">
        <w:rPr>
          <w:rFonts w:ascii="Franklin Gothic Book" w:hAnsi="Franklin Gothic Book"/>
          <w:sz w:val="22"/>
          <w:szCs w:val="22"/>
        </w:rPr>
        <w:t>$</w:t>
      </w:r>
      <w:r w:rsidR="002610F9" w:rsidRPr="002610F9">
        <w:rPr>
          <w:rFonts w:ascii="Franklin Gothic Book" w:hAnsi="Franklin Gothic Book"/>
          <w:color w:val="000000"/>
          <w:w w:val="66"/>
          <w:sz w:val="22"/>
          <w:szCs w:val="22"/>
          <w:shd w:val="solid" w:color="000000" w:fill="000000"/>
          <w:fitText w:val="440" w:id="-1217620465"/>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2"/>
          <w:shd w:val="solid" w:color="000000" w:fill="000000"/>
          <w:fitText w:val="440" w:id="-1217620465"/>
          <w14:textFill>
            <w14:solidFill>
              <w14:srgbClr w14:val="000000">
                <w14:alpha w14:val="100000"/>
              </w14:srgbClr>
            </w14:solidFill>
          </w14:textFill>
        </w:rPr>
        <w:t>|</w:t>
      </w:r>
      <w:r w:rsidRPr="00541D2B">
        <w:rPr>
          <w:rFonts w:ascii="Franklin Gothic Book" w:hAnsi="Franklin Gothic Book"/>
          <w:sz w:val="22"/>
          <w:szCs w:val="22"/>
        </w:rPr>
        <w:t xml:space="preserve"> in Year 6 that was stated in the ADAR.</w:t>
      </w:r>
    </w:p>
    <w:p w14:paraId="4331A12F" w14:textId="53D74F27" w:rsidR="00541D2B" w:rsidRDefault="00541D2B" w:rsidP="00541D2B">
      <w:pPr>
        <w:spacing w:before="240"/>
        <w:rPr>
          <w:rFonts w:ascii="Franklin Gothic Book" w:hAnsi="Franklin Gothic Book"/>
          <w:sz w:val="22"/>
          <w:szCs w:val="22"/>
        </w:rPr>
      </w:pPr>
      <w:r w:rsidRPr="00541D2B">
        <w:rPr>
          <w:rFonts w:ascii="Franklin Gothic Book" w:hAnsi="Franklin Gothic Book"/>
          <w:sz w:val="22"/>
          <w:szCs w:val="22"/>
        </w:rPr>
        <w:t>MSAC also noted the</w:t>
      </w:r>
      <w:r w:rsidR="00032053">
        <w:rPr>
          <w:rFonts w:ascii="Franklin Gothic Book" w:hAnsi="Franklin Gothic Book"/>
          <w:sz w:val="22"/>
          <w:szCs w:val="22"/>
        </w:rPr>
        <w:t xml:space="preserve"> four</w:t>
      </w:r>
      <w:r w:rsidRPr="00541D2B">
        <w:rPr>
          <w:rFonts w:ascii="Franklin Gothic Book" w:hAnsi="Franklin Gothic Book"/>
          <w:sz w:val="22"/>
          <w:szCs w:val="22"/>
        </w:rPr>
        <w:t xml:space="preserve"> submissions from </w:t>
      </w:r>
      <w:r w:rsidR="001A5419">
        <w:rPr>
          <w:rFonts w:ascii="Franklin Gothic Book" w:hAnsi="Franklin Gothic Book"/>
          <w:sz w:val="22"/>
          <w:szCs w:val="22"/>
        </w:rPr>
        <w:t>S</w:t>
      </w:r>
      <w:r w:rsidR="001A5419" w:rsidRPr="00541D2B">
        <w:rPr>
          <w:rFonts w:ascii="Franklin Gothic Book" w:hAnsi="Franklin Gothic Book"/>
          <w:sz w:val="22"/>
          <w:szCs w:val="22"/>
        </w:rPr>
        <w:t xml:space="preserve">tate </w:t>
      </w:r>
      <w:r w:rsidRPr="00541D2B">
        <w:rPr>
          <w:rFonts w:ascii="Franklin Gothic Book" w:hAnsi="Franklin Gothic Book"/>
          <w:sz w:val="22"/>
          <w:szCs w:val="22"/>
        </w:rPr>
        <w:t xml:space="preserve">and </w:t>
      </w:r>
      <w:r w:rsidR="001A5419">
        <w:rPr>
          <w:rFonts w:ascii="Franklin Gothic Book" w:hAnsi="Franklin Gothic Book"/>
          <w:sz w:val="22"/>
          <w:szCs w:val="22"/>
        </w:rPr>
        <w:t>T</w:t>
      </w:r>
      <w:r w:rsidR="001A5419" w:rsidRPr="00541D2B">
        <w:rPr>
          <w:rFonts w:ascii="Franklin Gothic Book" w:hAnsi="Franklin Gothic Book"/>
          <w:sz w:val="22"/>
          <w:szCs w:val="22"/>
        </w:rPr>
        <w:t xml:space="preserve">erritory </w:t>
      </w:r>
      <w:r w:rsidRPr="00541D2B">
        <w:rPr>
          <w:rFonts w:ascii="Franklin Gothic Book" w:hAnsi="Franklin Gothic Book"/>
          <w:sz w:val="22"/>
          <w:szCs w:val="22"/>
        </w:rPr>
        <w:t>governments, as joint funders of this highly specialised therapy via the National Health Reform Agreement, were not supportive of the application.</w:t>
      </w:r>
    </w:p>
    <w:p w14:paraId="0896A422" w14:textId="06047858" w:rsidR="00ED7A7F" w:rsidRPr="00541D2B" w:rsidRDefault="00ED7A7F" w:rsidP="00541D2B">
      <w:pPr>
        <w:spacing w:before="240"/>
        <w:rPr>
          <w:rFonts w:ascii="Franklin Gothic Book" w:hAnsi="Franklin Gothic Book"/>
          <w:sz w:val="22"/>
          <w:szCs w:val="22"/>
        </w:rPr>
      </w:pPr>
      <w:r>
        <w:rPr>
          <w:rFonts w:ascii="Franklin Gothic Book" w:hAnsi="Franklin Gothic Book"/>
          <w:sz w:val="22"/>
          <w:szCs w:val="22"/>
        </w:rPr>
        <w:t xml:space="preserve">Implementation issues were also noted by MSAC including </w:t>
      </w:r>
      <w:r w:rsidR="00ED7929">
        <w:rPr>
          <w:rFonts w:ascii="Franklin Gothic Book" w:hAnsi="Franklin Gothic Book"/>
          <w:sz w:val="22"/>
          <w:szCs w:val="22"/>
        </w:rPr>
        <w:t>data</w:t>
      </w:r>
      <w:r w:rsidR="004A51B5">
        <w:rPr>
          <w:rFonts w:ascii="Franklin Gothic Book" w:hAnsi="Franklin Gothic Book"/>
          <w:sz w:val="22"/>
          <w:szCs w:val="22"/>
        </w:rPr>
        <w:t xml:space="preserve"> accessibility </w:t>
      </w:r>
      <w:r w:rsidR="00ED7929">
        <w:rPr>
          <w:rFonts w:ascii="Franklin Gothic Book" w:hAnsi="Franklin Gothic Book"/>
          <w:sz w:val="22"/>
          <w:szCs w:val="22"/>
        </w:rPr>
        <w:t>issues</w:t>
      </w:r>
      <w:r w:rsidR="004A51B5">
        <w:rPr>
          <w:rFonts w:ascii="Franklin Gothic Book" w:hAnsi="Franklin Gothic Book"/>
          <w:sz w:val="22"/>
          <w:szCs w:val="22"/>
        </w:rPr>
        <w:t xml:space="preserve"> from the CAR T-cell therapy registry for currently approved products</w:t>
      </w:r>
      <w:r w:rsidR="00C854A9">
        <w:rPr>
          <w:rFonts w:ascii="Franklin Gothic Book" w:hAnsi="Franklin Gothic Book"/>
          <w:sz w:val="22"/>
          <w:szCs w:val="22"/>
        </w:rPr>
        <w:t>, and potential supply limitations related to limited treatment sites and trained workforce.</w:t>
      </w:r>
      <w:r w:rsidR="00D53692">
        <w:rPr>
          <w:rFonts w:ascii="Franklin Gothic Book" w:hAnsi="Franklin Gothic Book"/>
          <w:sz w:val="22"/>
          <w:szCs w:val="22"/>
        </w:rPr>
        <w:t xml:space="preserve"> MSAC considered that </w:t>
      </w:r>
      <w:r w:rsidR="00AE65FC">
        <w:rPr>
          <w:rFonts w:ascii="Franklin Gothic Book" w:hAnsi="Franklin Gothic Book"/>
          <w:sz w:val="22"/>
          <w:szCs w:val="22"/>
        </w:rPr>
        <w:t xml:space="preserve">should </w:t>
      </w:r>
      <w:r w:rsidR="00613BFB">
        <w:rPr>
          <w:rFonts w:ascii="Franklin Gothic Book" w:hAnsi="Franklin Gothic Book"/>
          <w:sz w:val="22"/>
          <w:szCs w:val="22"/>
        </w:rPr>
        <w:t xml:space="preserve">the application be supported in the future, outcomes including OS, </w:t>
      </w:r>
      <w:r w:rsidR="004B1B5D">
        <w:rPr>
          <w:rFonts w:ascii="Franklin Gothic Book" w:hAnsi="Franklin Gothic Book"/>
          <w:sz w:val="22"/>
          <w:szCs w:val="22"/>
        </w:rPr>
        <w:t>Progression Free Survival (</w:t>
      </w:r>
      <w:r w:rsidR="00613BFB">
        <w:rPr>
          <w:rFonts w:ascii="Franklin Gothic Book" w:hAnsi="Franklin Gothic Book"/>
          <w:sz w:val="22"/>
          <w:szCs w:val="22"/>
        </w:rPr>
        <w:t>PFS</w:t>
      </w:r>
      <w:r w:rsidR="004B1B5D">
        <w:rPr>
          <w:rFonts w:ascii="Franklin Gothic Book" w:hAnsi="Franklin Gothic Book"/>
          <w:sz w:val="22"/>
          <w:szCs w:val="22"/>
        </w:rPr>
        <w:t>)</w:t>
      </w:r>
      <w:r w:rsidR="00613BFB">
        <w:rPr>
          <w:rFonts w:ascii="Franklin Gothic Book" w:hAnsi="Franklin Gothic Book"/>
          <w:sz w:val="22"/>
          <w:szCs w:val="22"/>
        </w:rPr>
        <w:t xml:space="preserve">, </w:t>
      </w:r>
      <w:r w:rsidR="004B1B5D">
        <w:rPr>
          <w:rFonts w:ascii="Franklin Gothic Book" w:hAnsi="Franklin Gothic Book"/>
          <w:sz w:val="22"/>
          <w:szCs w:val="22"/>
        </w:rPr>
        <w:t xml:space="preserve">Health-related </w:t>
      </w:r>
      <w:r w:rsidR="004B1B5D">
        <w:rPr>
          <w:rFonts w:ascii="Franklin Gothic Book" w:hAnsi="Franklin Gothic Book"/>
          <w:sz w:val="22"/>
          <w:szCs w:val="22"/>
        </w:rPr>
        <w:lastRenderedPageBreak/>
        <w:t>Quality of Life (</w:t>
      </w:r>
      <w:proofErr w:type="spellStart"/>
      <w:r w:rsidR="00613BFB">
        <w:rPr>
          <w:rFonts w:ascii="Franklin Gothic Book" w:hAnsi="Franklin Gothic Book"/>
          <w:sz w:val="22"/>
          <w:szCs w:val="22"/>
        </w:rPr>
        <w:t>HRQoL</w:t>
      </w:r>
      <w:proofErr w:type="spellEnd"/>
      <w:r w:rsidR="004B1B5D">
        <w:rPr>
          <w:rFonts w:ascii="Franklin Gothic Book" w:hAnsi="Franklin Gothic Book"/>
          <w:sz w:val="22"/>
          <w:szCs w:val="22"/>
        </w:rPr>
        <w:t>)</w:t>
      </w:r>
      <w:r w:rsidR="00613BFB">
        <w:rPr>
          <w:rFonts w:ascii="Franklin Gothic Book" w:hAnsi="Franklin Gothic Book"/>
          <w:sz w:val="22"/>
          <w:szCs w:val="22"/>
        </w:rPr>
        <w:t xml:space="preserve">, </w:t>
      </w:r>
      <w:r w:rsidR="00A7357E">
        <w:rPr>
          <w:rFonts w:ascii="Franklin Gothic Book" w:hAnsi="Franklin Gothic Book"/>
          <w:sz w:val="22"/>
          <w:szCs w:val="22"/>
        </w:rPr>
        <w:t>hospitalisations</w:t>
      </w:r>
      <w:r w:rsidR="00613BFB">
        <w:rPr>
          <w:rFonts w:ascii="Franklin Gothic Book" w:hAnsi="Franklin Gothic Book"/>
          <w:sz w:val="22"/>
          <w:szCs w:val="22"/>
        </w:rPr>
        <w:t>, AEs and costs should be included in a registry, with</w:t>
      </w:r>
      <w:r w:rsidR="00A7357E">
        <w:rPr>
          <w:rFonts w:ascii="Franklin Gothic Book" w:hAnsi="Franklin Gothic Book"/>
          <w:sz w:val="22"/>
          <w:szCs w:val="22"/>
        </w:rPr>
        <w:t xml:space="preserve"> no commercial confidentia</w:t>
      </w:r>
      <w:r w:rsidR="0097239D">
        <w:rPr>
          <w:rFonts w:ascii="Franklin Gothic Book" w:hAnsi="Franklin Gothic Book"/>
          <w:sz w:val="22"/>
          <w:szCs w:val="22"/>
        </w:rPr>
        <w:t>lity</w:t>
      </w:r>
      <w:r w:rsidR="00A7357E">
        <w:rPr>
          <w:rFonts w:ascii="Franklin Gothic Book" w:hAnsi="Franklin Gothic Book"/>
          <w:sz w:val="22"/>
          <w:szCs w:val="22"/>
        </w:rPr>
        <w:t xml:space="preserve"> requirements and with data accessible to all stakeholders.</w:t>
      </w:r>
    </w:p>
    <w:p w14:paraId="62015207" w14:textId="74896E08" w:rsidR="00541D2B" w:rsidRDefault="00E238A3" w:rsidP="00541D2B">
      <w:pPr>
        <w:spacing w:before="240"/>
        <w:rPr>
          <w:rFonts w:ascii="Franklin Gothic Book" w:hAnsi="Franklin Gothic Book"/>
          <w:sz w:val="22"/>
          <w:szCs w:val="22"/>
        </w:rPr>
      </w:pPr>
      <w:r>
        <w:rPr>
          <w:rFonts w:ascii="Franklin Gothic Book" w:hAnsi="Franklin Gothic Book"/>
          <w:sz w:val="22"/>
          <w:szCs w:val="22"/>
        </w:rPr>
        <w:t xml:space="preserve">Overall, </w:t>
      </w:r>
      <w:r w:rsidR="00541D2B" w:rsidRPr="00541D2B">
        <w:rPr>
          <w:rFonts w:ascii="Franklin Gothic Book" w:hAnsi="Franklin Gothic Book"/>
          <w:sz w:val="22"/>
          <w:szCs w:val="22"/>
        </w:rPr>
        <w:t xml:space="preserve">MSAC noted that additional evidence to support the application had been provided in the pre-MSAC response, but </w:t>
      </w:r>
      <w:r w:rsidR="00672B39">
        <w:rPr>
          <w:rFonts w:ascii="Franklin Gothic Book" w:hAnsi="Franklin Gothic Book"/>
          <w:sz w:val="22"/>
          <w:szCs w:val="22"/>
        </w:rPr>
        <w:t xml:space="preserve">the new data </w:t>
      </w:r>
      <w:r w:rsidR="001A5419">
        <w:rPr>
          <w:rFonts w:ascii="Franklin Gothic Book" w:hAnsi="Franklin Gothic Book"/>
          <w:sz w:val="22"/>
          <w:szCs w:val="22"/>
        </w:rPr>
        <w:t xml:space="preserve">were </w:t>
      </w:r>
      <w:r w:rsidR="00672B39">
        <w:rPr>
          <w:rFonts w:ascii="Franklin Gothic Book" w:hAnsi="Franklin Gothic Book"/>
          <w:sz w:val="22"/>
          <w:szCs w:val="22"/>
        </w:rPr>
        <w:t xml:space="preserve">not </w:t>
      </w:r>
      <w:r w:rsidR="002751CC">
        <w:rPr>
          <w:rFonts w:ascii="Franklin Gothic Book" w:hAnsi="Franklin Gothic Book"/>
          <w:sz w:val="22"/>
          <w:szCs w:val="22"/>
        </w:rPr>
        <w:t>incorporated</w:t>
      </w:r>
      <w:r w:rsidR="00672B39">
        <w:rPr>
          <w:rFonts w:ascii="Franklin Gothic Book" w:hAnsi="Franklin Gothic Book"/>
          <w:sz w:val="22"/>
          <w:szCs w:val="22"/>
        </w:rPr>
        <w:t xml:space="preserve"> into the mode</w:t>
      </w:r>
      <w:r w:rsidR="009A3374">
        <w:rPr>
          <w:rFonts w:ascii="Franklin Gothic Book" w:hAnsi="Franklin Gothic Book"/>
          <w:sz w:val="22"/>
          <w:szCs w:val="22"/>
        </w:rPr>
        <w:t>l</w:t>
      </w:r>
      <w:r w:rsidR="005F593F">
        <w:rPr>
          <w:rFonts w:ascii="Franklin Gothic Book" w:hAnsi="Franklin Gothic Book"/>
          <w:sz w:val="22"/>
          <w:szCs w:val="22"/>
        </w:rPr>
        <w:t xml:space="preserve"> nor </w:t>
      </w:r>
      <w:r w:rsidR="00541D2B" w:rsidRPr="00541D2B">
        <w:rPr>
          <w:rFonts w:ascii="Franklin Gothic Book" w:hAnsi="Franklin Gothic Book"/>
          <w:sz w:val="22"/>
          <w:szCs w:val="22"/>
        </w:rPr>
        <w:t xml:space="preserve">evaluated and therefore </w:t>
      </w:r>
      <w:r w:rsidR="00111EF2">
        <w:rPr>
          <w:rFonts w:ascii="Franklin Gothic Book" w:hAnsi="Franklin Gothic Book"/>
          <w:sz w:val="22"/>
          <w:szCs w:val="22"/>
        </w:rPr>
        <w:t>it was</w:t>
      </w:r>
      <w:r w:rsidR="00541D2B" w:rsidRPr="00541D2B">
        <w:rPr>
          <w:rFonts w:ascii="Franklin Gothic Book" w:hAnsi="Franklin Gothic Book"/>
          <w:sz w:val="22"/>
          <w:szCs w:val="22"/>
        </w:rPr>
        <w:t xml:space="preserve"> not able to be fully considered by MSAC.</w:t>
      </w:r>
    </w:p>
    <w:p w14:paraId="2FCDDA55" w14:textId="09DB86B7" w:rsidR="008E5CBA" w:rsidRDefault="00FC32E6" w:rsidP="00541D2B">
      <w:pPr>
        <w:spacing w:before="240"/>
        <w:rPr>
          <w:rFonts w:ascii="Franklin Gothic Book" w:hAnsi="Franklin Gothic Book"/>
          <w:sz w:val="22"/>
          <w:szCs w:val="22"/>
        </w:rPr>
      </w:pPr>
      <w:r>
        <w:rPr>
          <w:rFonts w:ascii="Franklin Gothic Book" w:hAnsi="Franklin Gothic Book"/>
          <w:sz w:val="22"/>
          <w:szCs w:val="22"/>
        </w:rPr>
        <w:t>Therefore, considering the strength of the evidence</w:t>
      </w:r>
      <w:r w:rsidR="00B94CE9">
        <w:rPr>
          <w:rFonts w:ascii="Franklin Gothic Book" w:hAnsi="Franklin Gothic Book"/>
          <w:sz w:val="22"/>
          <w:szCs w:val="22"/>
        </w:rPr>
        <w:t xml:space="preserve"> presented for </w:t>
      </w:r>
      <w:r w:rsidR="00053BCF">
        <w:rPr>
          <w:rFonts w:ascii="Franklin Gothic Book" w:hAnsi="Franklin Gothic Book"/>
          <w:sz w:val="22"/>
          <w:szCs w:val="22"/>
        </w:rPr>
        <w:t>evaluation</w:t>
      </w:r>
      <w:r>
        <w:rPr>
          <w:rFonts w:ascii="Franklin Gothic Book" w:hAnsi="Franklin Gothic Book"/>
          <w:sz w:val="22"/>
          <w:szCs w:val="22"/>
        </w:rPr>
        <w:t xml:space="preserve"> with uncertain durability of health outcomes, inferior safety</w:t>
      </w:r>
      <w:r w:rsidR="00F441A1">
        <w:rPr>
          <w:rFonts w:ascii="Franklin Gothic Book" w:hAnsi="Franklin Gothic Book"/>
          <w:sz w:val="22"/>
          <w:szCs w:val="22"/>
        </w:rPr>
        <w:t>,</w:t>
      </w:r>
      <w:r w:rsidR="00053BCF">
        <w:rPr>
          <w:rFonts w:ascii="Franklin Gothic Book" w:hAnsi="Franklin Gothic Book"/>
          <w:sz w:val="22"/>
          <w:szCs w:val="22"/>
        </w:rPr>
        <w:t xml:space="preserve"> and a</w:t>
      </w:r>
      <w:r w:rsidR="00F441A1">
        <w:rPr>
          <w:rFonts w:ascii="Franklin Gothic Book" w:hAnsi="Franklin Gothic Book"/>
          <w:sz w:val="22"/>
          <w:szCs w:val="22"/>
        </w:rPr>
        <w:t xml:space="preserve"> high and uncertain ICER</w:t>
      </w:r>
      <w:r w:rsidR="00037B69">
        <w:rPr>
          <w:rFonts w:ascii="Franklin Gothic Book" w:hAnsi="Franklin Gothic Book"/>
          <w:sz w:val="22"/>
          <w:szCs w:val="22"/>
        </w:rPr>
        <w:t xml:space="preserve"> and budget impact</w:t>
      </w:r>
      <w:r w:rsidR="00F441A1">
        <w:rPr>
          <w:rFonts w:ascii="Franklin Gothic Book" w:hAnsi="Franklin Gothic Book"/>
          <w:sz w:val="22"/>
          <w:szCs w:val="22"/>
        </w:rPr>
        <w:t>, MSAC did not support public funding of AXI for the treatment of r/r LBCL in the 2L setting.</w:t>
      </w:r>
    </w:p>
    <w:p w14:paraId="52A1DBB1" w14:textId="4297B0A7" w:rsidR="006118C0" w:rsidRPr="00541D2B" w:rsidRDefault="00FB36F2" w:rsidP="00FB36F2">
      <w:pPr>
        <w:spacing w:before="240"/>
        <w:rPr>
          <w:rFonts w:ascii="Franklin Gothic Book" w:hAnsi="Franklin Gothic Book"/>
          <w:sz w:val="22"/>
          <w:szCs w:val="22"/>
        </w:rPr>
      </w:pPr>
      <w:r w:rsidRPr="00541D2B">
        <w:rPr>
          <w:rFonts w:ascii="Franklin Gothic Book" w:hAnsi="Franklin Gothic Book"/>
          <w:sz w:val="22"/>
          <w:szCs w:val="22"/>
        </w:rPr>
        <w:t>MSAC advised that</w:t>
      </w:r>
      <w:r w:rsidR="007343C9">
        <w:rPr>
          <w:rFonts w:ascii="Franklin Gothic Book" w:hAnsi="Franklin Gothic Book"/>
          <w:sz w:val="22"/>
          <w:szCs w:val="22"/>
        </w:rPr>
        <w:t xml:space="preserve"> for any resubmission,</w:t>
      </w:r>
      <w:r w:rsidRPr="00541D2B">
        <w:rPr>
          <w:rFonts w:ascii="Franklin Gothic Book" w:hAnsi="Franklin Gothic Book"/>
          <w:sz w:val="22"/>
          <w:szCs w:val="22"/>
        </w:rPr>
        <w:t xml:space="preserve"> the economic evaluation </w:t>
      </w:r>
      <w:r w:rsidR="0045483A">
        <w:rPr>
          <w:rFonts w:ascii="Franklin Gothic Book" w:hAnsi="Franklin Gothic Book"/>
          <w:sz w:val="22"/>
          <w:szCs w:val="22"/>
        </w:rPr>
        <w:t>would require</w:t>
      </w:r>
      <w:r w:rsidRPr="00541D2B">
        <w:rPr>
          <w:rFonts w:ascii="Franklin Gothic Book" w:hAnsi="Franklin Gothic Book"/>
          <w:sz w:val="22"/>
          <w:szCs w:val="22"/>
        </w:rPr>
        <w:t xml:space="preserve"> revisions, including</w:t>
      </w:r>
      <w:r w:rsidR="002F07FF">
        <w:rPr>
          <w:rFonts w:ascii="Franklin Gothic Book" w:hAnsi="Franklin Gothic Book"/>
          <w:sz w:val="22"/>
          <w:szCs w:val="22"/>
        </w:rPr>
        <w:t>:</w:t>
      </w:r>
      <w:r w:rsidRPr="00541D2B">
        <w:rPr>
          <w:rFonts w:ascii="Franklin Gothic Book" w:hAnsi="Franklin Gothic Book"/>
          <w:sz w:val="22"/>
          <w:szCs w:val="22"/>
        </w:rPr>
        <w:t xml:space="preserve"> incorporation and evaluation of new evidence submitted in the pre-MSAC response</w:t>
      </w:r>
      <w:r w:rsidR="0045483A">
        <w:rPr>
          <w:rFonts w:ascii="Franklin Gothic Book" w:hAnsi="Franklin Gothic Book"/>
          <w:sz w:val="22"/>
          <w:szCs w:val="22"/>
        </w:rPr>
        <w:t xml:space="preserve"> (including updated OS data)</w:t>
      </w:r>
      <w:r w:rsidR="0090600D">
        <w:rPr>
          <w:rFonts w:ascii="Franklin Gothic Book" w:hAnsi="Franklin Gothic Book"/>
          <w:sz w:val="22"/>
          <w:szCs w:val="22"/>
        </w:rPr>
        <w:t xml:space="preserve"> and any relevant information from the dossier on 3L AXI</w:t>
      </w:r>
      <w:r w:rsidR="002F07FF">
        <w:rPr>
          <w:rFonts w:ascii="Franklin Gothic Book" w:hAnsi="Franklin Gothic Book"/>
          <w:sz w:val="22"/>
          <w:szCs w:val="22"/>
        </w:rPr>
        <w:t>;</w:t>
      </w:r>
      <w:r w:rsidRPr="00541D2B">
        <w:rPr>
          <w:rFonts w:ascii="Franklin Gothic Book" w:hAnsi="Franklin Gothic Book"/>
          <w:sz w:val="22"/>
          <w:szCs w:val="22"/>
        </w:rPr>
        <w:t xml:space="preserve"> </w:t>
      </w:r>
      <w:r w:rsidR="0045483A">
        <w:rPr>
          <w:rFonts w:ascii="Franklin Gothic Book" w:hAnsi="Franklin Gothic Book"/>
          <w:sz w:val="22"/>
          <w:szCs w:val="22"/>
        </w:rPr>
        <w:t>incorporation of the respecified base case made in the commentary (including use of 5% discount rate and 30 year time horizon)</w:t>
      </w:r>
      <w:r w:rsidR="002F07FF">
        <w:rPr>
          <w:rFonts w:ascii="Franklin Gothic Book" w:hAnsi="Franklin Gothic Book"/>
          <w:sz w:val="22"/>
          <w:szCs w:val="22"/>
        </w:rPr>
        <w:t>;</w:t>
      </w:r>
      <w:r w:rsidR="0045483A">
        <w:rPr>
          <w:rFonts w:ascii="Franklin Gothic Book" w:hAnsi="Franklin Gothic Book"/>
          <w:sz w:val="22"/>
          <w:szCs w:val="22"/>
        </w:rPr>
        <w:t xml:space="preserve"> explicit comparison of AXI as 2L treatment with current 3L CAR T usage</w:t>
      </w:r>
      <w:r w:rsidR="002F07FF">
        <w:rPr>
          <w:rFonts w:ascii="Franklin Gothic Book" w:hAnsi="Franklin Gothic Book"/>
          <w:sz w:val="22"/>
          <w:szCs w:val="22"/>
        </w:rPr>
        <w:t>;</w:t>
      </w:r>
      <w:r w:rsidR="0045483A">
        <w:rPr>
          <w:rFonts w:ascii="Franklin Gothic Book" w:hAnsi="Franklin Gothic Book"/>
          <w:sz w:val="22"/>
          <w:szCs w:val="22"/>
        </w:rPr>
        <w:t xml:space="preserve"> </w:t>
      </w:r>
      <w:r w:rsidRPr="00541D2B">
        <w:rPr>
          <w:rFonts w:ascii="Franklin Gothic Book" w:hAnsi="Franklin Gothic Book"/>
          <w:sz w:val="22"/>
          <w:szCs w:val="22"/>
        </w:rPr>
        <w:t>use of PFS as the outcome measure</w:t>
      </w:r>
      <w:r w:rsidR="002F07FF">
        <w:rPr>
          <w:rFonts w:ascii="Franklin Gothic Book" w:hAnsi="Franklin Gothic Book"/>
          <w:sz w:val="22"/>
          <w:szCs w:val="22"/>
        </w:rPr>
        <w:t>;</w:t>
      </w:r>
      <w:r w:rsidRPr="00541D2B">
        <w:rPr>
          <w:rFonts w:ascii="Franklin Gothic Book" w:hAnsi="Franklin Gothic Book"/>
          <w:sz w:val="22"/>
          <w:szCs w:val="22"/>
        </w:rPr>
        <w:t xml:space="preserve"> and use of more standard</w:t>
      </w:r>
      <w:r w:rsidR="009B2A8D">
        <w:rPr>
          <w:rFonts w:ascii="Franklin Gothic Book" w:hAnsi="Franklin Gothic Book"/>
          <w:sz w:val="22"/>
          <w:szCs w:val="22"/>
        </w:rPr>
        <w:t xml:space="preserve"> extrapolation and</w:t>
      </w:r>
      <w:r w:rsidRPr="00541D2B">
        <w:rPr>
          <w:rFonts w:ascii="Franklin Gothic Book" w:hAnsi="Franklin Gothic Book"/>
          <w:sz w:val="22"/>
          <w:szCs w:val="22"/>
        </w:rPr>
        <w:t xml:space="preserve"> modelling techniques</w:t>
      </w:r>
      <w:r w:rsidR="006F2FFF">
        <w:rPr>
          <w:rFonts w:ascii="Franklin Gothic Book" w:hAnsi="Franklin Gothic Book"/>
          <w:sz w:val="22"/>
          <w:szCs w:val="22"/>
        </w:rPr>
        <w:t xml:space="preserve"> (partitioned survival model in addition to mixed cure)</w:t>
      </w:r>
      <w:r w:rsidRPr="00541D2B">
        <w:rPr>
          <w:rFonts w:ascii="Franklin Gothic Book" w:hAnsi="Franklin Gothic Book"/>
          <w:sz w:val="22"/>
          <w:szCs w:val="22"/>
        </w:rPr>
        <w:t xml:space="preserve">. </w:t>
      </w:r>
      <w:r w:rsidR="0048630F">
        <w:rPr>
          <w:rFonts w:ascii="Franklin Gothic Book" w:hAnsi="Franklin Gothic Book"/>
          <w:sz w:val="22"/>
          <w:szCs w:val="22"/>
        </w:rPr>
        <w:t xml:space="preserve">MSAC also advised that any resubmission should provide </w:t>
      </w:r>
      <w:r w:rsidR="006118C0" w:rsidRPr="006118C0">
        <w:rPr>
          <w:rFonts w:ascii="Franklin Gothic Book" w:hAnsi="Franklin Gothic Book"/>
          <w:sz w:val="22"/>
          <w:szCs w:val="22"/>
        </w:rPr>
        <w:t xml:space="preserve">information on median timing </w:t>
      </w:r>
      <w:r w:rsidR="007A374D">
        <w:rPr>
          <w:rFonts w:ascii="Franklin Gothic Book" w:hAnsi="Franklin Gothic Book"/>
          <w:sz w:val="22"/>
          <w:szCs w:val="22"/>
        </w:rPr>
        <w:t xml:space="preserve">of endpoint measurements </w:t>
      </w:r>
      <w:r w:rsidR="006118C0" w:rsidRPr="006118C0">
        <w:rPr>
          <w:rFonts w:ascii="Franklin Gothic Book" w:hAnsi="Franklin Gothic Book"/>
          <w:sz w:val="22"/>
          <w:szCs w:val="22"/>
        </w:rPr>
        <w:t xml:space="preserve">to provide </w:t>
      </w:r>
      <w:r w:rsidR="003E7E59">
        <w:rPr>
          <w:rFonts w:ascii="Franklin Gothic Book" w:hAnsi="Franklin Gothic Book"/>
          <w:sz w:val="22"/>
          <w:szCs w:val="22"/>
        </w:rPr>
        <w:t>evidence that timing</w:t>
      </w:r>
      <w:r w:rsidR="00BF6826">
        <w:rPr>
          <w:rFonts w:ascii="Franklin Gothic Book" w:hAnsi="Franklin Gothic Book"/>
          <w:sz w:val="22"/>
          <w:szCs w:val="22"/>
        </w:rPr>
        <w:t xml:space="preserve"> is</w:t>
      </w:r>
      <w:r w:rsidR="006118C0" w:rsidRPr="006118C0">
        <w:rPr>
          <w:rFonts w:ascii="Franklin Gothic Book" w:hAnsi="Franklin Gothic Book"/>
          <w:sz w:val="22"/>
          <w:szCs w:val="22"/>
        </w:rPr>
        <w:t xml:space="preserve"> similar </w:t>
      </w:r>
      <w:r w:rsidR="00BF6826">
        <w:rPr>
          <w:rFonts w:ascii="Franklin Gothic Book" w:hAnsi="Franklin Gothic Book"/>
          <w:sz w:val="22"/>
          <w:szCs w:val="22"/>
        </w:rPr>
        <w:t>across</w:t>
      </w:r>
      <w:r w:rsidR="006118C0" w:rsidRPr="006118C0">
        <w:rPr>
          <w:rFonts w:ascii="Franklin Gothic Book" w:hAnsi="Franklin Gothic Book"/>
          <w:sz w:val="22"/>
          <w:szCs w:val="22"/>
        </w:rPr>
        <w:t xml:space="preserve"> both </w:t>
      </w:r>
      <w:r w:rsidR="003E7E59">
        <w:rPr>
          <w:rFonts w:ascii="Franklin Gothic Book" w:hAnsi="Franklin Gothic Book"/>
          <w:sz w:val="22"/>
          <w:szCs w:val="22"/>
        </w:rPr>
        <w:t xml:space="preserve">study </w:t>
      </w:r>
      <w:r w:rsidR="006118C0" w:rsidRPr="006118C0">
        <w:rPr>
          <w:rFonts w:ascii="Franklin Gothic Book" w:hAnsi="Franklin Gothic Book"/>
          <w:sz w:val="22"/>
          <w:szCs w:val="22"/>
        </w:rPr>
        <w:t>arms</w:t>
      </w:r>
      <w:r w:rsidR="00486E13">
        <w:rPr>
          <w:rFonts w:ascii="Franklin Gothic Book" w:hAnsi="Franklin Gothic Book"/>
          <w:sz w:val="22"/>
          <w:szCs w:val="22"/>
        </w:rPr>
        <w:t>;</w:t>
      </w:r>
      <w:r w:rsidR="00BF6826">
        <w:rPr>
          <w:rFonts w:ascii="Franklin Gothic Book" w:hAnsi="Franklin Gothic Book"/>
          <w:sz w:val="22"/>
          <w:szCs w:val="22"/>
        </w:rPr>
        <w:t xml:space="preserve"> tightened AXI eligibility criteria</w:t>
      </w:r>
      <w:r w:rsidR="00486E13">
        <w:rPr>
          <w:rFonts w:ascii="Franklin Gothic Book" w:hAnsi="Franklin Gothic Book"/>
          <w:sz w:val="22"/>
          <w:szCs w:val="22"/>
        </w:rPr>
        <w:t xml:space="preserve">; </w:t>
      </w:r>
      <w:r w:rsidR="000F2613">
        <w:rPr>
          <w:rFonts w:ascii="Franklin Gothic Book" w:hAnsi="Franklin Gothic Book"/>
          <w:sz w:val="22"/>
          <w:szCs w:val="22"/>
        </w:rPr>
        <w:t xml:space="preserve">reconsideration of price; </w:t>
      </w:r>
      <w:r w:rsidR="00486E13">
        <w:rPr>
          <w:rFonts w:ascii="Franklin Gothic Book" w:hAnsi="Franklin Gothic Book"/>
          <w:sz w:val="22"/>
          <w:szCs w:val="22"/>
        </w:rPr>
        <w:t xml:space="preserve">and include </w:t>
      </w:r>
      <w:r w:rsidR="00E035D7">
        <w:rPr>
          <w:rFonts w:ascii="Franklin Gothic Book" w:hAnsi="Franklin Gothic Book"/>
          <w:sz w:val="22"/>
          <w:szCs w:val="22"/>
        </w:rPr>
        <w:t>specific proposals for risk sharing arrangements and pay for performance measures</w:t>
      </w:r>
      <w:r w:rsidR="00BF6826">
        <w:rPr>
          <w:rFonts w:ascii="Franklin Gothic Book" w:hAnsi="Franklin Gothic Book"/>
          <w:sz w:val="22"/>
          <w:szCs w:val="22"/>
        </w:rPr>
        <w:t>.</w:t>
      </w:r>
    </w:p>
    <w:p w14:paraId="6710B69D" w14:textId="55236314" w:rsidR="00772829" w:rsidRPr="00CE28E3" w:rsidRDefault="009F08B4" w:rsidP="002A18BE">
      <w:pPr>
        <w:pStyle w:val="Heading2"/>
        <w:numPr>
          <w:ilvl w:val="0"/>
          <w:numId w:val="0"/>
        </w:numPr>
      </w:pPr>
      <w:r>
        <w:t>4</w:t>
      </w:r>
      <w:r w:rsidR="00C36633">
        <w:t>.</w:t>
      </w:r>
      <w:r w:rsidR="00C36633">
        <w:tab/>
      </w:r>
      <w:r w:rsidR="00772829" w:rsidRPr="00CE28E3">
        <w:t>Background</w:t>
      </w:r>
      <w:bookmarkEnd w:id="4"/>
    </w:p>
    <w:p w14:paraId="29126E6B" w14:textId="6F2F1B9F" w:rsidR="0017174D" w:rsidRDefault="00B55D98" w:rsidP="00B94F5D">
      <w:pPr>
        <w:pStyle w:val="a-TEXT"/>
      </w:pPr>
      <w:bookmarkStart w:id="5" w:name="_Hlk69734494"/>
      <w:r>
        <w:t>C</w:t>
      </w:r>
      <w:r w:rsidR="00792BA0" w:rsidRPr="00CA392C">
        <w:t>himeric antigen receptor (CAR) T-cell product</w:t>
      </w:r>
      <w:r>
        <w:t xml:space="preserve">s </w:t>
      </w:r>
      <w:r w:rsidR="0017174D">
        <w:t xml:space="preserve">(including </w:t>
      </w:r>
      <w:r w:rsidR="00226D5B">
        <w:t>AXI</w:t>
      </w:r>
      <w:r w:rsidR="0017174D">
        <w:t xml:space="preserve"> in </w:t>
      </w:r>
      <w:r>
        <w:t>the</w:t>
      </w:r>
      <w:r w:rsidR="00396133">
        <w:t xml:space="preserve"> 3L </w:t>
      </w:r>
      <w:r w:rsidR="0017174D">
        <w:t>setting</w:t>
      </w:r>
      <w:r>
        <w:t>)</w:t>
      </w:r>
      <w:r w:rsidR="0017174D">
        <w:t xml:space="preserve"> are funded </w:t>
      </w:r>
      <w:r>
        <w:t>as</w:t>
      </w:r>
      <w:r w:rsidR="0017174D" w:rsidRPr="003F34B6">
        <w:t xml:space="preserve"> Highly Specialised Therapies under the Addendum to the National Health Reform Agreement 2020-2025 (NHRA). </w:t>
      </w:r>
    </w:p>
    <w:p w14:paraId="094878FC" w14:textId="5BECB150" w:rsidR="007C16E1" w:rsidRDefault="007C16E1" w:rsidP="00B94F5D">
      <w:pPr>
        <w:pStyle w:val="a-TEXT"/>
      </w:pPr>
      <w:r>
        <w:t>This is the first</w:t>
      </w:r>
      <w:r w:rsidRPr="00CA392C">
        <w:t xml:space="preserve"> </w:t>
      </w:r>
      <w:r>
        <w:t xml:space="preserve">ADAR </w:t>
      </w:r>
      <w:r w:rsidRPr="00CA392C">
        <w:t xml:space="preserve">to be considered </w:t>
      </w:r>
      <w:r>
        <w:t xml:space="preserve">by the Medical Services Advisory Committee for </w:t>
      </w:r>
      <w:r w:rsidR="00226D5B">
        <w:t>AXI</w:t>
      </w:r>
      <w:r>
        <w:t xml:space="preserve"> as a treatment for LBCL in the 2L setting.</w:t>
      </w:r>
      <w:r w:rsidRPr="00B4324D">
        <w:t xml:space="preserve"> </w:t>
      </w:r>
      <w:r w:rsidR="0017174D" w:rsidRPr="00B4324D">
        <w:t xml:space="preserve">In January 2020, MSAC supported the public funding for </w:t>
      </w:r>
      <w:r w:rsidR="00226D5B">
        <w:t>AXI</w:t>
      </w:r>
      <w:r w:rsidR="0017174D">
        <w:t xml:space="preserve"> </w:t>
      </w:r>
      <w:r w:rsidR="0017174D" w:rsidRPr="00B4324D">
        <w:t xml:space="preserve">for patients with CD19-positive Diffuse Large B Cell Lymphoma (DLBCL), Primary Mediastinal B Cell Lymphoma (PMBCL) and Transformed Follicular Lymphoma (TFL) </w:t>
      </w:r>
      <w:r w:rsidR="0017174D">
        <w:t>in the 3L setting (</w:t>
      </w:r>
      <w:hyperlink r:id="rId9" w:history="1">
        <w:r w:rsidR="0017174D" w:rsidRPr="009F3120">
          <w:rPr>
            <w:rStyle w:val="Hyperlink"/>
          </w:rPr>
          <w:t>MSAC</w:t>
        </w:r>
        <w:r w:rsidR="009B2B03">
          <w:rPr>
            <w:rStyle w:val="Hyperlink"/>
          </w:rPr>
          <w:t> </w:t>
        </w:r>
        <w:r w:rsidR="0017174D" w:rsidRPr="009F3120">
          <w:rPr>
            <w:rStyle w:val="Hyperlink"/>
          </w:rPr>
          <w:t>1587</w:t>
        </w:r>
      </w:hyperlink>
      <w:r w:rsidR="0017174D">
        <w:t>)</w:t>
      </w:r>
      <w:r w:rsidR="00E9737A">
        <w:t xml:space="preserve"> and </w:t>
      </w:r>
      <w:r w:rsidR="00E9737A" w:rsidRPr="009C2B63">
        <w:t>is currently being jointly funded by the Commonwealth and the States under the National Health Reform Arrangement (NHRA)</w:t>
      </w:r>
      <w:r w:rsidR="0017174D" w:rsidRPr="00B4324D">
        <w:t>.</w:t>
      </w:r>
      <w:r w:rsidR="00763CE6">
        <w:t xml:space="preserve"> Additionally, MSAC has supported </w:t>
      </w:r>
      <w:r w:rsidR="00763CE6" w:rsidRPr="00763CE6">
        <w:t>tisagenlecleucel (Kymriah®) in certain patients with CD19-positive Diffuse Large B Cell Lymphoma (DLBCL), Primary Mediastinal B Cell Lymphoma (PMBCL) and Transformed Follicular Lymphoma (TFL) in this 3L setting</w:t>
      </w:r>
      <w:r w:rsidR="00763CE6">
        <w:t xml:space="preserve"> (</w:t>
      </w:r>
      <w:hyperlink r:id="rId10" w:history="1">
        <w:r w:rsidR="00763CE6" w:rsidRPr="002F4B09">
          <w:rPr>
            <w:rStyle w:val="Hyperlink"/>
          </w:rPr>
          <w:t>MSAC 1519</w:t>
        </w:r>
      </w:hyperlink>
      <w:r w:rsidR="002F4B09">
        <w:t>.1</w:t>
      </w:r>
      <w:r w:rsidR="00763CE6">
        <w:t>)</w:t>
      </w:r>
      <w:r w:rsidR="00E9737A">
        <w:t xml:space="preserve"> and</w:t>
      </w:r>
      <w:r w:rsidR="00E9737A" w:rsidRPr="009C2B63">
        <w:t xml:space="preserve"> is</w:t>
      </w:r>
      <w:r w:rsidR="009C2B63" w:rsidRPr="009C2B63">
        <w:t xml:space="preserve"> currently being jointly funded by the Commonwealth and the States under the National Health Reform Arrangement (NHRA</w:t>
      </w:r>
      <w:r w:rsidR="00E9737A">
        <w:t>).</w:t>
      </w:r>
    </w:p>
    <w:p w14:paraId="510CFD9A" w14:textId="5EB32336" w:rsidR="00E81B98" w:rsidRDefault="00E81B98" w:rsidP="00853B27">
      <w:pPr>
        <w:pStyle w:val="aTableHeading"/>
        <w:rPr>
          <w:lang w:eastAsia="en-AU"/>
        </w:rPr>
      </w:pPr>
      <w:r>
        <w:lastRenderedPageBreak/>
        <w:t>Table 1</w:t>
      </w:r>
      <w:r w:rsidR="00223B1D">
        <w:tab/>
      </w:r>
      <w:r w:rsidR="008A5978">
        <w:t xml:space="preserve">CAR-T </w:t>
      </w:r>
      <w:r w:rsidR="00892A53">
        <w:t>cell therapy</w:t>
      </w:r>
      <w:r w:rsidR="004A43A1">
        <w:t xml:space="preserve"> in B-cell lymphoma related</w:t>
      </w:r>
      <w:r w:rsidR="008A5978">
        <w:t xml:space="preserve"> applications</w:t>
      </w:r>
      <w:r>
        <w:t xml:space="preserve"> </w:t>
      </w:r>
      <w:r w:rsidR="00892A53">
        <w:t>to MSAC</w:t>
      </w:r>
      <w:r w:rsidR="00020A43">
        <w:t xml:space="preserve"> relevant to this application</w:t>
      </w:r>
      <w:r w:rsidR="00892A53">
        <w:t>.</w:t>
      </w:r>
    </w:p>
    <w:tbl>
      <w:tblPr>
        <w:tblStyle w:val="TableGrid"/>
        <w:tblW w:w="0" w:type="auto"/>
        <w:shd w:val="clear" w:color="auto" w:fill="FFFFFF" w:themeFill="background1"/>
        <w:tblLayout w:type="fixed"/>
        <w:tblCellMar>
          <w:top w:w="28" w:type="dxa"/>
          <w:left w:w="28" w:type="dxa"/>
          <w:bottom w:w="28" w:type="dxa"/>
          <w:right w:w="28" w:type="dxa"/>
        </w:tblCellMar>
        <w:tblLook w:val="04A0" w:firstRow="1" w:lastRow="0" w:firstColumn="1" w:lastColumn="0" w:noHBand="0" w:noVBand="1"/>
      </w:tblPr>
      <w:tblGrid>
        <w:gridCol w:w="1555"/>
        <w:gridCol w:w="992"/>
        <w:gridCol w:w="2551"/>
        <w:gridCol w:w="1985"/>
        <w:gridCol w:w="1933"/>
      </w:tblGrid>
      <w:tr w:rsidR="00793C91" w14:paraId="552E039E" w14:textId="77777777" w:rsidTr="00FA23C7">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7A69F042" w14:textId="5511F8B5" w:rsidR="00E81B98" w:rsidRPr="00246C59" w:rsidRDefault="00E81B98" w:rsidP="00853B27">
            <w:pPr>
              <w:keepNext/>
              <w:rPr>
                <w:rFonts w:ascii="Arial Narrow" w:hAnsi="Arial Narrow"/>
                <w:b/>
                <w:sz w:val="20"/>
                <w:szCs w:val="20"/>
              </w:rPr>
            </w:pPr>
            <w:r w:rsidRPr="00246C59">
              <w:rPr>
                <w:rFonts w:ascii="Arial Narrow" w:hAnsi="Arial Narrow"/>
                <w:b/>
                <w:sz w:val="20"/>
                <w:szCs w:val="20"/>
              </w:rPr>
              <w:t>MSAC meeting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3302B8" w14:textId="175909C0" w:rsidR="00E81B98" w:rsidRPr="00246C59" w:rsidRDefault="0027274E" w:rsidP="00853B27">
            <w:pPr>
              <w:keepNext/>
              <w:rPr>
                <w:rFonts w:ascii="Arial Narrow" w:hAnsi="Arial Narrow"/>
                <w:b/>
                <w:sz w:val="20"/>
                <w:szCs w:val="20"/>
              </w:rPr>
            </w:pPr>
            <w:r w:rsidRPr="00246C59">
              <w:rPr>
                <w:rFonts w:ascii="Arial Narrow" w:hAnsi="Arial Narrow"/>
                <w:b/>
                <w:sz w:val="20"/>
                <w:szCs w:val="20"/>
              </w:rPr>
              <w:t xml:space="preserve">Application </w:t>
            </w:r>
            <w:r w:rsidR="00E81B98" w:rsidRPr="00246C59">
              <w:rPr>
                <w:rFonts w:ascii="Arial Narrow" w:hAnsi="Arial Narrow"/>
                <w:b/>
                <w:sz w:val="20"/>
                <w:szCs w:val="20"/>
              </w:rPr>
              <w:t>number</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38FC38AB" w14:textId="6EE5B043" w:rsidR="00E81B98" w:rsidRPr="00246C59" w:rsidRDefault="00E81B98" w:rsidP="00853B27">
            <w:pPr>
              <w:keepNext/>
              <w:rPr>
                <w:rFonts w:ascii="Arial Narrow" w:hAnsi="Arial Narrow"/>
                <w:b/>
                <w:sz w:val="20"/>
                <w:szCs w:val="20"/>
              </w:rPr>
            </w:pPr>
            <w:r w:rsidRPr="00246C59">
              <w:rPr>
                <w:rFonts w:ascii="Arial Narrow" w:hAnsi="Arial Narrow"/>
                <w:b/>
                <w:sz w:val="20"/>
                <w:szCs w:val="20"/>
              </w:rPr>
              <w:t>Topic</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F16BA35" w14:textId="77777777" w:rsidR="00E81B98" w:rsidRPr="00246C59" w:rsidRDefault="00E81B98" w:rsidP="00853B27">
            <w:pPr>
              <w:keepNext/>
              <w:rPr>
                <w:rFonts w:ascii="Arial Narrow" w:hAnsi="Arial Narrow"/>
                <w:b/>
                <w:sz w:val="20"/>
                <w:szCs w:val="20"/>
              </w:rPr>
            </w:pPr>
            <w:r w:rsidRPr="00246C59">
              <w:rPr>
                <w:rFonts w:ascii="Arial Narrow" w:hAnsi="Arial Narrow"/>
                <w:b/>
                <w:sz w:val="20"/>
                <w:szCs w:val="20"/>
              </w:rPr>
              <w:t>Outcome</w:t>
            </w:r>
          </w:p>
        </w:tc>
        <w:tc>
          <w:tcPr>
            <w:tcW w:w="1933" w:type="dxa"/>
            <w:tcBorders>
              <w:top w:val="single" w:sz="4" w:space="0" w:color="auto"/>
              <w:left w:val="single" w:sz="4" w:space="0" w:color="auto"/>
              <w:bottom w:val="single" w:sz="4" w:space="0" w:color="auto"/>
              <w:right w:val="single" w:sz="4" w:space="0" w:color="auto"/>
            </w:tcBorders>
            <w:shd w:val="clear" w:color="auto" w:fill="auto"/>
            <w:hideMark/>
          </w:tcPr>
          <w:p w14:paraId="65F26509" w14:textId="77777777" w:rsidR="00E81B98" w:rsidRPr="00246C59" w:rsidRDefault="00E81B98" w:rsidP="00853B27">
            <w:pPr>
              <w:keepNext/>
              <w:rPr>
                <w:rFonts w:ascii="Arial Narrow" w:hAnsi="Arial Narrow"/>
                <w:b/>
                <w:sz w:val="20"/>
                <w:szCs w:val="20"/>
              </w:rPr>
            </w:pPr>
            <w:r w:rsidRPr="00246C59">
              <w:rPr>
                <w:rFonts w:ascii="Arial Narrow" w:hAnsi="Arial Narrow"/>
                <w:b/>
                <w:sz w:val="20"/>
                <w:szCs w:val="20"/>
              </w:rPr>
              <w:t>Link</w:t>
            </w:r>
          </w:p>
        </w:tc>
      </w:tr>
      <w:tr w:rsidR="00B8120F" w14:paraId="20942D09" w14:textId="77777777" w:rsidTr="00FA23C7">
        <w:tc>
          <w:tcPr>
            <w:tcW w:w="901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12BABA92" w14:textId="35F25522" w:rsidR="0027274E" w:rsidRPr="0027274E" w:rsidRDefault="009636FD" w:rsidP="00853B27">
            <w:pPr>
              <w:keepNext/>
              <w:rPr>
                <w:rFonts w:ascii="Arial Narrow" w:hAnsi="Arial Narrow"/>
                <w:sz w:val="20"/>
                <w:szCs w:val="20"/>
              </w:rPr>
            </w:pPr>
            <w:bookmarkStart w:id="6" w:name="_Hlk124339749"/>
            <w:r w:rsidRPr="0027274E">
              <w:rPr>
                <w:rFonts w:ascii="Arial Narrow" w:hAnsi="Arial Narrow"/>
                <w:sz w:val="20"/>
                <w:szCs w:val="20"/>
              </w:rPr>
              <w:t>Tisagenlecleucel</w:t>
            </w:r>
            <w:bookmarkEnd w:id="6"/>
          </w:p>
        </w:tc>
      </w:tr>
      <w:tr w:rsidR="00D91D46" w14:paraId="1DE086B4" w14:textId="77777777" w:rsidTr="00FA23C7">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A3520" w14:textId="77777777" w:rsidR="00E81B98" w:rsidRPr="0027274E" w:rsidRDefault="00E81B98" w:rsidP="00853B27">
            <w:pPr>
              <w:keepNext/>
              <w:rPr>
                <w:rFonts w:ascii="Arial Narrow" w:hAnsi="Arial Narrow"/>
                <w:sz w:val="20"/>
                <w:szCs w:val="20"/>
              </w:rPr>
            </w:pPr>
            <w:r w:rsidRPr="0027274E">
              <w:rPr>
                <w:rFonts w:ascii="Arial Narrow" w:hAnsi="Arial Narrow"/>
                <w:sz w:val="20"/>
                <w:szCs w:val="20"/>
                <w:shd w:val="clear" w:color="auto" w:fill="FFFFFF"/>
              </w:rPr>
              <w:t xml:space="preserve">Nov </w:t>
            </w:r>
            <w:proofErr w:type="gramStart"/>
            <w:r w:rsidRPr="0027274E">
              <w:rPr>
                <w:rFonts w:ascii="Arial Narrow" w:hAnsi="Arial Narrow"/>
                <w:sz w:val="20"/>
                <w:szCs w:val="20"/>
                <w:shd w:val="clear" w:color="auto" w:fill="FFFFFF"/>
              </w:rPr>
              <w:t>2018;</w:t>
            </w:r>
            <w:proofErr w:type="gramEnd"/>
          </w:p>
          <w:p w14:paraId="6505028F" w14:textId="77777777" w:rsidR="00E81B98" w:rsidRPr="0027274E" w:rsidRDefault="00E81B98" w:rsidP="00853B27">
            <w:pPr>
              <w:keepNext/>
              <w:rPr>
                <w:rFonts w:ascii="Arial Narrow" w:hAnsi="Arial Narrow"/>
                <w:sz w:val="20"/>
                <w:szCs w:val="20"/>
              </w:rPr>
            </w:pPr>
            <w:r w:rsidRPr="0027274E">
              <w:rPr>
                <w:rFonts w:ascii="Arial Narrow" w:hAnsi="Arial Narrow"/>
                <w:sz w:val="20"/>
                <w:szCs w:val="20"/>
                <w:shd w:val="clear" w:color="auto" w:fill="FFFFFF"/>
              </w:rPr>
              <w:t xml:space="preserve">March </w:t>
            </w:r>
            <w:proofErr w:type="gramStart"/>
            <w:r w:rsidRPr="0027274E">
              <w:rPr>
                <w:rFonts w:ascii="Arial Narrow" w:hAnsi="Arial Narrow"/>
                <w:sz w:val="20"/>
                <w:szCs w:val="20"/>
                <w:shd w:val="clear" w:color="auto" w:fill="FFFFFF"/>
              </w:rPr>
              <w:t>2019;</w:t>
            </w:r>
            <w:proofErr w:type="gramEnd"/>
          </w:p>
          <w:p w14:paraId="0C402469" w14:textId="77777777" w:rsidR="00E81B98" w:rsidRPr="00B77C31" w:rsidRDefault="00E81B98" w:rsidP="00853B27">
            <w:pPr>
              <w:keepNext/>
              <w:rPr>
                <w:rFonts w:ascii="Arial Narrow" w:hAnsi="Arial Narrow"/>
                <w:sz w:val="20"/>
                <w:szCs w:val="20"/>
              </w:rPr>
            </w:pPr>
            <w:r w:rsidRPr="00B77C31">
              <w:rPr>
                <w:rFonts w:ascii="Arial Narrow" w:hAnsi="Arial Narrow"/>
                <w:sz w:val="20"/>
                <w:szCs w:val="20"/>
                <w:shd w:val="clear" w:color="auto" w:fill="FFFFFF"/>
              </w:rPr>
              <w:t>April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3C1784F" w14:textId="77777777" w:rsidR="00E81B98" w:rsidRPr="0027274E" w:rsidRDefault="00E81B98" w:rsidP="00853B27">
            <w:pPr>
              <w:keepNext/>
              <w:rPr>
                <w:rFonts w:ascii="Arial Narrow" w:hAnsi="Arial Narrow"/>
                <w:sz w:val="20"/>
                <w:szCs w:val="20"/>
              </w:rPr>
            </w:pPr>
            <w:r w:rsidRPr="0027274E">
              <w:rPr>
                <w:rFonts w:ascii="Arial Narrow" w:hAnsi="Arial Narrow"/>
                <w:sz w:val="20"/>
                <w:szCs w:val="20"/>
              </w:rPr>
              <w:t>1519</w:t>
            </w:r>
          </w:p>
          <w:p w14:paraId="00312FF7" w14:textId="77777777" w:rsidR="00E81B98" w:rsidRPr="0027274E" w:rsidRDefault="00E81B98" w:rsidP="00853B27">
            <w:pPr>
              <w:keepNext/>
              <w:rPr>
                <w:rFonts w:ascii="Arial Narrow" w:hAnsi="Arial Narrow" w:cstheme="minorBid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D2B716" w14:textId="179C8B77" w:rsidR="00E81B98" w:rsidRPr="0027274E" w:rsidRDefault="006C4FA7" w:rsidP="00853B27">
            <w:pPr>
              <w:keepNext/>
              <w:rPr>
                <w:rFonts w:ascii="Arial Narrow" w:hAnsi="Arial Narrow"/>
                <w:sz w:val="20"/>
                <w:szCs w:val="20"/>
              </w:rPr>
            </w:pPr>
            <w:r>
              <w:rPr>
                <w:rFonts w:ascii="Arial Narrow" w:hAnsi="Arial Narrow"/>
                <w:sz w:val="20"/>
                <w:szCs w:val="20"/>
              </w:rPr>
              <w:t>For a</w:t>
            </w:r>
            <w:r w:rsidR="00E81B98" w:rsidRPr="0027274E">
              <w:rPr>
                <w:rFonts w:ascii="Arial Narrow" w:hAnsi="Arial Narrow"/>
                <w:sz w:val="20"/>
                <w:szCs w:val="20"/>
              </w:rPr>
              <w:t>cute lymphoblastic leukaemia (ALL)</w:t>
            </w:r>
            <w:r>
              <w:rPr>
                <w:rFonts w:ascii="Arial Narrow" w:hAnsi="Arial Narrow"/>
                <w:sz w:val="20"/>
                <w:szCs w:val="20"/>
              </w:rPr>
              <w:t>;</w:t>
            </w:r>
            <w:r w:rsidR="00DA618D">
              <w:rPr>
                <w:rFonts w:ascii="Arial Narrow" w:hAnsi="Arial Narrow"/>
                <w:sz w:val="20"/>
                <w:szCs w:val="20"/>
              </w:rPr>
              <w:t xml:space="preserve"> i</w:t>
            </w:r>
            <w:r w:rsidR="00E81B98" w:rsidRPr="0027274E">
              <w:rPr>
                <w:rFonts w:ascii="Arial Narrow" w:hAnsi="Arial Narrow"/>
                <w:sz w:val="20"/>
                <w:szCs w:val="20"/>
              </w:rPr>
              <w:t>nitial application covered ALL and DLBCL (DLBCL component was later addressed in 1519.1)</w:t>
            </w:r>
            <w:r w:rsidR="00DA618D">
              <w:rPr>
                <w:rFonts w:ascii="Arial Narrow" w:hAnsi="Arial Narrow"/>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C6C23F" w14:textId="77777777" w:rsidR="00E81B98" w:rsidRPr="0027274E" w:rsidRDefault="00E81B98" w:rsidP="00853B27">
            <w:pPr>
              <w:keepNext/>
              <w:rPr>
                <w:rFonts w:ascii="Arial Narrow" w:hAnsi="Arial Narrow"/>
                <w:sz w:val="20"/>
                <w:szCs w:val="20"/>
              </w:rPr>
            </w:pPr>
            <w:r w:rsidRPr="0027274E">
              <w:rPr>
                <w:rFonts w:ascii="Arial Narrow" w:hAnsi="Arial Narrow"/>
                <w:sz w:val="20"/>
                <w:szCs w:val="20"/>
              </w:rPr>
              <w:t>MSAC recommended public funding of TIS for treatment of ALL in children and young adults up to 25 years</w:t>
            </w: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6E35F" w14:textId="4544C9CD" w:rsidR="00E81B98" w:rsidRPr="0027274E" w:rsidRDefault="00B36A58" w:rsidP="00853B27">
            <w:pPr>
              <w:keepNext/>
              <w:rPr>
                <w:rFonts w:ascii="Arial Narrow" w:hAnsi="Arial Narrow"/>
                <w:sz w:val="20"/>
                <w:szCs w:val="20"/>
              </w:rPr>
            </w:pPr>
            <w:hyperlink r:id="rId11" w:history="1">
              <w:r w:rsidR="005F6295" w:rsidRPr="00F91DDE">
                <w:rPr>
                  <w:rStyle w:val="Hyperlink"/>
                  <w:rFonts w:ascii="Arial Narrow" w:hAnsi="Arial Narrow"/>
                  <w:sz w:val="20"/>
                  <w:szCs w:val="20"/>
                </w:rPr>
                <w:t>http://www.msac.gov.au/internet/msac/publishing.nsf/Content/1519-public</w:t>
              </w:r>
            </w:hyperlink>
            <w:r w:rsidR="005F6295">
              <w:rPr>
                <w:rFonts w:ascii="Arial Narrow" w:hAnsi="Arial Narrow"/>
                <w:sz w:val="20"/>
                <w:szCs w:val="20"/>
              </w:rPr>
              <w:t xml:space="preserve"> </w:t>
            </w:r>
          </w:p>
        </w:tc>
      </w:tr>
      <w:tr w:rsidR="00D91D46" w14:paraId="4ABEE676" w14:textId="77777777" w:rsidTr="00FA23C7">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378232" w14:textId="77777777" w:rsidR="00E81B98" w:rsidRPr="0027274E" w:rsidRDefault="00E81B98" w:rsidP="00853B27">
            <w:pPr>
              <w:keepNext/>
              <w:rPr>
                <w:rFonts w:ascii="Arial Narrow" w:hAnsi="Arial Narrow"/>
                <w:sz w:val="20"/>
                <w:szCs w:val="20"/>
              </w:rPr>
            </w:pPr>
            <w:r w:rsidRPr="0027274E">
              <w:rPr>
                <w:rFonts w:ascii="Arial Narrow" w:hAnsi="Arial Narrow"/>
                <w:sz w:val="20"/>
                <w:szCs w:val="20"/>
              </w:rPr>
              <w:t xml:space="preserve">August </w:t>
            </w:r>
            <w:proofErr w:type="gramStart"/>
            <w:r w:rsidRPr="0027274E">
              <w:rPr>
                <w:rFonts w:ascii="Arial Narrow" w:hAnsi="Arial Narrow"/>
                <w:sz w:val="20"/>
                <w:szCs w:val="20"/>
              </w:rPr>
              <w:t>2019;</w:t>
            </w:r>
            <w:proofErr w:type="gramEnd"/>
          </w:p>
          <w:p w14:paraId="458A8650" w14:textId="77777777" w:rsidR="00E81B98" w:rsidRPr="00B77C31" w:rsidRDefault="00E81B98" w:rsidP="00853B27">
            <w:pPr>
              <w:keepNext/>
              <w:rPr>
                <w:rFonts w:ascii="Arial Narrow" w:hAnsi="Arial Narrow"/>
                <w:sz w:val="20"/>
                <w:szCs w:val="20"/>
                <w:u w:val="single"/>
              </w:rPr>
            </w:pPr>
            <w:r w:rsidRPr="00B77C31">
              <w:rPr>
                <w:rFonts w:ascii="Arial Narrow" w:hAnsi="Arial Narrow"/>
                <w:sz w:val="20"/>
                <w:szCs w:val="20"/>
                <w:u w:val="single"/>
              </w:rPr>
              <w:t>November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E4F9635" w14:textId="77777777" w:rsidR="00E81B98" w:rsidRPr="0027274E" w:rsidRDefault="00E81B98" w:rsidP="00853B27">
            <w:pPr>
              <w:keepNext/>
              <w:rPr>
                <w:rFonts w:ascii="Arial Narrow" w:hAnsi="Arial Narrow"/>
                <w:sz w:val="20"/>
                <w:szCs w:val="20"/>
              </w:rPr>
            </w:pPr>
            <w:r w:rsidRPr="0027274E">
              <w:rPr>
                <w:rFonts w:ascii="Arial Narrow" w:hAnsi="Arial Narrow"/>
                <w:sz w:val="20"/>
                <w:szCs w:val="20"/>
              </w:rPr>
              <w:t>1519.1</w:t>
            </w:r>
          </w:p>
          <w:p w14:paraId="7E4265B6" w14:textId="77777777" w:rsidR="00E81B98" w:rsidRPr="0027274E" w:rsidRDefault="00E81B98" w:rsidP="00853B27">
            <w:pPr>
              <w:keepNext/>
              <w:rPr>
                <w:rFonts w:ascii="Arial Narrow" w:hAnsi="Arial Narrow" w:cstheme="minorBid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D38AE5" w14:textId="5E372E67" w:rsidR="00E81B98" w:rsidRPr="0027274E" w:rsidRDefault="00E81B98" w:rsidP="00853B27">
            <w:pPr>
              <w:keepNext/>
              <w:rPr>
                <w:rFonts w:ascii="Arial Narrow" w:hAnsi="Arial Narrow"/>
                <w:sz w:val="20"/>
                <w:szCs w:val="20"/>
              </w:rPr>
            </w:pPr>
            <w:r w:rsidRPr="0027274E">
              <w:rPr>
                <w:rFonts w:ascii="Arial Narrow" w:hAnsi="Arial Narrow"/>
                <w:sz w:val="20"/>
                <w:szCs w:val="20"/>
              </w:rPr>
              <w:t>DLBCL</w:t>
            </w:r>
            <w:r w:rsidR="00E33AAE" w:rsidRPr="0027274E">
              <w:rPr>
                <w:rFonts w:ascii="Arial Narrow" w:hAnsi="Arial Narrow"/>
                <w:sz w:val="20"/>
                <w:szCs w:val="20"/>
              </w:rPr>
              <w:t xml:space="preserve"> amended (post 3 lines of therapy)</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846049" w14:textId="77777777" w:rsidR="00E81B98" w:rsidRPr="0027274E" w:rsidRDefault="00E81B98" w:rsidP="00853B27">
            <w:pPr>
              <w:keepNext/>
              <w:rPr>
                <w:rFonts w:ascii="Arial Narrow" w:hAnsi="Arial Narrow"/>
                <w:sz w:val="20"/>
                <w:szCs w:val="20"/>
                <w:u w:val="single"/>
              </w:rPr>
            </w:pPr>
            <w:r w:rsidRPr="0027274E">
              <w:rPr>
                <w:rFonts w:ascii="Arial Narrow" w:hAnsi="Arial Narrow"/>
                <w:sz w:val="20"/>
                <w:szCs w:val="20"/>
                <w:u w:val="single"/>
              </w:rPr>
              <w:t>MSAC recommended public funding of TIS for certain patients with DLBCL, PMBCL and TFL.</w:t>
            </w: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6EBC58" w14:textId="25F7626E" w:rsidR="00E81B98" w:rsidRPr="0027274E" w:rsidRDefault="00B36A58" w:rsidP="00853B27">
            <w:pPr>
              <w:keepNext/>
              <w:rPr>
                <w:rFonts w:ascii="Arial Narrow" w:hAnsi="Arial Narrow"/>
                <w:sz w:val="20"/>
                <w:szCs w:val="20"/>
              </w:rPr>
            </w:pPr>
            <w:hyperlink r:id="rId12" w:history="1">
              <w:r w:rsidR="005E5683" w:rsidRPr="0027274E">
                <w:rPr>
                  <w:rStyle w:val="Hyperlink"/>
                  <w:rFonts w:ascii="Arial Narrow" w:hAnsi="Arial Narrow"/>
                  <w:sz w:val="20"/>
                  <w:szCs w:val="20"/>
                </w:rPr>
                <w:t>http://www.msac.gov.au/internet/msac/publishing.nsf/Content/1519.1-public</w:t>
              </w:r>
            </w:hyperlink>
            <w:r w:rsidR="005E5683" w:rsidRPr="0027274E">
              <w:rPr>
                <w:rFonts w:ascii="Arial Narrow" w:hAnsi="Arial Narrow"/>
                <w:sz w:val="20"/>
                <w:szCs w:val="20"/>
              </w:rPr>
              <w:t xml:space="preserve"> </w:t>
            </w:r>
          </w:p>
        </w:tc>
      </w:tr>
      <w:tr w:rsidR="00D91D46" w14:paraId="2C7BCC02" w14:textId="77777777" w:rsidTr="00FA23C7">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2580DD" w14:textId="77777777" w:rsidR="00E81B98" w:rsidRPr="0027274E" w:rsidRDefault="00E81B98" w:rsidP="00853B27">
            <w:pPr>
              <w:keepNext/>
              <w:rPr>
                <w:rFonts w:ascii="Arial Narrow" w:hAnsi="Arial Narrow"/>
                <w:sz w:val="20"/>
                <w:szCs w:val="20"/>
              </w:rPr>
            </w:pPr>
            <w:r w:rsidRPr="0027274E">
              <w:rPr>
                <w:rFonts w:ascii="Arial Narrow" w:hAnsi="Arial Narrow"/>
                <w:sz w:val="20"/>
                <w:szCs w:val="20"/>
              </w:rPr>
              <w:t xml:space="preserve">November 2020 </w:t>
            </w:r>
            <w:r w:rsidRPr="0027274E">
              <w:rPr>
                <w:rFonts w:ascii="Arial Narrow" w:hAnsi="Arial Narrow"/>
                <w:i/>
                <w:sz w:val="20"/>
                <w:szCs w:val="20"/>
              </w:rPr>
              <w:t>(bypassed PASC, ESC)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CDA00F" w14:textId="77777777" w:rsidR="00E81B98" w:rsidRPr="0027274E" w:rsidRDefault="00E81B98" w:rsidP="00853B27">
            <w:pPr>
              <w:keepNext/>
              <w:rPr>
                <w:rFonts w:ascii="Arial Narrow" w:hAnsi="Arial Narrow"/>
                <w:sz w:val="20"/>
                <w:szCs w:val="20"/>
              </w:rPr>
            </w:pPr>
            <w:r w:rsidRPr="0027274E">
              <w:rPr>
                <w:rFonts w:ascii="Arial Narrow" w:hAnsi="Arial Narrow"/>
                <w:sz w:val="20"/>
                <w:szCs w:val="20"/>
              </w:rPr>
              <w:t>1653 (minor)</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2505E" w14:textId="6B9F1A36" w:rsidR="00E81B98" w:rsidRPr="0027274E" w:rsidRDefault="00E81B98" w:rsidP="00853B27">
            <w:pPr>
              <w:keepNext/>
              <w:rPr>
                <w:rFonts w:ascii="Arial Narrow" w:hAnsi="Arial Narrow"/>
                <w:sz w:val="20"/>
                <w:szCs w:val="20"/>
              </w:rPr>
            </w:pPr>
            <w:r w:rsidRPr="0027274E">
              <w:rPr>
                <w:rFonts w:ascii="Arial Narrow" w:hAnsi="Arial Narrow"/>
                <w:sz w:val="20"/>
                <w:szCs w:val="20"/>
              </w:rPr>
              <w:t xml:space="preserve">Amendment to eligibility criteria in DLBCL </w:t>
            </w:r>
            <w:r w:rsidR="005F6295">
              <w:rPr>
                <w:rFonts w:ascii="Arial Narrow" w:hAnsi="Arial Narrow"/>
                <w:sz w:val="20"/>
                <w:szCs w:val="20"/>
              </w:rPr>
              <w:t>–</w:t>
            </w:r>
            <w:r w:rsidRPr="0027274E">
              <w:rPr>
                <w:rFonts w:ascii="Arial Narrow" w:hAnsi="Arial Narrow"/>
                <w:sz w:val="20"/>
                <w:szCs w:val="20"/>
              </w:rPr>
              <w:t xml:space="preserve"> removal of requirement for CD19-positivity</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51F5B8" w14:textId="77777777" w:rsidR="00E81B98" w:rsidRPr="0027274E" w:rsidRDefault="00E81B98" w:rsidP="00853B27">
            <w:pPr>
              <w:keepNext/>
              <w:rPr>
                <w:rFonts w:ascii="Arial Narrow" w:hAnsi="Arial Narrow"/>
                <w:sz w:val="20"/>
                <w:szCs w:val="20"/>
              </w:rPr>
            </w:pPr>
            <w:r w:rsidRPr="0027274E">
              <w:rPr>
                <w:rFonts w:ascii="Arial Narrow" w:hAnsi="Arial Narrow"/>
                <w:sz w:val="20"/>
                <w:szCs w:val="20"/>
              </w:rPr>
              <w:t>MSAC did not support removing the requirement for CD19 positivity.</w:t>
            </w: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4C904C" w14:textId="346AC79A" w:rsidR="00E81B98" w:rsidRPr="0027274E" w:rsidRDefault="00B36A58" w:rsidP="00853B27">
            <w:pPr>
              <w:keepNext/>
              <w:rPr>
                <w:rFonts w:ascii="Arial Narrow" w:hAnsi="Arial Narrow"/>
                <w:sz w:val="20"/>
                <w:szCs w:val="20"/>
              </w:rPr>
            </w:pPr>
            <w:hyperlink r:id="rId13" w:history="1">
              <w:r w:rsidR="005F6295" w:rsidRPr="00F91DDE">
                <w:rPr>
                  <w:rStyle w:val="Hyperlink"/>
                  <w:rFonts w:ascii="Arial Narrow" w:hAnsi="Arial Narrow"/>
                  <w:sz w:val="20"/>
                  <w:szCs w:val="20"/>
                </w:rPr>
                <w:t>http://www.msac.gov.au/internet/msac/publishing.nsf/Content/1653-public</w:t>
              </w:r>
            </w:hyperlink>
            <w:r w:rsidR="005F6295">
              <w:rPr>
                <w:rFonts w:ascii="Arial Narrow" w:hAnsi="Arial Narrow"/>
                <w:sz w:val="20"/>
                <w:szCs w:val="20"/>
              </w:rPr>
              <w:t xml:space="preserve"> </w:t>
            </w:r>
          </w:p>
        </w:tc>
      </w:tr>
      <w:tr w:rsidR="00D91D46" w14:paraId="1E79BEE8" w14:textId="77777777" w:rsidTr="00FA23C7">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56F1762A" w14:textId="2387245A" w:rsidR="00B94348" w:rsidRPr="0027274E" w:rsidRDefault="00B94348" w:rsidP="00853B27">
            <w:pPr>
              <w:keepNext/>
              <w:rPr>
                <w:rFonts w:ascii="Arial Narrow" w:hAnsi="Arial Narrow"/>
                <w:sz w:val="20"/>
                <w:szCs w:val="20"/>
              </w:rPr>
            </w:pPr>
            <w:r w:rsidRPr="0027274E">
              <w:rPr>
                <w:rFonts w:ascii="Arial Narrow" w:hAnsi="Arial Narrow"/>
                <w:sz w:val="20"/>
                <w:szCs w:val="20"/>
              </w:rPr>
              <w:t xml:space="preserve">July 2021 </w:t>
            </w:r>
            <w:r w:rsidRPr="0027274E">
              <w:rPr>
                <w:rFonts w:ascii="Arial Narrow" w:hAnsi="Arial Narrow"/>
                <w:i/>
                <w:sz w:val="20"/>
                <w:szCs w:val="20"/>
              </w:rPr>
              <w:t>(bypassed PASC, ESC)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28A643E" w14:textId="77777777" w:rsidR="00B94348" w:rsidRPr="0027274E" w:rsidRDefault="00B94348" w:rsidP="00853B27">
            <w:pPr>
              <w:keepNext/>
              <w:rPr>
                <w:rFonts w:ascii="Arial Narrow" w:hAnsi="Arial Narrow"/>
                <w:sz w:val="20"/>
                <w:szCs w:val="20"/>
              </w:rPr>
            </w:pPr>
            <w:r w:rsidRPr="0027274E">
              <w:rPr>
                <w:rFonts w:ascii="Arial Narrow" w:hAnsi="Arial Narrow"/>
                <w:sz w:val="20"/>
                <w:szCs w:val="20"/>
              </w:rPr>
              <w:t>1676</w:t>
            </w:r>
          </w:p>
          <w:p w14:paraId="084F0AAB" w14:textId="6234664E" w:rsidR="00B94348" w:rsidRPr="0027274E" w:rsidRDefault="00B94348" w:rsidP="00853B27">
            <w:pPr>
              <w:keepNext/>
              <w:rPr>
                <w:rFonts w:ascii="Arial Narrow" w:hAnsi="Arial Narrow"/>
                <w:sz w:val="20"/>
                <w:szCs w:val="20"/>
              </w:rPr>
            </w:pPr>
            <w:r w:rsidRPr="0027274E">
              <w:rPr>
                <w:rFonts w:ascii="Arial Narrow" w:hAnsi="Arial Narrow"/>
                <w:sz w:val="20"/>
                <w:szCs w:val="20"/>
              </w:rPr>
              <w:t>(minor)</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2BA804" w14:textId="77777777" w:rsidR="00175013" w:rsidRPr="0027274E" w:rsidRDefault="00B94348" w:rsidP="00853B27">
            <w:pPr>
              <w:keepNext/>
              <w:rPr>
                <w:rFonts w:ascii="Arial Narrow" w:hAnsi="Arial Narrow"/>
                <w:sz w:val="20"/>
                <w:szCs w:val="20"/>
              </w:rPr>
            </w:pPr>
            <w:r w:rsidRPr="0027274E">
              <w:rPr>
                <w:rFonts w:ascii="Arial Narrow" w:hAnsi="Arial Narrow"/>
                <w:sz w:val="20"/>
                <w:szCs w:val="20"/>
              </w:rPr>
              <w:t xml:space="preserve">Amendment to eligibility criteria </w:t>
            </w:r>
            <w:r w:rsidR="00200574" w:rsidRPr="0027274E">
              <w:rPr>
                <w:rFonts w:ascii="Arial Narrow" w:hAnsi="Arial Narrow"/>
                <w:sz w:val="20"/>
                <w:szCs w:val="20"/>
              </w:rPr>
              <w:t xml:space="preserve">to </w:t>
            </w:r>
            <w:proofErr w:type="gramStart"/>
            <w:r w:rsidR="00200574" w:rsidRPr="0027274E">
              <w:rPr>
                <w:rFonts w:ascii="Arial Narrow" w:hAnsi="Arial Narrow"/>
                <w:sz w:val="20"/>
                <w:szCs w:val="20"/>
              </w:rPr>
              <w:t>allow</w:t>
            </w:r>
            <w:proofErr w:type="gramEnd"/>
            <w:r w:rsidR="00200574" w:rsidRPr="0027274E">
              <w:rPr>
                <w:rFonts w:ascii="Arial Narrow" w:hAnsi="Arial Narrow"/>
                <w:sz w:val="20"/>
                <w:szCs w:val="20"/>
              </w:rPr>
              <w:t xml:space="preserve"> </w:t>
            </w:r>
          </w:p>
          <w:p w14:paraId="56B7F246" w14:textId="51BD7C7B" w:rsidR="00200574" w:rsidRPr="0027274E" w:rsidRDefault="00C35473" w:rsidP="00853B27">
            <w:pPr>
              <w:keepNext/>
              <w:rPr>
                <w:rFonts w:ascii="Arial Narrow" w:hAnsi="Arial Narrow"/>
                <w:sz w:val="20"/>
                <w:szCs w:val="20"/>
              </w:rPr>
            </w:pPr>
            <w:r w:rsidRPr="0027274E">
              <w:rPr>
                <w:rFonts w:ascii="Arial Narrow" w:hAnsi="Arial Narrow"/>
                <w:sz w:val="20"/>
                <w:szCs w:val="20"/>
              </w:rPr>
              <w:t xml:space="preserve">(a) </w:t>
            </w:r>
            <w:r w:rsidR="00200574" w:rsidRPr="0027274E">
              <w:rPr>
                <w:rFonts w:ascii="Arial Narrow" w:hAnsi="Arial Narrow"/>
                <w:sz w:val="20"/>
                <w:szCs w:val="20"/>
              </w:rPr>
              <w:t>TFL, without the requirement for additional systemic therapy post-ASCT; and</w:t>
            </w:r>
          </w:p>
          <w:p w14:paraId="5B58FAB1" w14:textId="47035CF9" w:rsidR="00A833AA" w:rsidRPr="0027274E" w:rsidRDefault="00200574" w:rsidP="00853B27">
            <w:pPr>
              <w:keepNext/>
              <w:rPr>
                <w:rFonts w:ascii="Arial Narrow" w:hAnsi="Arial Narrow"/>
                <w:sz w:val="20"/>
                <w:szCs w:val="20"/>
              </w:rPr>
            </w:pPr>
            <w:r w:rsidRPr="0027274E">
              <w:rPr>
                <w:rFonts w:ascii="Arial Narrow" w:hAnsi="Arial Narrow"/>
                <w:sz w:val="20"/>
                <w:szCs w:val="20"/>
              </w:rPr>
              <w:t>(b) Grade 3B FL patients</w:t>
            </w:r>
            <w:r w:rsidR="00A833AA" w:rsidRPr="0027274E">
              <w:rPr>
                <w:rFonts w:ascii="Arial Narrow" w:hAnsi="Arial Narrow"/>
                <w:sz w:val="20"/>
                <w:szCs w:val="20"/>
              </w:rPr>
              <w:t>, access to treatment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F963775" w14:textId="71F3D777" w:rsidR="00B94348" w:rsidRPr="0027274E" w:rsidRDefault="00A833AA" w:rsidP="00853B27">
            <w:pPr>
              <w:keepNext/>
              <w:rPr>
                <w:rFonts w:ascii="Arial Narrow" w:hAnsi="Arial Narrow"/>
                <w:sz w:val="20"/>
                <w:szCs w:val="20"/>
              </w:rPr>
            </w:pPr>
            <w:r w:rsidRPr="0027274E">
              <w:rPr>
                <w:rFonts w:ascii="Arial Narrow" w:hAnsi="Arial Narrow"/>
                <w:sz w:val="20"/>
                <w:szCs w:val="20"/>
                <w:u w:val="single"/>
              </w:rPr>
              <w:t>MSAC recommended public funding</w:t>
            </w: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40DA7791" w14:textId="04A4938B" w:rsidR="00B94348" w:rsidRPr="0027274E" w:rsidRDefault="00B36A58" w:rsidP="00853B27">
            <w:pPr>
              <w:keepNext/>
              <w:rPr>
                <w:rFonts w:ascii="Arial Narrow" w:hAnsi="Arial Narrow"/>
                <w:sz w:val="20"/>
                <w:szCs w:val="20"/>
              </w:rPr>
            </w:pPr>
            <w:hyperlink r:id="rId14" w:history="1">
              <w:r w:rsidR="005F6295" w:rsidRPr="00F91DDE">
                <w:rPr>
                  <w:rStyle w:val="Hyperlink"/>
                  <w:rFonts w:ascii="Arial Narrow" w:hAnsi="Arial Narrow"/>
                  <w:sz w:val="20"/>
                  <w:szCs w:val="20"/>
                </w:rPr>
                <w:t>http://www.msac.gov.au/internet/msac/publishing.nsf/Content/1676-public</w:t>
              </w:r>
            </w:hyperlink>
            <w:r w:rsidR="005F6295">
              <w:rPr>
                <w:rFonts w:ascii="Arial Narrow" w:hAnsi="Arial Narrow"/>
                <w:sz w:val="20"/>
                <w:szCs w:val="20"/>
              </w:rPr>
              <w:t xml:space="preserve"> </w:t>
            </w:r>
          </w:p>
        </w:tc>
      </w:tr>
      <w:tr w:rsidR="0027274E" w14:paraId="4550BFF7" w14:textId="77777777" w:rsidTr="00FA23C7">
        <w:tc>
          <w:tcPr>
            <w:tcW w:w="901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71BEC9B" w14:textId="5833187A" w:rsidR="0027274E" w:rsidRPr="00845350" w:rsidRDefault="009636FD" w:rsidP="00853B27">
            <w:pPr>
              <w:keepNext/>
              <w:rPr>
                <w:rFonts w:ascii="Arial Narrow" w:hAnsi="Arial Narrow"/>
                <w:sz w:val="20"/>
                <w:szCs w:val="20"/>
              </w:rPr>
            </w:pPr>
            <w:r>
              <w:rPr>
                <w:rFonts w:ascii="Arial Narrow" w:hAnsi="Arial Narrow"/>
                <w:sz w:val="20"/>
                <w:szCs w:val="20"/>
              </w:rPr>
              <w:t>A</w:t>
            </w:r>
            <w:r w:rsidRPr="0009057A">
              <w:rPr>
                <w:rFonts w:ascii="Arial Narrow" w:hAnsi="Arial Narrow"/>
                <w:sz w:val="20"/>
                <w:szCs w:val="20"/>
              </w:rPr>
              <w:t>xicabtagene ciloleucel</w:t>
            </w:r>
          </w:p>
        </w:tc>
      </w:tr>
      <w:tr w:rsidR="00D91D46" w14:paraId="76BCD9E7" w14:textId="77777777" w:rsidTr="00FA23C7">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1141159F" w14:textId="749164AE" w:rsidR="00845350" w:rsidRDefault="00E33AAE" w:rsidP="00853B27">
            <w:pPr>
              <w:keepNext/>
              <w:rPr>
                <w:rFonts w:ascii="Arial Narrow" w:hAnsi="Arial Narrow"/>
                <w:sz w:val="20"/>
                <w:szCs w:val="20"/>
              </w:rPr>
            </w:pPr>
            <w:r>
              <w:rPr>
                <w:rFonts w:ascii="Arial Narrow" w:hAnsi="Arial Narrow"/>
                <w:sz w:val="20"/>
                <w:szCs w:val="20"/>
              </w:rPr>
              <w:t xml:space="preserve">July 2021 </w:t>
            </w:r>
            <w:r>
              <w:rPr>
                <w:rFonts w:ascii="Arial Narrow" w:hAnsi="Arial Narrow"/>
                <w:i/>
                <w:sz w:val="20"/>
                <w:szCs w:val="20"/>
              </w:rPr>
              <w:t>(bypassed PASC)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8E732F5" w14:textId="115C168B" w:rsidR="00845350" w:rsidRDefault="00E33AAE" w:rsidP="00853B27">
            <w:pPr>
              <w:keepNext/>
              <w:rPr>
                <w:rFonts w:ascii="Arial Narrow" w:hAnsi="Arial Narrow"/>
                <w:sz w:val="20"/>
                <w:szCs w:val="20"/>
              </w:rPr>
            </w:pPr>
            <w:r>
              <w:rPr>
                <w:rFonts w:ascii="Arial Narrow" w:hAnsi="Arial Narrow"/>
                <w:sz w:val="20"/>
                <w:szCs w:val="20"/>
              </w:rPr>
              <w:t>1587</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89A8B57" w14:textId="1990864D" w:rsidR="00845350" w:rsidRDefault="009805CF" w:rsidP="00853B27">
            <w:pPr>
              <w:keepNext/>
              <w:rPr>
                <w:rFonts w:ascii="Arial Narrow" w:hAnsi="Arial Narrow"/>
                <w:sz w:val="20"/>
                <w:szCs w:val="20"/>
              </w:rPr>
            </w:pPr>
            <w:r w:rsidRPr="009805CF">
              <w:rPr>
                <w:rFonts w:ascii="Arial Narrow" w:hAnsi="Arial Narrow"/>
                <w:sz w:val="20"/>
                <w:szCs w:val="20"/>
              </w:rPr>
              <w:t xml:space="preserve">the treatment of refractory or relapsed CD19-positive </w:t>
            </w:r>
            <w:r w:rsidR="00236491">
              <w:rPr>
                <w:rFonts w:ascii="Arial Narrow" w:hAnsi="Arial Narrow"/>
                <w:sz w:val="20"/>
                <w:szCs w:val="20"/>
              </w:rPr>
              <w:t>DLBCL</w:t>
            </w:r>
            <w:r w:rsidR="00DD0C32">
              <w:rPr>
                <w:rFonts w:ascii="Arial Narrow" w:hAnsi="Arial Narrow"/>
                <w:sz w:val="20"/>
                <w:szCs w:val="20"/>
              </w:rPr>
              <w:t xml:space="preserve"> </w:t>
            </w:r>
            <w:r w:rsidR="00E33AAE">
              <w:rPr>
                <w:rFonts w:ascii="Arial Narrow" w:hAnsi="Arial Narrow"/>
                <w:sz w:val="20"/>
                <w:szCs w:val="20"/>
              </w:rPr>
              <w:t>(</w:t>
            </w:r>
            <w:r w:rsidR="00DD0C32">
              <w:rPr>
                <w:rFonts w:ascii="Arial Narrow" w:hAnsi="Arial Narrow"/>
                <w:sz w:val="20"/>
                <w:szCs w:val="20"/>
              </w:rPr>
              <w:t xml:space="preserve">post </w:t>
            </w:r>
            <w:r w:rsidR="00E33AAE">
              <w:rPr>
                <w:rFonts w:ascii="Arial Narrow" w:hAnsi="Arial Narrow"/>
                <w:sz w:val="20"/>
                <w:szCs w:val="20"/>
              </w:rPr>
              <w:t>3 lines of therapy)</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BE05422" w14:textId="73523DEB" w:rsidR="00845350" w:rsidRDefault="00845350" w:rsidP="00853B27">
            <w:pPr>
              <w:keepNext/>
              <w:rPr>
                <w:rFonts w:ascii="Arial Narrow" w:hAnsi="Arial Narrow"/>
                <w:sz w:val="20"/>
                <w:szCs w:val="20"/>
              </w:rPr>
            </w:pPr>
            <w:r>
              <w:rPr>
                <w:rFonts w:ascii="Arial Narrow" w:hAnsi="Arial Narrow"/>
                <w:sz w:val="20"/>
                <w:szCs w:val="20"/>
                <w:u w:val="single"/>
              </w:rPr>
              <w:t>MSAC recommended public funding</w:t>
            </w: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780879C9" w14:textId="2D98680C" w:rsidR="00845350" w:rsidRDefault="00B36A58" w:rsidP="00853B27">
            <w:pPr>
              <w:keepNext/>
              <w:rPr>
                <w:rFonts w:ascii="Arial Narrow" w:hAnsi="Arial Narrow"/>
                <w:sz w:val="20"/>
                <w:szCs w:val="20"/>
              </w:rPr>
            </w:pPr>
            <w:hyperlink r:id="rId15" w:history="1">
              <w:r w:rsidR="005F6295" w:rsidRPr="00F91DDE">
                <w:rPr>
                  <w:rStyle w:val="Hyperlink"/>
                  <w:rFonts w:ascii="Arial Narrow" w:hAnsi="Arial Narrow"/>
                  <w:sz w:val="20"/>
                  <w:szCs w:val="20"/>
                </w:rPr>
                <w:t>http://www.msac.gov.au/internet/msac/publishing.nsf/Content/1587-public</w:t>
              </w:r>
            </w:hyperlink>
            <w:r w:rsidR="005F6295">
              <w:rPr>
                <w:rFonts w:ascii="Arial Narrow" w:hAnsi="Arial Narrow"/>
                <w:sz w:val="20"/>
                <w:szCs w:val="20"/>
              </w:rPr>
              <w:t xml:space="preserve"> </w:t>
            </w:r>
          </w:p>
        </w:tc>
      </w:tr>
      <w:tr w:rsidR="00D91D46" w14:paraId="71EDC981" w14:textId="77777777" w:rsidTr="00FA23C7">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345323C7" w14:textId="67ECC5D2" w:rsidR="00845350" w:rsidRDefault="00595264" w:rsidP="00853B27">
            <w:pPr>
              <w:keepNext/>
              <w:rPr>
                <w:rFonts w:ascii="Arial Narrow" w:hAnsi="Arial Narrow"/>
                <w:sz w:val="20"/>
                <w:szCs w:val="20"/>
              </w:rPr>
            </w:pPr>
            <w:r>
              <w:rPr>
                <w:rFonts w:ascii="Arial Narrow" w:hAnsi="Arial Narrow"/>
                <w:sz w:val="20"/>
                <w:szCs w:val="20"/>
              </w:rPr>
              <w:t xml:space="preserve">July 2022 </w:t>
            </w:r>
            <w:r>
              <w:rPr>
                <w:rFonts w:ascii="Arial Narrow" w:hAnsi="Arial Narrow"/>
                <w:i/>
                <w:sz w:val="20"/>
                <w:szCs w:val="20"/>
              </w:rPr>
              <w:t>(bypassed PASC)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4904A1A" w14:textId="1648EA1E" w:rsidR="00845350" w:rsidRDefault="00595264" w:rsidP="00853B27">
            <w:pPr>
              <w:keepNext/>
              <w:rPr>
                <w:rFonts w:ascii="Arial Narrow" w:hAnsi="Arial Narrow"/>
                <w:sz w:val="20"/>
                <w:szCs w:val="20"/>
              </w:rPr>
            </w:pPr>
            <w:r>
              <w:rPr>
                <w:rFonts w:ascii="Arial Narrow" w:hAnsi="Arial Narrow"/>
                <w:sz w:val="20"/>
                <w:szCs w:val="20"/>
              </w:rPr>
              <w:t>1722</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5E77CC37" w14:textId="322C97C1" w:rsidR="00845350" w:rsidRDefault="00595264" w:rsidP="00853B27">
            <w:pPr>
              <w:keepNext/>
              <w:rPr>
                <w:rFonts w:ascii="Arial Narrow" w:hAnsi="Arial Narrow"/>
                <w:sz w:val="20"/>
                <w:szCs w:val="20"/>
              </w:rPr>
            </w:pPr>
            <w:r w:rsidRPr="009805CF">
              <w:rPr>
                <w:rFonts w:ascii="Arial Narrow" w:hAnsi="Arial Narrow"/>
                <w:sz w:val="20"/>
                <w:szCs w:val="20"/>
              </w:rPr>
              <w:t xml:space="preserve">the treatment of refractory or relapsed CD19-positive </w:t>
            </w:r>
            <w:r>
              <w:rPr>
                <w:rFonts w:ascii="Arial Narrow" w:hAnsi="Arial Narrow"/>
                <w:sz w:val="20"/>
                <w:szCs w:val="20"/>
              </w:rPr>
              <w:t>DLBCL (post 2 lines of therapy)</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4E25517" w14:textId="2246C3DE" w:rsidR="00845350" w:rsidRDefault="00595264" w:rsidP="00853B27">
            <w:pPr>
              <w:keepNext/>
              <w:rPr>
                <w:rFonts w:ascii="Arial Narrow" w:hAnsi="Arial Narrow"/>
                <w:sz w:val="20"/>
                <w:szCs w:val="20"/>
              </w:rPr>
            </w:pPr>
            <w:r>
              <w:rPr>
                <w:rFonts w:ascii="Arial Narrow" w:hAnsi="Arial Narrow"/>
                <w:sz w:val="20"/>
                <w:szCs w:val="20"/>
              </w:rPr>
              <w:t>Current application</w:t>
            </w: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69E7178A" w14:textId="6A890DBA" w:rsidR="00845350" w:rsidRDefault="00B36A58" w:rsidP="00853B27">
            <w:pPr>
              <w:keepNext/>
              <w:rPr>
                <w:rFonts w:ascii="Arial Narrow" w:hAnsi="Arial Narrow"/>
                <w:sz w:val="20"/>
                <w:szCs w:val="20"/>
              </w:rPr>
            </w:pPr>
            <w:hyperlink r:id="rId16" w:history="1">
              <w:r w:rsidR="005F6295" w:rsidRPr="00F91DDE">
                <w:rPr>
                  <w:rStyle w:val="Hyperlink"/>
                  <w:rFonts w:ascii="Arial Narrow" w:hAnsi="Arial Narrow"/>
                  <w:sz w:val="20"/>
                  <w:szCs w:val="20"/>
                </w:rPr>
                <w:t>http://www.msac.gov.au/internet/msac/publishing.nsf/Content/1722-public</w:t>
              </w:r>
            </w:hyperlink>
            <w:r w:rsidR="005F6295">
              <w:rPr>
                <w:rFonts w:ascii="Arial Narrow" w:hAnsi="Arial Narrow"/>
                <w:sz w:val="20"/>
                <w:szCs w:val="20"/>
              </w:rPr>
              <w:t xml:space="preserve"> </w:t>
            </w:r>
          </w:p>
        </w:tc>
      </w:tr>
    </w:tbl>
    <w:p w14:paraId="2B364995" w14:textId="77777777" w:rsidR="00E152C6" w:rsidRDefault="00E152C6" w:rsidP="00853B27">
      <w:pPr>
        <w:pStyle w:val="a-TableFOOTER"/>
        <w:keepNext/>
        <w:spacing w:after="0"/>
      </w:pPr>
      <w:r>
        <w:t>Source: MSAC 1587 PSD, 2020; MSAC 1676 PSD, 2021;</w:t>
      </w:r>
      <w:r w:rsidRPr="00E152C6">
        <w:t xml:space="preserve"> </w:t>
      </w:r>
      <w:r>
        <w:t>MSAC 1653 PSD, 2020;</w:t>
      </w:r>
      <w:r w:rsidRPr="00E152C6">
        <w:t xml:space="preserve"> </w:t>
      </w:r>
      <w:r>
        <w:t>MSAC 1519 PSD, 2019</w:t>
      </w:r>
    </w:p>
    <w:p w14:paraId="7BACEEF7" w14:textId="2345BA2E" w:rsidR="00E152C6" w:rsidRDefault="00E152C6" w:rsidP="00853B27">
      <w:pPr>
        <w:pStyle w:val="a-TableFOOTER"/>
        <w:keepNext/>
        <w:spacing w:after="0"/>
      </w:pPr>
      <w:bookmarkStart w:id="7" w:name="_Toc69491417"/>
      <w:bookmarkEnd w:id="5"/>
      <w:r>
        <w:t xml:space="preserve">Abbreviations: </w:t>
      </w:r>
      <w:r w:rsidRPr="00E152C6">
        <w:t>ALL</w:t>
      </w:r>
      <w:r w:rsidR="00D905EB">
        <w:t>=a</w:t>
      </w:r>
      <w:r w:rsidR="00D905EB" w:rsidRPr="00D905EB">
        <w:t>cute lymphoblastic leukaemia</w:t>
      </w:r>
      <w:r w:rsidR="00BC194C">
        <w:t>;</w:t>
      </w:r>
      <w:r w:rsidRPr="00E152C6">
        <w:t xml:space="preserve"> DLBCL</w:t>
      </w:r>
      <w:r w:rsidR="00D905EB">
        <w:t>=</w:t>
      </w:r>
      <w:r w:rsidR="007B5816" w:rsidRPr="007B5816">
        <w:t>diffuse large B-cell lymphoma</w:t>
      </w:r>
      <w:r w:rsidR="00BC194C">
        <w:t>; FL=follicular lymphoma;</w:t>
      </w:r>
      <w:r w:rsidRPr="00E152C6">
        <w:t xml:space="preserve"> PMBCL</w:t>
      </w:r>
      <w:r w:rsidR="007B5816">
        <w:t>=</w:t>
      </w:r>
      <w:r w:rsidR="009E2CD3" w:rsidRPr="009E2CD3">
        <w:t>primary mediastinal large B-cell lymphoma</w:t>
      </w:r>
      <w:r w:rsidR="009E2CD3">
        <w:t>;</w:t>
      </w:r>
      <w:r w:rsidRPr="00E152C6">
        <w:t xml:space="preserve"> TFL</w:t>
      </w:r>
      <w:r w:rsidR="003175B5">
        <w:t>=</w:t>
      </w:r>
      <w:r w:rsidR="003175B5" w:rsidRPr="003175B5">
        <w:t>transformed follicular lymphoma</w:t>
      </w:r>
    </w:p>
    <w:p w14:paraId="6F52500A" w14:textId="725C2B91" w:rsidR="00772829" w:rsidRPr="00CE28E3" w:rsidRDefault="00C233D6" w:rsidP="002A18BE">
      <w:pPr>
        <w:pStyle w:val="Heading2"/>
        <w:numPr>
          <w:ilvl w:val="0"/>
          <w:numId w:val="0"/>
        </w:numPr>
      </w:pPr>
      <w:r>
        <w:t>5</w:t>
      </w:r>
      <w:r w:rsidR="00C36633">
        <w:t>.</w:t>
      </w:r>
      <w:r w:rsidR="00C36633">
        <w:tab/>
      </w:r>
      <w:r w:rsidR="00772829" w:rsidRPr="00CE28E3">
        <w:t>Prerequisites to implementation of any funding advice</w:t>
      </w:r>
      <w:bookmarkEnd w:id="7"/>
    </w:p>
    <w:p w14:paraId="117C693C" w14:textId="568E0963" w:rsidR="008B7C47" w:rsidRDefault="008B7C47" w:rsidP="00B94F5D">
      <w:pPr>
        <w:pStyle w:val="a-TEXT"/>
      </w:pPr>
      <w:r w:rsidRPr="00CD0A0F">
        <w:t xml:space="preserve">A regulatory submission </w:t>
      </w:r>
      <w:r>
        <w:t xml:space="preserve">requesting expansion of the marketing approval for </w:t>
      </w:r>
      <w:r w:rsidR="00226D5B">
        <w:t>AXI</w:t>
      </w:r>
      <w:r>
        <w:t xml:space="preserve"> to include patients with LBCL in the 2L setting </w:t>
      </w:r>
      <w:r w:rsidRPr="00CD0A0F">
        <w:t xml:space="preserve">was submitted to the Therapeutic Goods Administration (TGA) on </w:t>
      </w:r>
      <w:r>
        <w:t xml:space="preserve">2 December 2021 and a final </w:t>
      </w:r>
      <w:r w:rsidRPr="00CD0A0F">
        <w:t xml:space="preserve">TGA decision </w:t>
      </w:r>
      <w:r w:rsidR="00E0588D">
        <w:t xml:space="preserve">was </w:t>
      </w:r>
      <w:r w:rsidR="00D621B2">
        <w:t xml:space="preserve">released </w:t>
      </w:r>
      <w:r>
        <w:t xml:space="preserve">in </w:t>
      </w:r>
      <w:r w:rsidR="00433C5E">
        <w:t>December</w:t>
      </w:r>
      <w:r>
        <w:t xml:space="preserve"> 2022.</w:t>
      </w:r>
      <w:r w:rsidR="00D621B2">
        <w:t xml:space="preserve"> The indication according to the </w:t>
      </w:r>
      <w:r w:rsidR="00CB606F">
        <w:t>TGA PI is “</w:t>
      </w:r>
      <w:r w:rsidR="00CB606F" w:rsidRPr="00CB606F">
        <w:t xml:space="preserve">YESCARTA is a genetically modified autologous </w:t>
      </w:r>
      <w:proofErr w:type="spellStart"/>
      <w:r w:rsidR="00CB606F" w:rsidRPr="00CB606F">
        <w:t>immunocellular</w:t>
      </w:r>
      <w:proofErr w:type="spellEnd"/>
      <w:r w:rsidR="00CB606F" w:rsidRPr="00CB606F">
        <w:t xml:space="preserve"> therapy for the treatment of: Large B-cell Lymphoma</w:t>
      </w:r>
      <w:r w:rsidR="00D40DB2">
        <w:t xml:space="preserve"> p</w:t>
      </w:r>
      <w:r w:rsidR="00CB606F" w:rsidRPr="00CB606F">
        <w:t>atients with relapsed or refractory large B-cell lymphoma (LBCL). YESCARTA is not indicated for the treatment of patients with primary central nervous system lymphoma</w:t>
      </w:r>
      <w:r w:rsidR="00CB606F">
        <w:t>”</w:t>
      </w:r>
      <w:r w:rsidR="00D40DB2">
        <w:t>.</w:t>
      </w:r>
    </w:p>
    <w:p w14:paraId="610230ED" w14:textId="607F26D7" w:rsidR="006F1363" w:rsidRDefault="006F1363" w:rsidP="00B94F5D">
      <w:pPr>
        <w:pStyle w:val="a-TEXT"/>
      </w:pPr>
      <w:r>
        <w:t xml:space="preserve">The intervention would be delivered in select tertiary hospital treatment centres who specialise in delivery of CAR-T cell therapy. Treatment centres require site qualification from Gilead, and there are currently five locations qualified to deliver AXI (1 in Melbourne, Brisbane, and Perth; 2 in Sydney). Prescription must be completed by </w:t>
      </w:r>
      <w:r w:rsidRPr="00C76172">
        <w:t xml:space="preserve">physicians who are experienced in the treatment of patients with haematological malignancies. </w:t>
      </w:r>
      <w:r w:rsidRPr="00F21185">
        <w:t xml:space="preserve">Patients </w:t>
      </w:r>
      <w:r>
        <w:t>are</w:t>
      </w:r>
      <w:r w:rsidRPr="00F21185">
        <w:t xml:space="preserve"> monitored for adverse events at the </w:t>
      </w:r>
      <w:r>
        <w:t>centre</w:t>
      </w:r>
      <w:r w:rsidRPr="00F21185">
        <w:t xml:space="preserve"> following </w:t>
      </w:r>
      <w:r>
        <w:t>treatment</w:t>
      </w:r>
      <w:r w:rsidRPr="00F21185">
        <w:t xml:space="preserve"> for at least 7 days. </w:t>
      </w:r>
      <w:r>
        <w:t xml:space="preserve">Patients are </w:t>
      </w:r>
      <w:r>
        <w:rPr>
          <w:bCs/>
        </w:rPr>
        <w:t>then required to remain no more than 2 hours from the treatment centre for 4 weeks following infusion.</w:t>
      </w:r>
    </w:p>
    <w:p w14:paraId="44C3B242" w14:textId="067701AA" w:rsidR="00772829" w:rsidRPr="00CE28E3" w:rsidRDefault="00C233D6" w:rsidP="002A18BE">
      <w:pPr>
        <w:pStyle w:val="Heading2"/>
        <w:numPr>
          <w:ilvl w:val="0"/>
          <w:numId w:val="0"/>
        </w:numPr>
      </w:pPr>
      <w:bookmarkStart w:id="8" w:name="_Toc69491418"/>
      <w:r>
        <w:lastRenderedPageBreak/>
        <w:t>6</w:t>
      </w:r>
      <w:r w:rsidR="00C36633">
        <w:t>.</w:t>
      </w:r>
      <w:r w:rsidR="00C36633">
        <w:tab/>
      </w:r>
      <w:r w:rsidR="00772829" w:rsidRPr="00CE28E3">
        <w:t>Proposal for public funding</w:t>
      </w:r>
      <w:bookmarkEnd w:id="8"/>
    </w:p>
    <w:p w14:paraId="0FFABD40" w14:textId="125E02C7" w:rsidR="00B94F5D" w:rsidRDefault="001E506D" w:rsidP="00B94F5D">
      <w:pPr>
        <w:pStyle w:val="a-TEXT"/>
      </w:pPr>
      <w:r>
        <w:t>The</w:t>
      </w:r>
      <w:r w:rsidR="00562815">
        <w:t xml:space="preserve">re is no ratified PICO confirmation as this application </w:t>
      </w:r>
      <w:r>
        <w:t>bypassed the PASC</w:t>
      </w:r>
      <w:r w:rsidR="00864348">
        <w:t>.</w:t>
      </w:r>
    </w:p>
    <w:p w14:paraId="5BCCC749" w14:textId="304C6B82" w:rsidR="004908C0" w:rsidRDefault="00C03EB8" w:rsidP="00B94F5D">
      <w:pPr>
        <w:pStyle w:val="a-TEXT"/>
      </w:pPr>
      <w:r>
        <w:t xml:space="preserve">The proposed technology is not new; the applicant is seeking public funding for use of </w:t>
      </w:r>
      <w:r w:rsidR="00226D5B">
        <w:t>AXI</w:t>
      </w:r>
      <w:r>
        <w:t xml:space="preserve"> under the same delivery and funding mechanism as is currently available, but at an earlier stage (i.e., in the 2L, rather than 3L setting). </w:t>
      </w:r>
      <w:r w:rsidR="008D059B">
        <w:t xml:space="preserve">Thus, this application is essentially proposing to move AXI forward in certain patients in the treatment algorithm. </w:t>
      </w:r>
      <w:r>
        <w:t xml:space="preserve">Funding is sought under a block funding arrangement via Commonwealth and </w:t>
      </w:r>
      <w:r w:rsidR="002C049B">
        <w:t>s</w:t>
      </w:r>
      <w:r>
        <w:t xml:space="preserve">tate shared funding for </w:t>
      </w:r>
      <w:r w:rsidRPr="003F34B6">
        <w:t>Highly Specialised Therapies under the Addendum to the National Health Reform Agreement 2020-2025 (NHRA)</w:t>
      </w:r>
      <w:r>
        <w:t>.</w:t>
      </w:r>
    </w:p>
    <w:p w14:paraId="57FC3B56" w14:textId="4C12A995" w:rsidR="00AE65A4" w:rsidRPr="00246C59" w:rsidRDefault="00AE65A4" w:rsidP="00246C59">
      <w:pPr>
        <w:pStyle w:val="a-TEXT"/>
      </w:pPr>
      <w:r w:rsidRPr="00110C43">
        <w:t>The ADAR appropriately addresse</w:t>
      </w:r>
      <w:r>
        <w:t>d</w:t>
      </w:r>
      <w:r w:rsidRPr="00110C43">
        <w:t xml:space="preserve"> the population requirements of the proposed PICO</w:t>
      </w:r>
      <w:r>
        <w:t xml:space="preserve"> but did not </w:t>
      </w:r>
      <w:r w:rsidR="00B658FA">
        <w:t>propose c</w:t>
      </w:r>
      <w:r w:rsidRPr="00AE65A4">
        <w:t>lear eligibility criteria for treatment</w:t>
      </w:r>
      <w:r w:rsidR="00B658FA">
        <w:t xml:space="preserve"> </w:t>
      </w:r>
      <w:r w:rsidRPr="00AE65A4">
        <w:t>to better define the proportion of patients who would be expected to be treated with AXI in the 2L setting.</w:t>
      </w:r>
      <w:r w:rsidR="00B658FA">
        <w:t xml:space="preserve"> </w:t>
      </w:r>
      <w:r w:rsidR="00F6480D">
        <w:t>MSAC’s advice is requested for t</w:t>
      </w:r>
      <w:r w:rsidR="00B658FA">
        <w:t xml:space="preserve">he </w:t>
      </w:r>
      <w:r w:rsidR="00D36E1E">
        <w:t xml:space="preserve">possible eligibility criteria </w:t>
      </w:r>
      <w:r w:rsidR="002F267B">
        <w:t xml:space="preserve">suggested </w:t>
      </w:r>
      <w:r w:rsidR="00B658FA">
        <w:t>during evaluation</w:t>
      </w:r>
      <w:r w:rsidR="00360057">
        <w:t xml:space="preserve"> (see Table 2 below).</w:t>
      </w:r>
    </w:p>
    <w:p w14:paraId="308CB4A7" w14:textId="53F45F2E" w:rsidR="00B658FA" w:rsidRDefault="00B658FA" w:rsidP="00853B27">
      <w:pPr>
        <w:pStyle w:val="Caption"/>
      </w:pPr>
      <w:r>
        <w:lastRenderedPageBreak/>
        <w:t xml:space="preserve">Table </w:t>
      </w:r>
      <w:r w:rsidR="00D36E1E">
        <w:t>2</w:t>
      </w:r>
      <w:r>
        <w:t xml:space="preserve"> </w:t>
      </w:r>
      <w:r w:rsidRPr="004B54B1">
        <w:t>Eligibility criteria for AXI</w:t>
      </w:r>
    </w:p>
    <w:tbl>
      <w:tblPr>
        <w:tblStyle w:val="TableGrid1"/>
        <w:tblW w:w="9214" w:type="dxa"/>
        <w:tblLayout w:type="fixed"/>
        <w:tblLook w:val="0020" w:firstRow="1" w:lastRow="0" w:firstColumn="0" w:lastColumn="0" w:noHBand="0" w:noVBand="0"/>
        <w:tblDescription w:val="Proposed eligibility criteria for AXI"/>
      </w:tblPr>
      <w:tblGrid>
        <w:gridCol w:w="1413"/>
        <w:gridCol w:w="7801"/>
      </w:tblGrid>
      <w:tr w:rsidR="00C10B05" w:rsidRPr="00C10B05" w14:paraId="48EC1FEA" w14:textId="77777777" w:rsidTr="000758D5">
        <w:trPr>
          <w:cnfStyle w:val="100000000000" w:firstRow="1" w:lastRow="0" w:firstColumn="0" w:lastColumn="0" w:oddVBand="0" w:evenVBand="0" w:oddHBand="0" w:evenHBand="0" w:firstRowFirstColumn="0" w:firstRowLastColumn="0" w:lastRowFirstColumn="0" w:lastRowLastColumn="0"/>
          <w:trHeight w:val="360"/>
          <w:tblHeader/>
        </w:trPr>
        <w:tc>
          <w:tcPr>
            <w:tcW w:w="1413" w:type="dxa"/>
          </w:tcPr>
          <w:p w14:paraId="027D384C" w14:textId="77777777" w:rsidR="00AE65A4" w:rsidRPr="006F1363" w:rsidRDefault="00AE65A4" w:rsidP="00853B27">
            <w:pPr>
              <w:keepNext/>
              <w:rPr>
                <w:rFonts w:ascii="Arial Narrow" w:eastAsia="Calibri" w:hAnsi="Arial Narrow" w:cs="Calibri"/>
                <w:b/>
                <w:sz w:val="20"/>
                <w:szCs w:val="20"/>
              </w:rPr>
            </w:pPr>
            <w:r w:rsidRPr="006F1363">
              <w:rPr>
                <w:rFonts w:ascii="Arial Narrow" w:eastAsia="Calibri" w:hAnsi="Arial Narrow" w:cs="Calibri"/>
                <w:b/>
                <w:sz w:val="20"/>
                <w:szCs w:val="20"/>
              </w:rPr>
              <w:t>Indication:</w:t>
            </w:r>
          </w:p>
        </w:tc>
        <w:tc>
          <w:tcPr>
            <w:tcW w:w="7801" w:type="dxa"/>
          </w:tcPr>
          <w:p w14:paraId="18E57E39" w14:textId="2EFDCD4E" w:rsidR="00AE65A4" w:rsidRPr="006F1363" w:rsidRDefault="00AE65A4" w:rsidP="00853B27">
            <w:pPr>
              <w:keepNext/>
              <w:ind w:left="307" w:hanging="307"/>
              <w:rPr>
                <w:rFonts w:ascii="Arial Narrow" w:eastAsia="Calibri" w:hAnsi="Arial Narrow" w:cs="Arial"/>
                <w:sz w:val="20"/>
                <w:szCs w:val="20"/>
              </w:rPr>
            </w:pPr>
            <w:r w:rsidRPr="006F1363">
              <w:rPr>
                <w:rFonts w:ascii="Arial Narrow" w:eastAsia="Calibri" w:hAnsi="Arial Narrow" w:cs="Arial"/>
                <w:sz w:val="20"/>
                <w:szCs w:val="20"/>
              </w:rPr>
              <w:t>Adult patients with</w:t>
            </w:r>
            <w:r w:rsidR="00955054" w:rsidRPr="006F1363">
              <w:rPr>
                <w:rFonts w:ascii="Arial Narrow" w:eastAsia="Calibri" w:hAnsi="Arial Narrow" w:cs="Arial"/>
                <w:sz w:val="20"/>
                <w:szCs w:val="20"/>
              </w:rPr>
              <w:t xml:space="preserve"> CD 19 positive LBCL</w:t>
            </w:r>
            <w:r w:rsidR="00955054">
              <w:rPr>
                <w:rFonts w:ascii="Arial Narrow" w:eastAsia="Calibri" w:hAnsi="Arial Narrow" w:cs="Arial"/>
                <w:sz w:val="20"/>
                <w:szCs w:val="20"/>
              </w:rPr>
              <w:t xml:space="preserve"> who are</w:t>
            </w:r>
            <w:r w:rsidRPr="006F1363">
              <w:rPr>
                <w:rFonts w:ascii="Arial Narrow" w:eastAsia="Calibri" w:hAnsi="Arial Narrow" w:cs="Arial"/>
                <w:sz w:val="20"/>
                <w:szCs w:val="20"/>
              </w:rPr>
              <w:t xml:space="preserve"> relapsed or refractory </w:t>
            </w:r>
            <w:r w:rsidR="00955054">
              <w:rPr>
                <w:rFonts w:ascii="Arial Narrow" w:eastAsia="Calibri" w:hAnsi="Arial Narrow" w:cs="Arial"/>
                <w:sz w:val="20"/>
                <w:szCs w:val="20"/>
              </w:rPr>
              <w:t xml:space="preserve">no more than 12 months </w:t>
            </w:r>
            <w:r w:rsidRPr="006F1363">
              <w:rPr>
                <w:rFonts w:ascii="Arial Narrow" w:eastAsia="Calibri" w:hAnsi="Arial Narrow" w:cs="Arial"/>
                <w:sz w:val="20"/>
                <w:szCs w:val="20"/>
              </w:rPr>
              <w:t>after first-line chemoimmunotherapy.</w:t>
            </w:r>
          </w:p>
          <w:p w14:paraId="3728168B" w14:textId="2218C285" w:rsidR="00AE65A4" w:rsidRPr="006F1363" w:rsidRDefault="00AE65A4" w:rsidP="00D51B1C">
            <w:pPr>
              <w:keepNext/>
              <w:numPr>
                <w:ilvl w:val="0"/>
                <w:numId w:val="17"/>
              </w:numPr>
              <w:spacing w:before="0"/>
              <w:contextualSpacing/>
              <w:rPr>
                <w:rFonts w:ascii="Arial Narrow" w:eastAsia="Calibri" w:hAnsi="Arial Narrow" w:cs="Arial"/>
                <w:sz w:val="20"/>
                <w:szCs w:val="20"/>
              </w:rPr>
            </w:pPr>
            <w:r w:rsidRPr="006F1363">
              <w:rPr>
                <w:rFonts w:ascii="Arial Narrow" w:eastAsia="Calibri" w:hAnsi="Arial Narrow" w:cs="Arial"/>
                <w:sz w:val="20"/>
                <w:szCs w:val="20"/>
              </w:rPr>
              <w:t>LBCL includes the following types defined by the WHO in 2016</w:t>
            </w:r>
            <w:r w:rsidR="00B016B2">
              <w:rPr>
                <w:rFonts w:ascii="Arial Narrow" w:eastAsia="Calibri" w:hAnsi="Arial Narrow" w:cs="Arial"/>
                <w:sz w:val="20"/>
                <w:szCs w:val="20"/>
              </w:rPr>
              <w:t>:</w:t>
            </w:r>
          </w:p>
          <w:p w14:paraId="17F5A811" w14:textId="77777777" w:rsidR="00AE65A4" w:rsidRPr="006F1363" w:rsidRDefault="00AE65A4" w:rsidP="00D51B1C">
            <w:pPr>
              <w:keepNext/>
              <w:numPr>
                <w:ilvl w:val="1"/>
                <w:numId w:val="17"/>
              </w:numPr>
              <w:spacing w:before="0"/>
              <w:contextualSpacing/>
              <w:rPr>
                <w:rFonts w:ascii="Arial Narrow" w:eastAsia="Calibri" w:hAnsi="Arial Narrow" w:cs="Arial"/>
                <w:sz w:val="20"/>
                <w:szCs w:val="20"/>
              </w:rPr>
            </w:pPr>
            <w:r w:rsidRPr="006F1363">
              <w:rPr>
                <w:rFonts w:ascii="Arial Narrow" w:eastAsia="Calibri" w:hAnsi="Arial Narrow" w:cs="Arial"/>
                <w:sz w:val="20"/>
                <w:szCs w:val="20"/>
              </w:rPr>
              <w:t>DLBCL, NOS (including ABC or GCB)</w:t>
            </w:r>
          </w:p>
          <w:p w14:paraId="463D5849" w14:textId="77777777" w:rsidR="00AE65A4" w:rsidRPr="006F1363" w:rsidRDefault="00AE65A4" w:rsidP="00D51B1C">
            <w:pPr>
              <w:keepNext/>
              <w:numPr>
                <w:ilvl w:val="1"/>
                <w:numId w:val="17"/>
              </w:numPr>
              <w:spacing w:before="0"/>
              <w:contextualSpacing/>
              <w:rPr>
                <w:rFonts w:ascii="Arial Narrow" w:eastAsia="Calibri" w:hAnsi="Arial Narrow" w:cs="Arial"/>
                <w:sz w:val="20"/>
                <w:szCs w:val="20"/>
              </w:rPr>
            </w:pPr>
            <w:r w:rsidRPr="006F1363">
              <w:rPr>
                <w:rFonts w:ascii="Arial Narrow" w:eastAsia="Calibri" w:hAnsi="Arial Narrow" w:cs="Arial"/>
                <w:sz w:val="20"/>
                <w:szCs w:val="20"/>
              </w:rPr>
              <w:t xml:space="preserve">HGBL with or without </w:t>
            </w:r>
            <w:r w:rsidRPr="006F1363">
              <w:rPr>
                <w:rFonts w:ascii="Arial Narrow" w:eastAsia="Calibri" w:hAnsi="Arial Narrow" w:cs="Arial"/>
                <w:i/>
                <w:iCs/>
                <w:sz w:val="20"/>
                <w:szCs w:val="20"/>
              </w:rPr>
              <w:t>MYC</w:t>
            </w:r>
            <w:r w:rsidRPr="006F1363">
              <w:rPr>
                <w:rFonts w:ascii="Arial Narrow" w:eastAsia="Calibri" w:hAnsi="Arial Narrow" w:cs="Arial"/>
                <w:sz w:val="20"/>
                <w:szCs w:val="20"/>
              </w:rPr>
              <w:t xml:space="preserve"> and </w:t>
            </w:r>
            <w:r w:rsidRPr="006F1363">
              <w:rPr>
                <w:rFonts w:ascii="Arial Narrow" w:eastAsia="Calibri" w:hAnsi="Arial Narrow" w:cs="Arial"/>
                <w:i/>
                <w:iCs/>
                <w:sz w:val="20"/>
                <w:szCs w:val="20"/>
              </w:rPr>
              <w:t>BCL2</w:t>
            </w:r>
            <w:r w:rsidRPr="006F1363">
              <w:rPr>
                <w:rFonts w:ascii="Arial Narrow" w:eastAsia="Calibri" w:hAnsi="Arial Narrow" w:cs="Arial"/>
                <w:sz w:val="20"/>
                <w:szCs w:val="20"/>
              </w:rPr>
              <w:t xml:space="preserve"> and/or </w:t>
            </w:r>
            <w:r w:rsidRPr="006F1363">
              <w:rPr>
                <w:rFonts w:ascii="Arial Narrow" w:eastAsia="Calibri" w:hAnsi="Arial Narrow" w:cs="Arial"/>
                <w:i/>
                <w:iCs/>
                <w:sz w:val="20"/>
                <w:szCs w:val="20"/>
              </w:rPr>
              <w:t>BCL6</w:t>
            </w:r>
            <w:r w:rsidRPr="006F1363">
              <w:rPr>
                <w:rFonts w:ascii="Arial Narrow" w:eastAsia="Calibri" w:hAnsi="Arial Narrow" w:cs="Arial"/>
                <w:sz w:val="20"/>
                <w:szCs w:val="20"/>
              </w:rPr>
              <w:t xml:space="preserve"> rearrangement</w:t>
            </w:r>
          </w:p>
          <w:p w14:paraId="3A70C6A1" w14:textId="77777777" w:rsidR="00AE65A4" w:rsidRPr="006F1363" w:rsidRDefault="00AE65A4" w:rsidP="00D51B1C">
            <w:pPr>
              <w:keepNext/>
              <w:numPr>
                <w:ilvl w:val="1"/>
                <w:numId w:val="17"/>
              </w:numPr>
              <w:spacing w:before="0"/>
              <w:contextualSpacing/>
              <w:rPr>
                <w:rFonts w:ascii="Arial Narrow" w:eastAsia="Calibri" w:hAnsi="Arial Narrow" w:cs="Arial"/>
                <w:sz w:val="20"/>
                <w:szCs w:val="20"/>
              </w:rPr>
            </w:pPr>
            <w:r w:rsidRPr="006F1363">
              <w:rPr>
                <w:rFonts w:ascii="Arial Narrow" w:eastAsia="Calibri" w:hAnsi="Arial Narrow" w:cs="Arial"/>
                <w:sz w:val="20"/>
                <w:szCs w:val="20"/>
              </w:rPr>
              <w:t xml:space="preserve">DLBCL arising from </w:t>
            </w:r>
            <w:proofErr w:type="gramStart"/>
            <w:r w:rsidRPr="006F1363">
              <w:rPr>
                <w:rFonts w:ascii="Arial Narrow" w:eastAsia="Calibri" w:hAnsi="Arial Narrow" w:cs="Arial"/>
                <w:sz w:val="20"/>
                <w:szCs w:val="20"/>
              </w:rPr>
              <w:t>FL</w:t>
            </w:r>
            <w:proofErr w:type="gramEnd"/>
          </w:p>
          <w:p w14:paraId="1380EDBA" w14:textId="77777777" w:rsidR="00AE65A4" w:rsidRPr="006F1363" w:rsidRDefault="00AE65A4" w:rsidP="00D51B1C">
            <w:pPr>
              <w:keepNext/>
              <w:numPr>
                <w:ilvl w:val="1"/>
                <w:numId w:val="17"/>
              </w:numPr>
              <w:spacing w:before="0"/>
              <w:contextualSpacing/>
              <w:rPr>
                <w:rFonts w:ascii="Arial Narrow" w:eastAsia="Calibri" w:hAnsi="Arial Narrow" w:cs="Arial"/>
                <w:sz w:val="20"/>
                <w:szCs w:val="20"/>
              </w:rPr>
            </w:pPr>
            <w:r w:rsidRPr="006F1363">
              <w:rPr>
                <w:rFonts w:ascii="Arial Narrow" w:eastAsia="Calibri" w:hAnsi="Arial Narrow" w:cs="Arial"/>
                <w:sz w:val="20"/>
                <w:szCs w:val="20"/>
              </w:rPr>
              <w:t>T-cell/histiocyte-rich LBCL</w:t>
            </w:r>
          </w:p>
          <w:p w14:paraId="542CA6E0" w14:textId="77777777" w:rsidR="00AE65A4" w:rsidRPr="006F1363" w:rsidRDefault="00AE65A4" w:rsidP="00D51B1C">
            <w:pPr>
              <w:keepNext/>
              <w:numPr>
                <w:ilvl w:val="1"/>
                <w:numId w:val="17"/>
              </w:numPr>
              <w:spacing w:before="0"/>
              <w:contextualSpacing/>
              <w:rPr>
                <w:rFonts w:ascii="Arial Narrow" w:eastAsia="Calibri" w:hAnsi="Arial Narrow" w:cs="Arial"/>
                <w:sz w:val="20"/>
                <w:szCs w:val="20"/>
              </w:rPr>
            </w:pPr>
            <w:r w:rsidRPr="006F1363">
              <w:rPr>
                <w:rFonts w:ascii="Arial Narrow" w:eastAsia="Calibri" w:hAnsi="Arial Narrow" w:cs="Arial"/>
                <w:sz w:val="20"/>
                <w:szCs w:val="20"/>
              </w:rPr>
              <w:t xml:space="preserve">DLBCL associated with chronic </w:t>
            </w:r>
            <w:proofErr w:type="gramStart"/>
            <w:r w:rsidRPr="006F1363">
              <w:rPr>
                <w:rFonts w:ascii="Arial Narrow" w:eastAsia="Calibri" w:hAnsi="Arial Narrow" w:cs="Arial"/>
                <w:sz w:val="20"/>
                <w:szCs w:val="20"/>
              </w:rPr>
              <w:t>inflammation</w:t>
            </w:r>
            <w:proofErr w:type="gramEnd"/>
          </w:p>
          <w:p w14:paraId="500AC2F4" w14:textId="77777777" w:rsidR="00AE65A4" w:rsidRPr="006F1363" w:rsidRDefault="00AE65A4" w:rsidP="00D51B1C">
            <w:pPr>
              <w:keepNext/>
              <w:numPr>
                <w:ilvl w:val="1"/>
                <w:numId w:val="17"/>
              </w:numPr>
              <w:spacing w:before="0"/>
              <w:contextualSpacing/>
              <w:rPr>
                <w:rFonts w:ascii="Arial Narrow" w:eastAsia="Calibri" w:hAnsi="Arial Narrow" w:cs="Arial"/>
                <w:sz w:val="20"/>
                <w:szCs w:val="20"/>
              </w:rPr>
            </w:pPr>
            <w:r w:rsidRPr="006F1363">
              <w:rPr>
                <w:rFonts w:ascii="Arial Narrow" w:eastAsia="Calibri" w:hAnsi="Arial Narrow" w:cs="Arial"/>
                <w:sz w:val="20"/>
                <w:szCs w:val="20"/>
              </w:rPr>
              <w:t>Primary cutaneous DLBCL, leg type</w:t>
            </w:r>
          </w:p>
          <w:p w14:paraId="47E5F3D7" w14:textId="77777777" w:rsidR="00AE65A4" w:rsidRPr="006F1363" w:rsidRDefault="00AE65A4" w:rsidP="00D51B1C">
            <w:pPr>
              <w:keepNext/>
              <w:numPr>
                <w:ilvl w:val="1"/>
                <w:numId w:val="17"/>
              </w:numPr>
              <w:spacing w:before="0"/>
              <w:contextualSpacing/>
              <w:rPr>
                <w:rFonts w:ascii="Arial Narrow" w:eastAsia="Calibri" w:hAnsi="Arial Narrow" w:cs="Arial"/>
                <w:sz w:val="20"/>
                <w:szCs w:val="20"/>
              </w:rPr>
            </w:pPr>
            <w:r w:rsidRPr="006F1363">
              <w:rPr>
                <w:rFonts w:ascii="Arial Narrow" w:eastAsia="Calibri" w:hAnsi="Arial Narrow" w:cs="Arial"/>
                <w:sz w:val="20"/>
                <w:szCs w:val="20"/>
              </w:rPr>
              <w:t>EBV+ DLBCL</w:t>
            </w:r>
          </w:p>
          <w:p w14:paraId="5BC859D8" w14:textId="77777777" w:rsidR="00AE65A4" w:rsidRPr="006F1363" w:rsidRDefault="00AE65A4" w:rsidP="00D51B1C">
            <w:pPr>
              <w:keepNext/>
              <w:numPr>
                <w:ilvl w:val="0"/>
                <w:numId w:val="17"/>
              </w:numPr>
              <w:spacing w:before="0"/>
              <w:contextualSpacing/>
              <w:rPr>
                <w:rFonts w:ascii="Arial Narrow" w:eastAsia="Calibri" w:hAnsi="Arial Narrow" w:cs="Arial"/>
                <w:sz w:val="20"/>
                <w:szCs w:val="20"/>
              </w:rPr>
            </w:pPr>
            <w:r w:rsidRPr="006F1363">
              <w:rPr>
                <w:rFonts w:ascii="Arial Narrow" w:eastAsia="Calibri" w:hAnsi="Arial Narrow" w:cs="Arial"/>
                <w:sz w:val="20"/>
                <w:szCs w:val="20"/>
              </w:rPr>
              <w:t>First-line therapy must include (at a minimum):</w:t>
            </w:r>
          </w:p>
          <w:p w14:paraId="302B8C09" w14:textId="77777777" w:rsidR="00AE65A4" w:rsidRPr="006F1363" w:rsidRDefault="00AE65A4" w:rsidP="00D51B1C">
            <w:pPr>
              <w:keepNext/>
              <w:numPr>
                <w:ilvl w:val="1"/>
                <w:numId w:val="17"/>
              </w:numPr>
              <w:spacing w:before="0"/>
              <w:contextualSpacing/>
              <w:rPr>
                <w:rFonts w:ascii="Arial Narrow" w:eastAsia="Calibri" w:hAnsi="Arial Narrow" w:cs="Arial"/>
                <w:sz w:val="20"/>
                <w:szCs w:val="20"/>
              </w:rPr>
            </w:pPr>
            <w:r w:rsidRPr="006F1363">
              <w:rPr>
                <w:rFonts w:ascii="Arial Narrow" w:eastAsia="Calibri" w:hAnsi="Arial Narrow" w:cs="Arial"/>
                <w:sz w:val="20"/>
                <w:szCs w:val="20"/>
              </w:rPr>
              <w:t>An anti-CD20 monoclonal antibody unless the investigator determined that the tumour was CD20 negative, and</w:t>
            </w:r>
          </w:p>
          <w:p w14:paraId="11A80393" w14:textId="77777777" w:rsidR="00AE65A4" w:rsidRPr="006F1363" w:rsidRDefault="00AE65A4" w:rsidP="00D51B1C">
            <w:pPr>
              <w:keepNext/>
              <w:numPr>
                <w:ilvl w:val="1"/>
                <w:numId w:val="17"/>
              </w:numPr>
              <w:spacing w:before="0"/>
              <w:contextualSpacing/>
              <w:rPr>
                <w:rFonts w:ascii="Arial Narrow" w:eastAsia="Calibri" w:hAnsi="Arial Narrow" w:cs="Arial"/>
                <w:sz w:val="20"/>
                <w:szCs w:val="20"/>
              </w:rPr>
            </w:pPr>
            <w:r w:rsidRPr="006F1363">
              <w:rPr>
                <w:rFonts w:ascii="Arial Narrow" w:eastAsia="Calibri" w:hAnsi="Arial Narrow" w:cs="Arial"/>
                <w:sz w:val="20"/>
                <w:szCs w:val="20"/>
              </w:rPr>
              <w:t>An anthracycline-containing chemotherapy regimen</w:t>
            </w:r>
          </w:p>
        </w:tc>
      </w:tr>
      <w:tr w:rsidR="00C10B05" w:rsidRPr="00C10B05" w14:paraId="0FB6B78E" w14:textId="77777777" w:rsidTr="000758D5">
        <w:trPr>
          <w:trHeight w:val="360"/>
        </w:trPr>
        <w:tc>
          <w:tcPr>
            <w:tcW w:w="1413" w:type="dxa"/>
          </w:tcPr>
          <w:p w14:paraId="417862B2" w14:textId="77777777" w:rsidR="00AE65A4" w:rsidRPr="006D0539" w:rsidRDefault="00AE65A4" w:rsidP="00853B27">
            <w:pPr>
              <w:keepNext/>
              <w:rPr>
                <w:rFonts w:ascii="Arial Narrow" w:eastAsia="Calibri" w:hAnsi="Arial Narrow" w:cs="Calibri"/>
                <w:b/>
                <w:sz w:val="20"/>
                <w:szCs w:val="20"/>
              </w:rPr>
            </w:pPr>
            <w:r w:rsidRPr="006D0539">
              <w:rPr>
                <w:rFonts w:ascii="Arial Narrow" w:eastAsia="Calibri" w:hAnsi="Arial Narrow" w:cs="Calibri"/>
                <w:b/>
                <w:sz w:val="20"/>
                <w:szCs w:val="20"/>
              </w:rPr>
              <w:t>Treatment criteria:</w:t>
            </w:r>
          </w:p>
        </w:tc>
        <w:tc>
          <w:tcPr>
            <w:tcW w:w="7801" w:type="dxa"/>
          </w:tcPr>
          <w:p w14:paraId="426F27FF" w14:textId="77777777" w:rsidR="00AE65A4" w:rsidRPr="006D0539" w:rsidRDefault="00AE65A4" w:rsidP="00853B27">
            <w:pPr>
              <w:keepNext/>
              <w:rPr>
                <w:rFonts w:ascii="Arial Narrow" w:eastAsia="Calibri" w:hAnsi="Arial Narrow" w:cs="Arial"/>
                <w:sz w:val="20"/>
                <w:szCs w:val="20"/>
              </w:rPr>
            </w:pPr>
            <w:r w:rsidRPr="006D0539">
              <w:rPr>
                <w:rFonts w:ascii="Arial Narrow" w:eastAsia="Calibri" w:hAnsi="Arial Narrow" w:cs="Arial"/>
                <w:sz w:val="20"/>
                <w:szCs w:val="20"/>
              </w:rPr>
              <w:t xml:space="preserve">Patient must be treated in a tertiary public hospital with appropriate </w:t>
            </w:r>
            <w:proofErr w:type="gramStart"/>
            <w:r w:rsidRPr="006D0539">
              <w:rPr>
                <w:rFonts w:ascii="Arial Narrow" w:eastAsia="Calibri" w:hAnsi="Arial Narrow" w:cs="Arial"/>
                <w:sz w:val="20"/>
                <w:szCs w:val="20"/>
              </w:rPr>
              <w:t>credentials</w:t>
            </w:r>
            <w:proofErr w:type="gramEnd"/>
          </w:p>
          <w:p w14:paraId="3D5E399A" w14:textId="77777777" w:rsidR="00AE65A4" w:rsidRPr="006D0539" w:rsidRDefault="00AE65A4" w:rsidP="00853B27">
            <w:pPr>
              <w:keepNext/>
              <w:rPr>
                <w:rFonts w:ascii="Arial Narrow" w:eastAsia="Calibri" w:hAnsi="Arial Narrow" w:cs="Arial"/>
                <w:sz w:val="20"/>
                <w:szCs w:val="20"/>
              </w:rPr>
            </w:pPr>
            <w:r w:rsidRPr="006D0539">
              <w:rPr>
                <w:rFonts w:ascii="Arial Narrow" w:eastAsia="Calibri" w:hAnsi="Arial Narrow" w:cs="Arial"/>
                <w:sz w:val="20"/>
                <w:szCs w:val="20"/>
              </w:rPr>
              <w:t>AND</w:t>
            </w:r>
          </w:p>
          <w:p w14:paraId="62D4AC39" w14:textId="77777777" w:rsidR="00AE65A4" w:rsidRPr="006D0539" w:rsidRDefault="00AE65A4" w:rsidP="00853B27">
            <w:pPr>
              <w:keepNext/>
              <w:rPr>
                <w:rFonts w:ascii="Arial Narrow" w:eastAsia="Calibri" w:hAnsi="Arial Narrow" w:cs="Arial"/>
                <w:sz w:val="20"/>
                <w:szCs w:val="20"/>
              </w:rPr>
            </w:pPr>
            <w:r w:rsidRPr="006D0539">
              <w:rPr>
                <w:rFonts w:ascii="Arial Narrow" w:eastAsia="Calibri" w:hAnsi="Arial Narrow" w:cs="Arial"/>
                <w:sz w:val="20"/>
                <w:szCs w:val="20"/>
              </w:rPr>
              <w:t xml:space="preserve">Patient must be treated by a haematologist working in a multi-disciplinary team specialising in the provision of CAR-T cell </w:t>
            </w:r>
            <w:proofErr w:type="gramStart"/>
            <w:r w:rsidRPr="006D0539">
              <w:rPr>
                <w:rFonts w:ascii="Arial Narrow" w:eastAsia="Calibri" w:hAnsi="Arial Narrow" w:cs="Arial"/>
                <w:sz w:val="20"/>
                <w:szCs w:val="20"/>
              </w:rPr>
              <w:t>therapy</w:t>
            </w:r>
            <w:proofErr w:type="gramEnd"/>
          </w:p>
          <w:p w14:paraId="13DFFA66" w14:textId="77777777" w:rsidR="00AE65A4" w:rsidRPr="006D0539" w:rsidRDefault="00AE65A4" w:rsidP="00853B27">
            <w:pPr>
              <w:keepNext/>
              <w:rPr>
                <w:rFonts w:ascii="Arial Narrow" w:eastAsia="Calibri" w:hAnsi="Arial Narrow" w:cs="Arial"/>
                <w:sz w:val="20"/>
                <w:szCs w:val="20"/>
              </w:rPr>
            </w:pPr>
            <w:r w:rsidRPr="006D0539">
              <w:rPr>
                <w:rFonts w:ascii="Arial Narrow" w:eastAsia="Calibri" w:hAnsi="Arial Narrow" w:cs="Arial"/>
                <w:sz w:val="20"/>
                <w:szCs w:val="20"/>
              </w:rPr>
              <w:t>AND</w:t>
            </w:r>
          </w:p>
          <w:p w14:paraId="1295DFEB" w14:textId="77777777" w:rsidR="00AE65A4" w:rsidRPr="006D0539" w:rsidRDefault="00AE65A4" w:rsidP="00853B27">
            <w:pPr>
              <w:keepNext/>
              <w:rPr>
                <w:rFonts w:ascii="Arial Narrow" w:eastAsia="Calibri" w:hAnsi="Arial Narrow" w:cs="Arial"/>
                <w:sz w:val="20"/>
                <w:szCs w:val="20"/>
              </w:rPr>
            </w:pPr>
            <w:r w:rsidRPr="006D0539">
              <w:rPr>
                <w:rFonts w:ascii="Arial Narrow" w:eastAsia="Calibri" w:hAnsi="Arial Narrow" w:cs="Arial"/>
                <w:sz w:val="20"/>
                <w:szCs w:val="20"/>
              </w:rPr>
              <w:t xml:space="preserve">Patient must not have uncontrolled infection, including uncontrolled HIV or active hepatitis B or C </w:t>
            </w:r>
            <w:proofErr w:type="gramStart"/>
            <w:r w:rsidRPr="006D0539">
              <w:rPr>
                <w:rFonts w:ascii="Arial Narrow" w:eastAsia="Calibri" w:hAnsi="Arial Narrow" w:cs="Arial"/>
                <w:sz w:val="20"/>
                <w:szCs w:val="20"/>
              </w:rPr>
              <w:t>infection</w:t>
            </w:r>
            <w:proofErr w:type="gramEnd"/>
          </w:p>
          <w:p w14:paraId="1ABBEB14" w14:textId="77777777" w:rsidR="00AE65A4" w:rsidRPr="006D0539" w:rsidRDefault="00AE65A4" w:rsidP="00853B27">
            <w:pPr>
              <w:keepNext/>
              <w:rPr>
                <w:rFonts w:ascii="Arial Narrow" w:eastAsia="Calibri" w:hAnsi="Arial Narrow" w:cs="Arial"/>
                <w:sz w:val="20"/>
                <w:szCs w:val="20"/>
              </w:rPr>
            </w:pPr>
            <w:r w:rsidRPr="006D0539">
              <w:rPr>
                <w:rFonts w:ascii="Arial Narrow" w:eastAsia="Calibri" w:hAnsi="Arial Narrow" w:cs="Arial"/>
                <w:sz w:val="20"/>
                <w:szCs w:val="20"/>
              </w:rPr>
              <w:t>AND</w:t>
            </w:r>
          </w:p>
          <w:p w14:paraId="3636144A" w14:textId="77777777" w:rsidR="00AE65A4" w:rsidRPr="006D0539" w:rsidRDefault="00AE65A4" w:rsidP="00853B27">
            <w:pPr>
              <w:keepNext/>
              <w:rPr>
                <w:rFonts w:ascii="Arial Narrow" w:eastAsia="Calibri" w:hAnsi="Arial Narrow" w:cs="Arial"/>
                <w:sz w:val="20"/>
                <w:szCs w:val="20"/>
              </w:rPr>
            </w:pPr>
            <w:r w:rsidRPr="006D0539">
              <w:rPr>
                <w:rFonts w:ascii="Arial Narrow" w:eastAsia="Calibri" w:hAnsi="Arial Narrow" w:cs="Arial"/>
                <w:sz w:val="20"/>
                <w:szCs w:val="20"/>
              </w:rPr>
              <w:t xml:space="preserve">Patient must not have primary CNS </w:t>
            </w:r>
            <w:proofErr w:type="gramStart"/>
            <w:r w:rsidRPr="006D0539">
              <w:rPr>
                <w:rFonts w:ascii="Arial Narrow" w:eastAsia="Calibri" w:hAnsi="Arial Narrow" w:cs="Arial"/>
                <w:sz w:val="20"/>
                <w:szCs w:val="20"/>
              </w:rPr>
              <w:t>lymphoma</w:t>
            </w:r>
            <w:proofErr w:type="gramEnd"/>
          </w:p>
          <w:p w14:paraId="53B5334C" w14:textId="77777777" w:rsidR="00AE65A4" w:rsidRPr="006D0539" w:rsidRDefault="00AE65A4" w:rsidP="00853B27">
            <w:pPr>
              <w:keepNext/>
              <w:rPr>
                <w:rFonts w:ascii="Arial Narrow" w:eastAsia="Calibri" w:hAnsi="Arial Narrow" w:cs="Arial"/>
                <w:sz w:val="20"/>
                <w:szCs w:val="20"/>
              </w:rPr>
            </w:pPr>
            <w:r w:rsidRPr="006D0539">
              <w:rPr>
                <w:rFonts w:ascii="Arial Narrow" w:eastAsia="Calibri" w:hAnsi="Arial Narrow" w:cs="Arial"/>
                <w:sz w:val="20"/>
                <w:szCs w:val="20"/>
              </w:rPr>
              <w:t>AND</w:t>
            </w:r>
          </w:p>
          <w:p w14:paraId="697DD155" w14:textId="77777777" w:rsidR="00AE65A4" w:rsidRPr="006D0539" w:rsidRDefault="00AE65A4" w:rsidP="00853B27">
            <w:pPr>
              <w:keepNext/>
              <w:rPr>
                <w:rFonts w:ascii="Arial Narrow" w:eastAsia="Calibri" w:hAnsi="Arial Narrow" w:cs="Calibri"/>
                <w:sz w:val="20"/>
                <w:szCs w:val="20"/>
              </w:rPr>
            </w:pPr>
            <w:r w:rsidRPr="006D0539">
              <w:rPr>
                <w:rFonts w:ascii="Arial Narrow" w:eastAsia="Calibri" w:hAnsi="Arial Narrow" w:cs="Arial"/>
                <w:sz w:val="20"/>
                <w:szCs w:val="20"/>
              </w:rPr>
              <w:t>Patient must not have uncontrolled secondary CNS disease, or secondary CNS disease anticipated to be uncontrolled at the time of lymphocyte infusion.</w:t>
            </w:r>
          </w:p>
        </w:tc>
      </w:tr>
      <w:tr w:rsidR="00C10B05" w:rsidRPr="00C10B05" w14:paraId="23FD96DA" w14:textId="77777777" w:rsidTr="000758D5">
        <w:trPr>
          <w:trHeight w:val="360"/>
        </w:trPr>
        <w:tc>
          <w:tcPr>
            <w:tcW w:w="1413" w:type="dxa"/>
          </w:tcPr>
          <w:p w14:paraId="6BB8D75C" w14:textId="77777777" w:rsidR="00AE65A4" w:rsidRPr="006D0539" w:rsidRDefault="00AE65A4" w:rsidP="00853B27">
            <w:pPr>
              <w:keepNext/>
              <w:rPr>
                <w:rFonts w:ascii="Arial Narrow" w:eastAsia="Calibri" w:hAnsi="Arial Narrow" w:cs="Calibri"/>
                <w:b/>
                <w:sz w:val="20"/>
                <w:szCs w:val="20"/>
              </w:rPr>
            </w:pPr>
            <w:r w:rsidRPr="006D0539">
              <w:rPr>
                <w:rFonts w:ascii="Arial Narrow" w:eastAsia="Calibri" w:hAnsi="Arial Narrow" w:cs="Calibri"/>
                <w:b/>
                <w:sz w:val="20"/>
                <w:szCs w:val="20"/>
              </w:rPr>
              <w:t>Clinical criteria:</w:t>
            </w:r>
          </w:p>
        </w:tc>
        <w:tc>
          <w:tcPr>
            <w:tcW w:w="7801" w:type="dxa"/>
          </w:tcPr>
          <w:p w14:paraId="2D2ACCB9" w14:textId="77777777" w:rsidR="00AE65A4" w:rsidRPr="006D0539" w:rsidRDefault="00AE65A4" w:rsidP="00853B27">
            <w:pPr>
              <w:keepNext/>
              <w:spacing w:before="240"/>
              <w:rPr>
                <w:rFonts w:ascii="Arial Narrow" w:eastAsia="Calibri" w:hAnsi="Arial Narrow" w:cs="Calibri"/>
                <w:b/>
                <w:sz w:val="20"/>
                <w:szCs w:val="20"/>
              </w:rPr>
            </w:pPr>
            <w:r w:rsidRPr="006D0539">
              <w:rPr>
                <w:rFonts w:ascii="Arial Narrow" w:eastAsia="Calibri" w:hAnsi="Arial Narrow" w:cs="Calibri"/>
                <w:b/>
                <w:sz w:val="20"/>
                <w:szCs w:val="20"/>
              </w:rPr>
              <w:t>FOR TFL:</w:t>
            </w:r>
          </w:p>
          <w:p w14:paraId="5DFCA90D" w14:textId="77777777" w:rsidR="00AE65A4" w:rsidRPr="006D0539" w:rsidRDefault="00AE65A4" w:rsidP="00853B27">
            <w:pPr>
              <w:keepNext/>
              <w:rPr>
                <w:rFonts w:ascii="Arial Narrow" w:eastAsia="Calibri" w:hAnsi="Arial Narrow" w:cs="Calibri"/>
                <w:sz w:val="20"/>
                <w:szCs w:val="20"/>
              </w:rPr>
            </w:pPr>
            <w:r w:rsidRPr="006D0539">
              <w:rPr>
                <w:rFonts w:ascii="Arial Narrow" w:eastAsia="Calibri" w:hAnsi="Arial Narrow" w:cs="Calibri"/>
                <w:sz w:val="20"/>
                <w:szCs w:val="20"/>
              </w:rPr>
              <w:t>The condition must have relapsed after, or be refractory to, at least one prior chemoimmunotherapy</w:t>
            </w:r>
            <w:r w:rsidRPr="006D0539" w:rsidDel="00177D74">
              <w:rPr>
                <w:rFonts w:ascii="Arial Narrow" w:eastAsia="Calibri" w:hAnsi="Arial Narrow" w:cs="Calibri"/>
                <w:sz w:val="20"/>
                <w:szCs w:val="20"/>
              </w:rPr>
              <w:t xml:space="preserve"> </w:t>
            </w:r>
            <w:r w:rsidRPr="006D0539">
              <w:rPr>
                <w:rFonts w:ascii="Arial Narrow" w:eastAsia="Calibri" w:hAnsi="Arial Narrow" w:cs="Calibri"/>
                <w:sz w:val="20"/>
                <w:szCs w:val="20"/>
              </w:rPr>
              <w:t>administered after disease transformation.</w:t>
            </w:r>
          </w:p>
          <w:p w14:paraId="40EE3B61" w14:textId="77777777" w:rsidR="00AE65A4" w:rsidRPr="006D0539" w:rsidRDefault="00AE65A4" w:rsidP="00853B27">
            <w:pPr>
              <w:keepNext/>
              <w:rPr>
                <w:rFonts w:ascii="Arial Narrow" w:eastAsia="Calibri" w:hAnsi="Arial Narrow" w:cs="Calibri"/>
                <w:b/>
                <w:sz w:val="20"/>
                <w:szCs w:val="20"/>
              </w:rPr>
            </w:pPr>
            <w:r w:rsidRPr="006D0539">
              <w:rPr>
                <w:rFonts w:ascii="Arial Narrow" w:eastAsia="Calibri" w:hAnsi="Arial Narrow" w:cs="Calibri"/>
                <w:b/>
                <w:sz w:val="20"/>
                <w:szCs w:val="20"/>
              </w:rPr>
              <w:t>FOR ALL OTHER LBCL:</w:t>
            </w:r>
          </w:p>
          <w:p w14:paraId="0E68C20C" w14:textId="77777777" w:rsidR="00AE65A4" w:rsidRPr="006D0539" w:rsidRDefault="00AE65A4" w:rsidP="00853B27">
            <w:pPr>
              <w:keepNext/>
              <w:contextualSpacing/>
              <w:rPr>
                <w:rFonts w:ascii="Arial Narrow" w:eastAsia="Calibri" w:hAnsi="Arial Narrow" w:cs="Calibri"/>
                <w:sz w:val="20"/>
                <w:szCs w:val="20"/>
              </w:rPr>
            </w:pPr>
            <w:r w:rsidRPr="006D0539">
              <w:rPr>
                <w:rFonts w:ascii="Arial Narrow" w:eastAsia="Calibri" w:hAnsi="Arial Narrow" w:cs="Calibri"/>
                <w:sz w:val="20"/>
                <w:szCs w:val="20"/>
              </w:rPr>
              <w:t xml:space="preserve">The condition must have relapsed after, or be refractory to, at least one prior </w:t>
            </w:r>
            <w:proofErr w:type="gramStart"/>
            <w:r w:rsidRPr="006D0539">
              <w:rPr>
                <w:rFonts w:ascii="Arial Narrow" w:eastAsia="Calibri" w:hAnsi="Arial Narrow" w:cs="Calibri"/>
                <w:sz w:val="20"/>
                <w:szCs w:val="20"/>
              </w:rPr>
              <w:t>chemoimmunotherapy</w:t>
            </w:r>
            <w:proofErr w:type="gramEnd"/>
          </w:p>
          <w:p w14:paraId="63E8F69D" w14:textId="77777777" w:rsidR="00AE65A4" w:rsidRPr="006D0539" w:rsidRDefault="00AE65A4" w:rsidP="00853B27">
            <w:pPr>
              <w:keepNext/>
              <w:rPr>
                <w:rFonts w:ascii="Arial Narrow" w:eastAsia="Calibri" w:hAnsi="Arial Narrow" w:cs="Calibri"/>
                <w:sz w:val="20"/>
                <w:szCs w:val="20"/>
              </w:rPr>
            </w:pPr>
          </w:p>
          <w:p w14:paraId="7B49BDF9" w14:textId="77777777" w:rsidR="00AE65A4" w:rsidRPr="006D0539" w:rsidRDefault="00AE65A4" w:rsidP="00853B27">
            <w:pPr>
              <w:keepNext/>
              <w:rPr>
                <w:rFonts w:ascii="Arial Narrow" w:eastAsia="Calibri" w:hAnsi="Arial Narrow" w:cs="Calibri"/>
                <w:b/>
                <w:sz w:val="20"/>
                <w:szCs w:val="20"/>
              </w:rPr>
            </w:pPr>
            <w:r w:rsidRPr="006D0539">
              <w:rPr>
                <w:rFonts w:ascii="Arial Narrow" w:eastAsia="Calibri" w:hAnsi="Arial Narrow" w:cs="Calibri"/>
                <w:b/>
                <w:sz w:val="20"/>
                <w:szCs w:val="20"/>
              </w:rPr>
              <w:t>FOR ALL INDICATIONS:</w:t>
            </w:r>
          </w:p>
          <w:p w14:paraId="5709EA99" w14:textId="77777777" w:rsidR="00AE65A4" w:rsidRPr="006D0539" w:rsidRDefault="00AE65A4" w:rsidP="00853B27">
            <w:pPr>
              <w:keepNext/>
              <w:rPr>
                <w:rFonts w:ascii="Arial Narrow" w:eastAsia="Calibri" w:hAnsi="Arial Narrow" w:cs="Calibri"/>
                <w:sz w:val="20"/>
                <w:szCs w:val="20"/>
              </w:rPr>
            </w:pPr>
            <w:r w:rsidRPr="006D0539">
              <w:rPr>
                <w:rFonts w:ascii="Arial Narrow" w:eastAsia="Calibri" w:hAnsi="Arial Narrow" w:cs="Calibri"/>
                <w:sz w:val="20"/>
                <w:szCs w:val="20"/>
              </w:rPr>
              <w:t xml:space="preserve">Patient must have a WHO performance status of 0 or </w:t>
            </w:r>
            <w:proofErr w:type="gramStart"/>
            <w:r w:rsidRPr="006D0539">
              <w:rPr>
                <w:rFonts w:ascii="Arial Narrow" w:eastAsia="Calibri" w:hAnsi="Arial Narrow" w:cs="Calibri"/>
                <w:sz w:val="20"/>
                <w:szCs w:val="20"/>
              </w:rPr>
              <w:t>1</w:t>
            </w:r>
            <w:proofErr w:type="gramEnd"/>
          </w:p>
          <w:p w14:paraId="3279D436" w14:textId="77777777" w:rsidR="00AE65A4" w:rsidRPr="006D0539" w:rsidRDefault="00AE65A4" w:rsidP="00853B27">
            <w:pPr>
              <w:keepNext/>
              <w:rPr>
                <w:rFonts w:ascii="Arial Narrow" w:eastAsia="Calibri" w:hAnsi="Arial Narrow" w:cs="Calibri"/>
                <w:sz w:val="20"/>
                <w:szCs w:val="20"/>
              </w:rPr>
            </w:pPr>
            <w:r w:rsidRPr="006D0539">
              <w:rPr>
                <w:rFonts w:ascii="Arial Narrow" w:eastAsia="Calibri" w:hAnsi="Arial Narrow" w:cs="Calibri"/>
                <w:sz w:val="20"/>
                <w:szCs w:val="20"/>
              </w:rPr>
              <w:t>AND</w:t>
            </w:r>
          </w:p>
          <w:p w14:paraId="06CEF349" w14:textId="77777777" w:rsidR="00AE65A4" w:rsidRPr="006D0539" w:rsidRDefault="00AE65A4" w:rsidP="00853B27">
            <w:pPr>
              <w:keepNext/>
              <w:rPr>
                <w:rFonts w:ascii="Arial Narrow" w:eastAsia="Calibri" w:hAnsi="Arial Narrow" w:cs="Calibri"/>
                <w:sz w:val="20"/>
                <w:szCs w:val="20"/>
              </w:rPr>
            </w:pPr>
            <w:r w:rsidRPr="006D0539">
              <w:rPr>
                <w:rFonts w:ascii="Arial Narrow" w:eastAsia="Calibri" w:hAnsi="Arial Narrow" w:cs="Calibri"/>
                <w:sz w:val="20"/>
                <w:szCs w:val="20"/>
              </w:rPr>
              <w:t xml:space="preserve">Patient must have sufficient organ function, including: </w:t>
            </w:r>
          </w:p>
          <w:p w14:paraId="4C57FEED" w14:textId="77777777" w:rsidR="00AE65A4" w:rsidRPr="006D0539" w:rsidRDefault="00AE65A4" w:rsidP="00D51B1C">
            <w:pPr>
              <w:keepNext/>
              <w:numPr>
                <w:ilvl w:val="0"/>
                <w:numId w:val="16"/>
              </w:numPr>
              <w:spacing w:before="0"/>
              <w:contextualSpacing/>
              <w:rPr>
                <w:rFonts w:ascii="Arial Narrow" w:eastAsia="Calibri" w:hAnsi="Arial Narrow" w:cs="Calibri"/>
                <w:sz w:val="20"/>
                <w:szCs w:val="20"/>
              </w:rPr>
            </w:pPr>
            <w:r w:rsidRPr="006D0539">
              <w:rPr>
                <w:rFonts w:ascii="Arial Narrow" w:eastAsia="Calibri" w:hAnsi="Arial Narrow" w:cs="Calibri"/>
                <w:sz w:val="20"/>
                <w:szCs w:val="20"/>
              </w:rPr>
              <w:t xml:space="preserve">Renal function: Creatinine clearance &gt;40mL/min, serum ALT/AST &lt;5 x ULN and total bilirubin &lt;2 x ULN </w:t>
            </w:r>
          </w:p>
          <w:p w14:paraId="66DBA7E8" w14:textId="77777777" w:rsidR="00AE65A4" w:rsidRPr="006D0539" w:rsidRDefault="00AE65A4" w:rsidP="00D51B1C">
            <w:pPr>
              <w:keepNext/>
              <w:numPr>
                <w:ilvl w:val="0"/>
                <w:numId w:val="16"/>
              </w:numPr>
              <w:spacing w:before="0"/>
              <w:contextualSpacing/>
              <w:rPr>
                <w:rFonts w:ascii="Arial Narrow" w:eastAsia="Calibri" w:hAnsi="Arial Narrow" w:cs="Calibri"/>
                <w:sz w:val="20"/>
                <w:szCs w:val="20"/>
              </w:rPr>
            </w:pPr>
            <w:r w:rsidRPr="006D0539">
              <w:rPr>
                <w:rFonts w:ascii="Arial Narrow" w:eastAsia="Calibri" w:hAnsi="Arial Narrow" w:cs="Calibri"/>
                <w:sz w:val="20"/>
                <w:szCs w:val="20"/>
              </w:rPr>
              <w:t>Cardiac function: absence of symptomatic heart failure (</w:t>
            </w:r>
            <w:proofErr w:type="gramStart"/>
            <w:r w:rsidRPr="006D0539">
              <w:rPr>
                <w:rFonts w:ascii="Arial Narrow" w:eastAsia="Calibri" w:hAnsi="Arial Narrow" w:cs="Calibri"/>
                <w:sz w:val="20"/>
                <w:szCs w:val="20"/>
              </w:rPr>
              <w:t>i.e.</w:t>
            </w:r>
            <w:proofErr w:type="gramEnd"/>
            <w:r w:rsidRPr="006D0539">
              <w:rPr>
                <w:rFonts w:ascii="Arial Narrow" w:eastAsia="Calibri" w:hAnsi="Arial Narrow" w:cs="Calibri"/>
                <w:sz w:val="20"/>
                <w:szCs w:val="20"/>
              </w:rPr>
              <w:t xml:space="preserve"> NYHA grade &lt;2), cardiac left ventricular ejection fraction &gt;/= 40%, or supplementary functional tests and cardiology assessment demonstrating adequate cardiopulmonary reserve.</w:t>
            </w:r>
          </w:p>
          <w:p w14:paraId="13C55902" w14:textId="77777777" w:rsidR="00AE65A4" w:rsidRPr="006D0539" w:rsidRDefault="00AE65A4" w:rsidP="00D51B1C">
            <w:pPr>
              <w:keepNext/>
              <w:numPr>
                <w:ilvl w:val="0"/>
                <w:numId w:val="16"/>
              </w:numPr>
              <w:spacing w:before="0"/>
              <w:contextualSpacing/>
              <w:rPr>
                <w:rFonts w:ascii="Arial Narrow" w:eastAsia="Calibri" w:hAnsi="Arial Narrow" w:cs="Calibri"/>
                <w:sz w:val="20"/>
                <w:szCs w:val="20"/>
              </w:rPr>
            </w:pPr>
            <w:r w:rsidRPr="006D0539">
              <w:rPr>
                <w:rFonts w:ascii="Arial Narrow" w:eastAsia="Calibri" w:hAnsi="Arial Narrow" w:cs="Calibri"/>
                <w:sz w:val="20"/>
                <w:szCs w:val="20"/>
              </w:rPr>
              <w:t>Pulmonary function: Baseline peripheral oxygen saturation &gt;91% on room air, in the absence of anaemia</w:t>
            </w:r>
          </w:p>
          <w:p w14:paraId="14F46085" w14:textId="77777777" w:rsidR="00AE65A4" w:rsidRPr="006D0539" w:rsidRDefault="00AE65A4" w:rsidP="00853B27">
            <w:pPr>
              <w:keepNext/>
              <w:ind w:left="720"/>
              <w:contextualSpacing/>
              <w:rPr>
                <w:rFonts w:ascii="Arial Narrow" w:eastAsia="Calibri" w:hAnsi="Arial Narrow" w:cs="Calibri"/>
                <w:sz w:val="20"/>
                <w:szCs w:val="20"/>
              </w:rPr>
            </w:pPr>
          </w:p>
          <w:p w14:paraId="7E278A08" w14:textId="77777777" w:rsidR="00AE65A4" w:rsidRPr="006D0539" w:rsidRDefault="00AE65A4" w:rsidP="00853B27">
            <w:pPr>
              <w:keepNext/>
              <w:rPr>
                <w:rFonts w:ascii="Arial Narrow" w:eastAsia="Calibri" w:hAnsi="Arial Narrow" w:cs="Calibri"/>
                <w:sz w:val="20"/>
                <w:szCs w:val="20"/>
              </w:rPr>
            </w:pPr>
            <w:r w:rsidRPr="006D0539">
              <w:rPr>
                <w:rFonts w:ascii="Arial Narrow" w:eastAsia="Calibri" w:hAnsi="Arial Narrow" w:cs="Calibri"/>
                <w:sz w:val="20"/>
                <w:szCs w:val="20"/>
              </w:rPr>
              <w:t>AND</w:t>
            </w:r>
          </w:p>
          <w:p w14:paraId="4DE74C31" w14:textId="77777777" w:rsidR="00AE65A4" w:rsidRPr="006D0539" w:rsidRDefault="00AE65A4" w:rsidP="00853B27">
            <w:pPr>
              <w:keepNext/>
              <w:rPr>
                <w:rFonts w:ascii="Arial Narrow" w:eastAsia="Calibri" w:hAnsi="Arial Narrow" w:cs="Calibri"/>
                <w:sz w:val="20"/>
                <w:szCs w:val="20"/>
              </w:rPr>
            </w:pPr>
          </w:p>
          <w:p w14:paraId="3D62D43C" w14:textId="77777777" w:rsidR="00AE65A4" w:rsidRPr="006D0539" w:rsidRDefault="00AE65A4" w:rsidP="00853B27">
            <w:pPr>
              <w:keepNext/>
              <w:rPr>
                <w:rFonts w:ascii="Arial Narrow" w:eastAsia="Calibri" w:hAnsi="Arial Narrow" w:cs="Calibri"/>
                <w:sz w:val="20"/>
                <w:szCs w:val="20"/>
              </w:rPr>
            </w:pPr>
            <w:r w:rsidRPr="006D0539">
              <w:rPr>
                <w:rFonts w:ascii="Arial Narrow" w:eastAsia="Calibri" w:hAnsi="Arial Narrow" w:cs="Calibri"/>
                <w:sz w:val="20"/>
                <w:szCs w:val="20"/>
              </w:rPr>
              <w:t>The treatment team must consider the patient’s condition can be effectively managed during lymphocyte collection and manufacturing, to allow for the absence of rapidly progressive disease at the time of lymphocyte infusion.</w:t>
            </w:r>
          </w:p>
        </w:tc>
      </w:tr>
    </w:tbl>
    <w:p w14:paraId="0E94866B" w14:textId="23CC10EB" w:rsidR="00AE65A4" w:rsidRPr="00C03EB8" w:rsidRDefault="00E61BB2" w:rsidP="00634991">
      <w:pPr>
        <w:pStyle w:val="a-TEXT"/>
        <w:spacing w:before="240"/>
      </w:pPr>
      <w:r>
        <w:t xml:space="preserve">The proposed </w:t>
      </w:r>
      <w:r w:rsidR="00701F34">
        <w:t xml:space="preserve">net effective average </w:t>
      </w:r>
      <w:r>
        <w:t xml:space="preserve">price for AXI </w:t>
      </w:r>
      <w:r w:rsidRPr="00246C59">
        <w:t xml:space="preserve">is </w:t>
      </w:r>
      <w:r w:rsidRPr="00FA1F5D">
        <w:t>$</w:t>
      </w:r>
      <w:r w:rsidR="002610F9" w:rsidRPr="002610F9">
        <w:rPr>
          <w:color w:val="000000"/>
          <w:w w:val="66"/>
          <w:shd w:val="solid" w:color="000000" w:fill="000000"/>
          <w:fitText w:val="440" w:id="-1217620464"/>
          <w14:textFill>
            <w14:solidFill>
              <w14:srgbClr w14:val="000000">
                <w14:alpha w14:val="100000"/>
              </w14:srgbClr>
            </w14:solidFill>
          </w14:textFill>
        </w:rPr>
        <w:t>|||||</w:t>
      </w:r>
      <w:r w:rsidR="002610F9" w:rsidRPr="002610F9">
        <w:rPr>
          <w:color w:val="000000"/>
          <w:spacing w:val="4"/>
          <w:w w:val="66"/>
          <w:shd w:val="solid" w:color="000000" w:fill="000000"/>
          <w:fitText w:val="440" w:id="-1217620464"/>
          <w14:textFill>
            <w14:solidFill>
              <w14:srgbClr w14:val="000000">
                <w14:alpha w14:val="100000"/>
              </w14:srgbClr>
            </w14:solidFill>
          </w14:textFill>
        </w:rPr>
        <w:t>|</w:t>
      </w:r>
      <w:r w:rsidR="009B4613">
        <w:t xml:space="preserve"> per patient infused</w:t>
      </w:r>
      <w:r w:rsidR="00246C59">
        <w:t xml:space="preserve"> which is the same as </w:t>
      </w:r>
      <w:r w:rsidR="00C10B05">
        <w:t xml:space="preserve">the </w:t>
      </w:r>
      <w:r w:rsidR="000155A4">
        <w:t xml:space="preserve">price </w:t>
      </w:r>
      <w:r w:rsidR="009625FE">
        <w:t>currently paid for AXI</w:t>
      </w:r>
      <w:r w:rsidR="000155A4">
        <w:t xml:space="preserve"> </w:t>
      </w:r>
      <w:r w:rsidR="00C10B05">
        <w:t>in 3L</w:t>
      </w:r>
      <w:r w:rsidR="009625FE">
        <w:t xml:space="preserve"> setting</w:t>
      </w:r>
      <w:r w:rsidR="00C10B05">
        <w:t>.</w:t>
      </w:r>
    </w:p>
    <w:p w14:paraId="34E0B08F" w14:textId="530AF7BB" w:rsidR="00772829" w:rsidRPr="00CE28E3" w:rsidRDefault="00C233D6" w:rsidP="002A18BE">
      <w:pPr>
        <w:pStyle w:val="Heading2"/>
        <w:numPr>
          <w:ilvl w:val="0"/>
          <w:numId w:val="0"/>
        </w:numPr>
      </w:pPr>
      <w:bookmarkStart w:id="9" w:name="_Toc69491419"/>
      <w:r>
        <w:lastRenderedPageBreak/>
        <w:t>7</w:t>
      </w:r>
      <w:r w:rsidR="00C36633">
        <w:t>.</w:t>
      </w:r>
      <w:r w:rsidR="00C36633">
        <w:tab/>
      </w:r>
      <w:r w:rsidR="00772829" w:rsidRPr="00CE28E3">
        <w:t>Population</w:t>
      </w:r>
      <w:bookmarkEnd w:id="9"/>
      <w:r w:rsidR="00772829" w:rsidRPr="00CE28E3">
        <w:t xml:space="preserve"> </w:t>
      </w:r>
    </w:p>
    <w:p w14:paraId="316A00D3" w14:textId="7DE10F34" w:rsidR="002A05AC" w:rsidRDefault="002A05AC" w:rsidP="00B94F5D">
      <w:pPr>
        <w:pStyle w:val="a-TEXT"/>
      </w:pPr>
      <w:r>
        <w:t xml:space="preserve">There is </w:t>
      </w:r>
      <w:r w:rsidR="00B06546">
        <w:t xml:space="preserve">only </w:t>
      </w:r>
      <w:r>
        <w:t>one PICO set</w:t>
      </w:r>
      <w:r w:rsidR="002E5917">
        <w:t xml:space="preserve"> </w:t>
      </w:r>
      <w:r>
        <w:t>for consideration</w:t>
      </w:r>
      <w:r w:rsidR="00C83574">
        <w:t>:</w:t>
      </w:r>
      <w:r w:rsidR="00562B16">
        <w:t xml:space="preserve"> adult</w:t>
      </w:r>
      <w:r w:rsidR="00C83574">
        <w:t xml:space="preserve"> </w:t>
      </w:r>
      <w:r w:rsidR="003550B6">
        <w:t xml:space="preserve">patients with LBCL </w:t>
      </w:r>
      <w:r w:rsidR="00447281">
        <w:t xml:space="preserve">who </w:t>
      </w:r>
      <w:r w:rsidR="003550B6">
        <w:t>are refractory or have relapse</w:t>
      </w:r>
      <w:r w:rsidR="003550B6" w:rsidRPr="00E700C0">
        <w:t xml:space="preserve">d </w:t>
      </w:r>
      <w:r w:rsidR="003550B6">
        <w:t xml:space="preserve">no more than 12 months after the completion of </w:t>
      </w:r>
      <w:proofErr w:type="gramStart"/>
      <w:r w:rsidR="003550B6">
        <w:t>first-line</w:t>
      </w:r>
      <w:proofErr w:type="gramEnd"/>
      <w:r w:rsidR="003550B6">
        <w:t xml:space="preserve"> (1L) therapy</w:t>
      </w:r>
      <w:r>
        <w:t>.</w:t>
      </w:r>
      <w:r w:rsidR="002E5917">
        <w:t xml:space="preserve"> The proposed technology would be used </w:t>
      </w:r>
      <w:r w:rsidR="00F77433">
        <w:t xml:space="preserve">in the 2L, rather than 3L setting, meaning </w:t>
      </w:r>
      <w:r w:rsidR="007C1B98">
        <w:t xml:space="preserve">the following </w:t>
      </w:r>
      <w:r w:rsidR="00535A02">
        <w:t xml:space="preserve">key </w:t>
      </w:r>
      <w:r w:rsidR="007C1B98">
        <w:t xml:space="preserve">changes to the clinical management pathway </w:t>
      </w:r>
      <w:r w:rsidR="00840E9C">
        <w:t xml:space="preserve">and use of downstream services </w:t>
      </w:r>
      <w:r w:rsidR="007C1B98">
        <w:t>would occur</w:t>
      </w:r>
      <w:r w:rsidR="00447281">
        <w:t xml:space="preserve"> compared to existing practice</w:t>
      </w:r>
      <w:r w:rsidR="007C1B98">
        <w:t>:</w:t>
      </w:r>
    </w:p>
    <w:p w14:paraId="1D76E979" w14:textId="73A630E7" w:rsidR="007C1B98" w:rsidRPr="00110C43" w:rsidRDefault="00381024" w:rsidP="00D51B1C">
      <w:pPr>
        <w:pStyle w:val="a-TEXT"/>
        <w:numPr>
          <w:ilvl w:val="0"/>
          <w:numId w:val="12"/>
        </w:numPr>
      </w:pPr>
      <w:r w:rsidRPr="00110C43">
        <w:t xml:space="preserve">No use of the comparator </w:t>
      </w:r>
      <w:r w:rsidR="00C83574" w:rsidRPr="00110C43">
        <w:t>(</w:t>
      </w:r>
      <w:r w:rsidR="00A1765F" w:rsidRPr="00110C43">
        <w:t>SoC</w:t>
      </w:r>
      <w:r w:rsidR="00C83574" w:rsidRPr="00110C43">
        <w:t xml:space="preserve">) </w:t>
      </w:r>
      <w:r w:rsidRPr="00BD0D6B">
        <w:rPr>
          <w:u w:val="single"/>
        </w:rPr>
        <w:t>in the 2L setting</w:t>
      </w:r>
      <w:r w:rsidRPr="00110C43">
        <w:t xml:space="preserve"> (see Section 6 below)</w:t>
      </w:r>
      <w:r w:rsidR="00830521" w:rsidRPr="00110C43">
        <w:t>.</w:t>
      </w:r>
      <w:r w:rsidR="00F11B4C" w:rsidRPr="00110C43">
        <w:t xml:space="preserve"> </w:t>
      </w:r>
      <w:r w:rsidR="00226D5B">
        <w:t xml:space="preserve">AXI </w:t>
      </w:r>
      <w:r w:rsidR="00F11B4C" w:rsidRPr="00110C43">
        <w:t xml:space="preserve">would substitute for salvage chemotherapy and, in a proportion of patients who respond to chemoimmunotherapy, </w:t>
      </w:r>
      <w:r w:rsidR="00C54F03">
        <w:t xml:space="preserve">would also substitute </w:t>
      </w:r>
      <w:r w:rsidR="00F22559">
        <w:t>high-dose chemotherapy (</w:t>
      </w:r>
      <w:r w:rsidR="00F11B4C" w:rsidRPr="00110C43">
        <w:t>HDT</w:t>
      </w:r>
      <w:r w:rsidR="00F22559">
        <w:t>)</w:t>
      </w:r>
      <w:r w:rsidR="00F11B4C" w:rsidRPr="00110C43">
        <w:t xml:space="preserve"> + auto-</w:t>
      </w:r>
      <w:r w:rsidR="00F22559">
        <w:t>stem cell transplant (</w:t>
      </w:r>
      <w:r w:rsidR="00F11B4C" w:rsidRPr="00110C43">
        <w:t>SCT</w:t>
      </w:r>
      <w:r w:rsidR="00F22559">
        <w:t>)</w:t>
      </w:r>
      <w:r w:rsidR="00F11B4C" w:rsidRPr="00110C43">
        <w:t>.</w:t>
      </w:r>
    </w:p>
    <w:p w14:paraId="0EFD50B7" w14:textId="55B2F579" w:rsidR="00E45442" w:rsidRDefault="002E1A2E" w:rsidP="00D51B1C">
      <w:pPr>
        <w:pStyle w:val="a-TEXT"/>
        <w:numPr>
          <w:ilvl w:val="0"/>
          <w:numId w:val="12"/>
        </w:numPr>
      </w:pPr>
      <w:r>
        <w:t xml:space="preserve">The ADAR assumed that </w:t>
      </w:r>
      <w:r w:rsidR="00021215" w:rsidRPr="00021215">
        <w:t xml:space="preserve">CAR T-cell therapies will only be able to be used once in a lifetime, </w:t>
      </w:r>
      <w:r w:rsidR="00971853">
        <w:t xml:space="preserve">and so </w:t>
      </w:r>
      <w:r w:rsidR="00021215" w:rsidRPr="00021215">
        <w:t>there will also be some substitution of 3L CAR T-cell therapies</w:t>
      </w:r>
      <w:r w:rsidR="00A043DE">
        <w:t xml:space="preserve">. </w:t>
      </w:r>
      <w:r w:rsidR="0043585B">
        <w:t xml:space="preserve">It was noted </w:t>
      </w:r>
      <w:r w:rsidR="00EC245E">
        <w:t>that MSAC</w:t>
      </w:r>
      <w:r w:rsidR="00AD1919">
        <w:t xml:space="preserve"> advised </w:t>
      </w:r>
      <w:r w:rsidR="00B57E56">
        <w:t xml:space="preserve">to </w:t>
      </w:r>
      <w:r w:rsidR="00CD129D" w:rsidRPr="00B31E89">
        <w:t>limit to one successful CAR-T infusion per lifetime for r/r DLBCL</w:t>
      </w:r>
      <w:r w:rsidR="00333AB7">
        <w:t xml:space="preserve"> </w:t>
      </w:r>
      <w:r w:rsidR="00CD129D">
        <w:t>(MSAC 1587</w:t>
      </w:r>
      <w:r w:rsidR="009168FD">
        <w:t>, MSAC 1519.1</w:t>
      </w:r>
      <w:r w:rsidR="00CD129D">
        <w:t>)</w:t>
      </w:r>
      <w:r w:rsidR="008B449B">
        <w:t xml:space="preserve">. </w:t>
      </w:r>
      <w:r w:rsidR="00D4554B">
        <w:t>In addition</w:t>
      </w:r>
      <w:r w:rsidR="00333AB7">
        <w:t>,</w:t>
      </w:r>
      <w:r w:rsidR="004F3BC5">
        <w:t xml:space="preserve"> there is currently no clinical evidence for </w:t>
      </w:r>
      <w:r w:rsidR="00AB610D">
        <w:t xml:space="preserve">the use of </w:t>
      </w:r>
      <w:r w:rsidR="001F79B2">
        <w:t>a second</w:t>
      </w:r>
      <w:r w:rsidR="00AB610D">
        <w:t xml:space="preserve"> line of CAR-T </w:t>
      </w:r>
      <w:r w:rsidR="001F79B2">
        <w:t>therapy</w:t>
      </w:r>
      <w:r w:rsidR="006E3E4C">
        <w:t xml:space="preserve"> should an individual </w:t>
      </w:r>
      <w:r w:rsidR="0081466E">
        <w:t xml:space="preserve">progress post 2L CAR-T therapy. </w:t>
      </w:r>
      <w:r w:rsidR="00463AD3">
        <w:t xml:space="preserve">This </w:t>
      </w:r>
      <w:r w:rsidR="00B016B2">
        <w:t>c</w:t>
      </w:r>
      <w:r w:rsidR="00463AD3">
        <w:t>ould lead to very limited use of t</w:t>
      </w:r>
      <w:r w:rsidR="00463AD3" w:rsidRPr="00463AD3">
        <w:t>isagenlecleucel</w:t>
      </w:r>
      <w:r w:rsidR="00463AD3">
        <w:t xml:space="preserve"> </w:t>
      </w:r>
      <w:r w:rsidR="00767526">
        <w:t xml:space="preserve">(currently used for 3L treatment) </w:t>
      </w:r>
      <w:r w:rsidR="00463AD3">
        <w:t>in Australia.</w:t>
      </w:r>
    </w:p>
    <w:p w14:paraId="0A91964A" w14:textId="0C58B7B9" w:rsidR="0081466E" w:rsidRPr="00110C43" w:rsidRDefault="005D1D84" w:rsidP="00D51B1C">
      <w:pPr>
        <w:pStyle w:val="a-TEXT"/>
        <w:numPr>
          <w:ilvl w:val="0"/>
          <w:numId w:val="12"/>
        </w:numPr>
      </w:pPr>
      <w:r>
        <w:t xml:space="preserve">Patients are eligible to receive SoC post </w:t>
      </w:r>
      <w:r w:rsidR="002A2A26">
        <w:t xml:space="preserve">CAR-T in </w:t>
      </w:r>
      <w:r w:rsidR="00C1259D">
        <w:t>2L</w:t>
      </w:r>
      <w:r w:rsidR="002A2A26">
        <w:t xml:space="preserve"> </w:t>
      </w:r>
      <w:r w:rsidR="00463AD3">
        <w:t>therapy,</w:t>
      </w:r>
      <w:r w:rsidR="002A2A26">
        <w:t xml:space="preserve"> and this would include salvage chemotherapy </w:t>
      </w:r>
      <w:r w:rsidR="008A5218">
        <w:t xml:space="preserve">with or without </w:t>
      </w:r>
      <w:r w:rsidR="005E6CEF">
        <w:t xml:space="preserve">stem cell therapy. In Zuma-7 </w:t>
      </w:r>
      <w:r w:rsidR="00B41BD4">
        <w:t>~10% of patients receive stem cell therapy.</w:t>
      </w:r>
    </w:p>
    <w:p w14:paraId="56ED313C" w14:textId="3B9D4158" w:rsidR="00526C68" w:rsidRDefault="00526C68" w:rsidP="00B94F5D">
      <w:pPr>
        <w:pStyle w:val="a-TEXT"/>
      </w:pPr>
      <w:r w:rsidRPr="00110C43">
        <w:t>The ADAR appropriately addresse</w:t>
      </w:r>
      <w:r w:rsidR="00C740B3">
        <w:t>d</w:t>
      </w:r>
      <w:r w:rsidRPr="00110C43">
        <w:t xml:space="preserve"> the </w:t>
      </w:r>
      <w:r w:rsidR="004566C6" w:rsidRPr="00110C43">
        <w:t xml:space="preserve">population </w:t>
      </w:r>
      <w:r w:rsidRPr="00110C43">
        <w:t>requirements of the proposed PICO.</w:t>
      </w:r>
    </w:p>
    <w:p w14:paraId="66BDFCC1" w14:textId="22982720" w:rsidR="00772829" w:rsidRPr="00CE28E3" w:rsidRDefault="00C233D6" w:rsidP="002A18BE">
      <w:pPr>
        <w:pStyle w:val="Heading2"/>
        <w:numPr>
          <w:ilvl w:val="0"/>
          <w:numId w:val="0"/>
        </w:numPr>
      </w:pPr>
      <w:bookmarkStart w:id="10" w:name="_Toc69491420"/>
      <w:r>
        <w:t>8</w:t>
      </w:r>
      <w:r w:rsidR="00C36633">
        <w:t>.</w:t>
      </w:r>
      <w:r w:rsidR="00C36633">
        <w:tab/>
      </w:r>
      <w:r w:rsidR="00772829" w:rsidRPr="00CE28E3">
        <w:t>Comparator</w:t>
      </w:r>
      <w:bookmarkEnd w:id="10"/>
    </w:p>
    <w:p w14:paraId="0678BCA5" w14:textId="3BB037F7" w:rsidR="000D79CC" w:rsidRDefault="00B00A60" w:rsidP="00B94F5D">
      <w:pPr>
        <w:pStyle w:val="a-TEXT"/>
      </w:pPr>
      <w:r>
        <w:t>The applicant’s proposed comparator is the s</w:t>
      </w:r>
      <w:r w:rsidR="0052688F">
        <w:t xml:space="preserve">tandard of care (SoC), which </w:t>
      </w:r>
      <w:r w:rsidR="00491678">
        <w:t>typically consists of</w:t>
      </w:r>
      <w:r w:rsidR="000D79CC">
        <w:t>:</w:t>
      </w:r>
    </w:p>
    <w:p w14:paraId="44B55463" w14:textId="79688BE7" w:rsidR="000D79CC" w:rsidRDefault="000D79CC" w:rsidP="00D51B1C">
      <w:pPr>
        <w:pStyle w:val="a-TEXT"/>
        <w:numPr>
          <w:ilvl w:val="0"/>
          <w:numId w:val="13"/>
        </w:numPr>
      </w:pPr>
      <w:r>
        <w:t>S</w:t>
      </w:r>
      <w:r w:rsidR="00491678">
        <w:t>alvage chemoimmunotherapy</w:t>
      </w:r>
      <w:r w:rsidR="00EC1BD0">
        <w:t xml:space="preserve"> (typical regimens are funded under PBS</w:t>
      </w:r>
      <w:r w:rsidR="0094670E">
        <w:t xml:space="preserve"> for the population of interest</w:t>
      </w:r>
      <w:r w:rsidR="00EC1BD0">
        <w:t>)</w:t>
      </w:r>
      <w:r w:rsidR="00491678">
        <w:t xml:space="preserve"> followed by collection of peripheral stem cells</w:t>
      </w:r>
      <w:r w:rsidR="000553B0">
        <w:t>. For patients who respond well to this step (in practice only 3</w:t>
      </w:r>
      <w:r w:rsidR="000553B0" w:rsidRPr="004C0A34">
        <w:t>5%</w:t>
      </w:r>
      <w:r w:rsidR="000553B0">
        <w:t xml:space="preserve"> to 40%), then receive</w:t>
      </w:r>
    </w:p>
    <w:p w14:paraId="4BBB3875" w14:textId="54ECE2F8" w:rsidR="000D79CC" w:rsidRDefault="000D79CC" w:rsidP="00D51B1C">
      <w:pPr>
        <w:pStyle w:val="a-TEXT"/>
        <w:numPr>
          <w:ilvl w:val="0"/>
          <w:numId w:val="13"/>
        </w:numPr>
      </w:pPr>
      <w:r>
        <w:t>M</w:t>
      </w:r>
      <w:r w:rsidR="00491678">
        <w:t xml:space="preserve">yeloablative HDT </w:t>
      </w:r>
      <w:r w:rsidR="00491678" w:rsidRPr="00242B5E">
        <w:t xml:space="preserve">and </w:t>
      </w:r>
      <w:r w:rsidR="00491678">
        <w:t>rescue by means of auto-SCT (HDT + auto-SCT).</w:t>
      </w:r>
    </w:p>
    <w:p w14:paraId="25C05C81" w14:textId="09FAC417" w:rsidR="000D0A7A" w:rsidRDefault="000D0A7A" w:rsidP="00B94F5D">
      <w:pPr>
        <w:pStyle w:val="a-TEXT"/>
      </w:pPr>
      <w:r>
        <w:t xml:space="preserve">It is </w:t>
      </w:r>
      <w:r w:rsidR="00725261">
        <w:t xml:space="preserve">noted that at the time of initiating salvage chemoimmunotherapy (i.e., step 1 of SoC), it is </w:t>
      </w:r>
      <w:r>
        <w:t xml:space="preserve">not possible to identify the patients who will respond </w:t>
      </w:r>
      <w:r w:rsidR="00725261">
        <w:t>well</w:t>
      </w:r>
      <w:r>
        <w:t xml:space="preserve"> and </w:t>
      </w:r>
      <w:r w:rsidR="00725261">
        <w:t xml:space="preserve">therefore </w:t>
      </w:r>
      <w:r>
        <w:t>become candidates for HDT + auto-SCT</w:t>
      </w:r>
      <w:r w:rsidR="00725261">
        <w:t xml:space="preserve"> (</w:t>
      </w:r>
      <w:r w:rsidR="0005652C">
        <w:t>i.e.,</w:t>
      </w:r>
      <w:r w:rsidR="00725261">
        <w:t xml:space="preserve"> step 2 of SoC)</w:t>
      </w:r>
      <w:r w:rsidRPr="0040263E">
        <w:t xml:space="preserve">. </w:t>
      </w:r>
      <w:r>
        <w:t xml:space="preserve">The prognosis of patients who do not respond to salvage </w:t>
      </w:r>
      <w:r w:rsidR="004E7495">
        <w:t>chemoimmunotherapy</w:t>
      </w:r>
      <w:r>
        <w:t xml:space="preserve"> (and who, therefore, cannot undergo </w:t>
      </w:r>
      <w:r w:rsidR="004E7495">
        <w:t>SCT</w:t>
      </w:r>
      <w:r w:rsidR="00492475">
        <w:t>),</w:t>
      </w:r>
      <w:r>
        <w:t xml:space="preserve"> </w:t>
      </w:r>
      <w:proofErr w:type="gramStart"/>
      <w:r>
        <w:t>and also</w:t>
      </w:r>
      <w:proofErr w:type="gramEnd"/>
      <w:r>
        <w:t xml:space="preserve"> </w:t>
      </w:r>
      <w:r w:rsidRPr="0040263E">
        <w:t xml:space="preserve">some patients </w:t>
      </w:r>
      <w:r>
        <w:t xml:space="preserve">who do not achieve long-term remission after </w:t>
      </w:r>
      <w:r w:rsidR="004E7495">
        <w:t>SCT</w:t>
      </w:r>
      <w:r w:rsidR="00492475">
        <w:t>,</w:t>
      </w:r>
      <w:r>
        <w:t xml:space="preserve"> </w:t>
      </w:r>
      <w:r w:rsidRPr="0040263E">
        <w:t>is poor</w:t>
      </w:r>
      <w:r>
        <w:t xml:space="preserve"> in the absence of access to CAR T-cell therapy in the 3L setting.</w:t>
      </w:r>
    </w:p>
    <w:p w14:paraId="06CB6141" w14:textId="3D1B9AED" w:rsidR="00A274BA" w:rsidRPr="005F75CB" w:rsidRDefault="00540BE8" w:rsidP="00A274BA">
      <w:pPr>
        <w:pStyle w:val="Comments"/>
        <w:rPr>
          <w:rFonts w:ascii="Segoe UI" w:hAnsi="Segoe UI" w:cs="Segoe UI"/>
          <w:sz w:val="24"/>
          <w:szCs w:val="24"/>
          <w:lang w:eastAsia="en-AU"/>
        </w:rPr>
      </w:pPr>
      <w:r w:rsidRPr="00BD0D6B">
        <w:rPr>
          <w:i w:val="0"/>
          <w:color w:val="auto"/>
        </w:rPr>
        <w:t xml:space="preserve">The </w:t>
      </w:r>
      <w:r w:rsidR="00D03F1A" w:rsidRPr="00BD0D6B">
        <w:rPr>
          <w:i w:val="0"/>
          <w:color w:val="auto"/>
        </w:rPr>
        <w:t xml:space="preserve">comparator </w:t>
      </w:r>
      <w:r w:rsidRPr="00BD0D6B">
        <w:rPr>
          <w:i w:val="0"/>
          <w:color w:val="auto"/>
        </w:rPr>
        <w:t xml:space="preserve">outlined by the ADAR </w:t>
      </w:r>
      <w:r w:rsidR="00743B51" w:rsidRPr="00BD0D6B">
        <w:rPr>
          <w:i w:val="0"/>
          <w:color w:val="auto"/>
        </w:rPr>
        <w:t>appears to be</w:t>
      </w:r>
      <w:r w:rsidR="000D0A7A" w:rsidRPr="00BD0D6B">
        <w:rPr>
          <w:i w:val="0"/>
          <w:color w:val="auto"/>
        </w:rPr>
        <w:t xml:space="preserve"> appropriate.</w:t>
      </w:r>
      <w:r w:rsidR="00390927" w:rsidRPr="00BD0D6B">
        <w:rPr>
          <w:i w:val="0"/>
          <w:color w:val="auto"/>
        </w:rPr>
        <w:t xml:space="preserve"> </w:t>
      </w:r>
      <w:r w:rsidR="00027009" w:rsidRPr="00BD0D6B">
        <w:rPr>
          <w:i w:val="0"/>
          <w:color w:val="auto"/>
        </w:rPr>
        <w:t>However,</w:t>
      </w:r>
      <w:r w:rsidR="009C7285" w:rsidRPr="00BD0D6B">
        <w:rPr>
          <w:i w:val="0"/>
          <w:color w:val="auto"/>
        </w:rPr>
        <w:t xml:space="preserve"> </w:t>
      </w:r>
      <w:r w:rsidR="00F576BF">
        <w:rPr>
          <w:i w:val="0"/>
          <w:iCs/>
          <w:color w:val="auto"/>
        </w:rPr>
        <w:t xml:space="preserve">CAR-T therapy is available </w:t>
      </w:r>
      <w:r w:rsidR="0044718E">
        <w:rPr>
          <w:i w:val="0"/>
          <w:iCs/>
          <w:color w:val="auto"/>
        </w:rPr>
        <w:t xml:space="preserve">in 3L </w:t>
      </w:r>
      <w:r w:rsidR="00F576BF">
        <w:rPr>
          <w:i w:val="0"/>
          <w:iCs/>
          <w:color w:val="auto"/>
        </w:rPr>
        <w:t>in Australia</w:t>
      </w:r>
      <w:r w:rsidR="00A274BA">
        <w:rPr>
          <w:i w:val="0"/>
          <w:iCs/>
          <w:color w:val="auto"/>
        </w:rPr>
        <w:t xml:space="preserve">, </w:t>
      </w:r>
      <w:r w:rsidR="00A274BA" w:rsidRPr="00A274BA">
        <w:rPr>
          <w:i w:val="0"/>
          <w:iCs/>
          <w:color w:val="auto"/>
        </w:rPr>
        <w:t>therefore MSAC’s advice on whether an explicit comparison of the potential treatment sequences would provide additional information and be meaningful (i.e.  2L chemotherapy followed by 3L CAR T compared with 2L CAR T followed by 3L salvage), given the assumption that CAR T usage will be restricted to one successful infusion per lifetime.</w:t>
      </w:r>
      <w:r w:rsidR="00A274BA" w:rsidRPr="00A274BA">
        <w:rPr>
          <w:color w:val="auto"/>
        </w:rPr>
        <w:t xml:space="preserve"> </w:t>
      </w:r>
    </w:p>
    <w:p w14:paraId="47BC3A84" w14:textId="22A100EF" w:rsidR="00772829" w:rsidRPr="00CE28E3" w:rsidRDefault="00C233D6" w:rsidP="002A18BE">
      <w:pPr>
        <w:pStyle w:val="Heading2"/>
        <w:numPr>
          <w:ilvl w:val="0"/>
          <w:numId w:val="0"/>
        </w:numPr>
      </w:pPr>
      <w:bookmarkStart w:id="11" w:name="_Toc69491421"/>
      <w:r>
        <w:lastRenderedPageBreak/>
        <w:t>9</w:t>
      </w:r>
      <w:r w:rsidR="00C36633">
        <w:t>.</w:t>
      </w:r>
      <w:r w:rsidR="00C36633">
        <w:tab/>
      </w:r>
      <w:r w:rsidR="00772829" w:rsidRPr="00CE28E3">
        <w:t xml:space="preserve">Summary of public consultation </w:t>
      </w:r>
      <w:r w:rsidR="0052575D">
        <w:t>input</w:t>
      </w:r>
      <w:bookmarkEnd w:id="11"/>
    </w:p>
    <w:p w14:paraId="3ADE6B41" w14:textId="77777777" w:rsidR="00DA456F" w:rsidRPr="00DA456F" w:rsidRDefault="00DA456F" w:rsidP="00DA456F">
      <w:pPr>
        <w:spacing w:after="200" w:line="276" w:lineRule="auto"/>
        <w:rPr>
          <w:rFonts w:ascii="Franklin Gothic Book" w:eastAsia="Calibri" w:hAnsi="Franklin Gothic Book"/>
          <w:sz w:val="22"/>
          <w:szCs w:val="22"/>
          <w:lang w:eastAsia="en-US"/>
        </w:rPr>
      </w:pPr>
      <w:bookmarkStart w:id="12" w:name="_Hlk127537306"/>
      <w:r w:rsidRPr="00DA456F">
        <w:rPr>
          <w:rFonts w:ascii="Franklin Gothic Book" w:eastAsia="Calibri" w:hAnsi="Franklin Gothic Book"/>
          <w:sz w:val="22"/>
          <w:szCs w:val="22"/>
          <w:lang w:eastAsia="en-US"/>
        </w:rPr>
        <w:t>Consultation input was received from three organisations and three individuals, two of whom were individual specialist with experience with treating patients with blood cancers and one consumer. The three organisations that submitted input were consumer organisations:</w:t>
      </w:r>
    </w:p>
    <w:p w14:paraId="01C5746F" w14:textId="77777777" w:rsidR="00DA456F" w:rsidRPr="00DA456F" w:rsidRDefault="00DA456F" w:rsidP="00D51B1C">
      <w:pPr>
        <w:numPr>
          <w:ilvl w:val="0"/>
          <w:numId w:val="20"/>
        </w:numPr>
        <w:spacing w:after="200" w:line="276" w:lineRule="auto"/>
        <w:contextualSpacing/>
        <w:rPr>
          <w:rFonts w:ascii="Franklin Gothic Book" w:eastAsia="Calibri" w:hAnsi="Franklin Gothic Book"/>
          <w:sz w:val="22"/>
          <w:szCs w:val="22"/>
          <w:lang w:eastAsia="en-US"/>
        </w:rPr>
      </w:pPr>
      <w:r w:rsidRPr="00DA456F">
        <w:rPr>
          <w:rFonts w:ascii="Franklin Gothic Book" w:eastAsia="Calibri" w:hAnsi="Franklin Gothic Book"/>
          <w:sz w:val="22"/>
          <w:szCs w:val="22"/>
          <w:lang w:eastAsia="en-US"/>
        </w:rPr>
        <w:t>Lymphoma Australia (LA)</w:t>
      </w:r>
    </w:p>
    <w:p w14:paraId="0F10754F" w14:textId="77777777" w:rsidR="00DA456F" w:rsidRPr="00DA456F" w:rsidRDefault="00DA456F" w:rsidP="00D51B1C">
      <w:pPr>
        <w:numPr>
          <w:ilvl w:val="0"/>
          <w:numId w:val="20"/>
        </w:numPr>
        <w:spacing w:after="200" w:line="276" w:lineRule="auto"/>
        <w:contextualSpacing/>
        <w:rPr>
          <w:rFonts w:ascii="Franklin Gothic Book" w:eastAsia="Calibri" w:hAnsi="Franklin Gothic Book"/>
          <w:sz w:val="22"/>
          <w:szCs w:val="22"/>
          <w:lang w:eastAsia="en-US"/>
        </w:rPr>
      </w:pPr>
      <w:r w:rsidRPr="00DA456F">
        <w:rPr>
          <w:rFonts w:ascii="Franklin Gothic Book" w:eastAsia="Calibri" w:hAnsi="Franklin Gothic Book"/>
          <w:sz w:val="22"/>
          <w:szCs w:val="22"/>
          <w:lang w:eastAsia="en-US"/>
        </w:rPr>
        <w:t>Leukaemia Foundation (LF)</w:t>
      </w:r>
    </w:p>
    <w:p w14:paraId="057106E9" w14:textId="77777777" w:rsidR="00DA456F" w:rsidRPr="00DA456F" w:rsidRDefault="00DA456F" w:rsidP="00FD1388">
      <w:pPr>
        <w:numPr>
          <w:ilvl w:val="0"/>
          <w:numId w:val="20"/>
        </w:numPr>
        <w:spacing w:after="240" w:line="276" w:lineRule="auto"/>
        <w:ind w:left="714" w:hanging="357"/>
        <w:rPr>
          <w:rFonts w:ascii="Franklin Gothic Book" w:eastAsia="Calibri" w:hAnsi="Franklin Gothic Book"/>
          <w:sz w:val="22"/>
          <w:szCs w:val="22"/>
          <w:lang w:eastAsia="en-US"/>
        </w:rPr>
      </w:pPr>
      <w:r w:rsidRPr="00DA456F">
        <w:rPr>
          <w:rFonts w:ascii="Franklin Gothic Book" w:eastAsia="Calibri" w:hAnsi="Franklin Gothic Book"/>
          <w:sz w:val="22"/>
          <w:szCs w:val="22"/>
          <w:lang w:eastAsia="en-US"/>
        </w:rPr>
        <w:t>Rare Cancers Australia (RCA)</w:t>
      </w:r>
    </w:p>
    <w:p w14:paraId="5C22CD65" w14:textId="77777777" w:rsidR="00DA456F" w:rsidRPr="00DA456F" w:rsidRDefault="00DA456F" w:rsidP="00FD1388">
      <w:pPr>
        <w:spacing w:before="240" w:after="200" w:line="276" w:lineRule="auto"/>
        <w:rPr>
          <w:rFonts w:ascii="Franklin Gothic Book" w:eastAsia="Calibri" w:hAnsi="Franklin Gothic Book"/>
          <w:sz w:val="22"/>
          <w:szCs w:val="22"/>
          <w:lang w:eastAsia="en-US"/>
        </w:rPr>
      </w:pPr>
      <w:r w:rsidRPr="00DA456F">
        <w:rPr>
          <w:rFonts w:ascii="Franklin Gothic Book" w:eastAsia="Calibri" w:hAnsi="Franklin Gothic Book"/>
          <w:sz w:val="22"/>
          <w:szCs w:val="22"/>
          <w:lang w:eastAsia="en-US"/>
        </w:rPr>
        <w:t>All organisations and individuals were strongly supportive of making this therapy available to patients at an earlier line in therapy, highlighting the poor prognosis of patients with relapsed or refractory LBCL and the significant benefits the therapy may offer patients. Both LA and LF noted the burden of toxicity and adverse events associated with therapy, but that this was variable and, in some cases, well tolerated compared with current standard of care. LA and LF also noted the ZUMA-7 trial in support of patients being eligible for the therapy prior to undergoing a bone marrow transplant which is not without its own long term side effects.</w:t>
      </w:r>
    </w:p>
    <w:p w14:paraId="3E2E70BC" w14:textId="77777777" w:rsidR="00DA456F" w:rsidRPr="00DA456F" w:rsidRDefault="00DA456F" w:rsidP="00DA456F">
      <w:pPr>
        <w:spacing w:after="200" w:line="276" w:lineRule="auto"/>
        <w:rPr>
          <w:rFonts w:ascii="Franklin Gothic Book" w:eastAsia="Calibri" w:hAnsi="Franklin Gothic Book"/>
          <w:sz w:val="22"/>
          <w:szCs w:val="22"/>
          <w:lang w:eastAsia="en-US"/>
        </w:rPr>
      </w:pPr>
      <w:r w:rsidRPr="00DA456F">
        <w:rPr>
          <w:rFonts w:ascii="Franklin Gothic Book" w:eastAsia="Calibri" w:hAnsi="Franklin Gothic Book"/>
          <w:sz w:val="22"/>
          <w:szCs w:val="22"/>
          <w:lang w:eastAsia="en-US"/>
        </w:rPr>
        <w:t>One specialist considered that these patients should receive this intervention at an earlier line of treatment since some patients may be too unwell to receive treatment at the 3</w:t>
      </w:r>
      <w:r w:rsidRPr="00DA456F">
        <w:rPr>
          <w:rFonts w:ascii="Franklin Gothic Book" w:eastAsia="Calibri" w:hAnsi="Franklin Gothic Book"/>
          <w:sz w:val="22"/>
          <w:szCs w:val="22"/>
          <w:vertAlign w:val="superscript"/>
          <w:lang w:eastAsia="en-US"/>
        </w:rPr>
        <w:t>rd</w:t>
      </w:r>
      <w:r w:rsidRPr="00DA456F">
        <w:rPr>
          <w:rFonts w:ascii="Franklin Gothic Book" w:eastAsia="Calibri" w:hAnsi="Franklin Gothic Book"/>
          <w:sz w:val="22"/>
          <w:szCs w:val="22"/>
          <w:lang w:eastAsia="en-US"/>
        </w:rPr>
        <w:t xml:space="preserve"> line stage.</w:t>
      </w:r>
    </w:p>
    <w:p w14:paraId="16A7BC5C" w14:textId="77777777" w:rsidR="00DA456F" w:rsidRPr="00DA456F" w:rsidRDefault="00DA456F" w:rsidP="00DA456F">
      <w:pPr>
        <w:spacing w:after="200" w:line="276" w:lineRule="auto"/>
        <w:rPr>
          <w:rFonts w:ascii="Franklin Gothic Book" w:eastAsia="Calibri" w:hAnsi="Franklin Gothic Book"/>
          <w:sz w:val="22"/>
          <w:szCs w:val="22"/>
          <w:lang w:eastAsia="en-US"/>
        </w:rPr>
      </w:pPr>
      <w:r w:rsidRPr="00DA456F">
        <w:rPr>
          <w:rFonts w:ascii="Franklin Gothic Book" w:eastAsia="Calibri" w:hAnsi="Franklin Gothic Book"/>
          <w:sz w:val="22"/>
          <w:szCs w:val="22"/>
          <w:lang w:eastAsia="en-US"/>
        </w:rPr>
        <w:t xml:space="preserve">All consultation input noted the curative intent of the therapy as the main benefit to patients. The consultation input also considered that making this available at an earlier line in therapy is of benefit to the patient as they would not have to endure more treatments that may not benefit them prior to being eligible for the therapy, which may also reduce the cost to the health system. One specialist considered other benefits related to more efficient use of hospital resources with potential avoidance of autologous transplantation, which is a medically demanding intervention and destined to fail in </w:t>
      </w:r>
      <w:proofErr w:type="gramStart"/>
      <w:r w:rsidRPr="00DA456F">
        <w:rPr>
          <w:rFonts w:ascii="Franklin Gothic Book" w:eastAsia="Calibri" w:hAnsi="Franklin Gothic Book"/>
          <w:sz w:val="22"/>
          <w:szCs w:val="22"/>
          <w:lang w:eastAsia="en-US"/>
        </w:rPr>
        <w:t>the vast majority of</w:t>
      </w:r>
      <w:proofErr w:type="gramEnd"/>
      <w:r w:rsidRPr="00DA456F">
        <w:rPr>
          <w:rFonts w:ascii="Franklin Gothic Book" w:eastAsia="Calibri" w:hAnsi="Franklin Gothic Book"/>
          <w:sz w:val="22"/>
          <w:szCs w:val="22"/>
          <w:lang w:eastAsia="en-US"/>
        </w:rPr>
        <w:t xml:space="preserve"> patients.</w:t>
      </w:r>
    </w:p>
    <w:p w14:paraId="3BF1C3A7" w14:textId="77777777" w:rsidR="00DA456F" w:rsidRPr="00DA456F" w:rsidRDefault="00DA456F" w:rsidP="00DA456F">
      <w:pPr>
        <w:spacing w:after="200" w:line="276" w:lineRule="auto"/>
        <w:rPr>
          <w:rFonts w:ascii="Franklin Gothic Book" w:eastAsia="Calibri" w:hAnsi="Franklin Gothic Book"/>
          <w:sz w:val="22"/>
          <w:szCs w:val="22"/>
          <w:lang w:eastAsia="en-US"/>
        </w:rPr>
      </w:pPr>
      <w:r w:rsidRPr="00DA456F">
        <w:rPr>
          <w:rFonts w:ascii="Franklin Gothic Book" w:eastAsia="Calibri" w:hAnsi="Franklin Gothic Book"/>
          <w:sz w:val="22"/>
          <w:szCs w:val="22"/>
          <w:lang w:eastAsia="en-US"/>
        </w:rPr>
        <w:t xml:space="preserve">Both specialists noted the disadvantages are costs, limitation of the care to specialised centres only, and some patients requiring </w:t>
      </w:r>
      <w:proofErr w:type="gramStart"/>
      <w:r w:rsidRPr="00DA456F">
        <w:rPr>
          <w:rFonts w:ascii="Franklin Gothic Book" w:eastAsia="Calibri" w:hAnsi="Franklin Gothic Book"/>
          <w:sz w:val="22"/>
          <w:szCs w:val="22"/>
          <w:lang w:eastAsia="en-US"/>
        </w:rPr>
        <w:t>to relocate</w:t>
      </w:r>
      <w:proofErr w:type="gramEnd"/>
      <w:r w:rsidRPr="00DA456F">
        <w:rPr>
          <w:rFonts w:ascii="Franklin Gothic Book" w:eastAsia="Calibri" w:hAnsi="Franklin Gothic Book"/>
          <w:sz w:val="22"/>
          <w:szCs w:val="22"/>
          <w:lang w:eastAsia="en-US"/>
        </w:rPr>
        <w:t xml:space="preserve"> to a treatment centre for administration of the therapy. There are also risks of infection and low blood counts if treatment is </w:t>
      </w:r>
      <w:proofErr w:type="gramStart"/>
      <w:r w:rsidRPr="00DA456F">
        <w:rPr>
          <w:rFonts w:ascii="Franklin Gothic Book" w:eastAsia="Calibri" w:hAnsi="Franklin Gothic Book"/>
          <w:sz w:val="22"/>
          <w:szCs w:val="22"/>
          <w:lang w:eastAsia="en-US"/>
        </w:rPr>
        <w:t>successful</w:t>
      </w:r>
      <w:proofErr w:type="gramEnd"/>
      <w:r w:rsidRPr="00DA456F">
        <w:rPr>
          <w:rFonts w:ascii="Franklin Gothic Book" w:eastAsia="Calibri" w:hAnsi="Franklin Gothic Book"/>
          <w:sz w:val="22"/>
          <w:szCs w:val="22"/>
          <w:lang w:eastAsia="en-US"/>
        </w:rPr>
        <w:t xml:space="preserve"> </w:t>
      </w:r>
    </w:p>
    <w:bookmarkEnd w:id="12"/>
    <w:p w14:paraId="44EBBA48" w14:textId="77777777" w:rsidR="00DA456F" w:rsidRPr="00DA456F" w:rsidRDefault="00DA456F" w:rsidP="00DA456F">
      <w:pPr>
        <w:spacing w:after="200" w:line="276" w:lineRule="auto"/>
        <w:rPr>
          <w:rFonts w:ascii="Calibri" w:eastAsia="Calibri" w:hAnsi="Calibri" w:cs="Calibri"/>
          <w:sz w:val="22"/>
          <w:szCs w:val="16"/>
          <w:lang w:eastAsia="en-US"/>
        </w:rPr>
      </w:pPr>
      <w:r w:rsidRPr="00DA456F">
        <w:rPr>
          <w:rFonts w:ascii="Franklin Gothic Book" w:eastAsia="Calibri" w:hAnsi="Franklin Gothic Book"/>
          <w:sz w:val="22"/>
          <w:szCs w:val="22"/>
          <w:lang w:eastAsia="en-US"/>
        </w:rPr>
        <w:t xml:space="preserve">LF also noted disadvantages of the proposed medical service related to the limited access for patients to receive the therapy, with some eligible patients potentially needing to travel long distances and stay away from home for </w:t>
      </w:r>
      <w:proofErr w:type="gramStart"/>
      <w:r w:rsidRPr="00DA456F">
        <w:rPr>
          <w:rFonts w:ascii="Franklin Gothic Book" w:eastAsia="Calibri" w:hAnsi="Franklin Gothic Book"/>
          <w:sz w:val="22"/>
          <w:szCs w:val="22"/>
          <w:lang w:eastAsia="en-US"/>
        </w:rPr>
        <w:t>a number of</w:t>
      </w:r>
      <w:proofErr w:type="gramEnd"/>
      <w:r w:rsidRPr="00DA456F">
        <w:rPr>
          <w:rFonts w:ascii="Franklin Gothic Book" w:eastAsia="Calibri" w:hAnsi="Franklin Gothic Book"/>
          <w:sz w:val="22"/>
          <w:szCs w:val="22"/>
          <w:lang w:eastAsia="en-US"/>
        </w:rPr>
        <w:t xml:space="preserve"> weeks; LF and RCA did not express any disadvantages of the proposed medical service.</w:t>
      </w:r>
    </w:p>
    <w:p w14:paraId="03C7A1F1" w14:textId="62DF8BDC" w:rsidR="00772829" w:rsidRPr="00CE28E3" w:rsidRDefault="00C233D6" w:rsidP="002A18BE">
      <w:pPr>
        <w:pStyle w:val="Heading2"/>
        <w:numPr>
          <w:ilvl w:val="0"/>
          <w:numId w:val="0"/>
        </w:numPr>
      </w:pPr>
      <w:bookmarkStart w:id="13" w:name="_Toc69491422"/>
      <w:r>
        <w:t>10</w:t>
      </w:r>
      <w:r w:rsidR="00C36633">
        <w:t>.</w:t>
      </w:r>
      <w:r w:rsidR="00C36633">
        <w:tab/>
      </w:r>
      <w:r w:rsidR="00772829" w:rsidRPr="00CE28E3">
        <w:t>Characteristics of the evidence base</w:t>
      </w:r>
      <w:bookmarkEnd w:id="13"/>
    </w:p>
    <w:p w14:paraId="2AD270E8" w14:textId="5256138A" w:rsidR="00EE6F13" w:rsidRDefault="002D3A6D" w:rsidP="00B94F5D">
      <w:pPr>
        <w:pStyle w:val="a-TEXT"/>
      </w:pPr>
      <w:r w:rsidRPr="002D3A6D">
        <w:t xml:space="preserve">The clinical analysis presented in the application was based on </w:t>
      </w:r>
      <w:r w:rsidR="00C11874">
        <w:t xml:space="preserve">direct evidence from </w:t>
      </w:r>
      <w:r w:rsidRPr="002D3A6D">
        <w:t xml:space="preserve">the ZUMA-7 trial, which published 15 </w:t>
      </w:r>
      <w:r w:rsidR="005E17A3">
        <w:t>reports</w:t>
      </w:r>
      <w:r w:rsidRPr="002D3A6D">
        <w:t>.</w:t>
      </w:r>
      <w:r w:rsidR="001C2CCF">
        <w:t xml:space="preserve"> </w:t>
      </w:r>
      <w:r w:rsidR="00EE6F13">
        <w:t>T</w:t>
      </w:r>
      <w:r w:rsidR="00EE6F13" w:rsidRPr="00904AA0">
        <w:t>he</w:t>
      </w:r>
      <w:r w:rsidR="00221C3D">
        <w:t xml:space="preserve"> ADAR considered that the</w:t>
      </w:r>
      <w:r w:rsidR="00EE6F13" w:rsidRPr="00904AA0">
        <w:t xml:space="preserve"> </w:t>
      </w:r>
      <w:r w:rsidR="00EE6F13">
        <w:t>ZUMA-7 trial</w:t>
      </w:r>
      <w:r w:rsidR="006E5E48">
        <w:t xml:space="preserve"> </w:t>
      </w:r>
      <w:r w:rsidR="00323DEB">
        <w:t>was</w:t>
      </w:r>
      <w:r w:rsidR="00EE6F13">
        <w:t xml:space="preserve"> a high quality randomised controlled trial </w:t>
      </w:r>
      <w:r w:rsidR="006E5E48">
        <w:t xml:space="preserve">(RCT) </w:t>
      </w:r>
      <w:r w:rsidR="00EE6F13">
        <w:t>directly</w:t>
      </w:r>
      <w:r w:rsidR="00EE6F13" w:rsidRPr="00904AA0">
        <w:t xml:space="preserve"> comparing </w:t>
      </w:r>
      <w:r w:rsidR="00226D5B">
        <w:t>AXI</w:t>
      </w:r>
      <w:r w:rsidR="00EE6F13" w:rsidRPr="00904AA0">
        <w:t xml:space="preserve"> to </w:t>
      </w:r>
      <w:r w:rsidR="00EE6F13">
        <w:t xml:space="preserve">SoC </w:t>
      </w:r>
      <w:r w:rsidR="00323DEB">
        <w:t xml:space="preserve">for </w:t>
      </w:r>
      <w:r w:rsidR="00EE6F13">
        <w:t xml:space="preserve">patients with LBCL who </w:t>
      </w:r>
      <w:proofErr w:type="gramStart"/>
      <w:r w:rsidR="00EE6F13">
        <w:t>were refractory to</w:t>
      </w:r>
      <w:proofErr w:type="gramEnd"/>
      <w:r w:rsidR="00EE6F13">
        <w:t xml:space="preserve"> or who had relapsed no more than 12 months after completion of 1L chemoimmunotherapy.</w:t>
      </w:r>
      <w:r w:rsidR="006E5E48">
        <w:t xml:space="preserve"> </w:t>
      </w:r>
      <w:r w:rsidR="009F1D41">
        <w:t>The</w:t>
      </w:r>
      <w:r w:rsidR="009F1D41" w:rsidRPr="009F1D41">
        <w:t xml:space="preserve"> ZUMA-7 trial </w:t>
      </w:r>
      <w:r w:rsidR="00055470">
        <w:t xml:space="preserve">was deemed </w:t>
      </w:r>
      <w:r w:rsidR="009F1D41">
        <w:t>to have</w:t>
      </w:r>
      <w:r w:rsidR="00055470">
        <w:t xml:space="preserve"> some concerns associated with the risk of bias</w:t>
      </w:r>
      <w:r w:rsidR="009F1D41" w:rsidRPr="009F1D41">
        <w:t xml:space="preserve"> </w:t>
      </w:r>
      <w:r w:rsidR="009F1D41">
        <w:t>(as assessed with the Cochrane risk of bias tool [</w:t>
      </w:r>
      <w:proofErr w:type="spellStart"/>
      <w:r w:rsidR="009F1D41">
        <w:t>RoB</w:t>
      </w:r>
      <w:proofErr w:type="spellEnd"/>
      <w:r w:rsidR="009F1D41">
        <w:t xml:space="preserve"> 2])</w:t>
      </w:r>
      <w:r w:rsidR="00055470">
        <w:t xml:space="preserve">, and that these biases were likely to favour </w:t>
      </w:r>
      <w:r w:rsidR="00967A7A">
        <w:t>AXI</w:t>
      </w:r>
      <w:r w:rsidR="006E5E48">
        <w:t>.</w:t>
      </w:r>
    </w:p>
    <w:p w14:paraId="5DF17806" w14:textId="77777777" w:rsidR="00A81A53" w:rsidRDefault="001C2CCF" w:rsidP="00B94F5D">
      <w:pPr>
        <w:pStyle w:val="a-TEXT"/>
      </w:pPr>
      <w:r>
        <w:t>The applicant also provided evidence from near-market comparators (</w:t>
      </w:r>
      <w:r w:rsidR="00DB4BEF" w:rsidRPr="00CA0AB2">
        <w:t xml:space="preserve">lisocabtagene maraleucel and </w:t>
      </w:r>
      <w:r w:rsidR="00CA0AB2" w:rsidRPr="00CA0AB2">
        <w:t>tisagenlecleucel) retrieved from supplementary evidence searches.</w:t>
      </w:r>
      <w:r w:rsidR="00CA0AB2">
        <w:t xml:space="preserve"> </w:t>
      </w:r>
    </w:p>
    <w:p w14:paraId="1E67571F" w14:textId="39939306" w:rsidR="00EF1809" w:rsidRPr="0035001C" w:rsidRDefault="00C904F8" w:rsidP="00EF1809">
      <w:pPr>
        <w:pStyle w:val="Comments"/>
        <w:rPr>
          <w:i w:val="0"/>
          <w:color w:val="auto"/>
        </w:rPr>
      </w:pPr>
      <w:r>
        <w:rPr>
          <w:i w:val="0"/>
          <w:iCs/>
          <w:color w:val="auto"/>
        </w:rPr>
        <w:lastRenderedPageBreak/>
        <w:t>T</w:t>
      </w:r>
      <w:r w:rsidR="00EF1809" w:rsidRPr="0035001C">
        <w:rPr>
          <w:i w:val="0"/>
          <w:color w:val="auto"/>
        </w:rPr>
        <w:t xml:space="preserve">isagenlecleucel is not </w:t>
      </w:r>
      <w:r>
        <w:rPr>
          <w:i w:val="0"/>
          <w:iCs/>
          <w:color w:val="auto"/>
        </w:rPr>
        <w:t xml:space="preserve">registered </w:t>
      </w:r>
      <w:r w:rsidR="00660380">
        <w:rPr>
          <w:i w:val="0"/>
          <w:iCs/>
          <w:color w:val="auto"/>
        </w:rPr>
        <w:t>on the TGA</w:t>
      </w:r>
      <w:r w:rsidRPr="0035001C">
        <w:rPr>
          <w:i w:val="0"/>
          <w:color w:val="auto"/>
        </w:rPr>
        <w:t xml:space="preserve"> </w:t>
      </w:r>
      <w:r w:rsidR="00EF1809" w:rsidRPr="0035001C">
        <w:rPr>
          <w:i w:val="0"/>
          <w:color w:val="auto"/>
        </w:rPr>
        <w:t xml:space="preserve">for use in the 2L setting and therefore </w:t>
      </w:r>
      <w:r w:rsidR="00955E4E" w:rsidRPr="0035001C">
        <w:rPr>
          <w:i w:val="0"/>
          <w:color w:val="auto"/>
        </w:rPr>
        <w:t xml:space="preserve">it may </w:t>
      </w:r>
      <w:r w:rsidR="00EF1809" w:rsidRPr="0035001C">
        <w:rPr>
          <w:i w:val="0"/>
          <w:color w:val="auto"/>
        </w:rPr>
        <w:t>not be considered an appropriate near-market comparator for this application</w:t>
      </w:r>
      <w:r w:rsidR="00660380">
        <w:rPr>
          <w:i w:val="0"/>
          <w:iCs/>
          <w:color w:val="auto"/>
        </w:rPr>
        <w:t xml:space="preserve"> (</w:t>
      </w:r>
      <w:r w:rsidR="00660380" w:rsidRPr="00660380">
        <w:rPr>
          <w:i w:val="0"/>
          <w:iCs/>
          <w:color w:val="auto"/>
        </w:rPr>
        <w:t xml:space="preserve">tisagenlecleucel </w:t>
      </w:r>
      <w:r w:rsidR="00F168DF">
        <w:rPr>
          <w:i w:val="0"/>
          <w:iCs/>
          <w:color w:val="auto"/>
        </w:rPr>
        <w:t xml:space="preserve">is only registered in </w:t>
      </w:r>
      <w:r w:rsidR="00660380" w:rsidRPr="004C5C80">
        <w:rPr>
          <w:i w:val="0"/>
          <w:iCs/>
          <w:color w:val="auto"/>
        </w:rPr>
        <w:t>the 3L setting</w:t>
      </w:r>
      <w:r w:rsidR="00F168DF">
        <w:rPr>
          <w:i w:val="0"/>
          <w:iCs/>
          <w:color w:val="auto"/>
        </w:rPr>
        <w:t>)</w:t>
      </w:r>
      <w:r w:rsidR="00EF1809" w:rsidRPr="0035001C">
        <w:rPr>
          <w:i w:val="0"/>
          <w:color w:val="auto"/>
        </w:rPr>
        <w:t>.</w:t>
      </w:r>
      <w:r w:rsidR="0018679A">
        <w:rPr>
          <w:i w:val="0"/>
          <w:color w:val="auto"/>
        </w:rPr>
        <w:t xml:space="preserve"> L</w:t>
      </w:r>
      <w:r w:rsidR="00EF1809" w:rsidRPr="0035001C">
        <w:rPr>
          <w:i w:val="0"/>
          <w:color w:val="auto"/>
        </w:rPr>
        <w:t>isocabtagene maraleucel is currently not registered for use in Australia and there is no evidence provided for its use in clinical practice (given the market for CAR T-cell therapies in the 3L setting is shared between tisagenlecleucel and axicabtagene ciloleucel). Therefore, lisocabtagene maraleucel is not an appropriate near-market comparator for this application.</w:t>
      </w:r>
    </w:p>
    <w:p w14:paraId="02D09250" w14:textId="4B8776D4" w:rsidR="00CA0AB2" w:rsidRPr="00C82E9D" w:rsidRDefault="00C82E9D" w:rsidP="001B3809">
      <w:pPr>
        <w:pStyle w:val="a-subHeading"/>
      </w:pPr>
      <w:r w:rsidRPr="00C82E9D">
        <w:t xml:space="preserve">ZUMA-7 </w:t>
      </w:r>
      <w:proofErr w:type="gramStart"/>
      <w:r w:rsidRPr="00C82E9D">
        <w:t>trial</w:t>
      </w:r>
      <w:proofErr w:type="gramEnd"/>
    </w:p>
    <w:p w14:paraId="7B0EDE56" w14:textId="6D7C2E6F" w:rsidR="007F2F07" w:rsidRPr="002D3A6D" w:rsidRDefault="007F2F07" w:rsidP="00B94F5D">
      <w:pPr>
        <w:pStyle w:val="a-TEXT"/>
      </w:pPr>
      <w:r>
        <w:t xml:space="preserve">The ZUMA-7 trial was a single head-to-head RCT comparing </w:t>
      </w:r>
      <w:r w:rsidR="00226D5B">
        <w:t>AXI</w:t>
      </w:r>
      <w:r>
        <w:t xml:space="preserve"> to SoC</w:t>
      </w:r>
      <w:r w:rsidR="00DF7060">
        <w:t xml:space="preserve"> in </w:t>
      </w:r>
      <w:r w:rsidR="00323DEB">
        <w:t xml:space="preserve">in 359 </w:t>
      </w:r>
      <w:r w:rsidR="00DF7060">
        <w:t xml:space="preserve">adult </w:t>
      </w:r>
      <w:r w:rsidR="00066CF2">
        <w:t>patients</w:t>
      </w:r>
      <w:r w:rsidR="00DF7060">
        <w:t xml:space="preserve"> with LBCL (based on the WHO 2016 lymphoma categorisation) who were refractory to or relapsed no more than 12 months after completion of 1L treatment with a chemoimmunotherapy regimen.</w:t>
      </w:r>
    </w:p>
    <w:p w14:paraId="692BCA4B" w14:textId="3AF1E201" w:rsidR="00956ACE" w:rsidRPr="00246C59" w:rsidRDefault="00956ACE" w:rsidP="004F7037">
      <w:pPr>
        <w:pStyle w:val="aTableHeading"/>
      </w:pPr>
      <w:bookmarkStart w:id="14" w:name="_Ref69725651"/>
      <w:r w:rsidRPr="004F7037">
        <w:t>Table</w:t>
      </w:r>
      <w:r w:rsidR="004A4FDF" w:rsidRPr="004F7037">
        <w:t> </w:t>
      </w:r>
      <w:bookmarkEnd w:id="14"/>
      <w:r w:rsidR="007305BE">
        <w:t>3</w:t>
      </w:r>
      <w:r w:rsidRPr="004F7037">
        <w:tab/>
        <w:t>Key features of the included evidence</w:t>
      </w:r>
      <w:r w:rsidR="005A6A8E" w:rsidRPr="00246C59">
        <w:t>.</w:t>
      </w:r>
    </w:p>
    <w:tbl>
      <w:tblPr>
        <w:tblStyle w:val="TableGrid1"/>
        <w:tblW w:w="0" w:type="auto"/>
        <w:tblLayout w:type="fixed"/>
        <w:tblCellMar>
          <w:top w:w="28" w:type="dxa"/>
          <w:left w:w="28" w:type="dxa"/>
          <w:bottom w:w="28" w:type="dxa"/>
          <w:right w:w="28" w:type="dxa"/>
        </w:tblCellMar>
        <w:tblLook w:val="04A0" w:firstRow="1" w:lastRow="0" w:firstColumn="1" w:lastColumn="0" w:noHBand="0" w:noVBand="1"/>
      </w:tblPr>
      <w:tblGrid>
        <w:gridCol w:w="970"/>
        <w:gridCol w:w="988"/>
        <w:gridCol w:w="872"/>
        <w:gridCol w:w="851"/>
        <w:gridCol w:w="1134"/>
        <w:gridCol w:w="3161"/>
        <w:gridCol w:w="1040"/>
      </w:tblGrid>
      <w:tr w:rsidR="00683B19" w:rsidRPr="00CE28E3" w14:paraId="475D8C60" w14:textId="77777777" w:rsidTr="00FA23C7">
        <w:trPr>
          <w:cnfStyle w:val="100000000000" w:firstRow="1" w:lastRow="0" w:firstColumn="0" w:lastColumn="0" w:oddVBand="0" w:evenVBand="0" w:oddHBand="0" w:evenHBand="0" w:firstRowFirstColumn="0" w:firstRowLastColumn="0" w:lastRowFirstColumn="0" w:lastRowLastColumn="0"/>
          <w:cantSplit/>
          <w:tblHeader/>
        </w:trPr>
        <w:tc>
          <w:tcPr>
            <w:tcW w:w="970" w:type="dxa"/>
            <w:shd w:val="clear" w:color="auto" w:fill="auto"/>
            <w:vAlign w:val="center"/>
          </w:tcPr>
          <w:p w14:paraId="4FFC981B" w14:textId="77777777" w:rsidR="00956ACE" w:rsidRPr="00CE28E3" w:rsidRDefault="00956ACE" w:rsidP="00110C43">
            <w:pPr>
              <w:pStyle w:val="In-tableHeading"/>
            </w:pPr>
            <w:bookmarkStart w:id="15" w:name="ColumnTitle_Table3"/>
            <w:bookmarkStart w:id="16" w:name="_Hlk68276112"/>
            <w:bookmarkEnd w:id="15"/>
            <w:r w:rsidRPr="00CE28E3">
              <w:t>References</w:t>
            </w:r>
          </w:p>
        </w:tc>
        <w:tc>
          <w:tcPr>
            <w:tcW w:w="988" w:type="dxa"/>
            <w:shd w:val="clear" w:color="auto" w:fill="auto"/>
            <w:vAlign w:val="center"/>
          </w:tcPr>
          <w:p w14:paraId="28641D20" w14:textId="77777777" w:rsidR="00956ACE" w:rsidRPr="00CE28E3" w:rsidRDefault="00956ACE" w:rsidP="00110C43">
            <w:pPr>
              <w:pStyle w:val="In-tableHeading"/>
            </w:pPr>
            <w:r w:rsidRPr="00CE28E3">
              <w:t>N</w:t>
            </w:r>
          </w:p>
        </w:tc>
        <w:tc>
          <w:tcPr>
            <w:tcW w:w="872" w:type="dxa"/>
            <w:shd w:val="clear" w:color="auto" w:fill="auto"/>
            <w:vAlign w:val="center"/>
          </w:tcPr>
          <w:p w14:paraId="23BE1BE2" w14:textId="71C16340" w:rsidR="00956ACE" w:rsidRPr="00CE28E3" w:rsidRDefault="00956ACE" w:rsidP="00110C43">
            <w:pPr>
              <w:pStyle w:val="In-tableHeading"/>
            </w:pPr>
            <w:r w:rsidRPr="00CE28E3">
              <w:t>Design/</w:t>
            </w:r>
            <w:r w:rsidR="000D2BF5">
              <w:t xml:space="preserve"> </w:t>
            </w:r>
            <w:r w:rsidRPr="00CE28E3">
              <w:t>duration</w:t>
            </w:r>
          </w:p>
        </w:tc>
        <w:tc>
          <w:tcPr>
            <w:tcW w:w="851" w:type="dxa"/>
            <w:shd w:val="clear" w:color="auto" w:fill="auto"/>
            <w:vAlign w:val="center"/>
          </w:tcPr>
          <w:p w14:paraId="4F407CF9" w14:textId="77777777" w:rsidR="00956ACE" w:rsidRPr="00CE28E3" w:rsidRDefault="00956ACE" w:rsidP="00110C43">
            <w:pPr>
              <w:pStyle w:val="In-tableHeading"/>
            </w:pPr>
            <w:r w:rsidRPr="00CE28E3">
              <w:t>Risk of bias</w:t>
            </w:r>
          </w:p>
        </w:tc>
        <w:tc>
          <w:tcPr>
            <w:tcW w:w="1134" w:type="dxa"/>
            <w:shd w:val="clear" w:color="auto" w:fill="auto"/>
            <w:vAlign w:val="center"/>
          </w:tcPr>
          <w:p w14:paraId="78074E6B" w14:textId="77777777" w:rsidR="00956ACE" w:rsidRPr="00CE28E3" w:rsidRDefault="00956ACE" w:rsidP="00110C43">
            <w:pPr>
              <w:pStyle w:val="In-tableHeading"/>
            </w:pPr>
            <w:r w:rsidRPr="00CE28E3">
              <w:t>Patient population</w:t>
            </w:r>
          </w:p>
        </w:tc>
        <w:tc>
          <w:tcPr>
            <w:tcW w:w="3161" w:type="dxa"/>
            <w:shd w:val="clear" w:color="auto" w:fill="auto"/>
            <w:vAlign w:val="center"/>
          </w:tcPr>
          <w:p w14:paraId="4B5869A3" w14:textId="77777777" w:rsidR="00956ACE" w:rsidRPr="00CE28E3" w:rsidRDefault="00956ACE" w:rsidP="00110C43">
            <w:pPr>
              <w:pStyle w:val="In-tableHeading"/>
            </w:pPr>
            <w:r w:rsidRPr="00CE28E3">
              <w:t>Outcome(s)</w:t>
            </w:r>
          </w:p>
        </w:tc>
        <w:tc>
          <w:tcPr>
            <w:tcW w:w="1040" w:type="dxa"/>
            <w:shd w:val="clear" w:color="auto" w:fill="auto"/>
            <w:vAlign w:val="center"/>
          </w:tcPr>
          <w:p w14:paraId="19D97B58" w14:textId="77777777" w:rsidR="00956ACE" w:rsidRPr="00CE28E3" w:rsidRDefault="00956ACE" w:rsidP="00110C43">
            <w:pPr>
              <w:pStyle w:val="In-tableHeading"/>
            </w:pPr>
            <w:r w:rsidRPr="00CE28E3">
              <w:t>Use in modelled evaluation</w:t>
            </w:r>
          </w:p>
        </w:tc>
      </w:tr>
      <w:tr w:rsidR="00956ACE" w:rsidRPr="00CE28E3" w14:paraId="0C31313E" w14:textId="77777777" w:rsidTr="00FA23C7">
        <w:trPr>
          <w:cantSplit/>
        </w:trPr>
        <w:tc>
          <w:tcPr>
            <w:tcW w:w="9016" w:type="dxa"/>
            <w:gridSpan w:val="7"/>
            <w:shd w:val="clear" w:color="auto" w:fill="F2F2F2" w:themeFill="background1" w:themeFillShade="F2"/>
            <w:vAlign w:val="center"/>
          </w:tcPr>
          <w:p w14:paraId="6ADF1B8F" w14:textId="5013D40D" w:rsidR="00956ACE" w:rsidRPr="00CE28E3" w:rsidRDefault="00226D5B" w:rsidP="00110C43">
            <w:pPr>
              <w:pStyle w:val="In-tableHeading"/>
            </w:pPr>
            <w:r>
              <w:t>AXI</w:t>
            </w:r>
            <w:r w:rsidR="00436712">
              <w:t xml:space="preserve"> versus SoC in the 2L setting</w:t>
            </w:r>
          </w:p>
        </w:tc>
      </w:tr>
      <w:tr w:rsidR="00C02DE1" w:rsidRPr="00CE28E3" w14:paraId="7E776818" w14:textId="77777777" w:rsidTr="00FA23C7">
        <w:trPr>
          <w:cantSplit/>
        </w:trPr>
        <w:tc>
          <w:tcPr>
            <w:tcW w:w="970" w:type="dxa"/>
            <w:shd w:val="clear" w:color="auto" w:fill="auto"/>
          </w:tcPr>
          <w:p w14:paraId="563AC767" w14:textId="2C07280C" w:rsidR="007735BC" w:rsidRPr="007735BC" w:rsidRDefault="00B002A0" w:rsidP="00110C43">
            <w:pPr>
              <w:pStyle w:val="TableText"/>
            </w:pPr>
            <w:r>
              <w:t>ZUMA-7</w:t>
            </w:r>
            <w:r w:rsidR="006C6307">
              <w:t xml:space="preserve"> trial</w:t>
            </w:r>
          </w:p>
        </w:tc>
        <w:tc>
          <w:tcPr>
            <w:tcW w:w="988" w:type="dxa"/>
            <w:shd w:val="clear" w:color="auto" w:fill="auto"/>
          </w:tcPr>
          <w:p w14:paraId="66A4D5E6" w14:textId="77777777" w:rsidR="00733DE4" w:rsidRDefault="00733DE4" w:rsidP="00110C43">
            <w:pPr>
              <w:pStyle w:val="TableText"/>
              <w:rPr>
                <w:lang w:val="en-US"/>
              </w:rPr>
            </w:pPr>
            <w:r>
              <w:rPr>
                <w:lang w:val="en-US"/>
              </w:rPr>
              <w:t>N=359</w:t>
            </w:r>
          </w:p>
          <w:p w14:paraId="35D354CB" w14:textId="77777777" w:rsidR="00733DE4" w:rsidRDefault="00733DE4" w:rsidP="00110C43">
            <w:pPr>
              <w:pStyle w:val="TableText"/>
              <w:rPr>
                <w:lang w:val="en-US"/>
              </w:rPr>
            </w:pPr>
          </w:p>
          <w:p w14:paraId="7F5E3650" w14:textId="59086EA1" w:rsidR="00733DE4" w:rsidRDefault="00717BDA" w:rsidP="00110C43">
            <w:pPr>
              <w:pStyle w:val="TableText"/>
              <w:rPr>
                <w:lang w:val="en-US"/>
              </w:rPr>
            </w:pPr>
            <w:r>
              <w:rPr>
                <w:lang w:val="en-US"/>
              </w:rPr>
              <w:t>Intervention:</w:t>
            </w:r>
            <w:r w:rsidR="00733DE4">
              <w:rPr>
                <w:lang w:val="en-US"/>
              </w:rPr>
              <w:t xml:space="preserve"> N=180</w:t>
            </w:r>
          </w:p>
          <w:p w14:paraId="280096E2" w14:textId="7FE1FDA7" w:rsidR="00956ACE" w:rsidRPr="00CE28E3" w:rsidRDefault="00733DE4" w:rsidP="00110C43">
            <w:pPr>
              <w:pStyle w:val="TableText"/>
              <w:rPr>
                <w:lang w:val="en-US"/>
              </w:rPr>
            </w:pPr>
            <w:r>
              <w:rPr>
                <w:lang w:val="en-US"/>
              </w:rPr>
              <w:t>SoC: N=179</w:t>
            </w:r>
            <w:r w:rsidR="00717BDA">
              <w:rPr>
                <w:lang w:val="en-US"/>
              </w:rPr>
              <w:t xml:space="preserve"> </w:t>
            </w:r>
          </w:p>
        </w:tc>
        <w:tc>
          <w:tcPr>
            <w:tcW w:w="872" w:type="dxa"/>
            <w:shd w:val="clear" w:color="auto" w:fill="auto"/>
          </w:tcPr>
          <w:p w14:paraId="39A9151F" w14:textId="0502B724" w:rsidR="00CE5FCA" w:rsidRPr="00CE28E3" w:rsidRDefault="004B5C90" w:rsidP="00110C43">
            <w:pPr>
              <w:pStyle w:val="TableText"/>
              <w:rPr>
                <w:lang w:val="en-US"/>
              </w:rPr>
            </w:pPr>
            <w:r>
              <w:rPr>
                <w:lang w:val="en-US"/>
              </w:rPr>
              <w:t xml:space="preserve">OL, MC, </w:t>
            </w:r>
            <w:r w:rsidR="00781451">
              <w:rPr>
                <w:lang w:val="en-US"/>
              </w:rPr>
              <w:t>RCT</w:t>
            </w:r>
            <w:r w:rsidR="00744A15">
              <w:rPr>
                <w:lang w:val="en-US"/>
              </w:rPr>
              <w:t xml:space="preserve">; </w:t>
            </w:r>
            <w:proofErr w:type="gramStart"/>
            <w:r w:rsidR="00744A15">
              <w:rPr>
                <w:lang w:val="en-US"/>
              </w:rPr>
              <w:t>25 month</w:t>
            </w:r>
            <w:proofErr w:type="gramEnd"/>
            <w:r w:rsidR="00744A15">
              <w:rPr>
                <w:lang w:val="en-US"/>
              </w:rPr>
              <w:t xml:space="preserve"> </w:t>
            </w:r>
            <w:r w:rsidR="00515F05">
              <w:rPr>
                <w:lang w:val="en-US"/>
              </w:rPr>
              <w:t xml:space="preserve">median </w:t>
            </w:r>
            <w:r w:rsidR="00744A15">
              <w:rPr>
                <w:lang w:val="en-US"/>
              </w:rPr>
              <w:t>follow-up</w:t>
            </w:r>
          </w:p>
        </w:tc>
        <w:tc>
          <w:tcPr>
            <w:tcW w:w="851" w:type="dxa"/>
            <w:shd w:val="clear" w:color="auto" w:fill="auto"/>
          </w:tcPr>
          <w:p w14:paraId="269C28DF" w14:textId="1DE70E66" w:rsidR="00956ACE" w:rsidRPr="00CE28E3" w:rsidRDefault="00967A7A" w:rsidP="00110C43">
            <w:pPr>
              <w:pStyle w:val="TableText"/>
              <w:rPr>
                <w:i/>
                <w:lang w:val="en-US"/>
              </w:rPr>
            </w:pPr>
            <w:r>
              <w:rPr>
                <w:i/>
                <w:lang w:val="en-US"/>
              </w:rPr>
              <w:t>Some concerns</w:t>
            </w:r>
          </w:p>
        </w:tc>
        <w:tc>
          <w:tcPr>
            <w:tcW w:w="1134" w:type="dxa"/>
            <w:shd w:val="clear" w:color="auto" w:fill="auto"/>
          </w:tcPr>
          <w:p w14:paraId="4FD8A7FC" w14:textId="0FACDD7E" w:rsidR="00956ACE" w:rsidRPr="00CE28E3" w:rsidRDefault="00FB08A2" w:rsidP="00110C43">
            <w:pPr>
              <w:pStyle w:val="TableText"/>
              <w:rPr>
                <w:lang w:val="en-US"/>
              </w:rPr>
            </w:pPr>
            <w:r>
              <w:rPr>
                <w:rFonts w:cs="Calibri"/>
                <w:color w:val="000000"/>
              </w:rPr>
              <w:t xml:space="preserve">LBCL </w:t>
            </w:r>
            <w:r w:rsidRPr="009C6661">
              <w:rPr>
                <w:rFonts w:cs="Calibri"/>
                <w:color w:val="000000"/>
              </w:rPr>
              <w:t xml:space="preserve">refractory to </w:t>
            </w:r>
            <w:r>
              <w:rPr>
                <w:rFonts w:cs="Calibri"/>
                <w:color w:val="000000"/>
              </w:rPr>
              <w:t>or</w:t>
            </w:r>
            <w:r w:rsidRPr="009C6661">
              <w:rPr>
                <w:rFonts w:cs="Calibri"/>
                <w:color w:val="000000"/>
              </w:rPr>
              <w:t xml:space="preserve"> relapsed </w:t>
            </w:r>
            <w:r>
              <w:rPr>
                <w:rFonts w:cs="Calibri"/>
                <w:color w:val="000000"/>
              </w:rPr>
              <w:t xml:space="preserve">no more than 12 months after </w:t>
            </w:r>
            <w:r w:rsidRPr="009C6661">
              <w:rPr>
                <w:rFonts w:cs="Calibri"/>
                <w:color w:val="000000"/>
              </w:rPr>
              <w:t>completion of 1L treatment with chemoimmunotherapy</w:t>
            </w:r>
          </w:p>
        </w:tc>
        <w:tc>
          <w:tcPr>
            <w:tcW w:w="3161" w:type="dxa"/>
            <w:shd w:val="clear" w:color="auto" w:fill="auto"/>
          </w:tcPr>
          <w:p w14:paraId="3892A431" w14:textId="3042CAA9" w:rsidR="0034131D" w:rsidRPr="0034131D" w:rsidRDefault="0034131D" w:rsidP="00246C59">
            <w:pPr>
              <w:pStyle w:val="TableText"/>
              <w:spacing w:before="0" w:after="0"/>
              <w:ind w:left="227" w:hanging="227"/>
              <w:rPr>
                <w:lang w:val="en-US"/>
              </w:rPr>
            </w:pPr>
            <w:r w:rsidRPr="0034131D">
              <w:rPr>
                <w:lang w:val="en-US"/>
              </w:rPr>
              <w:t>•</w:t>
            </w:r>
            <w:r>
              <w:rPr>
                <w:lang w:val="en-US"/>
              </w:rPr>
              <w:t xml:space="preserve"> </w:t>
            </w:r>
            <w:r w:rsidR="000D2BF5">
              <w:rPr>
                <w:lang w:val="en-US"/>
              </w:rPr>
              <w:tab/>
            </w:r>
            <w:r w:rsidRPr="0034131D">
              <w:rPr>
                <w:lang w:val="en-US"/>
              </w:rPr>
              <w:t>Proportion of patients administered definitive therapy</w:t>
            </w:r>
          </w:p>
          <w:p w14:paraId="6CB1AE43" w14:textId="1A1BF504" w:rsidR="0034131D" w:rsidRPr="0034131D" w:rsidRDefault="0034131D" w:rsidP="00246C59">
            <w:pPr>
              <w:pStyle w:val="TableText"/>
              <w:spacing w:before="0" w:after="0"/>
              <w:ind w:left="227" w:hanging="227"/>
              <w:rPr>
                <w:lang w:val="en-US"/>
              </w:rPr>
            </w:pPr>
            <w:r w:rsidRPr="0034131D">
              <w:rPr>
                <w:lang w:val="en-US"/>
              </w:rPr>
              <w:t>•</w:t>
            </w:r>
            <w:r>
              <w:rPr>
                <w:lang w:val="en-US"/>
              </w:rPr>
              <w:t xml:space="preserve"> </w:t>
            </w:r>
            <w:r w:rsidR="000D2BF5">
              <w:rPr>
                <w:lang w:val="en-US"/>
              </w:rPr>
              <w:tab/>
            </w:r>
            <w:r>
              <w:rPr>
                <w:lang w:val="en-US"/>
              </w:rPr>
              <w:t xml:space="preserve">ORR and CRR </w:t>
            </w:r>
          </w:p>
          <w:p w14:paraId="77771E99" w14:textId="693EB002" w:rsidR="0034131D" w:rsidRPr="0034131D" w:rsidRDefault="0034131D" w:rsidP="00246C59">
            <w:pPr>
              <w:pStyle w:val="TableText"/>
              <w:spacing w:before="0" w:after="0"/>
              <w:ind w:left="227" w:hanging="227"/>
              <w:rPr>
                <w:lang w:val="en-US"/>
              </w:rPr>
            </w:pPr>
            <w:r w:rsidRPr="0034131D">
              <w:rPr>
                <w:lang w:val="en-US"/>
              </w:rPr>
              <w:t>•</w:t>
            </w:r>
            <w:r>
              <w:rPr>
                <w:lang w:val="en-US"/>
              </w:rPr>
              <w:t xml:space="preserve"> </w:t>
            </w:r>
            <w:r w:rsidR="000D2BF5">
              <w:rPr>
                <w:lang w:val="en-US"/>
              </w:rPr>
              <w:tab/>
            </w:r>
            <w:r w:rsidRPr="0034131D">
              <w:rPr>
                <w:lang w:val="en-US"/>
              </w:rPr>
              <w:t>Duration of response</w:t>
            </w:r>
          </w:p>
          <w:p w14:paraId="693E385B" w14:textId="44B1516F" w:rsidR="0034131D" w:rsidRPr="0034131D" w:rsidRDefault="0034131D" w:rsidP="00246C59">
            <w:pPr>
              <w:pStyle w:val="TableText"/>
              <w:spacing w:before="0" w:after="0"/>
              <w:ind w:left="227" w:hanging="227"/>
              <w:rPr>
                <w:lang w:val="en-US"/>
              </w:rPr>
            </w:pPr>
            <w:r w:rsidRPr="0034131D">
              <w:rPr>
                <w:lang w:val="en-US"/>
              </w:rPr>
              <w:t>•</w:t>
            </w:r>
            <w:r>
              <w:rPr>
                <w:lang w:val="en-US"/>
              </w:rPr>
              <w:t xml:space="preserve"> </w:t>
            </w:r>
            <w:r w:rsidR="000D2BF5">
              <w:rPr>
                <w:lang w:val="en-US"/>
              </w:rPr>
              <w:tab/>
            </w:r>
            <w:r>
              <w:rPr>
                <w:lang w:val="en-US"/>
              </w:rPr>
              <w:t>EFS and PFS</w:t>
            </w:r>
          </w:p>
          <w:p w14:paraId="1304DE1E" w14:textId="76BF49C7" w:rsidR="0034131D" w:rsidRPr="0034131D" w:rsidRDefault="0034131D" w:rsidP="00246C59">
            <w:pPr>
              <w:pStyle w:val="TableText"/>
              <w:spacing w:before="0" w:after="0"/>
              <w:ind w:left="227" w:hanging="227"/>
              <w:rPr>
                <w:lang w:val="en-US"/>
              </w:rPr>
            </w:pPr>
            <w:r w:rsidRPr="0034131D">
              <w:rPr>
                <w:lang w:val="en-US"/>
              </w:rPr>
              <w:t>•</w:t>
            </w:r>
            <w:r>
              <w:rPr>
                <w:lang w:val="en-US"/>
              </w:rPr>
              <w:t xml:space="preserve"> </w:t>
            </w:r>
            <w:r w:rsidR="000D2BF5">
              <w:rPr>
                <w:lang w:val="en-US"/>
              </w:rPr>
              <w:tab/>
            </w:r>
            <w:r>
              <w:rPr>
                <w:lang w:val="en-US"/>
              </w:rPr>
              <w:t>TTNT</w:t>
            </w:r>
          </w:p>
          <w:p w14:paraId="3CC9DD52" w14:textId="7619F897" w:rsidR="0034131D" w:rsidRPr="0034131D" w:rsidRDefault="0034131D" w:rsidP="00246C59">
            <w:pPr>
              <w:pStyle w:val="TableText"/>
              <w:spacing w:before="0" w:after="0"/>
              <w:ind w:left="227" w:hanging="227"/>
              <w:rPr>
                <w:lang w:val="en-US"/>
              </w:rPr>
            </w:pPr>
            <w:r w:rsidRPr="0034131D">
              <w:rPr>
                <w:lang w:val="en-US"/>
              </w:rPr>
              <w:t>•</w:t>
            </w:r>
            <w:r>
              <w:rPr>
                <w:lang w:val="en-US"/>
              </w:rPr>
              <w:t xml:space="preserve"> </w:t>
            </w:r>
            <w:r w:rsidR="000D2BF5">
              <w:rPr>
                <w:lang w:val="en-US"/>
              </w:rPr>
              <w:tab/>
            </w:r>
            <w:proofErr w:type="spellStart"/>
            <w:r>
              <w:rPr>
                <w:lang w:val="en-US"/>
              </w:rPr>
              <w:t>HRQoL</w:t>
            </w:r>
            <w:proofErr w:type="spellEnd"/>
          </w:p>
          <w:p w14:paraId="273C6403" w14:textId="1AF2135E" w:rsidR="0034131D" w:rsidRPr="0034131D" w:rsidRDefault="0034131D" w:rsidP="00246C59">
            <w:pPr>
              <w:pStyle w:val="TableText"/>
              <w:spacing w:before="0" w:after="0"/>
              <w:ind w:left="227" w:hanging="227"/>
              <w:rPr>
                <w:lang w:val="en-US"/>
              </w:rPr>
            </w:pPr>
            <w:r w:rsidRPr="0034131D">
              <w:rPr>
                <w:lang w:val="en-US"/>
              </w:rPr>
              <w:t>•</w:t>
            </w:r>
            <w:r>
              <w:rPr>
                <w:lang w:val="en-US"/>
              </w:rPr>
              <w:t xml:space="preserve"> </w:t>
            </w:r>
            <w:r w:rsidR="000D2BF5">
              <w:rPr>
                <w:lang w:val="en-US"/>
              </w:rPr>
              <w:tab/>
            </w:r>
            <w:r w:rsidRPr="0034131D">
              <w:rPr>
                <w:lang w:val="en-US"/>
              </w:rPr>
              <w:t>Overall survival</w:t>
            </w:r>
          </w:p>
          <w:p w14:paraId="52D59D08" w14:textId="2DFB42AE" w:rsidR="0034131D" w:rsidRPr="0034131D" w:rsidRDefault="0034131D" w:rsidP="00246C59">
            <w:pPr>
              <w:pStyle w:val="TableText"/>
              <w:spacing w:before="0" w:after="0"/>
              <w:ind w:left="227" w:hanging="227"/>
              <w:rPr>
                <w:lang w:val="en-US"/>
              </w:rPr>
            </w:pPr>
            <w:r w:rsidRPr="0034131D">
              <w:rPr>
                <w:lang w:val="en-US"/>
              </w:rPr>
              <w:t>•</w:t>
            </w:r>
            <w:r>
              <w:rPr>
                <w:lang w:val="en-US"/>
              </w:rPr>
              <w:t xml:space="preserve"> </w:t>
            </w:r>
            <w:r w:rsidR="000D2BF5">
              <w:rPr>
                <w:lang w:val="en-US"/>
              </w:rPr>
              <w:tab/>
            </w:r>
            <w:r w:rsidRPr="0034131D">
              <w:rPr>
                <w:lang w:val="en-US"/>
              </w:rPr>
              <w:t>Quality adjusted survival</w:t>
            </w:r>
          </w:p>
          <w:p w14:paraId="68A41B6D" w14:textId="7EAB2773" w:rsidR="0034131D" w:rsidRPr="0034131D" w:rsidRDefault="0034131D" w:rsidP="00246C59">
            <w:pPr>
              <w:pStyle w:val="TableText"/>
              <w:spacing w:before="0" w:after="0"/>
              <w:ind w:left="227" w:hanging="227"/>
              <w:rPr>
                <w:lang w:val="en-US"/>
              </w:rPr>
            </w:pPr>
            <w:r w:rsidRPr="0034131D">
              <w:rPr>
                <w:lang w:val="en-US"/>
              </w:rPr>
              <w:t>•</w:t>
            </w:r>
            <w:r>
              <w:rPr>
                <w:lang w:val="en-US"/>
              </w:rPr>
              <w:t xml:space="preserve"> </w:t>
            </w:r>
            <w:r w:rsidR="000D2BF5">
              <w:rPr>
                <w:lang w:val="en-US"/>
              </w:rPr>
              <w:tab/>
            </w:r>
            <w:r w:rsidRPr="0034131D">
              <w:rPr>
                <w:lang w:val="en-US"/>
              </w:rPr>
              <w:t xml:space="preserve">Percentage of patients having </w:t>
            </w:r>
            <w:r>
              <w:rPr>
                <w:lang w:val="en-US"/>
              </w:rPr>
              <w:t>AXI</w:t>
            </w:r>
            <w:r w:rsidRPr="0034131D">
              <w:rPr>
                <w:lang w:val="en-US"/>
              </w:rPr>
              <w:t xml:space="preserve"> infused of those who underwent leukapheresis</w:t>
            </w:r>
          </w:p>
          <w:p w14:paraId="7ABD05B4" w14:textId="32C72CA0" w:rsidR="0034131D" w:rsidRPr="0034131D" w:rsidRDefault="0034131D" w:rsidP="00246C59">
            <w:pPr>
              <w:pStyle w:val="TableText"/>
              <w:spacing w:before="0" w:after="0"/>
              <w:ind w:left="227" w:hanging="227"/>
              <w:rPr>
                <w:lang w:val="en-US"/>
              </w:rPr>
            </w:pPr>
            <w:r w:rsidRPr="0034131D">
              <w:rPr>
                <w:lang w:val="en-US"/>
              </w:rPr>
              <w:t>•</w:t>
            </w:r>
            <w:r>
              <w:rPr>
                <w:lang w:val="en-US"/>
              </w:rPr>
              <w:t xml:space="preserve"> </w:t>
            </w:r>
            <w:r w:rsidR="000D2BF5">
              <w:rPr>
                <w:lang w:val="en-US"/>
              </w:rPr>
              <w:tab/>
            </w:r>
            <w:r w:rsidRPr="0034131D">
              <w:rPr>
                <w:lang w:val="en-US"/>
              </w:rPr>
              <w:t xml:space="preserve">Time from leukapheresis to infusion of </w:t>
            </w:r>
            <w:r>
              <w:rPr>
                <w:lang w:val="en-US"/>
              </w:rPr>
              <w:t>AXI</w:t>
            </w:r>
          </w:p>
          <w:p w14:paraId="0A4F2249" w14:textId="336D82B2" w:rsidR="0034131D" w:rsidRPr="0034131D" w:rsidRDefault="0034131D" w:rsidP="00246C59">
            <w:pPr>
              <w:pStyle w:val="TableText"/>
              <w:spacing w:before="0" w:after="0"/>
              <w:ind w:left="227" w:hanging="227"/>
              <w:rPr>
                <w:lang w:val="en-US"/>
              </w:rPr>
            </w:pPr>
            <w:r w:rsidRPr="0034131D">
              <w:rPr>
                <w:lang w:val="en-US"/>
              </w:rPr>
              <w:t>•</w:t>
            </w:r>
            <w:r>
              <w:rPr>
                <w:lang w:val="en-US"/>
              </w:rPr>
              <w:t xml:space="preserve"> </w:t>
            </w:r>
            <w:r w:rsidR="000D2BF5">
              <w:rPr>
                <w:lang w:val="en-US"/>
              </w:rPr>
              <w:tab/>
            </w:r>
            <w:r>
              <w:rPr>
                <w:lang w:val="en-US"/>
              </w:rPr>
              <w:t>I</w:t>
            </w:r>
            <w:r w:rsidRPr="0034131D">
              <w:rPr>
                <w:lang w:val="en-US"/>
              </w:rPr>
              <w:t xml:space="preserve">ncidence of </w:t>
            </w:r>
            <w:r>
              <w:rPr>
                <w:lang w:val="en-US"/>
              </w:rPr>
              <w:t>AEs and SAEs</w:t>
            </w:r>
          </w:p>
          <w:p w14:paraId="1F4C650B" w14:textId="4377E5B4" w:rsidR="0034131D" w:rsidRPr="0034131D" w:rsidRDefault="0034131D" w:rsidP="00246C59">
            <w:pPr>
              <w:pStyle w:val="TableText"/>
              <w:spacing w:before="0" w:after="0"/>
              <w:ind w:left="227" w:hanging="227"/>
              <w:rPr>
                <w:lang w:val="en-US"/>
              </w:rPr>
            </w:pPr>
            <w:r w:rsidRPr="0034131D">
              <w:rPr>
                <w:lang w:val="en-US"/>
              </w:rPr>
              <w:t>•</w:t>
            </w:r>
            <w:r>
              <w:rPr>
                <w:lang w:val="en-US"/>
              </w:rPr>
              <w:t xml:space="preserve"> </w:t>
            </w:r>
            <w:r w:rsidR="000D2BF5">
              <w:rPr>
                <w:lang w:val="en-US"/>
              </w:rPr>
              <w:tab/>
            </w:r>
            <w:r>
              <w:rPr>
                <w:lang w:val="en-US"/>
              </w:rPr>
              <w:t>I</w:t>
            </w:r>
            <w:r w:rsidRPr="0034131D">
              <w:rPr>
                <w:lang w:val="en-US"/>
              </w:rPr>
              <w:t xml:space="preserve">ncidence of events of special interest </w:t>
            </w:r>
            <w:r>
              <w:rPr>
                <w:lang w:val="en-US"/>
              </w:rPr>
              <w:t>(</w:t>
            </w:r>
            <w:r w:rsidRPr="0034131D">
              <w:rPr>
                <w:lang w:val="en-US"/>
              </w:rPr>
              <w:t>cytokine release syndrome (CRS)</w:t>
            </w:r>
            <w:r>
              <w:rPr>
                <w:lang w:val="en-US"/>
              </w:rPr>
              <w:t xml:space="preserve">, </w:t>
            </w:r>
            <w:r w:rsidRPr="0034131D">
              <w:rPr>
                <w:lang w:val="en-US"/>
              </w:rPr>
              <w:t>infection and febrile neutropenia</w:t>
            </w:r>
            <w:r>
              <w:rPr>
                <w:lang w:val="en-US"/>
              </w:rPr>
              <w:t xml:space="preserve">, </w:t>
            </w:r>
            <w:r w:rsidRPr="0034131D">
              <w:rPr>
                <w:lang w:val="en-US"/>
              </w:rPr>
              <w:t xml:space="preserve">cytopenia (neutropenia, thrombocytopenia, </w:t>
            </w:r>
            <w:proofErr w:type="spellStart"/>
            <w:r w:rsidRPr="0034131D">
              <w:rPr>
                <w:lang w:val="en-US"/>
              </w:rPr>
              <w:t>anaemia</w:t>
            </w:r>
            <w:proofErr w:type="spellEnd"/>
            <w:r w:rsidRPr="0034131D">
              <w:rPr>
                <w:lang w:val="en-US"/>
              </w:rPr>
              <w:t>)</w:t>
            </w:r>
            <w:r>
              <w:rPr>
                <w:lang w:val="en-US"/>
              </w:rPr>
              <w:t xml:space="preserve">, </w:t>
            </w:r>
            <w:r w:rsidRPr="0034131D">
              <w:rPr>
                <w:lang w:val="en-US"/>
              </w:rPr>
              <w:t>neurologic events</w:t>
            </w:r>
            <w:r>
              <w:rPr>
                <w:lang w:val="en-US"/>
              </w:rPr>
              <w:t>)</w:t>
            </w:r>
          </w:p>
          <w:p w14:paraId="67A13866" w14:textId="66F04AA1" w:rsidR="0034131D" w:rsidRPr="0034131D" w:rsidRDefault="0034131D" w:rsidP="00246C59">
            <w:pPr>
              <w:pStyle w:val="TableText"/>
              <w:spacing w:before="0" w:after="0"/>
              <w:ind w:left="227" w:hanging="227"/>
              <w:rPr>
                <w:lang w:val="en-US"/>
              </w:rPr>
            </w:pPr>
            <w:r w:rsidRPr="0034131D">
              <w:rPr>
                <w:lang w:val="en-US"/>
              </w:rPr>
              <w:t>•</w:t>
            </w:r>
            <w:r>
              <w:rPr>
                <w:lang w:val="en-US"/>
              </w:rPr>
              <w:t xml:space="preserve"> </w:t>
            </w:r>
            <w:r w:rsidR="000D2BF5">
              <w:rPr>
                <w:lang w:val="en-US"/>
              </w:rPr>
              <w:tab/>
            </w:r>
            <w:r w:rsidRPr="0034131D">
              <w:rPr>
                <w:lang w:val="en-US"/>
              </w:rPr>
              <w:t xml:space="preserve">Healthcare resource use and associated costs </w:t>
            </w:r>
          </w:p>
          <w:p w14:paraId="0CE3544D" w14:textId="77777777" w:rsidR="000D2BF5" w:rsidRDefault="0034131D" w:rsidP="000D2BF5">
            <w:pPr>
              <w:pStyle w:val="TableText"/>
              <w:spacing w:before="0" w:after="0"/>
              <w:ind w:left="227" w:hanging="227"/>
              <w:rPr>
                <w:lang w:val="en-US"/>
              </w:rPr>
            </w:pPr>
            <w:r w:rsidRPr="0034131D">
              <w:rPr>
                <w:lang w:val="en-US"/>
              </w:rPr>
              <w:t>•</w:t>
            </w:r>
            <w:r>
              <w:rPr>
                <w:lang w:val="en-US"/>
              </w:rPr>
              <w:t xml:space="preserve"> </w:t>
            </w:r>
            <w:r w:rsidR="000D2BF5">
              <w:rPr>
                <w:lang w:val="en-US"/>
              </w:rPr>
              <w:tab/>
            </w:r>
            <w:r w:rsidRPr="0034131D">
              <w:rPr>
                <w:lang w:val="en-US"/>
              </w:rPr>
              <w:t xml:space="preserve">Incremental cost per </w:t>
            </w:r>
            <w:r>
              <w:rPr>
                <w:lang w:val="en-US"/>
              </w:rPr>
              <w:t>LYG</w:t>
            </w:r>
          </w:p>
          <w:p w14:paraId="5176C5CA" w14:textId="6FC5A8A2" w:rsidR="0034131D" w:rsidRPr="0034131D" w:rsidRDefault="0034131D" w:rsidP="00D51B1C">
            <w:pPr>
              <w:pStyle w:val="TableText"/>
              <w:numPr>
                <w:ilvl w:val="0"/>
                <w:numId w:val="15"/>
              </w:numPr>
              <w:spacing w:before="0" w:after="0"/>
              <w:ind w:left="227" w:hanging="227"/>
              <w:rPr>
                <w:lang w:val="en-US"/>
              </w:rPr>
            </w:pPr>
            <w:r w:rsidRPr="0034131D">
              <w:rPr>
                <w:lang w:val="en-US"/>
              </w:rPr>
              <w:t xml:space="preserve">Incremental cost per </w:t>
            </w:r>
            <w:r>
              <w:rPr>
                <w:lang w:val="en-US"/>
              </w:rPr>
              <w:t>QALY</w:t>
            </w:r>
          </w:p>
          <w:p w14:paraId="006493E2" w14:textId="70627F5E" w:rsidR="0034131D" w:rsidRPr="0034131D" w:rsidRDefault="0034131D" w:rsidP="00246C59">
            <w:pPr>
              <w:pStyle w:val="TableText"/>
              <w:spacing w:before="0" w:after="0"/>
              <w:ind w:left="227" w:hanging="227"/>
              <w:rPr>
                <w:lang w:val="en-US"/>
              </w:rPr>
            </w:pPr>
            <w:r w:rsidRPr="0034131D">
              <w:rPr>
                <w:lang w:val="en-US"/>
              </w:rPr>
              <w:t>•</w:t>
            </w:r>
            <w:r>
              <w:rPr>
                <w:lang w:val="en-US"/>
              </w:rPr>
              <w:t xml:space="preserve"> </w:t>
            </w:r>
            <w:r w:rsidR="000D2BF5">
              <w:rPr>
                <w:lang w:val="en-US"/>
              </w:rPr>
              <w:tab/>
            </w:r>
            <w:r w:rsidRPr="0034131D">
              <w:rPr>
                <w:lang w:val="en-US"/>
              </w:rPr>
              <w:t>Number of patients suitable for treatment</w:t>
            </w:r>
          </w:p>
          <w:p w14:paraId="45B1587F" w14:textId="1CCA24B6" w:rsidR="00956ACE" w:rsidRPr="00CE28E3" w:rsidRDefault="0034131D" w:rsidP="00246C59">
            <w:pPr>
              <w:pStyle w:val="TableText"/>
              <w:spacing w:before="0" w:after="0"/>
              <w:ind w:left="227" w:hanging="227"/>
              <w:rPr>
                <w:lang w:val="en-US"/>
              </w:rPr>
            </w:pPr>
            <w:r w:rsidRPr="0034131D">
              <w:rPr>
                <w:lang w:val="en-US"/>
              </w:rPr>
              <w:t>•</w:t>
            </w:r>
            <w:r>
              <w:rPr>
                <w:lang w:val="en-US"/>
              </w:rPr>
              <w:t xml:space="preserve"> </w:t>
            </w:r>
            <w:r w:rsidR="000D2BF5">
              <w:rPr>
                <w:lang w:val="en-US"/>
              </w:rPr>
              <w:tab/>
            </w:r>
            <w:r w:rsidRPr="0034131D">
              <w:rPr>
                <w:lang w:val="en-US"/>
              </w:rPr>
              <w:t>Number of patients who receive treatment and associated financial implications</w:t>
            </w:r>
          </w:p>
        </w:tc>
        <w:tc>
          <w:tcPr>
            <w:tcW w:w="1040" w:type="dxa"/>
            <w:shd w:val="clear" w:color="auto" w:fill="auto"/>
          </w:tcPr>
          <w:p w14:paraId="3F9CD3D5" w14:textId="2EE179DF" w:rsidR="00956ACE" w:rsidRPr="00CE28E3" w:rsidRDefault="0091597C" w:rsidP="00110C43">
            <w:pPr>
              <w:pStyle w:val="TableText"/>
              <w:rPr>
                <w:lang w:val="en-US"/>
              </w:rPr>
            </w:pPr>
            <w:r>
              <w:rPr>
                <w:lang w:val="en-US"/>
              </w:rPr>
              <w:t>Yes</w:t>
            </w:r>
            <w:r w:rsidR="007B69B0">
              <w:rPr>
                <w:lang w:val="en-US"/>
              </w:rPr>
              <w:t>,</w:t>
            </w:r>
            <w:r>
              <w:rPr>
                <w:lang w:val="en-US"/>
              </w:rPr>
              <w:t xml:space="preserve"> for all clinical efficacy</w:t>
            </w:r>
            <w:r w:rsidR="007B69B0">
              <w:rPr>
                <w:lang w:val="en-US"/>
              </w:rPr>
              <w:t xml:space="preserve"> outcomes</w:t>
            </w:r>
            <w:r w:rsidR="00540348">
              <w:rPr>
                <w:lang w:val="en-US"/>
              </w:rPr>
              <w:t xml:space="preserve"> used in the model: EFS, </w:t>
            </w:r>
            <w:r w:rsidR="00540348" w:rsidRPr="00540348">
              <w:rPr>
                <w:lang w:val="en-US"/>
              </w:rPr>
              <w:t>Overall survival</w:t>
            </w:r>
            <w:r w:rsidR="00540348">
              <w:rPr>
                <w:lang w:val="en-US"/>
              </w:rPr>
              <w:t xml:space="preserve">, </w:t>
            </w:r>
            <w:r w:rsidR="00C34240" w:rsidRPr="00C34240">
              <w:rPr>
                <w:lang w:val="en-US"/>
              </w:rPr>
              <w:t xml:space="preserve">Disposition of </w:t>
            </w:r>
            <w:proofErr w:type="spellStart"/>
            <w:r w:rsidR="00C34240" w:rsidRPr="00C34240">
              <w:rPr>
                <w:lang w:val="en-US"/>
              </w:rPr>
              <w:t>Yescarta</w:t>
            </w:r>
            <w:proofErr w:type="spellEnd"/>
            <w:r w:rsidR="00C34240" w:rsidRPr="00C34240">
              <w:rPr>
                <w:lang w:val="en-US"/>
              </w:rPr>
              <w:t xml:space="preserve"> </w:t>
            </w:r>
            <w:r w:rsidR="00C34240">
              <w:rPr>
                <w:lang w:val="en-US"/>
              </w:rPr>
              <w:t xml:space="preserve">and SoC </w:t>
            </w:r>
            <w:r w:rsidR="00C34240" w:rsidRPr="00C34240">
              <w:rPr>
                <w:lang w:val="en-US"/>
              </w:rPr>
              <w:t>patients</w:t>
            </w:r>
            <w:r w:rsidR="00C34240">
              <w:rPr>
                <w:lang w:val="en-US"/>
              </w:rPr>
              <w:t>, QALYs</w:t>
            </w:r>
            <w:r w:rsidR="00E85E4B">
              <w:rPr>
                <w:lang w:val="en-US"/>
              </w:rPr>
              <w:t>.</w:t>
            </w:r>
          </w:p>
        </w:tc>
      </w:tr>
    </w:tbl>
    <w:p w14:paraId="176B347D" w14:textId="52F21358" w:rsidR="000D30F9" w:rsidRDefault="000D30F9" w:rsidP="000D30F9">
      <w:pPr>
        <w:pStyle w:val="a-TableFOOTER"/>
        <w:spacing w:after="0"/>
      </w:pPr>
      <w:bookmarkStart w:id="17" w:name="_Hlk68276176"/>
      <w:bookmarkEnd w:id="16"/>
      <w:r>
        <w:t>Source: ZUMA-7 CSR, 2021</w:t>
      </w:r>
      <w:r w:rsidR="00A83A0D">
        <w:t>.</w:t>
      </w:r>
    </w:p>
    <w:p w14:paraId="39BE1DFD" w14:textId="248ABB21" w:rsidR="00702A87" w:rsidRDefault="00A83A0D" w:rsidP="000D30F9">
      <w:pPr>
        <w:pStyle w:val="a-TableFOOTER"/>
        <w:spacing w:after="0"/>
      </w:pPr>
      <w:r>
        <w:t xml:space="preserve">Abbreviations: </w:t>
      </w:r>
      <w:r w:rsidR="00702A87">
        <w:t>1L=first</w:t>
      </w:r>
      <w:r w:rsidR="00C406D5">
        <w:t>-</w:t>
      </w:r>
      <w:r w:rsidR="00702A87">
        <w:t>line; AE=adverse events; CRR=complete response rate; EFS=</w:t>
      </w:r>
      <w:r w:rsidR="008F2B0D">
        <w:t>e</w:t>
      </w:r>
      <w:r w:rsidR="00702A87">
        <w:t xml:space="preserve">vent-free survival; </w:t>
      </w:r>
      <w:proofErr w:type="spellStart"/>
      <w:r w:rsidR="00702A87">
        <w:t>HRQoL</w:t>
      </w:r>
      <w:proofErr w:type="spellEnd"/>
      <w:r w:rsidR="00702A87">
        <w:t>=</w:t>
      </w:r>
      <w:r w:rsidR="008F2B0D">
        <w:t>h</w:t>
      </w:r>
      <w:r w:rsidR="00702A87">
        <w:t>ealth-related quality of life; LBCL=</w:t>
      </w:r>
      <w:r w:rsidR="00702A87" w:rsidRPr="00BD2D35">
        <w:t>large B-cell lymphoma</w:t>
      </w:r>
      <w:r w:rsidR="00702A87">
        <w:t>; LYG=life year gained;</w:t>
      </w:r>
      <w:r w:rsidR="004B5C90">
        <w:t xml:space="preserve"> MC=Multi centre;</w:t>
      </w:r>
      <w:r w:rsidR="00702A87">
        <w:t xml:space="preserve"> ORR=</w:t>
      </w:r>
      <w:r w:rsidR="008F2B0D">
        <w:t>o</w:t>
      </w:r>
      <w:r w:rsidR="00702A87">
        <w:t>bjective response rate; OL=</w:t>
      </w:r>
      <w:r w:rsidR="008F2B0D">
        <w:t>o</w:t>
      </w:r>
      <w:r w:rsidR="00702A87">
        <w:t>pen label; PFS=</w:t>
      </w:r>
      <w:r w:rsidR="008F2B0D">
        <w:t>p</w:t>
      </w:r>
      <w:r w:rsidR="00702A87">
        <w:t>rogression-free survival; QALY=quality adjusted life year; RCT=</w:t>
      </w:r>
      <w:r w:rsidR="008F2B0D">
        <w:t>r</w:t>
      </w:r>
      <w:r w:rsidR="00702A87">
        <w:t>andomised control trial; SAE=serious adverse events; TTNT=</w:t>
      </w:r>
      <w:r w:rsidR="008F2B0D">
        <w:t>t</w:t>
      </w:r>
      <w:r w:rsidR="00702A87">
        <w:t>ime to next treatment.</w:t>
      </w:r>
    </w:p>
    <w:p w14:paraId="5013D8CE" w14:textId="67A41E33" w:rsidR="00A83A0D" w:rsidRDefault="004B5C90" w:rsidP="00A87A1F">
      <w:pPr>
        <w:spacing w:before="240" w:after="160" w:line="259" w:lineRule="auto"/>
        <w:rPr>
          <w:rFonts w:ascii="Franklin Gothic Book" w:eastAsia="Calibri" w:hAnsi="Franklin Gothic Book"/>
          <w:sz w:val="22"/>
          <w:lang w:eastAsia="en-US"/>
        </w:rPr>
      </w:pPr>
      <w:r>
        <w:rPr>
          <w:rFonts w:ascii="Franklin Gothic Book" w:eastAsia="Calibri" w:hAnsi="Franklin Gothic Book"/>
          <w:sz w:val="22"/>
          <w:lang w:eastAsia="en-US"/>
        </w:rPr>
        <w:lastRenderedPageBreak/>
        <w:t>T</w:t>
      </w:r>
      <w:r w:rsidR="00FB7BE8" w:rsidRPr="00FB7BE8">
        <w:rPr>
          <w:rFonts w:ascii="Franklin Gothic Book" w:eastAsia="Calibri" w:hAnsi="Franklin Gothic Book"/>
          <w:sz w:val="22"/>
          <w:lang w:eastAsia="en-US"/>
        </w:rPr>
        <w:t>he ZUMA-7</w:t>
      </w:r>
      <w:r>
        <w:rPr>
          <w:rFonts w:ascii="Franklin Gothic Book" w:eastAsia="Calibri" w:hAnsi="Franklin Gothic Book"/>
          <w:sz w:val="22"/>
          <w:lang w:eastAsia="en-US"/>
        </w:rPr>
        <w:t xml:space="preserve"> trial</w:t>
      </w:r>
      <w:r w:rsidR="00FC7345">
        <w:rPr>
          <w:rFonts w:ascii="Franklin Gothic Book" w:eastAsia="Calibri" w:hAnsi="Franklin Gothic Book"/>
          <w:sz w:val="22"/>
          <w:lang w:eastAsia="en-US"/>
        </w:rPr>
        <w:t xml:space="preserve"> was judged to be</w:t>
      </w:r>
      <w:r w:rsidR="00FB7BE8" w:rsidRPr="00FB7BE8">
        <w:rPr>
          <w:rFonts w:ascii="Franklin Gothic Book" w:eastAsia="Calibri" w:hAnsi="Franklin Gothic Book"/>
          <w:sz w:val="22"/>
          <w:lang w:eastAsia="en-US"/>
        </w:rPr>
        <w:t xml:space="preserve"> associated with some concerns of bias</w:t>
      </w:r>
      <w:r w:rsidR="00FC7345">
        <w:rPr>
          <w:rFonts w:ascii="Franklin Gothic Book" w:eastAsia="Calibri" w:hAnsi="Franklin Gothic Book"/>
          <w:sz w:val="22"/>
          <w:lang w:eastAsia="en-US"/>
        </w:rPr>
        <w:t xml:space="preserve">. </w:t>
      </w:r>
      <w:r w:rsidR="00090119">
        <w:rPr>
          <w:rFonts w:ascii="Franklin Gothic Book" w:eastAsia="Calibri" w:hAnsi="Franklin Gothic Book"/>
          <w:sz w:val="22"/>
          <w:lang w:eastAsia="en-US"/>
        </w:rPr>
        <w:t xml:space="preserve">The key area where some concerns of bias were introduced was around the </w:t>
      </w:r>
      <w:r w:rsidR="004434A6">
        <w:rPr>
          <w:rFonts w:ascii="Franklin Gothic Book" w:eastAsia="Calibri" w:hAnsi="Franklin Gothic Book"/>
          <w:sz w:val="22"/>
          <w:lang w:eastAsia="en-US"/>
        </w:rPr>
        <w:t>inability to blind clinicians and investigators to the treatment arm</w:t>
      </w:r>
      <w:r w:rsidR="00DE7ABA">
        <w:rPr>
          <w:rFonts w:ascii="Franklin Gothic Book" w:eastAsia="Calibri" w:hAnsi="Franklin Gothic Book"/>
          <w:sz w:val="22"/>
          <w:lang w:eastAsia="en-US"/>
        </w:rPr>
        <w:t>s</w:t>
      </w:r>
      <w:r w:rsidR="004434A6">
        <w:rPr>
          <w:rFonts w:ascii="Franklin Gothic Book" w:eastAsia="Calibri" w:hAnsi="Franklin Gothic Book"/>
          <w:sz w:val="22"/>
          <w:lang w:eastAsia="en-US"/>
        </w:rPr>
        <w:t xml:space="preserve"> </w:t>
      </w:r>
      <w:r w:rsidR="00A66AA7" w:rsidRPr="00A66AA7" w:rsidDel="00F67C36">
        <w:rPr>
          <w:rFonts w:ascii="Franklin Gothic Book" w:eastAsia="Calibri" w:hAnsi="Franklin Gothic Book"/>
          <w:sz w:val="22"/>
          <w:lang w:eastAsia="en-US"/>
        </w:rPr>
        <w:t>(</w:t>
      </w:r>
      <w:r w:rsidR="00A66AA7" w:rsidRPr="00A66AA7">
        <w:rPr>
          <w:rFonts w:ascii="Franklin Gothic Book" w:eastAsia="Calibri" w:hAnsi="Franklin Gothic Book"/>
          <w:sz w:val="22"/>
          <w:lang w:eastAsia="en-US"/>
        </w:rPr>
        <w:t>potentially introducing performance bias</w:t>
      </w:r>
      <w:r w:rsidR="00A66AA7">
        <w:rPr>
          <w:rFonts w:ascii="Franklin Gothic Book" w:eastAsia="Calibri" w:hAnsi="Franklin Gothic Book"/>
          <w:sz w:val="22"/>
          <w:lang w:eastAsia="en-US"/>
        </w:rPr>
        <w:t>)</w:t>
      </w:r>
      <w:r w:rsidR="00DE7ABA">
        <w:rPr>
          <w:rFonts w:ascii="Franklin Gothic Book" w:eastAsia="Calibri" w:hAnsi="Franklin Gothic Book"/>
          <w:sz w:val="22"/>
          <w:lang w:eastAsia="en-US"/>
        </w:rPr>
        <w:t>,</w:t>
      </w:r>
      <w:r w:rsidR="00A66AA7">
        <w:rPr>
          <w:rFonts w:ascii="Franklin Gothic Book" w:eastAsia="Calibri" w:hAnsi="Franklin Gothic Book"/>
          <w:sz w:val="22"/>
          <w:lang w:eastAsia="en-US"/>
        </w:rPr>
        <w:t xml:space="preserve"> and </w:t>
      </w:r>
      <w:r w:rsidR="00DE7ABA">
        <w:rPr>
          <w:rFonts w:ascii="Franklin Gothic Book" w:eastAsia="Calibri" w:hAnsi="Franklin Gothic Book"/>
          <w:sz w:val="22"/>
          <w:lang w:eastAsia="en-US"/>
        </w:rPr>
        <w:t xml:space="preserve">there were </w:t>
      </w:r>
      <w:r w:rsidR="00FB7BE8" w:rsidRPr="00FB7BE8">
        <w:rPr>
          <w:rFonts w:ascii="Franklin Gothic Book" w:eastAsia="Calibri" w:hAnsi="Franklin Gothic Book"/>
          <w:sz w:val="22"/>
          <w:lang w:eastAsia="en-US"/>
        </w:rPr>
        <w:t xml:space="preserve">some concerns of bias regarding </w:t>
      </w:r>
      <w:r w:rsidR="00DE7ABA">
        <w:rPr>
          <w:rFonts w:ascii="Franklin Gothic Book" w:eastAsia="Calibri" w:hAnsi="Franklin Gothic Book"/>
          <w:sz w:val="22"/>
          <w:lang w:eastAsia="en-US"/>
        </w:rPr>
        <w:t xml:space="preserve">measurement error (ascertainment error); </w:t>
      </w:r>
      <w:r w:rsidR="00203FBD">
        <w:rPr>
          <w:rFonts w:ascii="Franklin Gothic Book" w:eastAsia="Calibri" w:hAnsi="Franklin Gothic Book"/>
          <w:sz w:val="22"/>
          <w:lang w:eastAsia="en-US"/>
        </w:rPr>
        <w:t xml:space="preserve">There was flexibility in the timing of assessment and given that clinicians </w:t>
      </w:r>
      <w:r w:rsidR="003C46C9">
        <w:rPr>
          <w:rFonts w:ascii="Franklin Gothic Book" w:eastAsia="Calibri" w:hAnsi="Franklin Gothic Book"/>
          <w:sz w:val="22"/>
          <w:lang w:eastAsia="en-US"/>
        </w:rPr>
        <w:t>k</w:t>
      </w:r>
      <w:r w:rsidR="00203FBD">
        <w:rPr>
          <w:rFonts w:ascii="Franklin Gothic Book" w:eastAsia="Calibri" w:hAnsi="Franklin Gothic Book"/>
          <w:sz w:val="22"/>
          <w:lang w:eastAsia="en-US"/>
        </w:rPr>
        <w:t xml:space="preserve">new </w:t>
      </w:r>
      <w:r w:rsidR="00FF765D">
        <w:rPr>
          <w:rFonts w:ascii="Franklin Gothic Book" w:eastAsia="Calibri" w:hAnsi="Franklin Gothic Book"/>
          <w:sz w:val="22"/>
          <w:lang w:eastAsia="en-US"/>
        </w:rPr>
        <w:t xml:space="preserve">what arm their </w:t>
      </w:r>
      <w:r w:rsidR="00203FBD">
        <w:rPr>
          <w:rFonts w:ascii="Franklin Gothic Book" w:eastAsia="Calibri" w:hAnsi="Franklin Gothic Book"/>
          <w:sz w:val="22"/>
          <w:lang w:eastAsia="en-US"/>
        </w:rPr>
        <w:t xml:space="preserve">patients were </w:t>
      </w:r>
      <w:r w:rsidR="00421F52">
        <w:rPr>
          <w:rFonts w:ascii="Franklin Gothic Book" w:eastAsia="Calibri" w:hAnsi="Franklin Gothic Book"/>
          <w:sz w:val="22"/>
          <w:lang w:eastAsia="en-US"/>
        </w:rPr>
        <w:t xml:space="preserve">in </w:t>
      </w:r>
      <w:r w:rsidR="00421F52" w:rsidRPr="00D32B51">
        <w:rPr>
          <w:rFonts w:ascii="Franklin Gothic Book" w:eastAsia="Calibri" w:hAnsi="Franklin Gothic Book"/>
          <w:sz w:val="22"/>
          <w:lang w:eastAsia="en-US"/>
        </w:rPr>
        <w:t xml:space="preserve">they may also be inclined to see their </w:t>
      </w:r>
      <w:r w:rsidR="00FF765D">
        <w:rPr>
          <w:rFonts w:ascii="Franklin Gothic Book" w:eastAsia="Calibri" w:hAnsi="Franklin Gothic Book"/>
          <w:sz w:val="22"/>
          <w:lang w:eastAsia="en-US"/>
        </w:rPr>
        <w:t xml:space="preserve">SoC </w:t>
      </w:r>
      <w:r w:rsidR="00421F52" w:rsidRPr="00D32B51">
        <w:rPr>
          <w:rFonts w:ascii="Franklin Gothic Book" w:eastAsia="Calibri" w:hAnsi="Franklin Gothic Book"/>
          <w:sz w:val="22"/>
          <w:lang w:eastAsia="en-US"/>
        </w:rPr>
        <w:t xml:space="preserve">patients earlier (earlier ascertainment of progression) (PET-CT had a -7 +14-day window for first assessment) so that they could move their patients to the new </w:t>
      </w:r>
      <w:r w:rsidR="00083756">
        <w:rPr>
          <w:rFonts w:ascii="Franklin Gothic Book" w:eastAsia="Calibri" w:hAnsi="Franklin Gothic Book"/>
          <w:sz w:val="22"/>
          <w:lang w:eastAsia="en-US"/>
        </w:rPr>
        <w:t xml:space="preserve">(“better”) </w:t>
      </w:r>
      <w:r w:rsidR="00421F52" w:rsidRPr="00D32B51">
        <w:rPr>
          <w:rFonts w:ascii="Franklin Gothic Book" w:eastAsia="Calibri" w:hAnsi="Franklin Gothic Book"/>
          <w:sz w:val="22"/>
          <w:lang w:eastAsia="en-US"/>
        </w:rPr>
        <w:t xml:space="preserve">treatment faster.  </w:t>
      </w:r>
      <w:r w:rsidR="00D32B51" w:rsidRPr="00D32B51">
        <w:rPr>
          <w:rFonts w:ascii="Franklin Gothic Book" w:eastAsia="Calibri" w:hAnsi="Franklin Gothic Book"/>
          <w:sz w:val="22"/>
          <w:lang w:eastAsia="en-US"/>
        </w:rPr>
        <w:t xml:space="preserve">It is unclear how this would affect the results of the </w:t>
      </w:r>
      <w:r w:rsidR="00682464" w:rsidRPr="00D32B51">
        <w:rPr>
          <w:rFonts w:ascii="Franklin Gothic Book" w:eastAsia="Calibri" w:hAnsi="Franklin Gothic Book"/>
          <w:sz w:val="22"/>
          <w:lang w:eastAsia="en-US"/>
        </w:rPr>
        <w:t>trial but</w:t>
      </w:r>
      <w:r w:rsidR="00D32B51" w:rsidRPr="00D32B51">
        <w:rPr>
          <w:rFonts w:ascii="Franklin Gothic Book" w:eastAsia="Calibri" w:hAnsi="Franklin Gothic Book"/>
          <w:sz w:val="22"/>
          <w:lang w:eastAsia="en-US"/>
        </w:rPr>
        <w:t xml:space="preserve"> could overestimate the PFS</w:t>
      </w:r>
      <w:r w:rsidR="00083756">
        <w:rPr>
          <w:rFonts w:ascii="Franklin Gothic Book" w:eastAsia="Calibri" w:hAnsi="Franklin Gothic Book"/>
          <w:sz w:val="22"/>
          <w:lang w:eastAsia="en-US"/>
        </w:rPr>
        <w:t>/EFS</w:t>
      </w:r>
      <w:r w:rsidR="00D32B51" w:rsidRPr="00D32B51">
        <w:rPr>
          <w:rFonts w:ascii="Franklin Gothic Book" w:eastAsia="Calibri" w:hAnsi="Franklin Gothic Book"/>
          <w:sz w:val="22"/>
          <w:lang w:eastAsia="en-US"/>
        </w:rPr>
        <w:t xml:space="preserve"> benefit (i.e., those who progressed on day 50–60 may not be picked up until day 100, adding an extra 40-day survival). </w:t>
      </w:r>
      <w:r w:rsidR="00304309">
        <w:rPr>
          <w:rFonts w:ascii="Franklin Gothic Book" w:eastAsia="Calibri" w:hAnsi="Franklin Gothic Book"/>
          <w:sz w:val="22"/>
          <w:lang w:eastAsia="en-US"/>
        </w:rPr>
        <w:t xml:space="preserve">In addition to that </w:t>
      </w:r>
      <w:r w:rsidR="00E4022F">
        <w:rPr>
          <w:rFonts w:ascii="Franklin Gothic Book" w:eastAsia="Calibri" w:hAnsi="Franklin Gothic Book"/>
          <w:sz w:val="22"/>
          <w:lang w:eastAsia="en-US"/>
        </w:rPr>
        <w:t>it</w:t>
      </w:r>
      <w:r w:rsidR="00304309" w:rsidRPr="00304309">
        <w:rPr>
          <w:rFonts w:ascii="Franklin Gothic Book" w:eastAsia="Calibri" w:hAnsi="Franklin Gothic Book"/>
          <w:sz w:val="22"/>
          <w:lang w:eastAsia="en-US"/>
        </w:rPr>
        <w:t xml:space="preserve"> was unclear as to the reasons why patients were transferred to a “new lymphoma therapy”</w:t>
      </w:r>
      <w:r w:rsidR="009E3095">
        <w:rPr>
          <w:rFonts w:ascii="Franklin Gothic Book" w:eastAsia="Calibri" w:hAnsi="Franklin Gothic Book"/>
          <w:sz w:val="22"/>
          <w:lang w:eastAsia="en-US"/>
        </w:rPr>
        <w:t xml:space="preserve"> (considered an event)</w:t>
      </w:r>
      <w:r w:rsidR="00304309" w:rsidRPr="00304309">
        <w:rPr>
          <w:rFonts w:ascii="Franklin Gothic Book" w:eastAsia="Calibri" w:hAnsi="Franklin Gothic Book"/>
          <w:sz w:val="22"/>
          <w:lang w:eastAsia="en-US"/>
        </w:rPr>
        <w:t xml:space="preserve"> in the absence of a disease progression event</w:t>
      </w:r>
      <w:r w:rsidR="00E4022F">
        <w:rPr>
          <w:rFonts w:ascii="Franklin Gothic Book" w:eastAsia="Calibri" w:hAnsi="Franklin Gothic Book"/>
          <w:sz w:val="22"/>
          <w:lang w:eastAsia="en-US"/>
        </w:rPr>
        <w:t>, this could also be influenced by</w:t>
      </w:r>
      <w:r w:rsidR="00DE524A">
        <w:rPr>
          <w:rFonts w:ascii="Franklin Gothic Book" w:eastAsia="Calibri" w:hAnsi="Franklin Gothic Book"/>
          <w:sz w:val="22"/>
          <w:lang w:eastAsia="en-US"/>
        </w:rPr>
        <w:t xml:space="preserve"> clinicians being unblinded</w:t>
      </w:r>
      <w:r w:rsidR="00304309" w:rsidRPr="00304309">
        <w:rPr>
          <w:rFonts w:ascii="Franklin Gothic Book" w:eastAsia="Calibri" w:hAnsi="Franklin Gothic Book"/>
          <w:sz w:val="22"/>
          <w:lang w:eastAsia="en-US"/>
        </w:rPr>
        <w:t>. Th</w:t>
      </w:r>
      <w:r w:rsidR="009E3095">
        <w:rPr>
          <w:rFonts w:ascii="Franklin Gothic Book" w:eastAsia="Calibri" w:hAnsi="Franklin Gothic Book"/>
          <w:sz w:val="22"/>
          <w:lang w:eastAsia="en-US"/>
        </w:rPr>
        <w:t>ere were more incidents of this in the SoC arm and hence th</w:t>
      </w:r>
      <w:r w:rsidR="00304309" w:rsidRPr="00304309">
        <w:rPr>
          <w:rFonts w:ascii="Franklin Gothic Book" w:eastAsia="Calibri" w:hAnsi="Franklin Gothic Book"/>
          <w:sz w:val="22"/>
          <w:lang w:eastAsia="en-US"/>
        </w:rPr>
        <w:t>is favoured the AXI arm.</w:t>
      </w:r>
    </w:p>
    <w:p w14:paraId="3F6AD875" w14:textId="5B9A4CBF" w:rsidR="00586AAF" w:rsidRPr="00246C59" w:rsidRDefault="00FB7BE8" w:rsidP="00246C59">
      <w:pPr>
        <w:rPr>
          <w:lang w:eastAsia="en-US"/>
        </w:rPr>
      </w:pPr>
      <w:r w:rsidRPr="00FB7BE8">
        <w:rPr>
          <w:rFonts w:ascii="Franklin Gothic Book" w:eastAsia="Calibri" w:hAnsi="Franklin Gothic Book"/>
          <w:sz w:val="22"/>
          <w:lang w:eastAsia="en-US"/>
        </w:rPr>
        <w:t>Therefore</w:t>
      </w:r>
      <w:r w:rsidR="00A83A0D">
        <w:rPr>
          <w:rFonts w:ascii="Franklin Gothic Book" w:eastAsia="Calibri" w:hAnsi="Franklin Gothic Book"/>
          <w:sz w:val="22"/>
          <w:lang w:eastAsia="en-US"/>
        </w:rPr>
        <w:t>,</w:t>
      </w:r>
      <w:r w:rsidRPr="00FB7BE8">
        <w:rPr>
          <w:rFonts w:ascii="Franklin Gothic Book" w:eastAsia="Calibri" w:hAnsi="Franklin Gothic Book"/>
          <w:sz w:val="22"/>
          <w:lang w:eastAsia="en-US"/>
        </w:rPr>
        <w:t xml:space="preserve"> </w:t>
      </w:r>
      <w:r w:rsidR="00B71492" w:rsidRPr="00FB7BE8">
        <w:rPr>
          <w:rFonts w:ascii="Franklin Gothic Book" w:eastAsia="Calibri" w:hAnsi="Franklin Gothic Book"/>
          <w:sz w:val="22"/>
          <w:lang w:eastAsia="en-US"/>
        </w:rPr>
        <w:t>the overall</w:t>
      </w:r>
      <w:r w:rsidRPr="00FB7BE8">
        <w:rPr>
          <w:rFonts w:ascii="Franklin Gothic Book" w:eastAsia="Calibri" w:hAnsi="Franklin Gothic Book"/>
          <w:sz w:val="22"/>
          <w:lang w:eastAsia="en-US"/>
        </w:rPr>
        <w:t xml:space="preserve"> risk of bias was determined to have</w:t>
      </w:r>
      <w:r w:rsidR="00B71492">
        <w:rPr>
          <w:rFonts w:ascii="Franklin Gothic Book" w:eastAsia="Calibri" w:hAnsi="Franklin Gothic Book"/>
          <w:sz w:val="22"/>
          <w:lang w:eastAsia="en-US"/>
        </w:rPr>
        <w:t xml:space="preserve"> </w:t>
      </w:r>
      <w:r w:rsidR="00A83A0D">
        <w:rPr>
          <w:rFonts w:ascii="Franklin Gothic Book" w:eastAsia="Calibri" w:hAnsi="Franklin Gothic Book"/>
          <w:sz w:val="22"/>
          <w:lang w:eastAsia="en-US"/>
        </w:rPr>
        <w:t>“</w:t>
      </w:r>
      <w:r w:rsidRPr="00FB7BE8">
        <w:rPr>
          <w:rFonts w:ascii="Franklin Gothic Book" w:eastAsia="Calibri" w:hAnsi="Franklin Gothic Book"/>
          <w:sz w:val="22"/>
          <w:lang w:eastAsia="en-US"/>
        </w:rPr>
        <w:t>some concerns”.</w:t>
      </w:r>
    </w:p>
    <w:p w14:paraId="3B9FC2AD" w14:textId="32EC40BC" w:rsidR="00772829" w:rsidRDefault="00C233D6" w:rsidP="002A18BE">
      <w:pPr>
        <w:pStyle w:val="Heading2"/>
        <w:numPr>
          <w:ilvl w:val="0"/>
          <w:numId w:val="0"/>
        </w:numPr>
      </w:pPr>
      <w:bookmarkStart w:id="18" w:name="_Toc69491423"/>
      <w:bookmarkEnd w:id="17"/>
      <w:r>
        <w:t>11</w:t>
      </w:r>
      <w:r w:rsidR="00C36633">
        <w:t>.</w:t>
      </w:r>
      <w:r w:rsidR="00586AAF">
        <w:t xml:space="preserve"> </w:t>
      </w:r>
      <w:r w:rsidR="00772829" w:rsidRPr="00CE28E3">
        <w:t>Comparative safety</w:t>
      </w:r>
      <w:bookmarkEnd w:id="18"/>
    </w:p>
    <w:p w14:paraId="78690635" w14:textId="724835F7" w:rsidR="009028D5" w:rsidRDefault="009028D5" w:rsidP="00B94F5D">
      <w:pPr>
        <w:pStyle w:val="a-TEXT"/>
      </w:pPr>
      <w:r>
        <w:t xml:space="preserve">The adverse event </w:t>
      </w:r>
      <w:r w:rsidR="00ED5FE4">
        <w:t xml:space="preserve">(AE) </w:t>
      </w:r>
      <w:r>
        <w:t xml:space="preserve">profile of </w:t>
      </w:r>
      <w:r w:rsidR="00226D5B">
        <w:t>AXI</w:t>
      </w:r>
      <w:r>
        <w:t xml:space="preserve"> in the ZUMA-7 trials was consistent with the profile observed in other studies of </w:t>
      </w:r>
      <w:r w:rsidR="00DD1DC8">
        <w:t>CAR T-Cell</w:t>
      </w:r>
      <w:r>
        <w:t xml:space="preserve"> therapy in patients with relapsed or refractory LBCL. The frequency of </w:t>
      </w:r>
      <w:r w:rsidR="00ED5FE4">
        <w:t>AEs</w:t>
      </w:r>
      <w:r>
        <w:t xml:space="preserve">, including those of grade 3 or higher and of serious </w:t>
      </w:r>
      <w:r w:rsidR="00ED5FE4">
        <w:t>AEs</w:t>
      </w:r>
      <w:r>
        <w:t xml:space="preserve">, was high in both the </w:t>
      </w:r>
      <w:r w:rsidR="00226D5B">
        <w:t>AXI</w:t>
      </w:r>
      <w:r>
        <w:t xml:space="preserve"> and SoC arms of the trial</w:t>
      </w:r>
      <w:r w:rsidR="00445DD1">
        <w:t xml:space="preserve"> (all patients experienced at least one </w:t>
      </w:r>
      <w:r w:rsidR="00451BBC">
        <w:t>treatment-emergent AE)</w:t>
      </w:r>
      <w:r w:rsidR="009868E2">
        <w:t xml:space="preserve">; however, it was higher in the </w:t>
      </w:r>
      <w:r w:rsidR="00181057">
        <w:t>AXI</w:t>
      </w:r>
      <w:r w:rsidR="006F7BA1">
        <w:t xml:space="preserve"> arm</w:t>
      </w:r>
      <w:r>
        <w:t>.</w:t>
      </w:r>
      <w:r w:rsidR="00451BBC">
        <w:t xml:space="preserve"> </w:t>
      </w:r>
      <w:r w:rsidR="006F7BA1">
        <w:t>Also</w:t>
      </w:r>
      <w:r>
        <w:t xml:space="preserve">, the </w:t>
      </w:r>
      <w:r w:rsidR="00ED5FE4">
        <w:t xml:space="preserve">AE </w:t>
      </w:r>
      <w:r>
        <w:t xml:space="preserve">profile differed between the two groups, with the incidence of </w:t>
      </w:r>
      <w:r w:rsidRPr="005E30AF">
        <w:t>cytokine release syndrome and neurologic events</w:t>
      </w:r>
      <w:r>
        <w:t xml:space="preserve"> being higher in the </w:t>
      </w:r>
      <w:r w:rsidR="00226D5B">
        <w:t>AXI</w:t>
      </w:r>
      <w:r>
        <w:t xml:space="preserve"> group</w:t>
      </w:r>
      <w:r w:rsidR="00ED5FE4">
        <w:t>,</w:t>
      </w:r>
      <w:r>
        <w:t xml:space="preserve"> and the incidence of febrile neutropenia being higher in the SoC group.</w:t>
      </w:r>
      <w:r w:rsidR="00451BBC">
        <w:t xml:space="preserve"> A summary of the treatment-emergent AEs</w:t>
      </w:r>
      <w:r w:rsidR="005E30AF">
        <w:t xml:space="preserve"> from the ZUMA-7 trial are presented in</w:t>
      </w:r>
      <w:r w:rsidR="00437A37">
        <w:t xml:space="preserve"> </w:t>
      </w:r>
      <w:r w:rsidR="008E5DEE">
        <w:t>Table 4</w:t>
      </w:r>
      <w:r w:rsidR="005E30AF">
        <w:t>.</w:t>
      </w:r>
    </w:p>
    <w:p w14:paraId="264698B3" w14:textId="1E278377" w:rsidR="003C6884" w:rsidRDefault="003C6884" w:rsidP="003C6884">
      <w:pPr>
        <w:pStyle w:val="a-TEXT"/>
      </w:pPr>
      <w:r>
        <w:t xml:space="preserve">Fatal adverse events considered by investigators to be related to the </w:t>
      </w:r>
      <w:r w:rsidR="00275023">
        <w:t>treatment</w:t>
      </w:r>
      <w:r>
        <w:t xml:space="preserve"> occurred in 1 patient (</w:t>
      </w:r>
      <w:r w:rsidRPr="00D74729">
        <w:t>hepatitis B virus reactivation</w:t>
      </w:r>
      <w:r>
        <w:t>)</w:t>
      </w:r>
      <w:r w:rsidRPr="00D74729">
        <w:t xml:space="preserve"> </w:t>
      </w:r>
      <w:r>
        <w:t xml:space="preserve">in the AXI cohort, and two patients in the </w:t>
      </w:r>
      <w:r w:rsidRPr="00D74729">
        <w:t>SoC cohort (cardiac arrest and acute respiratory distress syndrome</w:t>
      </w:r>
      <w:r>
        <w:t>)</w:t>
      </w:r>
      <w:r w:rsidRPr="00D74729">
        <w:t>.</w:t>
      </w:r>
    </w:p>
    <w:p w14:paraId="14DCE268" w14:textId="2D0ABE2E" w:rsidR="003C6884" w:rsidRPr="00783A27" w:rsidRDefault="003C6884" w:rsidP="003C6884">
      <w:pPr>
        <w:pStyle w:val="a-TEXT"/>
      </w:pPr>
      <w:r w:rsidRPr="00783A27">
        <w:t>The evidence does not support the clinical claim that the use of AXI in patients with LBCL refractory to or relapsed no more than 12 months after completion of 1L treatment with chemoimmunotherapy results in noninferior safety compared with SoC (involving salvage chemotherapy and, in responders, HDT + auto-SCT).</w:t>
      </w:r>
    </w:p>
    <w:p w14:paraId="5FA8D5D0" w14:textId="693AC04E" w:rsidR="00FF0496" w:rsidRPr="00FF0496" w:rsidRDefault="00FF0496" w:rsidP="00770AEB">
      <w:pPr>
        <w:pStyle w:val="a-COMMENT"/>
      </w:pPr>
      <w:r w:rsidRPr="00ED5FE4">
        <w:t xml:space="preserve">The applicant stated that as clinicians gain experience in the use of </w:t>
      </w:r>
      <w:r w:rsidR="00226D5B">
        <w:t>AXI</w:t>
      </w:r>
      <w:r w:rsidRPr="00ED5FE4">
        <w:t xml:space="preserve">, rates of adverse events observed in practice have been falling and are anticipated to fall further. However, further detail of the role of clinician experience in prevention of rates of AEs has not been explored in the ADAR. As well, the role of training and workforce in supporting the reduction of AEs for </w:t>
      </w:r>
      <w:r w:rsidR="00226D5B">
        <w:t>AXI</w:t>
      </w:r>
      <w:r w:rsidRPr="00ED5FE4">
        <w:t xml:space="preserve"> needs to be considered.</w:t>
      </w:r>
    </w:p>
    <w:p w14:paraId="3E845FB5" w14:textId="6368E5CE" w:rsidR="00443C4A" w:rsidRPr="00683B19" w:rsidRDefault="00443C4A" w:rsidP="007D2C20">
      <w:pPr>
        <w:pStyle w:val="aTableHeading"/>
      </w:pPr>
      <w:bookmarkStart w:id="19" w:name="_Ref120621384"/>
      <w:r w:rsidRPr="004F7037">
        <w:lastRenderedPageBreak/>
        <w:t>Table </w:t>
      </w:r>
      <w:bookmarkEnd w:id="19"/>
      <w:r w:rsidR="008E5DEE">
        <w:t>4</w:t>
      </w:r>
      <w:r w:rsidR="00D67853" w:rsidRPr="004F7037">
        <w:t xml:space="preserve"> </w:t>
      </w:r>
      <w:r w:rsidR="00D67853" w:rsidRPr="004F7037">
        <w:tab/>
      </w:r>
      <w:r w:rsidRPr="00246C59">
        <w:t>Most common treatment-emergent adverse events, cytokine release syndrome, and neurologic events observed in ZUMA-7</w:t>
      </w:r>
      <w:r w:rsidRPr="004F7037">
        <w:t>.</w:t>
      </w: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788"/>
        <w:gridCol w:w="1149"/>
        <w:gridCol w:w="1110"/>
        <w:gridCol w:w="1087"/>
        <w:gridCol w:w="1099"/>
        <w:gridCol w:w="1783"/>
      </w:tblGrid>
      <w:tr w:rsidR="00C627FF" w:rsidRPr="00AA4182" w14:paraId="73F87609" w14:textId="77777777" w:rsidTr="00863A9C">
        <w:trPr>
          <w:tblHeader/>
        </w:trPr>
        <w:tc>
          <w:tcPr>
            <w:tcW w:w="2788" w:type="dxa"/>
            <w:shd w:val="clear" w:color="auto" w:fill="auto"/>
          </w:tcPr>
          <w:p w14:paraId="62842162" w14:textId="77777777" w:rsidR="00C627FF" w:rsidRPr="0045722C" w:rsidRDefault="00C627FF" w:rsidP="00863A9C">
            <w:pPr>
              <w:pStyle w:val="Tabletext0"/>
              <w:keepNext/>
              <w:spacing w:before="0" w:after="0"/>
            </w:pPr>
          </w:p>
        </w:tc>
        <w:tc>
          <w:tcPr>
            <w:tcW w:w="2259" w:type="dxa"/>
            <w:gridSpan w:val="2"/>
            <w:shd w:val="clear" w:color="auto" w:fill="auto"/>
            <w:vAlign w:val="center"/>
          </w:tcPr>
          <w:p w14:paraId="0201A23E" w14:textId="0DF05D8C" w:rsidR="00C627FF" w:rsidRPr="00246C59" w:rsidRDefault="00226D5B" w:rsidP="00863A9C">
            <w:pPr>
              <w:pStyle w:val="Tabletext0"/>
              <w:keepNext/>
              <w:spacing w:before="0" w:after="0"/>
              <w:jc w:val="center"/>
              <w:rPr>
                <w:b/>
              </w:rPr>
            </w:pPr>
            <w:r w:rsidRPr="00246C59">
              <w:rPr>
                <w:b/>
              </w:rPr>
              <w:t>AXI</w:t>
            </w:r>
            <w:r w:rsidR="00C627FF" w:rsidRPr="00246C59">
              <w:rPr>
                <w:b/>
              </w:rPr>
              <w:t xml:space="preserve"> (n=170)</w:t>
            </w:r>
          </w:p>
        </w:tc>
        <w:tc>
          <w:tcPr>
            <w:tcW w:w="2186" w:type="dxa"/>
            <w:gridSpan w:val="2"/>
            <w:shd w:val="clear" w:color="auto" w:fill="auto"/>
            <w:vAlign w:val="center"/>
          </w:tcPr>
          <w:p w14:paraId="13B9DEBF" w14:textId="77777777" w:rsidR="00C627FF" w:rsidRPr="00246C59" w:rsidRDefault="00C627FF" w:rsidP="00863A9C">
            <w:pPr>
              <w:pStyle w:val="Tabletext0"/>
              <w:keepNext/>
              <w:spacing w:before="0" w:after="0"/>
              <w:jc w:val="center"/>
              <w:rPr>
                <w:b/>
              </w:rPr>
            </w:pPr>
            <w:r w:rsidRPr="00246C59">
              <w:rPr>
                <w:b/>
              </w:rPr>
              <w:t>SoC (n=168)</w:t>
            </w:r>
          </w:p>
        </w:tc>
        <w:tc>
          <w:tcPr>
            <w:tcW w:w="1783" w:type="dxa"/>
            <w:shd w:val="clear" w:color="auto" w:fill="auto"/>
            <w:vAlign w:val="center"/>
          </w:tcPr>
          <w:p w14:paraId="1E4E2457" w14:textId="77777777" w:rsidR="00C324E5" w:rsidRDefault="00C627FF" w:rsidP="00863A9C">
            <w:pPr>
              <w:pStyle w:val="Tabletext0"/>
              <w:keepNext/>
              <w:spacing w:before="0" w:after="0"/>
              <w:jc w:val="center"/>
              <w:rPr>
                <w:b/>
                <w:bCs/>
                <w:i/>
                <w:iCs/>
                <w:color w:val="000000" w:themeColor="text1"/>
              </w:rPr>
            </w:pPr>
            <w:r w:rsidRPr="00246C59">
              <w:rPr>
                <w:b/>
                <w:i/>
                <w:color w:val="000000" w:themeColor="text1"/>
              </w:rPr>
              <w:t xml:space="preserve">Difference in </w:t>
            </w:r>
          </w:p>
          <w:p w14:paraId="5CA2FE09" w14:textId="3D2A6414" w:rsidR="00C627FF" w:rsidRPr="00246C59" w:rsidRDefault="00C627FF" w:rsidP="00863A9C">
            <w:pPr>
              <w:pStyle w:val="Tabletext0"/>
              <w:keepNext/>
              <w:spacing w:before="0" w:after="0"/>
              <w:jc w:val="center"/>
              <w:rPr>
                <w:b/>
                <w:i/>
                <w:color w:val="000000" w:themeColor="text1"/>
              </w:rPr>
            </w:pPr>
            <w:r w:rsidRPr="00246C59">
              <w:rPr>
                <w:b/>
                <w:i/>
                <w:color w:val="000000" w:themeColor="text1"/>
              </w:rPr>
              <w:t xml:space="preserve">Grade ≥3  </w:t>
            </w:r>
          </w:p>
        </w:tc>
      </w:tr>
      <w:tr w:rsidR="00C627FF" w:rsidRPr="00AA4182" w14:paraId="579B1181" w14:textId="77777777" w:rsidTr="00863A9C">
        <w:tc>
          <w:tcPr>
            <w:tcW w:w="2788" w:type="dxa"/>
            <w:shd w:val="clear" w:color="auto" w:fill="F2F2F2" w:themeFill="background1" w:themeFillShade="F2"/>
          </w:tcPr>
          <w:p w14:paraId="1DD51E26" w14:textId="77777777" w:rsidR="00C627FF" w:rsidRPr="00AA4182" w:rsidRDefault="00C627FF" w:rsidP="00863A9C">
            <w:pPr>
              <w:pStyle w:val="Tabletext0"/>
              <w:keepNext/>
              <w:spacing w:before="0" w:after="0"/>
              <w:rPr>
                <w:b/>
              </w:rPr>
            </w:pPr>
          </w:p>
        </w:tc>
        <w:tc>
          <w:tcPr>
            <w:tcW w:w="1149" w:type="dxa"/>
            <w:shd w:val="clear" w:color="auto" w:fill="F2F2F2" w:themeFill="background1" w:themeFillShade="F2"/>
          </w:tcPr>
          <w:p w14:paraId="13F25A6B" w14:textId="77777777" w:rsidR="00C627FF" w:rsidRPr="00AA4182" w:rsidRDefault="00C627FF" w:rsidP="00863A9C">
            <w:pPr>
              <w:pStyle w:val="Tabletext0"/>
              <w:keepNext/>
              <w:spacing w:before="0" w:after="0"/>
              <w:rPr>
                <w:b/>
              </w:rPr>
            </w:pPr>
            <w:r>
              <w:rPr>
                <w:b/>
              </w:rPr>
              <w:t>Any grade</w:t>
            </w:r>
          </w:p>
        </w:tc>
        <w:tc>
          <w:tcPr>
            <w:tcW w:w="1110" w:type="dxa"/>
            <w:shd w:val="clear" w:color="auto" w:fill="F2F2F2" w:themeFill="background1" w:themeFillShade="F2"/>
          </w:tcPr>
          <w:p w14:paraId="538380B4" w14:textId="77777777" w:rsidR="00C627FF" w:rsidRPr="00AA4182" w:rsidRDefault="00C627FF" w:rsidP="00863A9C">
            <w:pPr>
              <w:pStyle w:val="Tabletext0"/>
              <w:keepNext/>
              <w:spacing w:before="0" w:after="0"/>
              <w:rPr>
                <w:b/>
              </w:rPr>
            </w:pPr>
            <w:r>
              <w:rPr>
                <w:b/>
              </w:rPr>
              <w:t>Grade ≥3</w:t>
            </w:r>
          </w:p>
        </w:tc>
        <w:tc>
          <w:tcPr>
            <w:tcW w:w="1087" w:type="dxa"/>
            <w:shd w:val="clear" w:color="auto" w:fill="F2F2F2" w:themeFill="background1" w:themeFillShade="F2"/>
          </w:tcPr>
          <w:p w14:paraId="76ED5E51" w14:textId="77777777" w:rsidR="00C627FF" w:rsidRPr="00AA4182" w:rsidRDefault="00C627FF" w:rsidP="00863A9C">
            <w:pPr>
              <w:pStyle w:val="Tabletext0"/>
              <w:keepNext/>
              <w:spacing w:before="0" w:after="0"/>
              <w:rPr>
                <w:b/>
              </w:rPr>
            </w:pPr>
            <w:r>
              <w:rPr>
                <w:b/>
              </w:rPr>
              <w:t>Any grade</w:t>
            </w:r>
          </w:p>
        </w:tc>
        <w:tc>
          <w:tcPr>
            <w:tcW w:w="1099" w:type="dxa"/>
            <w:shd w:val="clear" w:color="auto" w:fill="F2F2F2" w:themeFill="background1" w:themeFillShade="F2"/>
          </w:tcPr>
          <w:p w14:paraId="0B483CF8" w14:textId="77777777" w:rsidR="00C627FF" w:rsidRPr="00AA4182" w:rsidRDefault="00C627FF" w:rsidP="00863A9C">
            <w:pPr>
              <w:pStyle w:val="Tabletext0"/>
              <w:keepNext/>
              <w:spacing w:before="0" w:after="0"/>
              <w:rPr>
                <w:b/>
              </w:rPr>
            </w:pPr>
            <w:r>
              <w:rPr>
                <w:b/>
              </w:rPr>
              <w:t>Grade ≥3</w:t>
            </w:r>
          </w:p>
        </w:tc>
        <w:tc>
          <w:tcPr>
            <w:tcW w:w="1783" w:type="dxa"/>
            <w:shd w:val="clear" w:color="auto" w:fill="F2F2F2" w:themeFill="background1" w:themeFillShade="F2"/>
          </w:tcPr>
          <w:p w14:paraId="6D57AD2A" w14:textId="77777777" w:rsidR="00C627FF" w:rsidRPr="003C6884" w:rsidRDefault="00C627FF" w:rsidP="00863A9C">
            <w:pPr>
              <w:pStyle w:val="Tabletext0"/>
              <w:keepNext/>
              <w:spacing w:before="0" w:after="0"/>
              <w:rPr>
                <w:b/>
                <w:i/>
                <w:iCs/>
                <w:color w:val="000000" w:themeColor="text1"/>
              </w:rPr>
            </w:pPr>
            <w:r w:rsidRPr="003C6884">
              <w:rPr>
                <w:b/>
                <w:i/>
                <w:iCs/>
                <w:color w:val="000000" w:themeColor="text1"/>
              </w:rPr>
              <w:t>RR (95% CI)</w:t>
            </w:r>
          </w:p>
        </w:tc>
      </w:tr>
      <w:tr w:rsidR="00C627FF" w:rsidRPr="00822128" w14:paraId="3C64B25F" w14:textId="77777777" w:rsidTr="00863A9C">
        <w:tc>
          <w:tcPr>
            <w:tcW w:w="2788" w:type="dxa"/>
          </w:tcPr>
          <w:p w14:paraId="72FB5568" w14:textId="77777777" w:rsidR="00C627FF" w:rsidRPr="0045722C" w:rsidRDefault="00C627FF" w:rsidP="00863A9C">
            <w:pPr>
              <w:pStyle w:val="Tabletext0"/>
              <w:keepNext/>
              <w:spacing w:before="0" w:after="0"/>
            </w:pPr>
            <w:r w:rsidRPr="00822128">
              <w:t>Any adverse event — no. (%)</w:t>
            </w:r>
          </w:p>
        </w:tc>
        <w:tc>
          <w:tcPr>
            <w:tcW w:w="1149" w:type="dxa"/>
          </w:tcPr>
          <w:p w14:paraId="2F0864ED" w14:textId="77777777" w:rsidR="00C627FF" w:rsidRPr="0045722C" w:rsidRDefault="00C627FF" w:rsidP="00863A9C">
            <w:pPr>
              <w:pStyle w:val="Tabletext0"/>
              <w:keepNext/>
              <w:spacing w:before="0" w:after="0"/>
            </w:pPr>
            <w:r w:rsidRPr="00822128">
              <w:t>170 (100)</w:t>
            </w:r>
          </w:p>
        </w:tc>
        <w:tc>
          <w:tcPr>
            <w:tcW w:w="1110" w:type="dxa"/>
          </w:tcPr>
          <w:p w14:paraId="7014B289" w14:textId="77777777" w:rsidR="00C627FF" w:rsidRPr="0045722C" w:rsidRDefault="00C627FF" w:rsidP="00863A9C">
            <w:pPr>
              <w:pStyle w:val="Tabletext0"/>
              <w:keepNext/>
              <w:spacing w:before="0" w:after="0"/>
            </w:pPr>
            <w:r w:rsidRPr="00822128">
              <w:t>155 (91)</w:t>
            </w:r>
          </w:p>
        </w:tc>
        <w:tc>
          <w:tcPr>
            <w:tcW w:w="1087" w:type="dxa"/>
          </w:tcPr>
          <w:p w14:paraId="651214D3" w14:textId="77777777" w:rsidR="00C627FF" w:rsidRPr="0045722C" w:rsidRDefault="00C627FF" w:rsidP="00863A9C">
            <w:pPr>
              <w:pStyle w:val="Tabletext0"/>
              <w:keepNext/>
              <w:spacing w:before="0" w:after="0"/>
            </w:pPr>
            <w:r w:rsidRPr="00822128">
              <w:t>168 (100)</w:t>
            </w:r>
          </w:p>
        </w:tc>
        <w:tc>
          <w:tcPr>
            <w:tcW w:w="1099" w:type="dxa"/>
          </w:tcPr>
          <w:p w14:paraId="01B5C197" w14:textId="77777777" w:rsidR="00C627FF" w:rsidRPr="0045722C" w:rsidRDefault="00C627FF" w:rsidP="00863A9C">
            <w:pPr>
              <w:pStyle w:val="Tabletext0"/>
              <w:keepNext/>
              <w:spacing w:before="0" w:after="0"/>
            </w:pPr>
            <w:r w:rsidRPr="00822128">
              <w:t>140 (83)</w:t>
            </w:r>
          </w:p>
        </w:tc>
        <w:tc>
          <w:tcPr>
            <w:tcW w:w="1783" w:type="dxa"/>
          </w:tcPr>
          <w:p w14:paraId="34D076A7" w14:textId="77777777" w:rsidR="00C627FF" w:rsidRPr="003C6884" w:rsidRDefault="00C627FF" w:rsidP="00863A9C">
            <w:pPr>
              <w:pStyle w:val="Tabletext0"/>
              <w:keepNext/>
              <w:spacing w:before="0" w:after="0"/>
              <w:rPr>
                <w:b/>
                <w:i/>
                <w:iCs/>
                <w:color w:val="000000" w:themeColor="text1"/>
              </w:rPr>
            </w:pPr>
            <w:r w:rsidRPr="003C6884">
              <w:rPr>
                <w:b/>
                <w:i/>
                <w:iCs/>
                <w:color w:val="000000" w:themeColor="text1"/>
              </w:rPr>
              <w:t>1.</w:t>
            </w:r>
            <w:r w:rsidRPr="003C6884">
              <w:rPr>
                <w:b/>
                <w:bCs/>
                <w:i/>
                <w:iCs/>
                <w:color w:val="000000" w:themeColor="text1"/>
              </w:rPr>
              <w:t>09</w:t>
            </w:r>
            <w:r w:rsidRPr="003C6884">
              <w:rPr>
                <w:b/>
                <w:i/>
                <w:iCs/>
                <w:color w:val="000000" w:themeColor="text1"/>
              </w:rPr>
              <w:t xml:space="preserve"> (1.</w:t>
            </w:r>
            <w:r w:rsidRPr="003C6884">
              <w:rPr>
                <w:b/>
                <w:bCs/>
                <w:i/>
                <w:iCs/>
                <w:color w:val="000000" w:themeColor="text1"/>
              </w:rPr>
              <w:t>01, 1.19</w:t>
            </w:r>
            <w:r w:rsidRPr="003C6884">
              <w:rPr>
                <w:b/>
                <w:i/>
                <w:iCs/>
                <w:color w:val="000000" w:themeColor="text1"/>
              </w:rPr>
              <w:t>)</w:t>
            </w:r>
          </w:p>
        </w:tc>
      </w:tr>
      <w:tr w:rsidR="00C627FF" w:rsidRPr="00822128" w14:paraId="7BC65055" w14:textId="77777777" w:rsidTr="00863A9C">
        <w:tc>
          <w:tcPr>
            <w:tcW w:w="2788" w:type="dxa"/>
          </w:tcPr>
          <w:p w14:paraId="7E1BBED9" w14:textId="77777777" w:rsidR="00C627FF" w:rsidRPr="0045722C" w:rsidRDefault="00C627FF" w:rsidP="00863A9C">
            <w:pPr>
              <w:pStyle w:val="Tabletext0"/>
              <w:keepNext/>
              <w:spacing w:before="0" w:after="0"/>
              <w:ind w:left="227"/>
            </w:pPr>
            <w:r w:rsidRPr="00822128">
              <w:t>Pyrexia</w:t>
            </w:r>
          </w:p>
        </w:tc>
        <w:tc>
          <w:tcPr>
            <w:tcW w:w="1149" w:type="dxa"/>
          </w:tcPr>
          <w:p w14:paraId="097590F5" w14:textId="77777777" w:rsidR="00C627FF" w:rsidRPr="0045722C" w:rsidRDefault="00C627FF" w:rsidP="00863A9C">
            <w:pPr>
              <w:pStyle w:val="Tabletext0"/>
              <w:keepNext/>
              <w:spacing w:before="0" w:after="0"/>
            </w:pPr>
            <w:r w:rsidRPr="00822128">
              <w:t>158 (93)</w:t>
            </w:r>
          </w:p>
        </w:tc>
        <w:tc>
          <w:tcPr>
            <w:tcW w:w="1110" w:type="dxa"/>
          </w:tcPr>
          <w:p w14:paraId="7E46BFDF" w14:textId="77777777" w:rsidR="00C627FF" w:rsidRPr="0045722C" w:rsidRDefault="00C627FF" w:rsidP="00863A9C">
            <w:pPr>
              <w:pStyle w:val="Tabletext0"/>
              <w:keepNext/>
              <w:spacing w:before="0" w:after="0"/>
            </w:pPr>
            <w:r w:rsidRPr="00822128">
              <w:t>15 (9)</w:t>
            </w:r>
          </w:p>
        </w:tc>
        <w:tc>
          <w:tcPr>
            <w:tcW w:w="1087" w:type="dxa"/>
          </w:tcPr>
          <w:p w14:paraId="7B3BC90A" w14:textId="77777777" w:rsidR="00C627FF" w:rsidRPr="0045722C" w:rsidRDefault="00C627FF" w:rsidP="00863A9C">
            <w:pPr>
              <w:pStyle w:val="Tabletext0"/>
              <w:keepNext/>
              <w:spacing w:before="0" w:after="0"/>
            </w:pPr>
            <w:r w:rsidRPr="00822128">
              <w:t>43 (26)</w:t>
            </w:r>
          </w:p>
        </w:tc>
        <w:tc>
          <w:tcPr>
            <w:tcW w:w="1099" w:type="dxa"/>
          </w:tcPr>
          <w:p w14:paraId="3F9C8EBA" w14:textId="77777777" w:rsidR="00C627FF" w:rsidRPr="0045722C" w:rsidRDefault="00C627FF" w:rsidP="00863A9C">
            <w:pPr>
              <w:pStyle w:val="Tabletext0"/>
              <w:keepNext/>
              <w:spacing w:before="0" w:after="0"/>
            </w:pPr>
            <w:r w:rsidRPr="00822128">
              <w:t>1 (1)</w:t>
            </w:r>
          </w:p>
        </w:tc>
        <w:tc>
          <w:tcPr>
            <w:tcW w:w="1783" w:type="dxa"/>
          </w:tcPr>
          <w:p w14:paraId="741C466A" w14:textId="77777777" w:rsidR="00C627FF" w:rsidRPr="003C6884" w:rsidRDefault="00C627FF" w:rsidP="00863A9C">
            <w:pPr>
              <w:pStyle w:val="Tabletext0"/>
              <w:keepNext/>
              <w:spacing w:before="0" w:after="0"/>
              <w:rPr>
                <w:b/>
                <w:i/>
                <w:iCs/>
                <w:color w:val="000000" w:themeColor="text1"/>
              </w:rPr>
            </w:pPr>
            <w:r w:rsidRPr="003C6884">
              <w:rPr>
                <w:b/>
                <w:i/>
                <w:iCs/>
                <w:color w:val="000000" w:themeColor="text1"/>
              </w:rPr>
              <w:t>14.82 (1.98, 110.97)</w:t>
            </w:r>
          </w:p>
        </w:tc>
      </w:tr>
      <w:tr w:rsidR="00C627FF" w:rsidRPr="00822128" w14:paraId="20795925" w14:textId="77777777" w:rsidTr="00863A9C">
        <w:tc>
          <w:tcPr>
            <w:tcW w:w="2788" w:type="dxa"/>
          </w:tcPr>
          <w:p w14:paraId="0204C897" w14:textId="77777777" w:rsidR="00C627FF" w:rsidRPr="0045722C" w:rsidRDefault="00C627FF" w:rsidP="00863A9C">
            <w:pPr>
              <w:pStyle w:val="Tabletext0"/>
              <w:keepNext/>
              <w:spacing w:before="0" w:after="0"/>
              <w:ind w:left="227"/>
            </w:pPr>
            <w:r w:rsidRPr="00822128">
              <w:t>Neutropenia†</w:t>
            </w:r>
          </w:p>
        </w:tc>
        <w:tc>
          <w:tcPr>
            <w:tcW w:w="1149" w:type="dxa"/>
          </w:tcPr>
          <w:p w14:paraId="0C8FF824" w14:textId="77777777" w:rsidR="00C627FF" w:rsidRPr="0045722C" w:rsidRDefault="00C627FF" w:rsidP="00863A9C">
            <w:pPr>
              <w:pStyle w:val="Tabletext0"/>
              <w:keepNext/>
              <w:spacing w:before="0" w:after="0"/>
            </w:pPr>
            <w:r w:rsidRPr="00822128">
              <w:t>121 (71)</w:t>
            </w:r>
          </w:p>
        </w:tc>
        <w:tc>
          <w:tcPr>
            <w:tcW w:w="1110" w:type="dxa"/>
          </w:tcPr>
          <w:p w14:paraId="0A2F21CD" w14:textId="77777777" w:rsidR="00C627FF" w:rsidRPr="0045722C" w:rsidRDefault="00C627FF" w:rsidP="00863A9C">
            <w:pPr>
              <w:pStyle w:val="Tabletext0"/>
              <w:keepNext/>
              <w:spacing w:before="0" w:after="0"/>
            </w:pPr>
            <w:r w:rsidRPr="00822128">
              <w:t>118 (69)</w:t>
            </w:r>
          </w:p>
        </w:tc>
        <w:tc>
          <w:tcPr>
            <w:tcW w:w="1087" w:type="dxa"/>
          </w:tcPr>
          <w:p w14:paraId="4D3059BA" w14:textId="77777777" w:rsidR="00C627FF" w:rsidRPr="0045722C" w:rsidRDefault="00C627FF" w:rsidP="00863A9C">
            <w:pPr>
              <w:pStyle w:val="Tabletext0"/>
              <w:keepNext/>
              <w:spacing w:before="0" w:after="0"/>
            </w:pPr>
            <w:r w:rsidRPr="00822128">
              <w:t>70 (42)</w:t>
            </w:r>
          </w:p>
        </w:tc>
        <w:tc>
          <w:tcPr>
            <w:tcW w:w="1099" w:type="dxa"/>
          </w:tcPr>
          <w:p w14:paraId="52EF2238" w14:textId="77777777" w:rsidR="00C627FF" w:rsidRPr="0045722C" w:rsidRDefault="00C627FF" w:rsidP="00863A9C">
            <w:pPr>
              <w:pStyle w:val="Tabletext0"/>
              <w:keepNext/>
              <w:spacing w:before="0" w:after="0"/>
            </w:pPr>
            <w:r w:rsidRPr="00822128">
              <w:t>69 (41)</w:t>
            </w:r>
          </w:p>
        </w:tc>
        <w:tc>
          <w:tcPr>
            <w:tcW w:w="1783" w:type="dxa"/>
          </w:tcPr>
          <w:p w14:paraId="3B0095A3" w14:textId="77777777" w:rsidR="00C627FF" w:rsidRPr="003C6884" w:rsidRDefault="00C627FF" w:rsidP="00863A9C">
            <w:pPr>
              <w:pStyle w:val="Tabletext0"/>
              <w:keepNext/>
              <w:spacing w:before="0" w:after="0"/>
              <w:rPr>
                <w:b/>
                <w:i/>
                <w:iCs/>
                <w:color w:val="000000" w:themeColor="text1"/>
              </w:rPr>
            </w:pPr>
            <w:r w:rsidRPr="003C6884">
              <w:rPr>
                <w:b/>
                <w:i/>
                <w:iCs/>
                <w:color w:val="000000" w:themeColor="text1"/>
              </w:rPr>
              <w:t>1.69 (1.37, 2.08)</w:t>
            </w:r>
          </w:p>
        </w:tc>
      </w:tr>
      <w:tr w:rsidR="00C627FF" w:rsidRPr="00822128" w14:paraId="66D29CDB" w14:textId="77777777" w:rsidTr="00863A9C">
        <w:tc>
          <w:tcPr>
            <w:tcW w:w="2788" w:type="dxa"/>
          </w:tcPr>
          <w:p w14:paraId="6A5DAC7E" w14:textId="77777777" w:rsidR="00C627FF" w:rsidRPr="0045722C" w:rsidRDefault="00C627FF" w:rsidP="00863A9C">
            <w:pPr>
              <w:pStyle w:val="Tabletext0"/>
              <w:keepNext/>
              <w:spacing w:before="0" w:after="0"/>
              <w:ind w:left="227"/>
            </w:pPr>
            <w:r w:rsidRPr="00822128">
              <w:t>Hypotension</w:t>
            </w:r>
          </w:p>
        </w:tc>
        <w:tc>
          <w:tcPr>
            <w:tcW w:w="1149" w:type="dxa"/>
          </w:tcPr>
          <w:p w14:paraId="26AF45A0" w14:textId="77777777" w:rsidR="00C627FF" w:rsidRPr="0045722C" w:rsidRDefault="00C627FF" w:rsidP="00863A9C">
            <w:pPr>
              <w:pStyle w:val="Tabletext0"/>
              <w:keepNext/>
              <w:spacing w:before="0" w:after="0"/>
            </w:pPr>
            <w:r w:rsidRPr="00822128">
              <w:t>75 (44)</w:t>
            </w:r>
          </w:p>
        </w:tc>
        <w:tc>
          <w:tcPr>
            <w:tcW w:w="1110" w:type="dxa"/>
          </w:tcPr>
          <w:p w14:paraId="2D0EDB86" w14:textId="77777777" w:rsidR="00C627FF" w:rsidRPr="0045722C" w:rsidRDefault="00C627FF" w:rsidP="00863A9C">
            <w:pPr>
              <w:pStyle w:val="Tabletext0"/>
              <w:keepNext/>
              <w:spacing w:before="0" w:after="0"/>
            </w:pPr>
            <w:r w:rsidRPr="00822128">
              <w:t>19 (11)</w:t>
            </w:r>
          </w:p>
        </w:tc>
        <w:tc>
          <w:tcPr>
            <w:tcW w:w="1087" w:type="dxa"/>
          </w:tcPr>
          <w:p w14:paraId="2E0879B3" w14:textId="77777777" w:rsidR="00C627FF" w:rsidRPr="0045722C" w:rsidRDefault="00C627FF" w:rsidP="00863A9C">
            <w:pPr>
              <w:pStyle w:val="Tabletext0"/>
              <w:keepNext/>
              <w:spacing w:before="0" w:after="0"/>
            </w:pPr>
            <w:r w:rsidRPr="00822128">
              <w:t>25 (15)</w:t>
            </w:r>
          </w:p>
        </w:tc>
        <w:tc>
          <w:tcPr>
            <w:tcW w:w="1099" w:type="dxa"/>
          </w:tcPr>
          <w:p w14:paraId="16318F96" w14:textId="77777777" w:rsidR="00C627FF" w:rsidRPr="0045722C" w:rsidRDefault="00C627FF" w:rsidP="00863A9C">
            <w:pPr>
              <w:pStyle w:val="Tabletext0"/>
              <w:keepNext/>
              <w:spacing w:before="0" w:after="0"/>
            </w:pPr>
            <w:r w:rsidRPr="00822128">
              <w:t>5 (3)</w:t>
            </w:r>
          </w:p>
        </w:tc>
        <w:tc>
          <w:tcPr>
            <w:tcW w:w="1783" w:type="dxa"/>
          </w:tcPr>
          <w:p w14:paraId="065E32E1" w14:textId="77777777" w:rsidR="00C627FF" w:rsidRPr="003C6884" w:rsidRDefault="00C627FF" w:rsidP="00863A9C">
            <w:pPr>
              <w:pStyle w:val="Tabletext0"/>
              <w:keepNext/>
              <w:spacing w:before="0" w:after="0"/>
              <w:rPr>
                <w:b/>
                <w:i/>
                <w:iCs/>
                <w:color w:val="000000" w:themeColor="text1"/>
              </w:rPr>
            </w:pPr>
            <w:r w:rsidRPr="003C6884">
              <w:rPr>
                <w:b/>
                <w:i/>
                <w:iCs/>
                <w:color w:val="000000" w:themeColor="text1"/>
              </w:rPr>
              <w:t>3.76 (1.44, 9.83)</w:t>
            </w:r>
          </w:p>
        </w:tc>
      </w:tr>
      <w:tr w:rsidR="00C627FF" w:rsidRPr="00822128" w14:paraId="18014A27" w14:textId="77777777" w:rsidTr="00863A9C">
        <w:tc>
          <w:tcPr>
            <w:tcW w:w="2788" w:type="dxa"/>
          </w:tcPr>
          <w:p w14:paraId="38D86376" w14:textId="77777777" w:rsidR="00C627FF" w:rsidRPr="0045722C" w:rsidRDefault="00C627FF" w:rsidP="00863A9C">
            <w:pPr>
              <w:pStyle w:val="Tabletext0"/>
              <w:keepNext/>
              <w:spacing w:before="0" w:after="0"/>
              <w:ind w:left="227"/>
            </w:pPr>
            <w:r w:rsidRPr="00822128">
              <w:t>Fatigue</w:t>
            </w:r>
          </w:p>
        </w:tc>
        <w:tc>
          <w:tcPr>
            <w:tcW w:w="1149" w:type="dxa"/>
          </w:tcPr>
          <w:p w14:paraId="606C80E7" w14:textId="77777777" w:rsidR="00C627FF" w:rsidRPr="0045722C" w:rsidRDefault="00C627FF" w:rsidP="00863A9C">
            <w:pPr>
              <w:pStyle w:val="Tabletext0"/>
              <w:keepNext/>
              <w:spacing w:before="0" w:after="0"/>
            </w:pPr>
            <w:r w:rsidRPr="00822128">
              <w:t>71 (42)</w:t>
            </w:r>
          </w:p>
        </w:tc>
        <w:tc>
          <w:tcPr>
            <w:tcW w:w="1110" w:type="dxa"/>
          </w:tcPr>
          <w:p w14:paraId="3D9A125B" w14:textId="77777777" w:rsidR="00C627FF" w:rsidRPr="0045722C" w:rsidRDefault="00C627FF" w:rsidP="00863A9C">
            <w:pPr>
              <w:pStyle w:val="Tabletext0"/>
              <w:keepNext/>
              <w:spacing w:before="0" w:after="0"/>
            </w:pPr>
            <w:r w:rsidRPr="00822128">
              <w:t>11 (6)</w:t>
            </w:r>
          </w:p>
        </w:tc>
        <w:tc>
          <w:tcPr>
            <w:tcW w:w="1087" w:type="dxa"/>
          </w:tcPr>
          <w:p w14:paraId="5ABF113D" w14:textId="77777777" w:rsidR="00C627FF" w:rsidRPr="0045722C" w:rsidRDefault="00C627FF" w:rsidP="00863A9C">
            <w:pPr>
              <w:pStyle w:val="Tabletext0"/>
              <w:keepNext/>
              <w:spacing w:before="0" w:after="0"/>
            </w:pPr>
            <w:r w:rsidRPr="00822128">
              <w:t>87 (52)</w:t>
            </w:r>
          </w:p>
        </w:tc>
        <w:tc>
          <w:tcPr>
            <w:tcW w:w="1099" w:type="dxa"/>
          </w:tcPr>
          <w:p w14:paraId="6F052561" w14:textId="77777777" w:rsidR="00C627FF" w:rsidRPr="0045722C" w:rsidRDefault="00C627FF" w:rsidP="00863A9C">
            <w:pPr>
              <w:pStyle w:val="Tabletext0"/>
              <w:keepNext/>
              <w:spacing w:before="0" w:after="0"/>
            </w:pPr>
            <w:r w:rsidRPr="00822128">
              <w:t>4 (2)</w:t>
            </w:r>
          </w:p>
        </w:tc>
        <w:tc>
          <w:tcPr>
            <w:tcW w:w="1783" w:type="dxa"/>
          </w:tcPr>
          <w:p w14:paraId="3377DA5F" w14:textId="77777777" w:rsidR="00C627FF" w:rsidRPr="003C6884" w:rsidRDefault="00C627FF" w:rsidP="00863A9C">
            <w:pPr>
              <w:pStyle w:val="Tabletext0"/>
              <w:keepNext/>
              <w:spacing w:before="0" w:after="0"/>
              <w:rPr>
                <w:i/>
                <w:iCs/>
                <w:color w:val="000000" w:themeColor="text1"/>
              </w:rPr>
            </w:pPr>
            <w:r w:rsidRPr="003C6884">
              <w:rPr>
                <w:i/>
                <w:iCs/>
                <w:color w:val="000000" w:themeColor="text1"/>
              </w:rPr>
              <w:t>2.72 (0.88, 8.37)</w:t>
            </w:r>
          </w:p>
        </w:tc>
      </w:tr>
      <w:tr w:rsidR="00C627FF" w:rsidRPr="00822128" w14:paraId="461D82D5" w14:textId="77777777" w:rsidTr="00863A9C">
        <w:tc>
          <w:tcPr>
            <w:tcW w:w="2788" w:type="dxa"/>
          </w:tcPr>
          <w:p w14:paraId="04867344" w14:textId="77777777" w:rsidR="00C627FF" w:rsidRPr="0045722C" w:rsidRDefault="00C627FF" w:rsidP="00863A9C">
            <w:pPr>
              <w:pStyle w:val="Tabletext0"/>
              <w:keepNext/>
              <w:spacing w:before="0" w:after="0"/>
              <w:ind w:left="227"/>
            </w:pPr>
            <w:proofErr w:type="spellStart"/>
            <w:r w:rsidRPr="00822128">
              <w:t>Anemia</w:t>
            </w:r>
            <w:proofErr w:type="spellEnd"/>
          </w:p>
        </w:tc>
        <w:tc>
          <w:tcPr>
            <w:tcW w:w="1149" w:type="dxa"/>
          </w:tcPr>
          <w:p w14:paraId="3500BAEA" w14:textId="77777777" w:rsidR="00C627FF" w:rsidRPr="0045722C" w:rsidRDefault="00C627FF" w:rsidP="00863A9C">
            <w:pPr>
              <w:pStyle w:val="Tabletext0"/>
              <w:keepNext/>
              <w:spacing w:before="0" w:after="0"/>
            </w:pPr>
            <w:r w:rsidRPr="00822128">
              <w:t>71 (42)</w:t>
            </w:r>
          </w:p>
        </w:tc>
        <w:tc>
          <w:tcPr>
            <w:tcW w:w="1110" w:type="dxa"/>
          </w:tcPr>
          <w:p w14:paraId="780F7A39" w14:textId="77777777" w:rsidR="00C627FF" w:rsidRPr="0045722C" w:rsidRDefault="00C627FF" w:rsidP="00863A9C">
            <w:pPr>
              <w:pStyle w:val="Tabletext0"/>
              <w:keepNext/>
              <w:spacing w:before="0" w:after="0"/>
            </w:pPr>
            <w:r w:rsidRPr="00822128">
              <w:t>51 (30)</w:t>
            </w:r>
          </w:p>
        </w:tc>
        <w:tc>
          <w:tcPr>
            <w:tcW w:w="1087" w:type="dxa"/>
          </w:tcPr>
          <w:p w14:paraId="04D0C709" w14:textId="77777777" w:rsidR="00C627FF" w:rsidRPr="0045722C" w:rsidRDefault="00C627FF" w:rsidP="00863A9C">
            <w:pPr>
              <w:pStyle w:val="Tabletext0"/>
              <w:keepNext/>
              <w:spacing w:before="0" w:after="0"/>
            </w:pPr>
            <w:r w:rsidRPr="00822128">
              <w:t>91 (54)</w:t>
            </w:r>
          </w:p>
        </w:tc>
        <w:tc>
          <w:tcPr>
            <w:tcW w:w="1099" w:type="dxa"/>
          </w:tcPr>
          <w:p w14:paraId="58704E27" w14:textId="77777777" w:rsidR="00C627FF" w:rsidRPr="0045722C" w:rsidRDefault="00C627FF" w:rsidP="00863A9C">
            <w:pPr>
              <w:pStyle w:val="Tabletext0"/>
              <w:keepNext/>
              <w:spacing w:before="0" w:after="0"/>
            </w:pPr>
            <w:r w:rsidRPr="00822128">
              <w:t>65 (39)</w:t>
            </w:r>
          </w:p>
        </w:tc>
        <w:tc>
          <w:tcPr>
            <w:tcW w:w="1783" w:type="dxa"/>
          </w:tcPr>
          <w:p w14:paraId="67731C9C" w14:textId="77777777" w:rsidR="00C627FF" w:rsidRPr="003C6884" w:rsidRDefault="00C627FF" w:rsidP="00863A9C">
            <w:pPr>
              <w:pStyle w:val="Tabletext0"/>
              <w:keepNext/>
              <w:spacing w:before="0" w:after="0"/>
              <w:rPr>
                <w:i/>
                <w:iCs/>
                <w:color w:val="000000" w:themeColor="text1"/>
              </w:rPr>
            </w:pPr>
            <w:r w:rsidRPr="003C6884">
              <w:rPr>
                <w:i/>
                <w:iCs/>
                <w:color w:val="000000" w:themeColor="text1"/>
              </w:rPr>
              <w:t>0.78 (0.58, 1.04)</w:t>
            </w:r>
          </w:p>
        </w:tc>
      </w:tr>
      <w:tr w:rsidR="00C627FF" w:rsidRPr="00822128" w14:paraId="488E7FA8" w14:textId="77777777" w:rsidTr="00863A9C">
        <w:tc>
          <w:tcPr>
            <w:tcW w:w="2788" w:type="dxa"/>
          </w:tcPr>
          <w:p w14:paraId="75311060" w14:textId="77777777" w:rsidR="00C627FF" w:rsidRPr="0045722C" w:rsidRDefault="00C627FF" w:rsidP="00863A9C">
            <w:pPr>
              <w:pStyle w:val="Tabletext0"/>
              <w:keepNext/>
              <w:spacing w:before="0" w:after="0"/>
              <w:ind w:left="227"/>
            </w:pPr>
            <w:r w:rsidRPr="00822128">
              <w:t>Diarrhea</w:t>
            </w:r>
          </w:p>
        </w:tc>
        <w:tc>
          <w:tcPr>
            <w:tcW w:w="1149" w:type="dxa"/>
          </w:tcPr>
          <w:p w14:paraId="764E1B66" w14:textId="77777777" w:rsidR="00C627FF" w:rsidRPr="0045722C" w:rsidRDefault="00C627FF" w:rsidP="00863A9C">
            <w:pPr>
              <w:pStyle w:val="Tabletext0"/>
              <w:keepNext/>
              <w:spacing w:before="0" w:after="0"/>
            </w:pPr>
            <w:r w:rsidRPr="00822128">
              <w:t>71 (42)</w:t>
            </w:r>
          </w:p>
        </w:tc>
        <w:tc>
          <w:tcPr>
            <w:tcW w:w="1110" w:type="dxa"/>
          </w:tcPr>
          <w:p w14:paraId="2D7E00E1" w14:textId="77777777" w:rsidR="00C627FF" w:rsidRPr="0045722C" w:rsidRDefault="00C627FF" w:rsidP="00863A9C">
            <w:pPr>
              <w:pStyle w:val="Tabletext0"/>
              <w:keepNext/>
              <w:spacing w:before="0" w:after="0"/>
            </w:pPr>
            <w:r w:rsidRPr="00822128">
              <w:t>4 (2)</w:t>
            </w:r>
          </w:p>
        </w:tc>
        <w:tc>
          <w:tcPr>
            <w:tcW w:w="1087" w:type="dxa"/>
          </w:tcPr>
          <w:p w14:paraId="55F49612" w14:textId="77777777" w:rsidR="00C627FF" w:rsidRPr="0045722C" w:rsidRDefault="00C627FF" w:rsidP="00863A9C">
            <w:pPr>
              <w:pStyle w:val="Tabletext0"/>
              <w:keepNext/>
              <w:spacing w:before="0" w:after="0"/>
            </w:pPr>
            <w:r w:rsidRPr="00822128">
              <w:t>66 (39)</w:t>
            </w:r>
          </w:p>
        </w:tc>
        <w:tc>
          <w:tcPr>
            <w:tcW w:w="1099" w:type="dxa"/>
          </w:tcPr>
          <w:p w14:paraId="232E24AE" w14:textId="77777777" w:rsidR="00C627FF" w:rsidRPr="0045722C" w:rsidRDefault="00C627FF" w:rsidP="00863A9C">
            <w:pPr>
              <w:pStyle w:val="Tabletext0"/>
              <w:keepNext/>
              <w:spacing w:before="0" w:after="0"/>
            </w:pPr>
            <w:r w:rsidRPr="00822128">
              <w:t>7 (4)</w:t>
            </w:r>
          </w:p>
        </w:tc>
        <w:tc>
          <w:tcPr>
            <w:tcW w:w="1783" w:type="dxa"/>
          </w:tcPr>
          <w:p w14:paraId="3C41EF84" w14:textId="77777777" w:rsidR="00C627FF" w:rsidRPr="003C6884" w:rsidRDefault="00C627FF" w:rsidP="00863A9C">
            <w:pPr>
              <w:pStyle w:val="Tabletext0"/>
              <w:keepNext/>
              <w:spacing w:before="0" w:after="0"/>
              <w:rPr>
                <w:i/>
                <w:iCs/>
                <w:color w:val="000000" w:themeColor="text1"/>
              </w:rPr>
            </w:pPr>
            <w:r w:rsidRPr="003C6884">
              <w:rPr>
                <w:i/>
                <w:iCs/>
                <w:color w:val="000000" w:themeColor="text1"/>
              </w:rPr>
              <w:t>0.56 (0.17, 1.89)</w:t>
            </w:r>
          </w:p>
        </w:tc>
      </w:tr>
      <w:tr w:rsidR="00C627FF" w:rsidRPr="00822128" w14:paraId="300E38C8" w14:textId="77777777" w:rsidTr="00863A9C">
        <w:tc>
          <w:tcPr>
            <w:tcW w:w="2788" w:type="dxa"/>
          </w:tcPr>
          <w:p w14:paraId="1DC42EAB" w14:textId="77777777" w:rsidR="00C627FF" w:rsidRPr="0045722C" w:rsidRDefault="00C627FF" w:rsidP="00863A9C">
            <w:pPr>
              <w:pStyle w:val="Tabletext0"/>
              <w:keepNext/>
              <w:spacing w:before="0" w:after="0"/>
              <w:ind w:left="227"/>
            </w:pPr>
            <w:r w:rsidRPr="00822128">
              <w:t>Headache</w:t>
            </w:r>
          </w:p>
        </w:tc>
        <w:tc>
          <w:tcPr>
            <w:tcW w:w="1149" w:type="dxa"/>
          </w:tcPr>
          <w:p w14:paraId="0A3F1969" w14:textId="77777777" w:rsidR="00C627FF" w:rsidRPr="0045722C" w:rsidRDefault="00C627FF" w:rsidP="00863A9C">
            <w:pPr>
              <w:pStyle w:val="Tabletext0"/>
              <w:keepNext/>
              <w:spacing w:before="0" w:after="0"/>
            </w:pPr>
            <w:r w:rsidRPr="00822128">
              <w:t>70 (41)</w:t>
            </w:r>
          </w:p>
        </w:tc>
        <w:tc>
          <w:tcPr>
            <w:tcW w:w="1110" w:type="dxa"/>
          </w:tcPr>
          <w:p w14:paraId="31BE88F8" w14:textId="77777777" w:rsidR="00C627FF" w:rsidRPr="0045722C" w:rsidRDefault="00C627FF" w:rsidP="00863A9C">
            <w:pPr>
              <w:pStyle w:val="Tabletext0"/>
              <w:keepNext/>
              <w:spacing w:before="0" w:after="0"/>
            </w:pPr>
            <w:r w:rsidRPr="00822128">
              <w:t>5 (3)</w:t>
            </w:r>
          </w:p>
        </w:tc>
        <w:tc>
          <w:tcPr>
            <w:tcW w:w="1087" w:type="dxa"/>
          </w:tcPr>
          <w:p w14:paraId="759951EE" w14:textId="77777777" w:rsidR="00C627FF" w:rsidRPr="0045722C" w:rsidRDefault="00C627FF" w:rsidP="00863A9C">
            <w:pPr>
              <w:pStyle w:val="Tabletext0"/>
              <w:keepNext/>
              <w:spacing w:before="0" w:after="0"/>
            </w:pPr>
            <w:r w:rsidRPr="00822128">
              <w:t>43 (26)</w:t>
            </w:r>
          </w:p>
        </w:tc>
        <w:tc>
          <w:tcPr>
            <w:tcW w:w="1099" w:type="dxa"/>
          </w:tcPr>
          <w:p w14:paraId="15E90E60" w14:textId="77777777" w:rsidR="00C627FF" w:rsidRPr="0045722C" w:rsidRDefault="00C627FF" w:rsidP="00863A9C">
            <w:pPr>
              <w:pStyle w:val="Tabletext0"/>
              <w:keepNext/>
              <w:spacing w:before="0" w:after="0"/>
            </w:pPr>
            <w:r w:rsidRPr="00822128">
              <w:t>2 (1)</w:t>
            </w:r>
          </w:p>
        </w:tc>
        <w:tc>
          <w:tcPr>
            <w:tcW w:w="1783" w:type="dxa"/>
          </w:tcPr>
          <w:p w14:paraId="28D9368B" w14:textId="77777777" w:rsidR="00C627FF" w:rsidRPr="003C6884" w:rsidRDefault="00C627FF" w:rsidP="00863A9C">
            <w:pPr>
              <w:pStyle w:val="Tabletext0"/>
              <w:keepNext/>
              <w:spacing w:before="0" w:after="0"/>
              <w:rPr>
                <w:i/>
                <w:iCs/>
                <w:color w:val="000000" w:themeColor="text1"/>
              </w:rPr>
            </w:pPr>
            <w:r w:rsidRPr="003C6884">
              <w:rPr>
                <w:i/>
                <w:iCs/>
                <w:color w:val="000000" w:themeColor="text1"/>
              </w:rPr>
              <w:t>2.47 (0.49, 12.56)</w:t>
            </w:r>
          </w:p>
        </w:tc>
      </w:tr>
      <w:tr w:rsidR="00C627FF" w:rsidRPr="00822128" w14:paraId="1EAFAD88" w14:textId="77777777" w:rsidTr="00863A9C">
        <w:tc>
          <w:tcPr>
            <w:tcW w:w="2788" w:type="dxa"/>
          </w:tcPr>
          <w:p w14:paraId="2CA512AB" w14:textId="77777777" w:rsidR="00C627FF" w:rsidRPr="0045722C" w:rsidRDefault="00C627FF" w:rsidP="00863A9C">
            <w:pPr>
              <w:pStyle w:val="Tabletext0"/>
              <w:keepNext/>
              <w:spacing w:before="0" w:after="0"/>
              <w:ind w:left="227"/>
            </w:pPr>
            <w:r w:rsidRPr="00822128">
              <w:t>Nausea</w:t>
            </w:r>
          </w:p>
        </w:tc>
        <w:tc>
          <w:tcPr>
            <w:tcW w:w="1149" w:type="dxa"/>
          </w:tcPr>
          <w:p w14:paraId="53CA04EF" w14:textId="77777777" w:rsidR="00C627FF" w:rsidRPr="0045722C" w:rsidRDefault="00C627FF" w:rsidP="00863A9C">
            <w:pPr>
              <w:pStyle w:val="Tabletext0"/>
              <w:keepNext/>
              <w:spacing w:before="0" w:after="0"/>
            </w:pPr>
            <w:r w:rsidRPr="00822128">
              <w:t>69 (41)</w:t>
            </w:r>
          </w:p>
        </w:tc>
        <w:tc>
          <w:tcPr>
            <w:tcW w:w="1110" w:type="dxa"/>
          </w:tcPr>
          <w:p w14:paraId="082C245D" w14:textId="77777777" w:rsidR="00C627FF" w:rsidRPr="0045722C" w:rsidRDefault="00C627FF" w:rsidP="00863A9C">
            <w:pPr>
              <w:pStyle w:val="Tabletext0"/>
              <w:keepNext/>
              <w:spacing w:before="0" w:after="0"/>
            </w:pPr>
            <w:r w:rsidRPr="00822128">
              <w:t>3 (2)</w:t>
            </w:r>
          </w:p>
        </w:tc>
        <w:tc>
          <w:tcPr>
            <w:tcW w:w="1087" w:type="dxa"/>
          </w:tcPr>
          <w:p w14:paraId="207BA79A" w14:textId="77777777" w:rsidR="00C627FF" w:rsidRPr="0045722C" w:rsidRDefault="00C627FF" w:rsidP="00863A9C">
            <w:pPr>
              <w:pStyle w:val="Tabletext0"/>
              <w:keepNext/>
              <w:spacing w:before="0" w:after="0"/>
            </w:pPr>
            <w:r w:rsidRPr="00822128">
              <w:t>116 (69)</w:t>
            </w:r>
          </w:p>
        </w:tc>
        <w:tc>
          <w:tcPr>
            <w:tcW w:w="1099" w:type="dxa"/>
          </w:tcPr>
          <w:p w14:paraId="42D9920A" w14:textId="77777777" w:rsidR="00C627FF" w:rsidRPr="0045722C" w:rsidRDefault="00C627FF" w:rsidP="00863A9C">
            <w:pPr>
              <w:pStyle w:val="Tabletext0"/>
              <w:keepNext/>
              <w:spacing w:before="0" w:after="0"/>
            </w:pPr>
            <w:r w:rsidRPr="00822128">
              <w:t>9 (5)</w:t>
            </w:r>
          </w:p>
        </w:tc>
        <w:tc>
          <w:tcPr>
            <w:tcW w:w="1783" w:type="dxa"/>
          </w:tcPr>
          <w:p w14:paraId="2FC47455" w14:textId="77777777" w:rsidR="00C627FF" w:rsidRPr="003C6884" w:rsidRDefault="00C627FF" w:rsidP="00863A9C">
            <w:pPr>
              <w:pStyle w:val="Tabletext0"/>
              <w:keepNext/>
              <w:spacing w:before="0" w:after="0"/>
              <w:rPr>
                <w:i/>
                <w:iCs/>
                <w:color w:val="000000" w:themeColor="text1"/>
              </w:rPr>
            </w:pPr>
            <w:r w:rsidRPr="003C6884">
              <w:rPr>
                <w:i/>
                <w:iCs/>
                <w:color w:val="000000" w:themeColor="text1"/>
              </w:rPr>
              <w:t>0.33 (0.09, 1.2)</w:t>
            </w:r>
          </w:p>
        </w:tc>
      </w:tr>
      <w:tr w:rsidR="00C627FF" w:rsidRPr="00822128" w14:paraId="4078CDED" w14:textId="77777777" w:rsidTr="00863A9C">
        <w:tc>
          <w:tcPr>
            <w:tcW w:w="2788" w:type="dxa"/>
          </w:tcPr>
          <w:p w14:paraId="54A10D47" w14:textId="77777777" w:rsidR="00C627FF" w:rsidRPr="0045722C" w:rsidRDefault="00C627FF" w:rsidP="00863A9C">
            <w:pPr>
              <w:pStyle w:val="Tabletext0"/>
              <w:keepNext/>
              <w:spacing w:before="0" w:after="0"/>
              <w:ind w:left="227"/>
            </w:pPr>
            <w:r w:rsidRPr="00822128">
              <w:t>Sinus tachycardia</w:t>
            </w:r>
          </w:p>
        </w:tc>
        <w:tc>
          <w:tcPr>
            <w:tcW w:w="1149" w:type="dxa"/>
          </w:tcPr>
          <w:p w14:paraId="41873296" w14:textId="77777777" w:rsidR="00C627FF" w:rsidRPr="0045722C" w:rsidRDefault="00C627FF" w:rsidP="00863A9C">
            <w:pPr>
              <w:pStyle w:val="Tabletext0"/>
              <w:keepNext/>
              <w:spacing w:before="0" w:after="0"/>
            </w:pPr>
            <w:r w:rsidRPr="00822128">
              <w:t>58 (34)</w:t>
            </w:r>
          </w:p>
        </w:tc>
        <w:tc>
          <w:tcPr>
            <w:tcW w:w="1110" w:type="dxa"/>
          </w:tcPr>
          <w:p w14:paraId="7AAC7D81" w14:textId="77777777" w:rsidR="00C627FF" w:rsidRPr="0045722C" w:rsidRDefault="00C627FF" w:rsidP="00863A9C">
            <w:pPr>
              <w:pStyle w:val="Tabletext0"/>
              <w:keepNext/>
              <w:spacing w:before="0" w:after="0"/>
            </w:pPr>
            <w:r w:rsidRPr="00822128">
              <w:t>3 (2)</w:t>
            </w:r>
          </w:p>
        </w:tc>
        <w:tc>
          <w:tcPr>
            <w:tcW w:w="1087" w:type="dxa"/>
          </w:tcPr>
          <w:p w14:paraId="4657B5F9" w14:textId="77777777" w:rsidR="00C627FF" w:rsidRPr="0045722C" w:rsidRDefault="00C627FF" w:rsidP="00863A9C">
            <w:pPr>
              <w:pStyle w:val="Tabletext0"/>
              <w:keepNext/>
              <w:spacing w:before="0" w:after="0"/>
            </w:pPr>
            <w:r w:rsidRPr="00822128">
              <w:t>17 (10)</w:t>
            </w:r>
          </w:p>
        </w:tc>
        <w:tc>
          <w:tcPr>
            <w:tcW w:w="1099" w:type="dxa"/>
          </w:tcPr>
          <w:p w14:paraId="2DECF1E4" w14:textId="77777777" w:rsidR="00C627FF" w:rsidRPr="0045722C" w:rsidRDefault="00C627FF" w:rsidP="00863A9C">
            <w:pPr>
              <w:pStyle w:val="Tabletext0"/>
              <w:keepNext/>
              <w:spacing w:before="0" w:after="0"/>
            </w:pPr>
            <w:r w:rsidRPr="00822128">
              <w:t>1 (1)</w:t>
            </w:r>
          </w:p>
        </w:tc>
        <w:tc>
          <w:tcPr>
            <w:tcW w:w="1783" w:type="dxa"/>
          </w:tcPr>
          <w:p w14:paraId="760888E6" w14:textId="77777777" w:rsidR="00C627FF" w:rsidRPr="003C6884" w:rsidRDefault="00C627FF" w:rsidP="00863A9C">
            <w:pPr>
              <w:pStyle w:val="Tabletext0"/>
              <w:keepNext/>
              <w:spacing w:before="0" w:after="0"/>
              <w:rPr>
                <w:i/>
                <w:iCs/>
                <w:color w:val="000000" w:themeColor="text1"/>
              </w:rPr>
            </w:pPr>
            <w:r w:rsidRPr="003C6884">
              <w:rPr>
                <w:i/>
                <w:iCs/>
                <w:color w:val="000000" w:themeColor="text1"/>
              </w:rPr>
              <w:t>2.96 (0.31, 28.22)</w:t>
            </w:r>
          </w:p>
        </w:tc>
      </w:tr>
      <w:tr w:rsidR="00C627FF" w:rsidRPr="00822128" w14:paraId="166962C7" w14:textId="77777777" w:rsidTr="00863A9C">
        <w:tc>
          <w:tcPr>
            <w:tcW w:w="2788" w:type="dxa"/>
          </w:tcPr>
          <w:p w14:paraId="7580C600" w14:textId="77777777" w:rsidR="00C627FF" w:rsidRPr="0045722C" w:rsidRDefault="00C627FF" w:rsidP="00863A9C">
            <w:pPr>
              <w:pStyle w:val="Tabletext0"/>
              <w:keepNext/>
              <w:spacing w:before="0" w:after="0"/>
              <w:ind w:left="227"/>
            </w:pPr>
            <w:r w:rsidRPr="00822128">
              <w:t>Leukopenia‡</w:t>
            </w:r>
          </w:p>
        </w:tc>
        <w:tc>
          <w:tcPr>
            <w:tcW w:w="1149" w:type="dxa"/>
          </w:tcPr>
          <w:p w14:paraId="6838E416" w14:textId="77777777" w:rsidR="00C627FF" w:rsidRPr="0045722C" w:rsidRDefault="00C627FF" w:rsidP="00863A9C">
            <w:pPr>
              <w:pStyle w:val="Tabletext0"/>
              <w:keepNext/>
              <w:spacing w:before="0" w:after="0"/>
            </w:pPr>
            <w:r w:rsidRPr="00822128">
              <w:t>55 (32)</w:t>
            </w:r>
          </w:p>
        </w:tc>
        <w:tc>
          <w:tcPr>
            <w:tcW w:w="1110" w:type="dxa"/>
          </w:tcPr>
          <w:p w14:paraId="69930405" w14:textId="77777777" w:rsidR="00C627FF" w:rsidRPr="0045722C" w:rsidRDefault="00C627FF" w:rsidP="00863A9C">
            <w:pPr>
              <w:pStyle w:val="Tabletext0"/>
              <w:keepNext/>
              <w:spacing w:before="0" w:after="0"/>
            </w:pPr>
            <w:r w:rsidRPr="00822128">
              <w:t>50 (29)</w:t>
            </w:r>
          </w:p>
        </w:tc>
        <w:tc>
          <w:tcPr>
            <w:tcW w:w="1087" w:type="dxa"/>
          </w:tcPr>
          <w:p w14:paraId="480E2076" w14:textId="77777777" w:rsidR="00C627FF" w:rsidRPr="0045722C" w:rsidRDefault="00C627FF" w:rsidP="00863A9C">
            <w:pPr>
              <w:pStyle w:val="Tabletext0"/>
              <w:keepNext/>
              <w:spacing w:before="0" w:after="0"/>
            </w:pPr>
            <w:r w:rsidRPr="00822128">
              <w:t>43 (26)</w:t>
            </w:r>
          </w:p>
        </w:tc>
        <w:tc>
          <w:tcPr>
            <w:tcW w:w="1099" w:type="dxa"/>
          </w:tcPr>
          <w:p w14:paraId="6100373E" w14:textId="77777777" w:rsidR="00C627FF" w:rsidRPr="0045722C" w:rsidRDefault="00C627FF" w:rsidP="00863A9C">
            <w:pPr>
              <w:pStyle w:val="Tabletext0"/>
              <w:keepNext/>
              <w:spacing w:before="0" w:after="0"/>
            </w:pPr>
            <w:r w:rsidRPr="00822128">
              <w:t>37 (22)</w:t>
            </w:r>
          </w:p>
        </w:tc>
        <w:tc>
          <w:tcPr>
            <w:tcW w:w="1783" w:type="dxa"/>
          </w:tcPr>
          <w:p w14:paraId="60542056" w14:textId="77777777" w:rsidR="00C627FF" w:rsidRPr="003C6884" w:rsidRDefault="00C627FF" w:rsidP="00863A9C">
            <w:pPr>
              <w:pStyle w:val="Tabletext0"/>
              <w:keepNext/>
              <w:spacing w:before="0" w:after="0"/>
              <w:rPr>
                <w:i/>
                <w:iCs/>
                <w:color w:val="000000" w:themeColor="text1"/>
              </w:rPr>
            </w:pPr>
            <w:r w:rsidRPr="003C6884">
              <w:rPr>
                <w:i/>
                <w:iCs/>
                <w:color w:val="000000" w:themeColor="text1"/>
              </w:rPr>
              <w:t>1.34 (0.92, 1.93)</w:t>
            </w:r>
          </w:p>
        </w:tc>
      </w:tr>
      <w:tr w:rsidR="00C627FF" w:rsidRPr="00822128" w14:paraId="647B6106" w14:textId="77777777" w:rsidTr="00863A9C">
        <w:tc>
          <w:tcPr>
            <w:tcW w:w="2788" w:type="dxa"/>
          </w:tcPr>
          <w:p w14:paraId="63FF3678" w14:textId="77777777" w:rsidR="00C627FF" w:rsidRPr="0045722C" w:rsidRDefault="00C627FF" w:rsidP="00863A9C">
            <w:pPr>
              <w:pStyle w:val="Tabletext0"/>
              <w:keepNext/>
              <w:spacing w:before="0" w:after="0"/>
              <w:ind w:left="227"/>
            </w:pPr>
            <w:r w:rsidRPr="00822128">
              <w:t>Thrombocytopenia§</w:t>
            </w:r>
          </w:p>
        </w:tc>
        <w:tc>
          <w:tcPr>
            <w:tcW w:w="1149" w:type="dxa"/>
          </w:tcPr>
          <w:p w14:paraId="50D9930D" w14:textId="77777777" w:rsidR="00C627FF" w:rsidRPr="0045722C" w:rsidRDefault="00C627FF" w:rsidP="00863A9C">
            <w:pPr>
              <w:pStyle w:val="Tabletext0"/>
              <w:keepNext/>
              <w:spacing w:before="0" w:after="0"/>
            </w:pPr>
            <w:r w:rsidRPr="00822128">
              <w:t>50 (29)</w:t>
            </w:r>
          </w:p>
        </w:tc>
        <w:tc>
          <w:tcPr>
            <w:tcW w:w="1110" w:type="dxa"/>
          </w:tcPr>
          <w:p w14:paraId="45EB446C" w14:textId="77777777" w:rsidR="00C627FF" w:rsidRPr="0045722C" w:rsidRDefault="00C627FF" w:rsidP="00863A9C">
            <w:pPr>
              <w:pStyle w:val="Tabletext0"/>
              <w:keepNext/>
              <w:spacing w:before="0" w:after="0"/>
            </w:pPr>
            <w:r w:rsidRPr="00822128">
              <w:t>25 (15)</w:t>
            </w:r>
          </w:p>
        </w:tc>
        <w:tc>
          <w:tcPr>
            <w:tcW w:w="1087" w:type="dxa"/>
          </w:tcPr>
          <w:p w14:paraId="6DACAFE2" w14:textId="77777777" w:rsidR="00C627FF" w:rsidRPr="0045722C" w:rsidRDefault="00C627FF" w:rsidP="00863A9C">
            <w:pPr>
              <w:pStyle w:val="Tabletext0"/>
              <w:keepNext/>
              <w:spacing w:before="0" w:after="0"/>
            </w:pPr>
            <w:r w:rsidRPr="00822128">
              <w:t>101 (60)</w:t>
            </w:r>
          </w:p>
        </w:tc>
        <w:tc>
          <w:tcPr>
            <w:tcW w:w="1099" w:type="dxa"/>
          </w:tcPr>
          <w:p w14:paraId="14E46A57" w14:textId="77777777" w:rsidR="00C627FF" w:rsidRPr="0045722C" w:rsidRDefault="00C627FF" w:rsidP="00863A9C">
            <w:pPr>
              <w:pStyle w:val="Tabletext0"/>
              <w:keepNext/>
              <w:spacing w:before="0" w:after="0"/>
            </w:pPr>
            <w:r w:rsidRPr="00822128">
              <w:t>95 (57)</w:t>
            </w:r>
          </w:p>
        </w:tc>
        <w:tc>
          <w:tcPr>
            <w:tcW w:w="1783" w:type="dxa"/>
          </w:tcPr>
          <w:p w14:paraId="19D03B30" w14:textId="77777777" w:rsidR="00C627FF" w:rsidRPr="003C6884" w:rsidRDefault="00C627FF" w:rsidP="00863A9C">
            <w:pPr>
              <w:pStyle w:val="Tabletext0"/>
              <w:keepNext/>
              <w:spacing w:before="0" w:after="0"/>
              <w:rPr>
                <w:b/>
                <w:i/>
                <w:iCs/>
                <w:color w:val="000000" w:themeColor="text1"/>
              </w:rPr>
            </w:pPr>
            <w:r w:rsidRPr="003C6884">
              <w:rPr>
                <w:b/>
                <w:bCs/>
                <w:i/>
                <w:iCs/>
                <w:color w:val="000000" w:themeColor="text1"/>
              </w:rPr>
              <w:t>0.26 (0.18, 0.38)</w:t>
            </w:r>
          </w:p>
        </w:tc>
      </w:tr>
      <w:tr w:rsidR="00C627FF" w:rsidRPr="00822128" w14:paraId="65AA7B24" w14:textId="77777777" w:rsidTr="00863A9C">
        <w:tc>
          <w:tcPr>
            <w:tcW w:w="2788" w:type="dxa"/>
          </w:tcPr>
          <w:p w14:paraId="6C46130C" w14:textId="77777777" w:rsidR="00C627FF" w:rsidRPr="0045722C" w:rsidRDefault="00C627FF" w:rsidP="00863A9C">
            <w:pPr>
              <w:pStyle w:val="Tabletext0"/>
              <w:keepNext/>
              <w:spacing w:before="0" w:after="0"/>
              <w:ind w:left="227"/>
            </w:pPr>
            <w:r w:rsidRPr="00822128">
              <w:t>Chills</w:t>
            </w:r>
          </w:p>
        </w:tc>
        <w:tc>
          <w:tcPr>
            <w:tcW w:w="1149" w:type="dxa"/>
          </w:tcPr>
          <w:p w14:paraId="57559477" w14:textId="77777777" w:rsidR="00C627FF" w:rsidRPr="0045722C" w:rsidRDefault="00C627FF" w:rsidP="00863A9C">
            <w:pPr>
              <w:pStyle w:val="Tabletext0"/>
              <w:keepNext/>
              <w:spacing w:before="0" w:after="0"/>
            </w:pPr>
            <w:r w:rsidRPr="00822128">
              <w:t>47 (28)</w:t>
            </w:r>
          </w:p>
        </w:tc>
        <w:tc>
          <w:tcPr>
            <w:tcW w:w="1110" w:type="dxa"/>
          </w:tcPr>
          <w:p w14:paraId="092D82A9" w14:textId="77777777" w:rsidR="00C627FF" w:rsidRPr="0045722C" w:rsidRDefault="00C627FF" w:rsidP="00863A9C">
            <w:pPr>
              <w:pStyle w:val="Tabletext0"/>
              <w:keepNext/>
              <w:spacing w:before="0" w:after="0"/>
            </w:pPr>
            <w:r w:rsidRPr="00822128">
              <w:t>1 (1)</w:t>
            </w:r>
          </w:p>
        </w:tc>
        <w:tc>
          <w:tcPr>
            <w:tcW w:w="1087" w:type="dxa"/>
          </w:tcPr>
          <w:p w14:paraId="31FA3050" w14:textId="77777777" w:rsidR="00C627FF" w:rsidRPr="0045722C" w:rsidRDefault="00C627FF" w:rsidP="00863A9C">
            <w:pPr>
              <w:pStyle w:val="Tabletext0"/>
              <w:keepNext/>
              <w:spacing w:before="0" w:after="0"/>
            </w:pPr>
            <w:r w:rsidRPr="00822128">
              <w:t>14 (8)</w:t>
            </w:r>
          </w:p>
        </w:tc>
        <w:tc>
          <w:tcPr>
            <w:tcW w:w="1099" w:type="dxa"/>
          </w:tcPr>
          <w:p w14:paraId="661C3943" w14:textId="77777777" w:rsidR="00C627FF" w:rsidRPr="0045722C" w:rsidRDefault="00C627FF" w:rsidP="00863A9C">
            <w:pPr>
              <w:pStyle w:val="Tabletext0"/>
              <w:keepNext/>
              <w:spacing w:before="0" w:after="0"/>
            </w:pPr>
            <w:r w:rsidRPr="00822128">
              <w:t>0</w:t>
            </w:r>
          </w:p>
        </w:tc>
        <w:tc>
          <w:tcPr>
            <w:tcW w:w="1783" w:type="dxa"/>
          </w:tcPr>
          <w:p w14:paraId="63CDB520" w14:textId="77777777" w:rsidR="00C627FF" w:rsidRPr="003C6884" w:rsidRDefault="00C627FF" w:rsidP="00863A9C">
            <w:pPr>
              <w:pStyle w:val="Tabletext0"/>
              <w:keepNext/>
              <w:spacing w:before="0" w:after="0"/>
              <w:rPr>
                <w:i/>
                <w:iCs/>
                <w:color w:val="000000" w:themeColor="text1"/>
              </w:rPr>
            </w:pPr>
            <w:r w:rsidRPr="003C6884">
              <w:rPr>
                <w:i/>
                <w:iCs/>
                <w:color w:val="000000" w:themeColor="text1"/>
              </w:rPr>
              <w:t>-</w:t>
            </w:r>
          </w:p>
        </w:tc>
      </w:tr>
      <w:tr w:rsidR="00C627FF" w:rsidRPr="00822128" w14:paraId="7DEFBCF1" w14:textId="77777777" w:rsidTr="00863A9C">
        <w:tc>
          <w:tcPr>
            <w:tcW w:w="2788" w:type="dxa"/>
          </w:tcPr>
          <w:p w14:paraId="58431135" w14:textId="77777777" w:rsidR="00C627FF" w:rsidRPr="0045722C" w:rsidRDefault="00C627FF" w:rsidP="00863A9C">
            <w:pPr>
              <w:pStyle w:val="Tabletext0"/>
              <w:keepNext/>
              <w:spacing w:before="0" w:after="0"/>
              <w:ind w:left="227"/>
            </w:pPr>
            <w:proofErr w:type="spellStart"/>
            <w:r w:rsidRPr="00822128">
              <w:t>Hypokalemia</w:t>
            </w:r>
            <w:proofErr w:type="spellEnd"/>
          </w:p>
        </w:tc>
        <w:tc>
          <w:tcPr>
            <w:tcW w:w="1149" w:type="dxa"/>
          </w:tcPr>
          <w:p w14:paraId="1FF80522" w14:textId="77777777" w:rsidR="00C627FF" w:rsidRPr="0045722C" w:rsidRDefault="00C627FF" w:rsidP="00863A9C">
            <w:pPr>
              <w:pStyle w:val="Tabletext0"/>
              <w:keepNext/>
              <w:spacing w:before="0" w:after="0"/>
            </w:pPr>
            <w:r w:rsidRPr="00822128">
              <w:t>44 (26)</w:t>
            </w:r>
          </w:p>
        </w:tc>
        <w:tc>
          <w:tcPr>
            <w:tcW w:w="1110" w:type="dxa"/>
          </w:tcPr>
          <w:p w14:paraId="08E9ABE4" w14:textId="77777777" w:rsidR="00C627FF" w:rsidRPr="0045722C" w:rsidRDefault="00C627FF" w:rsidP="00863A9C">
            <w:pPr>
              <w:pStyle w:val="Tabletext0"/>
              <w:keepNext/>
              <w:spacing w:before="0" w:after="0"/>
            </w:pPr>
            <w:r w:rsidRPr="00822128">
              <w:t>10 (6)</w:t>
            </w:r>
          </w:p>
        </w:tc>
        <w:tc>
          <w:tcPr>
            <w:tcW w:w="1087" w:type="dxa"/>
          </w:tcPr>
          <w:p w14:paraId="077408B2" w14:textId="77777777" w:rsidR="00C627FF" w:rsidRPr="0045722C" w:rsidRDefault="00C627FF" w:rsidP="00863A9C">
            <w:pPr>
              <w:pStyle w:val="Tabletext0"/>
              <w:keepNext/>
              <w:spacing w:before="0" w:after="0"/>
            </w:pPr>
            <w:r w:rsidRPr="00822128">
              <w:t>49 (29)</w:t>
            </w:r>
          </w:p>
        </w:tc>
        <w:tc>
          <w:tcPr>
            <w:tcW w:w="1099" w:type="dxa"/>
          </w:tcPr>
          <w:p w14:paraId="097E575B" w14:textId="77777777" w:rsidR="00C627FF" w:rsidRPr="0045722C" w:rsidRDefault="00C627FF" w:rsidP="00863A9C">
            <w:pPr>
              <w:pStyle w:val="Tabletext0"/>
              <w:keepNext/>
              <w:spacing w:before="0" w:after="0"/>
            </w:pPr>
            <w:r w:rsidRPr="00822128">
              <w:t>11 (7)</w:t>
            </w:r>
          </w:p>
        </w:tc>
        <w:tc>
          <w:tcPr>
            <w:tcW w:w="1783" w:type="dxa"/>
          </w:tcPr>
          <w:p w14:paraId="4EE9E47F" w14:textId="77777777" w:rsidR="00C627FF" w:rsidRPr="003C6884" w:rsidRDefault="00C627FF" w:rsidP="00863A9C">
            <w:pPr>
              <w:pStyle w:val="Tabletext0"/>
              <w:keepNext/>
              <w:spacing w:before="0" w:after="0"/>
              <w:rPr>
                <w:i/>
                <w:iCs/>
                <w:color w:val="000000" w:themeColor="text1"/>
              </w:rPr>
            </w:pPr>
            <w:r w:rsidRPr="003C6884">
              <w:rPr>
                <w:i/>
                <w:iCs/>
                <w:color w:val="000000" w:themeColor="text1"/>
              </w:rPr>
              <w:t>0.9 (0.39, 2.06)</w:t>
            </w:r>
          </w:p>
        </w:tc>
      </w:tr>
      <w:tr w:rsidR="00C627FF" w:rsidRPr="00822128" w14:paraId="1F0800D2" w14:textId="77777777" w:rsidTr="00863A9C">
        <w:tc>
          <w:tcPr>
            <w:tcW w:w="2788" w:type="dxa"/>
          </w:tcPr>
          <w:p w14:paraId="71305D76" w14:textId="77777777" w:rsidR="00C627FF" w:rsidRPr="0045722C" w:rsidRDefault="00C627FF" w:rsidP="00863A9C">
            <w:pPr>
              <w:pStyle w:val="Tabletext0"/>
              <w:keepNext/>
              <w:spacing w:before="0" w:after="0"/>
              <w:ind w:left="227"/>
            </w:pPr>
            <w:r w:rsidRPr="00822128">
              <w:t>Hypophosphatemia</w:t>
            </w:r>
          </w:p>
        </w:tc>
        <w:tc>
          <w:tcPr>
            <w:tcW w:w="1149" w:type="dxa"/>
          </w:tcPr>
          <w:p w14:paraId="677E7811" w14:textId="77777777" w:rsidR="00C627FF" w:rsidRPr="0045722C" w:rsidRDefault="00C627FF" w:rsidP="00863A9C">
            <w:pPr>
              <w:pStyle w:val="Tabletext0"/>
              <w:keepNext/>
              <w:spacing w:before="0" w:after="0"/>
            </w:pPr>
            <w:r w:rsidRPr="00822128">
              <w:t>45 (26)</w:t>
            </w:r>
          </w:p>
        </w:tc>
        <w:tc>
          <w:tcPr>
            <w:tcW w:w="1110" w:type="dxa"/>
          </w:tcPr>
          <w:p w14:paraId="79D11C48" w14:textId="77777777" w:rsidR="00C627FF" w:rsidRPr="0045722C" w:rsidRDefault="00C627FF" w:rsidP="00863A9C">
            <w:pPr>
              <w:pStyle w:val="Tabletext0"/>
              <w:keepNext/>
              <w:spacing w:before="0" w:after="0"/>
            </w:pPr>
            <w:r w:rsidRPr="00822128">
              <w:t>31 (18)</w:t>
            </w:r>
          </w:p>
        </w:tc>
        <w:tc>
          <w:tcPr>
            <w:tcW w:w="1087" w:type="dxa"/>
          </w:tcPr>
          <w:p w14:paraId="6636FCE0" w14:textId="77777777" w:rsidR="00C627FF" w:rsidRPr="0045722C" w:rsidRDefault="00C627FF" w:rsidP="00863A9C">
            <w:pPr>
              <w:pStyle w:val="Tabletext0"/>
              <w:keepNext/>
              <w:spacing w:before="0" w:after="0"/>
            </w:pPr>
            <w:r w:rsidRPr="00822128">
              <w:t>29 (17)</w:t>
            </w:r>
          </w:p>
        </w:tc>
        <w:tc>
          <w:tcPr>
            <w:tcW w:w="1099" w:type="dxa"/>
          </w:tcPr>
          <w:p w14:paraId="66900DFD" w14:textId="77777777" w:rsidR="00C627FF" w:rsidRPr="0045722C" w:rsidRDefault="00C627FF" w:rsidP="00863A9C">
            <w:pPr>
              <w:pStyle w:val="Tabletext0"/>
              <w:keepNext/>
              <w:spacing w:before="0" w:after="0"/>
            </w:pPr>
            <w:r w:rsidRPr="00822128">
              <w:t>21 (12)</w:t>
            </w:r>
          </w:p>
        </w:tc>
        <w:tc>
          <w:tcPr>
            <w:tcW w:w="1783" w:type="dxa"/>
          </w:tcPr>
          <w:p w14:paraId="3F75A356" w14:textId="77777777" w:rsidR="00C627FF" w:rsidRPr="003C6884" w:rsidRDefault="00C627FF" w:rsidP="00863A9C">
            <w:pPr>
              <w:pStyle w:val="Tabletext0"/>
              <w:keepNext/>
              <w:spacing w:before="0" w:after="0"/>
              <w:rPr>
                <w:i/>
                <w:iCs/>
                <w:color w:val="000000" w:themeColor="text1"/>
              </w:rPr>
            </w:pPr>
            <w:r w:rsidRPr="003C6884">
              <w:rPr>
                <w:i/>
                <w:iCs/>
                <w:color w:val="000000" w:themeColor="text1"/>
              </w:rPr>
              <w:t>1.46 (0.87, 2.43)</w:t>
            </w:r>
          </w:p>
        </w:tc>
      </w:tr>
      <w:tr w:rsidR="00C627FF" w:rsidRPr="00822128" w14:paraId="1D44FB5B" w14:textId="77777777" w:rsidTr="00863A9C">
        <w:tc>
          <w:tcPr>
            <w:tcW w:w="2788" w:type="dxa"/>
          </w:tcPr>
          <w:p w14:paraId="11144552" w14:textId="77777777" w:rsidR="00C627FF" w:rsidRPr="0045722C" w:rsidRDefault="00C627FF" w:rsidP="00863A9C">
            <w:pPr>
              <w:pStyle w:val="Tabletext0"/>
              <w:keepNext/>
              <w:spacing w:before="0" w:after="0"/>
              <w:ind w:left="227"/>
            </w:pPr>
            <w:r w:rsidRPr="00822128">
              <w:t>Cough</w:t>
            </w:r>
          </w:p>
        </w:tc>
        <w:tc>
          <w:tcPr>
            <w:tcW w:w="1149" w:type="dxa"/>
          </w:tcPr>
          <w:p w14:paraId="51B403C6" w14:textId="77777777" w:rsidR="00C627FF" w:rsidRPr="0045722C" w:rsidRDefault="00C627FF" w:rsidP="00863A9C">
            <w:pPr>
              <w:pStyle w:val="Tabletext0"/>
              <w:keepNext/>
              <w:spacing w:before="0" w:after="0"/>
            </w:pPr>
            <w:r w:rsidRPr="00822128">
              <w:t>42 (25)</w:t>
            </w:r>
          </w:p>
        </w:tc>
        <w:tc>
          <w:tcPr>
            <w:tcW w:w="1110" w:type="dxa"/>
          </w:tcPr>
          <w:p w14:paraId="0201AA7C" w14:textId="77777777" w:rsidR="00C627FF" w:rsidRPr="0045722C" w:rsidRDefault="00C627FF" w:rsidP="00863A9C">
            <w:pPr>
              <w:pStyle w:val="Tabletext0"/>
              <w:keepNext/>
              <w:spacing w:before="0" w:after="0"/>
            </w:pPr>
            <w:r w:rsidRPr="00822128">
              <w:t>1 (1)</w:t>
            </w:r>
          </w:p>
        </w:tc>
        <w:tc>
          <w:tcPr>
            <w:tcW w:w="1087" w:type="dxa"/>
          </w:tcPr>
          <w:p w14:paraId="14F60B93" w14:textId="77777777" w:rsidR="00C627FF" w:rsidRPr="0045722C" w:rsidRDefault="00C627FF" w:rsidP="00863A9C">
            <w:pPr>
              <w:pStyle w:val="Tabletext0"/>
              <w:keepNext/>
              <w:spacing w:before="0" w:after="0"/>
            </w:pPr>
            <w:r w:rsidRPr="00822128">
              <w:t>18 (11)</w:t>
            </w:r>
          </w:p>
        </w:tc>
        <w:tc>
          <w:tcPr>
            <w:tcW w:w="1099" w:type="dxa"/>
          </w:tcPr>
          <w:p w14:paraId="3E26C68B" w14:textId="77777777" w:rsidR="00C627FF" w:rsidRPr="0045722C" w:rsidRDefault="00C627FF" w:rsidP="00863A9C">
            <w:pPr>
              <w:pStyle w:val="Tabletext0"/>
              <w:keepNext/>
              <w:spacing w:before="0" w:after="0"/>
            </w:pPr>
            <w:r w:rsidRPr="00822128">
              <w:t>0</w:t>
            </w:r>
          </w:p>
        </w:tc>
        <w:tc>
          <w:tcPr>
            <w:tcW w:w="1783" w:type="dxa"/>
          </w:tcPr>
          <w:p w14:paraId="709B9F8E" w14:textId="77777777" w:rsidR="00C627FF" w:rsidRPr="003C6884" w:rsidRDefault="00C627FF" w:rsidP="00863A9C">
            <w:pPr>
              <w:pStyle w:val="Tabletext0"/>
              <w:keepNext/>
              <w:spacing w:before="0" w:after="0"/>
              <w:rPr>
                <w:i/>
                <w:iCs/>
                <w:color w:val="000000" w:themeColor="text1"/>
              </w:rPr>
            </w:pPr>
            <w:r w:rsidRPr="003C6884">
              <w:rPr>
                <w:i/>
                <w:iCs/>
                <w:color w:val="000000" w:themeColor="text1"/>
              </w:rPr>
              <w:t>-</w:t>
            </w:r>
          </w:p>
        </w:tc>
      </w:tr>
      <w:tr w:rsidR="00C627FF" w:rsidRPr="00822128" w14:paraId="3EF2D3C1" w14:textId="77777777" w:rsidTr="00863A9C">
        <w:tc>
          <w:tcPr>
            <w:tcW w:w="2788" w:type="dxa"/>
          </w:tcPr>
          <w:p w14:paraId="7A6B93C4" w14:textId="77777777" w:rsidR="00C627FF" w:rsidRPr="0045722C" w:rsidRDefault="00C627FF" w:rsidP="00863A9C">
            <w:pPr>
              <w:pStyle w:val="Tabletext0"/>
              <w:keepNext/>
              <w:spacing w:before="0" w:after="0"/>
              <w:ind w:left="227"/>
            </w:pPr>
            <w:r w:rsidRPr="00822128">
              <w:t>Decreased appetite</w:t>
            </w:r>
          </w:p>
        </w:tc>
        <w:tc>
          <w:tcPr>
            <w:tcW w:w="1149" w:type="dxa"/>
          </w:tcPr>
          <w:p w14:paraId="0C10D1DF" w14:textId="77777777" w:rsidR="00C627FF" w:rsidRPr="0045722C" w:rsidRDefault="00C627FF" w:rsidP="00863A9C">
            <w:pPr>
              <w:pStyle w:val="Tabletext0"/>
              <w:keepNext/>
              <w:spacing w:before="0" w:after="0"/>
            </w:pPr>
            <w:r w:rsidRPr="00822128">
              <w:t>42 (25)</w:t>
            </w:r>
          </w:p>
        </w:tc>
        <w:tc>
          <w:tcPr>
            <w:tcW w:w="1110" w:type="dxa"/>
          </w:tcPr>
          <w:p w14:paraId="7C5021AA" w14:textId="77777777" w:rsidR="00C627FF" w:rsidRPr="0045722C" w:rsidRDefault="00C627FF" w:rsidP="00863A9C">
            <w:pPr>
              <w:pStyle w:val="Tabletext0"/>
              <w:keepNext/>
              <w:spacing w:before="0" w:after="0"/>
            </w:pPr>
            <w:r w:rsidRPr="00822128">
              <w:t>7 (4)</w:t>
            </w:r>
          </w:p>
        </w:tc>
        <w:tc>
          <w:tcPr>
            <w:tcW w:w="1087" w:type="dxa"/>
          </w:tcPr>
          <w:p w14:paraId="292865CE" w14:textId="77777777" w:rsidR="00C627FF" w:rsidRPr="0045722C" w:rsidRDefault="00C627FF" w:rsidP="00863A9C">
            <w:pPr>
              <w:pStyle w:val="Tabletext0"/>
              <w:keepNext/>
              <w:spacing w:before="0" w:after="0"/>
            </w:pPr>
            <w:r w:rsidRPr="00822128">
              <w:t>42 (25)</w:t>
            </w:r>
          </w:p>
        </w:tc>
        <w:tc>
          <w:tcPr>
            <w:tcW w:w="1099" w:type="dxa"/>
          </w:tcPr>
          <w:p w14:paraId="0DD64ACF" w14:textId="77777777" w:rsidR="00C627FF" w:rsidRPr="0045722C" w:rsidRDefault="00C627FF" w:rsidP="00863A9C">
            <w:pPr>
              <w:pStyle w:val="Tabletext0"/>
              <w:keepNext/>
              <w:spacing w:before="0" w:after="0"/>
            </w:pPr>
            <w:r w:rsidRPr="00822128">
              <w:t>6 (4)</w:t>
            </w:r>
          </w:p>
        </w:tc>
        <w:tc>
          <w:tcPr>
            <w:tcW w:w="1783" w:type="dxa"/>
          </w:tcPr>
          <w:p w14:paraId="710098CD" w14:textId="77777777" w:rsidR="00C627FF" w:rsidRPr="003C6884" w:rsidRDefault="00C627FF" w:rsidP="00863A9C">
            <w:pPr>
              <w:pStyle w:val="Tabletext0"/>
              <w:keepNext/>
              <w:spacing w:before="0" w:after="0"/>
              <w:rPr>
                <w:i/>
                <w:iCs/>
                <w:color w:val="000000" w:themeColor="text1"/>
              </w:rPr>
            </w:pPr>
            <w:r w:rsidRPr="003C6884">
              <w:rPr>
                <w:i/>
                <w:iCs/>
                <w:color w:val="000000" w:themeColor="text1"/>
              </w:rPr>
              <w:t>1.15 (0.4, 3.36)</w:t>
            </w:r>
          </w:p>
        </w:tc>
      </w:tr>
      <w:tr w:rsidR="00C627FF" w:rsidRPr="00822128" w14:paraId="55183261" w14:textId="77777777" w:rsidTr="00863A9C">
        <w:tc>
          <w:tcPr>
            <w:tcW w:w="2788" w:type="dxa"/>
          </w:tcPr>
          <w:p w14:paraId="04B26085" w14:textId="77777777" w:rsidR="00C627FF" w:rsidRPr="0045722C" w:rsidRDefault="00C627FF" w:rsidP="00863A9C">
            <w:pPr>
              <w:pStyle w:val="Tabletext0"/>
              <w:keepNext/>
              <w:spacing w:before="0" w:after="0"/>
              <w:ind w:left="227"/>
            </w:pPr>
            <w:r w:rsidRPr="00822128">
              <w:t>Hypoxia</w:t>
            </w:r>
          </w:p>
        </w:tc>
        <w:tc>
          <w:tcPr>
            <w:tcW w:w="1149" w:type="dxa"/>
          </w:tcPr>
          <w:p w14:paraId="4A2D73C8" w14:textId="77777777" w:rsidR="00C627FF" w:rsidRPr="0045722C" w:rsidRDefault="00C627FF" w:rsidP="00863A9C">
            <w:pPr>
              <w:pStyle w:val="Tabletext0"/>
              <w:keepNext/>
              <w:spacing w:before="0" w:after="0"/>
            </w:pPr>
            <w:r w:rsidRPr="00822128">
              <w:t>37 (22)</w:t>
            </w:r>
          </w:p>
        </w:tc>
        <w:tc>
          <w:tcPr>
            <w:tcW w:w="1110" w:type="dxa"/>
          </w:tcPr>
          <w:p w14:paraId="4CBF929A" w14:textId="77777777" w:rsidR="00C627FF" w:rsidRPr="0045722C" w:rsidRDefault="00C627FF" w:rsidP="00863A9C">
            <w:pPr>
              <w:pStyle w:val="Tabletext0"/>
              <w:keepNext/>
              <w:spacing w:before="0" w:after="0"/>
            </w:pPr>
            <w:r w:rsidRPr="00822128">
              <w:t>16 (9)</w:t>
            </w:r>
          </w:p>
        </w:tc>
        <w:tc>
          <w:tcPr>
            <w:tcW w:w="1087" w:type="dxa"/>
          </w:tcPr>
          <w:p w14:paraId="6C67FAB4" w14:textId="77777777" w:rsidR="00C627FF" w:rsidRPr="0045722C" w:rsidRDefault="00C627FF" w:rsidP="00863A9C">
            <w:pPr>
              <w:pStyle w:val="Tabletext0"/>
              <w:keepNext/>
              <w:spacing w:before="0" w:after="0"/>
            </w:pPr>
            <w:r w:rsidRPr="00822128">
              <w:t>13 (8)</w:t>
            </w:r>
          </w:p>
        </w:tc>
        <w:tc>
          <w:tcPr>
            <w:tcW w:w="1099" w:type="dxa"/>
          </w:tcPr>
          <w:p w14:paraId="6C09C6A5" w14:textId="77777777" w:rsidR="00C627FF" w:rsidRPr="0045722C" w:rsidRDefault="00C627FF" w:rsidP="00863A9C">
            <w:pPr>
              <w:pStyle w:val="Tabletext0"/>
              <w:keepNext/>
              <w:spacing w:before="0" w:after="0"/>
            </w:pPr>
            <w:r w:rsidRPr="00822128">
              <w:t>7 (4)</w:t>
            </w:r>
          </w:p>
        </w:tc>
        <w:tc>
          <w:tcPr>
            <w:tcW w:w="1783" w:type="dxa"/>
          </w:tcPr>
          <w:p w14:paraId="4E16A080" w14:textId="77777777" w:rsidR="00C627FF" w:rsidRPr="003C6884" w:rsidRDefault="00C627FF" w:rsidP="00863A9C">
            <w:pPr>
              <w:pStyle w:val="Tabletext0"/>
              <w:keepNext/>
              <w:spacing w:before="0" w:after="0"/>
              <w:rPr>
                <w:i/>
                <w:iCs/>
                <w:color w:val="000000" w:themeColor="text1"/>
              </w:rPr>
            </w:pPr>
            <w:r w:rsidRPr="003C6884">
              <w:rPr>
                <w:i/>
                <w:iCs/>
                <w:color w:val="000000" w:themeColor="text1"/>
              </w:rPr>
              <w:t>1.22 (0.6, 2.45)</w:t>
            </w:r>
          </w:p>
        </w:tc>
      </w:tr>
      <w:tr w:rsidR="00C627FF" w:rsidRPr="00822128" w14:paraId="5128AE23" w14:textId="77777777" w:rsidTr="00863A9C">
        <w:tc>
          <w:tcPr>
            <w:tcW w:w="2788" w:type="dxa"/>
          </w:tcPr>
          <w:p w14:paraId="1C5191F3" w14:textId="77777777" w:rsidR="00C627FF" w:rsidRPr="0045722C" w:rsidRDefault="00C627FF" w:rsidP="00863A9C">
            <w:pPr>
              <w:pStyle w:val="Tabletext0"/>
              <w:keepNext/>
              <w:spacing w:before="0" w:after="0"/>
              <w:ind w:left="227"/>
            </w:pPr>
            <w:r w:rsidRPr="00822128">
              <w:t>Dizziness</w:t>
            </w:r>
          </w:p>
        </w:tc>
        <w:tc>
          <w:tcPr>
            <w:tcW w:w="1149" w:type="dxa"/>
          </w:tcPr>
          <w:p w14:paraId="0058E189" w14:textId="77777777" w:rsidR="00C627FF" w:rsidRPr="0045722C" w:rsidRDefault="00C627FF" w:rsidP="00863A9C">
            <w:pPr>
              <w:pStyle w:val="Tabletext0"/>
              <w:keepNext/>
              <w:spacing w:before="0" w:after="0"/>
            </w:pPr>
            <w:r w:rsidRPr="00822128">
              <w:t>36 (21)</w:t>
            </w:r>
          </w:p>
        </w:tc>
        <w:tc>
          <w:tcPr>
            <w:tcW w:w="1110" w:type="dxa"/>
          </w:tcPr>
          <w:p w14:paraId="6CD0F878" w14:textId="77777777" w:rsidR="00C627FF" w:rsidRPr="0045722C" w:rsidRDefault="00C627FF" w:rsidP="00863A9C">
            <w:pPr>
              <w:pStyle w:val="Tabletext0"/>
              <w:keepNext/>
              <w:spacing w:before="0" w:after="0"/>
            </w:pPr>
            <w:r w:rsidRPr="00822128">
              <w:t>2 (1)</w:t>
            </w:r>
          </w:p>
        </w:tc>
        <w:tc>
          <w:tcPr>
            <w:tcW w:w="1087" w:type="dxa"/>
          </w:tcPr>
          <w:p w14:paraId="27D8FA2D" w14:textId="77777777" w:rsidR="00C627FF" w:rsidRPr="0045722C" w:rsidRDefault="00C627FF" w:rsidP="00863A9C">
            <w:pPr>
              <w:pStyle w:val="Tabletext0"/>
              <w:keepNext/>
              <w:spacing w:before="0" w:after="0"/>
            </w:pPr>
            <w:r w:rsidRPr="00822128">
              <w:t>21 (12)</w:t>
            </w:r>
          </w:p>
        </w:tc>
        <w:tc>
          <w:tcPr>
            <w:tcW w:w="1099" w:type="dxa"/>
          </w:tcPr>
          <w:p w14:paraId="4A024579" w14:textId="77777777" w:rsidR="00C627FF" w:rsidRPr="0045722C" w:rsidRDefault="00C627FF" w:rsidP="00863A9C">
            <w:pPr>
              <w:pStyle w:val="Tabletext0"/>
              <w:keepNext/>
              <w:spacing w:before="0" w:after="0"/>
            </w:pPr>
            <w:r w:rsidRPr="00822128">
              <w:t>1 (1)</w:t>
            </w:r>
          </w:p>
        </w:tc>
        <w:tc>
          <w:tcPr>
            <w:tcW w:w="1783" w:type="dxa"/>
          </w:tcPr>
          <w:p w14:paraId="5430047A" w14:textId="77777777" w:rsidR="00C627FF" w:rsidRPr="003C6884" w:rsidRDefault="00C627FF" w:rsidP="00863A9C">
            <w:pPr>
              <w:pStyle w:val="Tabletext0"/>
              <w:keepNext/>
              <w:spacing w:before="0" w:after="0"/>
              <w:rPr>
                <w:i/>
                <w:iCs/>
                <w:color w:val="000000" w:themeColor="text1"/>
              </w:rPr>
            </w:pPr>
            <w:r w:rsidRPr="003C6884">
              <w:rPr>
                <w:i/>
                <w:iCs/>
                <w:color w:val="000000" w:themeColor="text1"/>
              </w:rPr>
              <w:t>1.98 (0.18, 21.59)</w:t>
            </w:r>
          </w:p>
        </w:tc>
      </w:tr>
      <w:tr w:rsidR="00C627FF" w:rsidRPr="00822128" w14:paraId="6FF9B70D" w14:textId="77777777" w:rsidTr="00863A9C">
        <w:tc>
          <w:tcPr>
            <w:tcW w:w="2788" w:type="dxa"/>
          </w:tcPr>
          <w:p w14:paraId="20AD4B2F" w14:textId="77777777" w:rsidR="00C627FF" w:rsidRPr="0045722C" w:rsidRDefault="00C627FF" w:rsidP="00863A9C">
            <w:pPr>
              <w:pStyle w:val="Tabletext0"/>
              <w:keepNext/>
              <w:spacing w:before="0" w:after="0"/>
              <w:ind w:left="227"/>
            </w:pPr>
            <w:r w:rsidRPr="00822128">
              <w:t>Constipation</w:t>
            </w:r>
          </w:p>
        </w:tc>
        <w:tc>
          <w:tcPr>
            <w:tcW w:w="1149" w:type="dxa"/>
          </w:tcPr>
          <w:p w14:paraId="332A1514" w14:textId="77777777" w:rsidR="00C627FF" w:rsidRPr="0045722C" w:rsidRDefault="00C627FF" w:rsidP="00863A9C">
            <w:pPr>
              <w:pStyle w:val="Tabletext0"/>
              <w:keepNext/>
              <w:spacing w:before="0" w:after="0"/>
            </w:pPr>
            <w:r w:rsidRPr="00822128">
              <w:t>34 (20)</w:t>
            </w:r>
          </w:p>
        </w:tc>
        <w:tc>
          <w:tcPr>
            <w:tcW w:w="1110" w:type="dxa"/>
          </w:tcPr>
          <w:p w14:paraId="70777349" w14:textId="77777777" w:rsidR="00C627FF" w:rsidRPr="0045722C" w:rsidRDefault="00C627FF" w:rsidP="00863A9C">
            <w:pPr>
              <w:pStyle w:val="Tabletext0"/>
              <w:keepNext/>
              <w:spacing w:before="0" w:after="0"/>
            </w:pPr>
            <w:r w:rsidRPr="00822128">
              <w:t>0</w:t>
            </w:r>
          </w:p>
        </w:tc>
        <w:tc>
          <w:tcPr>
            <w:tcW w:w="1087" w:type="dxa"/>
          </w:tcPr>
          <w:p w14:paraId="318E9B40" w14:textId="77777777" w:rsidR="00C627FF" w:rsidRPr="0045722C" w:rsidRDefault="00C627FF" w:rsidP="00863A9C">
            <w:pPr>
              <w:pStyle w:val="Tabletext0"/>
              <w:keepNext/>
              <w:spacing w:before="0" w:after="0"/>
            </w:pPr>
            <w:r w:rsidRPr="00822128">
              <w:t>58 (35)</w:t>
            </w:r>
          </w:p>
        </w:tc>
        <w:tc>
          <w:tcPr>
            <w:tcW w:w="1099" w:type="dxa"/>
          </w:tcPr>
          <w:p w14:paraId="46E6B719" w14:textId="77777777" w:rsidR="00C627FF" w:rsidRPr="0045722C" w:rsidRDefault="00C627FF" w:rsidP="00863A9C">
            <w:pPr>
              <w:pStyle w:val="Tabletext0"/>
              <w:keepNext/>
              <w:spacing w:before="0" w:after="0"/>
            </w:pPr>
            <w:r w:rsidRPr="00822128">
              <w:t>0</w:t>
            </w:r>
          </w:p>
        </w:tc>
        <w:tc>
          <w:tcPr>
            <w:tcW w:w="1783" w:type="dxa"/>
          </w:tcPr>
          <w:p w14:paraId="1C0B138D" w14:textId="77777777" w:rsidR="00C627FF" w:rsidRPr="003C6884" w:rsidRDefault="00C627FF" w:rsidP="00863A9C">
            <w:pPr>
              <w:pStyle w:val="Tabletext0"/>
              <w:keepNext/>
              <w:spacing w:before="0" w:after="0"/>
              <w:rPr>
                <w:i/>
                <w:iCs/>
                <w:color w:val="000000" w:themeColor="text1"/>
              </w:rPr>
            </w:pPr>
            <w:r w:rsidRPr="003C6884">
              <w:rPr>
                <w:i/>
                <w:iCs/>
                <w:color w:val="000000" w:themeColor="text1"/>
              </w:rPr>
              <w:t>-</w:t>
            </w:r>
          </w:p>
        </w:tc>
      </w:tr>
      <w:tr w:rsidR="00C627FF" w:rsidRPr="00822128" w14:paraId="65EC103B" w14:textId="77777777" w:rsidTr="00863A9C">
        <w:tc>
          <w:tcPr>
            <w:tcW w:w="2788" w:type="dxa"/>
          </w:tcPr>
          <w:p w14:paraId="59F05BB7" w14:textId="77777777" w:rsidR="00C627FF" w:rsidRPr="0045722C" w:rsidRDefault="00C627FF" w:rsidP="00863A9C">
            <w:pPr>
              <w:pStyle w:val="Tabletext0"/>
              <w:keepNext/>
              <w:spacing w:before="0" w:after="0"/>
              <w:ind w:left="227"/>
            </w:pPr>
            <w:r w:rsidRPr="00822128">
              <w:t>Vomiting</w:t>
            </w:r>
          </w:p>
        </w:tc>
        <w:tc>
          <w:tcPr>
            <w:tcW w:w="1149" w:type="dxa"/>
          </w:tcPr>
          <w:p w14:paraId="74FB6E31" w14:textId="77777777" w:rsidR="00C627FF" w:rsidRPr="0045722C" w:rsidRDefault="00C627FF" w:rsidP="00863A9C">
            <w:pPr>
              <w:pStyle w:val="Tabletext0"/>
              <w:keepNext/>
              <w:spacing w:before="0" w:after="0"/>
            </w:pPr>
            <w:r w:rsidRPr="00822128">
              <w:t>33 (19)</w:t>
            </w:r>
          </w:p>
        </w:tc>
        <w:tc>
          <w:tcPr>
            <w:tcW w:w="1110" w:type="dxa"/>
          </w:tcPr>
          <w:p w14:paraId="6CBF5186" w14:textId="77777777" w:rsidR="00C627FF" w:rsidRPr="0045722C" w:rsidRDefault="00C627FF" w:rsidP="00863A9C">
            <w:pPr>
              <w:pStyle w:val="Tabletext0"/>
              <w:keepNext/>
              <w:spacing w:before="0" w:after="0"/>
            </w:pPr>
            <w:r w:rsidRPr="00822128">
              <w:t>0</w:t>
            </w:r>
          </w:p>
        </w:tc>
        <w:tc>
          <w:tcPr>
            <w:tcW w:w="1087" w:type="dxa"/>
          </w:tcPr>
          <w:p w14:paraId="02A7681C" w14:textId="77777777" w:rsidR="00C627FF" w:rsidRPr="0045722C" w:rsidRDefault="00C627FF" w:rsidP="00863A9C">
            <w:pPr>
              <w:pStyle w:val="Tabletext0"/>
              <w:keepNext/>
              <w:spacing w:before="0" w:after="0"/>
            </w:pPr>
            <w:r w:rsidRPr="00822128">
              <w:t>55 (33)</w:t>
            </w:r>
          </w:p>
        </w:tc>
        <w:tc>
          <w:tcPr>
            <w:tcW w:w="1099" w:type="dxa"/>
          </w:tcPr>
          <w:p w14:paraId="6B51B956" w14:textId="77777777" w:rsidR="00C627FF" w:rsidRPr="0045722C" w:rsidRDefault="00C627FF" w:rsidP="00863A9C">
            <w:pPr>
              <w:pStyle w:val="Tabletext0"/>
              <w:keepNext/>
              <w:spacing w:before="0" w:after="0"/>
            </w:pPr>
            <w:r w:rsidRPr="00822128">
              <w:t>1 (1)</w:t>
            </w:r>
          </w:p>
        </w:tc>
        <w:tc>
          <w:tcPr>
            <w:tcW w:w="1783" w:type="dxa"/>
          </w:tcPr>
          <w:p w14:paraId="393FF6CE" w14:textId="77777777" w:rsidR="00C627FF" w:rsidRPr="003C6884" w:rsidRDefault="00C627FF" w:rsidP="00863A9C">
            <w:pPr>
              <w:pStyle w:val="Tabletext0"/>
              <w:keepNext/>
              <w:spacing w:before="0" w:after="0"/>
              <w:rPr>
                <w:i/>
                <w:iCs/>
                <w:color w:val="000000" w:themeColor="text1"/>
              </w:rPr>
            </w:pPr>
            <w:r w:rsidRPr="003C6884">
              <w:rPr>
                <w:i/>
                <w:iCs/>
                <w:color w:val="000000" w:themeColor="text1"/>
              </w:rPr>
              <w:t>-</w:t>
            </w:r>
          </w:p>
        </w:tc>
      </w:tr>
      <w:tr w:rsidR="00C627FF" w:rsidRPr="00822128" w14:paraId="53D29EF9" w14:textId="77777777" w:rsidTr="00863A9C">
        <w:tc>
          <w:tcPr>
            <w:tcW w:w="2788" w:type="dxa"/>
          </w:tcPr>
          <w:p w14:paraId="2C3787A5" w14:textId="77777777" w:rsidR="00C627FF" w:rsidRPr="0045722C" w:rsidRDefault="00C627FF" w:rsidP="00863A9C">
            <w:pPr>
              <w:pStyle w:val="Tabletext0"/>
              <w:keepNext/>
              <w:spacing w:before="0" w:after="0"/>
              <w:ind w:left="227"/>
            </w:pPr>
            <w:r w:rsidRPr="00822128">
              <w:t>Febrile neutropenia</w:t>
            </w:r>
          </w:p>
        </w:tc>
        <w:tc>
          <w:tcPr>
            <w:tcW w:w="1149" w:type="dxa"/>
          </w:tcPr>
          <w:p w14:paraId="695B811B" w14:textId="77777777" w:rsidR="00C627FF" w:rsidRPr="0045722C" w:rsidRDefault="00C627FF" w:rsidP="00863A9C">
            <w:pPr>
              <w:pStyle w:val="Tabletext0"/>
              <w:keepNext/>
              <w:spacing w:before="0" w:after="0"/>
            </w:pPr>
            <w:r w:rsidRPr="00822128">
              <w:t>4 (2)</w:t>
            </w:r>
          </w:p>
        </w:tc>
        <w:tc>
          <w:tcPr>
            <w:tcW w:w="1110" w:type="dxa"/>
          </w:tcPr>
          <w:p w14:paraId="7674E38A" w14:textId="77777777" w:rsidR="00C627FF" w:rsidRPr="0045722C" w:rsidRDefault="00C627FF" w:rsidP="00863A9C">
            <w:pPr>
              <w:pStyle w:val="Tabletext0"/>
              <w:keepNext/>
              <w:spacing w:before="0" w:after="0"/>
            </w:pPr>
            <w:r w:rsidRPr="00822128">
              <w:t>4 (2)</w:t>
            </w:r>
          </w:p>
        </w:tc>
        <w:tc>
          <w:tcPr>
            <w:tcW w:w="1087" w:type="dxa"/>
          </w:tcPr>
          <w:p w14:paraId="7D4A1333" w14:textId="77777777" w:rsidR="00C627FF" w:rsidRPr="0045722C" w:rsidRDefault="00C627FF" w:rsidP="00863A9C">
            <w:pPr>
              <w:pStyle w:val="Tabletext0"/>
              <w:keepNext/>
              <w:spacing w:before="0" w:after="0"/>
            </w:pPr>
            <w:r w:rsidRPr="00822128">
              <w:t>46 (27)</w:t>
            </w:r>
          </w:p>
        </w:tc>
        <w:tc>
          <w:tcPr>
            <w:tcW w:w="1099" w:type="dxa"/>
          </w:tcPr>
          <w:p w14:paraId="1DCF854A" w14:textId="77777777" w:rsidR="00C627FF" w:rsidRPr="0045722C" w:rsidRDefault="00C627FF" w:rsidP="00863A9C">
            <w:pPr>
              <w:pStyle w:val="Tabletext0"/>
              <w:keepNext/>
              <w:spacing w:before="0" w:after="0"/>
            </w:pPr>
            <w:r w:rsidRPr="00822128">
              <w:t>46 (27)</w:t>
            </w:r>
          </w:p>
        </w:tc>
        <w:tc>
          <w:tcPr>
            <w:tcW w:w="1783" w:type="dxa"/>
          </w:tcPr>
          <w:p w14:paraId="3D3921CE" w14:textId="77777777" w:rsidR="00C627FF" w:rsidRPr="003C6884" w:rsidRDefault="00C627FF" w:rsidP="00863A9C">
            <w:pPr>
              <w:pStyle w:val="Tabletext0"/>
              <w:keepNext/>
              <w:spacing w:before="0" w:after="0"/>
              <w:rPr>
                <w:b/>
                <w:i/>
                <w:iCs/>
                <w:color w:val="000000" w:themeColor="text1"/>
              </w:rPr>
            </w:pPr>
            <w:r w:rsidRPr="003C6884">
              <w:rPr>
                <w:b/>
                <w:bCs/>
                <w:i/>
                <w:iCs/>
                <w:color w:val="000000" w:themeColor="text1"/>
              </w:rPr>
              <w:t>0.09 (0.03, 0.23)</w:t>
            </w:r>
          </w:p>
        </w:tc>
      </w:tr>
      <w:tr w:rsidR="003C6884" w:rsidRPr="00822128" w14:paraId="743BCC0B" w14:textId="77777777" w:rsidTr="00863A9C">
        <w:tc>
          <w:tcPr>
            <w:tcW w:w="2788" w:type="dxa"/>
          </w:tcPr>
          <w:p w14:paraId="522986B4" w14:textId="77777777" w:rsidR="003C6884" w:rsidRPr="0045722C" w:rsidRDefault="003C6884" w:rsidP="00863A9C">
            <w:pPr>
              <w:pStyle w:val="Tabletext0"/>
              <w:keepNext/>
              <w:spacing w:before="0" w:after="0"/>
            </w:pPr>
            <w:r w:rsidRPr="00822128">
              <w:t>Cytokine release syndrome — no. (%)</w:t>
            </w:r>
          </w:p>
        </w:tc>
        <w:tc>
          <w:tcPr>
            <w:tcW w:w="1149" w:type="dxa"/>
          </w:tcPr>
          <w:p w14:paraId="1E2195D6" w14:textId="77777777" w:rsidR="003C6884" w:rsidRPr="0045722C" w:rsidRDefault="003C6884" w:rsidP="00863A9C">
            <w:pPr>
              <w:pStyle w:val="Tabletext0"/>
              <w:keepNext/>
              <w:spacing w:before="0" w:after="0"/>
            </w:pPr>
            <w:r w:rsidRPr="00822128">
              <w:t>157 (92)</w:t>
            </w:r>
          </w:p>
        </w:tc>
        <w:tc>
          <w:tcPr>
            <w:tcW w:w="1110" w:type="dxa"/>
          </w:tcPr>
          <w:p w14:paraId="097E028B" w14:textId="77777777" w:rsidR="003C6884" w:rsidRPr="0045722C" w:rsidRDefault="003C6884" w:rsidP="00863A9C">
            <w:pPr>
              <w:pStyle w:val="Tabletext0"/>
              <w:keepNext/>
              <w:spacing w:before="0" w:after="0"/>
            </w:pPr>
            <w:r w:rsidRPr="00822128">
              <w:t>11 (6)</w:t>
            </w:r>
          </w:p>
        </w:tc>
        <w:tc>
          <w:tcPr>
            <w:tcW w:w="1087" w:type="dxa"/>
          </w:tcPr>
          <w:p w14:paraId="42345321" w14:textId="40B9FA3C" w:rsidR="003C6884" w:rsidRPr="0045722C" w:rsidRDefault="003C6884" w:rsidP="00863A9C">
            <w:pPr>
              <w:pStyle w:val="Tabletext0"/>
              <w:keepNext/>
              <w:spacing w:before="0" w:after="0"/>
            </w:pPr>
            <w:r w:rsidRPr="003C6884">
              <w:rPr>
                <w:i/>
                <w:iCs/>
                <w:color w:val="000000" w:themeColor="text1"/>
              </w:rPr>
              <w:t>-</w:t>
            </w:r>
          </w:p>
        </w:tc>
        <w:tc>
          <w:tcPr>
            <w:tcW w:w="1099" w:type="dxa"/>
          </w:tcPr>
          <w:p w14:paraId="6C660183" w14:textId="1AB27508" w:rsidR="003C6884" w:rsidRPr="0045722C" w:rsidRDefault="003C6884" w:rsidP="00863A9C">
            <w:pPr>
              <w:pStyle w:val="Tabletext0"/>
              <w:keepNext/>
              <w:spacing w:before="0" w:after="0"/>
            </w:pPr>
            <w:r w:rsidRPr="003C6884">
              <w:rPr>
                <w:i/>
                <w:iCs/>
                <w:color w:val="000000" w:themeColor="text1"/>
              </w:rPr>
              <w:t>-</w:t>
            </w:r>
          </w:p>
        </w:tc>
        <w:tc>
          <w:tcPr>
            <w:tcW w:w="1783" w:type="dxa"/>
          </w:tcPr>
          <w:p w14:paraId="2054E758" w14:textId="252996A4" w:rsidR="003C6884" w:rsidRPr="003C6884" w:rsidRDefault="003C6884" w:rsidP="00863A9C">
            <w:pPr>
              <w:pStyle w:val="Tabletext0"/>
              <w:keepNext/>
              <w:spacing w:before="0" w:after="0"/>
              <w:rPr>
                <w:i/>
                <w:iCs/>
                <w:color w:val="000000" w:themeColor="text1"/>
              </w:rPr>
            </w:pPr>
            <w:r w:rsidRPr="003C6884">
              <w:rPr>
                <w:i/>
                <w:iCs/>
                <w:color w:val="000000" w:themeColor="text1"/>
              </w:rPr>
              <w:t>-</w:t>
            </w:r>
          </w:p>
        </w:tc>
      </w:tr>
      <w:tr w:rsidR="003C6884" w:rsidRPr="00822128" w14:paraId="6FAA9CEB" w14:textId="77777777" w:rsidTr="00863A9C">
        <w:tc>
          <w:tcPr>
            <w:tcW w:w="2788" w:type="dxa"/>
          </w:tcPr>
          <w:p w14:paraId="350FC13A" w14:textId="77777777" w:rsidR="003C6884" w:rsidRPr="0045722C" w:rsidRDefault="003C6884" w:rsidP="00863A9C">
            <w:pPr>
              <w:pStyle w:val="Tabletext0"/>
              <w:keepNext/>
              <w:spacing w:before="0" w:after="0"/>
            </w:pPr>
            <w:r w:rsidRPr="00822128">
              <w:t>Pyrexia — no./total no. (%)</w:t>
            </w:r>
          </w:p>
        </w:tc>
        <w:tc>
          <w:tcPr>
            <w:tcW w:w="1149" w:type="dxa"/>
          </w:tcPr>
          <w:p w14:paraId="38749208" w14:textId="77777777" w:rsidR="003C6884" w:rsidRPr="0045722C" w:rsidRDefault="003C6884" w:rsidP="00863A9C">
            <w:pPr>
              <w:pStyle w:val="Tabletext0"/>
              <w:keepNext/>
              <w:spacing w:before="0" w:after="0"/>
            </w:pPr>
            <w:r w:rsidRPr="00822128">
              <w:t>155/157 (99)</w:t>
            </w:r>
          </w:p>
        </w:tc>
        <w:tc>
          <w:tcPr>
            <w:tcW w:w="1110" w:type="dxa"/>
          </w:tcPr>
          <w:p w14:paraId="6B130D14" w14:textId="77777777" w:rsidR="003C6884" w:rsidRPr="0045722C" w:rsidRDefault="003C6884" w:rsidP="00863A9C">
            <w:pPr>
              <w:pStyle w:val="Tabletext0"/>
              <w:keepNext/>
              <w:spacing w:before="0" w:after="0"/>
            </w:pPr>
            <w:r w:rsidRPr="00822128">
              <w:t>14/157 (9)</w:t>
            </w:r>
          </w:p>
        </w:tc>
        <w:tc>
          <w:tcPr>
            <w:tcW w:w="1087" w:type="dxa"/>
          </w:tcPr>
          <w:p w14:paraId="54E99FBE" w14:textId="5356BDC0" w:rsidR="003C6884" w:rsidRPr="0045722C" w:rsidRDefault="003C6884" w:rsidP="00863A9C">
            <w:pPr>
              <w:pStyle w:val="Tabletext0"/>
              <w:keepNext/>
              <w:spacing w:before="0" w:after="0"/>
            </w:pPr>
            <w:r w:rsidRPr="003C6884">
              <w:rPr>
                <w:i/>
                <w:iCs/>
                <w:color w:val="000000" w:themeColor="text1"/>
              </w:rPr>
              <w:t>-</w:t>
            </w:r>
          </w:p>
        </w:tc>
        <w:tc>
          <w:tcPr>
            <w:tcW w:w="1099" w:type="dxa"/>
          </w:tcPr>
          <w:p w14:paraId="21A21005" w14:textId="02E47418" w:rsidR="003C6884" w:rsidRPr="0045722C" w:rsidRDefault="003C6884" w:rsidP="00863A9C">
            <w:pPr>
              <w:pStyle w:val="Tabletext0"/>
              <w:keepNext/>
              <w:spacing w:before="0" w:after="0"/>
            </w:pPr>
            <w:r w:rsidRPr="003C6884">
              <w:rPr>
                <w:i/>
                <w:iCs/>
                <w:color w:val="000000" w:themeColor="text1"/>
              </w:rPr>
              <w:t>-</w:t>
            </w:r>
          </w:p>
        </w:tc>
        <w:tc>
          <w:tcPr>
            <w:tcW w:w="1783" w:type="dxa"/>
          </w:tcPr>
          <w:p w14:paraId="614D5B0B" w14:textId="4784DD2E" w:rsidR="003C6884" w:rsidRPr="003C6884" w:rsidRDefault="003C6884" w:rsidP="00863A9C">
            <w:pPr>
              <w:pStyle w:val="Tabletext0"/>
              <w:keepNext/>
              <w:spacing w:before="0" w:after="0"/>
              <w:rPr>
                <w:i/>
                <w:iCs/>
                <w:color w:val="000000" w:themeColor="text1"/>
              </w:rPr>
            </w:pPr>
            <w:r w:rsidRPr="003C6884">
              <w:rPr>
                <w:i/>
                <w:iCs/>
                <w:color w:val="000000" w:themeColor="text1"/>
              </w:rPr>
              <w:t>-</w:t>
            </w:r>
          </w:p>
        </w:tc>
      </w:tr>
      <w:tr w:rsidR="003C6884" w:rsidRPr="00822128" w14:paraId="6981FD56" w14:textId="77777777" w:rsidTr="00863A9C">
        <w:tc>
          <w:tcPr>
            <w:tcW w:w="2788" w:type="dxa"/>
          </w:tcPr>
          <w:p w14:paraId="7F52E119" w14:textId="77777777" w:rsidR="003C6884" w:rsidRPr="0045722C" w:rsidRDefault="003C6884" w:rsidP="00863A9C">
            <w:pPr>
              <w:pStyle w:val="Tabletext0"/>
              <w:keepNext/>
              <w:spacing w:before="0" w:after="0"/>
            </w:pPr>
            <w:r w:rsidRPr="00822128">
              <w:t>Hypotension — no./total no. (%)</w:t>
            </w:r>
          </w:p>
        </w:tc>
        <w:tc>
          <w:tcPr>
            <w:tcW w:w="1149" w:type="dxa"/>
          </w:tcPr>
          <w:p w14:paraId="2992747E" w14:textId="77777777" w:rsidR="003C6884" w:rsidRPr="0045722C" w:rsidRDefault="003C6884" w:rsidP="00863A9C">
            <w:pPr>
              <w:pStyle w:val="Tabletext0"/>
              <w:keepNext/>
              <w:spacing w:before="0" w:after="0"/>
            </w:pPr>
            <w:r w:rsidRPr="00822128">
              <w:t>68/157 (43)</w:t>
            </w:r>
          </w:p>
        </w:tc>
        <w:tc>
          <w:tcPr>
            <w:tcW w:w="1110" w:type="dxa"/>
          </w:tcPr>
          <w:p w14:paraId="728BDBB7" w14:textId="77777777" w:rsidR="003C6884" w:rsidRPr="0045722C" w:rsidRDefault="003C6884" w:rsidP="00863A9C">
            <w:pPr>
              <w:pStyle w:val="Tabletext0"/>
              <w:keepNext/>
              <w:spacing w:before="0" w:after="0"/>
            </w:pPr>
            <w:r w:rsidRPr="00822128">
              <w:t>18/157 (11)</w:t>
            </w:r>
          </w:p>
        </w:tc>
        <w:tc>
          <w:tcPr>
            <w:tcW w:w="1087" w:type="dxa"/>
          </w:tcPr>
          <w:p w14:paraId="7A78E26E" w14:textId="25373B3B" w:rsidR="003C6884" w:rsidRPr="0045722C" w:rsidRDefault="003C6884" w:rsidP="00863A9C">
            <w:pPr>
              <w:pStyle w:val="Tabletext0"/>
              <w:keepNext/>
              <w:spacing w:before="0" w:after="0"/>
            </w:pPr>
            <w:r w:rsidRPr="003C6884">
              <w:rPr>
                <w:i/>
                <w:iCs/>
                <w:color w:val="000000" w:themeColor="text1"/>
              </w:rPr>
              <w:t>-</w:t>
            </w:r>
          </w:p>
        </w:tc>
        <w:tc>
          <w:tcPr>
            <w:tcW w:w="1099" w:type="dxa"/>
          </w:tcPr>
          <w:p w14:paraId="0A9385FB" w14:textId="55B8666F" w:rsidR="003C6884" w:rsidRPr="0045722C" w:rsidRDefault="003C6884" w:rsidP="00863A9C">
            <w:pPr>
              <w:pStyle w:val="Tabletext0"/>
              <w:keepNext/>
              <w:spacing w:before="0" w:after="0"/>
            </w:pPr>
            <w:r w:rsidRPr="003C6884">
              <w:rPr>
                <w:i/>
                <w:iCs/>
                <w:color w:val="000000" w:themeColor="text1"/>
              </w:rPr>
              <w:t>-</w:t>
            </w:r>
          </w:p>
        </w:tc>
        <w:tc>
          <w:tcPr>
            <w:tcW w:w="1783" w:type="dxa"/>
          </w:tcPr>
          <w:p w14:paraId="5887B6F0" w14:textId="4F26121D" w:rsidR="003C6884" w:rsidRPr="003C6884" w:rsidRDefault="003C6884" w:rsidP="00863A9C">
            <w:pPr>
              <w:pStyle w:val="Tabletext0"/>
              <w:keepNext/>
              <w:spacing w:before="0" w:after="0"/>
              <w:rPr>
                <w:i/>
                <w:iCs/>
                <w:color w:val="000000" w:themeColor="text1"/>
              </w:rPr>
            </w:pPr>
            <w:r w:rsidRPr="003C6884">
              <w:rPr>
                <w:i/>
                <w:iCs/>
                <w:color w:val="000000" w:themeColor="text1"/>
              </w:rPr>
              <w:t>-</w:t>
            </w:r>
          </w:p>
        </w:tc>
      </w:tr>
      <w:tr w:rsidR="003C6884" w:rsidRPr="00822128" w14:paraId="3D8DF64B" w14:textId="77777777" w:rsidTr="00863A9C">
        <w:tc>
          <w:tcPr>
            <w:tcW w:w="2788" w:type="dxa"/>
          </w:tcPr>
          <w:p w14:paraId="3AE0B884" w14:textId="77777777" w:rsidR="003C6884" w:rsidRPr="0045722C" w:rsidRDefault="003C6884" w:rsidP="00863A9C">
            <w:pPr>
              <w:pStyle w:val="Tabletext0"/>
              <w:keepNext/>
              <w:spacing w:before="0" w:after="0"/>
            </w:pPr>
            <w:r w:rsidRPr="00822128">
              <w:t>Sinus tachycardia — no./total no. (%)</w:t>
            </w:r>
          </w:p>
        </w:tc>
        <w:tc>
          <w:tcPr>
            <w:tcW w:w="1149" w:type="dxa"/>
          </w:tcPr>
          <w:p w14:paraId="5A13657C" w14:textId="77777777" w:rsidR="003C6884" w:rsidRPr="0045722C" w:rsidRDefault="003C6884" w:rsidP="00863A9C">
            <w:pPr>
              <w:pStyle w:val="Tabletext0"/>
              <w:keepNext/>
              <w:spacing w:before="0" w:after="0"/>
            </w:pPr>
            <w:r w:rsidRPr="00822128">
              <w:t>49/157 (31)</w:t>
            </w:r>
          </w:p>
        </w:tc>
        <w:tc>
          <w:tcPr>
            <w:tcW w:w="1110" w:type="dxa"/>
          </w:tcPr>
          <w:p w14:paraId="35293577" w14:textId="77777777" w:rsidR="003C6884" w:rsidRPr="0045722C" w:rsidRDefault="003C6884" w:rsidP="00863A9C">
            <w:pPr>
              <w:pStyle w:val="Tabletext0"/>
              <w:keepNext/>
              <w:spacing w:before="0" w:after="0"/>
            </w:pPr>
            <w:r w:rsidRPr="00822128">
              <w:t>3/157 (2)</w:t>
            </w:r>
          </w:p>
        </w:tc>
        <w:tc>
          <w:tcPr>
            <w:tcW w:w="1087" w:type="dxa"/>
          </w:tcPr>
          <w:p w14:paraId="08F4F3E5" w14:textId="2E1F6F9F" w:rsidR="003C6884" w:rsidRPr="0045722C" w:rsidRDefault="003C6884" w:rsidP="00863A9C">
            <w:pPr>
              <w:pStyle w:val="Tabletext0"/>
              <w:keepNext/>
              <w:spacing w:before="0" w:after="0"/>
            </w:pPr>
            <w:r w:rsidRPr="003C6884">
              <w:rPr>
                <w:i/>
                <w:iCs/>
                <w:color w:val="000000" w:themeColor="text1"/>
              </w:rPr>
              <w:t>-</w:t>
            </w:r>
          </w:p>
        </w:tc>
        <w:tc>
          <w:tcPr>
            <w:tcW w:w="1099" w:type="dxa"/>
          </w:tcPr>
          <w:p w14:paraId="383D4D9E" w14:textId="60A8FA88" w:rsidR="003C6884" w:rsidRPr="0045722C" w:rsidRDefault="003C6884" w:rsidP="00863A9C">
            <w:pPr>
              <w:pStyle w:val="Tabletext0"/>
              <w:keepNext/>
              <w:spacing w:before="0" w:after="0"/>
            </w:pPr>
            <w:r w:rsidRPr="003C6884">
              <w:rPr>
                <w:i/>
                <w:iCs/>
                <w:color w:val="000000" w:themeColor="text1"/>
              </w:rPr>
              <w:t>-</w:t>
            </w:r>
          </w:p>
        </w:tc>
        <w:tc>
          <w:tcPr>
            <w:tcW w:w="1783" w:type="dxa"/>
          </w:tcPr>
          <w:p w14:paraId="22D76D6F" w14:textId="0291CBAA" w:rsidR="003C6884" w:rsidRPr="003C6884" w:rsidRDefault="003C6884" w:rsidP="00863A9C">
            <w:pPr>
              <w:pStyle w:val="Tabletext0"/>
              <w:keepNext/>
              <w:spacing w:before="0" w:after="0"/>
              <w:rPr>
                <w:i/>
                <w:iCs/>
                <w:color w:val="000000" w:themeColor="text1"/>
              </w:rPr>
            </w:pPr>
            <w:r w:rsidRPr="003C6884">
              <w:rPr>
                <w:i/>
                <w:iCs/>
                <w:color w:val="000000" w:themeColor="text1"/>
              </w:rPr>
              <w:t>-</w:t>
            </w:r>
          </w:p>
        </w:tc>
      </w:tr>
      <w:tr w:rsidR="003C6884" w:rsidRPr="00822128" w14:paraId="40E59388" w14:textId="77777777" w:rsidTr="00863A9C">
        <w:tc>
          <w:tcPr>
            <w:tcW w:w="2788" w:type="dxa"/>
          </w:tcPr>
          <w:p w14:paraId="0A2E7337" w14:textId="77777777" w:rsidR="003C6884" w:rsidRPr="0045722C" w:rsidRDefault="003C6884" w:rsidP="00863A9C">
            <w:pPr>
              <w:pStyle w:val="Tabletext0"/>
              <w:keepNext/>
              <w:spacing w:before="0" w:after="0"/>
            </w:pPr>
            <w:r w:rsidRPr="00822128">
              <w:t>Chills — no./total no. (%)</w:t>
            </w:r>
          </w:p>
        </w:tc>
        <w:tc>
          <w:tcPr>
            <w:tcW w:w="1149" w:type="dxa"/>
          </w:tcPr>
          <w:p w14:paraId="3306C1E6" w14:textId="77777777" w:rsidR="003C6884" w:rsidRPr="0045722C" w:rsidRDefault="003C6884" w:rsidP="00863A9C">
            <w:pPr>
              <w:pStyle w:val="Tabletext0"/>
              <w:keepNext/>
              <w:spacing w:before="0" w:after="0"/>
            </w:pPr>
            <w:r w:rsidRPr="00822128">
              <w:t>38/157 (24)</w:t>
            </w:r>
          </w:p>
        </w:tc>
        <w:tc>
          <w:tcPr>
            <w:tcW w:w="1110" w:type="dxa"/>
          </w:tcPr>
          <w:p w14:paraId="254961E2" w14:textId="77777777" w:rsidR="003C6884" w:rsidRPr="0045722C" w:rsidRDefault="003C6884" w:rsidP="00863A9C">
            <w:pPr>
              <w:pStyle w:val="Tabletext0"/>
              <w:keepNext/>
              <w:spacing w:before="0" w:after="0"/>
            </w:pPr>
            <w:r w:rsidRPr="00822128">
              <w:t>0/157</w:t>
            </w:r>
          </w:p>
        </w:tc>
        <w:tc>
          <w:tcPr>
            <w:tcW w:w="1087" w:type="dxa"/>
          </w:tcPr>
          <w:p w14:paraId="0B3CDFF7" w14:textId="226D4C29" w:rsidR="003C6884" w:rsidRPr="0045722C" w:rsidRDefault="003C6884" w:rsidP="00863A9C">
            <w:pPr>
              <w:pStyle w:val="Tabletext0"/>
              <w:keepNext/>
              <w:spacing w:before="0" w:after="0"/>
            </w:pPr>
            <w:r w:rsidRPr="003C6884">
              <w:rPr>
                <w:i/>
                <w:iCs/>
                <w:color w:val="000000" w:themeColor="text1"/>
              </w:rPr>
              <w:t>-</w:t>
            </w:r>
          </w:p>
        </w:tc>
        <w:tc>
          <w:tcPr>
            <w:tcW w:w="1099" w:type="dxa"/>
          </w:tcPr>
          <w:p w14:paraId="3968B76F" w14:textId="12176551" w:rsidR="003C6884" w:rsidRPr="0045722C" w:rsidRDefault="003C6884" w:rsidP="00863A9C">
            <w:pPr>
              <w:pStyle w:val="Tabletext0"/>
              <w:keepNext/>
              <w:spacing w:before="0" w:after="0"/>
            </w:pPr>
            <w:r w:rsidRPr="003C6884">
              <w:rPr>
                <w:i/>
                <w:iCs/>
                <w:color w:val="000000" w:themeColor="text1"/>
              </w:rPr>
              <w:t>-</w:t>
            </w:r>
          </w:p>
        </w:tc>
        <w:tc>
          <w:tcPr>
            <w:tcW w:w="1783" w:type="dxa"/>
          </w:tcPr>
          <w:p w14:paraId="0151F9B7" w14:textId="2E3EE62A" w:rsidR="003C6884" w:rsidRPr="003C6884" w:rsidRDefault="003C6884" w:rsidP="00863A9C">
            <w:pPr>
              <w:pStyle w:val="Tabletext0"/>
              <w:keepNext/>
              <w:spacing w:before="0" w:after="0"/>
              <w:rPr>
                <w:i/>
                <w:iCs/>
                <w:color w:val="000000" w:themeColor="text1"/>
              </w:rPr>
            </w:pPr>
            <w:r w:rsidRPr="003C6884">
              <w:rPr>
                <w:i/>
                <w:iCs/>
                <w:color w:val="000000" w:themeColor="text1"/>
              </w:rPr>
              <w:t>-</w:t>
            </w:r>
          </w:p>
        </w:tc>
      </w:tr>
      <w:tr w:rsidR="003C6884" w:rsidRPr="00822128" w14:paraId="5E7A7169" w14:textId="77777777" w:rsidTr="00863A9C">
        <w:tc>
          <w:tcPr>
            <w:tcW w:w="2788" w:type="dxa"/>
          </w:tcPr>
          <w:p w14:paraId="4259AF22" w14:textId="77777777" w:rsidR="003C6884" w:rsidRPr="0045722C" w:rsidRDefault="003C6884" w:rsidP="00863A9C">
            <w:pPr>
              <w:pStyle w:val="Tabletext0"/>
              <w:keepNext/>
              <w:spacing w:before="0" w:after="0"/>
            </w:pPr>
            <w:r w:rsidRPr="00822128">
              <w:t>Hypoxia — no./total no. (%)</w:t>
            </w:r>
          </w:p>
        </w:tc>
        <w:tc>
          <w:tcPr>
            <w:tcW w:w="1149" w:type="dxa"/>
          </w:tcPr>
          <w:p w14:paraId="05A091C8" w14:textId="77777777" w:rsidR="003C6884" w:rsidRPr="0045722C" w:rsidRDefault="003C6884" w:rsidP="00863A9C">
            <w:pPr>
              <w:pStyle w:val="Tabletext0"/>
              <w:keepNext/>
              <w:spacing w:before="0" w:after="0"/>
            </w:pPr>
            <w:r w:rsidRPr="00822128">
              <w:t>31/157 (20)</w:t>
            </w:r>
          </w:p>
        </w:tc>
        <w:tc>
          <w:tcPr>
            <w:tcW w:w="1110" w:type="dxa"/>
          </w:tcPr>
          <w:p w14:paraId="7C0564BE" w14:textId="77777777" w:rsidR="003C6884" w:rsidRPr="0045722C" w:rsidRDefault="003C6884" w:rsidP="00863A9C">
            <w:pPr>
              <w:pStyle w:val="Tabletext0"/>
              <w:keepNext/>
              <w:spacing w:before="0" w:after="0"/>
            </w:pPr>
            <w:r w:rsidRPr="00822128">
              <w:t>13/157 (8)</w:t>
            </w:r>
          </w:p>
        </w:tc>
        <w:tc>
          <w:tcPr>
            <w:tcW w:w="1087" w:type="dxa"/>
          </w:tcPr>
          <w:p w14:paraId="75F6CAFA" w14:textId="29F0322F" w:rsidR="003C6884" w:rsidRPr="0045722C" w:rsidRDefault="003C6884" w:rsidP="00863A9C">
            <w:pPr>
              <w:pStyle w:val="Tabletext0"/>
              <w:keepNext/>
              <w:spacing w:before="0" w:after="0"/>
            </w:pPr>
            <w:r w:rsidRPr="003C6884">
              <w:rPr>
                <w:i/>
                <w:iCs/>
                <w:color w:val="000000" w:themeColor="text1"/>
              </w:rPr>
              <w:t>-</w:t>
            </w:r>
          </w:p>
        </w:tc>
        <w:tc>
          <w:tcPr>
            <w:tcW w:w="1099" w:type="dxa"/>
          </w:tcPr>
          <w:p w14:paraId="17D5BFB3" w14:textId="7AD998B4" w:rsidR="003C6884" w:rsidRPr="0045722C" w:rsidRDefault="003C6884" w:rsidP="00863A9C">
            <w:pPr>
              <w:pStyle w:val="Tabletext0"/>
              <w:keepNext/>
              <w:spacing w:before="0" w:after="0"/>
            </w:pPr>
            <w:r w:rsidRPr="003C6884">
              <w:rPr>
                <w:i/>
                <w:iCs/>
                <w:color w:val="000000" w:themeColor="text1"/>
              </w:rPr>
              <w:t>-</w:t>
            </w:r>
          </w:p>
        </w:tc>
        <w:tc>
          <w:tcPr>
            <w:tcW w:w="1783" w:type="dxa"/>
          </w:tcPr>
          <w:p w14:paraId="7E27F8A3" w14:textId="3E10B5F2" w:rsidR="003C6884" w:rsidRPr="003C6884" w:rsidRDefault="003C6884" w:rsidP="00863A9C">
            <w:pPr>
              <w:pStyle w:val="Tabletext0"/>
              <w:keepNext/>
              <w:spacing w:before="0" w:after="0"/>
              <w:rPr>
                <w:i/>
                <w:iCs/>
                <w:color w:val="000000" w:themeColor="text1"/>
              </w:rPr>
            </w:pPr>
            <w:r w:rsidRPr="003C6884">
              <w:rPr>
                <w:i/>
                <w:iCs/>
                <w:color w:val="000000" w:themeColor="text1"/>
              </w:rPr>
              <w:t>-</w:t>
            </w:r>
          </w:p>
        </w:tc>
      </w:tr>
      <w:tr w:rsidR="003C6884" w:rsidRPr="00822128" w14:paraId="784FC9B6" w14:textId="77777777" w:rsidTr="00863A9C">
        <w:tc>
          <w:tcPr>
            <w:tcW w:w="2788" w:type="dxa"/>
          </w:tcPr>
          <w:p w14:paraId="1A5DAE13" w14:textId="77777777" w:rsidR="003C6884" w:rsidRPr="0045722C" w:rsidRDefault="003C6884" w:rsidP="00863A9C">
            <w:pPr>
              <w:pStyle w:val="Tabletext0"/>
              <w:keepNext/>
              <w:spacing w:before="0" w:after="0"/>
            </w:pPr>
            <w:r w:rsidRPr="00822128">
              <w:t>Headache — no./total no. (%)</w:t>
            </w:r>
          </w:p>
        </w:tc>
        <w:tc>
          <w:tcPr>
            <w:tcW w:w="1149" w:type="dxa"/>
          </w:tcPr>
          <w:p w14:paraId="16EBDC15" w14:textId="77777777" w:rsidR="003C6884" w:rsidRPr="0045722C" w:rsidRDefault="003C6884" w:rsidP="00863A9C">
            <w:pPr>
              <w:pStyle w:val="Tabletext0"/>
              <w:keepNext/>
              <w:spacing w:before="0" w:after="0"/>
            </w:pPr>
            <w:r w:rsidRPr="00822128">
              <w:t>32/157 (20)</w:t>
            </w:r>
          </w:p>
        </w:tc>
        <w:tc>
          <w:tcPr>
            <w:tcW w:w="1110" w:type="dxa"/>
          </w:tcPr>
          <w:p w14:paraId="7166C88C" w14:textId="77777777" w:rsidR="003C6884" w:rsidRPr="0045722C" w:rsidRDefault="003C6884" w:rsidP="00863A9C">
            <w:pPr>
              <w:pStyle w:val="Tabletext0"/>
              <w:keepNext/>
              <w:spacing w:before="0" w:after="0"/>
            </w:pPr>
            <w:r w:rsidRPr="00822128">
              <w:t>2/157 (1)</w:t>
            </w:r>
          </w:p>
        </w:tc>
        <w:tc>
          <w:tcPr>
            <w:tcW w:w="1087" w:type="dxa"/>
          </w:tcPr>
          <w:p w14:paraId="0F28A889" w14:textId="75B1B974" w:rsidR="003C6884" w:rsidRPr="0045722C" w:rsidRDefault="003C6884" w:rsidP="00863A9C">
            <w:pPr>
              <w:pStyle w:val="Tabletext0"/>
              <w:keepNext/>
              <w:spacing w:before="0" w:after="0"/>
            </w:pPr>
            <w:r w:rsidRPr="003C6884">
              <w:rPr>
                <w:i/>
                <w:iCs/>
                <w:color w:val="000000" w:themeColor="text1"/>
              </w:rPr>
              <w:t>-</w:t>
            </w:r>
          </w:p>
        </w:tc>
        <w:tc>
          <w:tcPr>
            <w:tcW w:w="1099" w:type="dxa"/>
          </w:tcPr>
          <w:p w14:paraId="25D6450C" w14:textId="68C9704F" w:rsidR="003C6884" w:rsidRPr="0045722C" w:rsidRDefault="003C6884" w:rsidP="00863A9C">
            <w:pPr>
              <w:pStyle w:val="Tabletext0"/>
              <w:keepNext/>
              <w:spacing w:before="0" w:after="0"/>
            </w:pPr>
            <w:r w:rsidRPr="003C6884">
              <w:rPr>
                <w:i/>
                <w:iCs/>
                <w:color w:val="000000" w:themeColor="text1"/>
              </w:rPr>
              <w:t>-</w:t>
            </w:r>
          </w:p>
        </w:tc>
        <w:tc>
          <w:tcPr>
            <w:tcW w:w="1783" w:type="dxa"/>
          </w:tcPr>
          <w:p w14:paraId="28239675" w14:textId="2220E9D8" w:rsidR="003C6884" w:rsidRPr="003C6884" w:rsidRDefault="003C6884" w:rsidP="00863A9C">
            <w:pPr>
              <w:pStyle w:val="Tabletext0"/>
              <w:keepNext/>
              <w:spacing w:before="0" w:after="0"/>
              <w:rPr>
                <w:i/>
                <w:iCs/>
                <w:color w:val="000000" w:themeColor="text1"/>
              </w:rPr>
            </w:pPr>
            <w:r w:rsidRPr="003C6884">
              <w:rPr>
                <w:i/>
                <w:iCs/>
                <w:color w:val="000000" w:themeColor="text1"/>
              </w:rPr>
              <w:t>-</w:t>
            </w:r>
          </w:p>
        </w:tc>
      </w:tr>
      <w:tr w:rsidR="00C627FF" w:rsidRPr="00822128" w14:paraId="163ABDDA" w14:textId="77777777" w:rsidTr="00863A9C">
        <w:tc>
          <w:tcPr>
            <w:tcW w:w="2788" w:type="dxa"/>
          </w:tcPr>
          <w:p w14:paraId="27FA48B3" w14:textId="77777777" w:rsidR="00C627FF" w:rsidRPr="0045722C" w:rsidRDefault="00C627FF" w:rsidP="00863A9C">
            <w:pPr>
              <w:pStyle w:val="Tabletext0"/>
              <w:keepNext/>
              <w:spacing w:before="0" w:after="0"/>
            </w:pPr>
            <w:r w:rsidRPr="00822128">
              <w:t>Neurologic event — no. (%)</w:t>
            </w:r>
          </w:p>
        </w:tc>
        <w:tc>
          <w:tcPr>
            <w:tcW w:w="1149" w:type="dxa"/>
          </w:tcPr>
          <w:p w14:paraId="47C3BEFD" w14:textId="77777777" w:rsidR="00C627FF" w:rsidRPr="0045722C" w:rsidRDefault="00C627FF" w:rsidP="00863A9C">
            <w:pPr>
              <w:pStyle w:val="Tabletext0"/>
              <w:keepNext/>
              <w:spacing w:before="0" w:after="0"/>
            </w:pPr>
            <w:r w:rsidRPr="00822128">
              <w:t>102 (60)</w:t>
            </w:r>
          </w:p>
        </w:tc>
        <w:tc>
          <w:tcPr>
            <w:tcW w:w="1110" w:type="dxa"/>
          </w:tcPr>
          <w:p w14:paraId="3B82C016" w14:textId="77777777" w:rsidR="00C627FF" w:rsidRPr="0045722C" w:rsidRDefault="00C627FF" w:rsidP="00863A9C">
            <w:pPr>
              <w:pStyle w:val="Tabletext0"/>
              <w:keepNext/>
              <w:spacing w:before="0" w:after="0"/>
            </w:pPr>
            <w:r w:rsidRPr="00822128">
              <w:t>36 (21)</w:t>
            </w:r>
          </w:p>
        </w:tc>
        <w:tc>
          <w:tcPr>
            <w:tcW w:w="1087" w:type="dxa"/>
          </w:tcPr>
          <w:p w14:paraId="220FCD1B" w14:textId="54633E6F" w:rsidR="00C627FF" w:rsidRPr="0045722C" w:rsidRDefault="00C627FF" w:rsidP="00863A9C">
            <w:pPr>
              <w:pStyle w:val="Tabletext0"/>
              <w:keepNext/>
              <w:spacing w:before="0" w:after="0"/>
            </w:pPr>
            <w:r w:rsidRPr="00822128">
              <w:t>33 (20)</w:t>
            </w:r>
          </w:p>
        </w:tc>
        <w:tc>
          <w:tcPr>
            <w:tcW w:w="1099" w:type="dxa"/>
          </w:tcPr>
          <w:p w14:paraId="533C58BA" w14:textId="77777777" w:rsidR="00C627FF" w:rsidRPr="0045722C" w:rsidRDefault="00C627FF" w:rsidP="00863A9C">
            <w:pPr>
              <w:pStyle w:val="Tabletext0"/>
              <w:keepNext/>
              <w:spacing w:before="0" w:after="0"/>
            </w:pPr>
            <w:r w:rsidRPr="00822128">
              <w:t>1 (1)</w:t>
            </w:r>
          </w:p>
        </w:tc>
        <w:tc>
          <w:tcPr>
            <w:tcW w:w="1783" w:type="dxa"/>
          </w:tcPr>
          <w:p w14:paraId="4D24C231" w14:textId="77777777" w:rsidR="00C627FF" w:rsidRPr="003C6884" w:rsidRDefault="00C627FF" w:rsidP="00863A9C">
            <w:pPr>
              <w:pStyle w:val="Tabletext0"/>
              <w:keepNext/>
              <w:spacing w:before="0" w:after="0"/>
              <w:rPr>
                <w:b/>
                <w:i/>
                <w:iCs/>
                <w:color w:val="000000" w:themeColor="text1"/>
              </w:rPr>
            </w:pPr>
            <w:r w:rsidRPr="003C6884">
              <w:rPr>
                <w:b/>
                <w:bCs/>
                <w:i/>
                <w:iCs/>
                <w:color w:val="000000" w:themeColor="text1"/>
              </w:rPr>
              <w:t>35.58 (4.93, 256.53)</w:t>
            </w:r>
          </w:p>
        </w:tc>
      </w:tr>
      <w:tr w:rsidR="00C627FF" w:rsidRPr="00822128" w14:paraId="1D99022D" w14:textId="77777777" w:rsidTr="00863A9C">
        <w:tc>
          <w:tcPr>
            <w:tcW w:w="2788" w:type="dxa"/>
          </w:tcPr>
          <w:p w14:paraId="669204D2" w14:textId="77777777" w:rsidR="00C627FF" w:rsidRPr="0045722C" w:rsidRDefault="00C627FF" w:rsidP="00863A9C">
            <w:pPr>
              <w:pStyle w:val="Tabletext0"/>
              <w:keepNext/>
              <w:spacing w:before="0" w:after="0"/>
              <w:ind w:left="227"/>
            </w:pPr>
            <w:r w:rsidRPr="00822128">
              <w:t>Tremor</w:t>
            </w:r>
          </w:p>
        </w:tc>
        <w:tc>
          <w:tcPr>
            <w:tcW w:w="1149" w:type="dxa"/>
          </w:tcPr>
          <w:p w14:paraId="0ACFE813" w14:textId="77777777" w:rsidR="00C627FF" w:rsidRPr="0045722C" w:rsidRDefault="00C627FF" w:rsidP="00863A9C">
            <w:pPr>
              <w:pStyle w:val="Tabletext0"/>
              <w:keepNext/>
              <w:spacing w:before="0" w:after="0"/>
            </w:pPr>
            <w:r w:rsidRPr="00822128">
              <w:t>44 (26)</w:t>
            </w:r>
          </w:p>
        </w:tc>
        <w:tc>
          <w:tcPr>
            <w:tcW w:w="1110" w:type="dxa"/>
          </w:tcPr>
          <w:p w14:paraId="6506D713" w14:textId="77777777" w:rsidR="00C627FF" w:rsidRPr="0045722C" w:rsidRDefault="00C627FF" w:rsidP="00863A9C">
            <w:pPr>
              <w:pStyle w:val="Tabletext0"/>
              <w:keepNext/>
              <w:spacing w:before="0" w:after="0"/>
            </w:pPr>
            <w:r w:rsidRPr="00822128">
              <w:t>2 (1)</w:t>
            </w:r>
          </w:p>
        </w:tc>
        <w:tc>
          <w:tcPr>
            <w:tcW w:w="1087" w:type="dxa"/>
          </w:tcPr>
          <w:p w14:paraId="5275DA41" w14:textId="77777777" w:rsidR="00C627FF" w:rsidRPr="0045722C" w:rsidRDefault="00C627FF" w:rsidP="00863A9C">
            <w:pPr>
              <w:pStyle w:val="Tabletext0"/>
              <w:keepNext/>
              <w:spacing w:before="0" w:after="0"/>
            </w:pPr>
            <w:r w:rsidRPr="00822128">
              <w:t>1(1)</w:t>
            </w:r>
          </w:p>
        </w:tc>
        <w:tc>
          <w:tcPr>
            <w:tcW w:w="1099" w:type="dxa"/>
          </w:tcPr>
          <w:p w14:paraId="0E42CE1A" w14:textId="77777777" w:rsidR="00C627FF" w:rsidRPr="0045722C" w:rsidRDefault="00C627FF" w:rsidP="00863A9C">
            <w:pPr>
              <w:pStyle w:val="Tabletext0"/>
              <w:keepNext/>
              <w:spacing w:before="0" w:after="0"/>
            </w:pPr>
            <w:r w:rsidRPr="00822128">
              <w:t>0</w:t>
            </w:r>
          </w:p>
        </w:tc>
        <w:tc>
          <w:tcPr>
            <w:tcW w:w="1783" w:type="dxa"/>
          </w:tcPr>
          <w:p w14:paraId="33E970CC" w14:textId="77777777" w:rsidR="00C627FF" w:rsidRPr="003C6884" w:rsidRDefault="00C627FF" w:rsidP="00863A9C">
            <w:pPr>
              <w:pStyle w:val="Tabletext0"/>
              <w:keepNext/>
              <w:spacing w:before="0" w:after="0"/>
              <w:rPr>
                <w:i/>
                <w:iCs/>
                <w:color w:val="000000" w:themeColor="text1"/>
              </w:rPr>
            </w:pPr>
            <w:r w:rsidRPr="003C6884">
              <w:rPr>
                <w:i/>
                <w:iCs/>
                <w:color w:val="000000" w:themeColor="text1"/>
              </w:rPr>
              <w:t>-</w:t>
            </w:r>
          </w:p>
        </w:tc>
      </w:tr>
      <w:tr w:rsidR="00C627FF" w:rsidRPr="00822128" w14:paraId="0E8F17CC" w14:textId="77777777" w:rsidTr="00863A9C">
        <w:tc>
          <w:tcPr>
            <w:tcW w:w="2788" w:type="dxa"/>
          </w:tcPr>
          <w:p w14:paraId="11F53771" w14:textId="77777777" w:rsidR="00C627FF" w:rsidRPr="0045722C" w:rsidRDefault="00C627FF" w:rsidP="00863A9C">
            <w:pPr>
              <w:pStyle w:val="Tabletext0"/>
              <w:keepNext/>
              <w:spacing w:before="0" w:after="0"/>
              <w:ind w:left="227"/>
            </w:pPr>
            <w:proofErr w:type="spellStart"/>
            <w:r w:rsidRPr="00822128">
              <w:t>Confusional</w:t>
            </w:r>
            <w:proofErr w:type="spellEnd"/>
            <w:r w:rsidRPr="00822128">
              <w:t xml:space="preserve"> state</w:t>
            </w:r>
          </w:p>
        </w:tc>
        <w:tc>
          <w:tcPr>
            <w:tcW w:w="1149" w:type="dxa"/>
          </w:tcPr>
          <w:p w14:paraId="075C9B48" w14:textId="77777777" w:rsidR="00C627FF" w:rsidRPr="0045722C" w:rsidRDefault="00C627FF" w:rsidP="00863A9C">
            <w:pPr>
              <w:pStyle w:val="Tabletext0"/>
              <w:keepNext/>
              <w:spacing w:before="0" w:after="0"/>
            </w:pPr>
            <w:r w:rsidRPr="00822128">
              <w:t>40 (24)</w:t>
            </w:r>
          </w:p>
        </w:tc>
        <w:tc>
          <w:tcPr>
            <w:tcW w:w="1110" w:type="dxa"/>
          </w:tcPr>
          <w:p w14:paraId="06BDD999" w14:textId="77777777" w:rsidR="00C627FF" w:rsidRPr="0045722C" w:rsidRDefault="00C627FF" w:rsidP="00863A9C">
            <w:pPr>
              <w:pStyle w:val="Tabletext0"/>
              <w:keepNext/>
              <w:spacing w:before="0" w:after="0"/>
            </w:pPr>
            <w:r w:rsidRPr="00822128">
              <w:t>9 (5)</w:t>
            </w:r>
          </w:p>
        </w:tc>
        <w:tc>
          <w:tcPr>
            <w:tcW w:w="1087" w:type="dxa"/>
          </w:tcPr>
          <w:p w14:paraId="3C517E27" w14:textId="77777777" w:rsidR="00C627FF" w:rsidRPr="0045722C" w:rsidRDefault="00C627FF" w:rsidP="00863A9C">
            <w:pPr>
              <w:pStyle w:val="Tabletext0"/>
              <w:keepNext/>
              <w:spacing w:before="0" w:after="0"/>
            </w:pPr>
            <w:r w:rsidRPr="00822128">
              <w:t>4 (2)</w:t>
            </w:r>
          </w:p>
        </w:tc>
        <w:tc>
          <w:tcPr>
            <w:tcW w:w="1099" w:type="dxa"/>
          </w:tcPr>
          <w:p w14:paraId="1D616128" w14:textId="77777777" w:rsidR="00C627FF" w:rsidRPr="0045722C" w:rsidRDefault="00C627FF" w:rsidP="00863A9C">
            <w:pPr>
              <w:pStyle w:val="Tabletext0"/>
              <w:keepNext/>
              <w:spacing w:before="0" w:after="0"/>
            </w:pPr>
            <w:r w:rsidRPr="00822128">
              <w:t>0</w:t>
            </w:r>
          </w:p>
        </w:tc>
        <w:tc>
          <w:tcPr>
            <w:tcW w:w="1783" w:type="dxa"/>
          </w:tcPr>
          <w:p w14:paraId="3BD8FDD8" w14:textId="77777777" w:rsidR="00C627FF" w:rsidRPr="003C6884" w:rsidRDefault="00C627FF" w:rsidP="00863A9C">
            <w:pPr>
              <w:pStyle w:val="Tabletext0"/>
              <w:keepNext/>
              <w:spacing w:before="0" w:after="0"/>
              <w:rPr>
                <w:i/>
                <w:iCs/>
                <w:color w:val="000000" w:themeColor="text1"/>
              </w:rPr>
            </w:pPr>
            <w:r w:rsidRPr="003C6884">
              <w:rPr>
                <w:i/>
                <w:iCs/>
                <w:color w:val="000000" w:themeColor="text1"/>
              </w:rPr>
              <w:t>-</w:t>
            </w:r>
          </w:p>
        </w:tc>
      </w:tr>
      <w:tr w:rsidR="00C627FF" w:rsidRPr="00822128" w14:paraId="48AE80A7" w14:textId="77777777" w:rsidTr="00863A9C">
        <w:tc>
          <w:tcPr>
            <w:tcW w:w="2788" w:type="dxa"/>
          </w:tcPr>
          <w:p w14:paraId="229095CC" w14:textId="77777777" w:rsidR="00C627FF" w:rsidRPr="0045722C" w:rsidRDefault="00C627FF" w:rsidP="00863A9C">
            <w:pPr>
              <w:pStyle w:val="Tabletext0"/>
              <w:keepNext/>
              <w:spacing w:before="0" w:after="0"/>
              <w:ind w:left="227"/>
            </w:pPr>
            <w:r w:rsidRPr="00822128">
              <w:t>Aphasia</w:t>
            </w:r>
          </w:p>
        </w:tc>
        <w:tc>
          <w:tcPr>
            <w:tcW w:w="1149" w:type="dxa"/>
          </w:tcPr>
          <w:p w14:paraId="1FCF7ECA" w14:textId="77777777" w:rsidR="00C627FF" w:rsidRPr="0045722C" w:rsidRDefault="00C627FF" w:rsidP="00863A9C">
            <w:pPr>
              <w:pStyle w:val="Tabletext0"/>
              <w:keepNext/>
              <w:spacing w:before="0" w:after="0"/>
            </w:pPr>
            <w:r w:rsidRPr="00822128">
              <w:t>36 (21)</w:t>
            </w:r>
          </w:p>
        </w:tc>
        <w:tc>
          <w:tcPr>
            <w:tcW w:w="1110" w:type="dxa"/>
          </w:tcPr>
          <w:p w14:paraId="763FD064" w14:textId="77777777" w:rsidR="00C627FF" w:rsidRPr="0045722C" w:rsidRDefault="00C627FF" w:rsidP="00863A9C">
            <w:pPr>
              <w:pStyle w:val="Tabletext0"/>
              <w:keepNext/>
              <w:spacing w:before="0" w:after="0"/>
            </w:pPr>
            <w:r w:rsidRPr="00822128">
              <w:t>12 (7)</w:t>
            </w:r>
          </w:p>
        </w:tc>
        <w:tc>
          <w:tcPr>
            <w:tcW w:w="1087" w:type="dxa"/>
          </w:tcPr>
          <w:p w14:paraId="092A7156" w14:textId="77777777" w:rsidR="00C627FF" w:rsidRPr="0045722C" w:rsidRDefault="00C627FF" w:rsidP="00863A9C">
            <w:pPr>
              <w:pStyle w:val="Tabletext0"/>
              <w:keepNext/>
              <w:spacing w:before="0" w:after="0"/>
            </w:pPr>
            <w:r w:rsidRPr="00822128">
              <w:t>0</w:t>
            </w:r>
          </w:p>
        </w:tc>
        <w:tc>
          <w:tcPr>
            <w:tcW w:w="1099" w:type="dxa"/>
          </w:tcPr>
          <w:p w14:paraId="3C4A9E06" w14:textId="77777777" w:rsidR="00C627FF" w:rsidRPr="0045722C" w:rsidRDefault="00C627FF" w:rsidP="00863A9C">
            <w:pPr>
              <w:pStyle w:val="Tabletext0"/>
              <w:keepNext/>
              <w:spacing w:before="0" w:after="0"/>
            </w:pPr>
            <w:r w:rsidRPr="00822128">
              <w:t>0</w:t>
            </w:r>
          </w:p>
        </w:tc>
        <w:tc>
          <w:tcPr>
            <w:tcW w:w="1783" w:type="dxa"/>
          </w:tcPr>
          <w:p w14:paraId="159D2559" w14:textId="77777777" w:rsidR="00C627FF" w:rsidRPr="003C6884" w:rsidRDefault="00C627FF" w:rsidP="00863A9C">
            <w:pPr>
              <w:pStyle w:val="Tabletext0"/>
              <w:keepNext/>
              <w:spacing w:before="0" w:after="0"/>
              <w:rPr>
                <w:i/>
                <w:iCs/>
                <w:color w:val="000000" w:themeColor="text1"/>
              </w:rPr>
            </w:pPr>
            <w:r w:rsidRPr="003C6884">
              <w:rPr>
                <w:i/>
                <w:iCs/>
                <w:color w:val="000000" w:themeColor="text1"/>
              </w:rPr>
              <w:t>-</w:t>
            </w:r>
          </w:p>
        </w:tc>
      </w:tr>
      <w:tr w:rsidR="00C627FF" w:rsidRPr="00822128" w14:paraId="0A4BDBB0" w14:textId="77777777" w:rsidTr="00863A9C">
        <w:tc>
          <w:tcPr>
            <w:tcW w:w="2788" w:type="dxa"/>
          </w:tcPr>
          <w:p w14:paraId="698A5EC8" w14:textId="77777777" w:rsidR="00C627FF" w:rsidRPr="0045722C" w:rsidRDefault="00C627FF" w:rsidP="00863A9C">
            <w:pPr>
              <w:pStyle w:val="Tabletext0"/>
              <w:keepNext/>
              <w:spacing w:before="0" w:after="0"/>
              <w:ind w:left="227"/>
            </w:pPr>
            <w:r w:rsidRPr="00822128">
              <w:t>Encephalopathy</w:t>
            </w:r>
          </w:p>
        </w:tc>
        <w:tc>
          <w:tcPr>
            <w:tcW w:w="1149" w:type="dxa"/>
          </w:tcPr>
          <w:p w14:paraId="7C630FDF" w14:textId="77777777" w:rsidR="00C627FF" w:rsidRPr="0045722C" w:rsidRDefault="00C627FF" w:rsidP="00863A9C">
            <w:pPr>
              <w:pStyle w:val="Tabletext0"/>
              <w:keepNext/>
              <w:spacing w:before="0" w:after="0"/>
            </w:pPr>
            <w:r w:rsidRPr="00822128">
              <w:t>29 (17)</w:t>
            </w:r>
          </w:p>
        </w:tc>
        <w:tc>
          <w:tcPr>
            <w:tcW w:w="1110" w:type="dxa"/>
          </w:tcPr>
          <w:p w14:paraId="7F64C975" w14:textId="77777777" w:rsidR="00C627FF" w:rsidRPr="0045722C" w:rsidRDefault="00C627FF" w:rsidP="00863A9C">
            <w:pPr>
              <w:pStyle w:val="Tabletext0"/>
              <w:keepNext/>
              <w:spacing w:before="0" w:after="0"/>
            </w:pPr>
            <w:r w:rsidRPr="00822128">
              <w:t>20 (12)</w:t>
            </w:r>
          </w:p>
        </w:tc>
        <w:tc>
          <w:tcPr>
            <w:tcW w:w="1087" w:type="dxa"/>
          </w:tcPr>
          <w:p w14:paraId="589179A0" w14:textId="77777777" w:rsidR="00C627FF" w:rsidRPr="0045722C" w:rsidRDefault="00C627FF" w:rsidP="00863A9C">
            <w:pPr>
              <w:pStyle w:val="Tabletext0"/>
              <w:keepNext/>
              <w:spacing w:before="0" w:after="0"/>
            </w:pPr>
            <w:r w:rsidRPr="00822128">
              <w:t>2 (1)</w:t>
            </w:r>
          </w:p>
        </w:tc>
        <w:tc>
          <w:tcPr>
            <w:tcW w:w="1099" w:type="dxa"/>
          </w:tcPr>
          <w:p w14:paraId="5FF3CD29" w14:textId="77777777" w:rsidR="00C627FF" w:rsidRPr="0045722C" w:rsidRDefault="00C627FF" w:rsidP="00863A9C">
            <w:pPr>
              <w:pStyle w:val="Tabletext0"/>
              <w:keepNext/>
              <w:spacing w:before="0" w:after="0"/>
            </w:pPr>
            <w:r w:rsidRPr="00822128">
              <w:t>0</w:t>
            </w:r>
          </w:p>
        </w:tc>
        <w:tc>
          <w:tcPr>
            <w:tcW w:w="1783" w:type="dxa"/>
          </w:tcPr>
          <w:p w14:paraId="27127629" w14:textId="77777777" w:rsidR="00C627FF" w:rsidRPr="003C6884" w:rsidRDefault="00C627FF" w:rsidP="00863A9C">
            <w:pPr>
              <w:pStyle w:val="Tabletext0"/>
              <w:keepNext/>
              <w:spacing w:before="0" w:after="0"/>
              <w:rPr>
                <w:i/>
                <w:iCs/>
                <w:color w:val="000000" w:themeColor="text1"/>
              </w:rPr>
            </w:pPr>
            <w:r w:rsidRPr="003C6884">
              <w:rPr>
                <w:i/>
                <w:iCs/>
                <w:color w:val="000000" w:themeColor="text1"/>
              </w:rPr>
              <w:t>-</w:t>
            </w:r>
          </w:p>
        </w:tc>
      </w:tr>
      <w:tr w:rsidR="00C627FF" w:rsidRPr="00822128" w14:paraId="7A6BD7E7" w14:textId="77777777" w:rsidTr="00863A9C">
        <w:tc>
          <w:tcPr>
            <w:tcW w:w="2788" w:type="dxa"/>
          </w:tcPr>
          <w:p w14:paraId="1B37ABC8" w14:textId="77777777" w:rsidR="00C627FF" w:rsidRPr="0045722C" w:rsidRDefault="00C627FF" w:rsidP="00863A9C">
            <w:pPr>
              <w:pStyle w:val="Tabletext0"/>
              <w:keepNext/>
              <w:spacing w:before="0" w:after="0"/>
              <w:ind w:left="227"/>
            </w:pPr>
            <w:proofErr w:type="spellStart"/>
            <w:r w:rsidRPr="00822128">
              <w:t>Paresthesia</w:t>
            </w:r>
            <w:proofErr w:type="spellEnd"/>
          </w:p>
        </w:tc>
        <w:tc>
          <w:tcPr>
            <w:tcW w:w="1149" w:type="dxa"/>
          </w:tcPr>
          <w:p w14:paraId="41C5DE04" w14:textId="77777777" w:rsidR="00C627FF" w:rsidRPr="0045722C" w:rsidRDefault="00C627FF" w:rsidP="00863A9C">
            <w:pPr>
              <w:pStyle w:val="Tabletext0"/>
              <w:keepNext/>
              <w:spacing w:before="0" w:after="0"/>
            </w:pPr>
            <w:r w:rsidRPr="00822128">
              <w:t>8 (5)</w:t>
            </w:r>
          </w:p>
        </w:tc>
        <w:tc>
          <w:tcPr>
            <w:tcW w:w="1110" w:type="dxa"/>
          </w:tcPr>
          <w:p w14:paraId="5EE3086F" w14:textId="77777777" w:rsidR="00C627FF" w:rsidRPr="0045722C" w:rsidRDefault="00C627FF" w:rsidP="00863A9C">
            <w:pPr>
              <w:pStyle w:val="Tabletext0"/>
              <w:keepNext/>
              <w:spacing w:before="0" w:after="0"/>
            </w:pPr>
            <w:r w:rsidRPr="00822128">
              <w:t>1 (1)</w:t>
            </w:r>
          </w:p>
        </w:tc>
        <w:tc>
          <w:tcPr>
            <w:tcW w:w="1087" w:type="dxa"/>
          </w:tcPr>
          <w:p w14:paraId="46C76104" w14:textId="77777777" w:rsidR="00C627FF" w:rsidRPr="0045722C" w:rsidRDefault="00C627FF" w:rsidP="00863A9C">
            <w:pPr>
              <w:pStyle w:val="Tabletext0"/>
              <w:keepNext/>
              <w:spacing w:before="0" w:after="0"/>
            </w:pPr>
            <w:r w:rsidRPr="00822128">
              <w:t>14 (8)</w:t>
            </w:r>
          </w:p>
        </w:tc>
        <w:tc>
          <w:tcPr>
            <w:tcW w:w="1099" w:type="dxa"/>
          </w:tcPr>
          <w:p w14:paraId="69E1B65C" w14:textId="77777777" w:rsidR="00C627FF" w:rsidRPr="0045722C" w:rsidRDefault="00C627FF" w:rsidP="00863A9C">
            <w:pPr>
              <w:pStyle w:val="Tabletext0"/>
              <w:keepNext/>
              <w:spacing w:before="0" w:after="0"/>
            </w:pPr>
            <w:r w:rsidRPr="00822128">
              <w:t>0</w:t>
            </w:r>
          </w:p>
        </w:tc>
        <w:tc>
          <w:tcPr>
            <w:tcW w:w="1783" w:type="dxa"/>
          </w:tcPr>
          <w:p w14:paraId="131DD472" w14:textId="77777777" w:rsidR="00C627FF" w:rsidRPr="003C6884" w:rsidRDefault="00C627FF" w:rsidP="00863A9C">
            <w:pPr>
              <w:pStyle w:val="Tabletext0"/>
              <w:keepNext/>
              <w:spacing w:before="0" w:after="0"/>
              <w:rPr>
                <w:i/>
                <w:iCs/>
                <w:color w:val="000000" w:themeColor="text1"/>
              </w:rPr>
            </w:pPr>
            <w:r w:rsidRPr="003C6884">
              <w:rPr>
                <w:i/>
                <w:iCs/>
                <w:color w:val="000000" w:themeColor="text1"/>
              </w:rPr>
              <w:t>-</w:t>
            </w:r>
          </w:p>
        </w:tc>
      </w:tr>
      <w:tr w:rsidR="00C627FF" w:rsidRPr="00822128" w14:paraId="0168E6B7" w14:textId="77777777" w:rsidTr="00863A9C">
        <w:trPr>
          <w:trHeight w:val="39"/>
        </w:trPr>
        <w:tc>
          <w:tcPr>
            <w:tcW w:w="2788" w:type="dxa"/>
          </w:tcPr>
          <w:p w14:paraId="1646A57E" w14:textId="77777777" w:rsidR="00C627FF" w:rsidRPr="0045722C" w:rsidRDefault="00C627FF" w:rsidP="00863A9C">
            <w:pPr>
              <w:pStyle w:val="Tabletext0"/>
              <w:keepNext/>
              <w:spacing w:before="0" w:after="0"/>
              <w:ind w:left="227"/>
            </w:pPr>
            <w:r w:rsidRPr="00822128">
              <w:t>Delirium</w:t>
            </w:r>
          </w:p>
        </w:tc>
        <w:tc>
          <w:tcPr>
            <w:tcW w:w="1149" w:type="dxa"/>
          </w:tcPr>
          <w:p w14:paraId="2F478DE5" w14:textId="77777777" w:rsidR="00C627FF" w:rsidRPr="0045722C" w:rsidRDefault="00C627FF" w:rsidP="00863A9C">
            <w:pPr>
              <w:pStyle w:val="Tabletext0"/>
              <w:keepNext/>
              <w:spacing w:before="0" w:after="0"/>
            </w:pPr>
            <w:r w:rsidRPr="00822128">
              <w:t>3 (2)</w:t>
            </w:r>
          </w:p>
        </w:tc>
        <w:tc>
          <w:tcPr>
            <w:tcW w:w="1110" w:type="dxa"/>
          </w:tcPr>
          <w:p w14:paraId="671B49BB" w14:textId="77777777" w:rsidR="00C627FF" w:rsidRPr="0045722C" w:rsidRDefault="00C627FF" w:rsidP="00863A9C">
            <w:pPr>
              <w:pStyle w:val="Tabletext0"/>
              <w:keepNext/>
              <w:spacing w:before="0" w:after="0"/>
            </w:pPr>
            <w:r w:rsidRPr="00822128">
              <w:t>3 (2)</w:t>
            </w:r>
          </w:p>
        </w:tc>
        <w:tc>
          <w:tcPr>
            <w:tcW w:w="1087" w:type="dxa"/>
          </w:tcPr>
          <w:p w14:paraId="1CE865F9" w14:textId="77777777" w:rsidR="00C627FF" w:rsidRPr="0045722C" w:rsidRDefault="00C627FF" w:rsidP="00863A9C">
            <w:pPr>
              <w:pStyle w:val="Tabletext0"/>
              <w:keepNext/>
              <w:spacing w:before="0" w:after="0"/>
            </w:pPr>
            <w:r w:rsidRPr="00822128">
              <w:t>5 (3)</w:t>
            </w:r>
          </w:p>
        </w:tc>
        <w:tc>
          <w:tcPr>
            <w:tcW w:w="1099" w:type="dxa"/>
          </w:tcPr>
          <w:p w14:paraId="1A9CCF89" w14:textId="77777777" w:rsidR="00C627FF" w:rsidRPr="0045722C" w:rsidRDefault="00C627FF" w:rsidP="00863A9C">
            <w:pPr>
              <w:pStyle w:val="Tabletext0"/>
              <w:keepNext/>
              <w:spacing w:before="0" w:after="0"/>
            </w:pPr>
            <w:r w:rsidRPr="00822128">
              <w:t>1 (1)</w:t>
            </w:r>
          </w:p>
        </w:tc>
        <w:tc>
          <w:tcPr>
            <w:tcW w:w="1783" w:type="dxa"/>
          </w:tcPr>
          <w:p w14:paraId="0CD27897" w14:textId="77777777" w:rsidR="00C627FF" w:rsidRPr="003C6884" w:rsidRDefault="00C627FF" w:rsidP="00863A9C">
            <w:pPr>
              <w:pStyle w:val="Tabletext0"/>
              <w:keepNext/>
              <w:spacing w:before="0" w:after="0"/>
              <w:rPr>
                <w:i/>
                <w:iCs/>
                <w:color w:val="000000" w:themeColor="text1"/>
              </w:rPr>
            </w:pPr>
            <w:r w:rsidRPr="003C6884">
              <w:rPr>
                <w:i/>
                <w:iCs/>
                <w:color w:val="000000" w:themeColor="text1"/>
              </w:rPr>
              <w:t>2.96 (0.31, 28.22)</w:t>
            </w:r>
          </w:p>
        </w:tc>
      </w:tr>
    </w:tbl>
    <w:p w14:paraId="393240FF" w14:textId="77777777" w:rsidR="00783A27" w:rsidRDefault="00443C4A" w:rsidP="00783A27">
      <w:pPr>
        <w:pStyle w:val="a-TableFOOTER"/>
        <w:spacing w:after="0"/>
      </w:pPr>
      <w:bookmarkStart w:id="20" w:name="_Hlk115471773"/>
      <w:r w:rsidRPr="00443C4A">
        <w:t>Source: Table 2</w:t>
      </w:r>
      <w:r w:rsidR="002D312B">
        <w:t>.14 of the ADAR</w:t>
      </w:r>
      <w:r w:rsidRPr="00443C4A">
        <w:t>, Locke 2021</w:t>
      </w:r>
      <w:r w:rsidR="00110C43">
        <w:t xml:space="preserve">. </w:t>
      </w:r>
    </w:p>
    <w:p w14:paraId="73024F7A" w14:textId="68A231BB" w:rsidR="000316F0" w:rsidRPr="000316F0" w:rsidRDefault="00783A27" w:rsidP="000316F0">
      <w:pPr>
        <w:pStyle w:val="a-TableFOOTER"/>
      </w:pPr>
      <w:r>
        <w:t xml:space="preserve">Abbreviations: </w:t>
      </w:r>
      <w:r w:rsidR="005E2F40">
        <w:t xml:space="preserve">CI=confidence interval; </w:t>
      </w:r>
      <w:r w:rsidR="00443C4A" w:rsidRPr="00443C4A">
        <w:t>SoC=standard of care</w:t>
      </w:r>
      <w:r>
        <w:t>; RR=relative risk</w:t>
      </w:r>
      <w:bookmarkStart w:id="21" w:name="_Toc69491424"/>
      <w:bookmarkEnd w:id="20"/>
      <w:r w:rsidR="000316F0">
        <w:br w:type="page"/>
      </w:r>
    </w:p>
    <w:p w14:paraId="3717AA01" w14:textId="1A4F65D5" w:rsidR="00772829" w:rsidRPr="00CE28E3" w:rsidRDefault="00C36633" w:rsidP="002A18BE">
      <w:pPr>
        <w:pStyle w:val="Heading2"/>
        <w:numPr>
          <w:ilvl w:val="0"/>
          <w:numId w:val="0"/>
        </w:numPr>
      </w:pPr>
      <w:r>
        <w:lastRenderedPageBreak/>
        <w:t>1</w:t>
      </w:r>
      <w:r w:rsidR="00C233D6">
        <w:t>2</w:t>
      </w:r>
      <w:r>
        <w:t>.</w:t>
      </w:r>
      <w:r>
        <w:tab/>
      </w:r>
      <w:r w:rsidR="00772829" w:rsidRPr="00CE28E3">
        <w:t>Comparative effectiveness</w:t>
      </w:r>
      <w:bookmarkEnd w:id="21"/>
    </w:p>
    <w:p w14:paraId="26173989" w14:textId="29003741" w:rsidR="00C43420" w:rsidRPr="00A14EC9" w:rsidRDefault="00C43420" w:rsidP="00A14EC9">
      <w:pPr>
        <w:pStyle w:val="a-TEXT"/>
      </w:pPr>
      <w:r w:rsidRPr="00246C59">
        <w:t xml:space="preserve">The evidence supports the clinical claim that the use of </w:t>
      </w:r>
      <w:r w:rsidR="00226D5B" w:rsidRPr="00246C59">
        <w:t>AXI</w:t>
      </w:r>
      <w:r w:rsidRPr="00246C59">
        <w:t xml:space="preserve"> in patients with LBCL refractory to or relapsed no more than 12 months after completion of 1L treatment with chemoimmunotherapy results in superior effectiveness compared with SoC (involving salvage chemotherapy and, in responders, HDT + auto-SCT).</w:t>
      </w:r>
      <w:r w:rsidR="00F51999" w:rsidRPr="00246C59">
        <w:t xml:space="preserve"> However, the magnitude of effect may not be as great as in the trial</w:t>
      </w:r>
      <w:r w:rsidR="00CF6E03" w:rsidRPr="00246C59">
        <w:t xml:space="preserve">, due to the biases </w:t>
      </w:r>
      <w:r w:rsidR="008D0DC5" w:rsidRPr="00246C59">
        <w:t>outlined further below</w:t>
      </w:r>
      <w:r w:rsidR="00CF6E03" w:rsidRPr="00246C59">
        <w:t>.</w:t>
      </w:r>
      <w:r w:rsidR="00910870" w:rsidRPr="00A14EC9">
        <w:t xml:space="preserve"> </w:t>
      </w:r>
      <w:r w:rsidR="00FF6BB8" w:rsidRPr="00A14EC9">
        <w:t>Key results are summarised in</w:t>
      </w:r>
      <w:r w:rsidR="008E5DEE">
        <w:t xml:space="preserve"> Table 5</w:t>
      </w:r>
      <w:r w:rsidR="00FF6BB8" w:rsidRPr="00A14EC9">
        <w:t>.</w:t>
      </w:r>
      <w:r w:rsidR="00837A81" w:rsidRPr="00A14EC9">
        <w:t xml:space="preserve"> </w:t>
      </w:r>
      <w:r w:rsidR="005A4867">
        <w:t>T</w:t>
      </w:r>
      <w:r w:rsidR="00837A81" w:rsidRPr="00A14EC9">
        <w:t>ime-to-event results are presented in Figures 1 and 2.</w:t>
      </w:r>
    </w:p>
    <w:p w14:paraId="6D4DDF85" w14:textId="13C26558" w:rsidR="008665DB" w:rsidRPr="00B60A0D" w:rsidRDefault="00FF6BB8" w:rsidP="00E20E63">
      <w:pPr>
        <w:pStyle w:val="aTableHeading"/>
      </w:pPr>
      <w:bookmarkStart w:id="22" w:name="_Ref120621419"/>
      <w:r w:rsidRPr="004F7037">
        <w:t>Table </w:t>
      </w:r>
      <w:bookmarkEnd w:id="22"/>
      <w:r w:rsidR="008E5DEE">
        <w:t>5</w:t>
      </w:r>
      <w:r w:rsidRPr="004F7037">
        <w:t xml:space="preserve"> </w:t>
      </w:r>
      <w:r w:rsidRPr="004F7037">
        <w:tab/>
        <w:t>Key clinical effectiveness results from the ZUMA-7 trial.</w:t>
      </w:r>
    </w:p>
    <w:tbl>
      <w:tblPr>
        <w:tblStyle w:val="ASD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3256"/>
        <w:gridCol w:w="1984"/>
        <w:gridCol w:w="1985"/>
        <w:gridCol w:w="1791"/>
      </w:tblGrid>
      <w:tr w:rsidR="00B60A0D" w:rsidRPr="00443C4A" w14:paraId="2D63AE41" w14:textId="758FEC1B" w:rsidTr="00FA23C7">
        <w:trPr>
          <w:cnfStyle w:val="100000000000" w:firstRow="1" w:lastRow="0" w:firstColumn="0" w:lastColumn="0" w:oddVBand="0" w:evenVBand="0" w:oddHBand="0" w:evenHBand="0" w:firstRowFirstColumn="0" w:firstRowLastColumn="0" w:lastRowFirstColumn="0" w:lastRowLastColumn="0"/>
          <w:trHeight w:val="39"/>
        </w:trPr>
        <w:tc>
          <w:tcPr>
            <w:tcW w:w="1806" w:type="pct"/>
            <w:shd w:val="clear" w:color="auto" w:fill="auto"/>
          </w:tcPr>
          <w:p w14:paraId="3F37CD19" w14:textId="20F30E77" w:rsidR="00B60A0D" w:rsidRPr="00443C4A" w:rsidRDefault="00B60A0D" w:rsidP="009334AB">
            <w:pPr>
              <w:rPr>
                <w:rFonts w:ascii="Arial Narrow" w:eastAsia="Calibri" w:hAnsi="Arial Narrow" w:cs="Arial"/>
                <w:sz w:val="20"/>
                <w:szCs w:val="20"/>
              </w:rPr>
            </w:pPr>
            <w:r>
              <w:rPr>
                <w:rFonts w:ascii="Arial Narrow" w:eastAsia="Calibri" w:hAnsi="Arial Narrow" w:cs="Arial"/>
                <w:sz w:val="20"/>
                <w:szCs w:val="20"/>
              </w:rPr>
              <w:t>Outcome</w:t>
            </w:r>
          </w:p>
        </w:tc>
        <w:tc>
          <w:tcPr>
            <w:tcW w:w="1100" w:type="pct"/>
            <w:shd w:val="clear" w:color="auto" w:fill="auto"/>
          </w:tcPr>
          <w:p w14:paraId="3735CFD0" w14:textId="76F09A34" w:rsidR="00B60A0D" w:rsidRPr="00B1632B" w:rsidRDefault="00B60A0D" w:rsidP="009334AB">
            <w:pPr>
              <w:rPr>
                <w:rFonts w:ascii="Arial Narrow" w:eastAsia="Calibri" w:hAnsi="Arial Narrow" w:cs="Arial"/>
                <w:sz w:val="20"/>
                <w:szCs w:val="20"/>
              </w:rPr>
            </w:pPr>
            <w:r>
              <w:rPr>
                <w:rFonts w:ascii="Arial Narrow" w:eastAsia="Calibri" w:hAnsi="Arial Narrow" w:cs="Arial"/>
                <w:sz w:val="20"/>
                <w:szCs w:val="20"/>
              </w:rPr>
              <w:t>AXI</w:t>
            </w:r>
          </w:p>
          <w:p w14:paraId="5AC40794" w14:textId="193C0EE7" w:rsidR="00B60A0D" w:rsidRPr="00DB7D85" w:rsidRDefault="00B60A0D" w:rsidP="009334AB">
            <w:pPr>
              <w:rPr>
                <w:rFonts w:ascii="Arial Narrow" w:eastAsia="Calibri" w:hAnsi="Arial Narrow" w:cs="Arial"/>
                <w:b w:val="0"/>
                <w:sz w:val="20"/>
                <w:szCs w:val="20"/>
              </w:rPr>
            </w:pPr>
            <w:r w:rsidRPr="00B1632B">
              <w:rPr>
                <w:rFonts w:ascii="Arial Narrow" w:eastAsia="Calibri" w:hAnsi="Arial Narrow" w:cs="Arial"/>
                <w:sz w:val="20"/>
                <w:szCs w:val="20"/>
              </w:rPr>
              <w:t>N = 180</w:t>
            </w:r>
            <w:r w:rsidRPr="00B1632B">
              <w:rPr>
                <w:rFonts w:ascii="Arial Narrow" w:eastAsia="Calibri" w:hAnsi="Arial Narrow" w:cs="Arial"/>
                <w:sz w:val="20"/>
                <w:szCs w:val="20"/>
              </w:rPr>
              <w:tab/>
            </w:r>
          </w:p>
        </w:tc>
        <w:tc>
          <w:tcPr>
            <w:tcW w:w="1101" w:type="pct"/>
            <w:shd w:val="clear" w:color="auto" w:fill="auto"/>
          </w:tcPr>
          <w:p w14:paraId="7CB3006A" w14:textId="77777777" w:rsidR="00B60A0D" w:rsidRPr="00B1632B" w:rsidRDefault="00B60A0D" w:rsidP="009334AB">
            <w:pPr>
              <w:rPr>
                <w:rFonts w:ascii="Arial Narrow" w:eastAsia="Calibri" w:hAnsi="Arial Narrow" w:cs="Arial"/>
                <w:sz w:val="20"/>
                <w:szCs w:val="20"/>
              </w:rPr>
            </w:pPr>
            <w:r w:rsidRPr="00B1632B">
              <w:rPr>
                <w:rFonts w:ascii="Arial Narrow" w:eastAsia="Calibri" w:hAnsi="Arial Narrow" w:cs="Arial"/>
                <w:sz w:val="20"/>
                <w:szCs w:val="20"/>
              </w:rPr>
              <w:t>Standard of care</w:t>
            </w:r>
          </w:p>
          <w:p w14:paraId="108756E2" w14:textId="7A23D9A4" w:rsidR="00B60A0D" w:rsidRDefault="00B60A0D" w:rsidP="009334AB">
            <w:pPr>
              <w:rPr>
                <w:rFonts w:ascii="Arial Narrow" w:eastAsia="Calibri" w:hAnsi="Arial Narrow" w:cs="Arial"/>
                <w:sz w:val="20"/>
                <w:szCs w:val="20"/>
              </w:rPr>
            </w:pPr>
            <w:r w:rsidRPr="00B1632B">
              <w:rPr>
                <w:rFonts w:ascii="Arial Narrow" w:eastAsia="Calibri" w:hAnsi="Arial Narrow" w:cs="Arial"/>
                <w:sz w:val="20"/>
                <w:szCs w:val="20"/>
              </w:rPr>
              <w:t>N = 179</w:t>
            </w:r>
          </w:p>
        </w:tc>
        <w:tc>
          <w:tcPr>
            <w:tcW w:w="993" w:type="pct"/>
            <w:shd w:val="clear" w:color="auto" w:fill="auto"/>
          </w:tcPr>
          <w:p w14:paraId="2D61C996" w14:textId="1853A236" w:rsidR="00B60A0D" w:rsidRPr="00246C59" w:rsidRDefault="00B60A0D" w:rsidP="009334AB">
            <w:pPr>
              <w:rPr>
                <w:rFonts w:ascii="Arial Narrow" w:eastAsia="Calibri" w:hAnsi="Arial Narrow" w:cs="Arial"/>
                <w:b w:val="0"/>
                <w:sz w:val="20"/>
                <w:szCs w:val="20"/>
              </w:rPr>
            </w:pPr>
            <w:r>
              <w:rPr>
                <w:rFonts w:ascii="Arial Narrow" w:eastAsia="Calibri" w:hAnsi="Arial Narrow" w:cs="Arial"/>
                <w:sz w:val="20"/>
                <w:szCs w:val="20"/>
              </w:rPr>
              <w:t xml:space="preserve">Difference </w:t>
            </w:r>
            <w:r w:rsidRPr="00DB7D85">
              <w:rPr>
                <w:rFonts w:ascii="Arial Narrow" w:eastAsia="Calibri" w:hAnsi="Arial Narrow" w:cs="Arial"/>
                <w:sz w:val="20"/>
                <w:szCs w:val="20"/>
              </w:rPr>
              <w:t>(95% CI)</w:t>
            </w:r>
          </w:p>
        </w:tc>
      </w:tr>
      <w:tr w:rsidR="00B60A0D" w:rsidRPr="00443C4A" w14:paraId="5E68CB72" w14:textId="61140FEA" w:rsidTr="009334AB">
        <w:trPr>
          <w:trHeight w:val="274"/>
        </w:trPr>
        <w:tc>
          <w:tcPr>
            <w:tcW w:w="1806" w:type="pct"/>
          </w:tcPr>
          <w:p w14:paraId="6420C642" w14:textId="76EA102A" w:rsidR="00B60A0D" w:rsidRPr="00443C4A" w:rsidRDefault="00B60A0D" w:rsidP="009334AB">
            <w:pPr>
              <w:rPr>
                <w:rFonts w:ascii="Arial Narrow" w:eastAsia="Calibri" w:hAnsi="Arial Narrow" w:cs="Arial"/>
                <w:sz w:val="20"/>
                <w:szCs w:val="20"/>
              </w:rPr>
            </w:pPr>
            <w:r w:rsidRPr="00FF6BB8">
              <w:rPr>
                <w:rFonts w:ascii="Arial Narrow" w:eastAsia="Calibri" w:hAnsi="Arial Narrow" w:cs="Arial"/>
                <w:sz w:val="20"/>
                <w:szCs w:val="20"/>
              </w:rPr>
              <w:t>Proportion of patients administered definitive therapy</w:t>
            </w:r>
            <w:r>
              <w:rPr>
                <w:rFonts w:ascii="Arial Narrow" w:eastAsia="Calibri" w:hAnsi="Arial Narrow" w:cs="Arial"/>
                <w:sz w:val="20"/>
                <w:szCs w:val="20"/>
              </w:rPr>
              <w:t>, n (%)</w:t>
            </w:r>
          </w:p>
        </w:tc>
        <w:tc>
          <w:tcPr>
            <w:tcW w:w="1100" w:type="pct"/>
          </w:tcPr>
          <w:p w14:paraId="5862B93A" w14:textId="55966128" w:rsidR="00B60A0D" w:rsidRPr="009B3131" w:rsidRDefault="00B60A0D" w:rsidP="009334AB">
            <w:pPr>
              <w:rPr>
                <w:rFonts w:ascii="Arial Narrow" w:eastAsia="Calibri" w:hAnsi="Arial Narrow" w:cs="Arial"/>
                <w:sz w:val="20"/>
                <w:szCs w:val="20"/>
              </w:rPr>
            </w:pPr>
            <w:r>
              <w:rPr>
                <w:rFonts w:ascii="Arial Narrow" w:eastAsia="Calibri" w:hAnsi="Arial Narrow" w:cs="Arial"/>
                <w:sz w:val="20"/>
                <w:szCs w:val="20"/>
              </w:rPr>
              <w:t>170 (</w:t>
            </w:r>
            <w:r w:rsidRPr="00DB7D85">
              <w:rPr>
                <w:rFonts w:ascii="Arial Narrow" w:eastAsia="Calibri" w:hAnsi="Arial Narrow" w:cs="Arial"/>
                <w:sz w:val="20"/>
                <w:szCs w:val="20"/>
              </w:rPr>
              <w:t>94.4</w:t>
            </w:r>
            <w:r>
              <w:rPr>
                <w:rFonts w:ascii="Arial Narrow" w:eastAsia="Calibri" w:hAnsi="Arial Narrow" w:cs="Arial"/>
                <w:sz w:val="20"/>
                <w:szCs w:val="20"/>
              </w:rPr>
              <w:t>)</w:t>
            </w:r>
          </w:p>
        </w:tc>
        <w:tc>
          <w:tcPr>
            <w:tcW w:w="1101" w:type="pct"/>
          </w:tcPr>
          <w:p w14:paraId="6165C932" w14:textId="259D8DB0" w:rsidR="00B60A0D" w:rsidRPr="009B3131" w:rsidRDefault="00B60A0D" w:rsidP="009334AB">
            <w:pPr>
              <w:rPr>
                <w:rFonts w:ascii="Arial Narrow" w:eastAsia="Calibri" w:hAnsi="Arial Narrow" w:cs="Arial"/>
                <w:sz w:val="20"/>
                <w:szCs w:val="20"/>
              </w:rPr>
            </w:pPr>
            <w:r>
              <w:rPr>
                <w:rFonts w:ascii="Arial Narrow" w:eastAsia="Calibri" w:hAnsi="Arial Narrow" w:cs="Arial"/>
                <w:sz w:val="20"/>
                <w:szCs w:val="20"/>
              </w:rPr>
              <w:t>62 (</w:t>
            </w:r>
            <w:r w:rsidRPr="00DB7D85">
              <w:rPr>
                <w:rFonts w:ascii="Arial Narrow" w:eastAsia="Calibri" w:hAnsi="Arial Narrow" w:cs="Arial"/>
                <w:sz w:val="20"/>
                <w:szCs w:val="20"/>
              </w:rPr>
              <w:t>34.6</w:t>
            </w:r>
            <w:r>
              <w:rPr>
                <w:rFonts w:ascii="Arial Narrow" w:eastAsia="Calibri" w:hAnsi="Arial Narrow" w:cs="Arial"/>
                <w:sz w:val="20"/>
                <w:szCs w:val="20"/>
              </w:rPr>
              <w:t>)</w:t>
            </w:r>
          </w:p>
        </w:tc>
        <w:tc>
          <w:tcPr>
            <w:tcW w:w="993" w:type="pct"/>
          </w:tcPr>
          <w:p w14:paraId="59B378F8" w14:textId="33085306" w:rsidR="00B60A0D" w:rsidRPr="009B3131" w:rsidRDefault="00B60A0D" w:rsidP="009334AB">
            <w:pPr>
              <w:ind w:left="51"/>
              <w:rPr>
                <w:rFonts w:ascii="Arial Narrow" w:eastAsia="Calibri" w:hAnsi="Arial Narrow" w:cs="Arial"/>
                <w:sz w:val="20"/>
                <w:szCs w:val="20"/>
              </w:rPr>
            </w:pPr>
          </w:p>
        </w:tc>
      </w:tr>
      <w:tr w:rsidR="00B60A0D" w:rsidRPr="00443C4A" w14:paraId="493B5651" w14:textId="77777777" w:rsidTr="009334AB">
        <w:trPr>
          <w:trHeight w:val="274"/>
        </w:trPr>
        <w:tc>
          <w:tcPr>
            <w:tcW w:w="1806" w:type="pct"/>
          </w:tcPr>
          <w:p w14:paraId="510E309C" w14:textId="135F99B4" w:rsidR="00B60A0D" w:rsidRPr="00FF6BB8" w:rsidRDefault="00B60A0D" w:rsidP="009334AB">
            <w:pPr>
              <w:rPr>
                <w:rFonts w:ascii="Arial Narrow" w:eastAsia="Calibri" w:hAnsi="Arial Narrow" w:cs="Arial"/>
                <w:sz w:val="20"/>
                <w:szCs w:val="20"/>
              </w:rPr>
            </w:pPr>
            <w:r>
              <w:rPr>
                <w:rFonts w:ascii="Arial Narrow" w:eastAsia="Calibri" w:hAnsi="Arial Narrow" w:cs="Arial"/>
                <w:sz w:val="20"/>
                <w:szCs w:val="20"/>
              </w:rPr>
              <w:t>ORR, n (%)</w:t>
            </w:r>
          </w:p>
        </w:tc>
        <w:tc>
          <w:tcPr>
            <w:tcW w:w="1100" w:type="pct"/>
          </w:tcPr>
          <w:p w14:paraId="286BA3EB" w14:textId="5FA7B0C5" w:rsidR="00B60A0D" w:rsidRPr="009B3131" w:rsidRDefault="00B60A0D" w:rsidP="009334AB">
            <w:pPr>
              <w:rPr>
                <w:rFonts w:ascii="Arial Narrow" w:eastAsia="Calibri" w:hAnsi="Arial Narrow" w:cs="Arial"/>
                <w:sz w:val="20"/>
                <w:szCs w:val="20"/>
              </w:rPr>
            </w:pPr>
            <w:r w:rsidRPr="001C1F97">
              <w:rPr>
                <w:rFonts w:ascii="Arial Narrow" w:eastAsia="Calibri" w:hAnsi="Arial Narrow" w:cs="Arial"/>
                <w:sz w:val="20"/>
                <w:szCs w:val="20"/>
              </w:rPr>
              <w:t>150 (83)</w:t>
            </w:r>
            <w:r w:rsidRPr="001C1F97">
              <w:rPr>
                <w:rFonts w:ascii="Arial Narrow" w:eastAsia="Calibri" w:hAnsi="Arial Narrow" w:cs="Arial"/>
                <w:sz w:val="20"/>
                <w:szCs w:val="20"/>
              </w:rPr>
              <w:tab/>
            </w:r>
          </w:p>
        </w:tc>
        <w:tc>
          <w:tcPr>
            <w:tcW w:w="1101" w:type="pct"/>
          </w:tcPr>
          <w:p w14:paraId="447C40A4" w14:textId="3F355EEA" w:rsidR="00B60A0D" w:rsidRPr="009B3131" w:rsidRDefault="00B60A0D" w:rsidP="009334AB">
            <w:pPr>
              <w:rPr>
                <w:rFonts w:ascii="Arial Narrow" w:eastAsia="Calibri" w:hAnsi="Arial Narrow" w:cs="Arial"/>
                <w:sz w:val="20"/>
                <w:szCs w:val="20"/>
              </w:rPr>
            </w:pPr>
            <w:r w:rsidRPr="001C1F97">
              <w:rPr>
                <w:rFonts w:ascii="Arial Narrow" w:eastAsia="Calibri" w:hAnsi="Arial Narrow" w:cs="Arial"/>
                <w:sz w:val="20"/>
                <w:szCs w:val="20"/>
              </w:rPr>
              <w:t>90 (50)</w:t>
            </w:r>
          </w:p>
        </w:tc>
        <w:tc>
          <w:tcPr>
            <w:tcW w:w="993" w:type="pct"/>
          </w:tcPr>
          <w:p w14:paraId="6DC8BE59" w14:textId="343B716B" w:rsidR="00B60A0D" w:rsidRPr="009B3131" w:rsidRDefault="00B60A0D" w:rsidP="009334AB">
            <w:pPr>
              <w:ind w:left="51"/>
              <w:rPr>
                <w:rFonts w:ascii="Arial Narrow" w:eastAsia="Calibri" w:hAnsi="Arial Narrow" w:cs="Arial"/>
                <w:sz w:val="20"/>
                <w:szCs w:val="20"/>
              </w:rPr>
            </w:pPr>
            <w:r w:rsidRPr="0066475A">
              <w:rPr>
                <w:rFonts w:ascii="Arial Narrow" w:eastAsia="Calibri" w:hAnsi="Arial Narrow" w:cs="Arial"/>
                <w:sz w:val="20"/>
                <w:szCs w:val="20"/>
              </w:rPr>
              <w:t>33.1</w:t>
            </w:r>
            <w:r>
              <w:rPr>
                <w:rFonts w:ascii="Arial Narrow" w:eastAsia="Calibri" w:hAnsi="Arial Narrow" w:cs="Arial"/>
                <w:sz w:val="20"/>
                <w:szCs w:val="20"/>
              </w:rPr>
              <w:t>%</w:t>
            </w:r>
            <w:r w:rsidRPr="0066475A">
              <w:rPr>
                <w:rFonts w:ascii="Arial Narrow" w:eastAsia="Calibri" w:hAnsi="Arial Narrow" w:cs="Arial"/>
                <w:sz w:val="20"/>
                <w:szCs w:val="20"/>
              </w:rPr>
              <w:t xml:space="preserve"> (23.2, </w:t>
            </w:r>
            <w:proofErr w:type="gramStart"/>
            <w:r w:rsidRPr="0066475A">
              <w:rPr>
                <w:rFonts w:ascii="Arial Narrow" w:eastAsia="Calibri" w:hAnsi="Arial Narrow" w:cs="Arial"/>
                <w:sz w:val="20"/>
                <w:szCs w:val="20"/>
              </w:rPr>
              <w:t>42.1)</w:t>
            </w:r>
            <w:r>
              <w:rPr>
                <w:rFonts w:ascii="Arial Narrow" w:eastAsia="Calibri" w:hAnsi="Arial Narrow" w:cs="Arial"/>
                <w:sz w:val="20"/>
                <w:szCs w:val="20"/>
              </w:rPr>
              <w:t>*</w:t>
            </w:r>
            <w:proofErr w:type="gramEnd"/>
          </w:p>
        </w:tc>
      </w:tr>
      <w:tr w:rsidR="00B60A0D" w:rsidRPr="00443C4A" w14:paraId="1F74299E" w14:textId="67C4023D" w:rsidTr="009334AB">
        <w:trPr>
          <w:trHeight w:val="39"/>
        </w:trPr>
        <w:tc>
          <w:tcPr>
            <w:tcW w:w="1806" w:type="pct"/>
          </w:tcPr>
          <w:p w14:paraId="5DF4F2FA" w14:textId="60B39FA7" w:rsidR="00B60A0D" w:rsidRPr="00443C4A" w:rsidRDefault="00B60A0D" w:rsidP="009334AB">
            <w:pPr>
              <w:ind w:left="227"/>
              <w:rPr>
                <w:rFonts w:ascii="Arial Narrow" w:eastAsia="Calibri" w:hAnsi="Arial Narrow" w:cs="Arial"/>
                <w:sz w:val="20"/>
                <w:szCs w:val="20"/>
              </w:rPr>
            </w:pPr>
            <w:r w:rsidRPr="00BF338E">
              <w:rPr>
                <w:rFonts w:ascii="Arial Narrow" w:eastAsia="Calibri" w:hAnsi="Arial Narrow" w:cs="Arial"/>
                <w:sz w:val="20"/>
                <w:szCs w:val="20"/>
              </w:rPr>
              <w:t>CRR</w:t>
            </w:r>
            <w:r>
              <w:rPr>
                <w:rFonts w:ascii="Arial Narrow" w:eastAsia="Calibri" w:hAnsi="Arial Narrow" w:cs="Arial"/>
                <w:sz w:val="20"/>
                <w:szCs w:val="20"/>
              </w:rPr>
              <w:t>, n (%)</w:t>
            </w:r>
          </w:p>
        </w:tc>
        <w:tc>
          <w:tcPr>
            <w:tcW w:w="1100" w:type="pct"/>
            <w:vAlign w:val="center"/>
          </w:tcPr>
          <w:p w14:paraId="191A4274" w14:textId="732419B3" w:rsidR="00B60A0D" w:rsidRPr="009B3131" w:rsidRDefault="00B60A0D" w:rsidP="009334AB">
            <w:pPr>
              <w:rPr>
                <w:rFonts w:ascii="Arial Narrow" w:eastAsia="Calibri" w:hAnsi="Arial Narrow" w:cs="Arial"/>
                <w:sz w:val="20"/>
                <w:szCs w:val="20"/>
              </w:rPr>
            </w:pPr>
            <w:r w:rsidRPr="00DB7D85">
              <w:rPr>
                <w:rFonts w:ascii="Arial Narrow" w:eastAsia="Calibri" w:hAnsi="Arial Narrow" w:cs="Arial"/>
                <w:sz w:val="20"/>
                <w:szCs w:val="20"/>
              </w:rPr>
              <w:t>117 (65)</w:t>
            </w:r>
          </w:p>
        </w:tc>
        <w:tc>
          <w:tcPr>
            <w:tcW w:w="1101" w:type="pct"/>
            <w:vAlign w:val="center"/>
          </w:tcPr>
          <w:p w14:paraId="318A17EC" w14:textId="2436AA82" w:rsidR="00B60A0D" w:rsidRPr="009B3131" w:rsidRDefault="00B60A0D" w:rsidP="009334AB">
            <w:pPr>
              <w:rPr>
                <w:rFonts w:ascii="Arial Narrow" w:eastAsia="Calibri" w:hAnsi="Arial Narrow" w:cs="Arial"/>
                <w:sz w:val="20"/>
                <w:szCs w:val="20"/>
              </w:rPr>
            </w:pPr>
            <w:r w:rsidRPr="00DB7D85">
              <w:rPr>
                <w:rFonts w:ascii="Arial Narrow" w:eastAsia="Calibri" w:hAnsi="Arial Narrow" w:cs="Arial"/>
                <w:sz w:val="20"/>
                <w:szCs w:val="20"/>
              </w:rPr>
              <w:t>58 (32)</w:t>
            </w:r>
          </w:p>
        </w:tc>
        <w:tc>
          <w:tcPr>
            <w:tcW w:w="993" w:type="pct"/>
          </w:tcPr>
          <w:p w14:paraId="6596C76F" w14:textId="5335480A" w:rsidR="00B60A0D" w:rsidRPr="009B3131" w:rsidRDefault="00B60A0D" w:rsidP="009334AB">
            <w:pPr>
              <w:ind w:left="51"/>
              <w:rPr>
                <w:rFonts w:ascii="Arial Narrow" w:eastAsia="Calibri" w:hAnsi="Arial Narrow" w:cs="Arial"/>
                <w:sz w:val="20"/>
                <w:szCs w:val="20"/>
              </w:rPr>
            </w:pPr>
          </w:p>
        </w:tc>
      </w:tr>
      <w:tr w:rsidR="00B60A0D" w:rsidRPr="00443C4A" w14:paraId="3F27C7C9" w14:textId="77777777" w:rsidTr="009334AB">
        <w:trPr>
          <w:trHeight w:val="67"/>
        </w:trPr>
        <w:tc>
          <w:tcPr>
            <w:tcW w:w="1806" w:type="pct"/>
          </w:tcPr>
          <w:p w14:paraId="2636D227" w14:textId="7A3035A4" w:rsidR="00B60A0D" w:rsidRDefault="00B60A0D" w:rsidP="009334AB">
            <w:pPr>
              <w:ind w:left="227"/>
              <w:rPr>
                <w:rFonts w:ascii="Arial Narrow" w:eastAsia="Calibri" w:hAnsi="Arial Narrow" w:cs="Arial"/>
                <w:sz w:val="20"/>
                <w:szCs w:val="20"/>
              </w:rPr>
            </w:pPr>
            <w:r>
              <w:rPr>
                <w:rFonts w:ascii="Arial Narrow" w:eastAsia="Calibri" w:hAnsi="Arial Narrow" w:cs="Arial"/>
                <w:sz w:val="20"/>
                <w:szCs w:val="20"/>
              </w:rPr>
              <w:t>PRR, n (%)</w:t>
            </w:r>
          </w:p>
        </w:tc>
        <w:tc>
          <w:tcPr>
            <w:tcW w:w="1100" w:type="pct"/>
            <w:vAlign w:val="center"/>
          </w:tcPr>
          <w:p w14:paraId="2028EA54" w14:textId="3ACA5B5C" w:rsidR="00B60A0D" w:rsidRPr="009B3131" w:rsidRDefault="00B60A0D" w:rsidP="009334AB">
            <w:pPr>
              <w:rPr>
                <w:rFonts w:ascii="Arial Narrow" w:eastAsia="Calibri" w:hAnsi="Arial Narrow" w:cs="Arial"/>
                <w:sz w:val="20"/>
                <w:szCs w:val="20"/>
              </w:rPr>
            </w:pPr>
            <w:r w:rsidRPr="00DB7D85">
              <w:rPr>
                <w:rFonts w:ascii="Arial Narrow" w:eastAsia="Calibri" w:hAnsi="Arial Narrow" w:cs="Arial"/>
                <w:sz w:val="20"/>
                <w:szCs w:val="20"/>
              </w:rPr>
              <w:t>33 (18)</w:t>
            </w:r>
          </w:p>
        </w:tc>
        <w:tc>
          <w:tcPr>
            <w:tcW w:w="1101" w:type="pct"/>
            <w:vAlign w:val="center"/>
          </w:tcPr>
          <w:p w14:paraId="5CB248EB" w14:textId="001FAD3F" w:rsidR="00B60A0D" w:rsidRPr="009B3131" w:rsidRDefault="00B60A0D" w:rsidP="009334AB">
            <w:pPr>
              <w:rPr>
                <w:rFonts w:ascii="Arial Narrow" w:eastAsia="Calibri" w:hAnsi="Arial Narrow" w:cs="Arial"/>
                <w:sz w:val="20"/>
                <w:szCs w:val="20"/>
              </w:rPr>
            </w:pPr>
            <w:r w:rsidRPr="00DB7D85">
              <w:rPr>
                <w:rFonts w:ascii="Arial Narrow" w:eastAsia="Calibri" w:hAnsi="Arial Narrow" w:cs="Arial"/>
                <w:sz w:val="20"/>
                <w:szCs w:val="20"/>
              </w:rPr>
              <w:t>32 (18)</w:t>
            </w:r>
          </w:p>
        </w:tc>
        <w:tc>
          <w:tcPr>
            <w:tcW w:w="993" w:type="pct"/>
          </w:tcPr>
          <w:p w14:paraId="3EA4463F" w14:textId="77777777" w:rsidR="00B60A0D" w:rsidRPr="009B3131" w:rsidRDefault="00B60A0D" w:rsidP="009334AB">
            <w:pPr>
              <w:ind w:left="51"/>
              <w:rPr>
                <w:rFonts w:ascii="Arial Narrow" w:eastAsia="Calibri" w:hAnsi="Arial Narrow" w:cs="Arial"/>
                <w:sz w:val="20"/>
                <w:szCs w:val="20"/>
              </w:rPr>
            </w:pPr>
          </w:p>
        </w:tc>
      </w:tr>
      <w:tr w:rsidR="00D62427" w:rsidRPr="00443C4A" w14:paraId="6BB9EE64" w14:textId="77777777" w:rsidTr="00D62427">
        <w:trPr>
          <w:trHeight w:val="67"/>
        </w:trPr>
        <w:tc>
          <w:tcPr>
            <w:tcW w:w="1806" w:type="pct"/>
          </w:tcPr>
          <w:p w14:paraId="03B4B536" w14:textId="5073D87F" w:rsidR="00D62427" w:rsidRPr="00BF338E" w:rsidRDefault="00D62427" w:rsidP="009334AB">
            <w:pPr>
              <w:rPr>
                <w:rFonts w:ascii="Arial Narrow" w:eastAsia="Calibri" w:hAnsi="Arial Narrow" w:cs="Arial"/>
                <w:sz w:val="20"/>
                <w:szCs w:val="20"/>
              </w:rPr>
            </w:pPr>
            <w:r>
              <w:rPr>
                <w:rFonts w:ascii="Arial Narrow" w:eastAsia="Calibri" w:hAnsi="Arial Narrow" w:cs="Arial"/>
                <w:sz w:val="20"/>
                <w:szCs w:val="20"/>
              </w:rPr>
              <w:t>Median follow up</w:t>
            </w:r>
            <w:r w:rsidR="009709FB">
              <w:rPr>
                <w:rFonts w:ascii="Arial Narrow" w:eastAsia="Calibri" w:hAnsi="Arial Narrow" w:cs="Arial"/>
                <w:sz w:val="20"/>
                <w:szCs w:val="20"/>
              </w:rPr>
              <w:t xml:space="preserve"> (EFS)</w:t>
            </w:r>
            <w:r>
              <w:rPr>
                <w:rFonts w:ascii="Arial Narrow" w:eastAsia="Calibri" w:hAnsi="Arial Narrow" w:cs="Arial"/>
                <w:sz w:val="20"/>
                <w:szCs w:val="20"/>
              </w:rPr>
              <w:t>, months</w:t>
            </w:r>
            <w:r w:rsidR="009709FB">
              <w:rPr>
                <w:rFonts w:ascii="Arial Narrow" w:eastAsia="Calibri" w:hAnsi="Arial Narrow" w:cs="Arial"/>
                <w:sz w:val="20"/>
                <w:szCs w:val="20"/>
              </w:rPr>
              <w:t xml:space="preserve"> (</w:t>
            </w:r>
            <w:r w:rsidR="009709FB" w:rsidRPr="009709FB">
              <w:rPr>
                <w:rFonts w:ascii="Arial Narrow" w:eastAsia="Calibri" w:hAnsi="Arial Narrow" w:cs="Arial"/>
                <w:sz w:val="20"/>
                <w:szCs w:val="20"/>
              </w:rPr>
              <w:t>95% CI</w:t>
            </w:r>
            <w:r w:rsidR="009709FB">
              <w:rPr>
                <w:rFonts w:ascii="Arial Narrow" w:eastAsia="Calibri" w:hAnsi="Arial Narrow" w:cs="Arial"/>
                <w:sz w:val="20"/>
                <w:szCs w:val="20"/>
              </w:rPr>
              <w:t>)</w:t>
            </w:r>
          </w:p>
        </w:tc>
        <w:tc>
          <w:tcPr>
            <w:tcW w:w="1100" w:type="pct"/>
            <w:vAlign w:val="center"/>
          </w:tcPr>
          <w:p w14:paraId="6BCC2D59" w14:textId="03A60694" w:rsidR="00D62427" w:rsidRPr="009B3131" w:rsidRDefault="009709FB" w:rsidP="009334AB">
            <w:pPr>
              <w:jc w:val="center"/>
              <w:rPr>
                <w:rFonts w:ascii="Arial Narrow" w:eastAsia="Calibri" w:hAnsi="Arial Narrow" w:cs="Arial"/>
                <w:sz w:val="20"/>
                <w:szCs w:val="20"/>
              </w:rPr>
            </w:pPr>
            <w:r w:rsidRPr="009709FB">
              <w:rPr>
                <w:rFonts w:ascii="Arial Narrow" w:eastAsia="Calibri" w:hAnsi="Arial Narrow" w:cs="Arial"/>
                <w:sz w:val="20"/>
                <w:szCs w:val="20"/>
              </w:rPr>
              <w:t>23.0 (20.9</w:t>
            </w:r>
            <w:r>
              <w:rPr>
                <w:rFonts w:ascii="Arial Narrow" w:eastAsia="Calibri" w:hAnsi="Arial Narrow" w:cs="Arial"/>
                <w:sz w:val="20"/>
                <w:szCs w:val="20"/>
              </w:rPr>
              <w:t>,</w:t>
            </w:r>
            <w:r w:rsidRPr="009709FB">
              <w:rPr>
                <w:rFonts w:ascii="Arial Narrow" w:eastAsia="Calibri" w:hAnsi="Arial Narrow" w:cs="Arial"/>
                <w:sz w:val="20"/>
                <w:szCs w:val="20"/>
              </w:rPr>
              <w:t xml:space="preserve"> 24.0)</w:t>
            </w:r>
          </w:p>
        </w:tc>
        <w:tc>
          <w:tcPr>
            <w:tcW w:w="1101" w:type="pct"/>
            <w:vAlign w:val="center"/>
          </w:tcPr>
          <w:p w14:paraId="67628DF2" w14:textId="137106FB" w:rsidR="00D62427" w:rsidRPr="009B3131" w:rsidRDefault="006E0DAF" w:rsidP="006E0DAF">
            <w:pPr>
              <w:jc w:val="center"/>
              <w:rPr>
                <w:rFonts w:ascii="Arial Narrow" w:eastAsia="Calibri" w:hAnsi="Arial Narrow" w:cs="Arial"/>
                <w:sz w:val="20"/>
                <w:szCs w:val="20"/>
              </w:rPr>
            </w:pPr>
            <w:r w:rsidRPr="006E0DAF">
              <w:rPr>
                <w:rFonts w:ascii="Arial Narrow" w:eastAsia="Calibri" w:hAnsi="Arial Narrow" w:cs="Arial"/>
                <w:sz w:val="20"/>
                <w:szCs w:val="20"/>
              </w:rPr>
              <w:t>21.2 (20.4</w:t>
            </w:r>
            <w:r>
              <w:rPr>
                <w:rFonts w:ascii="Arial Narrow" w:eastAsia="Calibri" w:hAnsi="Arial Narrow" w:cs="Arial"/>
                <w:sz w:val="20"/>
                <w:szCs w:val="20"/>
              </w:rPr>
              <w:t xml:space="preserve">, </w:t>
            </w:r>
            <w:r w:rsidRPr="006E0DAF">
              <w:rPr>
                <w:rFonts w:ascii="Arial Narrow" w:eastAsia="Calibri" w:hAnsi="Arial Narrow" w:cs="Arial"/>
                <w:sz w:val="20"/>
                <w:szCs w:val="20"/>
              </w:rPr>
              <w:t>23.7)</w:t>
            </w:r>
          </w:p>
        </w:tc>
        <w:tc>
          <w:tcPr>
            <w:tcW w:w="993" w:type="pct"/>
          </w:tcPr>
          <w:p w14:paraId="4AEC710D" w14:textId="77777777" w:rsidR="00D62427" w:rsidRPr="009B3131" w:rsidRDefault="00D62427" w:rsidP="009334AB">
            <w:pPr>
              <w:ind w:left="51"/>
              <w:rPr>
                <w:rFonts w:ascii="Arial Narrow" w:eastAsia="Calibri" w:hAnsi="Arial Narrow" w:cs="Arial"/>
                <w:sz w:val="20"/>
                <w:szCs w:val="20"/>
              </w:rPr>
            </w:pPr>
          </w:p>
        </w:tc>
      </w:tr>
      <w:tr w:rsidR="00B60A0D" w:rsidRPr="00443C4A" w:rsidDel="00E05307" w14:paraId="77CD0E45" w14:textId="77777777" w:rsidTr="009334AB">
        <w:trPr>
          <w:trHeight w:val="39"/>
        </w:trPr>
        <w:tc>
          <w:tcPr>
            <w:tcW w:w="1806" w:type="pct"/>
          </w:tcPr>
          <w:p w14:paraId="00C24A11" w14:textId="206CBC74" w:rsidR="00B60A0D" w:rsidRDefault="00B60A0D" w:rsidP="009334AB">
            <w:pPr>
              <w:ind w:left="227"/>
              <w:rPr>
                <w:rFonts w:ascii="Arial Narrow" w:eastAsia="Calibri" w:hAnsi="Arial Narrow" w:cs="Arial"/>
                <w:sz w:val="20"/>
                <w:szCs w:val="20"/>
              </w:rPr>
            </w:pPr>
            <w:r>
              <w:rPr>
                <w:rFonts w:ascii="Arial Narrow" w:eastAsia="Calibri" w:hAnsi="Arial Narrow" w:cs="Arial"/>
                <w:sz w:val="20"/>
                <w:szCs w:val="20"/>
              </w:rPr>
              <w:t>Duration of response: Median, months (95% CI)</w:t>
            </w:r>
          </w:p>
        </w:tc>
        <w:tc>
          <w:tcPr>
            <w:tcW w:w="1100" w:type="pct"/>
          </w:tcPr>
          <w:p w14:paraId="38A01810" w14:textId="30DCE771" w:rsidR="00B60A0D" w:rsidRPr="009B3131" w:rsidDel="00E05307" w:rsidRDefault="00B60A0D" w:rsidP="009334AB">
            <w:pPr>
              <w:rPr>
                <w:rFonts w:ascii="Arial Narrow" w:eastAsia="Calibri" w:hAnsi="Arial Narrow" w:cs="Arial"/>
                <w:sz w:val="20"/>
                <w:szCs w:val="20"/>
              </w:rPr>
            </w:pPr>
            <w:r w:rsidRPr="00FC6F58">
              <w:rPr>
                <w:rFonts w:ascii="Arial Narrow" w:eastAsia="Calibri" w:hAnsi="Arial Narrow" w:cs="Arial"/>
                <w:sz w:val="20"/>
                <w:szCs w:val="20"/>
              </w:rPr>
              <w:t>26.9 (13.6, not estimable)</w:t>
            </w:r>
          </w:p>
        </w:tc>
        <w:tc>
          <w:tcPr>
            <w:tcW w:w="1101" w:type="pct"/>
          </w:tcPr>
          <w:p w14:paraId="70C7E5E4" w14:textId="25A79E03" w:rsidR="00B60A0D" w:rsidRPr="009B3131" w:rsidDel="00E05307" w:rsidRDefault="00B60A0D" w:rsidP="009334AB">
            <w:pPr>
              <w:rPr>
                <w:rFonts w:ascii="Arial Narrow" w:eastAsia="Calibri" w:hAnsi="Arial Narrow" w:cs="Arial"/>
                <w:sz w:val="20"/>
                <w:szCs w:val="20"/>
              </w:rPr>
            </w:pPr>
            <w:r w:rsidRPr="00FC6F58">
              <w:rPr>
                <w:rFonts w:ascii="Arial Narrow" w:eastAsia="Calibri" w:hAnsi="Arial Narrow" w:cs="Arial"/>
                <w:sz w:val="20"/>
                <w:szCs w:val="20"/>
              </w:rPr>
              <w:t>8.9 (5.7, not estimable)</w:t>
            </w:r>
          </w:p>
        </w:tc>
        <w:tc>
          <w:tcPr>
            <w:tcW w:w="993" w:type="pct"/>
          </w:tcPr>
          <w:p w14:paraId="3FCB5D74" w14:textId="792292D2" w:rsidR="00B60A0D" w:rsidRPr="009B3131" w:rsidDel="00E05307" w:rsidRDefault="00B60A0D" w:rsidP="009334AB">
            <w:pPr>
              <w:rPr>
                <w:rFonts w:ascii="Arial Narrow" w:eastAsia="Calibri" w:hAnsi="Arial Narrow" w:cs="Arial"/>
                <w:sz w:val="20"/>
                <w:szCs w:val="20"/>
              </w:rPr>
            </w:pPr>
            <w:r>
              <w:rPr>
                <w:rFonts w:ascii="Arial Narrow" w:eastAsia="Calibri" w:hAnsi="Arial Narrow" w:cs="Arial"/>
                <w:sz w:val="20"/>
                <w:szCs w:val="20"/>
              </w:rPr>
              <w:t xml:space="preserve">HR: </w:t>
            </w:r>
            <w:r w:rsidRPr="00FC6F58">
              <w:rPr>
                <w:rFonts w:ascii="Arial Narrow" w:eastAsia="Calibri" w:hAnsi="Arial Narrow" w:cs="Arial"/>
                <w:sz w:val="20"/>
                <w:szCs w:val="20"/>
              </w:rPr>
              <w:t>0.7</w:t>
            </w:r>
            <w:r>
              <w:rPr>
                <w:rFonts w:ascii="Arial Narrow" w:eastAsia="Calibri" w:hAnsi="Arial Narrow" w:cs="Arial"/>
                <w:sz w:val="20"/>
                <w:szCs w:val="20"/>
              </w:rPr>
              <w:t>4</w:t>
            </w:r>
            <w:r w:rsidRPr="00FC6F58">
              <w:rPr>
                <w:rFonts w:ascii="Arial Narrow" w:eastAsia="Calibri" w:hAnsi="Arial Narrow" w:cs="Arial"/>
                <w:sz w:val="20"/>
                <w:szCs w:val="20"/>
              </w:rPr>
              <w:t xml:space="preserve"> (0.4</w:t>
            </w:r>
            <w:r>
              <w:rPr>
                <w:rFonts w:ascii="Arial Narrow" w:eastAsia="Calibri" w:hAnsi="Arial Narrow" w:cs="Arial"/>
                <w:sz w:val="20"/>
                <w:szCs w:val="20"/>
              </w:rPr>
              <w:t>9</w:t>
            </w:r>
            <w:r w:rsidRPr="00FC6F58">
              <w:rPr>
                <w:rFonts w:ascii="Arial Narrow" w:eastAsia="Calibri" w:hAnsi="Arial Narrow" w:cs="Arial"/>
                <w:sz w:val="20"/>
                <w:szCs w:val="20"/>
              </w:rPr>
              <w:t>, 1.1</w:t>
            </w:r>
            <w:r>
              <w:rPr>
                <w:rFonts w:ascii="Arial Narrow" w:eastAsia="Calibri" w:hAnsi="Arial Narrow" w:cs="Arial"/>
                <w:sz w:val="20"/>
                <w:szCs w:val="20"/>
              </w:rPr>
              <w:t>1</w:t>
            </w:r>
            <w:r w:rsidRPr="00FC6F58">
              <w:rPr>
                <w:rFonts w:ascii="Arial Narrow" w:eastAsia="Calibri" w:hAnsi="Arial Narrow" w:cs="Arial"/>
                <w:sz w:val="20"/>
                <w:szCs w:val="20"/>
              </w:rPr>
              <w:t>)</w:t>
            </w:r>
          </w:p>
        </w:tc>
      </w:tr>
      <w:tr w:rsidR="00B60A0D" w:rsidRPr="00443C4A" w:rsidDel="00E05307" w14:paraId="0860D646" w14:textId="77777777">
        <w:trPr>
          <w:trHeight w:val="39"/>
        </w:trPr>
        <w:tc>
          <w:tcPr>
            <w:tcW w:w="1806" w:type="pct"/>
          </w:tcPr>
          <w:p w14:paraId="7D2CB394" w14:textId="7AB05607" w:rsidR="00B60A0D" w:rsidRDefault="00B60A0D" w:rsidP="009334AB">
            <w:pPr>
              <w:rPr>
                <w:rFonts w:ascii="Arial Narrow" w:eastAsia="Calibri" w:hAnsi="Arial Narrow" w:cs="Arial"/>
                <w:sz w:val="20"/>
                <w:szCs w:val="20"/>
              </w:rPr>
            </w:pPr>
            <w:r>
              <w:rPr>
                <w:rFonts w:ascii="Arial Narrow" w:eastAsia="Calibri" w:hAnsi="Arial Narrow" w:cs="Arial"/>
                <w:sz w:val="20"/>
                <w:szCs w:val="20"/>
              </w:rPr>
              <w:t>EFS</w:t>
            </w:r>
          </w:p>
        </w:tc>
        <w:tc>
          <w:tcPr>
            <w:tcW w:w="1100" w:type="pct"/>
          </w:tcPr>
          <w:p w14:paraId="36F235A5" w14:textId="77777777" w:rsidR="00B60A0D" w:rsidRPr="00FC6F58" w:rsidRDefault="00B60A0D" w:rsidP="009334AB">
            <w:pPr>
              <w:rPr>
                <w:rFonts w:ascii="Arial Narrow" w:eastAsia="Calibri" w:hAnsi="Arial Narrow" w:cs="Arial"/>
                <w:sz w:val="20"/>
                <w:szCs w:val="20"/>
              </w:rPr>
            </w:pPr>
          </w:p>
        </w:tc>
        <w:tc>
          <w:tcPr>
            <w:tcW w:w="1101" w:type="pct"/>
          </w:tcPr>
          <w:p w14:paraId="0500BE9B" w14:textId="77777777" w:rsidR="00B60A0D" w:rsidRPr="00FC6F58" w:rsidRDefault="00B60A0D" w:rsidP="009334AB">
            <w:pPr>
              <w:rPr>
                <w:rFonts w:ascii="Arial Narrow" w:eastAsia="Calibri" w:hAnsi="Arial Narrow" w:cs="Arial"/>
                <w:sz w:val="20"/>
                <w:szCs w:val="20"/>
              </w:rPr>
            </w:pPr>
          </w:p>
        </w:tc>
        <w:tc>
          <w:tcPr>
            <w:tcW w:w="993" w:type="pct"/>
          </w:tcPr>
          <w:p w14:paraId="089CF49D" w14:textId="77777777" w:rsidR="00B60A0D" w:rsidRDefault="00B60A0D" w:rsidP="009334AB">
            <w:pPr>
              <w:rPr>
                <w:rFonts w:ascii="Arial Narrow" w:eastAsia="Calibri" w:hAnsi="Arial Narrow" w:cs="Arial"/>
                <w:sz w:val="20"/>
                <w:szCs w:val="20"/>
              </w:rPr>
            </w:pPr>
          </w:p>
        </w:tc>
      </w:tr>
      <w:tr w:rsidR="00B60A0D" w:rsidRPr="00443C4A" w14:paraId="678133E7" w14:textId="77777777" w:rsidTr="009334AB">
        <w:trPr>
          <w:trHeight w:val="39"/>
        </w:trPr>
        <w:tc>
          <w:tcPr>
            <w:tcW w:w="1806" w:type="pct"/>
          </w:tcPr>
          <w:p w14:paraId="22DFAC3F" w14:textId="74F0C518" w:rsidR="00B60A0D" w:rsidRDefault="00B60A0D" w:rsidP="009334AB">
            <w:pPr>
              <w:ind w:left="227"/>
              <w:rPr>
                <w:rFonts w:ascii="Arial Narrow" w:eastAsia="Calibri" w:hAnsi="Arial Narrow" w:cs="Arial"/>
                <w:sz w:val="20"/>
                <w:szCs w:val="20"/>
              </w:rPr>
            </w:pPr>
            <w:r>
              <w:rPr>
                <w:rFonts w:ascii="Arial Narrow" w:eastAsia="Calibri" w:hAnsi="Arial Narrow" w:cs="Arial"/>
                <w:sz w:val="20"/>
                <w:szCs w:val="20"/>
              </w:rPr>
              <w:t>Median, months (95% CI)</w:t>
            </w:r>
          </w:p>
        </w:tc>
        <w:tc>
          <w:tcPr>
            <w:tcW w:w="1100" w:type="pct"/>
          </w:tcPr>
          <w:p w14:paraId="79DFABAC" w14:textId="4A4A323F" w:rsidR="00B60A0D" w:rsidRPr="00FF6978" w:rsidRDefault="00B60A0D" w:rsidP="009334AB">
            <w:pPr>
              <w:rPr>
                <w:rFonts w:ascii="Arial Narrow" w:eastAsia="Calibri" w:hAnsi="Arial Narrow" w:cs="Arial"/>
                <w:sz w:val="20"/>
                <w:szCs w:val="20"/>
              </w:rPr>
            </w:pPr>
            <w:r>
              <w:rPr>
                <w:rFonts w:ascii="Arial Narrow" w:eastAsia="Calibri" w:hAnsi="Arial Narrow" w:cs="Arial"/>
                <w:sz w:val="20"/>
                <w:szCs w:val="20"/>
              </w:rPr>
              <w:t>8.3 (</w:t>
            </w:r>
            <w:r w:rsidRPr="00DB7D85">
              <w:rPr>
                <w:rFonts w:ascii="Arial Narrow" w:eastAsia="Calibri" w:hAnsi="Arial Narrow" w:cs="Arial"/>
                <w:sz w:val="20"/>
                <w:szCs w:val="20"/>
              </w:rPr>
              <w:t>4.5, 15.8)</w:t>
            </w:r>
          </w:p>
        </w:tc>
        <w:tc>
          <w:tcPr>
            <w:tcW w:w="1101" w:type="pct"/>
          </w:tcPr>
          <w:p w14:paraId="14C9EDEF" w14:textId="666F4A73" w:rsidR="00B60A0D" w:rsidRPr="00FF6978" w:rsidRDefault="00B60A0D" w:rsidP="009334AB">
            <w:pPr>
              <w:rPr>
                <w:rFonts w:ascii="Arial Narrow" w:eastAsia="Calibri" w:hAnsi="Arial Narrow" w:cs="Arial"/>
                <w:sz w:val="20"/>
                <w:szCs w:val="20"/>
              </w:rPr>
            </w:pPr>
            <w:r>
              <w:rPr>
                <w:rFonts w:ascii="Arial Narrow" w:eastAsia="Calibri" w:hAnsi="Arial Narrow" w:cs="Arial"/>
                <w:sz w:val="20"/>
                <w:szCs w:val="20"/>
              </w:rPr>
              <w:t xml:space="preserve">2.0 </w:t>
            </w:r>
            <w:r w:rsidRPr="00DB7D85">
              <w:rPr>
                <w:rFonts w:ascii="Arial Narrow" w:eastAsia="Calibri" w:hAnsi="Arial Narrow" w:cs="Arial"/>
                <w:sz w:val="20"/>
                <w:szCs w:val="20"/>
              </w:rPr>
              <w:t>(1.6, 2.8)</w:t>
            </w:r>
          </w:p>
        </w:tc>
        <w:tc>
          <w:tcPr>
            <w:tcW w:w="993" w:type="pct"/>
            <w:vMerge w:val="restart"/>
          </w:tcPr>
          <w:p w14:paraId="21B99476" w14:textId="61EC3168" w:rsidR="00B60A0D" w:rsidRPr="00FC0B0C" w:rsidRDefault="00B60A0D" w:rsidP="009334AB">
            <w:pPr>
              <w:rPr>
                <w:rFonts w:ascii="Arial Narrow" w:eastAsia="Calibri" w:hAnsi="Arial Narrow" w:cs="Arial"/>
                <w:b/>
                <w:bCs/>
                <w:sz w:val="20"/>
                <w:szCs w:val="20"/>
              </w:rPr>
            </w:pPr>
            <w:r>
              <w:rPr>
                <w:rFonts w:ascii="Arial Narrow" w:eastAsia="Calibri" w:hAnsi="Arial Narrow" w:cs="Arial"/>
                <w:b/>
                <w:bCs/>
                <w:sz w:val="20"/>
                <w:szCs w:val="20"/>
              </w:rPr>
              <w:t xml:space="preserve">HR: </w:t>
            </w:r>
            <w:r w:rsidRPr="00FC0B0C">
              <w:rPr>
                <w:rFonts w:ascii="Arial Narrow" w:eastAsia="Calibri" w:hAnsi="Arial Narrow" w:cs="Arial"/>
                <w:b/>
                <w:bCs/>
                <w:sz w:val="20"/>
                <w:szCs w:val="20"/>
              </w:rPr>
              <w:t>0.</w:t>
            </w:r>
            <w:r>
              <w:rPr>
                <w:rFonts w:ascii="Arial Narrow" w:eastAsia="Calibri" w:hAnsi="Arial Narrow" w:cs="Arial"/>
                <w:b/>
                <w:bCs/>
                <w:sz w:val="20"/>
                <w:szCs w:val="20"/>
              </w:rPr>
              <w:t>40</w:t>
            </w:r>
            <w:r w:rsidRPr="00FC0B0C">
              <w:rPr>
                <w:rFonts w:ascii="Arial Narrow" w:eastAsia="Calibri" w:hAnsi="Arial Narrow" w:cs="Arial"/>
                <w:b/>
                <w:bCs/>
                <w:sz w:val="20"/>
                <w:szCs w:val="20"/>
              </w:rPr>
              <w:t xml:space="preserve"> (0.3</w:t>
            </w:r>
            <w:r>
              <w:rPr>
                <w:rFonts w:ascii="Arial Narrow" w:eastAsia="Calibri" w:hAnsi="Arial Narrow" w:cs="Arial"/>
                <w:b/>
                <w:bCs/>
                <w:sz w:val="20"/>
                <w:szCs w:val="20"/>
              </w:rPr>
              <w:t>1</w:t>
            </w:r>
            <w:r w:rsidRPr="00FC0B0C">
              <w:rPr>
                <w:rFonts w:ascii="Arial Narrow" w:eastAsia="Calibri" w:hAnsi="Arial Narrow" w:cs="Arial"/>
                <w:b/>
                <w:bCs/>
                <w:sz w:val="20"/>
                <w:szCs w:val="20"/>
              </w:rPr>
              <w:t>, 0.51)</w:t>
            </w:r>
          </w:p>
        </w:tc>
      </w:tr>
      <w:tr w:rsidR="00B60A0D" w:rsidRPr="00443C4A" w14:paraId="0D0029E9" w14:textId="77777777" w:rsidTr="009334AB">
        <w:trPr>
          <w:trHeight w:val="39"/>
        </w:trPr>
        <w:tc>
          <w:tcPr>
            <w:tcW w:w="1806" w:type="pct"/>
          </w:tcPr>
          <w:p w14:paraId="509E29C5" w14:textId="163AAD2F" w:rsidR="00B60A0D" w:rsidRDefault="00B60A0D" w:rsidP="009334AB">
            <w:pPr>
              <w:ind w:left="227"/>
              <w:rPr>
                <w:rFonts w:ascii="Arial Narrow" w:eastAsia="Calibri" w:hAnsi="Arial Narrow" w:cs="Arial"/>
                <w:sz w:val="20"/>
                <w:szCs w:val="20"/>
              </w:rPr>
            </w:pPr>
            <w:r>
              <w:rPr>
                <w:rFonts w:ascii="Arial Narrow" w:eastAsia="Calibri" w:hAnsi="Arial Narrow" w:cs="Arial"/>
                <w:sz w:val="20"/>
                <w:szCs w:val="20"/>
              </w:rPr>
              <w:t>EFS at 24 months, % (95% CI)</w:t>
            </w:r>
          </w:p>
        </w:tc>
        <w:tc>
          <w:tcPr>
            <w:tcW w:w="1100" w:type="pct"/>
          </w:tcPr>
          <w:p w14:paraId="5EB53BA3" w14:textId="318E454B" w:rsidR="00B60A0D" w:rsidRDefault="00B60A0D" w:rsidP="009334AB">
            <w:pPr>
              <w:rPr>
                <w:rFonts w:ascii="Arial Narrow" w:eastAsia="Calibri" w:hAnsi="Arial Narrow" w:cs="Arial"/>
                <w:sz w:val="20"/>
                <w:szCs w:val="20"/>
              </w:rPr>
            </w:pPr>
            <w:r w:rsidRPr="00FF6978">
              <w:rPr>
                <w:rFonts w:ascii="Arial Narrow" w:eastAsia="Calibri" w:hAnsi="Arial Narrow" w:cs="Arial"/>
                <w:sz w:val="20"/>
                <w:szCs w:val="20"/>
              </w:rPr>
              <w:t>40.5%</w:t>
            </w:r>
            <w:r>
              <w:rPr>
                <w:rFonts w:ascii="Arial Narrow" w:eastAsia="Calibri" w:hAnsi="Arial Narrow" w:cs="Arial"/>
                <w:sz w:val="20"/>
                <w:szCs w:val="20"/>
              </w:rPr>
              <w:t xml:space="preserve"> </w:t>
            </w:r>
            <w:r w:rsidRPr="00DB7D85">
              <w:rPr>
                <w:rFonts w:ascii="Arial Narrow" w:eastAsia="Calibri" w:hAnsi="Arial Narrow" w:cs="Arial"/>
                <w:sz w:val="20"/>
                <w:szCs w:val="20"/>
              </w:rPr>
              <w:t>(33.2%, 47.7%)</w:t>
            </w:r>
          </w:p>
        </w:tc>
        <w:tc>
          <w:tcPr>
            <w:tcW w:w="1101" w:type="pct"/>
          </w:tcPr>
          <w:p w14:paraId="69BDCA95" w14:textId="680E92B3" w:rsidR="00B60A0D" w:rsidRDefault="00B60A0D" w:rsidP="009334AB">
            <w:pPr>
              <w:rPr>
                <w:rFonts w:ascii="Arial Narrow" w:eastAsia="Calibri" w:hAnsi="Arial Narrow" w:cs="Arial"/>
                <w:sz w:val="20"/>
                <w:szCs w:val="20"/>
              </w:rPr>
            </w:pPr>
            <w:r w:rsidRPr="00DB7D85">
              <w:rPr>
                <w:rFonts w:ascii="Arial Narrow" w:eastAsia="Calibri" w:hAnsi="Arial Narrow" w:cs="Arial"/>
                <w:sz w:val="20"/>
                <w:szCs w:val="20"/>
              </w:rPr>
              <w:t>16.3% (11.1%, 22.2%)</w:t>
            </w:r>
          </w:p>
        </w:tc>
        <w:tc>
          <w:tcPr>
            <w:tcW w:w="993" w:type="pct"/>
            <w:vMerge/>
          </w:tcPr>
          <w:p w14:paraId="3111A553" w14:textId="3B05F5A9" w:rsidR="00B60A0D" w:rsidRPr="00FC0B0C" w:rsidRDefault="00B60A0D" w:rsidP="009334AB">
            <w:pPr>
              <w:rPr>
                <w:rFonts w:ascii="Arial Narrow" w:eastAsia="Calibri" w:hAnsi="Arial Narrow" w:cs="Arial"/>
                <w:b/>
                <w:bCs/>
                <w:sz w:val="20"/>
                <w:szCs w:val="20"/>
              </w:rPr>
            </w:pPr>
          </w:p>
        </w:tc>
      </w:tr>
      <w:tr w:rsidR="00B60A0D" w:rsidRPr="00443C4A" w14:paraId="5CEE5702" w14:textId="77777777" w:rsidTr="009334AB">
        <w:trPr>
          <w:trHeight w:val="39"/>
        </w:trPr>
        <w:tc>
          <w:tcPr>
            <w:tcW w:w="1806" w:type="pct"/>
          </w:tcPr>
          <w:p w14:paraId="4714A541" w14:textId="57CFBF36" w:rsidR="00B60A0D" w:rsidRDefault="00B60A0D" w:rsidP="009334AB">
            <w:pPr>
              <w:rPr>
                <w:rFonts w:ascii="Arial Narrow" w:eastAsia="Calibri" w:hAnsi="Arial Narrow" w:cs="Arial"/>
                <w:sz w:val="20"/>
                <w:szCs w:val="20"/>
              </w:rPr>
            </w:pPr>
            <w:r>
              <w:rPr>
                <w:rFonts w:ascii="Arial Narrow" w:eastAsia="Calibri" w:hAnsi="Arial Narrow" w:cs="Arial"/>
                <w:sz w:val="20"/>
                <w:szCs w:val="20"/>
              </w:rPr>
              <w:t>PFS (median duration), months (95% CI)</w:t>
            </w:r>
          </w:p>
        </w:tc>
        <w:tc>
          <w:tcPr>
            <w:tcW w:w="1100" w:type="pct"/>
          </w:tcPr>
          <w:p w14:paraId="7E149A95" w14:textId="3EBB9025" w:rsidR="00B60A0D" w:rsidRPr="009B3131" w:rsidRDefault="00B60A0D" w:rsidP="009334AB">
            <w:pPr>
              <w:rPr>
                <w:rFonts w:ascii="Arial Narrow" w:eastAsia="Calibri" w:hAnsi="Arial Narrow" w:cs="Arial"/>
                <w:sz w:val="20"/>
                <w:szCs w:val="20"/>
              </w:rPr>
            </w:pPr>
            <w:r w:rsidRPr="00DB7D85">
              <w:rPr>
                <w:rFonts w:ascii="Arial Narrow" w:eastAsia="Calibri" w:hAnsi="Arial Narrow" w:cs="Arial"/>
                <w:sz w:val="20"/>
                <w:szCs w:val="20"/>
              </w:rPr>
              <w:t>14.9 (7.2, not estimable)</w:t>
            </w:r>
          </w:p>
        </w:tc>
        <w:tc>
          <w:tcPr>
            <w:tcW w:w="1101" w:type="pct"/>
          </w:tcPr>
          <w:p w14:paraId="777B3C83" w14:textId="7B110C4B" w:rsidR="00B60A0D" w:rsidRPr="009B3131" w:rsidRDefault="00B60A0D" w:rsidP="009334AB">
            <w:pPr>
              <w:rPr>
                <w:rFonts w:ascii="Arial Narrow" w:eastAsia="Calibri" w:hAnsi="Arial Narrow" w:cs="Arial"/>
                <w:sz w:val="20"/>
                <w:szCs w:val="20"/>
              </w:rPr>
            </w:pPr>
            <w:r w:rsidRPr="00DB7D85">
              <w:rPr>
                <w:rFonts w:ascii="Arial Narrow" w:eastAsia="Calibri" w:hAnsi="Arial Narrow" w:cs="Arial"/>
                <w:sz w:val="20"/>
                <w:szCs w:val="20"/>
              </w:rPr>
              <w:t>5.0 (3.4, 8</w:t>
            </w:r>
            <w:r>
              <w:rPr>
                <w:rFonts w:ascii="Arial Narrow" w:eastAsia="Calibri" w:hAnsi="Arial Narrow" w:cs="Arial"/>
                <w:sz w:val="20"/>
                <w:szCs w:val="20"/>
              </w:rPr>
              <w:t>.5</w:t>
            </w:r>
            <w:r w:rsidRPr="00DB7D85">
              <w:rPr>
                <w:rFonts w:ascii="Arial Narrow" w:eastAsia="Calibri" w:hAnsi="Arial Narrow" w:cs="Arial"/>
                <w:sz w:val="20"/>
                <w:szCs w:val="20"/>
              </w:rPr>
              <w:t>)</w:t>
            </w:r>
          </w:p>
        </w:tc>
        <w:tc>
          <w:tcPr>
            <w:tcW w:w="993" w:type="pct"/>
          </w:tcPr>
          <w:p w14:paraId="4DCD6D7E" w14:textId="6C565023" w:rsidR="00B60A0D" w:rsidRPr="00FC0B0C" w:rsidRDefault="00B60A0D" w:rsidP="009334AB">
            <w:pPr>
              <w:rPr>
                <w:rFonts w:ascii="Arial Narrow" w:eastAsia="Calibri" w:hAnsi="Arial Narrow" w:cs="Arial"/>
                <w:b/>
                <w:bCs/>
                <w:sz w:val="20"/>
                <w:szCs w:val="20"/>
              </w:rPr>
            </w:pPr>
            <w:r>
              <w:rPr>
                <w:rFonts w:ascii="Arial Narrow" w:eastAsia="Calibri" w:hAnsi="Arial Narrow" w:cs="Arial"/>
                <w:b/>
                <w:bCs/>
                <w:sz w:val="20"/>
                <w:szCs w:val="20"/>
              </w:rPr>
              <w:t xml:space="preserve">HR: </w:t>
            </w:r>
            <w:r w:rsidRPr="00FC0B0C">
              <w:rPr>
                <w:rFonts w:ascii="Arial Narrow" w:eastAsia="Calibri" w:hAnsi="Arial Narrow" w:cs="Arial"/>
                <w:b/>
                <w:bCs/>
                <w:sz w:val="20"/>
                <w:szCs w:val="20"/>
              </w:rPr>
              <w:t>0.56 (0.41, 0.76)</w:t>
            </w:r>
          </w:p>
        </w:tc>
      </w:tr>
      <w:tr w:rsidR="00B60A0D" w:rsidRPr="00443C4A" w14:paraId="17497899" w14:textId="77777777" w:rsidTr="009334AB">
        <w:trPr>
          <w:trHeight w:val="39"/>
        </w:trPr>
        <w:tc>
          <w:tcPr>
            <w:tcW w:w="1806" w:type="pct"/>
          </w:tcPr>
          <w:p w14:paraId="0A2DCA05" w14:textId="37231CAF" w:rsidR="00B60A0D" w:rsidRDefault="00B60A0D" w:rsidP="009334AB">
            <w:pPr>
              <w:rPr>
                <w:rFonts w:ascii="Arial Narrow" w:eastAsia="Calibri" w:hAnsi="Arial Narrow" w:cs="Arial"/>
                <w:sz w:val="20"/>
                <w:szCs w:val="20"/>
              </w:rPr>
            </w:pPr>
            <w:r>
              <w:rPr>
                <w:rFonts w:ascii="Arial Narrow" w:eastAsia="Calibri" w:hAnsi="Arial Narrow" w:cs="Arial"/>
                <w:sz w:val="20"/>
                <w:szCs w:val="20"/>
              </w:rPr>
              <w:t xml:space="preserve">TTNT, </w:t>
            </w:r>
            <w:r w:rsidR="00975E6E">
              <w:rPr>
                <w:rFonts w:ascii="Arial Narrow" w:eastAsia="Calibri" w:hAnsi="Arial Narrow" w:cs="Arial"/>
                <w:sz w:val="20"/>
                <w:szCs w:val="20"/>
              </w:rPr>
              <w:t>(m</w:t>
            </w:r>
            <w:r w:rsidR="00444573">
              <w:rPr>
                <w:rFonts w:ascii="Arial Narrow" w:eastAsia="Calibri" w:hAnsi="Arial Narrow" w:cs="Arial"/>
                <w:sz w:val="20"/>
                <w:szCs w:val="20"/>
              </w:rPr>
              <w:t>edian</w:t>
            </w:r>
            <w:r w:rsidR="00975E6E">
              <w:rPr>
                <w:rFonts w:ascii="Arial Narrow" w:eastAsia="Calibri" w:hAnsi="Arial Narrow" w:cs="Arial"/>
                <w:sz w:val="20"/>
                <w:szCs w:val="20"/>
              </w:rPr>
              <w:t xml:space="preserve"> duration)</w:t>
            </w:r>
            <w:r w:rsidR="00444573">
              <w:rPr>
                <w:rFonts w:ascii="Arial Narrow" w:eastAsia="Calibri" w:hAnsi="Arial Narrow" w:cs="Arial"/>
                <w:sz w:val="20"/>
                <w:szCs w:val="20"/>
              </w:rPr>
              <w:t xml:space="preserve"> </w:t>
            </w:r>
            <w:r>
              <w:rPr>
                <w:rFonts w:ascii="Arial Narrow" w:eastAsia="Calibri" w:hAnsi="Arial Narrow" w:cs="Arial"/>
                <w:sz w:val="20"/>
                <w:szCs w:val="20"/>
              </w:rPr>
              <w:t>months (95% CI)</w:t>
            </w:r>
          </w:p>
        </w:tc>
        <w:tc>
          <w:tcPr>
            <w:tcW w:w="1100" w:type="pct"/>
          </w:tcPr>
          <w:p w14:paraId="19ABE4F4" w14:textId="0772AD1F" w:rsidR="00B60A0D" w:rsidRPr="009F13C3" w:rsidRDefault="00B60A0D" w:rsidP="009334AB">
            <w:pPr>
              <w:rPr>
                <w:rFonts w:ascii="Arial Narrow" w:eastAsia="Calibri" w:hAnsi="Arial Narrow" w:cs="Arial"/>
                <w:sz w:val="20"/>
                <w:szCs w:val="20"/>
              </w:rPr>
            </w:pPr>
            <w:r w:rsidRPr="00DB7D85">
              <w:rPr>
                <w:rFonts w:ascii="Arial Narrow" w:eastAsia="Calibri" w:hAnsi="Arial Narrow" w:cs="Arial"/>
                <w:sz w:val="20"/>
                <w:szCs w:val="20"/>
              </w:rPr>
              <w:t>14.7 (6.5, not estimable)</w:t>
            </w:r>
          </w:p>
        </w:tc>
        <w:tc>
          <w:tcPr>
            <w:tcW w:w="1101" w:type="pct"/>
          </w:tcPr>
          <w:p w14:paraId="727B34E3" w14:textId="18C69CC2" w:rsidR="00B60A0D" w:rsidRPr="009F13C3" w:rsidRDefault="00B60A0D" w:rsidP="009334AB">
            <w:pPr>
              <w:rPr>
                <w:rFonts w:ascii="Arial Narrow" w:eastAsia="Calibri" w:hAnsi="Arial Narrow" w:cs="Arial"/>
                <w:sz w:val="20"/>
                <w:szCs w:val="20"/>
              </w:rPr>
            </w:pPr>
            <w:r w:rsidRPr="00DB7D85">
              <w:rPr>
                <w:rFonts w:ascii="Arial Narrow" w:eastAsia="Calibri" w:hAnsi="Arial Narrow" w:cs="Arial"/>
                <w:sz w:val="20"/>
                <w:szCs w:val="20"/>
              </w:rPr>
              <w:t>3.4 (3.1, 4.4)</w:t>
            </w:r>
          </w:p>
        </w:tc>
        <w:tc>
          <w:tcPr>
            <w:tcW w:w="993" w:type="pct"/>
          </w:tcPr>
          <w:p w14:paraId="7BA8D6E8" w14:textId="1C9058A2" w:rsidR="00B60A0D" w:rsidRPr="00FC0B0C" w:rsidRDefault="00B60A0D" w:rsidP="009334AB">
            <w:pPr>
              <w:rPr>
                <w:rFonts w:ascii="Arial Narrow" w:eastAsia="Calibri" w:hAnsi="Arial Narrow" w:cs="Arial"/>
                <w:b/>
                <w:bCs/>
                <w:sz w:val="20"/>
                <w:szCs w:val="20"/>
              </w:rPr>
            </w:pPr>
            <w:r>
              <w:rPr>
                <w:rFonts w:ascii="Arial Narrow" w:eastAsia="Calibri" w:hAnsi="Arial Narrow" w:cs="Arial"/>
                <w:b/>
                <w:bCs/>
                <w:sz w:val="20"/>
                <w:szCs w:val="20"/>
              </w:rPr>
              <w:t xml:space="preserve">HR: </w:t>
            </w:r>
            <w:r w:rsidRPr="00FC0B0C">
              <w:rPr>
                <w:rFonts w:ascii="Arial Narrow" w:eastAsia="Calibri" w:hAnsi="Arial Narrow" w:cs="Arial"/>
                <w:b/>
                <w:bCs/>
                <w:sz w:val="20"/>
                <w:szCs w:val="20"/>
              </w:rPr>
              <w:t>0.43 (0.3</w:t>
            </w:r>
            <w:r>
              <w:rPr>
                <w:rFonts w:ascii="Arial Narrow" w:eastAsia="Calibri" w:hAnsi="Arial Narrow" w:cs="Arial"/>
                <w:b/>
                <w:bCs/>
                <w:sz w:val="20"/>
                <w:szCs w:val="20"/>
              </w:rPr>
              <w:t>3</w:t>
            </w:r>
            <w:r w:rsidRPr="00FC0B0C">
              <w:rPr>
                <w:rFonts w:ascii="Arial Narrow" w:eastAsia="Calibri" w:hAnsi="Arial Narrow" w:cs="Arial"/>
                <w:b/>
                <w:bCs/>
                <w:sz w:val="20"/>
                <w:szCs w:val="20"/>
              </w:rPr>
              <w:t>, 0.56)</w:t>
            </w:r>
          </w:p>
        </w:tc>
      </w:tr>
      <w:tr w:rsidR="00B60A0D" w:rsidRPr="00443C4A" w14:paraId="47FA7E55" w14:textId="18B26BA5" w:rsidTr="009334AB">
        <w:trPr>
          <w:trHeight w:val="141"/>
        </w:trPr>
        <w:tc>
          <w:tcPr>
            <w:tcW w:w="1806" w:type="pct"/>
          </w:tcPr>
          <w:p w14:paraId="3FB03A02" w14:textId="09BF1542" w:rsidR="00B60A0D" w:rsidRPr="00443C4A" w:rsidRDefault="00B60A0D" w:rsidP="009334AB">
            <w:pPr>
              <w:rPr>
                <w:rFonts w:ascii="Arial Narrow" w:eastAsia="Calibri" w:hAnsi="Arial Narrow" w:cs="Arial"/>
                <w:sz w:val="20"/>
                <w:szCs w:val="20"/>
              </w:rPr>
            </w:pPr>
            <w:r w:rsidRPr="00BF338E">
              <w:rPr>
                <w:rFonts w:ascii="Arial Narrow" w:eastAsia="Calibri" w:hAnsi="Arial Narrow" w:cs="Arial"/>
                <w:sz w:val="20"/>
                <w:szCs w:val="20"/>
              </w:rPr>
              <w:t>Overall survival</w:t>
            </w:r>
          </w:p>
        </w:tc>
        <w:tc>
          <w:tcPr>
            <w:tcW w:w="1100" w:type="pct"/>
          </w:tcPr>
          <w:p w14:paraId="04FBB925" w14:textId="06DD49A3" w:rsidR="00B60A0D" w:rsidRPr="009B3131" w:rsidRDefault="00B60A0D" w:rsidP="009334AB">
            <w:pPr>
              <w:rPr>
                <w:rFonts w:ascii="Arial Narrow" w:eastAsia="Calibri" w:hAnsi="Arial Narrow" w:cs="Arial"/>
                <w:sz w:val="20"/>
                <w:szCs w:val="20"/>
              </w:rPr>
            </w:pPr>
          </w:p>
        </w:tc>
        <w:tc>
          <w:tcPr>
            <w:tcW w:w="1101" w:type="pct"/>
          </w:tcPr>
          <w:p w14:paraId="1D3DE4C4" w14:textId="3E100003" w:rsidR="00B60A0D" w:rsidRPr="009B3131" w:rsidRDefault="00B60A0D" w:rsidP="009334AB">
            <w:pPr>
              <w:rPr>
                <w:rFonts w:ascii="Arial Narrow" w:eastAsia="Calibri" w:hAnsi="Arial Narrow" w:cs="Arial"/>
                <w:sz w:val="20"/>
                <w:szCs w:val="20"/>
              </w:rPr>
            </w:pPr>
          </w:p>
        </w:tc>
        <w:tc>
          <w:tcPr>
            <w:tcW w:w="993" w:type="pct"/>
          </w:tcPr>
          <w:p w14:paraId="0FD846A7" w14:textId="4A41FE8C" w:rsidR="00B60A0D" w:rsidRPr="00FC0B0C" w:rsidRDefault="00B60A0D" w:rsidP="009334AB">
            <w:pPr>
              <w:rPr>
                <w:rFonts w:ascii="Arial Narrow" w:eastAsia="Calibri" w:hAnsi="Arial Narrow" w:cs="Arial"/>
                <w:b/>
                <w:bCs/>
                <w:sz w:val="20"/>
                <w:szCs w:val="20"/>
              </w:rPr>
            </w:pPr>
          </w:p>
        </w:tc>
      </w:tr>
      <w:tr w:rsidR="00B60A0D" w:rsidRPr="00443C4A" w14:paraId="4A59239D" w14:textId="77777777">
        <w:trPr>
          <w:trHeight w:val="141"/>
        </w:trPr>
        <w:tc>
          <w:tcPr>
            <w:tcW w:w="1806" w:type="pct"/>
          </w:tcPr>
          <w:p w14:paraId="2BE42E9D" w14:textId="370B239B" w:rsidR="00B60A0D" w:rsidRPr="00BF338E" w:rsidRDefault="00B60A0D" w:rsidP="009334AB">
            <w:pPr>
              <w:ind w:left="227"/>
              <w:rPr>
                <w:rFonts w:ascii="Arial Narrow" w:eastAsia="Calibri" w:hAnsi="Arial Narrow" w:cs="Arial"/>
                <w:sz w:val="20"/>
                <w:szCs w:val="20"/>
              </w:rPr>
            </w:pPr>
            <w:r>
              <w:rPr>
                <w:rFonts w:ascii="Arial Narrow" w:eastAsia="Calibri" w:hAnsi="Arial Narrow" w:cs="Arial"/>
                <w:sz w:val="20"/>
                <w:szCs w:val="20"/>
              </w:rPr>
              <w:t xml:space="preserve">Deaths (all cause), </w:t>
            </w:r>
            <w:r w:rsidRPr="00FC6F58">
              <w:rPr>
                <w:rFonts w:ascii="Arial Narrow" w:eastAsia="Calibri" w:hAnsi="Arial Narrow" w:cs="Arial"/>
                <w:sz w:val="20"/>
                <w:szCs w:val="20"/>
              </w:rPr>
              <w:t>n</w:t>
            </w:r>
            <w:r>
              <w:rPr>
                <w:rFonts w:ascii="Arial Narrow" w:eastAsia="Calibri" w:hAnsi="Arial Narrow" w:cs="Arial"/>
                <w:sz w:val="20"/>
                <w:szCs w:val="20"/>
              </w:rPr>
              <w:t xml:space="preserve"> </w:t>
            </w:r>
            <w:r w:rsidRPr="00FC6F58">
              <w:rPr>
                <w:rFonts w:ascii="Arial Narrow" w:eastAsia="Calibri" w:hAnsi="Arial Narrow" w:cs="Arial"/>
                <w:sz w:val="20"/>
                <w:szCs w:val="20"/>
              </w:rPr>
              <w:t>(%)</w:t>
            </w:r>
          </w:p>
        </w:tc>
        <w:tc>
          <w:tcPr>
            <w:tcW w:w="1100" w:type="pct"/>
          </w:tcPr>
          <w:p w14:paraId="6BDCF587" w14:textId="35CC1B2E" w:rsidR="00B60A0D" w:rsidRPr="000E3112" w:rsidRDefault="00B60A0D" w:rsidP="009334AB">
            <w:pPr>
              <w:rPr>
                <w:rFonts w:ascii="Arial Narrow" w:eastAsia="Calibri" w:hAnsi="Arial Narrow" w:cs="Arial"/>
                <w:sz w:val="20"/>
                <w:szCs w:val="20"/>
              </w:rPr>
            </w:pPr>
            <w:r w:rsidRPr="00FC6F58">
              <w:rPr>
                <w:rFonts w:ascii="Arial Narrow" w:eastAsia="Calibri" w:hAnsi="Arial Narrow" w:cs="Arial"/>
                <w:sz w:val="20"/>
                <w:szCs w:val="20"/>
              </w:rPr>
              <w:t>72 (40)</w:t>
            </w:r>
          </w:p>
        </w:tc>
        <w:tc>
          <w:tcPr>
            <w:tcW w:w="1101" w:type="pct"/>
          </w:tcPr>
          <w:p w14:paraId="16C43A9A" w14:textId="723B74AC" w:rsidR="00B60A0D" w:rsidRPr="000E3112" w:rsidRDefault="00B60A0D" w:rsidP="009334AB">
            <w:pPr>
              <w:rPr>
                <w:rFonts w:ascii="Arial Narrow" w:eastAsia="Calibri" w:hAnsi="Arial Narrow" w:cs="Arial"/>
                <w:sz w:val="20"/>
                <w:szCs w:val="20"/>
              </w:rPr>
            </w:pPr>
            <w:r w:rsidRPr="00FC6F58">
              <w:rPr>
                <w:rFonts w:ascii="Arial Narrow" w:eastAsia="Calibri" w:hAnsi="Arial Narrow" w:cs="Arial"/>
                <w:sz w:val="20"/>
                <w:szCs w:val="20"/>
              </w:rPr>
              <w:t>85 (47)</w:t>
            </w:r>
          </w:p>
        </w:tc>
        <w:tc>
          <w:tcPr>
            <w:tcW w:w="993" w:type="pct"/>
          </w:tcPr>
          <w:p w14:paraId="0108D17C" w14:textId="66A2EEAB" w:rsidR="00B60A0D" w:rsidRPr="00B60A0D" w:rsidRDefault="00B60A0D" w:rsidP="009334AB">
            <w:pPr>
              <w:rPr>
                <w:rFonts w:ascii="Arial Narrow" w:eastAsia="Calibri" w:hAnsi="Arial Narrow" w:cs="Arial"/>
                <w:b/>
                <w:bCs/>
                <w:sz w:val="20"/>
                <w:szCs w:val="20"/>
              </w:rPr>
            </w:pPr>
            <w:r>
              <w:rPr>
                <w:rFonts w:ascii="Arial Narrow" w:eastAsia="Calibri" w:hAnsi="Arial Narrow" w:cs="Arial"/>
                <w:b/>
                <w:bCs/>
                <w:sz w:val="20"/>
                <w:szCs w:val="20"/>
              </w:rPr>
              <w:t xml:space="preserve">HR: </w:t>
            </w:r>
            <w:r w:rsidRPr="00FC0B0C">
              <w:rPr>
                <w:rFonts w:ascii="Arial Narrow" w:eastAsia="Calibri" w:hAnsi="Arial Narrow" w:cs="Arial"/>
                <w:b/>
                <w:bCs/>
                <w:sz w:val="20"/>
                <w:szCs w:val="20"/>
              </w:rPr>
              <w:t>0.7</w:t>
            </w:r>
            <w:r>
              <w:rPr>
                <w:rFonts w:ascii="Arial Narrow" w:eastAsia="Calibri" w:hAnsi="Arial Narrow" w:cs="Arial"/>
                <w:b/>
                <w:bCs/>
                <w:sz w:val="20"/>
                <w:szCs w:val="20"/>
              </w:rPr>
              <w:t>1</w:t>
            </w:r>
            <w:r w:rsidRPr="00FC0B0C">
              <w:rPr>
                <w:rFonts w:ascii="Arial Narrow" w:eastAsia="Calibri" w:hAnsi="Arial Narrow" w:cs="Arial"/>
                <w:b/>
                <w:bCs/>
                <w:sz w:val="20"/>
                <w:szCs w:val="20"/>
              </w:rPr>
              <w:t xml:space="preserve"> (0.5</w:t>
            </w:r>
            <w:r>
              <w:rPr>
                <w:rFonts w:ascii="Arial Narrow" w:eastAsia="Calibri" w:hAnsi="Arial Narrow" w:cs="Arial"/>
                <w:b/>
                <w:bCs/>
                <w:sz w:val="20"/>
                <w:szCs w:val="20"/>
              </w:rPr>
              <w:t>2</w:t>
            </w:r>
            <w:r w:rsidRPr="00FC0B0C">
              <w:rPr>
                <w:rFonts w:ascii="Arial Narrow" w:eastAsia="Calibri" w:hAnsi="Arial Narrow" w:cs="Arial"/>
                <w:b/>
                <w:bCs/>
                <w:sz w:val="20"/>
                <w:szCs w:val="20"/>
              </w:rPr>
              <w:t>, 0.97)</w:t>
            </w:r>
          </w:p>
        </w:tc>
      </w:tr>
      <w:tr w:rsidR="00B60A0D" w:rsidRPr="00443C4A" w14:paraId="3CECC75E" w14:textId="77777777">
        <w:tc>
          <w:tcPr>
            <w:tcW w:w="1806" w:type="pct"/>
          </w:tcPr>
          <w:p w14:paraId="3952B2A6" w14:textId="57E606B3" w:rsidR="00B60A0D" w:rsidRPr="00BF338E" w:rsidRDefault="00B60A0D" w:rsidP="009334AB">
            <w:pPr>
              <w:ind w:left="227"/>
              <w:rPr>
                <w:rFonts w:ascii="Arial Narrow" w:eastAsia="Calibri" w:hAnsi="Arial Narrow" w:cs="Arial"/>
                <w:sz w:val="20"/>
                <w:szCs w:val="20"/>
              </w:rPr>
            </w:pPr>
            <w:r>
              <w:rPr>
                <w:rFonts w:ascii="Arial Narrow" w:eastAsia="Calibri" w:hAnsi="Arial Narrow" w:cs="Arial"/>
                <w:sz w:val="20"/>
                <w:szCs w:val="20"/>
              </w:rPr>
              <w:t>Median OS, months (95% CI)</w:t>
            </w:r>
          </w:p>
        </w:tc>
        <w:tc>
          <w:tcPr>
            <w:tcW w:w="1100" w:type="pct"/>
          </w:tcPr>
          <w:p w14:paraId="349C5DDA" w14:textId="4869B84E" w:rsidR="00B60A0D" w:rsidRPr="009B3131" w:rsidRDefault="00B60A0D" w:rsidP="009334AB">
            <w:pPr>
              <w:rPr>
                <w:rFonts w:ascii="Arial Narrow" w:eastAsia="Calibri" w:hAnsi="Arial Narrow" w:cs="Arial"/>
                <w:sz w:val="20"/>
                <w:szCs w:val="20"/>
              </w:rPr>
            </w:pPr>
            <w:r>
              <w:rPr>
                <w:rFonts w:ascii="Arial Narrow" w:eastAsia="Calibri" w:hAnsi="Arial Narrow" w:cs="Arial"/>
                <w:sz w:val="20"/>
                <w:szCs w:val="20"/>
              </w:rPr>
              <w:t>H</w:t>
            </w:r>
            <w:r w:rsidRPr="00FF6978">
              <w:rPr>
                <w:rFonts w:ascii="Arial Narrow" w:eastAsia="Calibri" w:hAnsi="Arial Narrow" w:cs="Arial"/>
                <w:sz w:val="20"/>
                <w:szCs w:val="20"/>
              </w:rPr>
              <w:t>ad not been reached</w:t>
            </w:r>
          </w:p>
        </w:tc>
        <w:tc>
          <w:tcPr>
            <w:tcW w:w="1101" w:type="pct"/>
          </w:tcPr>
          <w:p w14:paraId="6DC93BF9" w14:textId="0B51200B" w:rsidR="00B60A0D" w:rsidRPr="009B3131" w:rsidRDefault="00B60A0D" w:rsidP="009334AB">
            <w:pPr>
              <w:rPr>
                <w:rFonts w:ascii="Arial Narrow" w:eastAsia="Calibri" w:hAnsi="Arial Narrow" w:cs="Arial"/>
                <w:sz w:val="20"/>
                <w:szCs w:val="20"/>
              </w:rPr>
            </w:pPr>
            <w:r w:rsidRPr="00FF6978">
              <w:rPr>
                <w:rFonts w:ascii="Arial Narrow" w:eastAsia="Calibri" w:hAnsi="Arial Narrow" w:cs="Arial"/>
                <w:sz w:val="20"/>
                <w:szCs w:val="20"/>
              </w:rPr>
              <w:t>25.7</w:t>
            </w:r>
            <w:r>
              <w:rPr>
                <w:rFonts w:ascii="Arial Narrow" w:eastAsia="Calibri" w:hAnsi="Arial Narrow" w:cs="Arial"/>
                <w:sz w:val="20"/>
                <w:szCs w:val="20"/>
              </w:rPr>
              <w:t xml:space="preserve"> </w:t>
            </w:r>
            <w:r w:rsidRPr="00FC6F58">
              <w:rPr>
                <w:rFonts w:ascii="Arial Narrow" w:eastAsia="Calibri" w:hAnsi="Arial Narrow" w:cs="Arial"/>
                <w:sz w:val="20"/>
                <w:szCs w:val="20"/>
              </w:rPr>
              <w:t>(</w:t>
            </w:r>
            <w:r>
              <w:rPr>
                <w:rFonts w:ascii="Arial Narrow" w:eastAsia="Calibri" w:hAnsi="Arial Narrow" w:cs="Arial"/>
                <w:sz w:val="20"/>
                <w:szCs w:val="20"/>
              </w:rPr>
              <w:t>17.6, not estimable</w:t>
            </w:r>
            <w:r w:rsidRPr="00FC6F58">
              <w:rPr>
                <w:rFonts w:ascii="Arial Narrow" w:eastAsia="Calibri" w:hAnsi="Arial Narrow" w:cs="Arial"/>
                <w:sz w:val="20"/>
                <w:szCs w:val="20"/>
              </w:rPr>
              <w:t>)</w:t>
            </w:r>
          </w:p>
        </w:tc>
        <w:tc>
          <w:tcPr>
            <w:tcW w:w="993" w:type="pct"/>
          </w:tcPr>
          <w:p w14:paraId="5C0EC01C" w14:textId="4B35C189" w:rsidR="00B60A0D" w:rsidRPr="00FF6978" w:rsidRDefault="00B60A0D" w:rsidP="009334AB">
            <w:pPr>
              <w:rPr>
                <w:rFonts w:ascii="Arial Narrow" w:eastAsia="Calibri" w:hAnsi="Arial Narrow" w:cs="Arial"/>
                <w:sz w:val="20"/>
                <w:szCs w:val="20"/>
              </w:rPr>
            </w:pPr>
          </w:p>
        </w:tc>
      </w:tr>
      <w:tr w:rsidR="00B60A0D" w:rsidRPr="00443C4A" w14:paraId="49FAF7FA" w14:textId="77777777">
        <w:tc>
          <w:tcPr>
            <w:tcW w:w="1806" w:type="pct"/>
          </w:tcPr>
          <w:p w14:paraId="1D612692" w14:textId="7DB3EAA1" w:rsidR="00B60A0D" w:rsidRDefault="00B60A0D" w:rsidP="009334AB">
            <w:pPr>
              <w:ind w:left="227"/>
              <w:rPr>
                <w:rFonts w:ascii="Arial Narrow" w:eastAsia="Calibri" w:hAnsi="Arial Narrow" w:cs="Arial"/>
                <w:sz w:val="20"/>
                <w:szCs w:val="20"/>
              </w:rPr>
            </w:pPr>
            <w:r>
              <w:rPr>
                <w:rFonts w:ascii="Arial Narrow" w:eastAsia="Calibri" w:hAnsi="Arial Narrow" w:cs="Arial"/>
                <w:sz w:val="20"/>
                <w:szCs w:val="20"/>
              </w:rPr>
              <w:t>Alive at 24 months, % (95% CI)</w:t>
            </w:r>
          </w:p>
        </w:tc>
        <w:tc>
          <w:tcPr>
            <w:tcW w:w="1100" w:type="pct"/>
          </w:tcPr>
          <w:p w14:paraId="33116271" w14:textId="591CF903" w:rsidR="00B60A0D" w:rsidRDefault="00B60A0D" w:rsidP="009334AB">
            <w:pPr>
              <w:rPr>
                <w:rFonts w:ascii="Arial Narrow" w:eastAsia="Calibri" w:hAnsi="Arial Narrow" w:cs="Arial"/>
                <w:sz w:val="20"/>
                <w:szCs w:val="20"/>
              </w:rPr>
            </w:pPr>
            <w:r w:rsidRPr="00FF6978">
              <w:rPr>
                <w:rFonts w:ascii="Arial Narrow" w:eastAsia="Calibri" w:hAnsi="Arial Narrow" w:cs="Arial"/>
                <w:sz w:val="20"/>
                <w:szCs w:val="20"/>
              </w:rPr>
              <w:t>60.7%</w:t>
            </w:r>
            <w:r>
              <w:rPr>
                <w:rFonts w:ascii="Arial Narrow" w:eastAsia="Calibri" w:hAnsi="Arial Narrow" w:cs="Arial"/>
                <w:sz w:val="20"/>
                <w:szCs w:val="20"/>
              </w:rPr>
              <w:t xml:space="preserve"> (</w:t>
            </w:r>
            <w:r w:rsidRPr="00DB7D85">
              <w:rPr>
                <w:rFonts w:ascii="Arial Narrow" w:eastAsia="Calibri" w:hAnsi="Arial Narrow" w:cs="Arial"/>
                <w:sz w:val="20"/>
                <w:szCs w:val="20"/>
              </w:rPr>
              <w:t>95% CI: 52.8%, 67.7%)</w:t>
            </w:r>
          </w:p>
        </w:tc>
        <w:tc>
          <w:tcPr>
            <w:tcW w:w="1101" w:type="pct"/>
          </w:tcPr>
          <w:p w14:paraId="3CFA53C1" w14:textId="55A51551" w:rsidR="00B60A0D" w:rsidRPr="00FF6978" w:rsidRDefault="00B60A0D" w:rsidP="009334AB">
            <w:pPr>
              <w:rPr>
                <w:rFonts w:ascii="Arial Narrow" w:eastAsia="Calibri" w:hAnsi="Arial Narrow" w:cs="Arial"/>
                <w:sz w:val="20"/>
                <w:szCs w:val="20"/>
              </w:rPr>
            </w:pPr>
            <w:r w:rsidRPr="00FF6978">
              <w:rPr>
                <w:rFonts w:ascii="Arial Narrow" w:eastAsia="Calibri" w:hAnsi="Arial Narrow" w:cs="Arial"/>
                <w:sz w:val="20"/>
                <w:szCs w:val="20"/>
              </w:rPr>
              <w:t>51.3%</w:t>
            </w:r>
            <w:r>
              <w:rPr>
                <w:rFonts w:ascii="Arial Narrow" w:eastAsia="Calibri" w:hAnsi="Arial Narrow" w:cs="Arial"/>
                <w:sz w:val="20"/>
                <w:szCs w:val="20"/>
              </w:rPr>
              <w:t xml:space="preserve"> (</w:t>
            </w:r>
            <w:r w:rsidRPr="00DB7D85">
              <w:rPr>
                <w:rFonts w:ascii="Arial Narrow" w:eastAsia="Calibri" w:hAnsi="Arial Narrow" w:cs="Arial"/>
                <w:sz w:val="20"/>
                <w:szCs w:val="20"/>
              </w:rPr>
              <w:t>43.4%, 58.7%)</w:t>
            </w:r>
          </w:p>
        </w:tc>
        <w:tc>
          <w:tcPr>
            <w:tcW w:w="993" w:type="pct"/>
          </w:tcPr>
          <w:p w14:paraId="6A6BF09F" w14:textId="77777777" w:rsidR="00B60A0D" w:rsidRPr="00FF6978" w:rsidRDefault="00B60A0D" w:rsidP="009334AB">
            <w:pPr>
              <w:rPr>
                <w:rFonts w:ascii="Arial Narrow" w:eastAsia="Calibri" w:hAnsi="Arial Narrow" w:cs="Arial"/>
                <w:sz w:val="20"/>
                <w:szCs w:val="20"/>
              </w:rPr>
            </w:pPr>
          </w:p>
        </w:tc>
      </w:tr>
    </w:tbl>
    <w:p w14:paraId="1A8744F3" w14:textId="0A97BBEE" w:rsidR="00B60A0D" w:rsidRDefault="00B60A0D" w:rsidP="00B60A0D">
      <w:pPr>
        <w:pStyle w:val="a-TableFOOTER"/>
        <w:spacing w:after="0"/>
      </w:pPr>
      <w:r>
        <w:t>Source: ZUMA-7 CSR, 2021</w:t>
      </w:r>
    </w:p>
    <w:p w14:paraId="31B50EFD" w14:textId="77777777" w:rsidR="00F7610B" w:rsidRDefault="00B60A0D" w:rsidP="00246C59">
      <w:pPr>
        <w:pStyle w:val="a-TableFOOTER"/>
        <w:spacing w:after="0"/>
      </w:pPr>
      <w:r>
        <w:t xml:space="preserve">* Result in percentage difference; </w:t>
      </w:r>
      <w:r w:rsidRPr="00B60A0D">
        <w:rPr>
          <w:b/>
          <w:bCs/>
        </w:rPr>
        <w:t>Bold</w:t>
      </w:r>
      <w:r>
        <w:t xml:space="preserve"> = statistically significant difference </w:t>
      </w:r>
    </w:p>
    <w:p w14:paraId="6F4C07BA" w14:textId="0930D702" w:rsidR="00B60A0D" w:rsidRDefault="00B60A0D" w:rsidP="00246C59">
      <w:pPr>
        <w:pStyle w:val="a-TableFOOTER"/>
        <w:spacing w:after="240"/>
      </w:pPr>
      <w:r>
        <w:t>Abbreviations: CI=confidence interval; CRR=Complete Response Rate; EFS=Event free survival; ORR=Objective Response Rate; OS=Overall survival; PRR=partial (metabolic) response rate</w:t>
      </w:r>
    </w:p>
    <w:p w14:paraId="63B7AE67" w14:textId="475CF2ED" w:rsidR="0027794F" w:rsidRPr="00A14CB5" w:rsidRDefault="0027794F" w:rsidP="0027794F">
      <w:pPr>
        <w:pStyle w:val="a-subHeading"/>
      </w:pPr>
      <w:r w:rsidRPr="00A14CB5">
        <w:t xml:space="preserve">Overall survival </w:t>
      </w:r>
    </w:p>
    <w:p w14:paraId="18AAA27A" w14:textId="48CCE08B" w:rsidR="0027794F" w:rsidRDefault="0027794F" w:rsidP="0027794F">
      <w:pPr>
        <w:pStyle w:val="a-TEXT"/>
      </w:pPr>
      <w:r w:rsidRPr="002B646F">
        <w:t xml:space="preserve">KM analysis of OS is conducted based on the FAS. </w:t>
      </w:r>
      <w:r>
        <w:t>S</w:t>
      </w:r>
      <w:r w:rsidRPr="00C83BBD">
        <w:t xml:space="preserve">tratified Cox regression models </w:t>
      </w:r>
      <w:r>
        <w:t>we</w:t>
      </w:r>
      <w:r w:rsidRPr="00C83BBD">
        <w:t xml:space="preserve">re used to generate the estimated OS hazard ratio and 2-sided 95% confidence intervals for </w:t>
      </w:r>
      <w:r>
        <w:t>AXI</w:t>
      </w:r>
      <w:r w:rsidRPr="00C83BBD">
        <w:t xml:space="preserve"> relative to </w:t>
      </w:r>
      <w:proofErr w:type="spellStart"/>
      <w:r w:rsidRPr="00C83BBD">
        <w:t>SoC.</w:t>
      </w:r>
      <w:proofErr w:type="spellEnd"/>
      <w:r>
        <w:t xml:space="preserve"> </w:t>
      </w:r>
      <w:r w:rsidRPr="00EB3FCE">
        <w:t>Despite high rates of switching to 3L CAR T-cell therapy in the SoC arm of the ZUMA-7 trial, superior EFS translated to</w:t>
      </w:r>
      <w:r w:rsidR="00034C63" w:rsidRPr="00EB3FCE">
        <w:t xml:space="preserve"> </w:t>
      </w:r>
      <w:r w:rsidRPr="00EB3FCE">
        <w:t>superior overall survival (OS) in the AXI-treated cohort versus the SoC cohort over a median follow-up of over 24 months.</w:t>
      </w:r>
      <w:r>
        <w:t xml:space="preserve"> The hazard ratio for OS was 0.708 (95% CI: 0.515, 0.972). Median survival had not been reached in the AXI arm of the trial and was 25.7 months in the SoC arm. At 2 years, 60.7% and 51.3% of patients were alive in the AXI and SoC arms, respectively</w:t>
      </w:r>
      <w:r w:rsidR="005F353B">
        <w:t xml:space="preserve"> (see Figure </w:t>
      </w:r>
      <w:r w:rsidR="00AB0270">
        <w:t>1</w:t>
      </w:r>
      <w:r w:rsidR="005F353B">
        <w:t>)</w:t>
      </w:r>
      <w:r>
        <w:t xml:space="preserve">. The KM curves start to come together at around 30 months, which suggests that the ongoing effect for overall survival may not be realised; however, </w:t>
      </w:r>
      <w:r w:rsidRPr="0087363E">
        <w:t xml:space="preserve">there is considerable censoring of patients beyond 18 months of </w:t>
      </w:r>
      <w:proofErr w:type="gramStart"/>
      <w:r w:rsidRPr="0087363E">
        <w:t>follow-up</w:t>
      </w:r>
      <w:proofErr w:type="gramEnd"/>
      <w:r w:rsidRPr="0087363E">
        <w:t xml:space="preserve"> and it is important that outcomes beyond this time are interpreted with caution</w:t>
      </w:r>
      <w:r w:rsidR="00377132">
        <w:t>.</w:t>
      </w:r>
    </w:p>
    <w:p w14:paraId="6527DBDD" w14:textId="563E9C4C" w:rsidR="0027794F" w:rsidRDefault="0027794F" w:rsidP="0027794F">
      <w:pPr>
        <w:pStyle w:val="Caption"/>
        <w:ind w:left="851" w:hanging="851"/>
      </w:pPr>
      <w:r>
        <w:lastRenderedPageBreak/>
        <w:t>Figure</w:t>
      </w:r>
      <w:r w:rsidR="005F1335">
        <w:t xml:space="preserve"> 1</w:t>
      </w:r>
      <w:r>
        <w:tab/>
        <w:t>Overall survival in ZUMA-7 by treatment.</w:t>
      </w:r>
    </w:p>
    <w:p w14:paraId="452A9A4E" w14:textId="77777777" w:rsidR="0027794F" w:rsidRDefault="0027794F" w:rsidP="0027794F">
      <w:pPr>
        <w:spacing w:line="276" w:lineRule="auto"/>
      </w:pPr>
      <w:r w:rsidRPr="0092771D">
        <w:rPr>
          <w:noProof/>
          <w:lang w:eastAsia="en-AU"/>
        </w:rPr>
        <w:drawing>
          <wp:inline distT="0" distB="0" distL="0" distR="0" wp14:anchorId="4941DE49" wp14:editId="50FC7529">
            <wp:extent cx="5645217" cy="3376942"/>
            <wp:effectExtent l="0" t="0" r="6350" b="1270"/>
            <wp:docPr id="1" name="Picture 1" descr="Overall survival in ZUMA-7 by treatment">
              <a:extLst xmlns:a="http://schemas.openxmlformats.org/drawingml/2006/main">
                <a:ext uri="{FF2B5EF4-FFF2-40B4-BE49-F238E27FC236}">
                  <a16:creationId xmlns:a16="http://schemas.microsoft.com/office/drawing/2014/main" id="{F2E4D5C0-BC39-4873-9EC7-5F1D8E27EE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verall survival in ZUMA-7 by treatment">
                      <a:extLst>
                        <a:ext uri="{FF2B5EF4-FFF2-40B4-BE49-F238E27FC236}">
                          <a16:creationId xmlns:a16="http://schemas.microsoft.com/office/drawing/2014/main" id="{F2E4D5C0-BC39-4873-9EC7-5F1D8E27EED6}"/>
                        </a:ext>
                      </a:extLst>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682" t="11556" r="1636" b="2125"/>
                    <a:stretch/>
                  </pic:blipFill>
                  <pic:spPr bwMode="auto">
                    <a:xfrm>
                      <a:off x="0" y="0"/>
                      <a:ext cx="5654011" cy="3382203"/>
                    </a:xfrm>
                    <a:prstGeom prst="rect">
                      <a:avLst/>
                    </a:prstGeom>
                    <a:noFill/>
                    <a:ln>
                      <a:noFill/>
                    </a:ln>
                    <a:extLst>
                      <a:ext uri="{53640926-AAD7-44D8-BBD7-CCE9431645EC}">
                        <a14:shadowObscured xmlns:a14="http://schemas.microsoft.com/office/drawing/2010/main"/>
                      </a:ext>
                    </a:extLst>
                  </pic:spPr>
                </pic:pic>
              </a:graphicData>
            </a:graphic>
          </wp:inline>
        </w:drawing>
      </w:r>
    </w:p>
    <w:p w14:paraId="0E6E8731" w14:textId="519AF165" w:rsidR="0027794F" w:rsidRDefault="0027794F" w:rsidP="00FA1F5D">
      <w:pPr>
        <w:pStyle w:val="a-TableFOOTER"/>
        <w:spacing w:after="0"/>
      </w:pPr>
      <w:r w:rsidRPr="00F053F7">
        <w:t xml:space="preserve">Abbreviations: </w:t>
      </w:r>
      <w:proofErr w:type="spellStart"/>
      <w:r w:rsidRPr="00F053F7">
        <w:t>Axi-cel</w:t>
      </w:r>
      <w:proofErr w:type="spellEnd"/>
      <w:r w:rsidRPr="00F053F7">
        <w:t>=</w:t>
      </w:r>
      <w:proofErr w:type="spellStart"/>
      <w:r w:rsidRPr="00F053F7" w:rsidDel="00226D5B">
        <w:t>axicabtagene</w:t>
      </w:r>
      <w:proofErr w:type="spellEnd"/>
      <w:r w:rsidRPr="00F053F7" w:rsidDel="00226D5B">
        <w:t xml:space="preserve"> </w:t>
      </w:r>
      <w:proofErr w:type="spellStart"/>
      <w:r w:rsidRPr="00F053F7" w:rsidDel="00226D5B">
        <w:t>ciloleucel</w:t>
      </w:r>
      <w:proofErr w:type="spellEnd"/>
      <w:r w:rsidRPr="00F053F7">
        <w:t>; SoC=standard of care</w:t>
      </w:r>
    </w:p>
    <w:p w14:paraId="402B9106" w14:textId="41FA0A4A" w:rsidR="008750B7" w:rsidRPr="00F053F7" w:rsidRDefault="008750B7" w:rsidP="0027794F">
      <w:pPr>
        <w:pStyle w:val="a-TableFOOTER"/>
      </w:pPr>
      <w:r>
        <w:t>Source: Figure 3-7, p76 of the ADAR</w:t>
      </w:r>
    </w:p>
    <w:p w14:paraId="41452902" w14:textId="63980F92" w:rsidR="0027794F" w:rsidRDefault="0027794F" w:rsidP="0027794F">
      <w:pPr>
        <w:pStyle w:val="a-TEXT"/>
      </w:pPr>
      <w:r w:rsidRPr="009331C3">
        <w:t xml:space="preserve">The assessment team has independently judged the overall risk of bias as </w:t>
      </w:r>
      <w:r>
        <w:t>some concern</w:t>
      </w:r>
      <w:r w:rsidRPr="009331C3">
        <w:t>. The key area of concern is the timing of assessments (50, 100, and 150 after randomisation). It is unclear how this would affect the results of the trial, but could overestimate the PFS benefit (i.e., those who progressed on day 50–60 may not be picked up until day 100, adding an extra 40-day survival). Given that the clinicians were not blinded, they may also be inclined to see their patients earlier in the standard of care arm (PET-CT had a -7 +14-day window for first assessment) so that they could move their patients to the new treatment faster.</w:t>
      </w:r>
    </w:p>
    <w:p w14:paraId="3565401B" w14:textId="035838A2" w:rsidR="00E46DD4" w:rsidRPr="00984EE2" w:rsidRDefault="0027794F" w:rsidP="00984EE2">
      <w:pPr>
        <w:pStyle w:val="a-TEXT"/>
      </w:pPr>
      <w:r>
        <w:t>The claim of superior efficacy is likely to be appropriate; however, the magnitude of effect is likely to be lower for response, progression and event free survival based on how the study was conducted.</w:t>
      </w:r>
    </w:p>
    <w:p w14:paraId="16C92353" w14:textId="14F54F2B" w:rsidR="0027794F" w:rsidRPr="00A14CB5" w:rsidRDefault="0027794F" w:rsidP="0027794F">
      <w:pPr>
        <w:pStyle w:val="a-subHeading"/>
      </w:pPr>
      <w:r w:rsidRPr="00A14CB5">
        <w:t xml:space="preserve">Event-free survival (EFS) </w:t>
      </w:r>
    </w:p>
    <w:p w14:paraId="3D5CF54E" w14:textId="5928E60F" w:rsidR="0027794F" w:rsidRDefault="0027794F" w:rsidP="0027794F">
      <w:pPr>
        <w:pStyle w:val="a-TEXT"/>
      </w:pPr>
      <w:r w:rsidRPr="006A0A6D">
        <w:t>EFS was defined as the time from randomisation to the earliest date of disease progression per the Lugano Classification</w:t>
      </w:r>
      <w:r>
        <w:t>,</w:t>
      </w:r>
      <w:r w:rsidRPr="006A0A6D">
        <w:t xml:space="preserve"> commencement of new lymphoma therapy, or death from any cause. </w:t>
      </w:r>
      <w:r>
        <w:t>More than twice as many patients in the AXI arm compared with the SoC arm of the ZUMA-7 trial were still free of events at 24 months (40.5% vs 16.3%, respectively</w:t>
      </w:r>
      <w:r w:rsidR="00AB0270">
        <w:t>; see Figure 2</w:t>
      </w:r>
      <w:r>
        <w:t xml:space="preserve">). Median EFS was 8.3 months for patients treated with AXI compared to only 2.0 months for patients treated with </w:t>
      </w:r>
      <w:proofErr w:type="spellStart"/>
      <w:r>
        <w:t>SoC.</w:t>
      </w:r>
      <w:proofErr w:type="spellEnd"/>
      <w:r>
        <w:t xml:space="preserve"> The difference in EFS across the two arms was statistically significant (HR: </w:t>
      </w:r>
      <w:r w:rsidRPr="006C1EB8">
        <w:t>0.398</w:t>
      </w:r>
      <w:r>
        <w:t xml:space="preserve">; 95% CI: </w:t>
      </w:r>
      <w:r w:rsidRPr="006C1EB8">
        <w:t>0.308, 0.514)</w:t>
      </w:r>
      <w:r>
        <w:t xml:space="preserve">. However, there were some early events in the SoC arm due to patients </w:t>
      </w:r>
      <w:r w:rsidRPr="00620E91">
        <w:t xml:space="preserve">who commenced a new lymphoma therapy in the absence of any evaluable disease assessment </w:t>
      </w:r>
      <w:r>
        <w:t xml:space="preserve">been assessed as having an </w:t>
      </w:r>
      <w:r w:rsidRPr="00620E91">
        <w:t xml:space="preserve">event </w:t>
      </w:r>
      <w:r>
        <w:t>at</w:t>
      </w:r>
      <w:r w:rsidRPr="00620E91">
        <w:t xml:space="preserve"> the randomization date.</w:t>
      </w:r>
    </w:p>
    <w:p w14:paraId="323B761F" w14:textId="611229A7" w:rsidR="0027794F" w:rsidRDefault="0027794F" w:rsidP="0027794F">
      <w:pPr>
        <w:pStyle w:val="Caption"/>
        <w:ind w:left="851" w:hanging="851"/>
      </w:pPr>
      <w:r>
        <w:lastRenderedPageBreak/>
        <w:t xml:space="preserve">Figure </w:t>
      </w:r>
      <w:r w:rsidR="005F1335">
        <w:t>2</w:t>
      </w:r>
      <w:r>
        <w:tab/>
        <w:t>Event-free survival in ZUMA-7 by treatment.</w:t>
      </w:r>
    </w:p>
    <w:p w14:paraId="2E2F535D" w14:textId="77777777" w:rsidR="0027794F" w:rsidRDefault="0027794F" w:rsidP="0027794F">
      <w:pPr>
        <w:spacing w:line="276" w:lineRule="auto"/>
      </w:pPr>
      <w:r w:rsidRPr="005D320F">
        <w:rPr>
          <w:noProof/>
          <w:lang w:eastAsia="en-AU"/>
        </w:rPr>
        <w:drawing>
          <wp:inline distT="0" distB="0" distL="0" distR="0" wp14:anchorId="0583A2C1" wp14:editId="4F69A153">
            <wp:extent cx="5803271" cy="3464565"/>
            <wp:effectExtent l="0" t="0" r="635" b="2540"/>
            <wp:docPr id="2" name="Picture 2" descr="Event-free survival in ZUMA-7 by treatment">
              <a:extLst xmlns:a="http://schemas.openxmlformats.org/drawingml/2006/main">
                <a:ext uri="{FF2B5EF4-FFF2-40B4-BE49-F238E27FC236}">
                  <a16:creationId xmlns:a16="http://schemas.microsoft.com/office/drawing/2014/main" id="{9CF2A65A-3379-4603-BB70-2CD89FDA0C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vent-free survival in ZUMA-7 by treatment">
                      <a:extLst>
                        <a:ext uri="{FF2B5EF4-FFF2-40B4-BE49-F238E27FC236}">
                          <a16:creationId xmlns:a16="http://schemas.microsoft.com/office/drawing/2014/main" id="{9CF2A65A-3379-4603-BB70-2CD89FDA0CCA}"/>
                        </a:ext>
                      </a:extLst>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0010"/>
                    <a:stretch/>
                  </pic:blipFill>
                  <pic:spPr bwMode="auto">
                    <a:xfrm>
                      <a:off x="0" y="0"/>
                      <a:ext cx="5821192" cy="3475264"/>
                    </a:xfrm>
                    <a:prstGeom prst="rect">
                      <a:avLst/>
                    </a:prstGeom>
                    <a:noFill/>
                    <a:ln>
                      <a:noFill/>
                    </a:ln>
                    <a:extLst>
                      <a:ext uri="{53640926-AAD7-44D8-BBD7-CCE9431645EC}">
                        <a14:shadowObscured xmlns:a14="http://schemas.microsoft.com/office/drawing/2010/main"/>
                      </a:ext>
                    </a:extLst>
                  </pic:spPr>
                </pic:pic>
              </a:graphicData>
            </a:graphic>
          </wp:inline>
        </w:drawing>
      </w:r>
    </w:p>
    <w:p w14:paraId="689DD0ED" w14:textId="77777777" w:rsidR="0027794F" w:rsidRDefault="0027794F" w:rsidP="0027794F">
      <w:pPr>
        <w:pStyle w:val="a-TableFOOTER"/>
        <w:spacing w:after="0"/>
      </w:pPr>
      <w:r w:rsidRPr="00CB6D9A">
        <w:t xml:space="preserve">Patients who did not meet the criteria for an event had their data censored (tick marks). In the </w:t>
      </w:r>
      <w:proofErr w:type="spellStart"/>
      <w:r w:rsidRPr="00CB6D9A">
        <w:t>axi-cel</w:t>
      </w:r>
      <w:proofErr w:type="spellEnd"/>
      <w:r w:rsidRPr="00CB6D9A">
        <w:t xml:space="preserve"> group, 108 patients had an event; 82 (76%) had progression, 11 (10%) had a change in therapy, 11 (10%) died, and 4 (4%) had a best response of stable disease up to and including the day 150 assessment after randomization. In the standard-care group, 144 patients had an event; 75 (52%) had progression, 63 (44%) had a change in therapy, and 6 (4%) died. </w:t>
      </w:r>
    </w:p>
    <w:p w14:paraId="5BD5A466" w14:textId="35073EE3" w:rsidR="008750B7" w:rsidRDefault="0027794F" w:rsidP="00FD1B70">
      <w:pPr>
        <w:pStyle w:val="a-TableFOOTER"/>
        <w:spacing w:after="0"/>
      </w:pPr>
      <w:r w:rsidRPr="00F053F7">
        <w:t xml:space="preserve">Abbreviations: </w:t>
      </w:r>
      <w:proofErr w:type="spellStart"/>
      <w:r w:rsidRPr="00F053F7">
        <w:t>Axi-cel</w:t>
      </w:r>
      <w:proofErr w:type="spellEnd"/>
      <w:r w:rsidRPr="00F053F7">
        <w:t>=</w:t>
      </w:r>
      <w:proofErr w:type="spellStart"/>
      <w:r w:rsidRPr="00F053F7" w:rsidDel="00226D5B">
        <w:t>axicabtagene</w:t>
      </w:r>
      <w:proofErr w:type="spellEnd"/>
      <w:r w:rsidRPr="00F053F7" w:rsidDel="00226D5B">
        <w:t xml:space="preserve"> </w:t>
      </w:r>
      <w:proofErr w:type="spellStart"/>
      <w:r w:rsidRPr="00F053F7" w:rsidDel="00226D5B">
        <w:t>ciloleucel</w:t>
      </w:r>
      <w:proofErr w:type="spellEnd"/>
      <w:r w:rsidRPr="00F053F7">
        <w:t>; SoC=standard of care</w:t>
      </w:r>
    </w:p>
    <w:p w14:paraId="72044AE7" w14:textId="0D1BACA1" w:rsidR="008750B7" w:rsidRDefault="008750B7">
      <w:pPr>
        <w:pStyle w:val="a-TableFOOTER"/>
      </w:pPr>
      <w:r>
        <w:t>Source: Figure 3-12, p80 of the ADAR</w:t>
      </w:r>
    </w:p>
    <w:p w14:paraId="318723E3" w14:textId="77777777" w:rsidR="006F5D30" w:rsidRPr="00A14CB5" w:rsidRDefault="006F5D30" w:rsidP="006F5D30">
      <w:pPr>
        <w:pStyle w:val="a-subHeading"/>
      </w:pPr>
      <w:r w:rsidRPr="00A14CB5">
        <w:t>Complete response rate (CRR) and ORR</w:t>
      </w:r>
    </w:p>
    <w:p w14:paraId="28789083" w14:textId="77777777" w:rsidR="006F5D30" w:rsidRPr="00DB7D85" w:rsidRDefault="006F5D30" w:rsidP="006F5D30">
      <w:pPr>
        <w:pStyle w:val="a-TEXT"/>
      </w:pPr>
      <w:r w:rsidRPr="00DB7D85">
        <w:t>The proportion of patients achieving complete response (CR) in the AXI arm of the ZUMA-7 trial was double the rate observed in the SoC arm (65% vs 32%, respectively), and the difference was statistically significant.</w:t>
      </w:r>
      <w:r>
        <w:t xml:space="preserve"> The difference in CR rates translated to a difference in ORR (83% vs 50% for AXI and SoC, respectively; difference: </w:t>
      </w:r>
      <w:r w:rsidRPr="003F7A39">
        <w:t>33.1</w:t>
      </w:r>
      <w:r>
        <w:t xml:space="preserve">%; 95% CI: </w:t>
      </w:r>
      <w:r w:rsidRPr="003F7A39">
        <w:t>23.2</w:t>
      </w:r>
      <w:r>
        <w:t>%</w:t>
      </w:r>
      <w:r w:rsidRPr="003F7A39">
        <w:t>, 42.1</w:t>
      </w:r>
      <w:r>
        <w:t>%).</w:t>
      </w:r>
    </w:p>
    <w:p w14:paraId="3C8A0E6E" w14:textId="546CDC4B" w:rsidR="003D552C" w:rsidRPr="00A14CB5" w:rsidRDefault="00EB3FCE" w:rsidP="00A14CB5">
      <w:pPr>
        <w:pStyle w:val="a-subHeading"/>
      </w:pPr>
      <w:r w:rsidRPr="00A14CB5">
        <w:t xml:space="preserve">Proportion of patients administered definitive </w:t>
      </w:r>
      <w:proofErr w:type="gramStart"/>
      <w:r w:rsidRPr="00A14CB5">
        <w:t>therapy</w:t>
      </w:r>
      <w:proofErr w:type="gramEnd"/>
    </w:p>
    <w:p w14:paraId="6D269C8E" w14:textId="66772F01" w:rsidR="004B2AFC" w:rsidRDefault="00115CA0" w:rsidP="00115CA0">
      <w:pPr>
        <w:pStyle w:val="a-TEXT"/>
      </w:pPr>
      <w:r>
        <w:t>Of the 179 subjects who were randomised to the SoC arm of ZUMA-7, 168 of the 179 (93.9%) randomised subjects received ≥ 1 cycle of salvage chemoimmunotherapy</w:t>
      </w:r>
      <w:r w:rsidR="000816A2">
        <w:t xml:space="preserve">; however, only </w:t>
      </w:r>
      <w:r w:rsidR="000816A2" w:rsidRPr="00785B17">
        <w:t>34.6% of patients in the SoC arm received the target potentially curative treatment (AXI or HDT + auto-SCT).</w:t>
      </w:r>
      <w:r w:rsidR="00A41DFA">
        <w:t xml:space="preserve"> </w:t>
      </w:r>
      <w:r w:rsidR="004158CC">
        <w:t xml:space="preserve">In the AXI arm </w:t>
      </w:r>
      <w:r w:rsidR="00EB3FCE" w:rsidRPr="00DB7D85">
        <w:t xml:space="preserve">94.4% </w:t>
      </w:r>
      <w:r w:rsidR="00EB3FCE" w:rsidRPr="00785B17">
        <w:t xml:space="preserve">of patients </w:t>
      </w:r>
      <w:r w:rsidR="00556F24">
        <w:t>received</w:t>
      </w:r>
      <w:r w:rsidR="004158CC">
        <w:t xml:space="preserve"> the full AXI treatment regimen.</w:t>
      </w:r>
    </w:p>
    <w:p w14:paraId="42BABCB7" w14:textId="0A795E62" w:rsidR="003D552C" w:rsidRPr="00CE6397" w:rsidRDefault="004B2AFC" w:rsidP="00115CA0">
      <w:pPr>
        <w:pStyle w:val="a-TEXT"/>
      </w:pPr>
      <w:r w:rsidRPr="004A5F03">
        <w:t xml:space="preserve">The analysis </w:t>
      </w:r>
      <w:r>
        <w:t xml:space="preserve">presented in the ADAR and utilised in the economic model was based on the </w:t>
      </w:r>
      <w:r w:rsidRPr="004A5F03">
        <w:t>full analysis set (FAS), defined as all randomised subjects when all subjects had the opportunity to be followed for the Month 9 disease assessment (i.e., the Month 9 timepoint had passed for all subjects)</w:t>
      </w:r>
      <w:r>
        <w:t>.</w:t>
      </w:r>
    </w:p>
    <w:p w14:paraId="590B9BE2" w14:textId="74151EE5" w:rsidR="00321747" w:rsidRDefault="00321747" w:rsidP="00321747">
      <w:pPr>
        <w:pStyle w:val="Heading3"/>
      </w:pPr>
      <w:bookmarkStart w:id="23" w:name="_Toc69491425"/>
      <w:r>
        <w:t>Supplementary information</w:t>
      </w:r>
      <w:r w:rsidR="00A14CB5">
        <w:t xml:space="preserve"> –</w:t>
      </w:r>
      <w:r>
        <w:t xml:space="preserve"> comparison of ZUMA-7 </w:t>
      </w:r>
      <w:proofErr w:type="gramStart"/>
      <w:r>
        <w:t>trial</w:t>
      </w:r>
      <w:proofErr w:type="gramEnd"/>
      <w:r>
        <w:t xml:space="preserve"> with near-market comparators</w:t>
      </w:r>
    </w:p>
    <w:p w14:paraId="2D681148" w14:textId="7DC0BF48" w:rsidR="00321747" w:rsidRDefault="00321747" w:rsidP="00321747">
      <w:pPr>
        <w:pStyle w:val="a-TEXT"/>
      </w:pPr>
      <w:r>
        <w:t>Neither l</w:t>
      </w:r>
      <w:r w:rsidRPr="00871F7B">
        <w:t>isocabtagene maraleucel</w:t>
      </w:r>
      <w:r>
        <w:t xml:space="preserve"> or </w:t>
      </w:r>
      <w:r w:rsidRPr="00D07246">
        <w:t>tisagenlecleucel</w:t>
      </w:r>
      <w:r>
        <w:t xml:space="preserve"> were considered near-market comparators during evaluation. However, supplementary trial evidence for their use in 2L was provided in the ADAR. Only naïve comparisons were made with no attempt to adjust for indirect treatment </w:t>
      </w:r>
      <w:proofErr w:type="gramStart"/>
      <w:r>
        <w:t>comparison,</w:t>
      </w:r>
      <w:proofErr w:type="gramEnd"/>
      <w:r>
        <w:t xml:space="preserve"> therefore any interpretation of the evidence should be taken with caution</w:t>
      </w:r>
      <w:r w:rsidR="00A264F8">
        <w:t>.</w:t>
      </w:r>
    </w:p>
    <w:p w14:paraId="0C6BCB61" w14:textId="60E64A64" w:rsidR="00321747" w:rsidRDefault="00321747" w:rsidP="00321747">
      <w:pPr>
        <w:pStyle w:val="a-TEXT"/>
      </w:pPr>
      <w:r>
        <w:lastRenderedPageBreak/>
        <w:t xml:space="preserve">The BELINDA trial found that tisagenlecleucel was not superior to standard salvage therapy in the 2L setting. The results from BELINDA demonstrate that CAR T-cell therapy trials can be associated with substantially different outcomes despite targeting the same antigen. The TRANSFORM trial found that </w:t>
      </w:r>
      <w:r w:rsidRPr="00C12529">
        <w:t>lisocabtagene maraleucel</w:t>
      </w:r>
      <w:r>
        <w:t xml:space="preserve"> was superior to SoC in te</w:t>
      </w:r>
      <w:r w:rsidR="00C738A1">
        <w:t>r</w:t>
      </w:r>
      <w:r>
        <w:t>ms of ORR, CR and EFS, but not different in OS.</w:t>
      </w:r>
    </w:p>
    <w:p w14:paraId="6613CD46" w14:textId="79828EAF" w:rsidR="00313720" w:rsidRPr="009331C3" w:rsidRDefault="00321747" w:rsidP="00C738A1">
      <w:pPr>
        <w:pStyle w:val="a-TEXT"/>
      </w:pPr>
      <w:r>
        <w:t>There were some differences in trial design and definition of EFS which may have important impacts on interpretation of clinical effectiveness.</w:t>
      </w:r>
      <w:r w:rsidRPr="0048106F">
        <w:t xml:space="preserve"> </w:t>
      </w:r>
      <w:r w:rsidRPr="00256A34">
        <w:t xml:space="preserve">The most stringent definition </w:t>
      </w:r>
      <w:r>
        <w:t xml:space="preserve">of EFS </w:t>
      </w:r>
      <w:r w:rsidRPr="00256A34">
        <w:t>was applied in ZUMA-7, where patients were required to still have stable disease at Day 150 (approximately Week 21) to be considered as having an event, in BELINDA the timepoint was Week 12 (Day 84), and in TRANSFORM the timepoint was Week 9 (Day 63). This may have contributed to slightly lower event rates being observed in both arms of the ZUMA-7 trial compared to the TRANSFORM trial.</w:t>
      </w:r>
    </w:p>
    <w:p w14:paraId="0D09C9E4" w14:textId="5D596C96" w:rsidR="00772829" w:rsidRDefault="00C36633" w:rsidP="002A18BE">
      <w:pPr>
        <w:pStyle w:val="Heading2"/>
        <w:numPr>
          <w:ilvl w:val="0"/>
          <w:numId w:val="0"/>
        </w:numPr>
      </w:pPr>
      <w:r>
        <w:t>1</w:t>
      </w:r>
      <w:r w:rsidR="00C233D6">
        <w:t>3</w:t>
      </w:r>
      <w:r>
        <w:t>.</w:t>
      </w:r>
      <w:r>
        <w:tab/>
      </w:r>
      <w:r w:rsidR="00772829" w:rsidRPr="00CE28E3">
        <w:t>Economic evaluation</w:t>
      </w:r>
      <w:bookmarkEnd w:id="23"/>
    </w:p>
    <w:p w14:paraId="46215A04" w14:textId="77777777" w:rsidR="00EB20F2" w:rsidRDefault="00EB20F2" w:rsidP="00EB20F2">
      <w:pPr>
        <w:pStyle w:val="Heading3"/>
      </w:pPr>
      <w:r w:rsidRPr="002915C7">
        <w:t>Overview and rationale of the economic evaluation</w:t>
      </w:r>
    </w:p>
    <w:p w14:paraId="55F22925" w14:textId="20A8C570" w:rsidR="00EB20F2" w:rsidRDefault="00EB20F2" w:rsidP="000164FE">
      <w:pPr>
        <w:pStyle w:val="a-TEXT"/>
      </w:pPr>
      <w:r>
        <w:t>Based on the clinical claim of superiority in clinical effectiveness</w:t>
      </w:r>
      <w:r w:rsidR="001243B6">
        <w:t xml:space="preserve"> and noninferior safety</w:t>
      </w:r>
      <w:r>
        <w:t xml:space="preserve">, a cost-effectiveness analysis </w:t>
      </w:r>
      <w:r w:rsidR="00F7792C">
        <w:t>and cost-utility analysis were</w:t>
      </w:r>
      <w:r>
        <w:t xml:space="preserve"> deemed appropriate.</w:t>
      </w:r>
    </w:p>
    <w:p w14:paraId="458EFA0C" w14:textId="76217E9A" w:rsidR="0060780B" w:rsidRDefault="0060780B" w:rsidP="000164FE">
      <w:pPr>
        <w:pStyle w:val="a-TEXT"/>
      </w:pPr>
      <w:r>
        <w:t>The ADAR present</w:t>
      </w:r>
      <w:r w:rsidR="00BC7A5C">
        <w:t>ed</w:t>
      </w:r>
      <w:r>
        <w:t xml:space="preserve"> the results of a cost-utility analysis examining the cost-effectiveness of</w:t>
      </w:r>
      <w:r w:rsidRPr="00E84B8F">
        <w:t xml:space="preserve"> substituting </w:t>
      </w:r>
      <w:r w:rsidR="00226D5B">
        <w:t>AXI</w:t>
      </w:r>
      <w:r w:rsidRPr="00E84B8F">
        <w:t xml:space="preserve"> for </w:t>
      </w:r>
      <w:r>
        <w:t>SoC</w:t>
      </w:r>
      <w:r w:rsidRPr="00E84B8F">
        <w:t xml:space="preserve"> </w:t>
      </w:r>
      <w:r>
        <w:t xml:space="preserve">for the treatment of patients with LBCL refractory to or relapsed no more than 12 months after completion of 1L treatment with chemoimmunotherapy. A cost-effectiveness approach is justified given that </w:t>
      </w:r>
      <w:r w:rsidR="00226D5B">
        <w:t>AXI</w:t>
      </w:r>
      <w:r>
        <w:t xml:space="preserve"> is demonstrated to be therapeutically superior to SoC in the population of interest. The analysis is based on extrapolation of</w:t>
      </w:r>
      <w:r w:rsidRPr="003D4945">
        <w:t xml:space="preserve"> </w:t>
      </w:r>
      <w:r>
        <w:t>the outcomes from the ZUMA-7 trial.</w:t>
      </w:r>
    </w:p>
    <w:p w14:paraId="67F61B38" w14:textId="049088BC" w:rsidR="001A59CD" w:rsidRPr="00106573" w:rsidRDefault="001A59CD" w:rsidP="001A59CD">
      <w:pPr>
        <w:pStyle w:val="a-TEXT"/>
      </w:pPr>
      <w:r w:rsidRPr="00106573">
        <w:t>A summary of the key characteristics of the economic evaluation is detailed in</w:t>
      </w:r>
      <w:r w:rsidR="005A4867">
        <w:t xml:space="preserve"> Table 6</w:t>
      </w:r>
      <w:r w:rsidRPr="00404B3A">
        <w:t>.</w:t>
      </w:r>
    </w:p>
    <w:p w14:paraId="677F11AD" w14:textId="2A9B1654" w:rsidR="001A59CD" w:rsidRPr="00683B19" w:rsidRDefault="001A59CD" w:rsidP="00E20E63">
      <w:pPr>
        <w:pStyle w:val="aTableHeading"/>
      </w:pPr>
      <w:bookmarkStart w:id="24" w:name="_Ref69725820"/>
      <w:r w:rsidRPr="00BB2BFF">
        <w:lastRenderedPageBreak/>
        <w:t>Table </w:t>
      </w:r>
      <w:bookmarkEnd w:id="24"/>
      <w:r w:rsidR="005A4867">
        <w:t>6</w:t>
      </w:r>
      <w:r w:rsidRPr="00BB2BFF">
        <w:tab/>
        <w:t xml:space="preserve">Summary of the economic evaluation </w:t>
      </w:r>
    </w:p>
    <w:tbl>
      <w:tblPr>
        <w:tblStyle w:val="TableGrid1"/>
        <w:tblW w:w="5000" w:type="pct"/>
        <w:tblCellMar>
          <w:top w:w="28" w:type="dxa"/>
          <w:left w:w="28" w:type="dxa"/>
          <w:bottom w:w="28" w:type="dxa"/>
          <w:right w:w="28" w:type="dxa"/>
        </w:tblCellMar>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1837"/>
        <w:gridCol w:w="7179"/>
      </w:tblGrid>
      <w:tr w:rsidR="001A59CD" w:rsidRPr="00CE28E3" w14:paraId="759501AE" w14:textId="77777777" w:rsidTr="00FA23C7">
        <w:trPr>
          <w:cnfStyle w:val="100000000000" w:firstRow="1" w:lastRow="0" w:firstColumn="0" w:lastColumn="0" w:oddVBand="0" w:evenVBand="0" w:oddHBand="0" w:evenHBand="0" w:firstRowFirstColumn="0" w:firstRowLastColumn="0" w:lastRowFirstColumn="0" w:lastRowLastColumn="0"/>
          <w:tblHeader/>
        </w:trPr>
        <w:tc>
          <w:tcPr>
            <w:tcW w:w="1019" w:type="pct"/>
            <w:shd w:val="clear" w:color="auto" w:fill="auto"/>
            <w:vAlign w:val="center"/>
          </w:tcPr>
          <w:p w14:paraId="10D60DFD" w14:textId="77777777" w:rsidR="001A59CD" w:rsidRPr="000449D1" w:rsidRDefault="001A59CD" w:rsidP="009334AB">
            <w:pPr>
              <w:pStyle w:val="TableHeading"/>
              <w:spacing w:after="0"/>
              <w:rPr>
                <w:szCs w:val="20"/>
              </w:rPr>
            </w:pPr>
            <w:bookmarkStart w:id="25" w:name="Title_Table5"/>
            <w:bookmarkStart w:id="26" w:name="_Hlk68276446"/>
            <w:bookmarkEnd w:id="25"/>
            <w:r w:rsidRPr="000449D1">
              <w:rPr>
                <w:szCs w:val="20"/>
              </w:rPr>
              <w:t>Component</w:t>
            </w:r>
          </w:p>
        </w:tc>
        <w:tc>
          <w:tcPr>
            <w:tcW w:w="3981" w:type="pct"/>
            <w:shd w:val="clear" w:color="auto" w:fill="auto"/>
            <w:vAlign w:val="center"/>
          </w:tcPr>
          <w:p w14:paraId="7EE36B36" w14:textId="77777777" w:rsidR="001A59CD" w:rsidRPr="000449D1" w:rsidRDefault="001A59CD" w:rsidP="009334AB">
            <w:pPr>
              <w:pStyle w:val="TableHeading"/>
              <w:spacing w:after="0"/>
              <w:rPr>
                <w:szCs w:val="20"/>
              </w:rPr>
            </w:pPr>
            <w:r w:rsidRPr="000449D1">
              <w:rPr>
                <w:szCs w:val="20"/>
              </w:rPr>
              <w:t>Description</w:t>
            </w:r>
          </w:p>
        </w:tc>
      </w:tr>
      <w:tr w:rsidR="001A59CD" w:rsidRPr="000449D1" w14:paraId="30E39469" w14:textId="77777777" w:rsidTr="00FA23C7">
        <w:tc>
          <w:tcPr>
            <w:tcW w:w="1019" w:type="pct"/>
          </w:tcPr>
          <w:p w14:paraId="706E7535" w14:textId="77777777" w:rsidR="001A59CD" w:rsidRPr="000449D1" w:rsidRDefault="001A59CD" w:rsidP="009334AB">
            <w:pPr>
              <w:pStyle w:val="TableText"/>
              <w:keepNext/>
              <w:spacing w:before="0" w:after="0"/>
              <w:rPr>
                <w:szCs w:val="20"/>
              </w:rPr>
            </w:pPr>
            <w:r w:rsidRPr="000449D1">
              <w:rPr>
                <w:szCs w:val="20"/>
              </w:rPr>
              <w:t>Perspective</w:t>
            </w:r>
          </w:p>
        </w:tc>
        <w:tc>
          <w:tcPr>
            <w:tcW w:w="3981" w:type="pct"/>
          </w:tcPr>
          <w:p w14:paraId="58935BFA" w14:textId="77777777" w:rsidR="001A59CD" w:rsidRDefault="001A59CD" w:rsidP="009334AB">
            <w:pPr>
              <w:pStyle w:val="TableText"/>
              <w:keepNext/>
              <w:spacing w:before="0" w:after="0"/>
              <w:rPr>
                <w:szCs w:val="20"/>
              </w:rPr>
            </w:pPr>
            <w:r w:rsidRPr="000B33D6">
              <w:t>Personal health of person receiving intervention</w:t>
            </w:r>
            <w:r w:rsidRPr="000449D1">
              <w:rPr>
                <w:szCs w:val="20"/>
              </w:rPr>
              <w:t xml:space="preserve"> </w:t>
            </w:r>
            <w:r>
              <w:rPr>
                <w:szCs w:val="20"/>
              </w:rPr>
              <w:t>for outcomes</w:t>
            </w:r>
          </w:p>
          <w:p w14:paraId="283C6B0D" w14:textId="77777777" w:rsidR="001A59CD" w:rsidRPr="000449D1" w:rsidRDefault="001A59CD" w:rsidP="009334AB">
            <w:pPr>
              <w:pStyle w:val="TableText"/>
              <w:keepNext/>
              <w:spacing w:before="0" w:after="0"/>
              <w:rPr>
                <w:szCs w:val="20"/>
              </w:rPr>
            </w:pPr>
            <w:r w:rsidRPr="000449D1">
              <w:rPr>
                <w:szCs w:val="20"/>
              </w:rPr>
              <w:t>Health care system perspective</w:t>
            </w:r>
            <w:r>
              <w:rPr>
                <w:szCs w:val="20"/>
              </w:rPr>
              <w:t xml:space="preserve"> for costs </w:t>
            </w:r>
            <w:r w:rsidRPr="00E84B8F">
              <w:t>(</w:t>
            </w:r>
            <w:r>
              <w:t>i.e.,</w:t>
            </w:r>
            <w:r w:rsidRPr="00E84B8F">
              <w:t xml:space="preserve"> costs </w:t>
            </w:r>
            <w:r>
              <w:t>associated with provision of health care resources regardless of who bears the actual cost</w:t>
            </w:r>
            <w:r w:rsidRPr="00E84B8F">
              <w:t>)</w:t>
            </w:r>
          </w:p>
        </w:tc>
      </w:tr>
      <w:tr w:rsidR="001A59CD" w:rsidRPr="000449D1" w14:paraId="553B46C2" w14:textId="77777777" w:rsidTr="00FA23C7">
        <w:trPr>
          <w:tblHeader/>
        </w:trPr>
        <w:tc>
          <w:tcPr>
            <w:tcW w:w="1019" w:type="pct"/>
          </w:tcPr>
          <w:p w14:paraId="25C14CF3" w14:textId="77777777" w:rsidR="001A59CD" w:rsidRPr="000449D1" w:rsidRDefault="001A59CD" w:rsidP="009334AB">
            <w:pPr>
              <w:pStyle w:val="TableText"/>
              <w:keepNext/>
              <w:spacing w:before="0" w:after="0"/>
              <w:rPr>
                <w:szCs w:val="20"/>
              </w:rPr>
            </w:pPr>
            <w:r w:rsidRPr="000449D1">
              <w:rPr>
                <w:szCs w:val="20"/>
              </w:rPr>
              <w:t>Population</w:t>
            </w:r>
          </w:p>
        </w:tc>
        <w:tc>
          <w:tcPr>
            <w:tcW w:w="3981" w:type="pct"/>
          </w:tcPr>
          <w:p w14:paraId="03B1C0BA" w14:textId="77777777" w:rsidR="001A59CD" w:rsidRPr="000449D1" w:rsidRDefault="001A59CD" w:rsidP="009334AB">
            <w:pPr>
              <w:pStyle w:val="TableText"/>
              <w:keepNext/>
              <w:spacing w:before="0" w:after="0"/>
              <w:rPr>
                <w:szCs w:val="20"/>
              </w:rPr>
            </w:pPr>
            <w:r w:rsidRPr="00561ABD">
              <w:rPr>
                <w:szCs w:val="20"/>
              </w:rPr>
              <w:t>Patients with LBCL who are confirmed refractory to or have relapsed no more than 12 months after 1L chemoimmunotherapy.</w:t>
            </w:r>
          </w:p>
        </w:tc>
      </w:tr>
      <w:tr w:rsidR="001A59CD" w:rsidRPr="000449D1" w14:paraId="3F37D995" w14:textId="77777777" w:rsidTr="00FA23C7">
        <w:tc>
          <w:tcPr>
            <w:tcW w:w="1019" w:type="pct"/>
          </w:tcPr>
          <w:p w14:paraId="5E165A3D" w14:textId="77777777" w:rsidR="001A59CD" w:rsidRPr="000449D1" w:rsidRDefault="001A59CD" w:rsidP="009334AB">
            <w:pPr>
              <w:pStyle w:val="TableText"/>
              <w:keepNext/>
              <w:spacing w:before="0" w:after="0"/>
              <w:rPr>
                <w:szCs w:val="20"/>
              </w:rPr>
            </w:pPr>
            <w:r w:rsidRPr="000449D1">
              <w:rPr>
                <w:szCs w:val="20"/>
              </w:rPr>
              <w:t>Comparator</w:t>
            </w:r>
          </w:p>
        </w:tc>
        <w:tc>
          <w:tcPr>
            <w:tcW w:w="3981" w:type="pct"/>
          </w:tcPr>
          <w:p w14:paraId="1A90C73B" w14:textId="77777777" w:rsidR="001A59CD" w:rsidRPr="000449D1" w:rsidRDefault="001A59CD" w:rsidP="009334AB">
            <w:pPr>
              <w:pStyle w:val="TableText"/>
              <w:keepNext/>
              <w:spacing w:before="0" w:after="0"/>
              <w:rPr>
                <w:szCs w:val="20"/>
              </w:rPr>
            </w:pPr>
            <w:r w:rsidRPr="00DD0C54">
              <w:rPr>
                <w:szCs w:val="20"/>
              </w:rPr>
              <w:t xml:space="preserve">Standard of care consisting of salvage chemotherapy ideally followed by myeloablative high-dose chemotherapy and stem cell rescue by means of an autologous stem cell transplant. However, only patients who demonstrate adequate disease response after salvage chemotherapy and for whom </w:t>
            </w:r>
            <w:proofErr w:type="gramStart"/>
            <w:r w:rsidRPr="00DD0C54">
              <w:rPr>
                <w:szCs w:val="20"/>
              </w:rPr>
              <w:t>a sufficient number of</w:t>
            </w:r>
            <w:proofErr w:type="gramEnd"/>
            <w:r w:rsidRPr="00DD0C54">
              <w:rPr>
                <w:szCs w:val="20"/>
              </w:rPr>
              <w:t xml:space="preserve"> stem cells have been collected are able to receive HDT and an auto-SCT.</w:t>
            </w:r>
          </w:p>
        </w:tc>
      </w:tr>
      <w:tr w:rsidR="001A59CD" w:rsidRPr="000449D1" w14:paraId="0E08CB17" w14:textId="77777777" w:rsidTr="00FA23C7">
        <w:tc>
          <w:tcPr>
            <w:tcW w:w="1019" w:type="pct"/>
          </w:tcPr>
          <w:p w14:paraId="5CA2F6FA" w14:textId="77777777" w:rsidR="001A59CD" w:rsidRPr="000449D1" w:rsidRDefault="001A59CD" w:rsidP="009334AB">
            <w:pPr>
              <w:pStyle w:val="TableText"/>
              <w:keepNext/>
              <w:spacing w:before="0" w:after="0"/>
              <w:rPr>
                <w:szCs w:val="20"/>
              </w:rPr>
            </w:pPr>
            <w:r w:rsidRPr="000449D1">
              <w:rPr>
                <w:szCs w:val="20"/>
              </w:rPr>
              <w:t>Type(s) of analysis</w:t>
            </w:r>
          </w:p>
        </w:tc>
        <w:tc>
          <w:tcPr>
            <w:tcW w:w="3981" w:type="pct"/>
          </w:tcPr>
          <w:p w14:paraId="72E9CA74" w14:textId="77777777" w:rsidR="001A59CD" w:rsidRPr="000449D1" w:rsidRDefault="001A59CD" w:rsidP="009334AB">
            <w:pPr>
              <w:pStyle w:val="TableText"/>
              <w:keepNext/>
              <w:spacing w:before="0" w:after="0"/>
              <w:rPr>
                <w:szCs w:val="20"/>
              </w:rPr>
            </w:pPr>
            <w:r w:rsidRPr="00DD0C54">
              <w:rPr>
                <w:szCs w:val="20"/>
              </w:rPr>
              <w:t>Cost-effectiveness (cost per additional life-year) and cost-utility analyses (cost per additional quality-adjusted life-year)</w:t>
            </w:r>
          </w:p>
        </w:tc>
      </w:tr>
      <w:tr w:rsidR="001A59CD" w:rsidRPr="000449D1" w14:paraId="15812FB9" w14:textId="77777777" w:rsidTr="00FA23C7">
        <w:tc>
          <w:tcPr>
            <w:tcW w:w="1019" w:type="pct"/>
          </w:tcPr>
          <w:p w14:paraId="0263EA15" w14:textId="77777777" w:rsidR="001A59CD" w:rsidRPr="000449D1" w:rsidRDefault="001A59CD" w:rsidP="009334AB">
            <w:pPr>
              <w:pStyle w:val="TableText"/>
              <w:keepNext/>
              <w:spacing w:before="0" w:after="0"/>
              <w:rPr>
                <w:szCs w:val="20"/>
              </w:rPr>
            </w:pPr>
            <w:r w:rsidRPr="000449D1">
              <w:rPr>
                <w:szCs w:val="20"/>
              </w:rPr>
              <w:t>Outcomes</w:t>
            </w:r>
          </w:p>
        </w:tc>
        <w:tc>
          <w:tcPr>
            <w:tcW w:w="3981" w:type="pct"/>
          </w:tcPr>
          <w:p w14:paraId="4E17C7FF" w14:textId="77777777" w:rsidR="001A59CD" w:rsidRPr="00DD0C54" w:rsidRDefault="001A59CD" w:rsidP="009334AB">
            <w:pPr>
              <w:pStyle w:val="TableText"/>
              <w:keepNext/>
              <w:spacing w:before="0" w:after="0"/>
              <w:rPr>
                <w:szCs w:val="20"/>
              </w:rPr>
            </w:pPr>
            <w:r w:rsidRPr="00DD0C54">
              <w:rPr>
                <w:szCs w:val="20"/>
              </w:rPr>
              <w:t xml:space="preserve">Healthcare resource use and associated costs (including pre- and post-infusion), presented in disaggregated and aggregated </w:t>
            </w:r>
            <w:proofErr w:type="gramStart"/>
            <w:r w:rsidRPr="00DD0C54">
              <w:rPr>
                <w:szCs w:val="20"/>
              </w:rPr>
              <w:t>format</w:t>
            </w:r>
            <w:proofErr w:type="gramEnd"/>
          </w:p>
          <w:p w14:paraId="01606D77" w14:textId="77777777" w:rsidR="001A59CD" w:rsidRPr="00DD0C54" w:rsidRDefault="001A59CD" w:rsidP="009334AB">
            <w:pPr>
              <w:pStyle w:val="TableText"/>
              <w:keepNext/>
              <w:spacing w:before="0" w:after="0"/>
              <w:rPr>
                <w:szCs w:val="20"/>
              </w:rPr>
            </w:pPr>
            <w:r w:rsidRPr="00DD0C54">
              <w:rPr>
                <w:szCs w:val="20"/>
              </w:rPr>
              <w:t>Incremental cost per life year gained (LYG)</w:t>
            </w:r>
          </w:p>
          <w:p w14:paraId="6B5420F4" w14:textId="77777777" w:rsidR="001A59CD" w:rsidRPr="000449D1" w:rsidRDefault="001A59CD" w:rsidP="009334AB">
            <w:pPr>
              <w:pStyle w:val="TableText"/>
              <w:keepNext/>
              <w:spacing w:before="0" w:after="0"/>
              <w:rPr>
                <w:szCs w:val="20"/>
              </w:rPr>
            </w:pPr>
            <w:r w:rsidRPr="00DD0C54">
              <w:rPr>
                <w:szCs w:val="20"/>
              </w:rPr>
              <w:t>Incremental cost per quality adjusted life year (QALY)</w:t>
            </w:r>
          </w:p>
        </w:tc>
      </w:tr>
      <w:tr w:rsidR="001A59CD" w:rsidRPr="000449D1" w14:paraId="36C6EFF1" w14:textId="77777777" w:rsidTr="00FA23C7">
        <w:tc>
          <w:tcPr>
            <w:tcW w:w="1019" w:type="pct"/>
          </w:tcPr>
          <w:p w14:paraId="18108D9F" w14:textId="77777777" w:rsidR="001A59CD" w:rsidRPr="000449D1" w:rsidRDefault="001A59CD" w:rsidP="009334AB">
            <w:pPr>
              <w:pStyle w:val="TableText"/>
              <w:keepNext/>
              <w:spacing w:before="0" w:after="0"/>
              <w:rPr>
                <w:szCs w:val="20"/>
              </w:rPr>
            </w:pPr>
            <w:r w:rsidRPr="000449D1">
              <w:rPr>
                <w:szCs w:val="20"/>
              </w:rPr>
              <w:t>Time horizon</w:t>
            </w:r>
          </w:p>
        </w:tc>
        <w:tc>
          <w:tcPr>
            <w:tcW w:w="3981" w:type="pct"/>
          </w:tcPr>
          <w:p w14:paraId="4E15D631" w14:textId="77777777" w:rsidR="001A59CD" w:rsidRPr="00313720" w:rsidRDefault="001A59CD" w:rsidP="009334AB">
            <w:pPr>
              <w:pStyle w:val="TableText"/>
              <w:keepNext/>
              <w:spacing w:before="0" w:after="0"/>
              <w:rPr>
                <w:szCs w:val="20"/>
              </w:rPr>
            </w:pPr>
            <w:r w:rsidRPr="00313720">
              <w:rPr>
                <w:szCs w:val="20"/>
              </w:rPr>
              <w:t>40 years in the model base case (vs 2 years in the key trial)</w:t>
            </w:r>
          </w:p>
        </w:tc>
      </w:tr>
      <w:tr w:rsidR="001A59CD" w:rsidRPr="000449D1" w14:paraId="14A54A9E" w14:textId="77777777" w:rsidTr="00FA23C7">
        <w:tc>
          <w:tcPr>
            <w:tcW w:w="1019" w:type="pct"/>
          </w:tcPr>
          <w:p w14:paraId="08EFB7BD" w14:textId="77777777" w:rsidR="001A59CD" w:rsidRPr="000449D1" w:rsidRDefault="001A59CD" w:rsidP="009334AB">
            <w:pPr>
              <w:pStyle w:val="TableText"/>
              <w:keepNext/>
              <w:spacing w:before="0" w:after="0"/>
              <w:rPr>
                <w:szCs w:val="20"/>
              </w:rPr>
            </w:pPr>
            <w:r w:rsidRPr="000449D1">
              <w:rPr>
                <w:szCs w:val="20"/>
              </w:rPr>
              <w:t>Computational method</w:t>
            </w:r>
          </w:p>
        </w:tc>
        <w:tc>
          <w:tcPr>
            <w:tcW w:w="3981" w:type="pct"/>
          </w:tcPr>
          <w:p w14:paraId="6F687033" w14:textId="77777777" w:rsidR="001A59CD" w:rsidRPr="00313720" w:rsidRDefault="001A59CD" w:rsidP="009334AB">
            <w:pPr>
              <w:pStyle w:val="TableText"/>
              <w:keepNext/>
              <w:spacing w:before="0" w:after="0"/>
              <w:rPr>
                <w:szCs w:val="20"/>
              </w:rPr>
            </w:pPr>
            <w:r w:rsidRPr="00313720">
              <w:rPr>
                <w:szCs w:val="20"/>
              </w:rPr>
              <w:t>Partitioned survival analysis</w:t>
            </w:r>
          </w:p>
        </w:tc>
      </w:tr>
      <w:tr w:rsidR="001A59CD" w:rsidRPr="000449D1" w14:paraId="447CAFE1" w14:textId="77777777" w:rsidTr="00FA23C7">
        <w:tc>
          <w:tcPr>
            <w:tcW w:w="1019" w:type="pct"/>
          </w:tcPr>
          <w:p w14:paraId="242C4D11" w14:textId="77777777" w:rsidR="001A59CD" w:rsidRPr="000449D1" w:rsidRDefault="001A59CD" w:rsidP="009334AB">
            <w:pPr>
              <w:pStyle w:val="TableText"/>
              <w:keepNext/>
              <w:spacing w:before="0" w:after="0"/>
              <w:rPr>
                <w:szCs w:val="20"/>
              </w:rPr>
            </w:pPr>
            <w:r w:rsidRPr="000449D1">
              <w:rPr>
                <w:szCs w:val="20"/>
              </w:rPr>
              <w:t>Generation of the base case</w:t>
            </w:r>
          </w:p>
        </w:tc>
        <w:tc>
          <w:tcPr>
            <w:tcW w:w="3981" w:type="pct"/>
          </w:tcPr>
          <w:p w14:paraId="52954B75" w14:textId="77777777" w:rsidR="001A59CD" w:rsidRPr="00CB5E94" w:rsidRDefault="001A59CD" w:rsidP="009334AB">
            <w:pPr>
              <w:pStyle w:val="TableText"/>
              <w:keepNext/>
              <w:spacing w:before="0" w:after="0"/>
            </w:pPr>
            <w:r>
              <w:t>Modelling (ZUMA-7 trial did not follow all patients through to death therefore modelling was required)</w:t>
            </w:r>
          </w:p>
        </w:tc>
      </w:tr>
      <w:tr w:rsidR="001A59CD" w:rsidRPr="000449D1" w14:paraId="2605E9BB" w14:textId="77777777" w:rsidTr="00FA23C7">
        <w:tc>
          <w:tcPr>
            <w:tcW w:w="1019" w:type="pct"/>
          </w:tcPr>
          <w:p w14:paraId="7E74258C" w14:textId="77777777" w:rsidR="001A59CD" w:rsidRPr="000449D1" w:rsidRDefault="001A59CD" w:rsidP="009334AB">
            <w:pPr>
              <w:pStyle w:val="TableText"/>
              <w:keepNext/>
              <w:spacing w:before="0" w:after="0"/>
              <w:rPr>
                <w:szCs w:val="20"/>
              </w:rPr>
            </w:pPr>
            <w:r w:rsidRPr="000449D1">
              <w:rPr>
                <w:szCs w:val="20"/>
              </w:rPr>
              <w:t>Health states</w:t>
            </w:r>
          </w:p>
        </w:tc>
        <w:tc>
          <w:tcPr>
            <w:tcW w:w="3981" w:type="pct"/>
            <w:shd w:val="clear" w:color="auto" w:fill="auto"/>
          </w:tcPr>
          <w:p w14:paraId="48D171C2" w14:textId="77777777" w:rsidR="001A59CD" w:rsidRPr="00E363C6" w:rsidRDefault="001A59CD" w:rsidP="009334AB">
            <w:pPr>
              <w:pStyle w:val="TableText"/>
              <w:keepNext/>
              <w:spacing w:before="0" w:after="0"/>
              <w:rPr>
                <w:szCs w:val="20"/>
                <w:highlight w:val="yellow"/>
              </w:rPr>
            </w:pPr>
            <w:r w:rsidRPr="003D5BC0">
              <w:rPr>
                <w:szCs w:val="20"/>
              </w:rPr>
              <w:t>Event free, progressed and death</w:t>
            </w:r>
            <w:r>
              <w:rPr>
                <w:szCs w:val="20"/>
              </w:rPr>
              <w:t xml:space="preserve"> (a treatment phase health state was also employed in the model)</w:t>
            </w:r>
          </w:p>
        </w:tc>
      </w:tr>
      <w:tr w:rsidR="001A59CD" w:rsidRPr="000449D1" w14:paraId="5AD43801" w14:textId="77777777" w:rsidTr="00FA23C7">
        <w:tc>
          <w:tcPr>
            <w:tcW w:w="1019" w:type="pct"/>
          </w:tcPr>
          <w:p w14:paraId="4BE484FF" w14:textId="77777777" w:rsidR="001A59CD" w:rsidRPr="000449D1" w:rsidRDefault="001A59CD" w:rsidP="009334AB">
            <w:pPr>
              <w:pStyle w:val="TableText"/>
              <w:keepNext/>
              <w:spacing w:before="0" w:after="0"/>
              <w:rPr>
                <w:szCs w:val="20"/>
              </w:rPr>
            </w:pPr>
            <w:r w:rsidRPr="000449D1">
              <w:rPr>
                <w:szCs w:val="20"/>
              </w:rPr>
              <w:t>Cycle length</w:t>
            </w:r>
          </w:p>
        </w:tc>
        <w:tc>
          <w:tcPr>
            <w:tcW w:w="3981" w:type="pct"/>
          </w:tcPr>
          <w:p w14:paraId="18CF1137" w14:textId="77777777" w:rsidR="001A59CD" w:rsidRPr="000449D1" w:rsidRDefault="001A59CD" w:rsidP="009334AB">
            <w:pPr>
              <w:pStyle w:val="TableText"/>
              <w:keepNext/>
              <w:spacing w:before="0" w:after="0"/>
              <w:rPr>
                <w:szCs w:val="20"/>
              </w:rPr>
            </w:pPr>
            <w:r>
              <w:rPr>
                <w:szCs w:val="20"/>
              </w:rPr>
              <w:t xml:space="preserve">1 </w:t>
            </w:r>
            <w:r w:rsidRPr="000449D1">
              <w:rPr>
                <w:szCs w:val="20"/>
              </w:rPr>
              <w:t>months</w:t>
            </w:r>
          </w:p>
        </w:tc>
      </w:tr>
      <w:tr w:rsidR="001A59CD" w:rsidRPr="000449D1" w14:paraId="4F331107" w14:textId="77777777" w:rsidTr="00FA23C7">
        <w:tc>
          <w:tcPr>
            <w:tcW w:w="1019" w:type="pct"/>
          </w:tcPr>
          <w:p w14:paraId="1A757414" w14:textId="77777777" w:rsidR="001A59CD" w:rsidRPr="000449D1" w:rsidRDefault="001A59CD" w:rsidP="009334AB">
            <w:pPr>
              <w:pStyle w:val="TableText"/>
              <w:keepNext/>
              <w:spacing w:before="0" w:after="0"/>
              <w:rPr>
                <w:szCs w:val="20"/>
              </w:rPr>
            </w:pPr>
            <w:r w:rsidRPr="000449D1">
              <w:rPr>
                <w:szCs w:val="20"/>
              </w:rPr>
              <w:t>Transition probabilities</w:t>
            </w:r>
          </w:p>
        </w:tc>
        <w:tc>
          <w:tcPr>
            <w:tcW w:w="3981" w:type="pct"/>
          </w:tcPr>
          <w:p w14:paraId="26F2E475" w14:textId="77777777" w:rsidR="001A59CD" w:rsidRPr="000449D1" w:rsidRDefault="001A59CD" w:rsidP="009334AB">
            <w:pPr>
              <w:pStyle w:val="TableText"/>
              <w:keepNext/>
              <w:spacing w:before="0" w:after="0"/>
              <w:rPr>
                <w:szCs w:val="20"/>
              </w:rPr>
            </w:pPr>
            <w:r w:rsidRPr="002F58FD">
              <w:rPr>
                <w:szCs w:val="20"/>
              </w:rPr>
              <w:t>Transition probabilities were driving by data from the ZUMA-7 trial and a mixed cure model with survival extrapolation beyond the follow up of the trial.</w:t>
            </w:r>
          </w:p>
        </w:tc>
      </w:tr>
      <w:tr w:rsidR="001A59CD" w:rsidRPr="000449D1" w14:paraId="3620FEA7" w14:textId="77777777" w:rsidTr="00FA23C7">
        <w:tc>
          <w:tcPr>
            <w:tcW w:w="1019" w:type="pct"/>
          </w:tcPr>
          <w:p w14:paraId="7521200B" w14:textId="77777777" w:rsidR="001A59CD" w:rsidRPr="000449D1" w:rsidRDefault="001A59CD" w:rsidP="009334AB">
            <w:pPr>
              <w:pStyle w:val="TableText"/>
              <w:keepNext/>
              <w:spacing w:before="0" w:after="0"/>
              <w:rPr>
                <w:szCs w:val="20"/>
              </w:rPr>
            </w:pPr>
            <w:r w:rsidRPr="000449D1">
              <w:rPr>
                <w:szCs w:val="20"/>
              </w:rPr>
              <w:t>Discount rate</w:t>
            </w:r>
          </w:p>
        </w:tc>
        <w:tc>
          <w:tcPr>
            <w:tcW w:w="3981" w:type="pct"/>
          </w:tcPr>
          <w:p w14:paraId="12D7326C" w14:textId="77777777" w:rsidR="001A59CD" w:rsidRDefault="001A59CD" w:rsidP="009334AB">
            <w:pPr>
              <w:pStyle w:val="TableText"/>
              <w:keepNext/>
              <w:spacing w:before="0" w:after="0"/>
              <w:rPr>
                <w:szCs w:val="20"/>
              </w:rPr>
            </w:pPr>
            <w:r>
              <w:rPr>
                <w:szCs w:val="20"/>
              </w:rPr>
              <w:t>3.</w:t>
            </w:r>
            <w:r w:rsidRPr="000449D1">
              <w:rPr>
                <w:szCs w:val="20"/>
              </w:rPr>
              <w:t>5% for both costs and outcomes</w:t>
            </w:r>
          </w:p>
          <w:p w14:paraId="64B6066A" w14:textId="77777777" w:rsidR="001A59CD" w:rsidRPr="000449D1" w:rsidRDefault="001A59CD" w:rsidP="009334AB">
            <w:pPr>
              <w:pStyle w:val="TableText"/>
              <w:keepNext/>
              <w:spacing w:before="0" w:after="0"/>
              <w:rPr>
                <w:szCs w:val="20"/>
              </w:rPr>
            </w:pPr>
            <w:r>
              <w:rPr>
                <w:szCs w:val="20"/>
              </w:rPr>
              <w:t>5% used in commentary’s respecified base case ICER (consistent with MSAC guidelines)</w:t>
            </w:r>
          </w:p>
        </w:tc>
      </w:tr>
      <w:tr w:rsidR="001A59CD" w:rsidRPr="000449D1" w14:paraId="6D0B3E49" w14:textId="77777777" w:rsidTr="00FA23C7">
        <w:tc>
          <w:tcPr>
            <w:tcW w:w="1019" w:type="pct"/>
          </w:tcPr>
          <w:p w14:paraId="2AD626F5" w14:textId="77777777" w:rsidR="001A59CD" w:rsidRPr="000449D1" w:rsidRDefault="001A59CD" w:rsidP="009334AB">
            <w:pPr>
              <w:pStyle w:val="TableText"/>
              <w:keepNext/>
              <w:spacing w:before="0" w:after="0"/>
              <w:rPr>
                <w:szCs w:val="20"/>
              </w:rPr>
            </w:pPr>
            <w:r w:rsidRPr="000449D1">
              <w:rPr>
                <w:szCs w:val="20"/>
              </w:rPr>
              <w:t>Software</w:t>
            </w:r>
          </w:p>
        </w:tc>
        <w:tc>
          <w:tcPr>
            <w:tcW w:w="3981" w:type="pct"/>
          </w:tcPr>
          <w:p w14:paraId="74A15A1F" w14:textId="77777777" w:rsidR="001A59CD" w:rsidRPr="000449D1" w:rsidRDefault="001A59CD" w:rsidP="009334AB">
            <w:pPr>
              <w:pStyle w:val="TableText"/>
              <w:keepNext/>
              <w:spacing w:before="0" w:after="0"/>
              <w:rPr>
                <w:szCs w:val="20"/>
              </w:rPr>
            </w:pPr>
            <w:r>
              <w:rPr>
                <w:szCs w:val="20"/>
              </w:rPr>
              <w:t>Excel</w:t>
            </w:r>
          </w:p>
        </w:tc>
      </w:tr>
    </w:tbl>
    <w:p w14:paraId="63616D6E" w14:textId="7E02C59D" w:rsidR="001A59CD" w:rsidRDefault="001A59CD" w:rsidP="001A59CD">
      <w:pPr>
        <w:pStyle w:val="TableFigureFooter"/>
      </w:pPr>
      <w:bookmarkStart w:id="27" w:name="_Hlk68276459"/>
      <w:bookmarkEnd w:id="26"/>
      <w:r>
        <w:rPr>
          <w:rFonts w:eastAsia="Calibri"/>
          <w:szCs w:val="20"/>
        </w:rPr>
        <w:t xml:space="preserve">Abbreviations: </w:t>
      </w:r>
      <w:r>
        <w:rPr>
          <w:szCs w:val="20"/>
        </w:rPr>
        <w:t>1L=</w:t>
      </w:r>
      <w:proofErr w:type="gramStart"/>
      <w:r>
        <w:rPr>
          <w:szCs w:val="20"/>
        </w:rPr>
        <w:t>first-line</w:t>
      </w:r>
      <w:proofErr w:type="gramEnd"/>
      <w:r>
        <w:rPr>
          <w:rFonts w:eastAsia="Calibri"/>
          <w:szCs w:val="20"/>
        </w:rPr>
        <w:t xml:space="preserve">; ICER=incremental cost-effectiveness ratio; </w:t>
      </w:r>
      <w:r w:rsidRPr="00E201C1">
        <w:rPr>
          <w:szCs w:val="20"/>
        </w:rPr>
        <w:t>LBCL=</w:t>
      </w:r>
      <w:r w:rsidRPr="00561ABD">
        <w:rPr>
          <w:szCs w:val="20"/>
        </w:rPr>
        <w:t>large B-cell lymphoma</w:t>
      </w:r>
      <w:r>
        <w:rPr>
          <w:szCs w:val="20"/>
        </w:rPr>
        <w:t>; LYG=life year gained; QALY=quality adjusted life year</w:t>
      </w:r>
    </w:p>
    <w:bookmarkEnd w:id="27"/>
    <w:p w14:paraId="16485E33" w14:textId="71F30E6D" w:rsidR="003E5B9F" w:rsidRPr="0003746E" w:rsidRDefault="003E5B9F" w:rsidP="00ED2F3A">
      <w:pPr>
        <w:pStyle w:val="a-TEXT"/>
      </w:pPr>
      <w:r w:rsidRPr="0003746E">
        <w:rPr>
          <w:rFonts w:eastAsia="Calibri"/>
        </w:rPr>
        <w:t xml:space="preserve">During evaluation the base case was </w:t>
      </w:r>
      <w:r w:rsidR="000D0D72">
        <w:rPr>
          <w:rFonts w:eastAsia="Calibri"/>
        </w:rPr>
        <w:t xml:space="preserve">respecified </w:t>
      </w:r>
      <w:r w:rsidRPr="0003746E">
        <w:rPr>
          <w:rFonts w:eastAsia="Calibri"/>
        </w:rPr>
        <w:t xml:space="preserve">to </w:t>
      </w:r>
      <w:r w:rsidR="000D0D72">
        <w:rPr>
          <w:rFonts w:eastAsia="Calibri"/>
        </w:rPr>
        <w:t xml:space="preserve">address </w:t>
      </w:r>
      <w:proofErr w:type="gramStart"/>
      <w:r w:rsidR="000D0D72">
        <w:rPr>
          <w:rFonts w:eastAsia="Calibri"/>
        </w:rPr>
        <w:t>a number of</w:t>
      </w:r>
      <w:proofErr w:type="gramEnd"/>
      <w:r w:rsidR="000D0D72">
        <w:rPr>
          <w:rFonts w:eastAsia="Calibri"/>
        </w:rPr>
        <w:t xml:space="preserve"> issues including to correct </w:t>
      </w:r>
      <w:r w:rsidRPr="0003746E">
        <w:rPr>
          <w:rFonts w:eastAsia="Calibri"/>
        </w:rPr>
        <w:t>an error in the event free survival calculation.</w:t>
      </w:r>
      <w:r w:rsidRPr="003C6884">
        <w:rPr>
          <w:rFonts w:eastAsia="Calibri"/>
          <w:i/>
        </w:rPr>
        <w:t xml:space="preserve"> </w:t>
      </w:r>
      <w:r w:rsidRPr="0003746E">
        <w:t xml:space="preserve">A base case discounting of 3.5% is inappropriate as 5% </w:t>
      </w:r>
      <w:r w:rsidR="000D0D72">
        <w:t xml:space="preserve">discount rate </w:t>
      </w:r>
      <w:r w:rsidRPr="0003746E">
        <w:t xml:space="preserve">is the preferred and standard approach </w:t>
      </w:r>
      <w:r w:rsidR="00F01949">
        <w:t>as per the</w:t>
      </w:r>
      <w:r w:rsidRPr="0003746E">
        <w:t xml:space="preserve"> MSAC</w:t>
      </w:r>
      <w:r w:rsidR="00F01949">
        <w:t xml:space="preserve"> Guidelines</w:t>
      </w:r>
      <w:r w:rsidRPr="0003746E">
        <w:t xml:space="preserve"> and has been incorporated into the respecified base case.</w:t>
      </w:r>
    </w:p>
    <w:p w14:paraId="191B7893" w14:textId="1C111A1D" w:rsidR="0060780B" w:rsidRDefault="0060780B" w:rsidP="000164FE">
      <w:pPr>
        <w:pStyle w:val="a-TEXT"/>
      </w:pPr>
      <w:r>
        <w:t>Given the mean age of patients in the ZUMA-7 study was 57 years, the model examines costs and outcomes over 40 years. This is</w:t>
      </w:r>
      <w:r w:rsidR="00AD72CD">
        <w:t xml:space="preserve"> an</w:t>
      </w:r>
      <w:r>
        <w:t xml:space="preserve"> appropriate </w:t>
      </w:r>
      <w:r w:rsidR="00AD72CD">
        <w:t xml:space="preserve">approach </w:t>
      </w:r>
      <w:r w:rsidR="00086019">
        <w:t xml:space="preserve">in </w:t>
      </w:r>
      <w:r w:rsidR="0021095D">
        <w:t>a</w:t>
      </w:r>
      <w:r w:rsidR="00086019">
        <w:t xml:space="preserve"> disease scenario where </w:t>
      </w:r>
      <w:r w:rsidR="00F37B08">
        <w:t xml:space="preserve">treatments lead to </w:t>
      </w:r>
      <w:r>
        <w:t xml:space="preserve">differences in EFS and OS that </w:t>
      </w:r>
      <w:r w:rsidR="0090074C">
        <w:t>leads to</w:t>
      </w:r>
      <w:r>
        <w:t xml:space="preserve"> lower relapse and death </w:t>
      </w:r>
      <w:r w:rsidR="00F6224A">
        <w:t>that can</w:t>
      </w:r>
      <w:r>
        <w:t xml:space="preserve"> accrue over the fullness of time.</w:t>
      </w:r>
      <w:r w:rsidR="00F6224A">
        <w:t xml:space="preserve"> However, in this situation a 40 year time horizon </w:t>
      </w:r>
      <w:r w:rsidR="00D52333" w:rsidRPr="00D52333">
        <w:t xml:space="preserve">is considerably long for this population and </w:t>
      </w:r>
      <w:r w:rsidR="000D0D72">
        <w:t xml:space="preserve">given the </w:t>
      </w:r>
      <w:r w:rsidR="00D52333" w:rsidRPr="00D52333">
        <w:t xml:space="preserve">clinical evidence; the average age in the Australian patient population is likely older (with the median population being in the 70-79 age category based on </w:t>
      </w:r>
      <w:r w:rsidR="00C22B4B">
        <w:t xml:space="preserve">2017 </w:t>
      </w:r>
      <w:r w:rsidR="00D52333" w:rsidRPr="00D52333">
        <w:t>data from AIHW (non-Hodgkin Lymphoma)) (AIHW, 2017) and the clinical data supporting the evidence has a median follow-up of just over 2 years</w:t>
      </w:r>
      <w:r w:rsidR="00D52333">
        <w:t xml:space="preserve"> (</w:t>
      </w:r>
      <w:r w:rsidR="00E8784E">
        <w:t>with immature overall survival data)</w:t>
      </w:r>
      <w:r w:rsidR="00D52333" w:rsidRPr="00D52333">
        <w:t>. The model also incorporates a cure rate survival which is based on highly optimistic values. Overall, the long-time horizon favours AXI.</w:t>
      </w:r>
      <w:r w:rsidR="001A59CD">
        <w:t xml:space="preserve"> </w:t>
      </w:r>
      <w:r w:rsidR="001A59CD" w:rsidRPr="001A59CD">
        <w:t xml:space="preserve">A </w:t>
      </w:r>
      <w:r w:rsidR="003E5B9F">
        <w:t>30</w:t>
      </w:r>
      <w:r w:rsidR="001A59CD" w:rsidRPr="001A59CD">
        <w:t>-year time horizon has been included in the respecified base case.</w:t>
      </w:r>
    </w:p>
    <w:p w14:paraId="07B090EB" w14:textId="33183DDD" w:rsidR="00434C32" w:rsidRPr="00646AFE" w:rsidRDefault="0060780B" w:rsidP="00646AFE">
      <w:pPr>
        <w:pStyle w:val="a-TEXT"/>
      </w:pPr>
      <w:r w:rsidRPr="00646AFE">
        <w:t xml:space="preserve">The type of economic analysis presented is a partitioned survival analysis comparing mean EFS and OS of </w:t>
      </w:r>
      <w:r w:rsidR="00226D5B" w:rsidRPr="00646AFE">
        <w:t>AXI</w:t>
      </w:r>
      <w:r w:rsidRPr="00646AFE">
        <w:t xml:space="preserve"> to SoC in patients with LBCL. </w:t>
      </w:r>
      <w:r w:rsidR="00E76B83" w:rsidRPr="00646AFE">
        <w:t xml:space="preserve">Partitioned survival analysis model is appropriate for this setting. However, the partitioned survival analysis model structure limits the extent to which </w:t>
      </w:r>
      <w:r w:rsidR="00E76B83" w:rsidRPr="00646AFE">
        <w:lastRenderedPageBreak/>
        <w:t xml:space="preserve">sensitivity analyses can be used to explore clinical uncertainties especially in the extrapolation period as there is no link between event free survival and overall survival. </w:t>
      </w:r>
      <w:r w:rsidR="00E76B83" w:rsidRPr="00AE2BC5">
        <w:t>Given the uncertainty around the indirect clinical evidence</w:t>
      </w:r>
      <w:r w:rsidR="00E76B83" w:rsidRPr="00646AFE">
        <w:t xml:space="preserve"> the use of a state transition model would allow assessment of clinical uncertainties in the extrapolation period.</w:t>
      </w:r>
    </w:p>
    <w:p w14:paraId="06AA09DF" w14:textId="3ED78FCC" w:rsidR="009F1F40" w:rsidRDefault="009F1F40" w:rsidP="00246C59">
      <w:pPr>
        <w:pStyle w:val="a-subHeading"/>
        <w:rPr>
          <w:lang w:eastAsia="en-US"/>
        </w:rPr>
      </w:pPr>
      <w:r>
        <w:rPr>
          <w:lang w:eastAsia="en-US"/>
        </w:rPr>
        <w:t xml:space="preserve">Extrapolation of </w:t>
      </w:r>
      <w:r w:rsidR="00160FE0">
        <w:rPr>
          <w:lang w:eastAsia="en-US"/>
        </w:rPr>
        <w:t>o</w:t>
      </w:r>
      <w:r>
        <w:rPr>
          <w:lang w:eastAsia="en-US"/>
        </w:rPr>
        <w:t>verall survival</w:t>
      </w:r>
    </w:p>
    <w:p w14:paraId="3BCA0A3F" w14:textId="77777777" w:rsidR="00CE123F" w:rsidRPr="00F20414" w:rsidRDefault="00E963CE" w:rsidP="003E5B9F">
      <w:pPr>
        <w:spacing w:after="160" w:line="259" w:lineRule="auto"/>
        <w:rPr>
          <w:rFonts w:ascii="Franklin Gothic Book" w:eastAsia="Calibri" w:hAnsi="Franklin Gothic Book"/>
          <w:i/>
          <w:iCs/>
          <w:sz w:val="22"/>
          <w:szCs w:val="22"/>
          <w:lang w:eastAsia="en-US"/>
        </w:rPr>
      </w:pPr>
      <w:r w:rsidRPr="00E40D0A">
        <w:rPr>
          <w:rStyle w:val="a-TEXTChar"/>
          <w:rFonts w:eastAsia="Calibri"/>
          <w:sz w:val="22"/>
          <w:szCs w:val="22"/>
        </w:rPr>
        <w:t xml:space="preserve">The ADAR </w:t>
      </w:r>
      <w:r w:rsidR="003E5B9F" w:rsidRPr="00E40D0A">
        <w:rPr>
          <w:rStyle w:val="a-TEXTChar"/>
          <w:rFonts w:eastAsia="Calibri"/>
          <w:sz w:val="22"/>
          <w:szCs w:val="22"/>
        </w:rPr>
        <w:t xml:space="preserve">use a mixed cure fraction model to </w:t>
      </w:r>
      <w:r w:rsidRPr="00E40D0A">
        <w:rPr>
          <w:rStyle w:val="a-TEXTChar"/>
          <w:rFonts w:eastAsia="Calibri"/>
          <w:sz w:val="22"/>
          <w:szCs w:val="22"/>
        </w:rPr>
        <w:t xml:space="preserve">extrapolate the overall survival </w:t>
      </w:r>
      <w:r w:rsidR="003E5B9F" w:rsidRPr="00E40D0A">
        <w:rPr>
          <w:rStyle w:val="a-TEXTChar"/>
          <w:rFonts w:eastAsia="Calibri"/>
          <w:sz w:val="22"/>
          <w:szCs w:val="22"/>
        </w:rPr>
        <w:t>for patients with LBCL</w:t>
      </w:r>
      <w:r w:rsidR="00CE123F" w:rsidRPr="00E40D0A">
        <w:rPr>
          <w:rStyle w:val="a-TEXTChar"/>
          <w:rFonts w:eastAsia="Calibri"/>
          <w:sz w:val="22"/>
          <w:szCs w:val="22"/>
        </w:rPr>
        <w:t xml:space="preserve"> in the model</w:t>
      </w:r>
      <w:r w:rsidR="00CE11F9" w:rsidRPr="00E40D0A">
        <w:rPr>
          <w:rStyle w:val="a-TEXTChar"/>
          <w:rFonts w:eastAsia="Calibri"/>
          <w:sz w:val="22"/>
          <w:szCs w:val="22"/>
        </w:rPr>
        <w:t xml:space="preserve"> (</w:t>
      </w:r>
      <w:r w:rsidR="00CE11F9" w:rsidRPr="00E40D0A">
        <w:rPr>
          <w:rStyle w:val="a-TEXTChar"/>
          <w:rFonts w:eastAsia="Calibri"/>
          <w:sz w:val="22"/>
          <w:szCs w:val="22"/>
        </w:rPr>
        <w:fldChar w:fldCharType="begin"/>
      </w:r>
      <w:r w:rsidR="00CE11F9" w:rsidRPr="00E40D0A">
        <w:rPr>
          <w:rStyle w:val="a-TEXTChar"/>
          <w:rFonts w:eastAsia="Calibri"/>
          <w:sz w:val="22"/>
          <w:szCs w:val="22"/>
        </w:rPr>
        <w:instrText xml:space="preserve"> REF _Ref124360255 \h </w:instrText>
      </w:r>
      <w:r w:rsidR="00646AFE" w:rsidRPr="00E40D0A">
        <w:rPr>
          <w:rStyle w:val="a-TEXTChar"/>
          <w:rFonts w:eastAsia="Calibri"/>
          <w:sz w:val="22"/>
          <w:szCs w:val="22"/>
        </w:rPr>
        <w:instrText xml:space="preserve"> \* MERGEFORMAT </w:instrText>
      </w:r>
      <w:r w:rsidR="00CE11F9" w:rsidRPr="00E40D0A">
        <w:rPr>
          <w:rStyle w:val="a-TEXTChar"/>
          <w:rFonts w:eastAsia="Calibri"/>
          <w:sz w:val="22"/>
          <w:szCs w:val="22"/>
        </w:rPr>
      </w:r>
      <w:r w:rsidR="00CE11F9" w:rsidRPr="00E40D0A">
        <w:rPr>
          <w:rStyle w:val="a-TEXTChar"/>
          <w:rFonts w:eastAsia="Calibri"/>
          <w:sz w:val="22"/>
          <w:szCs w:val="22"/>
        </w:rPr>
        <w:fldChar w:fldCharType="separate"/>
      </w:r>
      <w:r w:rsidR="00BC6167" w:rsidRPr="00E40D0A">
        <w:rPr>
          <w:rStyle w:val="a-TEXTChar"/>
          <w:sz w:val="22"/>
          <w:szCs w:val="22"/>
        </w:rPr>
        <w:t>Figure 3</w:t>
      </w:r>
      <w:r w:rsidR="00CE11F9" w:rsidRPr="00E40D0A">
        <w:rPr>
          <w:rStyle w:val="a-TEXTChar"/>
          <w:rFonts w:eastAsia="Calibri"/>
          <w:sz w:val="22"/>
          <w:szCs w:val="22"/>
        </w:rPr>
        <w:fldChar w:fldCharType="end"/>
      </w:r>
      <w:r w:rsidR="00CE11F9" w:rsidRPr="00E40D0A">
        <w:rPr>
          <w:rStyle w:val="a-TEXTChar"/>
          <w:rFonts w:eastAsia="Calibri"/>
          <w:sz w:val="22"/>
          <w:szCs w:val="22"/>
        </w:rPr>
        <w:t xml:space="preserve"> and </w:t>
      </w:r>
      <w:r w:rsidR="00CE11F9" w:rsidRPr="00E40D0A">
        <w:rPr>
          <w:rStyle w:val="a-TEXTChar"/>
          <w:rFonts w:eastAsia="Calibri"/>
          <w:sz w:val="22"/>
          <w:szCs w:val="22"/>
        </w:rPr>
        <w:fldChar w:fldCharType="begin"/>
      </w:r>
      <w:r w:rsidR="00CE11F9" w:rsidRPr="00E40D0A">
        <w:rPr>
          <w:rStyle w:val="a-TEXTChar"/>
          <w:rFonts w:eastAsia="Calibri"/>
          <w:sz w:val="22"/>
          <w:szCs w:val="22"/>
        </w:rPr>
        <w:instrText xml:space="preserve"> REF _Ref124360258 \h </w:instrText>
      </w:r>
      <w:r w:rsidR="00646AFE" w:rsidRPr="00E40D0A">
        <w:rPr>
          <w:rStyle w:val="a-TEXTChar"/>
          <w:rFonts w:eastAsia="Calibri"/>
          <w:sz w:val="22"/>
          <w:szCs w:val="22"/>
        </w:rPr>
        <w:instrText xml:space="preserve"> \* MERGEFORMAT </w:instrText>
      </w:r>
      <w:r w:rsidR="00CE11F9" w:rsidRPr="00E40D0A">
        <w:rPr>
          <w:rStyle w:val="a-TEXTChar"/>
          <w:rFonts w:eastAsia="Calibri"/>
          <w:sz w:val="22"/>
          <w:szCs w:val="22"/>
        </w:rPr>
      </w:r>
      <w:r w:rsidR="00CE11F9" w:rsidRPr="00E40D0A">
        <w:rPr>
          <w:rStyle w:val="a-TEXTChar"/>
          <w:rFonts w:eastAsia="Calibri"/>
          <w:sz w:val="22"/>
          <w:szCs w:val="22"/>
        </w:rPr>
        <w:fldChar w:fldCharType="separate"/>
      </w:r>
      <w:r w:rsidR="00BC6167" w:rsidRPr="00E40D0A">
        <w:rPr>
          <w:rStyle w:val="a-TEXTChar"/>
          <w:sz w:val="22"/>
          <w:szCs w:val="22"/>
        </w:rPr>
        <w:t>Figure 4</w:t>
      </w:r>
      <w:r w:rsidR="00CE11F9" w:rsidRPr="00E40D0A">
        <w:rPr>
          <w:rStyle w:val="a-TEXTChar"/>
          <w:rFonts w:eastAsia="Calibri"/>
          <w:sz w:val="22"/>
          <w:szCs w:val="22"/>
        </w:rPr>
        <w:fldChar w:fldCharType="end"/>
      </w:r>
      <w:r w:rsidR="00CE11F9" w:rsidRPr="00E40D0A">
        <w:rPr>
          <w:rStyle w:val="a-TEXTChar"/>
          <w:rFonts w:eastAsia="Calibri"/>
          <w:sz w:val="22"/>
          <w:szCs w:val="22"/>
        </w:rPr>
        <w:t>)</w:t>
      </w:r>
      <w:r w:rsidR="00CE123F" w:rsidRPr="00E40D0A">
        <w:rPr>
          <w:rStyle w:val="a-TEXTChar"/>
          <w:rFonts w:eastAsia="Calibri"/>
          <w:sz w:val="22"/>
          <w:szCs w:val="22"/>
        </w:rPr>
        <w:t>.</w:t>
      </w:r>
      <w:r w:rsidR="00CE123F" w:rsidRPr="00F20414">
        <w:rPr>
          <w:rFonts w:ascii="Franklin Gothic Book" w:eastAsia="Calibri" w:hAnsi="Franklin Gothic Book"/>
          <w:i/>
          <w:iCs/>
          <w:sz w:val="22"/>
          <w:szCs w:val="22"/>
          <w:lang w:eastAsia="en-US"/>
        </w:rPr>
        <w:t xml:space="preserve"> </w:t>
      </w:r>
    </w:p>
    <w:p w14:paraId="43A10CF2" w14:textId="77777777" w:rsidR="00AE3DAF" w:rsidRDefault="00AE3DAF" w:rsidP="00246C59">
      <w:pPr>
        <w:keepNext/>
        <w:spacing w:line="276" w:lineRule="auto"/>
      </w:pPr>
      <w:r>
        <w:rPr>
          <w:noProof/>
          <w:lang w:eastAsia="en-AU"/>
        </w:rPr>
        <w:drawing>
          <wp:inline distT="0" distB="0" distL="0" distR="0" wp14:anchorId="1E0A636A" wp14:editId="0F69F871">
            <wp:extent cx="5622747" cy="2786428"/>
            <wp:effectExtent l="0" t="0" r="0" b="0"/>
            <wp:docPr id="8" name="Picture 8" descr="OS assumed in cured, non-cured and resultant modelled axicabtagene ciloleucel arm compared to the KM function from ZUM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S assumed in cured, non-cured and resultant modelled axicabtagene ciloleucel arm compared to the KM function from ZUMA-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28215" cy="2789138"/>
                    </a:xfrm>
                    <a:prstGeom prst="rect">
                      <a:avLst/>
                    </a:prstGeom>
                    <a:noFill/>
                  </pic:spPr>
                </pic:pic>
              </a:graphicData>
            </a:graphic>
          </wp:inline>
        </w:drawing>
      </w:r>
    </w:p>
    <w:p w14:paraId="447D82A9" w14:textId="40CBE2A6" w:rsidR="00AE3DAF" w:rsidRDefault="00AE3DAF" w:rsidP="0099116E">
      <w:pPr>
        <w:pStyle w:val="Caption"/>
        <w:spacing w:before="120"/>
      </w:pPr>
      <w:bookmarkStart w:id="28" w:name="_Ref124360255"/>
      <w:r>
        <w:t>Figure</w:t>
      </w:r>
      <w:bookmarkEnd w:id="28"/>
      <w:r w:rsidR="00AB0270">
        <w:t xml:space="preserve"> 3</w:t>
      </w:r>
      <w:r>
        <w:t xml:space="preserve">: </w:t>
      </w:r>
      <w:r w:rsidRPr="001443BD">
        <w:t>OS assumed in cured, non-cured and resultant modelled axicabtagene ciloleucel arm compared to the KM function from ZUMA-7</w:t>
      </w:r>
    </w:p>
    <w:p w14:paraId="6643DAF8" w14:textId="12533CDD" w:rsidR="0099116E" w:rsidRDefault="00AE3DAF" w:rsidP="00246C59">
      <w:pPr>
        <w:pStyle w:val="a-TableFOOTER"/>
      </w:pPr>
      <w:r>
        <w:t xml:space="preserve">Source: </w:t>
      </w:r>
      <w:r w:rsidRPr="00AE3DAF">
        <w:t>Figure ES</w:t>
      </w:r>
      <w:r w:rsidR="008750B7">
        <w:t>-</w:t>
      </w:r>
      <w:r w:rsidRPr="00AE3DAF">
        <w:t>6</w:t>
      </w:r>
      <w:r w:rsidR="008750B7">
        <w:t>, p10</w:t>
      </w:r>
      <w:r>
        <w:t xml:space="preserve"> of the ADAR</w:t>
      </w:r>
    </w:p>
    <w:p w14:paraId="577AF20A" w14:textId="77777777" w:rsidR="00CE11F9" w:rsidRDefault="00CE11F9" w:rsidP="005A4867">
      <w:pPr>
        <w:widowControl w:val="0"/>
        <w:spacing w:line="276" w:lineRule="auto"/>
      </w:pPr>
      <w:r>
        <w:rPr>
          <w:noProof/>
          <w:lang w:eastAsia="en-AU"/>
        </w:rPr>
        <w:drawing>
          <wp:inline distT="0" distB="0" distL="0" distR="0" wp14:anchorId="5CDF3728" wp14:editId="0ADAF821">
            <wp:extent cx="5621882" cy="2785999"/>
            <wp:effectExtent l="0" t="0" r="0" b="0"/>
            <wp:docPr id="14" name="Picture 14" descr="OS assumed in cured, non-cured and resultant modelled SoC arm compared to the KM function from ZUM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OS assumed in cured, non-cured and resultant modelled SoC arm compared to the KM function from ZUMA-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32188" cy="2791106"/>
                    </a:xfrm>
                    <a:prstGeom prst="rect">
                      <a:avLst/>
                    </a:prstGeom>
                    <a:noFill/>
                  </pic:spPr>
                </pic:pic>
              </a:graphicData>
            </a:graphic>
          </wp:inline>
        </w:drawing>
      </w:r>
    </w:p>
    <w:p w14:paraId="6DFEA3CF" w14:textId="446B4378" w:rsidR="00CE11F9" w:rsidRDefault="00CE11F9" w:rsidP="0099116E">
      <w:pPr>
        <w:pStyle w:val="Caption"/>
        <w:spacing w:before="120"/>
      </w:pPr>
      <w:bookmarkStart w:id="29" w:name="_Ref124360258"/>
      <w:r>
        <w:t xml:space="preserve">Figure </w:t>
      </w:r>
      <w:bookmarkEnd w:id="29"/>
      <w:r w:rsidR="00AB0270">
        <w:t>4</w:t>
      </w:r>
      <w:r>
        <w:t xml:space="preserve">: </w:t>
      </w:r>
      <w:r w:rsidRPr="000B659A">
        <w:t>OS assumed in cured, non-cured and resultant modelled SoC arm compared to the KM function from ZUMA-7</w:t>
      </w:r>
    </w:p>
    <w:p w14:paraId="498C4CE0" w14:textId="1E52B1FE" w:rsidR="00CE123F" w:rsidRPr="005A4867" w:rsidRDefault="00CE11F9" w:rsidP="003E5B9F">
      <w:pPr>
        <w:spacing w:after="160" w:line="259" w:lineRule="auto"/>
        <w:rPr>
          <w:rFonts w:ascii="Arial Narrow" w:eastAsia="Calibri" w:hAnsi="Arial Narrow"/>
          <w:sz w:val="18"/>
          <w:szCs w:val="20"/>
          <w:lang w:eastAsia="en-US"/>
        </w:rPr>
      </w:pPr>
      <w:r w:rsidRPr="005A4867">
        <w:rPr>
          <w:rFonts w:ascii="Arial Narrow" w:eastAsia="Calibri" w:hAnsi="Arial Narrow"/>
          <w:sz w:val="18"/>
          <w:szCs w:val="20"/>
          <w:lang w:eastAsia="en-US"/>
        </w:rPr>
        <w:t>Source: Figure ES</w:t>
      </w:r>
      <w:r w:rsidR="008750B7">
        <w:rPr>
          <w:rFonts w:ascii="Arial Narrow" w:eastAsia="Calibri" w:hAnsi="Arial Narrow"/>
          <w:sz w:val="18"/>
          <w:szCs w:val="20"/>
          <w:lang w:eastAsia="en-US"/>
        </w:rPr>
        <w:t>-</w:t>
      </w:r>
      <w:r w:rsidRPr="005A4867">
        <w:rPr>
          <w:rFonts w:ascii="Arial Narrow" w:eastAsia="Calibri" w:hAnsi="Arial Narrow"/>
          <w:sz w:val="18"/>
          <w:szCs w:val="20"/>
          <w:lang w:eastAsia="en-US"/>
        </w:rPr>
        <w:t>7</w:t>
      </w:r>
      <w:r w:rsidR="008750B7">
        <w:rPr>
          <w:rFonts w:ascii="Arial Narrow" w:eastAsia="Calibri" w:hAnsi="Arial Narrow"/>
          <w:sz w:val="18"/>
          <w:szCs w:val="20"/>
          <w:lang w:eastAsia="en-US"/>
        </w:rPr>
        <w:t>, p11</w:t>
      </w:r>
      <w:r w:rsidRPr="005A4867">
        <w:rPr>
          <w:rFonts w:ascii="Arial Narrow" w:eastAsia="Calibri" w:hAnsi="Arial Narrow"/>
          <w:sz w:val="18"/>
          <w:szCs w:val="20"/>
          <w:lang w:eastAsia="en-US"/>
        </w:rPr>
        <w:t xml:space="preserve"> of the ADAR</w:t>
      </w:r>
    </w:p>
    <w:p w14:paraId="7C50E4FB" w14:textId="06FC967C" w:rsidR="00C31807" w:rsidRDefault="00646AFE" w:rsidP="00F31EAB">
      <w:pPr>
        <w:pStyle w:val="a-TEXT"/>
      </w:pPr>
      <w:r>
        <w:lastRenderedPageBreak/>
        <w:t>U</w:t>
      </w:r>
      <w:r w:rsidR="003E5B9F" w:rsidRPr="003E5B9F">
        <w:t xml:space="preserve">sing this </w:t>
      </w:r>
      <w:r>
        <w:t xml:space="preserve">cure fraction </w:t>
      </w:r>
      <w:r w:rsidR="003E5B9F" w:rsidRPr="003E5B9F">
        <w:t xml:space="preserve">approach on two </w:t>
      </w:r>
      <w:r w:rsidR="00160FE0" w:rsidRPr="003E5B9F">
        <w:t>years</w:t>
      </w:r>
      <w:r w:rsidR="003E5B9F" w:rsidRPr="003E5B9F">
        <w:t xml:space="preserve"> follow up data would be inappropriate. As stated in the ADAR “The cure fractions should be interpreted with caution since cure fractions represent the proportion of patients that experience adjusted general population mortality as determined by a logistic model which uses data on the pattern of death observed in the ZUMA-7 trial only.” The data from ZUMA-7 is limited by size (180 in each arm) and length – only 24 month follow </w:t>
      </w:r>
      <w:proofErr w:type="gramStart"/>
      <w:r w:rsidR="003E5B9F" w:rsidRPr="003E5B9F">
        <w:t>up</w:t>
      </w:r>
      <w:proofErr w:type="gramEnd"/>
      <w:r w:rsidR="003E5B9F" w:rsidRPr="003E5B9F">
        <w:t xml:space="preserve"> so the results of the cure fraction analysis is limited in value. While the ADAR makes an argument that this is statistical cure rates of the population rather than the individual it still needs to be grounded in clinical practice. The cure fractions range from 24-54% in the AXI arm and 35 – 49% in the SoC arm, the extrapolation chosen by the ADAR is</w:t>
      </w:r>
      <w:r w:rsidR="00160FE0">
        <w:t xml:space="preserve"> the most </w:t>
      </w:r>
      <w:r w:rsidR="003E5B9F" w:rsidRPr="003E5B9F">
        <w:t>favourable for the AXI arm (53% vs 42% in the SoC arm)</w:t>
      </w:r>
      <w:r w:rsidR="00C31807">
        <w:t xml:space="preserve">. The ADAR considered that </w:t>
      </w:r>
      <w:r w:rsidR="00C31807" w:rsidRPr="00C31807">
        <w:t xml:space="preserve">the generalised gamma functional form was </w:t>
      </w:r>
      <w:r w:rsidR="00C31807">
        <w:t xml:space="preserve">most </w:t>
      </w:r>
      <w:r w:rsidR="00C31807" w:rsidRPr="00C31807">
        <w:t>appropriate as it had the lowest average AIC/BIC and its application in the base case of the modelled economic evaluation produced clinically plausible survival functions.</w:t>
      </w:r>
      <w:r w:rsidR="009773A8">
        <w:t xml:space="preserve"> However, according to the </w:t>
      </w:r>
      <w:r w:rsidR="00EB47E1">
        <w:t>attached economic evaluation spreadsheet, the lowest AIC</w:t>
      </w:r>
      <w:r w:rsidR="003243C6">
        <w:t xml:space="preserve"> and </w:t>
      </w:r>
      <w:r w:rsidR="00EB47E1">
        <w:t>BIC</w:t>
      </w:r>
      <w:r w:rsidR="00F31EAB">
        <w:t xml:space="preserve"> </w:t>
      </w:r>
      <w:r w:rsidR="0021212B">
        <w:t xml:space="preserve">for SoC was log normal and the lowest </w:t>
      </w:r>
      <w:r w:rsidR="0000393D">
        <w:t>AIC and BIC for AXI was logistic.</w:t>
      </w:r>
    </w:p>
    <w:p w14:paraId="22379ACC" w14:textId="648CC208" w:rsidR="003E5B9F" w:rsidRPr="003E5B9F" w:rsidRDefault="00F31EAB" w:rsidP="00246C59">
      <w:pPr>
        <w:pStyle w:val="a-TEXT"/>
      </w:pPr>
      <w:r>
        <w:t>C</w:t>
      </w:r>
      <w:r w:rsidR="003E5B9F" w:rsidRPr="003E5B9F">
        <w:t>ure mixture model</w:t>
      </w:r>
      <w:r>
        <w:t xml:space="preserve">s also </w:t>
      </w:r>
      <w:r w:rsidR="003E5B9F" w:rsidRPr="003E5B9F">
        <w:t>need to be grounded in sound clinical practice, in both arms the proportion of patients experiencing events drops below the cure fraction by 6 months follow up, while some of these patients may later experience a “cure” due to third line treatment it is unlikely that it is at the level that the ADAR has proposed. Unfortunately, it was not possible to determine normal extrapolations from the data</w:t>
      </w:r>
      <w:r w:rsidR="002F778D">
        <w:t>, as only cure f</w:t>
      </w:r>
      <w:r w:rsidR="00C00F5A">
        <w:t>raction extrapolations were provided</w:t>
      </w:r>
      <w:r w:rsidR="003E5B9F" w:rsidRPr="003E5B9F">
        <w:t>.</w:t>
      </w:r>
    </w:p>
    <w:p w14:paraId="08246CB6" w14:textId="0A12B17D" w:rsidR="00DB5D5D" w:rsidRPr="00DB5D5D" w:rsidRDefault="003E5B9F" w:rsidP="00DB5D5D">
      <w:pPr>
        <w:pStyle w:val="NormalBeforeBullet"/>
        <w:rPr>
          <w:rFonts w:ascii="Franklin Gothic Book" w:hAnsi="Franklin Gothic Book"/>
          <w:sz w:val="22"/>
          <w:szCs w:val="22"/>
        </w:rPr>
      </w:pPr>
      <w:r w:rsidRPr="00DB5D5D">
        <w:rPr>
          <w:rFonts w:ascii="Franklin Gothic Book" w:hAnsi="Franklin Gothic Book"/>
          <w:sz w:val="22"/>
          <w:szCs w:val="22"/>
        </w:rPr>
        <w:t>Also of note, using this approach led to the survival curves separating from cycle 38 to 109</w:t>
      </w:r>
      <w:r w:rsidR="00582BB1">
        <w:rPr>
          <w:rFonts w:ascii="Franklin Gothic Book" w:hAnsi="Franklin Gothic Book"/>
          <w:sz w:val="22"/>
          <w:szCs w:val="22"/>
        </w:rPr>
        <w:t>, where</w:t>
      </w:r>
      <w:r w:rsidRPr="00DB5D5D">
        <w:rPr>
          <w:rFonts w:ascii="Franklin Gothic Book" w:hAnsi="Franklin Gothic Book"/>
          <w:sz w:val="22"/>
          <w:szCs w:val="22"/>
        </w:rPr>
        <w:t xml:space="preserve"> the difference between survival expands rather than coming together as would be expected in a survival model, it </w:t>
      </w:r>
      <w:r w:rsidR="000D0D72">
        <w:rPr>
          <w:rFonts w:ascii="Franklin Gothic Book" w:hAnsi="Franklin Gothic Book"/>
          <w:sz w:val="22"/>
          <w:szCs w:val="22"/>
        </w:rPr>
        <w:t>is no</w:t>
      </w:r>
      <w:r w:rsidR="000D0D72" w:rsidRPr="00DB5D5D">
        <w:rPr>
          <w:rFonts w:ascii="Franklin Gothic Book" w:hAnsi="Franklin Gothic Book"/>
          <w:sz w:val="22"/>
          <w:szCs w:val="22"/>
        </w:rPr>
        <w:t xml:space="preserve">t </w:t>
      </w:r>
      <w:r w:rsidRPr="00DB5D5D">
        <w:rPr>
          <w:rFonts w:ascii="Franklin Gothic Book" w:hAnsi="Franklin Gothic Book"/>
          <w:sz w:val="22"/>
          <w:szCs w:val="22"/>
        </w:rPr>
        <w:t>until cycle 153 that the survival curves begin their tapering journey. Therefore, the survival gains in the model increases (the survival curves separate more - rather than just maintained) after the clinical trial data has stopped. This seems improbable and inappropriate.</w:t>
      </w:r>
    </w:p>
    <w:p w14:paraId="37CAFEFA" w14:textId="3FA716DA" w:rsidR="00395922" w:rsidRDefault="00395922" w:rsidP="00395922">
      <w:pPr>
        <w:pStyle w:val="a-subHeading"/>
        <w:rPr>
          <w:lang w:eastAsia="en-US"/>
        </w:rPr>
      </w:pPr>
      <w:r>
        <w:rPr>
          <w:lang w:eastAsia="en-US"/>
        </w:rPr>
        <w:t>Extrapolation of event free survival</w:t>
      </w:r>
    </w:p>
    <w:p w14:paraId="01A48B59" w14:textId="6C2F79F1" w:rsidR="00395922" w:rsidRDefault="00395922" w:rsidP="00246C59">
      <w:pPr>
        <w:pStyle w:val="a-TEXT"/>
        <w:rPr>
          <w:i/>
        </w:rPr>
      </w:pPr>
      <w:r w:rsidRPr="00C34BC0">
        <w:rPr>
          <w:rStyle w:val="a-TEXTChar"/>
        </w:rPr>
        <w:t>The ADAR use</w:t>
      </w:r>
      <w:r w:rsidR="002854AF">
        <w:rPr>
          <w:rStyle w:val="a-TEXTChar"/>
          <w:rFonts w:eastAsia="Calibri"/>
        </w:rPr>
        <w:t>d</w:t>
      </w:r>
      <w:r w:rsidRPr="00C34BC0">
        <w:rPr>
          <w:rStyle w:val="a-TEXTChar"/>
        </w:rPr>
        <w:t xml:space="preserve"> </w:t>
      </w:r>
      <w:r w:rsidR="0009399C">
        <w:rPr>
          <w:rStyle w:val="a-TEXTChar"/>
          <w:rFonts w:eastAsia="Calibri"/>
        </w:rPr>
        <w:t>i</w:t>
      </w:r>
      <w:r w:rsidR="0009399C" w:rsidRPr="0009399C">
        <w:rPr>
          <w:rStyle w:val="a-TEXTChar"/>
          <w:rFonts w:eastAsia="Calibri"/>
        </w:rPr>
        <w:t xml:space="preserve">ndependent standard parametric functions </w:t>
      </w:r>
      <w:r w:rsidRPr="00C34BC0">
        <w:rPr>
          <w:rStyle w:val="a-TEXTChar"/>
        </w:rPr>
        <w:t xml:space="preserve">to extrapolate the </w:t>
      </w:r>
      <w:r w:rsidR="00EA3280">
        <w:rPr>
          <w:rStyle w:val="a-TEXTChar"/>
          <w:rFonts w:eastAsia="Calibri"/>
        </w:rPr>
        <w:t>EFS</w:t>
      </w:r>
      <w:r w:rsidRPr="00C34BC0">
        <w:rPr>
          <w:rStyle w:val="a-TEXTChar"/>
        </w:rPr>
        <w:t xml:space="preserve"> for patients with LBCL in the model</w:t>
      </w:r>
      <w:r w:rsidR="00EA3280">
        <w:t>; f</w:t>
      </w:r>
      <w:r w:rsidR="00EA3280" w:rsidRPr="00EA3280">
        <w:rPr>
          <w:rStyle w:val="a-TEXTChar"/>
          <w:rFonts w:eastAsia="Calibri"/>
        </w:rPr>
        <w:t xml:space="preserve">or both arms, the </w:t>
      </w:r>
      <w:proofErr w:type="spellStart"/>
      <w:r w:rsidR="00EA3280" w:rsidRPr="00EA3280">
        <w:rPr>
          <w:rStyle w:val="a-TEXTChar"/>
          <w:rFonts w:eastAsia="Calibri"/>
        </w:rPr>
        <w:t>Gompertz</w:t>
      </w:r>
      <w:proofErr w:type="spellEnd"/>
      <w:r w:rsidR="00EA3280" w:rsidRPr="00EA3280">
        <w:rPr>
          <w:rStyle w:val="a-TEXTChar"/>
          <w:rFonts w:eastAsia="Calibri"/>
        </w:rPr>
        <w:t xml:space="preserve"> function provided the best fit to the data and was used for extrapolation</w:t>
      </w:r>
      <w:r w:rsidRPr="00C34BC0">
        <w:rPr>
          <w:rStyle w:val="a-TEXTChar"/>
        </w:rPr>
        <w:t xml:space="preserve"> (</w:t>
      </w:r>
      <w:r w:rsidR="00AB0270">
        <w:rPr>
          <w:rStyle w:val="a-TEXTChar"/>
          <w:rFonts w:eastAsia="Calibri"/>
        </w:rPr>
        <w:t>Figure 5</w:t>
      </w:r>
      <w:r w:rsidRPr="00C34BC0">
        <w:rPr>
          <w:rStyle w:val="a-TEXTChar"/>
        </w:rPr>
        <w:t>)</w:t>
      </w:r>
      <w:r>
        <w:rPr>
          <w:i/>
        </w:rPr>
        <w:t xml:space="preserve"> </w:t>
      </w:r>
    </w:p>
    <w:p w14:paraId="5EE65262" w14:textId="77777777" w:rsidR="00407688" w:rsidRDefault="00407688" w:rsidP="00246C59">
      <w:pPr>
        <w:keepNext/>
      </w:pPr>
      <w:r>
        <w:rPr>
          <w:noProof/>
          <w:lang w:eastAsia="en-AU"/>
        </w:rPr>
        <w:drawing>
          <wp:inline distT="0" distB="0" distL="0" distR="0" wp14:anchorId="105D8E8E" wp14:editId="632A1300">
            <wp:extent cx="5420563" cy="2686233"/>
            <wp:effectExtent l="0" t="0" r="8890" b="0"/>
            <wp:docPr id="50" name="Picture 50" descr="Extrapolated event-free survival by treatment as projected by the modelled economic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Extrapolated event-free survival by treatment as projected by the modelled economic analysi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34776" cy="2693276"/>
                    </a:xfrm>
                    <a:prstGeom prst="rect">
                      <a:avLst/>
                    </a:prstGeom>
                    <a:noFill/>
                  </pic:spPr>
                </pic:pic>
              </a:graphicData>
            </a:graphic>
          </wp:inline>
        </w:drawing>
      </w:r>
    </w:p>
    <w:p w14:paraId="454F5ADC" w14:textId="45D90A98" w:rsidR="00407688" w:rsidRDefault="00407688" w:rsidP="00246C59">
      <w:pPr>
        <w:pStyle w:val="Caption"/>
      </w:pPr>
      <w:bookmarkStart w:id="30" w:name="_Ref124361048"/>
      <w:r>
        <w:t>Figure</w:t>
      </w:r>
      <w:bookmarkEnd w:id="30"/>
      <w:r w:rsidR="00AB0270">
        <w:t xml:space="preserve"> 5</w:t>
      </w:r>
      <w:r>
        <w:t xml:space="preserve">: </w:t>
      </w:r>
      <w:r w:rsidRPr="0008102A">
        <w:t xml:space="preserve">Extrapolated event-free survival by treatment as projected by the modelled economic </w:t>
      </w:r>
      <w:proofErr w:type="gramStart"/>
      <w:r w:rsidRPr="0008102A">
        <w:t>analysis</w:t>
      </w:r>
      <w:proofErr w:type="gramEnd"/>
    </w:p>
    <w:p w14:paraId="36D62D22" w14:textId="65833097" w:rsidR="00395922" w:rsidRDefault="00407688" w:rsidP="00246C59">
      <w:pPr>
        <w:pStyle w:val="a-TableFOOTER"/>
      </w:pPr>
      <w:r>
        <w:t xml:space="preserve">Source: </w:t>
      </w:r>
      <w:r w:rsidRPr="00407688">
        <w:t>Figure 3</w:t>
      </w:r>
      <w:r w:rsidR="008750B7">
        <w:t>-</w:t>
      </w:r>
      <w:r w:rsidRPr="00407688">
        <w:t>14</w:t>
      </w:r>
      <w:r w:rsidR="008750B7">
        <w:t>, p82</w:t>
      </w:r>
      <w:r>
        <w:t xml:space="preserve"> of the ADAR</w:t>
      </w:r>
    </w:p>
    <w:p w14:paraId="1E301F07" w14:textId="55D2FD84" w:rsidR="00395922" w:rsidRDefault="00395922" w:rsidP="009F1F40">
      <w:pPr>
        <w:pStyle w:val="a-TEXT"/>
      </w:pPr>
      <w:r w:rsidRPr="00395922">
        <w:lastRenderedPageBreak/>
        <w:t xml:space="preserve">The chosen extrapolations seem appropriate; however, how the extrapolations are applied in the model </w:t>
      </w:r>
      <w:r w:rsidR="00407688">
        <w:t>wa</w:t>
      </w:r>
      <w:r w:rsidRPr="00395922">
        <w:t>s not appropriate. The model states it is using the KM curves up to 24 months and extrapolation after this; however, this is not the case</w:t>
      </w:r>
      <w:r w:rsidR="000D0D72">
        <w:t>;</w:t>
      </w:r>
      <w:r w:rsidRPr="00395922">
        <w:t xml:space="preserve"> there is an error in the model and AXI curves only follow KM curves up to 15 months. This was corrected in the respecified base case and led to an increase in the ICER.</w:t>
      </w:r>
    </w:p>
    <w:p w14:paraId="23A7EC67" w14:textId="1754BAE6" w:rsidR="00407688" w:rsidRPr="003C6884" w:rsidRDefault="00CC5791" w:rsidP="00246C59">
      <w:pPr>
        <w:pStyle w:val="a-subHeading"/>
        <w:rPr>
          <w:iCs/>
        </w:rPr>
      </w:pPr>
      <w:r w:rsidRPr="00CC5791">
        <w:t>Utility weights</w:t>
      </w:r>
    </w:p>
    <w:p w14:paraId="269FAE7E" w14:textId="2EA78895" w:rsidR="006E2F2C" w:rsidRDefault="006504A5" w:rsidP="00DB5D5D">
      <w:pPr>
        <w:pStyle w:val="a-TEXT"/>
      </w:pPr>
      <w:bookmarkStart w:id="31" w:name="_Ref69725870"/>
      <w:r>
        <w:t xml:space="preserve">Quality of life was assessed through the ZUMA-7 trial and the utilities derived from the administration of the </w:t>
      </w:r>
      <w:r w:rsidRPr="00EE344E">
        <w:t>Euro-QOL, 5 dimensions, 5 levels (EQ-5D-5L) i</w:t>
      </w:r>
      <w:r>
        <w:t xml:space="preserve">nstrument </w:t>
      </w:r>
      <w:r w:rsidR="0064163B">
        <w:t xml:space="preserve">were </w:t>
      </w:r>
      <w:r>
        <w:t xml:space="preserve">used to value life-years in the event-free and post-event health states in the model. </w:t>
      </w:r>
      <w:r w:rsidR="00C46F3A">
        <w:t xml:space="preserve">This </w:t>
      </w:r>
      <w:r w:rsidR="00CC5791">
        <w:t xml:space="preserve">would have been </w:t>
      </w:r>
      <w:r w:rsidR="00C46F3A">
        <w:t>an appropriate approach; however</w:t>
      </w:r>
      <w:r w:rsidR="00C46F3A" w:rsidRPr="00C46F3A">
        <w:t xml:space="preserve">, there were some concerns with regards to the validity of the values </w:t>
      </w:r>
      <w:r w:rsidR="00CC5791">
        <w:t>from the trial and other approaches could have been taken</w:t>
      </w:r>
      <w:r w:rsidR="00C46F3A" w:rsidRPr="00C46F3A">
        <w:t xml:space="preserve">. </w:t>
      </w:r>
      <w:r w:rsidR="006E2F2C">
        <w:t xml:space="preserve">There </w:t>
      </w:r>
      <w:r w:rsidR="00CC5791">
        <w:t>were</w:t>
      </w:r>
      <w:r w:rsidR="006E2F2C">
        <w:t xml:space="preserve"> considerable missing </w:t>
      </w:r>
      <w:proofErr w:type="spellStart"/>
      <w:r w:rsidR="006E2F2C">
        <w:t>HRQoL</w:t>
      </w:r>
      <w:proofErr w:type="spellEnd"/>
      <w:r w:rsidR="006E2F2C">
        <w:t xml:space="preserve"> data points, t</w:t>
      </w:r>
      <w:r w:rsidR="00C46F3A" w:rsidRPr="00C46F3A">
        <w:t>he assessment team was unable to independently verify the utility weights applied in the economic analysis</w:t>
      </w:r>
      <w:r w:rsidR="006E2F2C">
        <w:t xml:space="preserve"> and b</w:t>
      </w:r>
      <w:r w:rsidR="00C46F3A" w:rsidRPr="00C46F3A">
        <w:t>ased on the data in the CSR it would be inappropriate to apply the reduced utility for 3 full cycles in the model</w:t>
      </w:r>
      <w:r w:rsidR="00C46F3A">
        <w:t>. Also,</w:t>
      </w:r>
      <w:r w:rsidR="00C46F3A" w:rsidRPr="00C46F3A">
        <w:t xml:space="preserve"> it is unclear whether the Australian value sets were used in the derivation of the </w:t>
      </w:r>
      <w:r w:rsidR="0064163B">
        <w:t>EQ-5D-5</w:t>
      </w:r>
      <w:r w:rsidR="00DF5956">
        <w:t>L</w:t>
      </w:r>
      <w:r w:rsidR="00C46F3A" w:rsidRPr="00C46F3A">
        <w:t>.</w:t>
      </w:r>
    </w:p>
    <w:p w14:paraId="485E4C7A" w14:textId="235577A7" w:rsidR="00C46F3A" w:rsidRDefault="00C46F3A" w:rsidP="00DB5D5D">
      <w:pPr>
        <w:pStyle w:val="a-TEXT"/>
      </w:pPr>
      <w:r w:rsidRPr="00C46F3A">
        <w:t xml:space="preserve">Given the adverse event profile it would seem unlikely that the standard of care arm would have a lower utility than the AXI arm, as adverse event disutility was not applied in the model (due to using trial </w:t>
      </w:r>
      <w:proofErr w:type="spellStart"/>
      <w:r w:rsidRPr="00C46F3A">
        <w:t>HRQoL</w:t>
      </w:r>
      <w:proofErr w:type="spellEnd"/>
      <w:r w:rsidRPr="00C46F3A">
        <w:t xml:space="preserve"> data) this adverse event profile was not </w:t>
      </w:r>
      <w:r w:rsidR="00DF5956">
        <w:t>accounted for</w:t>
      </w:r>
      <w:r w:rsidRPr="00C46F3A">
        <w:t xml:space="preserve"> in the analysis.</w:t>
      </w:r>
    </w:p>
    <w:p w14:paraId="3F07562F" w14:textId="725961D5" w:rsidR="002C1314" w:rsidRDefault="002C1314" w:rsidP="00246C59">
      <w:pPr>
        <w:pStyle w:val="a-subHeading"/>
      </w:pPr>
      <w:r>
        <w:t>Costs</w:t>
      </w:r>
    </w:p>
    <w:p w14:paraId="1E4DC0A9" w14:textId="34663AF0" w:rsidR="002C1314" w:rsidRPr="002C1314" w:rsidRDefault="002C1314" w:rsidP="00DB5D5D">
      <w:pPr>
        <w:pStyle w:val="a-TEXT"/>
      </w:pPr>
      <w:r w:rsidRPr="002C1314">
        <w:t>Overall, the resource items and unit costs have been retrieved from appropriate sources. However, some unit costs which could not be simply derived from publicly available administration and pharmacy costs were derived from existing literature and may underestimate the cost of CAR-T therapy. Also, some of these references were not provided, so the assessment team could not independently examine the method. No jurisdictional data was used to supplement the costs.</w:t>
      </w:r>
    </w:p>
    <w:p w14:paraId="27E4DD0D" w14:textId="26FFA7F9" w:rsidR="002C1314" w:rsidRPr="002C1314" w:rsidRDefault="002C1314" w:rsidP="00DB5D5D">
      <w:pPr>
        <w:pStyle w:val="a-TEXT"/>
      </w:pPr>
      <w:r w:rsidRPr="002C1314">
        <w:t>There is some uncertainty around the cost data provided by the ADAR.  A substantial number of sources are from old studies &gt;10 years old and the costs may not be relevant due to changes in practice. For example, a recent review of Autologous SCT costs in Tasmania (Reeve et al, 2018) put the mean cost of the most expensive approach at $45,213 (with Conditioning regimens included in the price); costed in the model at $79,536 based on a 2009 study. Also, the only 2L SoC included in the model is R-ICE; however, this is likely to have limited overall impact in the economic evaluation. The costs associated with end-of-life care are likely to be higher with the mean costs associated with the last 6months of life in cancer patients being $28,091 in Australia.</w:t>
      </w:r>
      <w:r w:rsidR="00834392">
        <w:t xml:space="preserve"> </w:t>
      </w:r>
      <w:r w:rsidRPr="002C1314">
        <w:t xml:space="preserve">There is also considerable uncertainty around how the 3L setting is applied in the model. The model is based on the subsequent lines of therapy for patients in ZUMA-7. Approximately 56% of the population in ZUMA-7 on standard of care received a CAR T-cell therapy, this is applied in the model. However, the ADAR argues that only about </w:t>
      </w:r>
      <w:r w:rsidR="002610F9" w:rsidRPr="002610F9">
        <w:rPr>
          <w:color w:val="000000"/>
          <w:w w:val="66"/>
          <w:shd w:val="solid" w:color="000000" w:fill="000000"/>
          <w:fitText w:val="440" w:id="-1217620480"/>
          <w14:textFill>
            <w14:solidFill>
              <w14:srgbClr w14:val="000000">
                <w14:alpha w14:val="100000"/>
              </w14:srgbClr>
            </w14:solidFill>
          </w14:textFill>
        </w:rPr>
        <w:t>|||||</w:t>
      </w:r>
      <w:r w:rsidR="002610F9" w:rsidRPr="002610F9">
        <w:rPr>
          <w:color w:val="000000"/>
          <w:spacing w:val="4"/>
          <w:w w:val="66"/>
          <w:shd w:val="solid" w:color="000000" w:fill="000000"/>
          <w:fitText w:val="440" w:id="-1217620480"/>
          <w14:textFill>
            <w14:solidFill>
              <w14:srgbClr w14:val="000000">
                <w14:alpha w14:val="100000"/>
              </w14:srgbClr>
            </w14:solidFill>
          </w14:textFill>
        </w:rPr>
        <w:t>|</w:t>
      </w:r>
      <w:r w:rsidRPr="002C1314">
        <w:t xml:space="preserve"> of 3L patients in Australia receive CAR-T therapy in 3L. The costs associated with standard of care is heavily weighted by this subsequent therapy.</w:t>
      </w:r>
    </w:p>
    <w:p w14:paraId="22FFDC37" w14:textId="714CE985" w:rsidR="0086159D" w:rsidRPr="002C1314" w:rsidRDefault="002C1314" w:rsidP="00DB5D5D">
      <w:pPr>
        <w:pStyle w:val="a-TEXT"/>
      </w:pPr>
      <w:r w:rsidRPr="002C1314">
        <w:t xml:space="preserve">Given the increase in infrastructure and workforce required to increase the surge in demand for CAR-T therapy in 2L it </w:t>
      </w:r>
      <w:r w:rsidR="00B01225">
        <w:t>c</w:t>
      </w:r>
      <w:r w:rsidRPr="002C1314">
        <w:t>ould be appropriate to include upfront costs associated with these in the model and the financial impact.</w:t>
      </w:r>
    </w:p>
    <w:p w14:paraId="05287895" w14:textId="74EC1075" w:rsidR="00E52BE6" w:rsidRPr="00755C93" w:rsidRDefault="002C1314" w:rsidP="00DB5D5D">
      <w:pPr>
        <w:pStyle w:val="a-TEXT"/>
      </w:pPr>
      <w:r w:rsidRPr="002C1314">
        <w:t xml:space="preserve">Subsequent therapies are not </w:t>
      </w:r>
      <w:r w:rsidR="004E39C6">
        <w:t xml:space="preserve">completely </w:t>
      </w:r>
      <w:r w:rsidRPr="002C1314">
        <w:t xml:space="preserve">covered for AXI arm, with only treatment with SCT (both autologous and allogeneic) accounted for in the model; this only accounts for 10% of the patients and </w:t>
      </w:r>
      <w:r w:rsidRPr="00755C93">
        <w:t xml:space="preserve">whereas the CSR reports that an additional 41% received subsequent therapies. </w:t>
      </w:r>
      <w:r w:rsidR="00912154" w:rsidRPr="00755C93">
        <w:t xml:space="preserve">The economic model assumed </w:t>
      </w:r>
      <w:r w:rsidR="00912154" w:rsidRPr="00FA5F37">
        <w:t xml:space="preserve">all other subsequent therapy </w:t>
      </w:r>
      <w:r w:rsidR="007D1898" w:rsidRPr="00FA5F37">
        <w:t>are</w:t>
      </w:r>
      <w:r w:rsidR="00912154" w:rsidRPr="00FA5F37">
        <w:t xml:space="preserve"> salvage </w:t>
      </w:r>
      <w:r w:rsidR="00912154" w:rsidRPr="00E7642A">
        <w:t>chemotherapy</w:t>
      </w:r>
      <w:r w:rsidR="00271F4E" w:rsidRPr="00E7642A">
        <w:t xml:space="preserve">, and </w:t>
      </w:r>
      <w:r w:rsidR="00271F4E" w:rsidRPr="0064222F">
        <w:t xml:space="preserve">other </w:t>
      </w:r>
      <w:r w:rsidR="00271F4E" w:rsidRPr="0064222F">
        <w:lastRenderedPageBreak/>
        <w:t>therapies were not included which could be more expensive than salvage</w:t>
      </w:r>
      <w:r w:rsidR="00124971" w:rsidRPr="0064222F">
        <w:t>, for example</w:t>
      </w:r>
      <w:r w:rsidR="00271F4E" w:rsidRPr="0064222F">
        <w:t xml:space="preserve">. </w:t>
      </w:r>
      <w:r w:rsidR="00124971" w:rsidRPr="0064222F">
        <w:t>b</w:t>
      </w:r>
      <w:r w:rsidR="00271F4E" w:rsidRPr="0064222F">
        <w:t xml:space="preserve">rentuximab, </w:t>
      </w:r>
      <w:r w:rsidR="00124971" w:rsidRPr="0064222F">
        <w:t>n</w:t>
      </w:r>
      <w:r w:rsidR="00271F4E" w:rsidRPr="0064222F">
        <w:t xml:space="preserve">ivolumab, </w:t>
      </w:r>
      <w:proofErr w:type="spellStart"/>
      <w:r w:rsidR="00124971" w:rsidRPr="007E3508">
        <w:t>o</w:t>
      </w:r>
      <w:r w:rsidR="00271F4E" w:rsidRPr="007E3508">
        <w:t>binutuz</w:t>
      </w:r>
      <w:r w:rsidR="006766E9" w:rsidRPr="007E3508">
        <w:t>u</w:t>
      </w:r>
      <w:r w:rsidR="00271F4E" w:rsidRPr="007E3508">
        <w:t>mab</w:t>
      </w:r>
      <w:proofErr w:type="spellEnd"/>
      <w:r w:rsidR="00271F4E" w:rsidRPr="007E3508">
        <w:t>,</w:t>
      </w:r>
      <w:r w:rsidR="00271F4E" w:rsidRPr="0064222F">
        <w:t xml:space="preserve"> pembrolizumab, </w:t>
      </w:r>
      <w:r w:rsidR="00124971" w:rsidRPr="0064222F">
        <w:t xml:space="preserve">or </w:t>
      </w:r>
      <w:proofErr w:type="spellStart"/>
      <w:r w:rsidR="00271F4E" w:rsidRPr="0064222F">
        <w:t>polatuzumab</w:t>
      </w:r>
      <w:proofErr w:type="spellEnd"/>
      <w:r w:rsidR="00271F4E" w:rsidRPr="0064222F">
        <w:t>.</w:t>
      </w:r>
      <w:r w:rsidR="00912154" w:rsidRPr="00755C93">
        <w:t xml:space="preserve"> </w:t>
      </w:r>
      <w:r w:rsidRPr="00755C93">
        <w:t>This favours AXI.</w:t>
      </w:r>
    </w:p>
    <w:p w14:paraId="215C10C2" w14:textId="46C851B4" w:rsidR="002C1314" w:rsidRDefault="002C1314" w:rsidP="00DB5D5D">
      <w:pPr>
        <w:pStyle w:val="a-TEXT"/>
      </w:pPr>
      <w:r w:rsidRPr="00755C93">
        <w:t xml:space="preserve">Costs of adverse events have not been incorporated into the model. This was based on the ADARs assumption that there was noninferior safety between the two treatments. </w:t>
      </w:r>
      <w:r w:rsidR="005074EA" w:rsidRPr="0064222F">
        <w:t>While the ADAR did include length of stay and per day hospital costs, the per day costs were based on the “weighted average per diem cost for admissions related to lymphoma and non-acute leukaemia”</w:t>
      </w:r>
      <w:r w:rsidR="00285E10" w:rsidRPr="0064222F">
        <w:t>.</w:t>
      </w:r>
      <w:r w:rsidR="005074EA" w:rsidRPr="0064222F">
        <w:t xml:space="preserve"> </w:t>
      </w:r>
      <w:r w:rsidR="00285E10" w:rsidRPr="0064222F">
        <w:t>T</w:t>
      </w:r>
      <w:r w:rsidR="005074EA" w:rsidRPr="0064222F">
        <w:t>his cost is based on the average cost regardless of treatment regimen. Therefore, the cost of differential treatment (between AXI and SoC) required to deal with adverse events was not included in the economic model.  </w:t>
      </w:r>
      <w:r w:rsidRPr="002C1314">
        <w:t>This was not appropriate and favours AXI.</w:t>
      </w:r>
    </w:p>
    <w:p w14:paraId="15B4A00E" w14:textId="553109F2" w:rsidR="00A5658C" w:rsidRDefault="00A5658C" w:rsidP="00246C59">
      <w:pPr>
        <w:pStyle w:val="a-subHeading"/>
      </w:pPr>
      <w:r>
        <w:t>Adverse events</w:t>
      </w:r>
    </w:p>
    <w:p w14:paraId="085DEC1C" w14:textId="16ED856F" w:rsidR="00A5658C" w:rsidRDefault="00A5658C" w:rsidP="00DB5D5D">
      <w:pPr>
        <w:pStyle w:val="a-TEXT"/>
      </w:pPr>
      <w:r>
        <w:t xml:space="preserve">As the ADAR considered that </w:t>
      </w:r>
      <w:r w:rsidR="00C01F3F">
        <w:t xml:space="preserve">AXI was non inferior in terms of adverse events compared to SoC they did not include </w:t>
      </w:r>
      <w:proofErr w:type="spellStart"/>
      <w:r w:rsidR="00C01F3F">
        <w:t>disutilities</w:t>
      </w:r>
      <w:proofErr w:type="spellEnd"/>
      <w:r w:rsidR="00C01F3F">
        <w:t xml:space="preserve"> or costs associated with adverse events. As demonstrated above, AXI is inferior in terms of safety to SoC and these </w:t>
      </w:r>
      <w:proofErr w:type="spellStart"/>
      <w:r w:rsidR="00C01F3F">
        <w:t>disutilities</w:t>
      </w:r>
      <w:proofErr w:type="spellEnd"/>
      <w:r w:rsidR="00C01F3F">
        <w:t xml:space="preserve"> and costs should be incorporated into the model.</w:t>
      </w:r>
    </w:p>
    <w:p w14:paraId="3EC60A1E" w14:textId="18FB9319" w:rsidR="00CC5791" w:rsidRDefault="00CC5791" w:rsidP="00CC5791">
      <w:pPr>
        <w:pStyle w:val="a-subHeading"/>
      </w:pPr>
      <w:r w:rsidRPr="00CC5791">
        <w:t>Results of the economic evaluation</w:t>
      </w:r>
    </w:p>
    <w:p w14:paraId="4102E45C" w14:textId="3F9496F1" w:rsidR="00A10624" w:rsidRDefault="00A10624" w:rsidP="00246C59">
      <w:pPr>
        <w:pStyle w:val="a-TEXT"/>
      </w:pPr>
      <w:r>
        <w:t>The ADAR results are presented in Table 7.</w:t>
      </w:r>
    </w:p>
    <w:p w14:paraId="326AD758" w14:textId="7F0406FB" w:rsidR="00CC5791" w:rsidRDefault="00CC5791" w:rsidP="00246C59">
      <w:pPr>
        <w:pStyle w:val="a-TEXT"/>
      </w:pPr>
      <w:r w:rsidRPr="00CC5791">
        <w:t xml:space="preserve">During evaluation the base case was </w:t>
      </w:r>
      <w:r w:rsidR="00285E10">
        <w:t>respecified</w:t>
      </w:r>
      <w:r w:rsidR="00285E10" w:rsidRPr="00CC5791">
        <w:t xml:space="preserve"> </w:t>
      </w:r>
      <w:r w:rsidRPr="00CC5791">
        <w:t>to rectify an error in the event free survival calculation; correct the discount rate from 3.5% to 5%</w:t>
      </w:r>
      <w:r w:rsidR="00285E10">
        <w:t>;</w:t>
      </w:r>
      <w:r w:rsidRPr="00CC5791">
        <w:t xml:space="preserve"> reduce the time horizon to 30 years</w:t>
      </w:r>
      <w:r w:rsidR="00A10624">
        <w:t xml:space="preserve"> (Table 8)</w:t>
      </w:r>
      <w:r>
        <w:t>.</w:t>
      </w:r>
    </w:p>
    <w:p w14:paraId="3650A475" w14:textId="2BA5E9EE" w:rsidR="00FC5603" w:rsidRPr="00683B19" w:rsidRDefault="00FC5603" w:rsidP="00E20E63">
      <w:pPr>
        <w:pStyle w:val="aTableHeading"/>
      </w:pPr>
      <w:r w:rsidRPr="00BB2BFF">
        <w:t>Table</w:t>
      </w:r>
      <w:r w:rsidR="004A4FDF" w:rsidRPr="00BB2BFF">
        <w:t> </w:t>
      </w:r>
      <w:bookmarkEnd w:id="31"/>
      <w:r w:rsidR="0099116E">
        <w:t>7</w:t>
      </w:r>
      <w:r w:rsidRPr="00BB2BFF">
        <w:t xml:space="preserve"> </w:t>
      </w:r>
      <w:r w:rsidRPr="00BB2BFF">
        <w:tab/>
      </w:r>
      <w:r w:rsidR="00E31E6A" w:rsidRPr="00BB2BFF">
        <w:t>Results of the economic evaluation base case</w:t>
      </w:r>
      <w:r w:rsidR="003E6AFD">
        <w:t xml:space="preserve"> presented in the ADAR</w:t>
      </w:r>
      <w:r w:rsidR="004916A1">
        <w:t xml:space="preserve"> (</w:t>
      </w:r>
      <w:r w:rsidR="003D56A7">
        <w:t xml:space="preserve">i.e., discount rate of 3.5%, time horizon of 40 years and an error identified in the EFS modelling) </w:t>
      </w:r>
    </w:p>
    <w:tbl>
      <w:tblPr>
        <w:tblStyle w:val="TableGrid1"/>
        <w:tblW w:w="5000" w:type="pct"/>
        <w:tblInd w:w="-5" w:type="dxa"/>
        <w:tblLayout w:type="fixed"/>
        <w:tblCellMar>
          <w:top w:w="28" w:type="dxa"/>
          <w:left w:w="28" w:type="dxa"/>
          <w:bottom w:w="28" w:type="dxa"/>
          <w:right w:w="28" w:type="dxa"/>
        </w:tblCellMar>
        <w:tblLook w:val="04A0" w:firstRow="1" w:lastRow="0" w:firstColumn="1" w:lastColumn="0" w:noHBand="0" w:noVBand="1"/>
        <w:tblCaption w:val="Results of the stepped economic analyses"/>
      </w:tblPr>
      <w:tblGrid>
        <w:gridCol w:w="2995"/>
        <w:gridCol w:w="1504"/>
        <w:gridCol w:w="1506"/>
        <w:gridCol w:w="1504"/>
        <w:gridCol w:w="1507"/>
      </w:tblGrid>
      <w:tr w:rsidR="00DC4049" w:rsidRPr="00CE28E3" w14:paraId="74A67C2B" w14:textId="77777777" w:rsidTr="001B2130">
        <w:trPr>
          <w:cnfStyle w:val="100000000000" w:firstRow="1" w:lastRow="0" w:firstColumn="0" w:lastColumn="0" w:oddVBand="0" w:evenVBand="0" w:oddHBand="0" w:evenHBand="0" w:firstRowFirstColumn="0" w:firstRowLastColumn="0" w:lastRowFirstColumn="0" w:lastRowLastColumn="0"/>
          <w:cantSplit/>
          <w:trHeight w:val="226"/>
          <w:tblHeader/>
        </w:trPr>
        <w:tc>
          <w:tcPr>
            <w:tcW w:w="1661" w:type="pct"/>
            <w:shd w:val="clear" w:color="auto" w:fill="auto"/>
            <w:noWrap/>
            <w:vAlign w:val="center"/>
            <w:hideMark/>
          </w:tcPr>
          <w:p w14:paraId="69924570" w14:textId="4A3FE106" w:rsidR="00E201C1" w:rsidRPr="00CE28E3" w:rsidRDefault="00E201C1" w:rsidP="006B6D7C">
            <w:pPr>
              <w:pStyle w:val="TableHeading"/>
              <w:spacing w:before="0" w:after="0"/>
            </w:pPr>
            <w:bookmarkStart w:id="32" w:name="Title_Table6"/>
            <w:bookmarkStart w:id="33" w:name="_Hlk68276518"/>
            <w:bookmarkEnd w:id="32"/>
            <w:r>
              <w:t>Step</w:t>
            </w:r>
          </w:p>
        </w:tc>
        <w:tc>
          <w:tcPr>
            <w:tcW w:w="834" w:type="pct"/>
            <w:shd w:val="clear" w:color="auto" w:fill="auto"/>
            <w:noWrap/>
            <w:vAlign w:val="center"/>
            <w:hideMark/>
          </w:tcPr>
          <w:p w14:paraId="2B7EDBFD" w14:textId="0B5740CB" w:rsidR="00E201C1" w:rsidRPr="00CE28E3" w:rsidRDefault="00226D5B" w:rsidP="006B6D7C">
            <w:pPr>
              <w:pStyle w:val="TableHeading"/>
              <w:spacing w:before="0" w:after="0"/>
            </w:pPr>
            <w:r>
              <w:rPr>
                <w:rFonts w:cs="Calibri"/>
                <w:color w:val="000000"/>
                <w:szCs w:val="20"/>
              </w:rPr>
              <w:t>AXI</w:t>
            </w:r>
            <w:r w:rsidR="00E201C1" w:rsidRPr="00E201C1">
              <w:rPr>
                <w:rFonts w:cs="Calibri"/>
                <w:color w:val="000000"/>
                <w:szCs w:val="20"/>
              </w:rPr>
              <w:t xml:space="preserve"> in 2L setting</w:t>
            </w:r>
          </w:p>
        </w:tc>
        <w:tc>
          <w:tcPr>
            <w:tcW w:w="835" w:type="pct"/>
            <w:shd w:val="clear" w:color="auto" w:fill="auto"/>
            <w:noWrap/>
            <w:vAlign w:val="center"/>
            <w:hideMark/>
          </w:tcPr>
          <w:p w14:paraId="3CCA4DE1" w14:textId="7737CCCB" w:rsidR="00E201C1" w:rsidRPr="00CE28E3" w:rsidRDefault="00E201C1" w:rsidP="006B6D7C">
            <w:pPr>
              <w:pStyle w:val="TableHeading"/>
              <w:spacing w:before="0" w:after="0"/>
            </w:pPr>
            <w:r>
              <w:t>SoC</w:t>
            </w:r>
          </w:p>
        </w:tc>
        <w:tc>
          <w:tcPr>
            <w:tcW w:w="834" w:type="pct"/>
            <w:shd w:val="clear" w:color="auto" w:fill="auto"/>
            <w:noWrap/>
            <w:vAlign w:val="center"/>
            <w:hideMark/>
          </w:tcPr>
          <w:p w14:paraId="381A89D4" w14:textId="77777777" w:rsidR="00E201C1" w:rsidRPr="00CE28E3" w:rsidRDefault="00E201C1" w:rsidP="006B6D7C">
            <w:pPr>
              <w:pStyle w:val="TableHeading"/>
              <w:spacing w:before="0" w:after="0"/>
            </w:pPr>
            <w:r w:rsidRPr="009E23EC">
              <w:t>Increment</w:t>
            </w:r>
          </w:p>
        </w:tc>
        <w:tc>
          <w:tcPr>
            <w:tcW w:w="836" w:type="pct"/>
            <w:shd w:val="clear" w:color="auto" w:fill="auto"/>
            <w:vAlign w:val="center"/>
          </w:tcPr>
          <w:p w14:paraId="6D2662BA" w14:textId="77777777" w:rsidR="00E201C1" w:rsidRPr="00CE28E3" w:rsidRDefault="00E201C1" w:rsidP="006B6D7C">
            <w:pPr>
              <w:pStyle w:val="TableHeading"/>
              <w:spacing w:before="0" w:after="0"/>
            </w:pPr>
            <w:r w:rsidRPr="00CE28E3">
              <w:t>ICER</w:t>
            </w:r>
          </w:p>
        </w:tc>
      </w:tr>
      <w:tr w:rsidR="00AF6743" w:rsidRPr="00CE28E3" w14:paraId="483238A6" w14:textId="77777777" w:rsidTr="001B2130">
        <w:trPr>
          <w:cnfStyle w:val="100000000000" w:firstRow="1" w:lastRow="0" w:firstColumn="0" w:lastColumn="0" w:oddVBand="0" w:evenVBand="0" w:oddHBand="0" w:evenHBand="0" w:firstRowFirstColumn="0" w:firstRowLastColumn="0" w:lastRowFirstColumn="0" w:lastRowLastColumn="0"/>
          <w:cantSplit/>
          <w:trHeight w:val="226"/>
          <w:tblHeader/>
        </w:trPr>
        <w:tc>
          <w:tcPr>
            <w:tcW w:w="5000" w:type="pct"/>
            <w:gridSpan w:val="5"/>
            <w:shd w:val="clear" w:color="auto" w:fill="FFFFFF" w:themeFill="background1"/>
            <w:noWrap/>
            <w:vAlign w:val="center"/>
          </w:tcPr>
          <w:p w14:paraId="08D0AAB9" w14:textId="32B34D7F" w:rsidR="00AF6743" w:rsidRPr="00CE28E3" w:rsidRDefault="00AF6743" w:rsidP="006B6D7C">
            <w:pPr>
              <w:pStyle w:val="TableHeading"/>
              <w:spacing w:after="0"/>
            </w:pPr>
            <w:r w:rsidRPr="00AF6743">
              <w:t>ADAR Base case</w:t>
            </w:r>
          </w:p>
        </w:tc>
      </w:tr>
      <w:tr w:rsidR="00E201C1" w:rsidRPr="00CE28E3" w14:paraId="6313908E" w14:textId="77777777" w:rsidTr="001B2130">
        <w:trPr>
          <w:cantSplit/>
          <w:trHeight w:val="226"/>
        </w:trPr>
        <w:tc>
          <w:tcPr>
            <w:tcW w:w="1661" w:type="pct"/>
            <w:tcBorders>
              <w:bottom w:val="nil"/>
            </w:tcBorders>
            <w:noWrap/>
          </w:tcPr>
          <w:p w14:paraId="2A959CB8" w14:textId="77777777" w:rsidR="00E201C1" w:rsidRPr="00CE28E3" w:rsidRDefault="00E201C1" w:rsidP="006B6D7C">
            <w:pPr>
              <w:pStyle w:val="Tabletext0"/>
              <w:keepNext/>
              <w:spacing w:before="0" w:after="0"/>
            </w:pPr>
            <w:r>
              <w:t>Costs</w:t>
            </w:r>
          </w:p>
        </w:tc>
        <w:tc>
          <w:tcPr>
            <w:tcW w:w="834" w:type="pct"/>
            <w:tcBorders>
              <w:bottom w:val="nil"/>
            </w:tcBorders>
            <w:noWrap/>
          </w:tcPr>
          <w:p w14:paraId="48AA093F" w14:textId="1997598C" w:rsidR="00E201C1" w:rsidRPr="00CE28E3" w:rsidRDefault="000808F0" w:rsidP="006B6D7C">
            <w:pPr>
              <w:pStyle w:val="Tabletext0"/>
              <w:keepNext/>
              <w:spacing w:before="0" w:after="0"/>
              <w:jc w:val="right"/>
            </w:pPr>
            <w:r w:rsidRPr="007E3508">
              <w:t>$</w:t>
            </w:r>
            <w:r w:rsidR="002610F9" w:rsidRPr="002610F9">
              <w:rPr>
                <w:color w:val="000000"/>
                <w:shd w:val="solid" w:color="000000" w:fill="000000"/>
                <w14:textFill>
                  <w14:solidFill>
                    <w14:srgbClr w14:val="000000">
                      <w14:alpha w14:val="100000"/>
                    </w14:srgbClr>
                  </w14:solidFill>
                </w14:textFill>
              </w:rPr>
              <w:t>|</w:t>
            </w:r>
          </w:p>
        </w:tc>
        <w:tc>
          <w:tcPr>
            <w:tcW w:w="835" w:type="pct"/>
            <w:tcBorders>
              <w:bottom w:val="nil"/>
            </w:tcBorders>
            <w:noWrap/>
          </w:tcPr>
          <w:p w14:paraId="3E319DE3" w14:textId="0C2B3E8D" w:rsidR="00E201C1" w:rsidRPr="00CE28E3" w:rsidRDefault="0024583B" w:rsidP="006B6D7C">
            <w:pPr>
              <w:pStyle w:val="Tabletext0"/>
              <w:keepNext/>
              <w:spacing w:before="0" w:after="0"/>
              <w:jc w:val="right"/>
            </w:pPr>
            <w:r w:rsidRPr="007E3508">
              <w:t>$</w:t>
            </w:r>
            <w:r w:rsidR="002610F9" w:rsidRPr="002610F9">
              <w:rPr>
                <w:color w:val="000000"/>
                <w:shd w:val="solid" w:color="000000" w:fill="000000"/>
                <w14:textFill>
                  <w14:solidFill>
                    <w14:srgbClr w14:val="000000">
                      <w14:alpha w14:val="100000"/>
                    </w14:srgbClr>
                  </w14:solidFill>
                </w14:textFill>
              </w:rPr>
              <w:t>|</w:t>
            </w:r>
          </w:p>
        </w:tc>
        <w:tc>
          <w:tcPr>
            <w:tcW w:w="834" w:type="pct"/>
            <w:tcBorders>
              <w:bottom w:val="nil"/>
            </w:tcBorders>
            <w:noWrap/>
          </w:tcPr>
          <w:p w14:paraId="1082EBCE" w14:textId="684471CE" w:rsidR="00E201C1" w:rsidRPr="00CE28E3" w:rsidRDefault="00392D58" w:rsidP="006B6D7C">
            <w:pPr>
              <w:pStyle w:val="Tabletext0"/>
              <w:keepNext/>
              <w:spacing w:before="0" w:after="0"/>
              <w:jc w:val="right"/>
            </w:pPr>
            <w:r w:rsidRPr="007E3508">
              <w:t>$</w:t>
            </w:r>
            <w:r w:rsidR="002610F9" w:rsidRPr="002610F9">
              <w:rPr>
                <w:color w:val="000000"/>
                <w:shd w:val="solid" w:color="000000" w:fill="000000"/>
                <w14:textFill>
                  <w14:solidFill>
                    <w14:srgbClr w14:val="000000">
                      <w14:alpha w14:val="100000"/>
                    </w14:srgbClr>
                  </w14:solidFill>
                </w14:textFill>
              </w:rPr>
              <w:t>|</w:t>
            </w:r>
          </w:p>
        </w:tc>
        <w:tc>
          <w:tcPr>
            <w:tcW w:w="836" w:type="pct"/>
            <w:tcBorders>
              <w:bottom w:val="nil"/>
            </w:tcBorders>
          </w:tcPr>
          <w:p w14:paraId="099CE540" w14:textId="77777777" w:rsidR="00E201C1" w:rsidRPr="00CE28E3" w:rsidRDefault="00E201C1" w:rsidP="006B6D7C">
            <w:pPr>
              <w:pStyle w:val="Tabletext0"/>
              <w:keepNext/>
              <w:spacing w:before="0" w:after="0"/>
              <w:jc w:val="right"/>
            </w:pPr>
          </w:p>
        </w:tc>
      </w:tr>
      <w:tr w:rsidR="00E201C1" w:rsidRPr="00CE28E3" w14:paraId="74A5D67F" w14:textId="77777777" w:rsidTr="001B2130">
        <w:trPr>
          <w:cantSplit/>
          <w:trHeight w:val="47"/>
        </w:trPr>
        <w:tc>
          <w:tcPr>
            <w:tcW w:w="1661" w:type="pct"/>
            <w:tcBorders>
              <w:top w:val="nil"/>
            </w:tcBorders>
            <w:noWrap/>
          </w:tcPr>
          <w:p w14:paraId="009D7C4B" w14:textId="7E469769" w:rsidR="00E201C1" w:rsidRDefault="0087044D" w:rsidP="006B6D7C">
            <w:pPr>
              <w:pStyle w:val="Tabletext0"/>
              <w:keepNext/>
              <w:spacing w:before="0" w:after="0"/>
            </w:pPr>
            <w:r>
              <w:t>QALY</w:t>
            </w:r>
          </w:p>
        </w:tc>
        <w:tc>
          <w:tcPr>
            <w:tcW w:w="834" w:type="pct"/>
            <w:tcBorders>
              <w:top w:val="nil"/>
            </w:tcBorders>
            <w:noWrap/>
          </w:tcPr>
          <w:p w14:paraId="34B60185" w14:textId="3A6673DD" w:rsidR="00E201C1" w:rsidRPr="00CE28E3" w:rsidRDefault="0082324D" w:rsidP="006B6D7C">
            <w:pPr>
              <w:pStyle w:val="Tabletext0"/>
              <w:keepNext/>
              <w:spacing w:before="0" w:after="0"/>
              <w:jc w:val="right"/>
            </w:pPr>
            <w:r w:rsidRPr="0082324D">
              <w:t>7.494</w:t>
            </w:r>
          </w:p>
        </w:tc>
        <w:tc>
          <w:tcPr>
            <w:tcW w:w="835" w:type="pct"/>
            <w:tcBorders>
              <w:top w:val="nil"/>
            </w:tcBorders>
            <w:noWrap/>
          </w:tcPr>
          <w:p w14:paraId="45650E9A" w14:textId="1859905A" w:rsidR="00E201C1" w:rsidRPr="00CE28E3" w:rsidRDefault="007B6E0C" w:rsidP="006B6D7C">
            <w:pPr>
              <w:pStyle w:val="Tabletext0"/>
              <w:keepNext/>
              <w:spacing w:before="0" w:after="0"/>
              <w:jc w:val="right"/>
            </w:pPr>
            <w:r w:rsidRPr="007B6E0C">
              <w:t>6.201</w:t>
            </w:r>
          </w:p>
        </w:tc>
        <w:tc>
          <w:tcPr>
            <w:tcW w:w="834" w:type="pct"/>
            <w:tcBorders>
              <w:top w:val="nil"/>
            </w:tcBorders>
            <w:noWrap/>
          </w:tcPr>
          <w:p w14:paraId="50EE13A2" w14:textId="721737E5" w:rsidR="00E201C1" w:rsidRPr="00CE28E3" w:rsidRDefault="0091771A" w:rsidP="006B6D7C">
            <w:pPr>
              <w:pStyle w:val="Tabletext0"/>
              <w:keepNext/>
              <w:spacing w:before="0" w:after="0"/>
              <w:jc w:val="right"/>
            </w:pPr>
            <w:r>
              <w:t>1.</w:t>
            </w:r>
            <w:r w:rsidR="00B43505">
              <w:t>294</w:t>
            </w:r>
          </w:p>
        </w:tc>
        <w:tc>
          <w:tcPr>
            <w:tcW w:w="836" w:type="pct"/>
            <w:tcBorders>
              <w:top w:val="nil"/>
            </w:tcBorders>
          </w:tcPr>
          <w:p w14:paraId="5873FC60" w14:textId="0F155E02" w:rsidR="00E201C1" w:rsidRPr="00CE28E3" w:rsidRDefault="008D4876" w:rsidP="006B6D7C">
            <w:pPr>
              <w:pStyle w:val="Tabletext0"/>
              <w:keepNext/>
              <w:spacing w:before="0" w:after="0"/>
              <w:jc w:val="right"/>
            </w:pPr>
            <w:r w:rsidRPr="007E3508">
              <w:t>$</w:t>
            </w:r>
            <w:r w:rsidR="002610F9" w:rsidRPr="002610F9">
              <w:rPr>
                <w:color w:val="000000"/>
                <w:shd w:val="solid" w:color="000000" w:fill="000000"/>
                <w14:textFill>
                  <w14:solidFill>
                    <w14:srgbClr w14:val="000000">
                      <w14:alpha w14:val="100000"/>
                    </w14:srgbClr>
                  </w14:solidFill>
                </w14:textFill>
              </w:rPr>
              <w:t>|</w:t>
            </w:r>
          </w:p>
        </w:tc>
      </w:tr>
    </w:tbl>
    <w:p w14:paraId="746EE3DD" w14:textId="422C8301" w:rsidR="00FC5603" w:rsidRDefault="005A6FC0" w:rsidP="006B6D7C">
      <w:pPr>
        <w:pStyle w:val="TableFigureFooter"/>
        <w:keepNext/>
        <w:spacing w:after="120"/>
      </w:pPr>
      <w:r>
        <w:rPr>
          <w:rFonts w:eastAsia="Calibri"/>
          <w:szCs w:val="20"/>
        </w:rPr>
        <w:t xml:space="preserve">Abbreviations: </w:t>
      </w:r>
      <w:r w:rsidR="00601A73">
        <w:rPr>
          <w:rFonts w:eastAsia="Calibri"/>
          <w:szCs w:val="20"/>
        </w:rPr>
        <w:t>2L=</w:t>
      </w:r>
      <w:proofErr w:type="gramStart"/>
      <w:r w:rsidR="00601A73">
        <w:rPr>
          <w:rFonts w:eastAsia="Calibri"/>
          <w:szCs w:val="20"/>
        </w:rPr>
        <w:t>second-line</w:t>
      </w:r>
      <w:proofErr w:type="gramEnd"/>
      <w:r w:rsidR="00601A73">
        <w:rPr>
          <w:rFonts w:eastAsia="Calibri"/>
          <w:szCs w:val="20"/>
        </w:rPr>
        <w:t xml:space="preserve">; </w:t>
      </w:r>
      <w:r w:rsidR="00FC5603" w:rsidRPr="00CE28E3">
        <w:t>ICER incremental cost-effectiveness ratio; QALY=quality-adjusted life year</w:t>
      </w:r>
      <w:bookmarkEnd w:id="33"/>
      <w:r w:rsidR="00601A73">
        <w:t>; SoC=standard of care</w:t>
      </w:r>
    </w:p>
    <w:p w14:paraId="13F995F6" w14:textId="597BD651" w:rsidR="00BC6167" w:rsidRDefault="00BC6167" w:rsidP="00BC6167">
      <w:pPr>
        <w:pStyle w:val="Caption"/>
      </w:pPr>
      <w:r>
        <w:t xml:space="preserve">Table </w:t>
      </w:r>
      <w:r w:rsidR="0099116E">
        <w:t>8</w:t>
      </w:r>
      <w:r>
        <w:t xml:space="preserve"> </w:t>
      </w:r>
      <w:r w:rsidRPr="007F2A10">
        <w:t>Results of the economic evaluation using the respecified base case</w:t>
      </w:r>
      <w:r w:rsidR="00770B52">
        <w:t xml:space="preserve"> presented in the commentary</w:t>
      </w:r>
      <w:r w:rsidR="0070319C">
        <w:t xml:space="preserve"> (discount </w:t>
      </w:r>
      <w:r w:rsidR="00D72020">
        <w:t>rate 5%</w:t>
      </w:r>
      <w:r w:rsidR="003D56A7">
        <w:t xml:space="preserve">, time horizon of 30 years and correction to the EFS modelling error) </w:t>
      </w:r>
    </w:p>
    <w:tbl>
      <w:tblPr>
        <w:tblStyle w:val="TableGrid1"/>
        <w:tblW w:w="9067" w:type="dxa"/>
        <w:tblLayout w:type="fixed"/>
        <w:tblCellMar>
          <w:top w:w="28" w:type="dxa"/>
          <w:left w:w="57" w:type="dxa"/>
          <w:bottom w:w="28" w:type="dxa"/>
          <w:right w:w="28" w:type="dxa"/>
        </w:tblCellMar>
        <w:tblLook w:val="04A0" w:firstRow="1" w:lastRow="0" w:firstColumn="1" w:lastColumn="0" w:noHBand="0" w:noVBand="1"/>
      </w:tblPr>
      <w:tblGrid>
        <w:gridCol w:w="4248"/>
        <w:gridCol w:w="1606"/>
        <w:gridCol w:w="1654"/>
        <w:gridCol w:w="1559"/>
      </w:tblGrid>
      <w:tr w:rsidR="007606B3" w:rsidRPr="00246C59" w14:paraId="6547E88E" w14:textId="77777777" w:rsidTr="001B2130">
        <w:trPr>
          <w:cnfStyle w:val="100000000000" w:firstRow="1" w:lastRow="0" w:firstColumn="0" w:lastColumn="0" w:oddVBand="0" w:evenVBand="0" w:oddHBand="0" w:evenHBand="0" w:firstRowFirstColumn="0" w:firstRowLastColumn="0" w:lastRowFirstColumn="0" w:lastRowLastColumn="0"/>
          <w:trHeight w:val="29"/>
        </w:trPr>
        <w:tc>
          <w:tcPr>
            <w:tcW w:w="4248" w:type="dxa"/>
            <w:shd w:val="clear" w:color="auto" w:fill="auto"/>
            <w:noWrap/>
            <w:vAlign w:val="center"/>
            <w:hideMark/>
          </w:tcPr>
          <w:p w14:paraId="1F5416A2" w14:textId="77777777" w:rsidR="007606B3" w:rsidRPr="006C56F3" w:rsidRDefault="007606B3" w:rsidP="007606B3">
            <w:pPr>
              <w:pStyle w:val="Tabletext0"/>
              <w:spacing w:before="0" w:after="0"/>
              <w:jc w:val="left"/>
            </w:pPr>
          </w:p>
        </w:tc>
        <w:tc>
          <w:tcPr>
            <w:tcW w:w="1606" w:type="dxa"/>
            <w:shd w:val="clear" w:color="auto" w:fill="auto"/>
            <w:vAlign w:val="center"/>
          </w:tcPr>
          <w:p w14:paraId="77F4F999" w14:textId="6A2CE66F" w:rsidR="007606B3" w:rsidRPr="006C56F3" w:rsidRDefault="00226D5B" w:rsidP="007606B3">
            <w:pPr>
              <w:pStyle w:val="Tabletext0"/>
              <w:spacing w:before="0" w:after="0"/>
              <w:jc w:val="left"/>
              <w:rPr>
                <w:b/>
                <w:bCs/>
              </w:rPr>
            </w:pPr>
            <w:r w:rsidRPr="006C56F3">
              <w:rPr>
                <w:rFonts w:cs="Calibri"/>
                <w:b/>
                <w:bCs/>
                <w:color w:val="000000"/>
              </w:rPr>
              <w:t>AXI</w:t>
            </w:r>
            <w:r w:rsidR="007606B3" w:rsidRPr="006C56F3">
              <w:rPr>
                <w:rFonts w:cs="Calibri"/>
                <w:b/>
                <w:bCs/>
                <w:color w:val="000000"/>
              </w:rPr>
              <w:t xml:space="preserve"> in 2L setting arm</w:t>
            </w:r>
          </w:p>
        </w:tc>
        <w:tc>
          <w:tcPr>
            <w:tcW w:w="1654" w:type="dxa"/>
            <w:shd w:val="clear" w:color="auto" w:fill="auto"/>
            <w:vAlign w:val="center"/>
          </w:tcPr>
          <w:p w14:paraId="0C185DFE" w14:textId="77777777" w:rsidR="007606B3" w:rsidRPr="006C56F3" w:rsidRDefault="007606B3" w:rsidP="007606B3">
            <w:pPr>
              <w:pStyle w:val="Tabletext0"/>
              <w:spacing w:before="0" w:after="0"/>
              <w:jc w:val="left"/>
              <w:rPr>
                <w:b/>
                <w:bCs/>
              </w:rPr>
            </w:pPr>
            <w:r w:rsidRPr="006C56F3">
              <w:rPr>
                <w:b/>
                <w:bCs/>
              </w:rPr>
              <w:t>SoC arm</w:t>
            </w:r>
          </w:p>
        </w:tc>
        <w:tc>
          <w:tcPr>
            <w:tcW w:w="1559" w:type="dxa"/>
            <w:shd w:val="clear" w:color="auto" w:fill="auto"/>
            <w:vAlign w:val="center"/>
          </w:tcPr>
          <w:p w14:paraId="1DDA930C" w14:textId="77777777" w:rsidR="007606B3" w:rsidRPr="006C56F3" w:rsidRDefault="007606B3" w:rsidP="007606B3">
            <w:pPr>
              <w:pStyle w:val="Tabletext0"/>
              <w:spacing w:before="0" w:after="0"/>
              <w:jc w:val="left"/>
              <w:rPr>
                <w:b/>
                <w:bCs/>
              </w:rPr>
            </w:pPr>
            <w:r w:rsidRPr="006C56F3">
              <w:rPr>
                <w:b/>
                <w:bCs/>
              </w:rPr>
              <w:t>Increment</w:t>
            </w:r>
          </w:p>
        </w:tc>
      </w:tr>
      <w:tr w:rsidR="00F02594" w:rsidRPr="00246C59" w14:paraId="2B15D3F9" w14:textId="77777777" w:rsidTr="00246C59">
        <w:trPr>
          <w:trHeight w:val="29"/>
        </w:trPr>
        <w:tc>
          <w:tcPr>
            <w:tcW w:w="4248" w:type="dxa"/>
            <w:shd w:val="clear" w:color="auto" w:fill="F2F2F2" w:themeFill="background1" w:themeFillShade="F2"/>
            <w:noWrap/>
          </w:tcPr>
          <w:p w14:paraId="12B18E71" w14:textId="57911746" w:rsidR="00F02594" w:rsidRPr="006C56F3" w:rsidRDefault="00F02594" w:rsidP="00F02594">
            <w:pPr>
              <w:pStyle w:val="Tabletext0"/>
              <w:spacing w:before="0" w:after="0"/>
              <w:jc w:val="left"/>
              <w:rPr>
                <w:b/>
                <w:bCs/>
              </w:rPr>
            </w:pPr>
            <w:r w:rsidRPr="006C56F3">
              <w:rPr>
                <w:b/>
                <w:bCs/>
              </w:rPr>
              <w:t xml:space="preserve">Discounted costs over </w:t>
            </w:r>
            <w:r w:rsidR="00BA1120">
              <w:rPr>
                <w:b/>
                <w:bCs/>
              </w:rPr>
              <w:t>3</w:t>
            </w:r>
            <w:r w:rsidRPr="006C56F3">
              <w:rPr>
                <w:b/>
                <w:bCs/>
              </w:rPr>
              <w:t>0 years</w:t>
            </w:r>
          </w:p>
        </w:tc>
        <w:tc>
          <w:tcPr>
            <w:tcW w:w="1606" w:type="dxa"/>
            <w:shd w:val="clear" w:color="auto" w:fill="F2F2F2" w:themeFill="background1" w:themeFillShade="F2"/>
          </w:tcPr>
          <w:p w14:paraId="40B24C62" w14:textId="77777777" w:rsidR="00F02594" w:rsidRPr="006C56F3" w:rsidRDefault="00F02594" w:rsidP="00F02594">
            <w:pPr>
              <w:pStyle w:val="Tabletext0"/>
              <w:spacing w:before="0" w:after="0"/>
              <w:jc w:val="left"/>
            </w:pPr>
          </w:p>
        </w:tc>
        <w:tc>
          <w:tcPr>
            <w:tcW w:w="1654" w:type="dxa"/>
            <w:shd w:val="clear" w:color="auto" w:fill="F2F2F2" w:themeFill="background1" w:themeFillShade="F2"/>
          </w:tcPr>
          <w:p w14:paraId="13292272" w14:textId="77777777" w:rsidR="00F02594" w:rsidRPr="006C56F3" w:rsidRDefault="00F02594" w:rsidP="00F02594">
            <w:pPr>
              <w:pStyle w:val="Tabletext0"/>
              <w:spacing w:before="0" w:after="0"/>
              <w:jc w:val="left"/>
            </w:pPr>
          </w:p>
        </w:tc>
        <w:tc>
          <w:tcPr>
            <w:tcW w:w="1559" w:type="dxa"/>
            <w:shd w:val="clear" w:color="auto" w:fill="F2F2F2" w:themeFill="background1" w:themeFillShade="F2"/>
          </w:tcPr>
          <w:p w14:paraId="2C1B36E6" w14:textId="77777777" w:rsidR="00F02594" w:rsidRPr="006C56F3" w:rsidRDefault="00F02594" w:rsidP="00F02594">
            <w:pPr>
              <w:pStyle w:val="Tabletext0"/>
              <w:spacing w:before="0" w:after="0"/>
              <w:jc w:val="left"/>
            </w:pPr>
          </w:p>
        </w:tc>
      </w:tr>
      <w:tr w:rsidR="00463B41" w:rsidRPr="00246C59" w14:paraId="243183A5" w14:textId="77777777" w:rsidTr="00246C59">
        <w:trPr>
          <w:trHeight w:val="29"/>
        </w:trPr>
        <w:tc>
          <w:tcPr>
            <w:tcW w:w="4248" w:type="dxa"/>
            <w:shd w:val="clear" w:color="auto" w:fill="auto"/>
            <w:noWrap/>
          </w:tcPr>
          <w:p w14:paraId="7F71B6B1" w14:textId="77777777" w:rsidR="00463B41" w:rsidRPr="006C56F3" w:rsidRDefault="00463B41" w:rsidP="00463B41">
            <w:pPr>
              <w:pStyle w:val="Tabletext0"/>
              <w:spacing w:before="0" w:after="0"/>
              <w:ind w:left="373"/>
              <w:jc w:val="left"/>
            </w:pPr>
            <w:r w:rsidRPr="006C56F3">
              <w:t>Costs of second-line treatment</w:t>
            </w:r>
          </w:p>
        </w:tc>
        <w:tc>
          <w:tcPr>
            <w:tcW w:w="1606" w:type="dxa"/>
            <w:shd w:val="clear" w:color="auto" w:fill="auto"/>
            <w:vAlign w:val="bottom"/>
          </w:tcPr>
          <w:p w14:paraId="487AB031" w14:textId="567C5A1B" w:rsidR="00463B41" w:rsidRPr="00FA1F5D" w:rsidRDefault="00463B41" w:rsidP="00463B41">
            <w:pPr>
              <w:pStyle w:val="Tabletext0"/>
              <w:spacing w:before="0" w:after="0"/>
              <w:jc w:val="left"/>
              <w:rPr>
                <w:highlight w:val="yellow"/>
              </w:rPr>
            </w:pPr>
            <w:r w:rsidRPr="007E3508">
              <w:rPr>
                <w:rFonts w:cs="Calibri"/>
                <w:color w:val="000000"/>
              </w:rPr>
              <w:t>$</w:t>
            </w:r>
            <w:r w:rsidR="002610F9" w:rsidRPr="002610F9">
              <w:rPr>
                <w:rFonts w:cs="Calibri"/>
                <w:color w:val="000000"/>
                <w:spacing w:val="53"/>
                <w:shd w:val="solid" w:color="000000" w:fill="000000"/>
                <w:fitText w:val="330" w:id="-1217620479"/>
                <w14:textFill>
                  <w14:solidFill>
                    <w14:srgbClr w14:val="000000">
                      <w14:alpha w14:val="100000"/>
                    </w14:srgbClr>
                  </w14:solidFill>
                </w14:textFill>
              </w:rPr>
              <w:t>|||</w:t>
            </w:r>
            <w:r w:rsidR="002610F9" w:rsidRPr="002610F9">
              <w:rPr>
                <w:rFonts w:cs="Calibri"/>
                <w:color w:val="000000"/>
                <w:spacing w:val="1"/>
                <w:shd w:val="solid" w:color="000000" w:fill="000000"/>
                <w:fitText w:val="330" w:id="-1217620479"/>
                <w14:textFill>
                  <w14:solidFill>
                    <w14:srgbClr w14:val="000000">
                      <w14:alpha w14:val="100000"/>
                    </w14:srgbClr>
                  </w14:solidFill>
                </w14:textFill>
              </w:rPr>
              <w:t>|</w:t>
            </w:r>
          </w:p>
        </w:tc>
        <w:tc>
          <w:tcPr>
            <w:tcW w:w="1654" w:type="dxa"/>
            <w:shd w:val="clear" w:color="auto" w:fill="auto"/>
            <w:vAlign w:val="bottom"/>
          </w:tcPr>
          <w:p w14:paraId="25C62670" w14:textId="6A2890B5" w:rsidR="00463B41" w:rsidRPr="00FA1F5D" w:rsidRDefault="00463B41" w:rsidP="00463B41">
            <w:pPr>
              <w:pStyle w:val="Tabletext0"/>
              <w:spacing w:before="0" w:after="0"/>
              <w:jc w:val="left"/>
              <w:rPr>
                <w:highlight w:val="yellow"/>
              </w:rPr>
            </w:pPr>
            <w:r w:rsidRPr="007E3508">
              <w:rPr>
                <w:rFonts w:cs="Calibri"/>
                <w:color w:val="000000"/>
              </w:rPr>
              <w:t>$</w:t>
            </w:r>
            <w:r w:rsidR="002610F9" w:rsidRPr="002610F9">
              <w:rPr>
                <w:rFonts w:cs="Calibri"/>
                <w:color w:val="000000"/>
                <w:spacing w:val="53"/>
                <w:shd w:val="solid" w:color="000000" w:fill="000000"/>
                <w:fitText w:val="330" w:id="-1217620478"/>
                <w14:textFill>
                  <w14:solidFill>
                    <w14:srgbClr w14:val="000000">
                      <w14:alpha w14:val="100000"/>
                    </w14:srgbClr>
                  </w14:solidFill>
                </w14:textFill>
              </w:rPr>
              <w:t>|||</w:t>
            </w:r>
            <w:r w:rsidR="002610F9" w:rsidRPr="002610F9">
              <w:rPr>
                <w:rFonts w:cs="Calibri"/>
                <w:color w:val="000000"/>
                <w:spacing w:val="1"/>
                <w:shd w:val="solid" w:color="000000" w:fill="000000"/>
                <w:fitText w:val="330" w:id="-1217620478"/>
                <w14:textFill>
                  <w14:solidFill>
                    <w14:srgbClr w14:val="000000">
                      <w14:alpha w14:val="100000"/>
                    </w14:srgbClr>
                  </w14:solidFill>
                </w14:textFill>
              </w:rPr>
              <w:t>|</w:t>
            </w:r>
          </w:p>
        </w:tc>
        <w:tc>
          <w:tcPr>
            <w:tcW w:w="1559" w:type="dxa"/>
            <w:shd w:val="clear" w:color="auto" w:fill="auto"/>
            <w:vAlign w:val="bottom"/>
          </w:tcPr>
          <w:p w14:paraId="3DBD59F9" w14:textId="5E5C6469" w:rsidR="00463B41" w:rsidRPr="00FA1F5D" w:rsidRDefault="00463B41" w:rsidP="00463B41">
            <w:pPr>
              <w:pStyle w:val="Tabletext0"/>
              <w:spacing w:before="0" w:after="0"/>
              <w:jc w:val="left"/>
              <w:rPr>
                <w:highlight w:val="yellow"/>
              </w:rPr>
            </w:pPr>
            <w:r w:rsidRPr="007E3508">
              <w:rPr>
                <w:rFonts w:cs="Calibri"/>
                <w:color w:val="000000"/>
              </w:rPr>
              <w:t>$</w:t>
            </w:r>
            <w:r w:rsidR="002610F9" w:rsidRPr="00D14DA0">
              <w:rPr>
                <w:rFonts w:cs="Calibri"/>
                <w:color w:val="000000"/>
                <w:spacing w:val="53"/>
                <w:shd w:val="solid" w:color="000000" w:fill="000000"/>
                <w:fitText w:val="330" w:id="-1217620477"/>
                <w14:textFill>
                  <w14:solidFill>
                    <w14:srgbClr w14:val="000000">
                      <w14:alpha w14:val="100000"/>
                    </w14:srgbClr>
                  </w14:solidFill>
                </w14:textFill>
              </w:rPr>
              <w:t>|||</w:t>
            </w:r>
            <w:r w:rsidR="002610F9" w:rsidRPr="00D14DA0">
              <w:rPr>
                <w:rFonts w:cs="Calibri"/>
                <w:color w:val="000000"/>
                <w:spacing w:val="1"/>
                <w:shd w:val="solid" w:color="000000" w:fill="000000"/>
                <w:fitText w:val="330" w:id="-1217620477"/>
                <w14:textFill>
                  <w14:solidFill>
                    <w14:srgbClr w14:val="000000">
                      <w14:alpha w14:val="100000"/>
                    </w14:srgbClr>
                  </w14:solidFill>
                </w14:textFill>
              </w:rPr>
              <w:t>|</w:t>
            </w:r>
          </w:p>
        </w:tc>
      </w:tr>
      <w:tr w:rsidR="00463B41" w:rsidRPr="00246C59" w14:paraId="717DC703" w14:textId="77777777" w:rsidTr="00246C59">
        <w:trPr>
          <w:trHeight w:val="29"/>
        </w:trPr>
        <w:tc>
          <w:tcPr>
            <w:tcW w:w="4248" w:type="dxa"/>
            <w:shd w:val="clear" w:color="auto" w:fill="auto"/>
            <w:noWrap/>
          </w:tcPr>
          <w:p w14:paraId="1A9410C8" w14:textId="77777777" w:rsidR="00463B41" w:rsidRPr="006C56F3" w:rsidRDefault="00463B41" w:rsidP="00463B41">
            <w:pPr>
              <w:pStyle w:val="Tabletext0"/>
              <w:spacing w:before="0" w:after="0"/>
              <w:ind w:left="373"/>
              <w:jc w:val="left"/>
            </w:pPr>
            <w:r w:rsidRPr="006C56F3">
              <w:t>Cost of post-event treatment</w:t>
            </w:r>
          </w:p>
        </w:tc>
        <w:tc>
          <w:tcPr>
            <w:tcW w:w="1606" w:type="dxa"/>
            <w:shd w:val="clear" w:color="auto" w:fill="auto"/>
            <w:vAlign w:val="bottom"/>
          </w:tcPr>
          <w:p w14:paraId="3D549934" w14:textId="401EAEED" w:rsidR="00463B41" w:rsidRPr="00FA1F5D" w:rsidRDefault="00463B41" w:rsidP="00463B41">
            <w:pPr>
              <w:pStyle w:val="Tabletext0"/>
              <w:spacing w:before="0" w:after="0"/>
              <w:jc w:val="left"/>
              <w:rPr>
                <w:highlight w:val="yellow"/>
              </w:rPr>
            </w:pPr>
            <w:r w:rsidRPr="007E3508">
              <w:rPr>
                <w:rFonts w:cs="Calibri"/>
                <w:color w:val="000000"/>
              </w:rPr>
              <w:t>$</w:t>
            </w:r>
            <w:r w:rsidR="002610F9" w:rsidRPr="002610F9">
              <w:rPr>
                <w:rFonts w:cs="Calibri"/>
                <w:color w:val="000000"/>
                <w:spacing w:val="53"/>
                <w:shd w:val="solid" w:color="000000" w:fill="000000"/>
                <w:fitText w:val="330" w:id="-1217620476"/>
                <w14:textFill>
                  <w14:solidFill>
                    <w14:srgbClr w14:val="000000">
                      <w14:alpha w14:val="100000"/>
                    </w14:srgbClr>
                  </w14:solidFill>
                </w14:textFill>
              </w:rPr>
              <w:t>|||</w:t>
            </w:r>
            <w:r w:rsidR="002610F9" w:rsidRPr="002610F9">
              <w:rPr>
                <w:rFonts w:cs="Calibri"/>
                <w:color w:val="000000"/>
                <w:spacing w:val="1"/>
                <w:shd w:val="solid" w:color="000000" w:fill="000000"/>
                <w:fitText w:val="330" w:id="-1217620476"/>
                <w14:textFill>
                  <w14:solidFill>
                    <w14:srgbClr w14:val="000000">
                      <w14:alpha w14:val="100000"/>
                    </w14:srgbClr>
                  </w14:solidFill>
                </w14:textFill>
              </w:rPr>
              <w:t>|</w:t>
            </w:r>
          </w:p>
        </w:tc>
        <w:tc>
          <w:tcPr>
            <w:tcW w:w="1654" w:type="dxa"/>
            <w:shd w:val="clear" w:color="auto" w:fill="auto"/>
            <w:vAlign w:val="bottom"/>
          </w:tcPr>
          <w:p w14:paraId="718643D8" w14:textId="396347EF" w:rsidR="00463B41" w:rsidRPr="00FA1F5D" w:rsidRDefault="00463B41" w:rsidP="00463B41">
            <w:pPr>
              <w:pStyle w:val="Tabletext0"/>
              <w:spacing w:before="0" w:after="0"/>
              <w:jc w:val="left"/>
              <w:rPr>
                <w:highlight w:val="yellow"/>
              </w:rPr>
            </w:pPr>
            <w:r w:rsidRPr="007E3508">
              <w:rPr>
                <w:rFonts w:cs="Calibri"/>
                <w:color w:val="000000"/>
              </w:rPr>
              <w:t>$</w:t>
            </w:r>
            <w:r w:rsidR="002610F9" w:rsidRPr="002610F9">
              <w:rPr>
                <w:rFonts w:cs="Calibri"/>
                <w:color w:val="000000"/>
                <w:spacing w:val="53"/>
                <w:shd w:val="solid" w:color="000000" w:fill="000000"/>
                <w:fitText w:val="330" w:id="-1217620475"/>
                <w14:textFill>
                  <w14:solidFill>
                    <w14:srgbClr w14:val="000000">
                      <w14:alpha w14:val="100000"/>
                    </w14:srgbClr>
                  </w14:solidFill>
                </w14:textFill>
              </w:rPr>
              <w:t>|||</w:t>
            </w:r>
            <w:r w:rsidR="002610F9" w:rsidRPr="002610F9">
              <w:rPr>
                <w:rFonts w:cs="Calibri"/>
                <w:color w:val="000000"/>
                <w:spacing w:val="1"/>
                <w:shd w:val="solid" w:color="000000" w:fill="000000"/>
                <w:fitText w:val="330" w:id="-1217620475"/>
                <w14:textFill>
                  <w14:solidFill>
                    <w14:srgbClr w14:val="000000">
                      <w14:alpha w14:val="100000"/>
                    </w14:srgbClr>
                  </w14:solidFill>
                </w14:textFill>
              </w:rPr>
              <w:t>|</w:t>
            </w:r>
          </w:p>
        </w:tc>
        <w:tc>
          <w:tcPr>
            <w:tcW w:w="1559" w:type="dxa"/>
            <w:shd w:val="clear" w:color="auto" w:fill="auto"/>
            <w:vAlign w:val="bottom"/>
          </w:tcPr>
          <w:p w14:paraId="46E59B25" w14:textId="3B5E0A63" w:rsidR="00463B41" w:rsidRPr="00FA1F5D" w:rsidRDefault="00463B41" w:rsidP="00463B41">
            <w:pPr>
              <w:pStyle w:val="Tabletext0"/>
              <w:spacing w:before="0" w:after="0"/>
              <w:jc w:val="left"/>
              <w:rPr>
                <w:highlight w:val="yellow"/>
              </w:rPr>
            </w:pPr>
            <w:r w:rsidRPr="00D14DA0">
              <w:rPr>
                <w:rFonts w:cs="Calibri"/>
              </w:rPr>
              <w:t>$</w:t>
            </w:r>
            <w:r w:rsidR="002610F9" w:rsidRPr="002610F9">
              <w:rPr>
                <w:rFonts w:cs="Calibri"/>
                <w:color w:val="FF0000"/>
                <w:spacing w:val="53"/>
                <w:shd w:val="solid" w:color="000000" w:fill="000000"/>
                <w:fitText w:val="330" w:id="-1217620474"/>
                <w14:textFill>
                  <w14:solidFill>
                    <w14:srgbClr w14:val="FF0000">
                      <w14:alpha w14:val="100000"/>
                    </w14:srgbClr>
                  </w14:solidFill>
                </w14:textFill>
              </w:rPr>
              <w:t>|||</w:t>
            </w:r>
            <w:r w:rsidR="002610F9" w:rsidRPr="002610F9">
              <w:rPr>
                <w:rFonts w:cs="Calibri"/>
                <w:color w:val="FF0000"/>
                <w:spacing w:val="1"/>
                <w:shd w:val="solid" w:color="000000" w:fill="000000"/>
                <w:fitText w:val="330" w:id="-1217620474"/>
                <w14:textFill>
                  <w14:solidFill>
                    <w14:srgbClr w14:val="FF0000">
                      <w14:alpha w14:val="100000"/>
                    </w14:srgbClr>
                  </w14:solidFill>
                </w14:textFill>
              </w:rPr>
              <w:t>|</w:t>
            </w:r>
          </w:p>
        </w:tc>
      </w:tr>
      <w:tr w:rsidR="00463B41" w:rsidRPr="00246C59" w14:paraId="45A5DEA2" w14:textId="77777777" w:rsidTr="00246C59">
        <w:trPr>
          <w:trHeight w:val="29"/>
        </w:trPr>
        <w:tc>
          <w:tcPr>
            <w:tcW w:w="4248" w:type="dxa"/>
            <w:shd w:val="clear" w:color="auto" w:fill="auto"/>
            <w:noWrap/>
          </w:tcPr>
          <w:p w14:paraId="01489F80" w14:textId="77777777" w:rsidR="00463B41" w:rsidRPr="006C56F3" w:rsidRDefault="00463B41" w:rsidP="00463B41">
            <w:pPr>
              <w:pStyle w:val="Tabletext0"/>
              <w:spacing w:before="0" w:after="0"/>
              <w:ind w:left="373"/>
              <w:jc w:val="left"/>
            </w:pPr>
            <w:r w:rsidRPr="006C56F3">
              <w:t>Costs of palliation</w:t>
            </w:r>
          </w:p>
        </w:tc>
        <w:tc>
          <w:tcPr>
            <w:tcW w:w="1606" w:type="dxa"/>
            <w:shd w:val="clear" w:color="auto" w:fill="auto"/>
            <w:vAlign w:val="bottom"/>
          </w:tcPr>
          <w:p w14:paraId="5A1BAA12" w14:textId="7377CD2A" w:rsidR="00463B41" w:rsidRPr="00FA1F5D" w:rsidRDefault="00463B41" w:rsidP="00463B41">
            <w:pPr>
              <w:pStyle w:val="Tabletext0"/>
              <w:spacing w:before="0" w:after="0"/>
              <w:jc w:val="left"/>
              <w:rPr>
                <w:highlight w:val="yellow"/>
              </w:rPr>
            </w:pPr>
            <w:r w:rsidRPr="002F3CF8">
              <w:rPr>
                <w:rFonts w:cs="Calibri"/>
                <w:color w:val="000000"/>
              </w:rPr>
              <w:t>$</w:t>
            </w:r>
            <w:r w:rsidR="002610F9" w:rsidRPr="00D14DA0">
              <w:rPr>
                <w:rFonts w:cs="Calibri"/>
                <w:color w:val="000000"/>
                <w:spacing w:val="53"/>
                <w:shd w:val="solid" w:color="000000" w:fill="000000"/>
                <w:fitText w:val="330" w:id="-1217620473"/>
                <w14:textFill>
                  <w14:solidFill>
                    <w14:srgbClr w14:val="000000">
                      <w14:alpha w14:val="100000"/>
                    </w14:srgbClr>
                  </w14:solidFill>
                </w14:textFill>
              </w:rPr>
              <w:t>|||</w:t>
            </w:r>
            <w:r w:rsidR="002610F9" w:rsidRPr="00D14DA0">
              <w:rPr>
                <w:rFonts w:cs="Calibri"/>
                <w:color w:val="000000"/>
                <w:spacing w:val="1"/>
                <w:shd w:val="solid" w:color="000000" w:fill="000000"/>
                <w:fitText w:val="330" w:id="-1217620473"/>
                <w14:textFill>
                  <w14:solidFill>
                    <w14:srgbClr w14:val="000000">
                      <w14:alpha w14:val="100000"/>
                    </w14:srgbClr>
                  </w14:solidFill>
                </w14:textFill>
              </w:rPr>
              <w:t>|</w:t>
            </w:r>
          </w:p>
        </w:tc>
        <w:tc>
          <w:tcPr>
            <w:tcW w:w="1654" w:type="dxa"/>
            <w:shd w:val="clear" w:color="auto" w:fill="auto"/>
            <w:vAlign w:val="bottom"/>
          </w:tcPr>
          <w:p w14:paraId="725853B2" w14:textId="484C0EA4" w:rsidR="00463B41" w:rsidRPr="00FA1F5D" w:rsidRDefault="00463B41" w:rsidP="00463B41">
            <w:pPr>
              <w:pStyle w:val="Tabletext0"/>
              <w:spacing w:before="0" w:after="0"/>
              <w:jc w:val="left"/>
              <w:rPr>
                <w:highlight w:val="yellow"/>
              </w:rPr>
            </w:pPr>
            <w:r w:rsidRPr="002F3CF8">
              <w:rPr>
                <w:rFonts w:cs="Calibri"/>
                <w:color w:val="000000"/>
              </w:rPr>
              <w:t>$</w:t>
            </w:r>
            <w:r w:rsidR="002610F9" w:rsidRPr="002610F9">
              <w:rPr>
                <w:rFonts w:cs="Calibri"/>
                <w:color w:val="000000"/>
                <w:spacing w:val="53"/>
                <w:shd w:val="solid" w:color="000000" w:fill="000000"/>
                <w:fitText w:val="330" w:id="-1217620472"/>
                <w14:textFill>
                  <w14:solidFill>
                    <w14:srgbClr w14:val="000000">
                      <w14:alpha w14:val="100000"/>
                    </w14:srgbClr>
                  </w14:solidFill>
                </w14:textFill>
              </w:rPr>
              <w:t>|||</w:t>
            </w:r>
            <w:r w:rsidR="002610F9" w:rsidRPr="002610F9">
              <w:rPr>
                <w:rFonts w:cs="Calibri"/>
                <w:color w:val="000000"/>
                <w:spacing w:val="1"/>
                <w:shd w:val="solid" w:color="000000" w:fill="000000"/>
                <w:fitText w:val="330" w:id="-1217620472"/>
                <w14:textFill>
                  <w14:solidFill>
                    <w14:srgbClr w14:val="000000">
                      <w14:alpha w14:val="100000"/>
                    </w14:srgbClr>
                  </w14:solidFill>
                </w14:textFill>
              </w:rPr>
              <w:t>|</w:t>
            </w:r>
          </w:p>
        </w:tc>
        <w:tc>
          <w:tcPr>
            <w:tcW w:w="1559" w:type="dxa"/>
            <w:shd w:val="clear" w:color="auto" w:fill="auto"/>
            <w:vAlign w:val="bottom"/>
          </w:tcPr>
          <w:p w14:paraId="418FD331" w14:textId="53D17B95" w:rsidR="00463B41" w:rsidRPr="00FA1F5D" w:rsidRDefault="00463B41" w:rsidP="00463B41">
            <w:pPr>
              <w:pStyle w:val="Tabletext0"/>
              <w:spacing w:before="0" w:after="0"/>
              <w:jc w:val="left"/>
              <w:rPr>
                <w:highlight w:val="yellow"/>
              </w:rPr>
            </w:pPr>
            <w:r w:rsidRPr="00D14DA0">
              <w:rPr>
                <w:rFonts w:cs="Calibri"/>
              </w:rPr>
              <w:t>$</w:t>
            </w:r>
            <w:r w:rsidR="002610F9" w:rsidRPr="002610F9">
              <w:rPr>
                <w:rFonts w:cs="Calibri"/>
                <w:color w:val="FF0000"/>
                <w:spacing w:val="53"/>
                <w:shd w:val="solid" w:color="000000" w:fill="000000"/>
                <w:fitText w:val="330" w:id="-1217620471"/>
                <w14:textFill>
                  <w14:solidFill>
                    <w14:srgbClr w14:val="FF0000">
                      <w14:alpha w14:val="100000"/>
                    </w14:srgbClr>
                  </w14:solidFill>
                </w14:textFill>
              </w:rPr>
              <w:t>|||</w:t>
            </w:r>
            <w:r w:rsidR="002610F9" w:rsidRPr="002610F9">
              <w:rPr>
                <w:rFonts w:cs="Calibri"/>
                <w:color w:val="FF0000"/>
                <w:spacing w:val="1"/>
                <w:shd w:val="solid" w:color="000000" w:fill="000000"/>
                <w:fitText w:val="330" w:id="-1217620471"/>
                <w14:textFill>
                  <w14:solidFill>
                    <w14:srgbClr w14:val="FF0000">
                      <w14:alpha w14:val="100000"/>
                    </w14:srgbClr>
                  </w14:solidFill>
                </w14:textFill>
              </w:rPr>
              <w:t>|</w:t>
            </w:r>
          </w:p>
        </w:tc>
      </w:tr>
      <w:tr w:rsidR="00463B41" w:rsidRPr="00246C59" w14:paraId="266ADD5A" w14:textId="77777777" w:rsidTr="00246C59">
        <w:trPr>
          <w:trHeight w:val="29"/>
        </w:trPr>
        <w:tc>
          <w:tcPr>
            <w:tcW w:w="4248" w:type="dxa"/>
            <w:shd w:val="clear" w:color="auto" w:fill="auto"/>
            <w:noWrap/>
            <w:vAlign w:val="center"/>
            <w:hideMark/>
          </w:tcPr>
          <w:p w14:paraId="075AD2E8" w14:textId="50BC2BA2" w:rsidR="00463B41" w:rsidRPr="006C56F3" w:rsidRDefault="00463B41" w:rsidP="00463B41">
            <w:pPr>
              <w:pStyle w:val="Tabletext0"/>
              <w:spacing w:before="0" w:after="0"/>
              <w:ind w:left="373"/>
              <w:jc w:val="left"/>
              <w:rPr>
                <w:b/>
                <w:bCs/>
              </w:rPr>
            </w:pPr>
            <w:r w:rsidRPr="006C56F3">
              <w:rPr>
                <w:b/>
                <w:bCs/>
              </w:rPr>
              <w:t xml:space="preserve">Costs over a </w:t>
            </w:r>
            <w:r w:rsidR="00BA1120">
              <w:rPr>
                <w:b/>
                <w:bCs/>
              </w:rPr>
              <w:t>3</w:t>
            </w:r>
            <w:r w:rsidRPr="006C56F3">
              <w:rPr>
                <w:b/>
                <w:bCs/>
              </w:rPr>
              <w:t>0-year time horizon (discounted)</w:t>
            </w:r>
          </w:p>
        </w:tc>
        <w:tc>
          <w:tcPr>
            <w:tcW w:w="1606" w:type="dxa"/>
            <w:shd w:val="clear" w:color="auto" w:fill="auto"/>
            <w:vAlign w:val="bottom"/>
          </w:tcPr>
          <w:p w14:paraId="4259D0E5" w14:textId="68014BF5" w:rsidR="00463B41" w:rsidRPr="00FA1F5D" w:rsidRDefault="00463B41" w:rsidP="00463B41">
            <w:pPr>
              <w:pStyle w:val="Tabletext0"/>
              <w:spacing w:before="0" w:after="0"/>
              <w:jc w:val="left"/>
              <w:rPr>
                <w:highlight w:val="yellow"/>
              </w:rPr>
            </w:pPr>
            <w:r w:rsidRPr="002F3CF8">
              <w:rPr>
                <w:rFonts w:cs="Calibri"/>
                <w:color w:val="000000"/>
              </w:rPr>
              <w:t>$</w:t>
            </w:r>
            <w:r w:rsidR="002610F9" w:rsidRPr="002610F9">
              <w:rPr>
                <w:rFonts w:cs="Calibri"/>
                <w:color w:val="000000"/>
                <w:spacing w:val="53"/>
                <w:shd w:val="solid" w:color="000000" w:fill="000000"/>
                <w:fitText w:val="330" w:id="-1217620470"/>
                <w14:textFill>
                  <w14:solidFill>
                    <w14:srgbClr w14:val="000000">
                      <w14:alpha w14:val="100000"/>
                    </w14:srgbClr>
                  </w14:solidFill>
                </w14:textFill>
              </w:rPr>
              <w:t>|||</w:t>
            </w:r>
            <w:r w:rsidR="002610F9" w:rsidRPr="002610F9">
              <w:rPr>
                <w:rFonts w:cs="Calibri"/>
                <w:color w:val="000000"/>
                <w:spacing w:val="1"/>
                <w:shd w:val="solid" w:color="000000" w:fill="000000"/>
                <w:fitText w:val="330" w:id="-1217620470"/>
                <w14:textFill>
                  <w14:solidFill>
                    <w14:srgbClr w14:val="000000">
                      <w14:alpha w14:val="100000"/>
                    </w14:srgbClr>
                  </w14:solidFill>
                </w14:textFill>
              </w:rPr>
              <w:t>|</w:t>
            </w:r>
          </w:p>
        </w:tc>
        <w:tc>
          <w:tcPr>
            <w:tcW w:w="1654" w:type="dxa"/>
            <w:shd w:val="clear" w:color="auto" w:fill="auto"/>
            <w:vAlign w:val="bottom"/>
          </w:tcPr>
          <w:p w14:paraId="0AAFA707" w14:textId="4A73D207" w:rsidR="00463B41" w:rsidRPr="00FA1F5D" w:rsidRDefault="00463B41" w:rsidP="00463B41">
            <w:pPr>
              <w:pStyle w:val="Tabletext0"/>
              <w:spacing w:before="0" w:after="0"/>
              <w:jc w:val="left"/>
              <w:rPr>
                <w:highlight w:val="yellow"/>
              </w:rPr>
            </w:pPr>
            <w:r w:rsidRPr="002F3CF8">
              <w:rPr>
                <w:rFonts w:cs="Calibri"/>
                <w:color w:val="000000"/>
              </w:rPr>
              <w:t>$</w:t>
            </w:r>
            <w:r w:rsidR="002610F9" w:rsidRPr="002610F9">
              <w:rPr>
                <w:rFonts w:cs="Calibri"/>
                <w:color w:val="000000"/>
                <w:spacing w:val="53"/>
                <w:shd w:val="solid" w:color="000000" w:fill="000000"/>
                <w:fitText w:val="330" w:id="-1217620469"/>
                <w14:textFill>
                  <w14:solidFill>
                    <w14:srgbClr w14:val="000000">
                      <w14:alpha w14:val="100000"/>
                    </w14:srgbClr>
                  </w14:solidFill>
                </w14:textFill>
              </w:rPr>
              <w:t>|||</w:t>
            </w:r>
            <w:r w:rsidR="002610F9" w:rsidRPr="002610F9">
              <w:rPr>
                <w:rFonts w:cs="Calibri"/>
                <w:color w:val="000000"/>
                <w:spacing w:val="1"/>
                <w:shd w:val="solid" w:color="000000" w:fill="000000"/>
                <w:fitText w:val="330" w:id="-1217620469"/>
                <w14:textFill>
                  <w14:solidFill>
                    <w14:srgbClr w14:val="000000">
                      <w14:alpha w14:val="100000"/>
                    </w14:srgbClr>
                  </w14:solidFill>
                </w14:textFill>
              </w:rPr>
              <w:t>|</w:t>
            </w:r>
          </w:p>
        </w:tc>
        <w:tc>
          <w:tcPr>
            <w:tcW w:w="1559" w:type="dxa"/>
            <w:shd w:val="clear" w:color="auto" w:fill="auto"/>
            <w:vAlign w:val="bottom"/>
          </w:tcPr>
          <w:p w14:paraId="0FA7761D" w14:textId="7868A2C6" w:rsidR="00463B41" w:rsidRPr="00FA1F5D" w:rsidRDefault="00463B41" w:rsidP="00463B41">
            <w:pPr>
              <w:pStyle w:val="Tabletext0"/>
              <w:spacing w:before="0" w:after="0"/>
              <w:jc w:val="left"/>
              <w:rPr>
                <w:highlight w:val="yellow"/>
              </w:rPr>
            </w:pPr>
            <w:r w:rsidRPr="002F3CF8">
              <w:rPr>
                <w:rFonts w:cs="Calibri"/>
                <w:color w:val="000000"/>
              </w:rPr>
              <w:t>$</w:t>
            </w:r>
            <w:r w:rsidR="002610F9" w:rsidRPr="002610F9">
              <w:rPr>
                <w:rFonts w:cs="Calibri"/>
                <w:color w:val="000000"/>
                <w:spacing w:val="53"/>
                <w:shd w:val="solid" w:color="000000" w:fill="000000"/>
                <w:fitText w:val="330" w:id="-1217620468"/>
                <w14:textFill>
                  <w14:solidFill>
                    <w14:srgbClr w14:val="000000">
                      <w14:alpha w14:val="100000"/>
                    </w14:srgbClr>
                  </w14:solidFill>
                </w14:textFill>
              </w:rPr>
              <w:t>|||</w:t>
            </w:r>
            <w:r w:rsidR="002610F9" w:rsidRPr="002610F9">
              <w:rPr>
                <w:rFonts w:cs="Calibri"/>
                <w:color w:val="000000"/>
                <w:spacing w:val="1"/>
                <w:shd w:val="solid" w:color="000000" w:fill="000000"/>
                <w:fitText w:val="330" w:id="-1217620468"/>
                <w14:textFill>
                  <w14:solidFill>
                    <w14:srgbClr w14:val="000000">
                      <w14:alpha w14:val="100000"/>
                    </w14:srgbClr>
                  </w14:solidFill>
                </w14:textFill>
              </w:rPr>
              <w:t>|</w:t>
            </w:r>
          </w:p>
        </w:tc>
      </w:tr>
      <w:tr w:rsidR="00463B41" w:rsidRPr="00246C59" w14:paraId="77B8A2BE" w14:textId="77777777" w:rsidTr="00246C59">
        <w:trPr>
          <w:trHeight w:val="29"/>
        </w:trPr>
        <w:tc>
          <w:tcPr>
            <w:tcW w:w="4248" w:type="dxa"/>
            <w:shd w:val="clear" w:color="auto" w:fill="F2F2F2" w:themeFill="background1" w:themeFillShade="F2"/>
            <w:noWrap/>
            <w:vAlign w:val="center"/>
          </w:tcPr>
          <w:p w14:paraId="6CBA7C9E" w14:textId="59A9C618" w:rsidR="00463B41" w:rsidRPr="006C56F3" w:rsidRDefault="00463B41" w:rsidP="00463B41">
            <w:pPr>
              <w:pStyle w:val="Tabletext0"/>
              <w:spacing w:before="0" w:after="0"/>
              <w:jc w:val="left"/>
              <w:rPr>
                <w:b/>
                <w:bCs/>
              </w:rPr>
            </w:pPr>
            <w:r w:rsidRPr="006C56F3">
              <w:rPr>
                <w:b/>
                <w:bCs/>
              </w:rPr>
              <w:t xml:space="preserve">Discounted outcomes over </w:t>
            </w:r>
            <w:r w:rsidR="00BA1120">
              <w:rPr>
                <w:b/>
                <w:bCs/>
              </w:rPr>
              <w:t>3</w:t>
            </w:r>
            <w:r w:rsidRPr="006C56F3">
              <w:rPr>
                <w:b/>
                <w:bCs/>
              </w:rPr>
              <w:t>0 years</w:t>
            </w:r>
          </w:p>
        </w:tc>
        <w:tc>
          <w:tcPr>
            <w:tcW w:w="1606" w:type="dxa"/>
            <w:shd w:val="clear" w:color="auto" w:fill="F2F2F2" w:themeFill="background1" w:themeFillShade="F2"/>
          </w:tcPr>
          <w:p w14:paraId="494B98B5" w14:textId="77777777" w:rsidR="00463B41" w:rsidRPr="006C56F3" w:rsidRDefault="00463B41" w:rsidP="00463B41">
            <w:pPr>
              <w:pStyle w:val="Tabletext0"/>
              <w:spacing w:before="0" w:after="0"/>
              <w:jc w:val="left"/>
            </w:pPr>
          </w:p>
        </w:tc>
        <w:tc>
          <w:tcPr>
            <w:tcW w:w="1654" w:type="dxa"/>
            <w:shd w:val="clear" w:color="auto" w:fill="F2F2F2" w:themeFill="background1" w:themeFillShade="F2"/>
          </w:tcPr>
          <w:p w14:paraId="742E3363" w14:textId="77777777" w:rsidR="00463B41" w:rsidRPr="006C56F3" w:rsidRDefault="00463B41" w:rsidP="00463B41">
            <w:pPr>
              <w:pStyle w:val="Tabletext0"/>
              <w:spacing w:before="0" w:after="0"/>
              <w:jc w:val="left"/>
            </w:pPr>
          </w:p>
        </w:tc>
        <w:tc>
          <w:tcPr>
            <w:tcW w:w="1559" w:type="dxa"/>
            <w:shd w:val="clear" w:color="auto" w:fill="F2F2F2" w:themeFill="background1" w:themeFillShade="F2"/>
          </w:tcPr>
          <w:p w14:paraId="2B7662CA" w14:textId="77777777" w:rsidR="00463B41" w:rsidRPr="006C56F3" w:rsidRDefault="00463B41" w:rsidP="00463B41">
            <w:pPr>
              <w:pStyle w:val="Tabletext0"/>
              <w:spacing w:before="0" w:after="0"/>
              <w:jc w:val="left"/>
            </w:pPr>
          </w:p>
        </w:tc>
      </w:tr>
      <w:tr w:rsidR="00A51C37" w:rsidRPr="00246C59" w14:paraId="699D4F9C" w14:textId="77777777" w:rsidTr="00246C59">
        <w:trPr>
          <w:trHeight w:val="29"/>
        </w:trPr>
        <w:tc>
          <w:tcPr>
            <w:tcW w:w="4248" w:type="dxa"/>
            <w:shd w:val="clear" w:color="auto" w:fill="auto"/>
            <w:noWrap/>
            <w:vAlign w:val="center"/>
          </w:tcPr>
          <w:p w14:paraId="0148382E" w14:textId="77777777" w:rsidR="00A51C37" w:rsidRPr="006C56F3" w:rsidRDefault="00A51C37" w:rsidP="00A51C37">
            <w:pPr>
              <w:pStyle w:val="Tabletext0"/>
              <w:spacing w:before="0" w:after="0"/>
              <w:ind w:left="373"/>
              <w:jc w:val="left"/>
            </w:pPr>
            <w:r w:rsidRPr="006C56F3">
              <w:t>Mean EFS (in years)</w:t>
            </w:r>
          </w:p>
        </w:tc>
        <w:tc>
          <w:tcPr>
            <w:tcW w:w="1606" w:type="dxa"/>
            <w:shd w:val="clear" w:color="auto" w:fill="auto"/>
            <w:vAlign w:val="bottom"/>
          </w:tcPr>
          <w:p w14:paraId="4A9FF894" w14:textId="6121626E" w:rsidR="00A51C37" w:rsidRPr="006C56F3" w:rsidRDefault="00A51C37" w:rsidP="00A51C37">
            <w:pPr>
              <w:pStyle w:val="Tabletext0"/>
              <w:spacing w:before="0" w:after="0"/>
              <w:jc w:val="left"/>
            </w:pPr>
            <w:r w:rsidRPr="00246C59">
              <w:rPr>
                <w:rFonts w:cs="Calibri"/>
                <w:color w:val="000000"/>
              </w:rPr>
              <w:t>5.757</w:t>
            </w:r>
          </w:p>
        </w:tc>
        <w:tc>
          <w:tcPr>
            <w:tcW w:w="1654" w:type="dxa"/>
            <w:shd w:val="clear" w:color="auto" w:fill="auto"/>
            <w:vAlign w:val="bottom"/>
          </w:tcPr>
          <w:p w14:paraId="7610249F" w14:textId="58C9FC63" w:rsidR="00A51C37" w:rsidRPr="006C56F3" w:rsidRDefault="00A51C37" w:rsidP="00A51C37">
            <w:pPr>
              <w:pStyle w:val="Tabletext0"/>
              <w:spacing w:before="0" w:after="0"/>
              <w:jc w:val="left"/>
            </w:pPr>
            <w:r w:rsidRPr="00246C59">
              <w:rPr>
                <w:rFonts w:cs="Calibri"/>
                <w:color w:val="000000"/>
              </w:rPr>
              <w:t>2.479</w:t>
            </w:r>
          </w:p>
        </w:tc>
        <w:tc>
          <w:tcPr>
            <w:tcW w:w="1559" w:type="dxa"/>
            <w:shd w:val="clear" w:color="auto" w:fill="auto"/>
            <w:vAlign w:val="bottom"/>
          </w:tcPr>
          <w:p w14:paraId="6459F1C7" w14:textId="6B94AB76" w:rsidR="00A51C37" w:rsidRPr="006C56F3" w:rsidRDefault="00A51C37" w:rsidP="00A51C37">
            <w:pPr>
              <w:pStyle w:val="Tabletext0"/>
              <w:spacing w:before="0" w:after="0"/>
              <w:jc w:val="left"/>
            </w:pPr>
            <w:r w:rsidRPr="00246C59">
              <w:rPr>
                <w:rFonts w:cs="Calibri"/>
                <w:color w:val="000000"/>
              </w:rPr>
              <w:t>3.278</w:t>
            </w:r>
          </w:p>
        </w:tc>
      </w:tr>
      <w:tr w:rsidR="00A51C37" w:rsidRPr="00246C59" w14:paraId="68D13969" w14:textId="77777777" w:rsidTr="00246C59">
        <w:trPr>
          <w:trHeight w:val="29"/>
        </w:trPr>
        <w:tc>
          <w:tcPr>
            <w:tcW w:w="4248" w:type="dxa"/>
            <w:shd w:val="clear" w:color="auto" w:fill="auto"/>
            <w:noWrap/>
            <w:vAlign w:val="center"/>
            <w:hideMark/>
          </w:tcPr>
          <w:p w14:paraId="5303F83A" w14:textId="4182B4AB" w:rsidR="00A51C37" w:rsidRPr="006C56F3" w:rsidRDefault="00A51C37" w:rsidP="00A51C37">
            <w:pPr>
              <w:pStyle w:val="Tabletext0"/>
              <w:spacing w:before="0" w:after="0"/>
              <w:ind w:left="373"/>
              <w:jc w:val="left"/>
            </w:pPr>
            <w:r w:rsidRPr="006C56F3">
              <w:t xml:space="preserve">Life-years over a </w:t>
            </w:r>
            <w:r w:rsidR="00BA1120">
              <w:t>3</w:t>
            </w:r>
            <w:r w:rsidRPr="006C56F3">
              <w:t>0-year time horizon (discounted)</w:t>
            </w:r>
          </w:p>
        </w:tc>
        <w:tc>
          <w:tcPr>
            <w:tcW w:w="1606" w:type="dxa"/>
            <w:shd w:val="clear" w:color="auto" w:fill="auto"/>
            <w:vAlign w:val="bottom"/>
          </w:tcPr>
          <w:p w14:paraId="5A5699C4" w14:textId="4E59E60D" w:rsidR="00A51C37" w:rsidRPr="006C56F3" w:rsidRDefault="00A51C37" w:rsidP="00A51C37">
            <w:pPr>
              <w:pStyle w:val="Tabletext0"/>
              <w:spacing w:before="0" w:after="0"/>
              <w:jc w:val="left"/>
            </w:pPr>
            <w:r w:rsidRPr="00246C59">
              <w:rPr>
                <w:rFonts w:cs="Calibri"/>
                <w:color w:val="000000"/>
              </w:rPr>
              <w:t>8.003</w:t>
            </w:r>
          </w:p>
        </w:tc>
        <w:tc>
          <w:tcPr>
            <w:tcW w:w="1654" w:type="dxa"/>
            <w:shd w:val="clear" w:color="auto" w:fill="auto"/>
            <w:vAlign w:val="bottom"/>
          </w:tcPr>
          <w:p w14:paraId="4755E618" w14:textId="69DB6A12" w:rsidR="00A51C37" w:rsidRPr="006C56F3" w:rsidRDefault="00A51C37" w:rsidP="00A51C37">
            <w:pPr>
              <w:pStyle w:val="Tabletext0"/>
              <w:spacing w:before="0" w:after="0"/>
              <w:jc w:val="left"/>
            </w:pPr>
            <w:r w:rsidRPr="00246C59">
              <w:rPr>
                <w:rFonts w:cs="Calibri"/>
                <w:color w:val="000000"/>
              </w:rPr>
              <w:t>6.683</w:t>
            </w:r>
          </w:p>
        </w:tc>
        <w:tc>
          <w:tcPr>
            <w:tcW w:w="1559" w:type="dxa"/>
            <w:shd w:val="clear" w:color="auto" w:fill="auto"/>
            <w:vAlign w:val="bottom"/>
          </w:tcPr>
          <w:p w14:paraId="45690428" w14:textId="21811D37" w:rsidR="00A51C37" w:rsidRPr="006C56F3" w:rsidRDefault="00A51C37" w:rsidP="00A51C37">
            <w:pPr>
              <w:pStyle w:val="Tabletext0"/>
              <w:spacing w:before="0" w:after="0"/>
              <w:jc w:val="left"/>
            </w:pPr>
            <w:r w:rsidRPr="00246C59">
              <w:rPr>
                <w:rFonts w:cs="Calibri"/>
                <w:color w:val="000000"/>
              </w:rPr>
              <w:t>1.320</w:t>
            </w:r>
          </w:p>
        </w:tc>
      </w:tr>
      <w:tr w:rsidR="00A51C37" w:rsidRPr="00246C59" w14:paraId="15B7649F" w14:textId="77777777" w:rsidTr="00246C59">
        <w:trPr>
          <w:trHeight w:val="29"/>
        </w:trPr>
        <w:tc>
          <w:tcPr>
            <w:tcW w:w="4248" w:type="dxa"/>
            <w:shd w:val="clear" w:color="auto" w:fill="auto"/>
            <w:noWrap/>
            <w:vAlign w:val="center"/>
            <w:hideMark/>
          </w:tcPr>
          <w:p w14:paraId="3D946AE7" w14:textId="714A974D" w:rsidR="00A51C37" w:rsidRPr="006C56F3" w:rsidRDefault="00A51C37" w:rsidP="00A51C37">
            <w:pPr>
              <w:pStyle w:val="Tabletext0"/>
              <w:spacing w:before="0" w:after="0"/>
              <w:ind w:left="373"/>
              <w:jc w:val="left"/>
            </w:pPr>
            <w:r w:rsidRPr="006C56F3">
              <w:t xml:space="preserve">QALYs over a </w:t>
            </w:r>
            <w:r w:rsidR="00BA1120">
              <w:t>3</w:t>
            </w:r>
            <w:r w:rsidRPr="006C56F3">
              <w:t>0-year time horizon (discounted)</w:t>
            </w:r>
          </w:p>
        </w:tc>
        <w:tc>
          <w:tcPr>
            <w:tcW w:w="1606" w:type="dxa"/>
            <w:shd w:val="clear" w:color="auto" w:fill="auto"/>
            <w:vAlign w:val="bottom"/>
          </w:tcPr>
          <w:p w14:paraId="01D60021" w14:textId="559B5A62" w:rsidR="00A51C37" w:rsidRPr="006C56F3" w:rsidRDefault="00A51C37" w:rsidP="00A51C37">
            <w:pPr>
              <w:pStyle w:val="Tabletext0"/>
              <w:spacing w:before="0" w:after="0"/>
              <w:jc w:val="left"/>
            </w:pPr>
            <w:r w:rsidRPr="00246C59">
              <w:rPr>
                <w:rFonts w:cs="Calibri"/>
                <w:color w:val="000000"/>
              </w:rPr>
              <w:t>6.269</w:t>
            </w:r>
          </w:p>
        </w:tc>
        <w:tc>
          <w:tcPr>
            <w:tcW w:w="1654" w:type="dxa"/>
            <w:shd w:val="clear" w:color="auto" w:fill="auto"/>
            <w:vAlign w:val="bottom"/>
          </w:tcPr>
          <w:p w14:paraId="09CFAE29" w14:textId="43E753B8" w:rsidR="00A51C37" w:rsidRPr="006C56F3" w:rsidRDefault="00A51C37" w:rsidP="00A51C37">
            <w:pPr>
              <w:pStyle w:val="Tabletext0"/>
              <w:spacing w:before="0" w:after="0"/>
              <w:jc w:val="left"/>
            </w:pPr>
            <w:r w:rsidRPr="00246C59">
              <w:rPr>
                <w:rFonts w:cs="Calibri"/>
                <w:color w:val="000000"/>
              </w:rPr>
              <w:t>5.219</w:t>
            </w:r>
          </w:p>
        </w:tc>
        <w:tc>
          <w:tcPr>
            <w:tcW w:w="1559" w:type="dxa"/>
            <w:shd w:val="clear" w:color="auto" w:fill="auto"/>
            <w:vAlign w:val="bottom"/>
          </w:tcPr>
          <w:p w14:paraId="7F5908E6" w14:textId="219127A6" w:rsidR="00A51C37" w:rsidRPr="006C56F3" w:rsidRDefault="00A51C37" w:rsidP="00A51C37">
            <w:pPr>
              <w:pStyle w:val="Tabletext0"/>
              <w:spacing w:before="0" w:after="0"/>
              <w:jc w:val="left"/>
            </w:pPr>
            <w:r w:rsidRPr="00246C59">
              <w:rPr>
                <w:rFonts w:cs="Calibri"/>
                <w:color w:val="000000"/>
              </w:rPr>
              <w:t>1.050</w:t>
            </w:r>
          </w:p>
        </w:tc>
      </w:tr>
      <w:tr w:rsidR="00A51C37" w:rsidRPr="00246C59" w14:paraId="43A0E99E" w14:textId="77777777" w:rsidTr="00246C59">
        <w:trPr>
          <w:trHeight w:val="29"/>
        </w:trPr>
        <w:tc>
          <w:tcPr>
            <w:tcW w:w="7508" w:type="dxa"/>
            <w:gridSpan w:val="3"/>
            <w:shd w:val="clear" w:color="auto" w:fill="auto"/>
            <w:noWrap/>
            <w:vAlign w:val="center"/>
          </w:tcPr>
          <w:p w14:paraId="379BE2E2" w14:textId="1FED4353" w:rsidR="00A51C37" w:rsidRPr="006C56F3" w:rsidRDefault="00A51C37" w:rsidP="00A51C37">
            <w:pPr>
              <w:pStyle w:val="Tabletext0"/>
              <w:spacing w:before="0" w:after="0"/>
              <w:jc w:val="right"/>
              <w:rPr>
                <w:b/>
                <w:bCs/>
              </w:rPr>
            </w:pPr>
            <w:r w:rsidRPr="006C56F3">
              <w:rPr>
                <w:b/>
                <w:bCs/>
              </w:rPr>
              <w:t>Incremental cost per life-year gained over a lifetime (</w:t>
            </w:r>
            <w:r w:rsidR="00BA1120">
              <w:rPr>
                <w:b/>
                <w:bCs/>
              </w:rPr>
              <w:t>3</w:t>
            </w:r>
            <w:r w:rsidRPr="006C56F3">
              <w:rPr>
                <w:b/>
                <w:bCs/>
              </w:rPr>
              <w:t>0-year) time horizon</w:t>
            </w:r>
          </w:p>
        </w:tc>
        <w:tc>
          <w:tcPr>
            <w:tcW w:w="1559" w:type="dxa"/>
            <w:shd w:val="clear" w:color="auto" w:fill="auto"/>
            <w:vAlign w:val="bottom"/>
          </w:tcPr>
          <w:p w14:paraId="725BB7A3" w14:textId="318EC566" w:rsidR="00A51C37" w:rsidRPr="00FA1F5D" w:rsidRDefault="00A51C37" w:rsidP="00A51C37">
            <w:pPr>
              <w:pStyle w:val="Tabletext0"/>
              <w:spacing w:before="0" w:after="0"/>
              <w:jc w:val="left"/>
              <w:rPr>
                <w:b/>
                <w:bCs/>
                <w:highlight w:val="yellow"/>
              </w:rPr>
            </w:pPr>
            <w:r w:rsidRPr="002F3CF8">
              <w:rPr>
                <w:rFonts w:cs="Calibri"/>
                <w:b/>
                <w:bCs/>
                <w:color w:val="000000"/>
              </w:rPr>
              <w:t>$</w:t>
            </w:r>
            <w:r w:rsidR="002610F9" w:rsidRPr="002610F9">
              <w:rPr>
                <w:rFonts w:cs="Calibri"/>
                <w:b/>
                <w:bCs/>
                <w:color w:val="000000"/>
                <w:spacing w:val="55"/>
                <w:shd w:val="solid" w:color="000000" w:fill="000000"/>
                <w:fitText w:val="350" w:id="-1217620467"/>
                <w14:textFill>
                  <w14:solidFill>
                    <w14:srgbClr w14:val="000000">
                      <w14:alpha w14:val="100000"/>
                    </w14:srgbClr>
                  </w14:solidFill>
                </w14:textFill>
              </w:rPr>
              <w:t>|||</w:t>
            </w:r>
            <w:r w:rsidR="002610F9" w:rsidRPr="002610F9">
              <w:rPr>
                <w:rFonts w:cs="Calibri"/>
                <w:b/>
                <w:bCs/>
                <w:color w:val="000000"/>
                <w:spacing w:val="2"/>
                <w:shd w:val="solid" w:color="000000" w:fill="000000"/>
                <w:fitText w:val="350" w:id="-1217620467"/>
                <w14:textFill>
                  <w14:solidFill>
                    <w14:srgbClr w14:val="000000">
                      <w14:alpha w14:val="100000"/>
                    </w14:srgbClr>
                  </w14:solidFill>
                </w14:textFill>
              </w:rPr>
              <w:t>|</w:t>
            </w:r>
          </w:p>
        </w:tc>
      </w:tr>
      <w:tr w:rsidR="00A51C37" w:rsidRPr="00246C59" w14:paraId="1521CAD4" w14:textId="77777777" w:rsidTr="00246C59">
        <w:trPr>
          <w:trHeight w:val="29"/>
        </w:trPr>
        <w:tc>
          <w:tcPr>
            <w:tcW w:w="7508" w:type="dxa"/>
            <w:gridSpan w:val="3"/>
            <w:shd w:val="clear" w:color="auto" w:fill="auto"/>
            <w:noWrap/>
            <w:vAlign w:val="center"/>
          </w:tcPr>
          <w:p w14:paraId="0F2F208D" w14:textId="6AB73BF0" w:rsidR="00A51C37" w:rsidRPr="006C56F3" w:rsidRDefault="00A51C37" w:rsidP="00A51C37">
            <w:pPr>
              <w:pStyle w:val="Tabletext0"/>
              <w:spacing w:before="0" w:after="0"/>
              <w:jc w:val="right"/>
              <w:rPr>
                <w:b/>
                <w:bCs/>
              </w:rPr>
            </w:pPr>
            <w:r w:rsidRPr="006C56F3">
              <w:rPr>
                <w:b/>
                <w:bCs/>
              </w:rPr>
              <w:t>Incremental cost per QALY gained over a lifetime (</w:t>
            </w:r>
            <w:r w:rsidR="00BA1120">
              <w:rPr>
                <w:b/>
                <w:bCs/>
              </w:rPr>
              <w:t>3</w:t>
            </w:r>
            <w:r w:rsidRPr="006C56F3">
              <w:rPr>
                <w:b/>
                <w:bCs/>
              </w:rPr>
              <w:t>0-year) time horizon</w:t>
            </w:r>
          </w:p>
        </w:tc>
        <w:tc>
          <w:tcPr>
            <w:tcW w:w="1559" w:type="dxa"/>
            <w:shd w:val="clear" w:color="auto" w:fill="auto"/>
            <w:vAlign w:val="bottom"/>
          </w:tcPr>
          <w:p w14:paraId="1E008602" w14:textId="03C56196" w:rsidR="00A51C37" w:rsidRPr="00FA1F5D" w:rsidRDefault="00A51C37" w:rsidP="00A51C37">
            <w:pPr>
              <w:pStyle w:val="Tabletext0"/>
              <w:spacing w:before="0" w:after="0"/>
              <w:jc w:val="left"/>
              <w:rPr>
                <w:b/>
                <w:bCs/>
                <w:highlight w:val="yellow"/>
              </w:rPr>
            </w:pPr>
            <w:r w:rsidRPr="002F3CF8">
              <w:rPr>
                <w:rFonts w:cs="Calibri"/>
                <w:b/>
                <w:bCs/>
                <w:color w:val="000000"/>
              </w:rPr>
              <w:t>$</w:t>
            </w:r>
            <w:r w:rsidR="002610F9" w:rsidRPr="002610F9">
              <w:rPr>
                <w:rFonts w:cs="Calibri"/>
                <w:b/>
                <w:bCs/>
                <w:color w:val="000000"/>
                <w:spacing w:val="55"/>
                <w:shd w:val="solid" w:color="000000" w:fill="000000"/>
                <w:fitText w:val="350" w:id="-1217620466"/>
                <w14:textFill>
                  <w14:solidFill>
                    <w14:srgbClr w14:val="000000">
                      <w14:alpha w14:val="100000"/>
                    </w14:srgbClr>
                  </w14:solidFill>
                </w14:textFill>
              </w:rPr>
              <w:t>|||</w:t>
            </w:r>
            <w:r w:rsidR="002610F9" w:rsidRPr="002610F9">
              <w:rPr>
                <w:rFonts w:cs="Calibri"/>
                <w:b/>
                <w:bCs/>
                <w:color w:val="000000"/>
                <w:spacing w:val="2"/>
                <w:shd w:val="solid" w:color="000000" w:fill="000000"/>
                <w:fitText w:val="350" w:id="-1217620466"/>
                <w14:textFill>
                  <w14:solidFill>
                    <w14:srgbClr w14:val="000000">
                      <w14:alpha w14:val="100000"/>
                    </w14:srgbClr>
                  </w14:solidFill>
                </w14:textFill>
              </w:rPr>
              <w:t>|</w:t>
            </w:r>
          </w:p>
        </w:tc>
      </w:tr>
    </w:tbl>
    <w:p w14:paraId="661DDB60" w14:textId="2D5D502A" w:rsidR="003C6884" w:rsidRDefault="005A6FC0" w:rsidP="003C6884">
      <w:pPr>
        <w:pStyle w:val="TableFigureFooter"/>
        <w:rPr>
          <w:rFonts w:eastAsia="Calibri"/>
          <w:szCs w:val="20"/>
        </w:rPr>
      </w:pPr>
      <w:bookmarkStart w:id="34" w:name="_Hlk68276600"/>
      <w:r>
        <w:rPr>
          <w:rFonts w:eastAsia="Calibri"/>
          <w:szCs w:val="20"/>
        </w:rPr>
        <w:t xml:space="preserve">Abbreviations: </w:t>
      </w:r>
      <w:r w:rsidR="00601A73">
        <w:rPr>
          <w:rFonts w:eastAsia="Calibri"/>
          <w:szCs w:val="20"/>
        </w:rPr>
        <w:t>2L=</w:t>
      </w:r>
      <w:proofErr w:type="gramStart"/>
      <w:r w:rsidR="00601A73">
        <w:rPr>
          <w:rFonts w:eastAsia="Calibri"/>
          <w:szCs w:val="20"/>
        </w:rPr>
        <w:t>second</w:t>
      </w:r>
      <w:r w:rsidR="00C1259D">
        <w:rPr>
          <w:rFonts w:eastAsia="Calibri"/>
          <w:szCs w:val="20"/>
        </w:rPr>
        <w:t>-</w:t>
      </w:r>
      <w:r w:rsidR="00601A73">
        <w:rPr>
          <w:rFonts w:eastAsia="Calibri"/>
          <w:szCs w:val="20"/>
        </w:rPr>
        <w:t>line</w:t>
      </w:r>
      <w:proofErr w:type="gramEnd"/>
      <w:r w:rsidR="00601A73">
        <w:rPr>
          <w:rFonts w:eastAsia="Calibri"/>
          <w:szCs w:val="20"/>
        </w:rPr>
        <w:t xml:space="preserve">; </w:t>
      </w:r>
      <w:r w:rsidR="007606B3">
        <w:rPr>
          <w:rFonts w:eastAsia="Calibri"/>
          <w:szCs w:val="20"/>
        </w:rPr>
        <w:t xml:space="preserve">EFS=event-free survival; </w:t>
      </w:r>
      <w:r w:rsidR="002F32FB" w:rsidRPr="00CE28E3">
        <w:rPr>
          <w:rFonts w:eastAsia="Calibri"/>
          <w:szCs w:val="20"/>
        </w:rPr>
        <w:t>QALY=quality</w:t>
      </w:r>
      <w:r w:rsidR="0045093D">
        <w:rPr>
          <w:rFonts w:eastAsia="Calibri"/>
          <w:szCs w:val="20"/>
        </w:rPr>
        <w:t>-</w:t>
      </w:r>
      <w:r w:rsidR="002F32FB" w:rsidRPr="00CE28E3">
        <w:rPr>
          <w:rFonts w:eastAsia="Calibri"/>
          <w:szCs w:val="20"/>
        </w:rPr>
        <w:t>adjusted life year</w:t>
      </w:r>
      <w:r w:rsidR="00601A73">
        <w:rPr>
          <w:rFonts w:eastAsia="Calibri"/>
          <w:szCs w:val="20"/>
        </w:rPr>
        <w:t xml:space="preserve">; </w:t>
      </w:r>
      <w:r w:rsidR="00601A73">
        <w:t>SoC=standard of care</w:t>
      </w:r>
      <w:bookmarkEnd w:id="34"/>
    </w:p>
    <w:p w14:paraId="23AAA776" w14:textId="7C1B6B8B" w:rsidR="00E31E6A" w:rsidRPr="006C3E71" w:rsidRDefault="00E31E6A" w:rsidP="00E84733">
      <w:pPr>
        <w:pStyle w:val="a-TEXT"/>
      </w:pPr>
      <w:r w:rsidRPr="00E84733">
        <w:lastRenderedPageBreak/>
        <w:t>The key drivers of the model</w:t>
      </w:r>
      <w:r w:rsidR="00770B52">
        <w:t xml:space="preserve"> identified during evaluation</w:t>
      </w:r>
      <w:r w:rsidRPr="00E84733">
        <w:t xml:space="preserve"> </w:t>
      </w:r>
      <w:r w:rsidR="00362951" w:rsidRPr="00E84733">
        <w:t>were</w:t>
      </w:r>
      <w:r w:rsidR="002D2C08" w:rsidRPr="00E84733">
        <w:t xml:space="preserve"> extrapolation of long-term</w:t>
      </w:r>
      <w:r w:rsidR="00362951" w:rsidRPr="00E84733">
        <w:t xml:space="preserve"> outcomes for OS and EFS</w:t>
      </w:r>
      <w:r w:rsidR="002D2C08" w:rsidRPr="00E84733">
        <w:t xml:space="preserve">, </w:t>
      </w:r>
      <w:r w:rsidR="00362951" w:rsidRPr="00E84733">
        <w:t xml:space="preserve">the proportion of patients receiving CAR T-cell therapy in 3L </w:t>
      </w:r>
      <w:r w:rsidR="002D2C08" w:rsidRPr="006C3E71">
        <w:t>and</w:t>
      </w:r>
      <w:r w:rsidR="00362951" w:rsidRPr="006C3E71">
        <w:t xml:space="preserve"> </w:t>
      </w:r>
      <w:r w:rsidR="002D2C08" w:rsidRPr="006C3E71">
        <w:t>time horizon</w:t>
      </w:r>
      <w:r w:rsidR="00770B52">
        <w:t xml:space="preserve"> (Table 9)</w:t>
      </w:r>
      <w:r w:rsidR="002D2C08" w:rsidRPr="006C3E71">
        <w:t>.</w:t>
      </w:r>
    </w:p>
    <w:p w14:paraId="708EBBC4" w14:textId="78D18270" w:rsidR="002F32FB" w:rsidRPr="00683B19" w:rsidRDefault="002F32FB" w:rsidP="00246C59">
      <w:pPr>
        <w:pStyle w:val="aTableHeading"/>
      </w:pPr>
      <w:bookmarkStart w:id="35" w:name="_Ref69726321"/>
      <w:r w:rsidRPr="00BB2BFF">
        <w:t>Table</w:t>
      </w:r>
      <w:r w:rsidR="003571C2" w:rsidRPr="00BB2BFF">
        <w:t> </w:t>
      </w:r>
      <w:bookmarkEnd w:id="35"/>
      <w:r w:rsidR="0093588E">
        <w:t>9</w:t>
      </w:r>
      <w:r w:rsidRPr="00BB2BFF">
        <w:tab/>
        <w:t>Key drivers of the model</w:t>
      </w:r>
    </w:p>
    <w:tbl>
      <w:tblPr>
        <w:tblStyle w:val="TableGrid1"/>
        <w:tblW w:w="5000" w:type="pct"/>
        <w:tblLayout w:type="fixed"/>
        <w:tblCellMar>
          <w:top w:w="28" w:type="dxa"/>
          <w:left w:w="28" w:type="dxa"/>
          <w:bottom w:w="28" w:type="dxa"/>
          <w:right w:w="28" w:type="dxa"/>
        </w:tblCellMar>
        <w:tblLook w:val="04A0" w:firstRow="1" w:lastRow="0" w:firstColumn="1" w:lastColumn="0" w:noHBand="0" w:noVBand="1"/>
      </w:tblPr>
      <w:tblGrid>
        <w:gridCol w:w="2123"/>
        <w:gridCol w:w="4111"/>
        <w:gridCol w:w="2782"/>
      </w:tblGrid>
      <w:tr w:rsidR="002F32FB" w:rsidRPr="00CE28E3" w14:paraId="11B0BC91" w14:textId="77777777" w:rsidTr="001B2130">
        <w:trPr>
          <w:cnfStyle w:val="100000000000" w:firstRow="1" w:lastRow="0" w:firstColumn="0" w:lastColumn="0" w:oddVBand="0" w:evenVBand="0" w:oddHBand="0" w:evenHBand="0" w:firstRowFirstColumn="0" w:firstRowLastColumn="0" w:lastRowFirstColumn="0" w:lastRowLastColumn="0"/>
          <w:trHeight w:val="39"/>
          <w:tblHeader/>
        </w:trPr>
        <w:tc>
          <w:tcPr>
            <w:tcW w:w="1177" w:type="pct"/>
            <w:shd w:val="clear" w:color="auto" w:fill="auto"/>
            <w:vAlign w:val="center"/>
          </w:tcPr>
          <w:p w14:paraId="2EC6365B" w14:textId="77777777" w:rsidR="002F32FB" w:rsidRPr="00CE28E3" w:rsidRDefault="002F32FB" w:rsidP="00601A73">
            <w:pPr>
              <w:pStyle w:val="In-tableHeading"/>
            </w:pPr>
            <w:bookmarkStart w:id="36" w:name="Title_Table10" w:colFirst="0" w:colLast="0"/>
            <w:bookmarkStart w:id="37" w:name="_Hlk68276626"/>
            <w:r w:rsidRPr="00CE28E3">
              <w:t>Description</w:t>
            </w:r>
          </w:p>
        </w:tc>
        <w:tc>
          <w:tcPr>
            <w:tcW w:w="2280" w:type="pct"/>
            <w:shd w:val="clear" w:color="auto" w:fill="auto"/>
            <w:vAlign w:val="center"/>
          </w:tcPr>
          <w:p w14:paraId="0520071F" w14:textId="77777777" w:rsidR="002F32FB" w:rsidRPr="00CE28E3" w:rsidRDefault="002F32FB" w:rsidP="00601A73">
            <w:pPr>
              <w:pStyle w:val="In-tableHeading"/>
            </w:pPr>
            <w:r w:rsidRPr="00CE28E3">
              <w:t>Method/Value</w:t>
            </w:r>
          </w:p>
        </w:tc>
        <w:tc>
          <w:tcPr>
            <w:tcW w:w="1543" w:type="pct"/>
            <w:shd w:val="clear" w:color="auto" w:fill="auto"/>
            <w:vAlign w:val="center"/>
          </w:tcPr>
          <w:p w14:paraId="66E24653" w14:textId="4DD3DBBC" w:rsidR="002F32FB" w:rsidRPr="00CE28E3" w:rsidRDefault="002F32FB" w:rsidP="00601A73">
            <w:pPr>
              <w:pStyle w:val="In-tableHeading"/>
            </w:pPr>
            <w:r w:rsidRPr="00CE28E3">
              <w:t>Impact</w:t>
            </w:r>
          </w:p>
        </w:tc>
      </w:tr>
      <w:bookmarkEnd w:id="36"/>
      <w:tr w:rsidR="002F32FB" w:rsidRPr="00CE28E3" w14:paraId="65F2DB8D" w14:textId="77777777" w:rsidTr="001B2130">
        <w:tc>
          <w:tcPr>
            <w:tcW w:w="1177" w:type="pct"/>
            <w:shd w:val="clear" w:color="auto" w:fill="auto"/>
            <w:vAlign w:val="center"/>
          </w:tcPr>
          <w:p w14:paraId="443EB50E" w14:textId="77777777" w:rsidR="002F32FB" w:rsidRPr="00CE28E3" w:rsidRDefault="002F32FB" w:rsidP="00601A73">
            <w:pPr>
              <w:pStyle w:val="TableText"/>
              <w:spacing w:before="0" w:after="0"/>
              <w:rPr>
                <w:lang w:val="en-US"/>
              </w:rPr>
            </w:pPr>
            <w:r w:rsidRPr="00CE28E3">
              <w:rPr>
                <w:lang w:val="en-US"/>
              </w:rPr>
              <w:t>Extrapolation</w:t>
            </w:r>
          </w:p>
        </w:tc>
        <w:tc>
          <w:tcPr>
            <w:tcW w:w="2280" w:type="pct"/>
            <w:shd w:val="clear" w:color="auto" w:fill="auto"/>
            <w:vAlign w:val="center"/>
          </w:tcPr>
          <w:p w14:paraId="0EB50894" w14:textId="6C506F42" w:rsidR="002F32FB" w:rsidRPr="00CE28E3" w:rsidRDefault="002F32FB" w:rsidP="00601A73">
            <w:pPr>
              <w:pStyle w:val="TableText"/>
              <w:spacing w:before="0" w:after="0"/>
              <w:rPr>
                <w:lang w:val="en-US"/>
              </w:rPr>
            </w:pPr>
            <w:r w:rsidRPr="00CE28E3">
              <w:rPr>
                <w:lang w:val="en-US"/>
              </w:rPr>
              <w:t xml:space="preserve">Treatment effect continued beyond </w:t>
            </w:r>
            <w:r w:rsidR="003B5513">
              <w:rPr>
                <w:lang w:val="en-US"/>
              </w:rPr>
              <w:t>25-month</w:t>
            </w:r>
            <w:r w:rsidRPr="00CE28E3">
              <w:rPr>
                <w:lang w:val="en-US"/>
              </w:rPr>
              <w:t xml:space="preserve"> trial period for up to </w:t>
            </w:r>
            <w:r w:rsidR="00DE3066">
              <w:rPr>
                <w:lang w:val="en-US"/>
              </w:rPr>
              <w:t>40</w:t>
            </w:r>
            <w:r w:rsidRPr="00CE28E3">
              <w:rPr>
                <w:lang w:val="en-US"/>
              </w:rPr>
              <w:t xml:space="preserve"> years</w:t>
            </w:r>
            <w:r w:rsidR="003B5513">
              <w:rPr>
                <w:lang w:val="en-US"/>
              </w:rPr>
              <w:t xml:space="preserve">. The model </w:t>
            </w:r>
            <w:proofErr w:type="gramStart"/>
            <w:r w:rsidR="003B5513">
              <w:rPr>
                <w:lang w:val="en-US"/>
              </w:rPr>
              <w:t>use</w:t>
            </w:r>
            <w:proofErr w:type="gramEnd"/>
            <w:r w:rsidR="003B5513">
              <w:rPr>
                <w:lang w:val="en-US"/>
              </w:rPr>
              <w:t xml:space="preserve"> a cure fraction model to extrapolate the data</w:t>
            </w:r>
          </w:p>
        </w:tc>
        <w:tc>
          <w:tcPr>
            <w:tcW w:w="1543" w:type="pct"/>
            <w:shd w:val="clear" w:color="auto" w:fill="auto"/>
            <w:vAlign w:val="center"/>
          </w:tcPr>
          <w:p w14:paraId="4E7B2979" w14:textId="1B6EFE96" w:rsidR="002F32FB" w:rsidRPr="00CE28E3" w:rsidRDefault="002F32FB" w:rsidP="00601A73">
            <w:pPr>
              <w:pStyle w:val="TableText"/>
              <w:spacing w:before="0" w:after="0"/>
              <w:rPr>
                <w:i/>
                <w:lang w:val="en-US"/>
              </w:rPr>
            </w:pPr>
            <w:r w:rsidRPr="00CE28E3">
              <w:rPr>
                <w:i/>
                <w:lang w:val="en-US"/>
              </w:rPr>
              <w:t xml:space="preserve">High, </w:t>
            </w:r>
            <w:proofErr w:type="spellStart"/>
            <w:r w:rsidRPr="00CE28E3">
              <w:rPr>
                <w:i/>
                <w:lang w:val="en-US"/>
              </w:rPr>
              <w:t>favours</w:t>
            </w:r>
            <w:proofErr w:type="spellEnd"/>
            <w:r w:rsidRPr="00CE28E3">
              <w:rPr>
                <w:i/>
                <w:lang w:val="en-US"/>
              </w:rPr>
              <w:t xml:space="preserve"> </w:t>
            </w:r>
            <w:r w:rsidR="00601A73">
              <w:rPr>
                <w:i/>
                <w:lang w:val="en-US"/>
              </w:rPr>
              <w:t>AXI</w:t>
            </w:r>
          </w:p>
        </w:tc>
      </w:tr>
      <w:tr w:rsidR="005F1148" w:rsidRPr="00CE28E3" w14:paraId="6395056A" w14:textId="77777777" w:rsidTr="001B2130">
        <w:tc>
          <w:tcPr>
            <w:tcW w:w="1177" w:type="pct"/>
            <w:shd w:val="clear" w:color="auto" w:fill="auto"/>
            <w:vAlign w:val="center"/>
          </w:tcPr>
          <w:p w14:paraId="30DD8CD6" w14:textId="4E4470E1" w:rsidR="005F1148" w:rsidRPr="00CE28E3" w:rsidRDefault="005F1148" w:rsidP="00601A73">
            <w:pPr>
              <w:pStyle w:val="TableText"/>
              <w:spacing w:before="0" w:after="0"/>
              <w:rPr>
                <w:lang w:val="en-US"/>
              </w:rPr>
            </w:pPr>
            <w:r>
              <w:rPr>
                <w:lang w:val="en-US"/>
              </w:rPr>
              <w:t>Time horizon</w:t>
            </w:r>
          </w:p>
        </w:tc>
        <w:tc>
          <w:tcPr>
            <w:tcW w:w="2280" w:type="pct"/>
            <w:shd w:val="clear" w:color="auto" w:fill="auto"/>
            <w:vAlign w:val="center"/>
          </w:tcPr>
          <w:p w14:paraId="3E70B4B3" w14:textId="30644405" w:rsidR="005F1148" w:rsidRPr="00CE28E3" w:rsidRDefault="005F1148" w:rsidP="00601A73">
            <w:pPr>
              <w:pStyle w:val="TableText"/>
              <w:spacing w:before="0" w:after="0"/>
              <w:rPr>
                <w:lang w:val="en-US"/>
              </w:rPr>
            </w:pPr>
            <w:r>
              <w:rPr>
                <w:lang w:val="en-US"/>
              </w:rPr>
              <w:t xml:space="preserve">The </w:t>
            </w:r>
            <w:r w:rsidR="005469AE">
              <w:rPr>
                <w:lang w:val="en-US"/>
              </w:rPr>
              <w:t>way the model was developed, means that the treatment effect is continued for the time horizon</w:t>
            </w:r>
            <w:r w:rsidR="003B5513">
              <w:rPr>
                <w:lang w:val="en-US"/>
              </w:rPr>
              <w:t xml:space="preserve"> without the support of clinical evidence </w:t>
            </w:r>
          </w:p>
        </w:tc>
        <w:tc>
          <w:tcPr>
            <w:tcW w:w="1543" w:type="pct"/>
            <w:shd w:val="clear" w:color="auto" w:fill="auto"/>
            <w:vAlign w:val="center"/>
          </w:tcPr>
          <w:p w14:paraId="04D11165" w14:textId="0C297BB0" w:rsidR="005F1148" w:rsidRPr="00CE28E3" w:rsidRDefault="005F1148" w:rsidP="00601A73">
            <w:pPr>
              <w:pStyle w:val="TableText"/>
              <w:spacing w:before="0" w:after="0"/>
              <w:rPr>
                <w:i/>
                <w:lang w:val="en-US"/>
              </w:rPr>
            </w:pPr>
            <w:r w:rsidRPr="00CE28E3">
              <w:rPr>
                <w:i/>
                <w:lang w:val="en-US"/>
              </w:rPr>
              <w:t xml:space="preserve">High, </w:t>
            </w:r>
            <w:proofErr w:type="spellStart"/>
            <w:r w:rsidRPr="00CE28E3">
              <w:rPr>
                <w:i/>
                <w:lang w:val="en-US"/>
              </w:rPr>
              <w:t>favours</w:t>
            </w:r>
            <w:proofErr w:type="spellEnd"/>
            <w:r w:rsidRPr="00CE28E3">
              <w:rPr>
                <w:i/>
                <w:lang w:val="en-US"/>
              </w:rPr>
              <w:t xml:space="preserve"> </w:t>
            </w:r>
            <w:r w:rsidR="00601A73">
              <w:rPr>
                <w:i/>
                <w:lang w:val="en-US"/>
              </w:rPr>
              <w:t>AXI</w:t>
            </w:r>
          </w:p>
        </w:tc>
      </w:tr>
      <w:tr w:rsidR="002A0516" w:rsidRPr="00CE28E3" w14:paraId="3EFF80DA" w14:textId="77777777" w:rsidTr="001B2130">
        <w:tc>
          <w:tcPr>
            <w:tcW w:w="1177" w:type="pct"/>
            <w:shd w:val="clear" w:color="auto" w:fill="auto"/>
            <w:vAlign w:val="center"/>
          </w:tcPr>
          <w:p w14:paraId="10465150" w14:textId="70965E8D" w:rsidR="002A0516" w:rsidRDefault="002A0516" w:rsidP="00601A73">
            <w:pPr>
              <w:pStyle w:val="TableText"/>
              <w:spacing w:before="0" w:after="0"/>
              <w:rPr>
                <w:lang w:val="en-US"/>
              </w:rPr>
            </w:pPr>
            <w:r>
              <w:rPr>
                <w:lang w:val="en-US"/>
              </w:rPr>
              <w:t>Discount Rate</w:t>
            </w:r>
          </w:p>
        </w:tc>
        <w:tc>
          <w:tcPr>
            <w:tcW w:w="2280" w:type="pct"/>
            <w:shd w:val="clear" w:color="auto" w:fill="auto"/>
            <w:vAlign w:val="center"/>
          </w:tcPr>
          <w:p w14:paraId="74AA26C0" w14:textId="0E6DE6B6" w:rsidR="002A0516" w:rsidRDefault="00160FE0" w:rsidP="00601A73">
            <w:pPr>
              <w:pStyle w:val="TableText"/>
              <w:spacing w:before="0" w:after="0"/>
              <w:rPr>
                <w:lang w:val="en-US"/>
              </w:rPr>
            </w:pPr>
            <w:r>
              <w:rPr>
                <w:lang w:val="en-US"/>
              </w:rPr>
              <w:t>3.5% used in the model, ve</w:t>
            </w:r>
            <w:r w:rsidR="00245837">
              <w:rPr>
                <w:lang w:val="en-US"/>
              </w:rPr>
              <w:t>r</w:t>
            </w:r>
            <w:r>
              <w:rPr>
                <w:lang w:val="en-US"/>
              </w:rPr>
              <w:t>sus 5% required by MSAC</w:t>
            </w:r>
          </w:p>
        </w:tc>
        <w:tc>
          <w:tcPr>
            <w:tcW w:w="1543" w:type="pct"/>
            <w:shd w:val="clear" w:color="auto" w:fill="auto"/>
            <w:vAlign w:val="center"/>
          </w:tcPr>
          <w:p w14:paraId="3E9D98E6" w14:textId="2FD96C5C" w:rsidR="002A0516" w:rsidRPr="00CE28E3" w:rsidRDefault="00160FE0" w:rsidP="00601A73">
            <w:pPr>
              <w:pStyle w:val="TableText"/>
              <w:spacing w:before="0" w:after="0"/>
              <w:rPr>
                <w:i/>
                <w:lang w:val="en-US"/>
              </w:rPr>
            </w:pPr>
            <w:r w:rsidRPr="00CE28E3">
              <w:rPr>
                <w:i/>
                <w:lang w:val="en-US"/>
              </w:rPr>
              <w:t xml:space="preserve">High, </w:t>
            </w:r>
            <w:proofErr w:type="spellStart"/>
            <w:r w:rsidRPr="00CE28E3">
              <w:rPr>
                <w:i/>
                <w:lang w:val="en-US"/>
              </w:rPr>
              <w:t>favours</w:t>
            </w:r>
            <w:proofErr w:type="spellEnd"/>
            <w:r w:rsidRPr="00CE28E3">
              <w:rPr>
                <w:i/>
                <w:lang w:val="en-US"/>
              </w:rPr>
              <w:t xml:space="preserve"> </w:t>
            </w:r>
            <w:r>
              <w:rPr>
                <w:i/>
                <w:lang w:val="en-US"/>
              </w:rPr>
              <w:t>AXI</w:t>
            </w:r>
          </w:p>
        </w:tc>
      </w:tr>
      <w:tr w:rsidR="005F1148" w:rsidRPr="00CE28E3" w14:paraId="2AFB6EE0" w14:textId="77777777" w:rsidTr="001B2130">
        <w:tc>
          <w:tcPr>
            <w:tcW w:w="1177" w:type="pct"/>
            <w:shd w:val="clear" w:color="auto" w:fill="auto"/>
            <w:vAlign w:val="center"/>
          </w:tcPr>
          <w:p w14:paraId="66FD9669" w14:textId="5C80E9FB" w:rsidR="005F1148" w:rsidRPr="00CE28E3" w:rsidRDefault="002B252D" w:rsidP="00601A73">
            <w:pPr>
              <w:pStyle w:val="TableText"/>
              <w:spacing w:before="0" w:after="0"/>
              <w:rPr>
                <w:lang w:val="en-US"/>
              </w:rPr>
            </w:pPr>
            <w:r>
              <w:rPr>
                <w:lang w:val="en-US"/>
              </w:rPr>
              <w:t>T</w:t>
            </w:r>
            <w:r w:rsidR="003B5513" w:rsidRPr="003B5513">
              <w:rPr>
                <w:lang w:val="en-US"/>
              </w:rPr>
              <w:t>he proportion of patients receiving CAR T-cell therapy in 3L</w:t>
            </w:r>
            <w:r w:rsidR="005F1148">
              <w:rPr>
                <w:lang w:val="en-US"/>
              </w:rPr>
              <w:t>.</w:t>
            </w:r>
          </w:p>
        </w:tc>
        <w:tc>
          <w:tcPr>
            <w:tcW w:w="2280" w:type="pct"/>
            <w:shd w:val="clear" w:color="auto" w:fill="auto"/>
            <w:vAlign w:val="center"/>
          </w:tcPr>
          <w:p w14:paraId="2980315B" w14:textId="3F49922D" w:rsidR="005F1148" w:rsidRPr="00CE28E3" w:rsidRDefault="003B5513" w:rsidP="00601A73">
            <w:pPr>
              <w:pStyle w:val="TableText"/>
              <w:spacing w:before="0" w:after="0"/>
              <w:rPr>
                <w:lang w:val="en-US"/>
              </w:rPr>
            </w:pPr>
            <w:r>
              <w:rPr>
                <w:lang w:val="en-US"/>
              </w:rPr>
              <w:t>The ADAR assumes that a large proportion of patients that received standard care in 2L would then go on to receive a CAR T-cell therapy in 3L</w:t>
            </w:r>
          </w:p>
        </w:tc>
        <w:tc>
          <w:tcPr>
            <w:tcW w:w="1543" w:type="pct"/>
            <w:shd w:val="clear" w:color="auto" w:fill="auto"/>
            <w:vAlign w:val="center"/>
          </w:tcPr>
          <w:p w14:paraId="35F24986" w14:textId="2E7AD572" w:rsidR="005F1148" w:rsidRPr="00CE28E3" w:rsidRDefault="003B5513" w:rsidP="00601A73">
            <w:pPr>
              <w:pStyle w:val="TableText"/>
              <w:spacing w:before="0" w:after="0"/>
              <w:rPr>
                <w:lang w:val="en-US"/>
              </w:rPr>
            </w:pPr>
            <w:r w:rsidRPr="00CE28E3">
              <w:rPr>
                <w:i/>
                <w:lang w:val="en-US"/>
              </w:rPr>
              <w:t xml:space="preserve">High, </w:t>
            </w:r>
            <w:proofErr w:type="spellStart"/>
            <w:r w:rsidRPr="00CE28E3">
              <w:rPr>
                <w:i/>
                <w:lang w:val="en-US"/>
              </w:rPr>
              <w:t>favours</w:t>
            </w:r>
            <w:proofErr w:type="spellEnd"/>
            <w:r w:rsidRPr="00CE28E3">
              <w:rPr>
                <w:i/>
                <w:lang w:val="en-US"/>
              </w:rPr>
              <w:t xml:space="preserve"> </w:t>
            </w:r>
            <w:r w:rsidR="00601A73">
              <w:rPr>
                <w:i/>
                <w:lang w:val="en-US"/>
              </w:rPr>
              <w:t>AXI</w:t>
            </w:r>
          </w:p>
        </w:tc>
      </w:tr>
    </w:tbl>
    <w:p w14:paraId="315DDD65" w14:textId="67FB9FC2" w:rsidR="003B5513" w:rsidRDefault="00601A73" w:rsidP="003B5513">
      <w:pPr>
        <w:pStyle w:val="TableFigureFooter"/>
        <w:rPr>
          <w:color w:val="258221"/>
        </w:rPr>
      </w:pPr>
      <w:bookmarkStart w:id="38" w:name="_Hlk68276635"/>
      <w:bookmarkEnd w:id="37"/>
      <w:r>
        <w:rPr>
          <w:rFonts w:eastAsia="Calibri"/>
          <w:szCs w:val="20"/>
        </w:rPr>
        <w:t>Abbreviations: 2L=</w:t>
      </w:r>
      <w:proofErr w:type="gramStart"/>
      <w:r>
        <w:rPr>
          <w:rFonts w:eastAsia="Calibri"/>
          <w:szCs w:val="20"/>
        </w:rPr>
        <w:t>second</w:t>
      </w:r>
      <w:r w:rsidR="00C1259D">
        <w:rPr>
          <w:rFonts w:eastAsia="Calibri"/>
          <w:szCs w:val="20"/>
        </w:rPr>
        <w:t>-</w:t>
      </w:r>
      <w:r>
        <w:rPr>
          <w:rFonts w:eastAsia="Calibri"/>
          <w:szCs w:val="20"/>
        </w:rPr>
        <w:t>line</w:t>
      </w:r>
      <w:proofErr w:type="gramEnd"/>
      <w:r>
        <w:rPr>
          <w:rFonts w:eastAsia="Calibri"/>
          <w:szCs w:val="20"/>
        </w:rPr>
        <w:t>; 3L=third</w:t>
      </w:r>
      <w:r w:rsidR="00C1259D">
        <w:rPr>
          <w:rFonts w:eastAsia="Calibri"/>
          <w:szCs w:val="20"/>
        </w:rPr>
        <w:t>-</w:t>
      </w:r>
      <w:r>
        <w:rPr>
          <w:rFonts w:eastAsia="Calibri"/>
          <w:szCs w:val="20"/>
        </w:rPr>
        <w:t xml:space="preserve">line; </w:t>
      </w:r>
      <w:r w:rsidR="0045093D" w:rsidRPr="00CE28E3">
        <w:t>ICER=incremental cost-effectiveness ratio; QALY=quality-adjusted life year</w:t>
      </w:r>
      <w:r w:rsidR="0045093D">
        <w:t>.</w:t>
      </w:r>
      <w:bookmarkEnd w:id="38"/>
    </w:p>
    <w:p w14:paraId="1E30123C" w14:textId="77777777" w:rsidR="00625389" w:rsidRPr="000813AD" w:rsidRDefault="00625389" w:rsidP="00B62D2C">
      <w:pPr>
        <w:pStyle w:val="Heading3"/>
      </w:pPr>
      <w:r w:rsidRPr="000813AD">
        <w:t>Uncertainty analysis: model inputs and assumptions</w:t>
      </w:r>
    </w:p>
    <w:p w14:paraId="56EB7C23" w14:textId="499842F1" w:rsidR="00610ABA" w:rsidRDefault="008B5B67" w:rsidP="000164FE">
      <w:pPr>
        <w:pStyle w:val="a-TEXT"/>
      </w:pPr>
      <w:r w:rsidRPr="00C47431">
        <w:t xml:space="preserve">The results of key </w:t>
      </w:r>
      <w:r w:rsidRPr="00C47431">
        <w:rPr>
          <w:rStyle w:val="InstructionaltextChar"/>
          <w:color w:val="auto"/>
        </w:rPr>
        <w:t>univariate</w:t>
      </w:r>
      <w:r w:rsidR="00C47431" w:rsidRPr="00C47431">
        <w:rPr>
          <w:rStyle w:val="InstructionaltextChar"/>
          <w:color w:val="auto"/>
        </w:rPr>
        <w:t xml:space="preserve"> and </w:t>
      </w:r>
      <w:r w:rsidRPr="00C47431">
        <w:rPr>
          <w:rStyle w:val="InstructionaltextChar"/>
          <w:color w:val="auto"/>
        </w:rPr>
        <w:t>multivariate</w:t>
      </w:r>
      <w:r w:rsidRPr="00C47431">
        <w:rPr>
          <w:color w:val="538135" w:themeColor="accent6" w:themeShade="BF"/>
        </w:rPr>
        <w:t xml:space="preserve"> </w:t>
      </w:r>
      <w:r w:rsidRPr="00C47431">
        <w:t xml:space="preserve">sensitivity analyses </w:t>
      </w:r>
      <w:r w:rsidR="00366024">
        <w:t>conduc</w:t>
      </w:r>
      <w:r w:rsidR="00E0497B">
        <w:t>t</w:t>
      </w:r>
      <w:r w:rsidR="00366024">
        <w:t>ed during evaluation</w:t>
      </w:r>
      <w:r w:rsidR="003A0312">
        <w:t xml:space="preserve"> are summarised below</w:t>
      </w:r>
      <w:r w:rsidRPr="00C47431">
        <w:t>.</w:t>
      </w:r>
    </w:p>
    <w:p w14:paraId="7AF9EE77" w14:textId="1BDEE573" w:rsidR="009D1AC1" w:rsidRPr="00DF39E9" w:rsidRDefault="00136B73" w:rsidP="009D1AC1">
      <w:pPr>
        <w:pStyle w:val="a-TEXT"/>
        <w:rPr>
          <w:rStyle w:val="InstructionaltextChar"/>
        </w:rPr>
      </w:pPr>
      <w:r>
        <w:t xml:space="preserve">Sensitivity analysis was conducted for discount rate, time horizon, baseline age, </w:t>
      </w:r>
      <w:r w:rsidRPr="00136B73">
        <w:t xml:space="preserve">cost of auto-SCT, cost of hospitalization for </w:t>
      </w:r>
      <w:r w:rsidR="00226D5B">
        <w:t>AXI</w:t>
      </w:r>
      <w:r w:rsidRPr="00136B73">
        <w:t xml:space="preserve">, </w:t>
      </w:r>
      <w:r w:rsidR="003A0312">
        <w:t>p</w:t>
      </w:r>
      <w:r w:rsidR="003A0312" w:rsidRPr="00136B73">
        <w:t xml:space="preserve">arametric </w:t>
      </w:r>
      <w:r w:rsidRPr="00136B73">
        <w:t xml:space="preserve">function applied to extrapolate OS, SMR and utility weights. </w:t>
      </w:r>
      <w:r w:rsidR="009D1AC1">
        <w:t>The sensitivity analyses indicate that the results of the economic analysis are most sensitive to the discount rate</w:t>
      </w:r>
      <w:r>
        <w:t xml:space="preserve"> (</w:t>
      </w:r>
      <w:r w:rsidR="009D1AC1">
        <w:t>with higher discount rates favouring SoC</w:t>
      </w:r>
      <w:r>
        <w:t>)</w:t>
      </w:r>
      <w:r w:rsidR="009D1AC1">
        <w:t xml:space="preserve"> and to the function</w:t>
      </w:r>
      <w:r w:rsidR="003A0312">
        <w:t>al form</w:t>
      </w:r>
      <w:r w:rsidR="009D1AC1">
        <w:t xml:space="preserve"> used to extrapolate OS.</w:t>
      </w:r>
      <w:r>
        <w:t xml:space="preserve"> Results</w:t>
      </w:r>
      <w:r w:rsidDel="00210BA6">
        <w:t xml:space="preserve"> </w:t>
      </w:r>
      <w:r>
        <w:t xml:space="preserve">are presented in </w:t>
      </w:r>
      <w:r w:rsidR="00FC0100">
        <w:t xml:space="preserve">Table </w:t>
      </w:r>
      <w:r w:rsidR="00770B52">
        <w:t>10</w:t>
      </w:r>
      <w:r>
        <w:t>.</w:t>
      </w:r>
    </w:p>
    <w:p w14:paraId="582A1547" w14:textId="6C2D262B" w:rsidR="002C72D1" w:rsidRPr="00377132" w:rsidRDefault="008B5B67" w:rsidP="00FC54DC">
      <w:pPr>
        <w:pStyle w:val="aTableHeading"/>
        <w:rPr>
          <w:i/>
        </w:rPr>
      </w:pPr>
      <w:bookmarkStart w:id="39" w:name="_Ref69726347"/>
      <w:r w:rsidRPr="00BB2BFF">
        <w:lastRenderedPageBreak/>
        <w:t>Table</w:t>
      </w:r>
      <w:r w:rsidR="003571C2" w:rsidRPr="00BB2BFF">
        <w:t> </w:t>
      </w:r>
      <w:bookmarkEnd w:id="39"/>
      <w:r w:rsidR="00770B52">
        <w:t>10</w:t>
      </w:r>
      <w:r w:rsidR="002D0769" w:rsidRPr="00BB2BFF">
        <w:tab/>
      </w:r>
      <w:r w:rsidR="002C72D1" w:rsidRPr="00E34D29">
        <w:t>Respecified</w:t>
      </w:r>
      <w:bookmarkStart w:id="40" w:name="_Hlk68276759"/>
      <w:r w:rsidR="002C72D1" w:rsidRPr="00E34D29">
        <w:t xml:space="preserve"> base </w:t>
      </w:r>
      <w:proofErr w:type="spellStart"/>
      <w:r w:rsidR="002C72D1" w:rsidRPr="00E34D29">
        <w:t>case</w:t>
      </w:r>
      <w:r w:rsidR="002C72D1" w:rsidRPr="00E34D29">
        <w:rPr>
          <w:vertAlign w:val="superscript"/>
        </w:rPr>
        <w:t>a</w:t>
      </w:r>
      <w:proofErr w:type="spellEnd"/>
      <w:r w:rsidR="002C72D1" w:rsidRPr="00E34D29">
        <w:t xml:space="preserve"> and sensitivity analysis</w:t>
      </w:r>
      <w:r w:rsidR="00FC54DC">
        <w:t xml:space="preserve"> (commentary)</w:t>
      </w:r>
      <w:r w:rsidR="007B7298">
        <w:t xml:space="preserve">; </w:t>
      </w:r>
      <w:r w:rsidR="007B7298">
        <w:rPr>
          <w:i/>
          <w:iCs/>
        </w:rPr>
        <w:t xml:space="preserve">Updated to include </w:t>
      </w:r>
      <w:r w:rsidR="007B7298" w:rsidRPr="00EB3F7D">
        <w:rPr>
          <w:i/>
          <w:iCs/>
        </w:rPr>
        <w:t xml:space="preserve">ESC additional </w:t>
      </w:r>
      <w:r w:rsidR="007B7298">
        <w:rPr>
          <w:i/>
          <w:iCs/>
        </w:rPr>
        <w:t>sensitivity analyse</w:t>
      </w:r>
      <w:r w:rsidR="00B07127">
        <w:rPr>
          <w:i/>
          <w:iCs/>
        </w:rPr>
        <w:t xml:space="preserve">s for exploratory </w:t>
      </w:r>
      <w:proofErr w:type="gramStart"/>
      <w:r w:rsidR="00B07127">
        <w:rPr>
          <w:i/>
          <w:iCs/>
        </w:rPr>
        <w:t>purposes</w:t>
      </w:r>
      <w:proofErr w:type="gramEnd"/>
    </w:p>
    <w:tbl>
      <w:tblPr>
        <w:tblStyle w:val="TableGrid1"/>
        <w:tblW w:w="0" w:type="auto"/>
        <w:tblLook w:val="04A0" w:firstRow="1" w:lastRow="0" w:firstColumn="1" w:lastColumn="0" w:noHBand="0" w:noVBand="1"/>
      </w:tblPr>
      <w:tblGrid>
        <w:gridCol w:w="5098"/>
        <w:gridCol w:w="1304"/>
        <w:gridCol w:w="1304"/>
        <w:gridCol w:w="1304"/>
      </w:tblGrid>
      <w:tr w:rsidR="002C72D1" w14:paraId="7A3BE5A4" w14:textId="77777777" w:rsidTr="00EB3F7D">
        <w:trPr>
          <w:cnfStyle w:val="100000000000" w:firstRow="1" w:lastRow="0" w:firstColumn="0" w:lastColumn="0" w:oddVBand="0" w:evenVBand="0" w:oddHBand="0" w:evenHBand="0" w:firstRowFirstColumn="0" w:firstRowLastColumn="0" w:lastRowFirstColumn="0" w:lastRowLastColumn="0"/>
        </w:trPr>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7F33AF" w14:textId="77777777" w:rsidR="002C72D1" w:rsidRPr="001B2130" w:rsidRDefault="002C72D1" w:rsidP="00FC54DC">
            <w:pPr>
              <w:keepNext/>
              <w:rPr>
                <w:rFonts w:ascii="Arial Narrow" w:hAnsi="Arial Narrow"/>
                <w:b/>
                <w:bCs/>
                <w:sz w:val="20"/>
                <w:szCs w:val="20"/>
              </w:rPr>
            </w:pPr>
            <w:r w:rsidRPr="001B2130">
              <w:rPr>
                <w:rFonts w:ascii="Arial Narrow" w:hAnsi="Arial Narrow"/>
                <w:b/>
                <w:bCs/>
                <w:sz w:val="20"/>
                <w:szCs w:val="20"/>
              </w:rPr>
              <w:t>Variables altered in sensitivity analysis</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7EEBA2E" w14:textId="77777777" w:rsidR="002C72D1" w:rsidRPr="001B2130" w:rsidRDefault="002C72D1" w:rsidP="00FC54DC">
            <w:pPr>
              <w:keepNext/>
              <w:jc w:val="center"/>
              <w:rPr>
                <w:rFonts w:ascii="Arial Narrow" w:hAnsi="Arial Narrow"/>
                <w:b/>
                <w:bCs/>
                <w:sz w:val="20"/>
                <w:szCs w:val="20"/>
              </w:rPr>
            </w:pPr>
            <w:r w:rsidRPr="001B2130">
              <w:rPr>
                <w:rFonts w:ascii="Arial Narrow" w:hAnsi="Arial Narrow"/>
                <w:b/>
                <w:bCs/>
                <w:sz w:val="20"/>
                <w:szCs w:val="20"/>
              </w:rPr>
              <w:t>Incremental costs</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C696F58" w14:textId="77777777" w:rsidR="002C72D1" w:rsidRPr="001B2130" w:rsidRDefault="002C72D1" w:rsidP="00FC54DC">
            <w:pPr>
              <w:keepNext/>
              <w:jc w:val="center"/>
              <w:rPr>
                <w:rFonts w:ascii="Arial Narrow" w:hAnsi="Arial Narrow"/>
                <w:b/>
                <w:bCs/>
                <w:sz w:val="20"/>
                <w:szCs w:val="20"/>
              </w:rPr>
            </w:pPr>
            <w:r w:rsidRPr="001B2130">
              <w:rPr>
                <w:rFonts w:ascii="Arial Narrow" w:hAnsi="Arial Narrow"/>
                <w:b/>
                <w:bCs/>
                <w:sz w:val="20"/>
                <w:szCs w:val="20"/>
              </w:rPr>
              <w:t>Incremental QALYs</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3E16DBF" w14:textId="77777777" w:rsidR="002C72D1" w:rsidRPr="001B2130" w:rsidRDefault="002C72D1" w:rsidP="00FC54DC">
            <w:pPr>
              <w:keepNext/>
              <w:jc w:val="center"/>
              <w:rPr>
                <w:rFonts w:ascii="Arial Narrow" w:hAnsi="Arial Narrow"/>
                <w:b/>
                <w:bCs/>
                <w:sz w:val="20"/>
                <w:szCs w:val="20"/>
              </w:rPr>
            </w:pPr>
            <w:r w:rsidRPr="001B2130">
              <w:rPr>
                <w:rFonts w:ascii="Arial Narrow" w:hAnsi="Arial Narrow"/>
                <w:b/>
                <w:bCs/>
                <w:sz w:val="20"/>
                <w:szCs w:val="20"/>
              </w:rPr>
              <w:t>ICER</w:t>
            </w:r>
          </w:p>
        </w:tc>
      </w:tr>
      <w:tr w:rsidR="002C72D1" w14:paraId="7F663B91" w14:textId="77777777" w:rsidTr="00EB3F7D">
        <w:tc>
          <w:tcPr>
            <w:tcW w:w="5098"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shd w:val="clear" w:color="auto" w:fill="F2F2F2" w:themeFill="background1" w:themeFillShade="F2"/>
            <w:hideMark/>
          </w:tcPr>
          <w:p w14:paraId="66E5B9B0" w14:textId="77777777" w:rsidR="002C72D1" w:rsidRPr="00377132" w:rsidRDefault="002C72D1" w:rsidP="00FC54DC">
            <w:pPr>
              <w:keepNext/>
              <w:rPr>
                <w:rFonts w:ascii="Arial Narrow" w:hAnsi="Arial Narrow"/>
                <w:b/>
                <w:sz w:val="20"/>
                <w:szCs w:val="20"/>
              </w:rPr>
            </w:pPr>
            <w:r w:rsidRPr="00377132">
              <w:rPr>
                <w:rFonts w:ascii="Arial Narrow" w:hAnsi="Arial Narrow"/>
                <w:b/>
                <w:sz w:val="20"/>
                <w:szCs w:val="20"/>
              </w:rPr>
              <w:t>Respecified base case results</w:t>
            </w:r>
            <w:r w:rsidRPr="00377132">
              <w:rPr>
                <w:rFonts w:ascii="Arial Narrow" w:hAnsi="Arial Narrow"/>
                <w:b/>
              </w:rPr>
              <w:t xml:space="preserve"> </w:t>
            </w:r>
            <w:r w:rsidRPr="00770B52">
              <w:rPr>
                <w:rFonts w:ascii="Arial Narrow" w:hAnsi="Arial Narrow"/>
                <w:b/>
                <w:sz w:val="20"/>
                <w:szCs w:val="20"/>
              </w:rPr>
              <w:t>(by AG)</w:t>
            </w:r>
          </w:p>
        </w:tc>
        <w:tc>
          <w:tcPr>
            <w:tcW w:w="1304"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611918C" w14:textId="79DB1C3D" w:rsidR="002C72D1" w:rsidRPr="00377132" w:rsidRDefault="002C72D1" w:rsidP="00FC54DC">
            <w:pPr>
              <w:keepNext/>
              <w:jc w:val="center"/>
              <w:rPr>
                <w:rFonts w:ascii="Arial Narrow" w:hAnsi="Arial Narrow"/>
                <w:b/>
                <w:sz w:val="20"/>
                <w:szCs w:val="20"/>
              </w:rPr>
            </w:pPr>
            <w:r w:rsidRPr="002F3CF8">
              <w:rPr>
                <w:rFonts w:ascii="Arial Narrow" w:hAnsi="Arial Narrow"/>
                <w:b/>
                <w:sz w:val="20"/>
                <w:szCs w:val="20"/>
              </w:rPr>
              <w:t>$</w:t>
            </w:r>
            <w:r w:rsidR="002610F9" w:rsidRPr="002610F9">
              <w:rPr>
                <w:rFonts w:ascii="Arial Narrow" w:hAnsi="Arial Narrow" w:hint="eastAsia"/>
                <w:b/>
                <w:color w:val="000000"/>
                <w:w w:val="22"/>
                <w:sz w:val="20"/>
                <w:szCs w:val="20"/>
                <w:shd w:val="solid" w:color="000000" w:fill="000000"/>
                <w:fitText w:val="100" w:id="-1217620465"/>
                <w14:textFill>
                  <w14:solidFill>
                    <w14:srgbClr w14:val="000000">
                      <w14:alpha w14:val="100000"/>
                    </w14:srgbClr>
                  </w14:solidFill>
                </w14:textFill>
              </w:rPr>
              <w:t xml:space="preserve">　</w:t>
            </w:r>
            <w:r w:rsidR="002610F9" w:rsidRPr="002610F9">
              <w:rPr>
                <w:rFonts w:ascii="Arial Narrow" w:hAnsi="Arial Narrow"/>
                <w:b/>
                <w:color w:val="000000"/>
                <w:w w:val="22"/>
                <w:sz w:val="20"/>
                <w:szCs w:val="20"/>
                <w:shd w:val="solid" w:color="000000" w:fill="000000"/>
                <w:fitText w:val="100" w:id="-1217620465"/>
                <w14:textFill>
                  <w14:solidFill>
                    <w14:srgbClr w14:val="000000">
                      <w14:alpha w14:val="100000"/>
                    </w14:srgbClr>
                  </w14:solidFill>
                </w14:textFill>
              </w:rPr>
              <w:t>|</w:t>
            </w:r>
            <w:r w:rsidR="002610F9" w:rsidRPr="002610F9">
              <w:rPr>
                <w:rFonts w:ascii="Arial Narrow" w:hAnsi="Arial Narrow" w:hint="eastAsia"/>
                <w:b/>
                <w:color w:val="000000"/>
                <w:spacing w:val="2"/>
                <w:w w:val="22"/>
                <w:sz w:val="20"/>
                <w:szCs w:val="20"/>
                <w:shd w:val="solid" w:color="000000" w:fill="000000"/>
                <w:fitText w:val="100" w:id="-1217620465"/>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B095DF5" w14:textId="77777777" w:rsidR="002C72D1" w:rsidRPr="00377132" w:rsidRDefault="002C72D1" w:rsidP="00FC54DC">
            <w:pPr>
              <w:keepNext/>
              <w:jc w:val="center"/>
              <w:rPr>
                <w:rFonts w:ascii="Arial Narrow" w:hAnsi="Arial Narrow"/>
                <w:b/>
                <w:sz w:val="20"/>
                <w:szCs w:val="20"/>
              </w:rPr>
            </w:pPr>
            <w:r w:rsidRPr="00377132">
              <w:rPr>
                <w:rFonts w:ascii="Arial Narrow" w:hAnsi="Arial Narrow"/>
                <w:b/>
                <w:sz w:val="20"/>
                <w:szCs w:val="20"/>
              </w:rPr>
              <w:t>1.050</w:t>
            </w:r>
          </w:p>
        </w:tc>
        <w:tc>
          <w:tcPr>
            <w:tcW w:w="1304"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1665F63" w14:textId="2BC9899E" w:rsidR="002C72D1" w:rsidRPr="00377132" w:rsidRDefault="002C72D1" w:rsidP="00FC54DC">
            <w:pPr>
              <w:keepNext/>
              <w:jc w:val="center"/>
              <w:rPr>
                <w:rFonts w:ascii="Arial Narrow" w:hAnsi="Arial Narrow"/>
                <w:b/>
                <w:sz w:val="20"/>
                <w:szCs w:val="20"/>
              </w:rPr>
            </w:pPr>
            <w:r w:rsidRPr="002F3CF8">
              <w:rPr>
                <w:rFonts w:ascii="Arial Narrow" w:hAnsi="Arial Narrow"/>
                <w:b/>
                <w:sz w:val="20"/>
                <w:szCs w:val="20"/>
              </w:rPr>
              <w:t>$</w:t>
            </w:r>
            <w:r w:rsidR="002610F9" w:rsidRPr="002610F9">
              <w:rPr>
                <w:rFonts w:ascii="Arial Narrow" w:hAnsi="Arial Narrow" w:hint="eastAsia"/>
                <w:b/>
                <w:color w:val="000000"/>
                <w:w w:val="22"/>
                <w:sz w:val="20"/>
                <w:szCs w:val="20"/>
                <w:shd w:val="solid" w:color="000000" w:fill="000000"/>
                <w:fitText w:val="100" w:id="-1217620464"/>
                <w14:textFill>
                  <w14:solidFill>
                    <w14:srgbClr w14:val="000000">
                      <w14:alpha w14:val="100000"/>
                    </w14:srgbClr>
                  </w14:solidFill>
                </w14:textFill>
              </w:rPr>
              <w:t xml:space="preserve">　</w:t>
            </w:r>
            <w:r w:rsidR="002610F9" w:rsidRPr="002610F9">
              <w:rPr>
                <w:rFonts w:ascii="Arial Narrow" w:hAnsi="Arial Narrow"/>
                <w:b/>
                <w:color w:val="000000"/>
                <w:w w:val="22"/>
                <w:sz w:val="20"/>
                <w:szCs w:val="20"/>
                <w:shd w:val="solid" w:color="000000" w:fill="000000"/>
                <w:fitText w:val="100" w:id="-1217620464"/>
                <w14:textFill>
                  <w14:solidFill>
                    <w14:srgbClr w14:val="000000">
                      <w14:alpha w14:val="100000"/>
                    </w14:srgbClr>
                  </w14:solidFill>
                </w14:textFill>
              </w:rPr>
              <w:t>|</w:t>
            </w:r>
            <w:r w:rsidR="002610F9" w:rsidRPr="002610F9">
              <w:rPr>
                <w:rFonts w:ascii="Arial Narrow" w:hAnsi="Arial Narrow" w:hint="eastAsia"/>
                <w:b/>
                <w:color w:val="000000"/>
                <w:spacing w:val="2"/>
                <w:w w:val="22"/>
                <w:sz w:val="20"/>
                <w:szCs w:val="20"/>
                <w:shd w:val="solid" w:color="000000" w:fill="000000"/>
                <w:fitText w:val="100" w:id="-1217620464"/>
                <w14:textFill>
                  <w14:solidFill>
                    <w14:srgbClr w14:val="000000">
                      <w14:alpha w14:val="100000"/>
                    </w14:srgbClr>
                  </w14:solidFill>
                </w14:textFill>
              </w:rPr>
              <w:t xml:space="preserve">　</w:t>
            </w:r>
          </w:p>
        </w:tc>
      </w:tr>
      <w:tr w:rsidR="002C72D1" w14:paraId="2474EBE7" w14:textId="77777777" w:rsidTr="0044634C">
        <w:tc>
          <w:tcPr>
            <w:tcW w:w="9010" w:type="dxa"/>
            <w:gridSpan w:val="4"/>
            <w:tcBorders>
              <w:top w:val="doub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082B61" w14:textId="76A49AFD" w:rsidR="002C72D1" w:rsidRPr="00377132" w:rsidRDefault="002C72D1" w:rsidP="00FC54DC">
            <w:pPr>
              <w:keepNext/>
              <w:rPr>
                <w:rFonts w:ascii="Arial Narrow" w:hAnsi="Arial Narrow"/>
                <w:b/>
                <w:sz w:val="20"/>
                <w:szCs w:val="20"/>
                <w:u w:val="single"/>
              </w:rPr>
            </w:pPr>
            <w:r w:rsidRPr="00377132">
              <w:rPr>
                <w:rFonts w:ascii="Arial Narrow" w:hAnsi="Arial Narrow"/>
                <w:b/>
                <w:sz w:val="20"/>
                <w:szCs w:val="20"/>
                <w:u w:val="single"/>
              </w:rPr>
              <w:t>Discount rate (</w:t>
            </w:r>
            <w:r w:rsidR="00545C36" w:rsidRPr="00377132">
              <w:rPr>
                <w:rFonts w:ascii="Arial Narrow" w:hAnsi="Arial Narrow"/>
                <w:b/>
                <w:sz w:val="20"/>
                <w:szCs w:val="20"/>
                <w:u w:val="single"/>
              </w:rPr>
              <w:t xml:space="preserve">respecified </w:t>
            </w:r>
            <w:r w:rsidRPr="00377132">
              <w:rPr>
                <w:rFonts w:ascii="Arial Narrow" w:hAnsi="Arial Narrow"/>
                <w:b/>
                <w:sz w:val="20"/>
                <w:szCs w:val="20"/>
                <w:u w:val="single"/>
              </w:rPr>
              <w:t>base case = 5%)</w:t>
            </w:r>
          </w:p>
        </w:tc>
      </w:tr>
      <w:tr w:rsidR="002C72D1" w14:paraId="52903537" w14:textId="77777777" w:rsidTr="00EB3F7D">
        <w:tc>
          <w:tcPr>
            <w:tcW w:w="5098"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hideMark/>
          </w:tcPr>
          <w:p w14:paraId="348AB138" w14:textId="77777777" w:rsidR="002C72D1" w:rsidRPr="00377132" w:rsidRDefault="002C72D1" w:rsidP="00D51B1C">
            <w:pPr>
              <w:pStyle w:val="ListParagraph"/>
              <w:keepNext/>
              <w:numPr>
                <w:ilvl w:val="0"/>
                <w:numId w:val="14"/>
              </w:numPr>
              <w:ind w:left="284" w:hanging="284"/>
              <w:rPr>
                <w:rFonts w:ascii="Arial Narrow" w:hAnsi="Arial Narrow"/>
                <w:sz w:val="20"/>
                <w:szCs w:val="20"/>
              </w:rPr>
            </w:pPr>
            <w:r w:rsidRPr="00377132">
              <w:rPr>
                <w:rFonts w:ascii="Arial Narrow" w:hAnsi="Arial Narrow"/>
                <w:sz w:val="20"/>
                <w:szCs w:val="20"/>
              </w:rPr>
              <w:t>3.5%</w:t>
            </w:r>
          </w:p>
        </w:tc>
        <w:tc>
          <w:tcPr>
            <w:tcW w:w="1304"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vAlign w:val="center"/>
            <w:hideMark/>
          </w:tcPr>
          <w:p w14:paraId="47BD82F1" w14:textId="30B69FE8" w:rsidR="002C72D1" w:rsidRPr="00377132" w:rsidRDefault="002C72D1" w:rsidP="00FC54DC">
            <w:pPr>
              <w:keepNext/>
              <w:jc w:val="center"/>
              <w:rPr>
                <w:rFonts w:ascii="Arial Narrow" w:hAnsi="Arial Narrow"/>
                <w:sz w:val="20"/>
                <w:szCs w:val="20"/>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80"/>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80"/>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80"/>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vAlign w:val="center"/>
            <w:hideMark/>
          </w:tcPr>
          <w:p w14:paraId="4C5529F9" w14:textId="77777777" w:rsidR="002C72D1" w:rsidRPr="00377132" w:rsidRDefault="002C72D1" w:rsidP="00FC54DC">
            <w:pPr>
              <w:keepNext/>
              <w:jc w:val="center"/>
              <w:rPr>
                <w:rFonts w:ascii="Arial Narrow" w:hAnsi="Arial Narrow"/>
                <w:sz w:val="20"/>
                <w:szCs w:val="20"/>
              </w:rPr>
            </w:pPr>
            <w:r w:rsidRPr="00377132">
              <w:rPr>
                <w:rFonts w:ascii="Arial Narrow" w:hAnsi="Arial Narrow"/>
                <w:sz w:val="20"/>
                <w:szCs w:val="20"/>
              </w:rPr>
              <w:t>1.231</w:t>
            </w:r>
          </w:p>
        </w:tc>
        <w:tc>
          <w:tcPr>
            <w:tcW w:w="1304"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vAlign w:val="center"/>
            <w:hideMark/>
          </w:tcPr>
          <w:p w14:paraId="7A3807CD" w14:textId="58710684" w:rsidR="002C72D1" w:rsidRPr="00377132" w:rsidRDefault="002C72D1" w:rsidP="00FC54DC">
            <w:pPr>
              <w:keepNext/>
              <w:jc w:val="center"/>
              <w:rPr>
                <w:rFonts w:ascii="Arial Narrow" w:hAnsi="Arial Narrow"/>
                <w:sz w:val="20"/>
                <w:szCs w:val="20"/>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79"/>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79"/>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79"/>
                <w14:textFill>
                  <w14:solidFill>
                    <w14:srgbClr w14:val="000000">
                      <w14:alpha w14:val="100000"/>
                    </w14:srgbClr>
                  </w14:solidFill>
                </w14:textFill>
              </w:rPr>
              <w:t xml:space="preserve">　</w:t>
            </w:r>
          </w:p>
        </w:tc>
      </w:tr>
      <w:tr w:rsidR="002C72D1" w14:paraId="6713538C" w14:textId="77777777" w:rsidTr="0044634C">
        <w:tc>
          <w:tcPr>
            <w:tcW w:w="9010" w:type="dxa"/>
            <w:gridSpan w:val="4"/>
            <w:tcBorders>
              <w:top w:val="doub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564EA2" w14:textId="14D9461D" w:rsidR="002C72D1" w:rsidRPr="00377132" w:rsidRDefault="002C72D1" w:rsidP="00FC54DC">
            <w:pPr>
              <w:keepNext/>
              <w:rPr>
                <w:rFonts w:ascii="Arial Narrow" w:hAnsi="Arial Narrow"/>
                <w:b/>
                <w:sz w:val="20"/>
                <w:szCs w:val="20"/>
              </w:rPr>
            </w:pPr>
            <w:r w:rsidRPr="00377132">
              <w:rPr>
                <w:rFonts w:ascii="Arial Narrow" w:hAnsi="Arial Narrow"/>
                <w:b/>
                <w:sz w:val="20"/>
                <w:szCs w:val="20"/>
                <w:u w:val="single"/>
              </w:rPr>
              <w:t>Time horizon (</w:t>
            </w:r>
            <w:r w:rsidR="00545C36" w:rsidRPr="00377132">
              <w:rPr>
                <w:rFonts w:ascii="Arial Narrow" w:hAnsi="Arial Narrow"/>
                <w:b/>
                <w:sz w:val="20"/>
                <w:szCs w:val="20"/>
                <w:u w:val="single"/>
              </w:rPr>
              <w:t xml:space="preserve">respecified </w:t>
            </w:r>
            <w:r w:rsidRPr="00377132">
              <w:rPr>
                <w:rFonts w:ascii="Arial Narrow" w:hAnsi="Arial Narrow"/>
                <w:b/>
                <w:sz w:val="20"/>
                <w:szCs w:val="20"/>
                <w:u w:val="single"/>
              </w:rPr>
              <w:t>base case = 30 years)</w:t>
            </w:r>
          </w:p>
        </w:tc>
      </w:tr>
      <w:tr w:rsidR="002C72D1" w14:paraId="766298A8" w14:textId="77777777" w:rsidTr="00EB3F7D">
        <w:tc>
          <w:tcPr>
            <w:tcW w:w="5098"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hideMark/>
          </w:tcPr>
          <w:p w14:paraId="6B7912A0" w14:textId="77777777" w:rsidR="002C72D1" w:rsidRPr="00377132" w:rsidRDefault="002C72D1" w:rsidP="00D51B1C">
            <w:pPr>
              <w:pStyle w:val="ListParagraph"/>
              <w:keepNext/>
              <w:numPr>
                <w:ilvl w:val="0"/>
                <w:numId w:val="14"/>
              </w:numPr>
              <w:ind w:left="284" w:hanging="284"/>
              <w:rPr>
                <w:rFonts w:ascii="Arial Narrow" w:hAnsi="Arial Narrow"/>
                <w:sz w:val="20"/>
                <w:szCs w:val="20"/>
              </w:rPr>
            </w:pPr>
            <w:r w:rsidRPr="00377132">
              <w:rPr>
                <w:rFonts w:ascii="Arial Narrow" w:hAnsi="Arial Narrow"/>
                <w:sz w:val="20"/>
                <w:szCs w:val="20"/>
              </w:rPr>
              <w:t>40 years</w:t>
            </w:r>
          </w:p>
        </w:tc>
        <w:tc>
          <w:tcPr>
            <w:tcW w:w="1304"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hideMark/>
          </w:tcPr>
          <w:p w14:paraId="1ECC7798" w14:textId="69D93945" w:rsidR="002C72D1" w:rsidRPr="00377132" w:rsidRDefault="002C72D1" w:rsidP="00FC54DC">
            <w:pPr>
              <w:keepNext/>
              <w:jc w:val="center"/>
              <w:rPr>
                <w:rFonts w:ascii="Arial Narrow" w:hAnsi="Arial Narrow"/>
                <w:sz w:val="20"/>
                <w:szCs w:val="20"/>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78"/>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78"/>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78"/>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hideMark/>
          </w:tcPr>
          <w:p w14:paraId="2514B240" w14:textId="77777777" w:rsidR="002C72D1" w:rsidRPr="00377132" w:rsidRDefault="002C72D1" w:rsidP="00FC54DC">
            <w:pPr>
              <w:keepNext/>
              <w:jc w:val="center"/>
              <w:rPr>
                <w:rFonts w:ascii="Arial Narrow" w:hAnsi="Arial Narrow"/>
                <w:sz w:val="20"/>
                <w:szCs w:val="20"/>
              </w:rPr>
            </w:pPr>
            <w:r w:rsidRPr="00377132">
              <w:rPr>
                <w:rFonts w:ascii="Arial Narrow" w:hAnsi="Arial Narrow"/>
                <w:sz w:val="20"/>
                <w:szCs w:val="20"/>
              </w:rPr>
              <w:t>1.086</w:t>
            </w:r>
          </w:p>
        </w:tc>
        <w:tc>
          <w:tcPr>
            <w:tcW w:w="1304"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hideMark/>
          </w:tcPr>
          <w:p w14:paraId="26070549" w14:textId="0CA90523"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77"/>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77"/>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77"/>
                <w14:textFill>
                  <w14:solidFill>
                    <w14:srgbClr w14:val="000000">
                      <w14:alpha w14:val="100000"/>
                    </w14:srgbClr>
                  </w14:solidFill>
                </w14:textFill>
              </w:rPr>
              <w:t xml:space="preserve">　</w:t>
            </w:r>
          </w:p>
        </w:tc>
      </w:tr>
      <w:tr w:rsidR="002C72D1" w14:paraId="2D7C90F4" w14:textId="77777777" w:rsidTr="00EB3F7D">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876EC0" w14:textId="77777777" w:rsidR="002C72D1" w:rsidRPr="00377132" w:rsidRDefault="002C72D1" w:rsidP="00FC54DC">
            <w:pPr>
              <w:keepNext/>
              <w:rPr>
                <w:rFonts w:ascii="Arial Narrow" w:hAnsi="Arial Narrow"/>
                <w:b/>
                <w:sz w:val="20"/>
                <w:szCs w:val="20"/>
              </w:rPr>
            </w:pPr>
            <w:r w:rsidRPr="00377132">
              <w:rPr>
                <w:rFonts w:ascii="Arial Narrow" w:hAnsi="Arial Narrow"/>
                <w:b/>
                <w:sz w:val="20"/>
                <w:szCs w:val="20"/>
                <w:u w:val="single"/>
              </w:rPr>
              <w:t>Baseline age (base case = 57.2)</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B09032" w14:textId="77777777" w:rsidR="002C72D1" w:rsidRPr="00377132" w:rsidRDefault="002C72D1" w:rsidP="00FC54DC">
            <w:pPr>
              <w:keepNext/>
              <w:jc w:val="center"/>
              <w:rPr>
                <w:rFonts w:ascii="Arial Narrow" w:hAnsi="Arial Narrow"/>
                <w:b/>
                <w:sz w:val="20"/>
                <w:szCs w:val="20"/>
              </w:rPr>
            </w:pP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989CD7" w14:textId="77777777" w:rsidR="002C72D1" w:rsidRPr="00377132" w:rsidRDefault="002C72D1" w:rsidP="00FC54DC">
            <w:pPr>
              <w:keepNext/>
              <w:jc w:val="center"/>
              <w:rPr>
                <w:rFonts w:ascii="Arial Narrow" w:hAnsi="Arial Narrow"/>
                <w:b/>
                <w:sz w:val="20"/>
                <w:szCs w:val="20"/>
              </w:rPr>
            </w:pP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C5B34F" w14:textId="77777777" w:rsidR="002C72D1" w:rsidRPr="00377132" w:rsidRDefault="002C72D1" w:rsidP="00FC54DC">
            <w:pPr>
              <w:keepNext/>
              <w:jc w:val="center"/>
              <w:rPr>
                <w:rFonts w:ascii="Arial Narrow" w:hAnsi="Arial Narrow"/>
                <w:b/>
                <w:sz w:val="20"/>
                <w:szCs w:val="20"/>
              </w:rPr>
            </w:pPr>
          </w:p>
        </w:tc>
      </w:tr>
      <w:tr w:rsidR="002C72D1" w14:paraId="34AE9EF2" w14:textId="77777777" w:rsidTr="00EB3F7D">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D19D69" w14:textId="77777777" w:rsidR="002C72D1" w:rsidRPr="00377132" w:rsidRDefault="002C72D1" w:rsidP="00D51B1C">
            <w:pPr>
              <w:pStyle w:val="ListParagraph"/>
              <w:keepNext/>
              <w:numPr>
                <w:ilvl w:val="0"/>
                <w:numId w:val="14"/>
              </w:numPr>
              <w:ind w:left="284" w:hanging="284"/>
              <w:rPr>
                <w:rFonts w:ascii="Arial Narrow" w:hAnsi="Arial Narrow"/>
                <w:sz w:val="20"/>
                <w:szCs w:val="20"/>
              </w:rPr>
            </w:pPr>
            <w:r w:rsidRPr="00377132">
              <w:rPr>
                <w:rFonts w:ascii="Arial Narrow" w:hAnsi="Arial Narrow"/>
                <w:sz w:val="20"/>
                <w:szCs w:val="20"/>
              </w:rPr>
              <w:t>55 years</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908488" w14:textId="31002E31"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76"/>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76"/>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76"/>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3948DF" w14:textId="77777777" w:rsidR="002C72D1" w:rsidRPr="00377132" w:rsidRDefault="002C72D1" w:rsidP="00FC54DC">
            <w:pPr>
              <w:keepNext/>
              <w:jc w:val="center"/>
              <w:rPr>
                <w:rFonts w:ascii="Arial Narrow" w:hAnsi="Arial Narrow"/>
                <w:sz w:val="20"/>
                <w:szCs w:val="20"/>
              </w:rPr>
            </w:pPr>
            <w:r w:rsidRPr="00377132">
              <w:rPr>
                <w:rFonts w:ascii="Arial Narrow" w:hAnsi="Arial Narrow"/>
                <w:sz w:val="20"/>
                <w:szCs w:val="20"/>
              </w:rPr>
              <w:t>1.077</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AD6954" w14:textId="062A1003"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75"/>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75"/>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75"/>
                <w14:textFill>
                  <w14:solidFill>
                    <w14:srgbClr w14:val="000000">
                      <w14:alpha w14:val="100000"/>
                    </w14:srgbClr>
                  </w14:solidFill>
                </w14:textFill>
              </w:rPr>
              <w:t xml:space="preserve">　</w:t>
            </w:r>
          </w:p>
        </w:tc>
      </w:tr>
      <w:tr w:rsidR="002C72D1" w14:paraId="2AA68247" w14:textId="77777777" w:rsidTr="00EB3F7D">
        <w:tc>
          <w:tcPr>
            <w:tcW w:w="5098"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hideMark/>
          </w:tcPr>
          <w:p w14:paraId="2A14852E" w14:textId="77777777" w:rsidR="002C72D1" w:rsidRPr="00377132" w:rsidRDefault="002C72D1" w:rsidP="00D51B1C">
            <w:pPr>
              <w:pStyle w:val="ListParagraph"/>
              <w:keepNext/>
              <w:numPr>
                <w:ilvl w:val="0"/>
                <w:numId w:val="14"/>
              </w:numPr>
              <w:ind w:left="284" w:hanging="284"/>
              <w:rPr>
                <w:rFonts w:ascii="Arial Narrow" w:hAnsi="Arial Narrow"/>
                <w:sz w:val="20"/>
                <w:szCs w:val="20"/>
              </w:rPr>
            </w:pPr>
            <w:r w:rsidRPr="00377132">
              <w:rPr>
                <w:rFonts w:ascii="Arial Narrow" w:hAnsi="Arial Narrow"/>
                <w:sz w:val="20"/>
                <w:szCs w:val="20"/>
              </w:rPr>
              <w:t>70 years</w:t>
            </w:r>
          </w:p>
        </w:tc>
        <w:tc>
          <w:tcPr>
            <w:tcW w:w="1304"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hideMark/>
          </w:tcPr>
          <w:p w14:paraId="7045F253" w14:textId="24DCC027"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74"/>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74"/>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74"/>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hideMark/>
          </w:tcPr>
          <w:p w14:paraId="466E5855" w14:textId="77777777" w:rsidR="002C72D1" w:rsidRPr="00377132" w:rsidRDefault="002C72D1" w:rsidP="00FC54DC">
            <w:pPr>
              <w:keepNext/>
              <w:jc w:val="center"/>
              <w:rPr>
                <w:rFonts w:ascii="Arial Narrow" w:hAnsi="Arial Narrow"/>
                <w:sz w:val="20"/>
                <w:szCs w:val="20"/>
              </w:rPr>
            </w:pPr>
            <w:r w:rsidRPr="00377132">
              <w:rPr>
                <w:rFonts w:ascii="Arial Narrow" w:hAnsi="Arial Narrow"/>
                <w:sz w:val="20"/>
                <w:szCs w:val="20"/>
              </w:rPr>
              <w:t>0.769</w:t>
            </w:r>
          </w:p>
        </w:tc>
        <w:tc>
          <w:tcPr>
            <w:tcW w:w="1304"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hideMark/>
          </w:tcPr>
          <w:p w14:paraId="123F8A3A" w14:textId="28DD4E2D"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73"/>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73"/>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73"/>
                <w14:textFill>
                  <w14:solidFill>
                    <w14:srgbClr w14:val="000000">
                      <w14:alpha w14:val="100000"/>
                    </w14:srgbClr>
                  </w14:solidFill>
                </w14:textFill>
              </w:rPr>
              <w:t xml:space="preserve">　</w:t>
            </w:r>
          </w:p>
        </w:tc>
      </w:tr>
      <w:tr w:rsidR="002C72D1" w14:paraId="54AFF907" w14:textId="77777777" w:rsidTr="0044634C">
        <w:tc>
          <w:tcPr>
            <w:tcW w:w="90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E0A1E7" w14:textId="77777777" w:rsidR="002C72D1" w:rsidRPr="00377132" w:rsidRDefault="002C72D1" w:rsidP="00FC54DC">
            <w:pPr>
              <w:keepNext/>
              <w:rPr>
                <w:rFonts w:ascii="Arial Narrow" w:hAnsi="Arial Narrow"/>
                <w:b/>
                <w:sz w:val="20"/>
                <w:szCs w:val="20"/>
              </w:rPr>
            </w:pPr>
            <w:r w:rsidRPr="00377132">
              <w:rPr>
                <w:rFonts w:ascii="Arial Narrow" w:hAnsi="Arial Narrow"/>
                <w:b/>
                <w:sz w:val="20"/>
                <w:szCs w:val="20"/>
                <w:u w:val="single"/>
              </w:rPr>
              <w:t>Cost of auto-SCT (base case = $79,536)</w:t>
            </w:r>
          </w:p>
        </w:tc>
      </w:tr>
      <w:tr w:rsidR="002C72D1" w14:paraId="152DBE0F" w14:textId="77777777" w:rsidTr="00EB3F7D">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F160C6" w14:textId="77777777" w:rsidR="002C72D1" w:rsidRPr="00377132" w:rsidRDefault="002C72D1" w:rsidP="00D51B1C">
            <w:pPr>
              <w:pStyle w:val="ListParagraph"/>
              <w:keepNext/>
              <w:numPr>
                <w:ilvl w:val="0"/>
                <w:numId w:val="14"/>
              </w:numPr>
              <w:ind w:left="284" w:hanging="284"/>
              <w:rPr>
                <w:rFonts w:ascii="Arial Narrow" w:hAnsi="Arial Narrow"/>
                <w:sz w:val="20"/>
                <w:szCs w:val="20"/>
              </w:rPr>
            </w:pPr>
            <w:r w:rsidRPr="00377132">
              <w:rPr>
                <w:rFonts w:ascii="Arial Narrow" w:hAnsi="Arial Narrow"/>
                <w:sz w:val="20"/>
                <w:szCs w:val="20"/>
              </w:rPr>
              <w:t>20% lower than estimated</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1A86F7" w14:textId="1BD031E6"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72"/>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72"/>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72"/>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B86F1A" w14:textId="77777777" w:rsidR="002C72D1" w:rsidRPr="00377132" w:rsidRDefault="002C72D1" w:rsidP="00FC54DC">
            <w:pPr>
              <w:keepNext/>
              <w:jc w:val="center"/>
              <w:rPr>
                <w:rFonts w:ascii="Arial Narrow" w:hAnsi="Arial Narrow"/>
                <w:sz w:val="20"/>
                <w:szCs w:val="20"/>
              </w:rPr>
            </w:pPr>
            <w:r w:rsidRPr="00377132">
              <w:rPr>
                <w:rFonts w:ascii="Arial Narrow" w:hAnsi="Arial Narrow"/>
                <w:sz w:val="20"/>
                <w:szCs w:val="20"/>
              </w:rPr>
              <w:t>1.050</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8AE2DB" w14:textId="0850C868"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71"/>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71"/>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71"/>
                <w14:textFill>
                  <w14:solidFill>
                    <w14:srgbClr w14:val="000000">
                      <w14:alpha w14:val="100000"/>
                    </w14:srgbClr>
                  </w14:solidFill>
                </w14:textFill>
              </w:rPr>
              <w:t xml:space="preserve">　</w:t>
            </w:r>
          </w:p>
        </w:tc>
      </w:tr>
      <w:tr w:rsidR="002C72D1" w14:paraId="6FE0FF9A" w14:textId="77777777" w:rsidTr="00EB3F7D">
        <w:tc>
          <w:tcPr>
            <w:tcW w:w="5098"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hideMark/>
          </w:tcPr>
          <w:p w14:paraId="16E0F867" w14:textId="77777777" w:rsidR="002C72D1" w:rsidRPr="00377132" w:rsidRDefault="002C72D1" w:rsidP="00D51B1C">
            <w:pPr>
              <w:pStyle w:val="ListParagraph"/>
              <w:keepNext/>
              <w:numPr>
                <w:ilvl w:val="0"/>
                <w:numId w:val="14"/>
              </w:numPr>
              <w:ind w:left="284" w:hanging="284"/>
              <w:rPr>
                <w:rFonts w:ascii="Arial Narrow" w:hAnsi="Arial Narrow"/>
                <w:sz w:val="20"/>
                <w:szCs w:val="20"/>
              </w:rPr>
            </w:pPr>
            <w:r w:rsidRPr="00377132">
              <w:rPr>
                <w:rFonts w:ascii="Arial Narrow" w:hAnsi="Arial Narrow"/>
                <w:sz w:val="20"/>
                <w:szCs w:val="20"/>
              </w:rPr>
              <w:t>20% higher than estimated</w:t>
            </w:r>
          </w:p>
        </w:tc>
        <w:tc>
          <w:tcPr>
            <w:tcW w:w="1304"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hideMark/>
          </w:tcPr>
          <w:p w14:paraId="4FA64EAD" w14:textId="22775733"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70"/>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70"/>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70"/>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hideMark/>
          </w:tcPr>
          <w:p w14:paraId="3A2512B9" w14:textId="77777777" w:rsidR="002C72D1" w:rsidRPr="00377132" w:rsidRDefault="002C72D1" w:rsidP="00FC54DC">
            <w:pPr>
              <w:keepNext/>
              <w:jc w:val="center"/>
              <w:rPr>
                <w:rFonts w:ascii="Arial Narrow" w:hAnsi="Arial Narrow"/>
                <w:sz w:val="20"/>
                <w:szCs w:val="20"/>
              </w:rPr>
            </w:pPr>
            <w:r w:rsidRPr="00377132">
              <w:rPr>
                <w:rFonts w:ascii="Arial Narrow" w:hAnsi="Arial Narrow"/>
                <w:sz w:val="20"/>
                <w:szCs w:val="20"/>
              </w:rPr>
              <w:t>1.050</w:t>
            </w:r>
          </w:p>
        </w:tc>
        <w:tc>
          <w:tcPr>
            <w:tcW w:w="1304"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hideMark/>
          </w:tcPr>
          <w:p w14:paraId="3B4C0ECF" w14:textId="6FAA0A42"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69"/>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69"/>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69"/>
                <w14:textFill>
                  <w14:solidFill>
                    <w14:srgbClr w14:val="000000">
                      <w14:alpha w14:val="100000"/>
                    </w14:srgbClr>
                  </w14:solidFill>
                </w14:textFill>
              </w:rPr>
              <w:t xml:space="preserve">　</w:t>
            </w:r>
          </w:p>
        </w:tc>
      </w:tr>
      <w:tr w:rsidR="002C72D1" w14:paraId="039BA663" w14:textId="77777777" w:rsidTr="0044634C">
        <w:tc>
          <w:tcPr>
            <w:tcW w:w="90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5BAA012" w14:textId="77777777" w:rsidR="002C72D1" w:rsidRPr="00377132" w:rsidRDefault="002C72D1" w:rsidP="00FC54DC">
            <w:pPr>
              <w:keepNext/>
              <w:rPr>
                <w:rFonts w:ascii="Arial Narrow" w:hAnsi="Arial Narrow"/>
                <w:b/>
                <w:sz w:val="20"/>
                <w:szCs w:val="20"/>
              </w:rPr>
            </w:pPr>
            <w:r w:rsidRPr="00377132">
              <w:rPr>
                <w:rFonts w:ascii="Arial Narrow" w:hAnsi="Arial Narrow"/>
                <w:b/>
                <w:sz w:val="20"/>
                <w:szCs w:val="20"/>
                <w:u w:val="single"/>
              </w:rPr>
              <w:t>Cost of hospitalisation for AXI (base case = $36,621.99)</w:t>
            </w:r>
          </w:p>
        </w:tc>
      </w:tr>
      <w:tr w:rsidR="002C72D1" w14:paraId="320ADE4B" w14:textId="77777777" w:rsidTr="00EB3F7D">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4AE143" w14:textId="77777777" w:rsidR="002C72D1" w:rsidRPr="00377132" w:rsidRDefault="002C72D1" w:rsidP="00D51B1C">
            <w:pPr>
              <w:pStyle w:val="ListParagraph"/>
              <w:keepNext/>
              <w:numPr>
                <w:ilvl w:val="0"/>
                <w:numId w:val="14"/>
              </w:numPr>
              <w:ind w:left="284" w:hanging="284"/>
              <w:rPr>
                <w:rFonts w:ascii="Arial Narrow" w:hAnsi="Arial Narrow"/>
                <w:sz w:val="20"/>
                <w:szCs w:val="20"/>
              </w:rPr>
            </w:pPr>
            <w:r w:rsidRPr="00377132">
              <w:rPr>
                <w:rFonts w:ascii="Arial Narrow" w:hAnsi="Arial Narrow"/>
                <w:sz w:val="20"/>
                <w:szCs w:val="20"/>
              </w:rPr>
              <w:t>20% lower than estimated</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B06AC8" w14:textId="3A3BD351"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68"/>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68"/>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68"/>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FD5147" w14:textId="77777777" w:rsidR="002C72D1" w:rsidRPr="00377132" w:rsidRDefault="002C72D1" w:rsidP="00FC54DC">
            <w:pPr>
              <w:keepNext/>
              <w:jc w:val="center"/>
              <w:rPr>
                <w:rFonts w:ascii="Arial Narrow" w:hAnsi="Arial Narrow"/>
                <w:sz w:val="20"/>
                <w:szCs w:val="20"/>
              </w:rPr>
            </w:pPr>
            <w:r w:rsidRPr="00377132">
              <w:rPr>
                <w:rFonts w:ascii="Arial Narrow" w:hAnsi="Arial Narrow"/>
                <w:sz w:val="20"/>
                <w:szCs w:val="20"/>
              </w:rPr>
              <w:t>1.050</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23C35E" w14:textId="1E9DCEAE"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67"/>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67"/>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67"/>
                <w14:textFill>
                  <w14:solidFill>
                    <w14:srgbClr w14:val="000000">
                      <w14:alpha w14:val="100000"/>
                    </w14:srgbClr>
                  </w14:solidFill>
                </w14:textFill>
              </w:rPr>
              <w:t xml:space="preserve">　</w:t>
            </w:r>
          </w:p>
        </w:tc>
      </w:tr>
      <w:tr w:rsidR="002C72D1" w14:paraId="19EDCFD1" w14:textId="77777777" w:rsidTr="00EB3F7D">
        <w:tc>
          <w:tcPr>
            <w:tcW w:w="5098"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hideMark/>
          </w:tcPr>
          <w:p w14:paraId="65FEA182" w14:textId="77777777" w:rsidR="002C72D1" w:rsidRPr="00377132" w:rsidRDefault="002C72D1" w:rsidP="00D51B1C">
            <w:pPr>
              <w:pStyle w:val="ListParagraph"/>
              <w:keepNext/>
              <w:numPr>
                <w:ilvl w:val="0"/>
                <w:numId w:val="14"/>
              </w:numPr>
              <w:ind w:left="284" w:hanging="284"/>
              <w:rPr>
                <w:rFonts w:ascii="Arial Narrow" w:hAnsi="Arial Narrow"/>
                <w:sz w:val="20"/>
                <w:szCs w:val="20"/>
              </w:rPr>
            </w:pPr>
            <w:r w:rsidRPr="00377132">
              <w:rPr>
                <w:rFonts w:ascii="Arial Narrow" w:hAnsi="Arial Narrow"/>
                <w:sz w:val="20"/>
                <w:szCs w:val="20"/>
              </w:rPr>
              <w:t>20% higher than estimated</w:t>
            </w:r>
          </w:p>
        </w:tc>
        <w:tc>
          <w:tcPr>
            <w:tcW w:w="1304"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hideMark/>
          </w:tcPr>
          <w:p w14:paraId="7486F641" w14:textId="19FE286E"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66"/>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66"/>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66"/>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hideMark/>
          </w:tcPr>
          <w:p w14:paraId="78A20961" w14:textId="77777777" w:rsidR="002C72D1" w:rsidRPr="00377132" w:rsidRDefault="002C72D1" w:rsidP="00FC54DC">
            <w:pPr>
              <w:keepNext/>
              <w:jc w:val="center"/>
              <w:rPr>
                <w:rFonts w:ascii="Arial Narrow" w:hAnsi="Arial Narrow"/>
                <w:sz w:val="20"/>
                <w:szCs w:val="20"/>
              </w:rPr>
            </w:pPr>
            <w:r w:rsidRPr="00377132">
              <w:rPr>
                <w:rFonts w:ascii="Arial Narrow" w:hAnsi="Arial Narrow"/>
                <w:sz w:val="20"/>
                <w:szCs w:val="20"/>
              </w:rPr>
              <w:t>1.050</w:t>
            </w:r>
          </w:p>
        </w:tc>
        <w:tc>
          <w:tcPr>
            <w:tcW w:w="1304"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hideMark/>
          </w:tcPr>
          <w:p w14:paraId="7B4ED27C" w14:textId="219849A6"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65"/>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65"/>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65"/>
                <w14:textFill>
                  <w14:solidFill>
                    <w14:srgbClr w14:val="000000">
                      <w14:alpha w14:val="100000"/>
                    </w14:srgbClr>
                  </w14:solidFill>
                </w14:textFill>
              </w:rPr>
              <w:t xml:space="preserve">　</w:t>
            </w:r>
          </w:p>
        </w:tc>
      </w:tr>
      <w:tr w:rsidR="002C72D1" w14:paraId="6384C084" w14:textId="77777777" w:rsidTr="0044634C">
        <w:tc>
          <w:tcPr>
            <w:tcW w:w="90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34A46A3" w14:textId="77777777" w:rsidR="002C72D1" w:rsidRPr="00377132" w:rsidRDefault="002C72D1" w:rsidP="00FC54DC">
            <w:pPr>
              <w:keepNext/>
              <w:rPr>
                <w:rFonts w:ascii="Arial Narrow" w:hAnsi="Arial Narrow"/>
                <w:b/>
                <w:sz w:val="20"/>
                <w:szCs w:val="20"/>
              </w:rPr>
            </w:pPr>
            <w:r w:rsidRPr="00377132">
              <w:rPr>
                <w:rFonts w:ascii="Arial Narrow" w:hAnsi="Arial Narrow"/>
                <w:b/>
                <w:sz w:val="20"/>
                <w:szCs w:val="20"/>
                <w:u w:val="single"/>
              </w:rPr>
              <w:t xml:space="preserve">Utilities </w:t>
            </w:r>
          </w:p>
        </w:tc>
      </w:tr>
      <w:tr w:rsidR="002C72D1" w14:paraId="335CAB6F" w14:textId="77777777" w:rsidTr="00EB3F7D">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DA77F8" w14:textId="77777777" w:rsidR="002C72D1" w:rsidRPr="00377132" w:rsidRDefault="002C72D1" w:rsidP="00D51B1C">
            <w:pPr>
              <w:pStyle w:val="ListParagraph"/>
              <w:keepNext/>
              <w:numPr>
                <w:ilvl w:val="0"/>
                <w:numId w:val="14"/>
              </w:numPr>
              <w:ind w:left="284" w:hanging="284"/>
              <w:rPr>
                <w:rFonts w:ascii="Arial Narrow" w:hAnsi="Arial Narrow"/>
                <w:sz w:val="20"/>
                <w:szCs w:val="20"/>
              </w:rPr>
            </w:pPr>
            <w:r w:rsidRPr="00377132">
              <w:rPr>
                <w:rFonts w:ascii="Arial Narrow" w:hAnsi="Arial Narrow"/>
                <w:sz w:val="20"/>
                <w:szCs w:val="20"/>
              </w:rPr>
              <w:t>in first cycles the same (0.780)</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395423" w14:textId="6F77070D"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64"/>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64"/>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64"/>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5DA40C" w14:textId="77777777" w:rsidR="002C72D1" w:rsidRPr="00377132" w:rsidRDefault="002C72D1" w:rsidP="00FC54DC">
            <w:pPr>
              <w:keepNext/>
              <w:jc w:val="center"/>
              <w:rPr>
                <w:rFonts w:ascii="Arial Narrow" w:hAnsi="Arial Narrow"/>
                <w:sz w:val="20"/>
                <w:szCs w:val="20"/>
              </w:rPr>
            </w:pPr>
            <w:r w:rsidRPr="00377132">
              <w:rPr>
                <w:rFonts w:ascii="Arial Narrow" w:hAnsi="Arial Narrow"/>
                <w:sz w:val="20"/>
                <w:szCs w:val="20"/>
              </w:rPr>
              <w:t>1.048</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6B3854" w14:textId="4B2E75AB"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80"/>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80"/>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80"/>
                <w14:textFill>
                  <w14:solidFill>
                    <w14:srgbClr w14:val="000000">
                      <w14:alpha w14:val="100000"/>
                    </w14:srgbClr>
                  </w14:solidFill>
                </w14:textFill>
              </w:rPr>
              <w:t xml:space="preserve">　</w:t>
            </w:r>
          </w:p>
        </w:tc>
      </w:tr>
      <w:tr w:rsidR="002C72D1" w14:paraId="2C0D635E" w14:textId="77777777" w:rsidTr="00EB3F7D">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298EA7" w14:textId="77777777" w:rsidR="002C72D1" w:rsidRPr="00377132" w:rsidRDefault="002C72D1" w:rsidP="00D51B1C">
            <w:pPr>
              <w:pStyle w:val="ListParagraph"/>
              <w:keepNext/>
              <w:numPr>
                <w:ilvl w:val="0"/>
                <w:numId w:val="14"/>
              </w:numPr>
              <w:ind w:left="284" w:hanging="284"/>
              <w:rPr>
                <w:rFonts w:ascii="Arial Narrow" w:hAnsi="Arial Narrow"/>
                <w:sz w:val="20"/>
                <w:szCs w:val="20"/>
              </w:rPr>
            </w:pPr>
            <w:r w:rsidRPr="00377132">
              <w:rPr>
                <w:rFonts w:ascii="Arial Narrow" w:hAnsi="Arial Narrow"/>
                <w:sz w:val="20"/>
                <w:szCs w:val="20"/>
              </w:rPr>
              <w:t>disutility in first cycle AXI (0.672)</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526187" w14:textId="59F8C281"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79"/>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79"/>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79"/>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744F1C" w14:textId="77777777" w:rsidR="002C72D1" w:rsidRPr="00377132" w:rsidRDefault="002C72D1" w:rsidP="00FC54DC">
            <w:pPr>
              <w:keepNext/>
              <w:jc w:val="center"/>
              <w:rPr>
                <w:rFonts w:ascii="Arial Narrow" w:hAnsi="Arial Narrow"/>
                <w:sz w:val="20"/>
                <w:szCs w:val="20"/>
              </w:rPr>
            </w:pPr>
            <w:r w:rsidRPr="00377132">
              <w:rPr>
                <w:rFonts w:ascii="Arial Narrow" w:hAnsi="Arial Narrow"/>
                <w:sz w:val="20"/>
                <w:szCs w:val="20"/>
              </w:rPr>
              <w:t>1.041</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0BC18F" w14:textId="6097F8CA"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78"/>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78"/>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78"/>
                <w14:textFill>
                  <w14:solidFill>
                    <w14:srgbClr w14:val="000000">
                      <w14:alpha w14:val="100000"/>
                    </w14:srgbClr>
                  </w14:solidFill>
                </w14:textFill>
              </w:rPr>
              <w:t xml:space="preserve">　</w:t>
            </w:r>
          </w:p>
        </w:tc>
      </w:tr>
      <w:tr w:rsidR="002C72D1" w14:paraId="453DF58E" w14:textId="77777777" w:rsidTr="0044634C">
        <w:tc>
          <w:tcPr>
            <w:tcW w:w="90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A9CD84" w14:textId="77777777" w:rsidR="002C72D1" w:rsidRPr="00377132" w:rsidRDefault="002C72D1" w:rsidP="00FC54DC">
            <w:pPr>
              <w:keepNext/>
              <w:rPr>
                <w:rFonts w:ascii="Arial Narrow" w:hAnsi="Arial Narrow"/>
                <w:sz w:val="20"/>
                <w:szCs w:val="20"/>
              </w:rPr>
            </w:pPr>
            <w:r w:rsidRPr="00377132">
              <w:rPr>
                <w:rFonts w:ascii="Arial Narrow" w:hAnsi="Arial Narrow"/>
                <w:b/>
                <w:sz w:val="20"/>
                <w:szCs w:val="20"/>
                <w:u w:val="single"/>
              </w:rPr>
              <w:t>Parametric function applied to extrapolate OS (base case = generalised gamma)</w:t>
            </w:r>
          </w:p>
        </w:tc>
      </w:tr>
      <w:tr w:rsidR="002C72D1" w14:paraId="45FCD24F" w14:textId="77777777" w:rsidTr="002610F9">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020FB1" w14:textId="77777777" w:rsidR="002C72D1" w:rsidRPr="00377132" w:rsidRDefault="002C72D1" w:rsidP="00D51B1C">
            <w:pPr>
              <w:pStyle w:val="ListParagraph"/>
              <w:keepNext/>
              <w:numPr>
                <w:ilvl w:val="0"/>
                <w:numId w:val="14"/>
              </w:numPr>
              <w:ind w:left="284" w:hanging="284"/>
              <w:rPr>
                <w:rFonts w:ascii="Arial Narrow" w:hAnsi="Arial Narrow"/>
                <w:sz w:val="20"/>
                <w:szCs w:val="20"/>
              </w:rPr>
            </w:pPr>
            <w:r w:rsidRPr="00377132">
              <w:rPr>
                <w:rFonts w:ascii="Arial Narrow" w:hAnsi="Arial Narrow"/>
                <w:sz w:val="20"/>
                <w:szCs w:val="20"/>
              </w:rPr>
              <w:t>Exponential*</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B20E199" w14:textId="0C254D4E"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77"/>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77"/>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77"/>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77BA4CA" w14:textId="77777777" w:rsidR="002C72D1" w:rsidRPr="00377132" w:rsidRDefault="002C72D1" w:rsidP="00FC54DC">
            <w:pPr>
              <w:keepNext/>
              <w:jc w:val="center"/>
              <w:rPr>
                <w:rFonts w:ascii="Arial Narrow" w:hAnsi="Arial Narrow"/>
                <w:sz w:val="20"/>
                <w:szCs w:val="20"/>
              </w:rPr>
            </w:pPr>
            <w:r w:rsidRPr="00377132">
              <w:rPr>
                <w:rFonts w:ascii="Arial Narrow" w:hAnsi="Arial Narrow"/>
                <w:sz w:val="20"/>
                <w:szCs w:val="20"/>
              </w:rPr>
              <w:t>-0.397</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000000" w:fill="000000"/>
            <w:vAlign w:val="center"/>
            <w:hideMark/>
          </w:tcPr>
          <w:p w14:paraId="0D6DBD1E" w14:textId="6E751335" w:rsidR="002C72D1" w:rsidRPr="00FA1F5D" w:rsidRDefault="002610F9" w:rsidP="00FC54DC">
            <w:pPr>
              <w:keepNext/>
              <w:jc w:val="center"/>
              <w:rPr>
                <w:rFonts w:ascii="Arial Narrow" w:hAnsi="Arial Narrow"/>
                <w:sz w:val="20"/>
                <w:szCs w:val="20"/>
                <w:highlight w:val="yellow"/>
              </w:rPr>
            </w:pPr>
            <w:r w:rsidRPr="002610F9">
              <w:rPr>
                <w:rFonts w:ascii="Arial Narrow" w:hAnsi="Arial Narrow"/>
                <w:color w:val="000000"/>
                <w:sz w:val="20"/>
                <w:szCs w:val="20"/>
                <w14:textFill>
                  <w14:solidFill>
                    <w14:srgbClr w14:val="000000">
                      <w14:alpha w14:val="100000"/>
                    </w14:srgbClr>
                  </w14:solidFill>
                </w14:textFill>
              </w:rPr>
              <w:t>|</w:t>
            </w:r>
          </w:p>
        </w:tc>
      </w:tr>
      <w:tr w:rsidR="002C72D1" w14:paraId="1C77ED34" w14:textId="77777777" w:rsidTr="00EB3F7D">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1CF333" w14:textId="77777777" w:rsidR="002C72D1" w:rsidRPr="00377132" w:rsidRDefault="002C72D1" w:rsidP="00D51B1C">
            <w:pPr>
              <w:pStyle w:val="ListParagraph"/>
              <w:keepNext/>
              <w:numPr>
                <w:ilvl w:val="0"/>
                <w:numId w:val="14"/>
              </w:numPr>
              <w:ind w:left="284" w:hanging="284"/>
              <w:rPr>
                <w:rFonts w:ascii="Arial Narrow" w:hAnsi="Arial Narrow"/>
                <w:sz w:val="20"/>
                <w:szCs w:val="20"/>
              </w:rPr>
            </w:pPr>
            <w:r w:rsidRPr="00377132">
              <w:rPr>
                <w:rFonts w:ascii="Arial Narrow" w:hAnsi="Arial Narrow"/>
                <w:sz w:val="20"/>
                <w:szCs w:val="20"/>
              </w:rPr>
              <w:t>Weibull</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4AA9E7A" w14:textId="4D9F7868"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76"/>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76"/>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76"/>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08E9BF2" w14:textId="77777777" w:rsidR="002C72D1" w:rsidRPr="00377132" w:rsidRDefault="002C72D1" w:rsidP="00FC54DC">
            <w:pPr>
              <w:keepNext/>
              <w:jc w:val="center"/>
              <w:rPr>
                <w:rFonts w:ascii="Arial Narrow" w:hAnsi="Arial Narrow"/>
                <w:sz w:val="20"/>
                <w:szCs w:val="20"/>
              </w:rPr>
            </w:pPr>
            <w:r w:rsidRPr="00377132">
              <w:rPr>
                <w:rFonts w:ascii="Arial Narrow" w:hAnsi="Arial Narrow"/>
                <w:sz w:val="20"/>
                <w:szCs w:val="20"/>
              </w:rPr>
              <w:t>0.565</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013C6C" w14:textId="3A4D2AAB"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75"/>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75"/>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75"/>
                <w14:textFill>
                  <w14:solidFill>
                    <w14:srgbClr w14:val="000000">
                      <w14:alpha w14:val="100000"/>
                    </w14:srgbClr>
                  </w14:solidFill>
                </w14:textFill>
              </w:rPr>
              <w:t xml:space="preserve">　</w:t>
            </w:r>
          </w:p>
        </w:tc>
      </w:tr>
      <w:tr w:rsidR="002C72D1" w14:paraId="72B2B9A9" w14:textId="77777777" w:rsidTr="002610F9">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D3AD8C" w14:textId="77777777" w:rsidR="002C72D1" w:rsidRPr="00377132" w:rsidRDefault="002C72D1" w:rsidP="00D51B1C">
            <w:pPr>
              <w:pStyle w:val="ListParagraph"/>
              <w:keepNext/>
              <w:numPr>
                <w:ilvl w:val="0"/>
                <w:numId w:val="14"/>
              </w:numPr>
              <w:ind w:left="284" w:hanging="284"/>
              <w:rPr>
                <w:rFonts w:ascii="Arial Narrow" w:hAnsi="Arial Narrow"/>
                <w:sz w:val="20"/>
                <w:szCs w:val="20"/>
              </w:rPr>
            </w:pPr>
            <w:proofErr w:type="spellStart"/>
            <w:r w:rsidRPr="00377132">
              <w:rPr>
                <w:rFonts w:ascii="Arial Narrow" w:hAnsi="Arial Narrow"/>
                <w:sz w:val="20"/>
                <w:szCs w:val="20"/>
              </w:rPr>
              <w:t>Gompertz</w:t>
            </w:r>
            <w:proofErr w:type="spellEnd"/>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6B59C8A" w14:textId="242A6D0C"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74"/>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74"/>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74"/>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0433B50" w14:textId="77777777" w:rsidR="002C72D1" w:rsidRPr="00377132" w:rsidRDefault="002C72D1" w:rsidP="00FC54DC">
            <w:pPr>
              <w:keepNext/>
              <w:jc w:val="center"/>
              <w:rPr>
                <w:rFonts w:ascii="Arial Narrow" w:hAnsi="Arial Narrow"/>
                <w:sz w:val="20"/>
                <w:szCs w:val="20"/>
              </w:rPr>
            </w:pPr>
            <w:r w:rsidRPr="00377132">
              <w:rPr>
                <w:rFonts w:ascii="Arial Narrow" w:hAnsi="Arial Narrow"/>
                <w:sz w:val="20"/>
                <w:szCs w:val="20"/>
              </w:rPr>
              <w:t>0.805</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E475C74" w14:textId="6CF68E80"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73"/>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73"/>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73"/>
                <w14:textFill>
                  <w14:solidFill>
                    <w14:srgbClr w14:val="000000">
                      <w14:alpha w14:val="100000"/>
                    </w14:srgbClr>
                  </w14:solidFill>
                </w14:textFill>
              </w:rPr>
              <w:t xml:space="preserve">　</w:t>
            </w:r>
          </w:p>
        </w:tc>
      </w:tr>
      <w:tr w:rsidR="002C72D1" w14:paraId="6C961AB3" w14:textId="77777777" w:rsidTr="002610F9">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897B56" w14:textId="77777777" w:rsidR="002C72D1" w:rsidRPr="00377132" w:rsidRDefault="002C72D1" w:rsidP="00D51B1C">
            <w:pPr>
              <w:pStyle w:val="ListParagraph"/>
              <w:keepNext/>
              <w:numPr>
                <w:ilvl w:val="0"/>
                <w:numId w:val="14"/>
              </w:numPr>
              <w:ind w:left="284" w:hanging="284"/>
              <w:rPr>
                <w:rFonts w:ascii="Arial Narrow" w:hAnsi="Arial Narrow"/>
                <w:sz w:val="20"/>
                <w:szCs w:val="20"/>
              </w:rPr>
            </w:pPr>
            <w:r w:rsidRPr="00377132">
              <w:rPr>
                <w:rFonts w:ascii="Arial Narrow" w:hAnsi="Arial Narrow"/>
                <w:sz w:val="20"/>
                <w:szCs w:val="20"/>
              </w:rPr>
              <w:t>Lognormal*</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E4D5E4C" w14:textId="2FCA2880"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72"/>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72"/>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72"/>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9274B18" w14:textId="77777777" w:rsidR="002C72D1" w:rsidRPr="00377132" w:rsidRDefault="002C72D1" w:rsidP="00FC54DC">
            <w:pPr>
              <w:keepNext/>
              <w:jc w:val="center"/>
              <w:rPr>
                <w:rFonts w:ascii="Arial Narrow" w:hAnsi="Arial Narrow"/>
                <w:sz w:val="20"/>
                <w:szCs w:val="20"/>
              </w:rPr>
            </w:pPr>
            <w:r w:rsidRPr="00377132">
              <w:rPr>
                <w:rFonts w:ascii="Arial Narrow" w:hAnsi="Arial Narrow"/>
                <w:sz w:val="20"/>
                <w:szCs w:val="20"/>
              </w:rPr>
              <w:t>-1.098</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000000" w:fill="000000"/>
            <w:vAlign w:val="center"/>
            <w:hideMark/>
          </w:tcPr>
          <w:p w14:paraId="2378CE7B" w14:textId="581AF4AB" w:rsidR="002C72D1" w:rsidRPr="00FA1F5D" w:rsidRDefault="002610F9" w:rsidP="00FC54DC">
            <w:pPr>
              <w:keepNext/>
              <w:jc w:val="center"/>
              <w:rPr>
                <w:rFonts w:ascii="Arial Narrow" w:hAnsi="Arial Narrow"/>
                <w:sz w:val="20"/>
                <w:szCs w:val="20"/>
                <w:highlight w:val="yellow"/>
              </w:rPr>
            </w:pPr>
            <w:r w:rsidRPr="002610F9">
              <w:rPr>
                <w:rFonts w:ascii="Arial Narrow" w:hAnsi="Arial Narrow"/>
                <w:color w:val="000000"/>
                <w:sz w:val="20"/>
                <w:szCs w:val="20"/>
                <w14:textFill>
                  <w14:solidFill>
                    <w14:srgbClr w14:val="000000">
                      <w14:alpha w14:val="100000"/>
                    </w14:srgbClr>
                  </w14:solidFill>
                </w14:textFill>
              </w:rPr>
              <w:t>|</w:t>
            </w:r>
          </w:p>
        </w:tc>
      </w:tr>
      <w:tr w:rsidR="002C72D1" w14:paraId="7EC19B08" w14:textId="77777777" w:rsidTr="00EB3F7D">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8B32F2" w14:textId="77777777" w:rsidR="002C72D1" w:rsidRPr="00377132" w:rsidRDefault="002C72D1" w:rsidP="00D51B1C">
            <w:pPr>
              <w:pStyle w:val="ListParagraph"/>
              <w:keepNext/>
              <w:numPr>
                <w:ilvl w:val="0"/>
                <w:numId w:val="14"/>
              </w:numPr>
              <w:ind w:left="284" w:hanging="284"/>
              <w:rPr>
                <w:rFonts w:ascii="Arial Narrow" w:hAnsi="Arial Narrow"/>
                <w:sz w:val="20"/>
                <w:szCs w:val="20"/>
              </w:rPr>
            </w:pPr>
            <w:r w:rsidRPr="00377132">
              <w:rPr>
                <w:rFonts w:ascii="Arial Narrow" w:hAnsi="Arial Narrow"/>
                <w:sz w:val="20"/>
                <w:szCs w:val="20"/>
              </w:rPr>
              <w:t>Loglogistic*</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2E59BC" w14:textId="10652C54"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71"/>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71"/>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71"/>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53569C0" w14:textId="77777777" w:rsidR="002C72D1" w:rsidRPr="00377132" w:rsidRDefault="002C72D1" w:rsidP="00FC54DC">
            <w:pPr>
              <w:keepNext/>
              <w:jc w:val="center"/>
              <w:rPr>
                <w:rFonts w:ascii="Arial Narrow" w:hAnsi="Arial Narrow"/>
                <w:sz w:val="20"/>
                <w:szCs w:val="20"/>
              </w:rPr>
            </w:pPr>
            <w:r w:rsidRPr="00377132">
              <w:rPr>
                <w:rFonts w:ascii="Arial Narrow" w:hAnsi="Arial Narrow"/>
                <w:sz w:val="20"/>
                <w:szCs w:val="20"/>
              </w:rPr>
              <w:t>0.041</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D26A62A" w14:textId="32C36E7A" w:rsidR="002C72D1" w:rsidRPr="00FA1F5D" w:rsidRDefault="002C72D1" w:rsidP="00FC54DC">
            <w:pPr>
              <w:keepNext/>
              <w:jc w:val="center"/>
              <w:rPr>
                <w:rFonts w:ascii="Arial Narrow" w:hAnsi="Arial Narrow"/>
                <w:sz w:val="20"/>
                <w:szCs w:val="20"/>
                <w:highlight w:val="yellow"/>
              </w:rPr>
            </w:pPr>
            <w:r w:rsidRPr="002F3CF8">
              <w:rPr>
                <w:rFonts w:ascii="Arial Narrow" w:hAnsi="Arial Narrow"/>
                <w:sz w:val="20"/>
                <w:szCs w:val="20"/>
              </w:rPr>
              <w:t>$</w:t>
            </w:r>
            <w:r w:rsidR="002610F9" w:rsidRPr="002610F9">
              <w:rPr>
                <w:rFonts w:ascii="Arial Narrow" w:hAnsi="Arial Narrow" w:hint="eastAsia"/>
                <w:color w:val="000000"/>
                <w:w w:val="15"/>
                <w:sz w:val="20"/>
                <w:szCs w:val="20"/>
                <w:shd w:val="solid" w:color="000000" w:fill="000000"/>
                <w:fitText w:val="50" w:id="-1217620470"/>
                <w14:textFill>
                  <w14:solidFill>
                    <w14:srgbClr w14:val="000000">
                      <w14:alpha w14:val="100000"/>
                    </w14:srgbClr>
                  </w14:solidFill>
                </w14:textFill>
              </w:rPr>
              <w:t xml:space="preserve">　</w:t>
            </w:r>
            <w:r w:rsidR="002610F9" w:rsidRPr="002610F9">
              <w:rPr>
                <w:rFonts w:ascii="Arial Narrow" w:hAnsi="Arial Narrow"/>
                <w:color w:val="000000"/>
                <w:w w:val="15"/>
                <w:sz w:val="20"/>
                <w:szCs w:val="20"/>
                <w:shd w:val="solid" w:color="000000" w:fill="000000"/>
                <w:fitText w:val="50" w:id="-1217620470"/>
                <w14:textFill>
                  <w14:solidFill>
                    <w14:srgbClr w14:val="000000">
                      <w14:alpha w14:val="100000"/>
                    </w14:srgbClr>
                  </w14:solidFill>
                </w14:textFill>
              </w:rPr>
              <w:t>|</w:t>
            </w:r>
            <w:r w:rsidR="002610F9" w:rsidRPr="002610F9">
              <w:rPr>
                <w:rFonts w:ascii="Arial Narrow" w:hAnsi="Arial Narrow" w:hint="eastAsia"/>
                <w:color w:val="000000"/>
                <w:spacing w:val="-15"/>
                <w:w w:val="15"/>
                <w:sz w:val="20"/>
                <w:szCs w:val="20"/>
                <w:shd w:val="solid" w:color="000000" w:fill="000000"/>
                <w:fitText w:val="50" w:id="-1217620470"/>
                <w14:textFill>
                  <w14:solidFill>
                    <w14:srgbClr w14:val="000000">
                      <w14:alpha w14:val="100000"/>
                    </w14:srgbClr>
                  </w14:solidFill>
                </w14:textFill>
              </w:rPr>
              <w:t xml:space="preserve">　</w:t>
            </w:r>
          </w:p>
        </w:tc>
      </w:tr>
      <w:tr w:rsidR="00C911FC" w14:paraId="372A9897" w14:textId="77777777" w:rsidTr="00EB3F7D">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68424C" w14:textId="2B53DEF1" w:rsidR="00C911FC" w:rsidRPr="00EB3F7D" w:rsidRDefault="00C911FC" w:rsidP="00FC54DC">
            <w:pPr>
              <w:keepNext/>
              <w:rPr>
                <w:rFonts w:ascii="Arial Narrow" w:hAnsi="Arial Narrow"/>
                <w:b/>
                <w:bCs/>
                <w:i/>
                <w:iCs/>
                <w:sz w:val="20"/>
                <w:szCs w:val="20"/>
              </w:rPr>
            </w:pPr>
            <w:r w:rsidRPr="00EB3F7D">
              <w:rPr>
                <w:rFonts w:ascii="Arial Narrow" w:hAnsi="Arial Narrow"/>
                <w:b/>
                <w:bCs/>
                <w:i/>
                <w:iCs/>
                <w:sz w:val="20"/>
                <w:szCs w:val="20"/>
              </w:rPr>
              <w:t xml:space="preserve">ESC additional </w:t>
            </w:r>
            <w:r w:rsidR="008D6054">
              <w:rPr>
                <w:rFonts w:ascii="Arial Narrow" w:hAnsi="Arial Narrow"/>
                <w:b/>
                <w:bCs/>
                <w:i/>
                <w:iCs/>
                <w:sz w:val="20"/>
                <w:szCs w:val="20"/>
              </w:rPr>
              <w:t xml:space="preserve">exploratory </w:t>
            </w:r>
            <w:r w:rsidRPr="00EB3F7D">
              <w:rPr>
                <w:rFonts w:ascii="Arial Narrow" w:hAnsi="Arial Narrow"/>
                <w:b/>
                <w:bCs/>
                <w:i/>
                <w:iCs/>
                <w:sz w:val="20"/>
                <w:szCs w:val="20"/>
              </w:rPr>
              <w:t>sensitivity analyses (SA)</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C4259D" w14:textId="77777777" w:rsidR="00C911FC" w:rsidRPr="00EB3F7D" w:rsidRDefault="00C911FC" w:rsidP="00FC54DC">
            <w:pPr>
              <w:keepNext/>
              <w:jc w:val="center"/>
              <w:rPr>
                <w:rFonts w:ascii="Arial Narrow" w:hAnsi="Arial Narrow"/>
                <w:b/>
                <w:bCs/>
                <w:i/>
                <w:iCs/>
                <w:sz w:val="20"/>
                <w:szCs w:val="20"/>
              </w:rPr>
            </w:pP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E3E73B" w14:textId="77777777" w:rsidR="00C911FC" w:rsidRPr="00EB3F7D" w:rsidRDefault="00C911FC" w:rsidP="00FC54DC">
            <w:pPr>
              <w:keepNext/>
              <w:jc w:val="center"/>
              <w:rPr>
                <w:rFonts w:ascii="Arial Narrow" w:hAnsi="Arial Narrow"/>
                <w:b/>
                <w:bCs/>
                <w:i/>
                <w:iCs/>
                <w:sz w:val="20"/>
                <w:szCs w:val="20"/>
              </w:rPr>
            </w:pP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2A8B30" w14:textId="77777777" w:rsidR="00C911FC" w:rsidRPr="00EB3F7D" w:rsidRDefault="00C911FC" w:rsidP="00FC54DC">
            <w:pPr>
              <w:keepNext/>
              <w:jc w:val="center"/>
              <w:rPr>
                <w:rFonts w:ascii="Arial Narrow" w:hAnsi="Arial Narrow"/>
                <w:b/>
                <w:bCs/>
                <w:i/>
                <w:iCs/>
                <w:sz w:val="20"/>
                <w:szCs w:val="20"/>
              </w:rPr>
            </w:pPr>
          </w:p>
        </w:tc>
      </w:tr>
      <w:tr w:rsidR="00C911FC" w14:paraId="1EA68A63" w14:textId="77777777" w:rsidTr="00EB3F7D">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2C9EE9" w14:textId="5DF874A8" w:rsidR="00C911FC" w:rsidRPr="00EB3F7D" w:rsidRDefault="00C911FC" w:rsidP="00FC54DC">
            <w:pPr>
              <w:keepNext/>
              <w:rPr>
                <w:rFonts w:ascii="Arial Narrow" w:hAnsi="Arial Narrow"/>
                <w:i/>
                <w:iCs/>
                <w:sz w:val="20"/>
                <w:szCs w:val="20"/>
              </w:rPr>
            </w:pPr>
            <w:r>
              <w:rPr>
                <w:rFonts w:ascii="Arial Narrow" w:hAnsi="Arial Narrow"/>
                <w:i/>
                <w:iCs/>
                <w:sz w:val="20"/>
                <w:szCs w:val="20"/>
              </w:rPr>
              <w:t xml:space="preserve">ESC SA1: </w:t>
            </w:r>
            <w:r w:rsidRPr="00EB3F7D">
              <w:rPr>
                <w:rFonts w:ascii="Arial Narrow" w:hAnsi="Arial Narrow"/>
                <w:i/>
                <w:iCs/>
                <w:sz w:val="20"/>
                <w:szCs w:val="20"/>
              </w:rPr>
              <w:t>Subsequent 3L CAR-T</w:t>
            </w:r>
            <w:r>
              <w:rPr>
                <w:rFonts w:ascii="Arial Narrow" w:hAnsi="Arial Narrow"/>
                <w:i/>
                <w:iCs/>
                <w:sz w:val="20"/>
                <w:szCs w:val="20"/>
              </w:rPr>
              <w:t xml:space="preserve"> </w:t>
            </w:r>
            <w:r w:rsidR="00BF7DC4">
              <w:rPr>
                <w:rFonts w:ascii="Arial Narrow" w:hAnsi="Arial Narrow"/>
                <w:i/>
                <w:iCs/>
                <w:sz w:val="20"/>
                <w:szCs w:val="20"/>
              </w:rPr>
              <w:t xml:space="preserve">= </w:t>
            </w:r>
            <w:r w:rsidR="002610F9" w:rsidRPr="002610F9">
              <w:rPr>
                <w:rFonts w:ascii="Arial Narrow" w:hAnsi="Arial Narrow"/>
                <w:i/>
                <w:iCs/>
                <w:color w:val="000000"/>
                <w:spacing w:val="53"/>
                <w:sz w:val="20"/>
                <w:szCs w:val="20"/>
                <w:shd w:val="solid" w:color="000000" w:fill="000000"/>
                <w:fitText w:val="330" w:id="-1217620469"/>
                <w14:textFill>
                  <w14:solidFill>
                    <w14:srgbClr w14:val="000000">
                      <w14:alpha w14:val="100000"/>
                    </w14:srgbClr>
                  </w14:solidFill>
                </w14:textFill>
              </w:rPr>
              <w:t>|||</w:t>
            </w:r>
            <w:r w:rsidR="002610F9" w:rsidRPr="002610F9">
              <w:rPr>
                <w:rFonts w:ascii="Arial Narrow" w:hAnsi="Arial Narrow"/>
                <w:i/>
                <w:iCs/>
                <w:color w:val="000000"/>
                <w:spacing w:val="1"/>
                <w:sz w:val="20"/>
                <w:szCs w:val="20"/>
                <w:shd w:val="solid" w:color="000000" w:fill="000000"/>
                <w:fitText w:val="330" w:id="-1217620469"/>
                <w14:textFill>
                  <w14:solidFill>
                    <w14:srgbClr w14:val="000000">
                      <w14:alpha w14:val="100000"/>
                    </w14:srgbClr>
                  </w14:solidFill>
                </w14:textFill>
              </w:rPr>
              <w:t>|</w:t>
            </w:r>
            <w:r w:rsidR="00BF7DC4">
              <w:rPr>
                <w:rFonts w:ascii="Arial Narrow" w:hAnsi="Arial Narrow"/>
                <w:i/>
                <w:iCs/>
                <w:sz w:val="20"/>
                <w:szCs w:val="20"/>
              </w:rPr>
              <w:t xml:space="preserve"> (</w:t>
            </w:r>
            <w:r>
              <w:rPr>
                <w:rFonts w:ascii="Arial Narrow" w:hAnsi="Arial Narrow"/>
                <w:i/>
                <w:iCs/>
                <w:sz w:val="20"/>
                <w:szCs w:val="20"/>
              </w:rPr>
              <w:t>BC: 56%)</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D94A7A" w14:textId="07471DC9" w:rsidR="00C911FC" w:rsidRPr="00FA1F5D" w:rsidRDefault="00B07127" w:rsidP="00FC54DC">
            <w:pPr>
              <w:keepNext/>
              <w:jc w:val="center"/>
              <w:rPr>
                <w:rFonts w:ascii="Arial Narrow" w:hAnsi="Arial Narrow"/>
                <w:i/>
                <w:iCs/>
                <w:sz w:val="20"/>
                <w:szCs w:val="20"/>
                <w:highlight w:val="yellow"/>
              </w:rPr>
            </w:pPr>
            <w:r w:rsidRPr="002F3CF8">
              <w:rPr>
                <w:rFonts w:ascii="Arial Narrow" w:hAnsi="Arial Narrow"/>
                <w:i/>
                <w:iCs/>
                <w:sz w:val="20"/>
                <w:szCs w:val="20"/>
              </w:rPr>
              <w:t>$</w:t>
            </w:r>
            <w:r w:rsidR="002610F9" w:rsidRPr="002610F9">
              <w:rPr>
                <w:rFonts w:ascii="Arial Narrow" w:hAnsi="Arial Narrow" w:hint="eastAsia"/>
                <w:i/>
                <w:iCs/>
                <w:color w:val="000000"/>
                <w:w w:val="15"/>
                <w:sz w:val="20"/>
                <w:szCs w:val="20"/>
                <w:shd w:val="solid" w:color="000000" w:fill="000000"/>
                <w:fitText w:val="50" w:id="-1217620468"/>
                <w14:textFill>
                  <w14:solidFill>
                    <w14:srgbClr w14:val="000000">
                      <w14:alpha w14:val="100000"/>
                    </w14:srgbClr>
                  </w14:solidFill>
                </w14:textFill>
              </w:rPr>
              <w:t xml:space="preserve">　</w:t>
            </w:r>
            <w:r w:rsidR="002610F9" w:rsidRPr="002610F9">
              <w:rPr>
                <w:rFonts w:ascii="Arial Narrow" w:hAnsi="Arial Narrow"/>
                <w:i/>
                <w:iCs/>
                <w:color w:val="000000"/>
                <w:w w:val="15"/>
                <w:sz w:val="20"/>
                <w:szCs w:val="20"/>
                <w:shd w:val="solid" w:color="000000" w:fill="000000"/>
                <w:fitText w:val="50" w:id="-1217620468"/>
                <w14:textFill>
                  <w14:solidFill>
                    <w14:srgbClr w14:val="000000">
                      <w14:alpha w14:val="100000"/>
                    </w14:srgbClr>
                  </w14:solidFill>
                </w14:textFill>
              </w:rPr>
              <w:t>|</w:t>
            </w:r>
            <w:r w:rsidR="002610F9" w:rsidRPr="002610F9">
              <w:rPr>
                <w:rFonts w:ascii="Arial Narrow" w:hAnsi="Arial Narrow" w:hint="eastAsia"/>
                <w:i/>
                <w:iCs/>
                <w:color w:val="000000"/>
                <w:spacing w:val="-15"/>
                <w:w w:val="15"/>
                <w:sz w:val="20"/>
                <w:szCs w:val="20"/>
                <w:shd w:val="solid" w:color="000000" w:fill="000000"/>
                <w:fitText w:val="50" w:id="-1217620468"/>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0B11A5" w14:textId="31CBD963" w:rsidR="00C911FC" w:rsidRPr="00EB3F7D" w:rsidRDefault="00B07127" w:rsidP="00FC54DC">
            <w:pPr>
              <w:keepNext/>
              <w:jc w:val="center"/>
              <w:rPr>
                <w:rFonts w:ascii="Arial Narrow" w:hAnsi="Arial Narrow"/>
                <w:i/>
                <w:iCs/>
                <w:sz w:val="20"/>
                <w:szCs w:val="20"/>
              </w:rPr>
            </w:pPr>
            <w:r>
              <w:rPr>
                <w:rFonts w:ascii="Arial Narrow" w:hAnsi="Arial Narrow"/>
                <w:i/>
                <w:iCs/>
                <w:sz w:val="20"/>
                <w:szCs w:val="20"/>
              </w:rPr>
              <w:t>1.050</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B0D349" w14:textId="0356F922" w:rsidR="00C911FC" w:rsidRPr="00FA1F5D" w:rsidRDefault="00B07127" w:rsidP="00FC54DC">
            <w:pPr>
              <w:keepNext/>
              <w:jc w:val="center"/>
              <w:rPr>
                <w:rFonts w:ascii="Arial Narrow" w:hAnsi="Arial Narrow"/>
                <w:i/>
                <w:iCs/>
                <w:sz w:val="20"/>
                <w:szCs w:val="20"/>
                <w:highlight w:val="yellow"/>
              </w:rPr>
            </w:pPr>
            <w:r w:rsidRPr="002F3CF8">
              <w:rPr>
                <w:rFonts w:ascii="Arial Narrow" w:hAnsi="Arial Narrow"/>
                <w:i/>
                <w:iCs/>
                <w:sz w:val="20"/>
                <w:szCs w:val="20"/>
              </w:rPr>
              <w:t>$</w:t>
            </w:r>
            <w:r w:rsidR="002610F9" w:rsidRPr="002610F9">
              <w:rPr>
                <w:rFonts w:ascii="Arial Narrow" w:hAnsi="Arial Narrow"/>
                <w:i/>
                <w:iCs/>
                <w:color w:val="000000"/>
                <w:spacing w:val="174"/>
                <w:sz w:val="20"/>
                <w:szCs w:val="20"/>
                <w:shd w:val="solid" w:color="000000" w:fill="000000"/>
                <w:fitText w:val="260" w:id="-1217620466"/>
                <w14:textFill>
                  <w14:solidFill>
                    <w14:srgbClr w14:val="000000">
                      <w14:alpha w14:val="100000"/>
                    </w14:srgbClr>
                  </w14:solidFill>
                </w14:textFill>
              </w:rPr>
              <w:t>|</w:t>
            </w:r>
            <w:r w:rsidR="002610F9" w:rsidRPr="002610F9">
              <w:rPr>
                <w:rFonts w:ascii="Arial Narrow" w:hAnsi="Arial Narrow"/>
                <w:i/>
                <w:iCs/>
                <w:color w:val="000000"/>
                <w:spacing w:val="1"/>
                <w:sz w:val="20"/>
                <w:szCs w:val="20"/>
                <w:shd w:val="solid" w:color="000000" w:fill="000000"/>
                <w:fitText w:val="260" w:id="-1217620466"/>
                <w14:textFill>
                  <w14:solidFill>
                    <w14:srgbClr w14:val="000000">
                      <w14:alpha w14:val="100000"/>
                    </w14:srgbClr>
                  </w14:solidFill>
                </w14:textFill>
              </w:rPr>
              <w:t>|</w:t>
            </w:r>
          </w:p>
        </w:tc>
      </w:tr>
      <w:tr w:rsidR="00C911FC" w14:paraId="44EC2BD2" w14:textId="77777777" w:rsidTr="00EB3F7D">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7BCE5" w14:textId="25DF70FF" w:rsidR="00C911FC" w:rsidRPr="00EB3F7D" w:rsidRDefault="00BF7DC4" w:rsidP="00FC54DC">
            <w:pPr>
              <w:keepNext/>
              <w:rPr>
                <w:rFonts w:ascii="Arial Narrow" w:hAnsi="Arial Narrow"/>
                <w:i/>
                <w:iCs/>
                <w:sz w:val="20"/>
                <w:szCs w:val="20"/>
              </w:rPr>
            </w:pPr>
            <w:r>
              <w:rPr>
                <w:rFonts w:ascii="Arial Narrow" w:hAnsi="Arial Narrow"/>
                <w:i/>
                <w:iCs/>
                <w:sz w:val="20"/>
                <w:szCs w:val="20"/>
              </w:rPr>
              <w:t>ESC SA2: Trial-based ICER</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B6A198" w14:textId="4245A5F2" w:rsidR="00C911FC" w:rsidRPr="00FA1F5D" w:rsidRDefault="00B07127" w:rsidP="00FC54DC">
            <w:pPr>
              <w:keepNext/>
              <w:jc w:val="center"/>
              <w:rPr>
                <w:rFonts w:ascii="Arial Narrow" w:hAnsi="Arial Narrow"/>
                <w:i/>
                <w:iCs/>
                <w:sz w:val="20"/>
                <w:szCs w:val="20"/>
                <w:highlight w:val="yellow"/>
              </w:rPr>
            </w:pPr>
            <w:r w:rsidRPr="002F3CF8">
              <w:rPr>
                <w:rFonts w:ascii="Arial Narrow" w:hAnsi="Arial Narrow"/>
                <w:i/>
                <w:iCs/>
                <w:sz w:val="20"/>
                <w:szCs w:val="20"/>
              </w:rPr>
              <w:t>$</w:t>
            </w:r>
            <w:r w:rsidR="002610F9" w:rsidRPr="002610F9">
              <w:rPr>
                <w:rFonts w:ascii="Arial Narrow" w:hAnsi="Arial Narrow" w:hint="eastAsia"/>
                <w:i/>
                <w:iCs/>
                <w:color w:val="000000"/>
                <w:w w:val="15"/>
                <w:sz w:val="20"/>
                <w:szCs w:val="20"/>
                <w:shd w:val="solid" w:color="000000" w:fill="000000"/>
                <w:fitText w:val="50" w:id="-1217620465"/>
                <w14:textFill>
                  <w14:solidFill>
                    <w14:srgbClr w14:val="000000">
                      <w14:alpha w14:val="100000"/>
                    </w14:srgbClr>
                  </w14:solidFill>
                </w14:textFill>
              </w:rPr>
              <w:t xml:space="preserve">　</w:t>
            </w:r>
            <w:r w:rsidR="002610F9" w:rsidRPr="002610F9">
              <w:rPr>
                <w:rFonts w:ascii="Arial Narrow" w:hAnsi="Arial Narrow"/>
                <w:i/>
                <w:iCs/>
                <w:color w:val="000000"/>
                <w:w w:val="15"/>
                <w:sz w:val="20"/>
                <w:szCs w:val="20"/>
                <w:shd w:val="solid" w:color="000000" w:fill="000000"/>
                <w:fitText w:val="50" w:id="-1217620465"/>
                <w14:textFill>
                  <w14:solidFill>
                    <w14:srgbClr w14:val="000000">
                      <w14:alpha w14:val="100000"/>
                    </w14:srgbClr>
                  </w14:solidFill>
                </w14:textFill>
              </w:rPr>
              <w:t>|</w:t>
            </w:r>
            <w:r w:rsidR="002610F9" w:rsidRPr="002610F9">
              <w:rPr>
                <w:rFonts w:ascii="Arial Narrow" w:hAnsi="Arial Narrow" w:hint="eastAsia"/>
                <w:i/>
                <w:iCs/>
                <w:color w:val="000000"/>
                <w:spacing w:val="-15"/>
                <w:w w:val="15"/>
                <w:sz w:val="20"/>
                <w:szCs w:val="20"/>
                <w:shd w:val="solid" w:color="000000" w:fill="000000"/>
                <w:fitText w:val="50" w:id="-1217620465"/>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61F633" w14:textId="6EDF0E34" w:rsidR="00C911FC" w:rsidRPr="00EB3F7D" w:rsidRDefault="00B07127" w:rsidP="00FC54DC">
            <w:pPr>
              <w:keepNext/>
              <w:jc w:val="center"/>
              <w:rPr>
                <w:rFonts w:ascii="Arial Narrow" w:hAnsi="Arial Narrow"/>
                <w:i/>
                <w:iCs/>
                <w:sz w:val="20"/>
                <w:szCs w:val="20"/>
              </w:rPr>
            </w:pPr>
            <w:r>
              <w:rPr>
                <w:rFonts w:ascii="Arial Narrow" w:hAnsi="Arial Narrow"/>
                <w:i/>
                <w:iCs/>
                <w:sz w:val="20"/>
                <w:szCs w:val="20"/>
              </w:rPr>
              <w:t>0.126</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2EBBEC" w14:textId="46C5F8CB" w:rsidR="00C911FC" w:rsidRPr="00FA1F5D" w:rsidRDefault="00B07127" w:rsidP="00FC54DC">
            <w:pPr>
              <w:keepNext/>
              <w:jc w:val="center"/>
              <w:rPr>
                <w:rFonts w:ascii="Arial Narrow" w:hAnsi="Arial Narrow"/>
                <w:i/>
                <w:iCs/>
                <w:sz w:val="20"/>
                <w:szCs w:val="20"/>
                <w:highlight w:val="yellow"/>
              </w:rPr>
            </w:pPr>
            <w:r w:rsidRPr="002F3CF8">
              <w:rPr>
                <w:rFonts w:ascii="Arial Narrow" w:hAnsi="Arial Narrow"/>
                <w:i/>
                <w:iCs/>
                <w:sz w:val="20"/>
                <w:szCs w:val="20"/>
              </w:rPr>
              <w:t>$</w:t>
            </w:r>
            <w:r w:rsidR="002610F9" w:rsidRPr="002610F9">
              <w:rPr>
                <w:rFonts w:ascii="Arial Narrow" w:hAnsi="Arial Narrow" w:hint="eastAsia"/>
                <w:i/>
                <w:iCs/>
                <w:color w:val="000000"/>
                <w:w w:val="15"/>
                <w:sz w:val="20"/>
                <w:szCs w:val="20"/>
                <w:shd w:val="solid" w:color="000000" w:fill="000000"/>
                <w:fitText w:val="50" w:id="-1217620464"/>
                <w14:textFill>
                  <w14:solidFill>
                    <w14:srgbClr w14:val="000000">
                      <w14:alpha w14:val="100000"/>
                    </w14:srgbClr>
                  </w14:solidFill>
                </w14:textFill>
              </w:rPr>
              <w:t xml:space="preserve">　</w:t>
            </w:r>
            <w:r w:rsidR="002610F9" w:rsidRPr="002610F9">
              <w:rPr>
                <w:rFonts w:ascii="Arial Narrow" w:hAnsi="Arial Narrow"/>
                <w:i/>
                <w:iCs/>
                <w:color w:val="000000"/>
                <w:w w:val="15"/>
                <w:sz w:val="20"/>
                <w:szCs w:val="20"/>
                <w:shd w:val="solid" w:color="000000" w:fill="000000"/>
                <w:fitText w:val="50" w:id="-1217620464"/>
                <w14:textFill>
                  <w14:solidFill>
                    <w14:srgbClr w14:val="000000">
                      <w14:alpha w14:val="100000"/>
                    </w14:srgbClr>
                  </w14:solidFill>
                </w14:textFill>
              </w:rPr>
              <w:t>|</w:t>
            </w:r>
            <w:r w:rsidR="002610F9" w:rsidRPr="002610F9">
              <w:rPr>
                <w:rFonts w:ascii="Arial Narrow" w:hAnsi="Arial Narrow" w:hint="eastAsia"/>
                <w:i/>
                <w:iCs/>
                <w:color w:val="000000"/>
                <w:spacing w:val="-15"/>
                <w:w w:val="15"/>
                <w:sz w:val="20"/>
                <w:szCs w:val="20"/>
                <w:shd w:val="solid" w:color="000000" w:fill="000000"/>
                <w:fitText w:val="50" w:id="-1217620464"/>
                <w14:textFill>
                  <w14:solidFill>
                    <w14:srgbClr w14:val="000000">
                      <w14:alpha w14:val="100000"/>
                    </w14:srgbClr>
                  </w14:solidFill>
                </w14:textFill>
              </w:rPr>
              <w:t xml:space="preserve">　</w:t>
            </w:r>
          </w:p>
        </w:tc>
      </w:tr>
      <w:tr w:rsidR="00C911FC" w14:paraId="6F2FEA8B" w14:textId="77777777" w:rsidTr="00EB3F7D">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59DE06" w14:textId="051C7499" w:rsidR="00C911FC" w:rsidRPr="00EB3F7D" w:rsidRDefault="00BF7DC4" w:rsidP="00FC54DC">
            <w:pPr>
              <w:keepNext/>
              <w:rPr>
                <w:rFonts w:ascii="Arial Narrow" w:hAnsi="Arial Narrow"/>
                <w:i/>
                <w:iCs/>
                <w:sz w:val="20"/>
                <w:szCs w:val="20"/>
              </w:rPr>
            </w:pPr>
            <w:r>
              <w:rPr>
                <w:rFonts w:ascii="Arial Narrow" w:hAnsi="Arial Narrow"/>
                <w:i/>
                <w:iCs/>
                <w:sz w:val="20"/>
                <w:szCs w:val="20"/>
              </w:rPr>
              <w:t>ESC SA3: Time horizon = 15 years (Respecified BC=30 years)</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A751A4" w14:textId="3DBF3FD6" w:rsidR="00C911FC" w:rsidRPr="00FA1F5D" w:rsidRDefault="00B07127" w:rsidP="00FC54DC">
            <w:pPr>
              <w:keepNext/>
              <w:jc w:val="center"/>
              <w:rPr>
                <w:rFonts w:ascii="Arial Narrow" w:hAnsi="Arial Narrow"/>
                <w:i/>
                <w:iCs/>
                <w:sz w:val="20"/>
                <w:szCs w:val="20"/>
                <w:highlight w:val="yellow"/>
              </w:rPr>
            </w:pPr>
            <w:r w:rsidRPr="002F3CF8">
              <w:rPr>
                <w:rFonts w:ascii="Arial Narrow" w:hAnsi="Arial Narrow"/>
                <w:i/>
                <w:iCs/>
                <w:sz w:val="20"/>
                <w:szCs w:val="20"/>
              </w:rPr>
              <w:t>$</w:t>
            </w:r>
            <w:r w:rsidR="002610F9" w:rsidRPr="002610F9">
              <w:rPr>
                <w:rFonts w:ascii="Arial Narrow" w:hAnsi="Arial Narrow" w:hint="eastAsia"/>
                <w:i/>
                <w:iCs/>
                <w:color w:val="000000"/>
                <w:w w:val="15"/>
                <w:sz w:val="20"/>
                <w:szCs w:val="20"/>
                <w:shd w:val="solid" w:color="000000" w:fill="000000"/>
                <w:fitText w:val="50" w:id="-1217620480"/>
                <w14:textFill>
                  <w14:solidFill>
                    <w14:srgbClr w14:val="000000">
                      <w14:alpha w14:val="100000"/>
                    </w14:srgbClr>
                  </w14:solidFill>
                </w14:textFill>
              </w:rPr>
              <w:t xml:space="preserve">　</w:t>
            </w:r>
            <w:r w:rsidR="002610F9" w:rsidRPr="002610F9">
              <w:rPr>
                <w:rFonts w:ascii="Arial Narrow" w:hAnsi="Arial Narrow"/>
                <w:i/>
                <w:iCs/>
                <w:color w:val="000000"/>
                <w:w w:val="15"/>
                <w:sz w:val="20"/>
                <w:szCs w:val="20"/>
                <w:shd w:val="solid" w:color="000000" w:fill="000000"/>
                <w:fitText w:val="50" w:id="-1217620480"/>
                <w14:textFill>
                  <w14:solidFill>
                    <w14:srgbClr w14:val="000000">
                      <w14:alpha w14:val="100000"/>
                    </w14:srgbClr>
                  </w14:solidFill>
                </w14:textFill>
              </w:rPr>
              <w:t>|</w:t>
            </w:r>
            <w:r w:rsidR="002610F9" w:rsidRPr="002610F9">
              <w:rPr>
                <w:rFonts w:ascii="Arial Narrow" w:hAnsi="Arial Narrow" w:hint="eastAsia"/>
                <w:i/>
                <w:iCs/>
                <w:color w:val="000000"/>
                <w:spacing w:val="-15"/>
                <w:w w:val="15"/>
                <w:sz w:val="20"/>
                <w:szCs w:val="20"/>
                <w:shd w:val="solid" w:color="000000" w:fill="000000"/>
                <w:fitText w:val="50" w:id="-1217620480"/>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F3C2AA" w14:textId="78C99FC4" w:rsidR="00C911FC" w:rsidRPr="00EB3F7D" w:rsidRDefault="00B07127" w:rsidP="00FC54DC">
            <w:pPr>
              <w:keepNext/>
              <w:jc w:val="center"/>
              <w:rPr>
                <w:rFonts w:ascii="Arial Narrow" w:hAnsi="Arial Narrow"/>
                <w:i/>
                <w:iCs/>
                <w:sz w:val="20"/>
                <w:szCs w:val="20"/>
              </w:rPr>
            </w:pPr>
            <w:r>
              <w:rPr>
                <w:rFonts w:ascii="Arial Narrow" w:hAnsi="Arial Narrow"/>
                <w:i/>
                <w:iCs/>
                <w:sz w:val="20"/>
                <w:szCs w:val="20"/>
              </w:rPr>
              <w:t>0.738</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7FD58B" w14:textId="52499BB1" w:rsidR="00C911FC" w:rsidRPr="00FA1F5D" w:rsidRDefault="00B07127" w:rsidP="00FC54DC">
            <w:pPr>
              <w:keepNext/>
              <w:jc w:val="center"/>
              <w:rPr>
                <w:rFonts w:ascii="Arial Narrow" w:hAnsi="Arial Narrow"/>
                <w:i/>
                <w:iCs/>
                <w:sz w:val="20"/>
                <w:szCs w:val="20"/>
                <w:highlight w:val="yellow"/>
              </w:rPr>
            </w:pPr>
            <w:r w:rsidRPr="002F3CF8">
              <w:rPr>
                <w:rFonts w:ascii="Arial Narrow" w:hAnsi="Arial Narrow"/>
                <w:i/>
                <w:iCs/>
                <w:sz w:val="20"/>
                <w:szCs w:val="20"/>
              </w:rPr>
              <w:t>$</w:t>
            </w:r>
            <w:r w:rsidR="002610F9" w:rsidRPr="002610F9">
              <w:rPr>
                <w:rFonts w:ascii="Arial Narrow" w:hAnsi="Arial Narrow" w:hint="eastAsia"/>
                <w:i/>
                <w:iCs/>
                <w:color w:val="000000"/>
                <w:w w:val="15"/>
                <w:sz w:val="20"/>
                <w:szCs w:val="20"/>
                <w:shd w:val="solid" w:color="000000" w:fill="000000"/>
                <w:fitText w:val="50" w:id="-1217620479"/>
                <w14:textFill>
                  <w14:solidFill>
                    <w14:srgbClr w14:val="000000">
                      <w14:alpha w14:val="100000"/>
                    </w14:srgbClr>
                  </w14:solidFill>
                </w14:textFill>
              </w:rPr>
              <w:t xml:space="preserve">　</w:t>
            </w:r>
            <w:r w:rsidR="002610F9" w:rsidRPr="002610F9">
              <w:rPr>
                <w:rFonts w:ascii="Arial Narrow" w:hAnsi="Arial Narrow"/>
                <w:i/>
                <w:iCs/>
                <w:color w:val="000000"/>
                <w:w w:val="15"/>
                <w:sz w:val="20"/>
                <w:szCs w:val="20"/>
                <w:shd w:val="solid" w:color="000000" w:fill="000000"/>
                <w:fitText w:val="50" w:id="-1217620479"/>
                <w14:textFill>
                  <w14:solidFill>
                    <w14:srgbClr w14:val="000000">
                      <w14:alpha w14:val="100000"/>
                    </w14:srgbClr>
                  </w14:solidFill>
                </w14:textFill>
              </w:rPr>
              <w:t>|</w:t>
            </w:r>
            <w:r w:rsidR="002610F9" w:rsidRPr="002610F9">
              <w:rPr>
                <w:rFonts w:ascii="Arial Narrow" w:hAnsi="Arial Narrow" w:hint="eastAsia"/>
                <w:i/>
                <w:iCs/>
                <w:color w:val="000000"/>
                <w:spacing w:val="-15"/>
                <w:w w:val="15"/>
                <w:sz w:val="20"/>
                <w:szCs w:val="20"/>
                <w:shd w:val="solid" w:color="000000" w:fill="000000"/>
                <w:fitText w:val="50" w:id="-1217620479"/>
                <w14:textFill>
                  <w14:solidFill>
                    <w14:srgbClr w14:val="000000">
                      <w14:alpha w14:val="100000"/>
                    </w14:srgbClr>
                  </w14:solidFill>
                </w14:textFill>
              </w:rPr>
              <w:t xml:space="preserve">　</w:t>
            </w:r>
          </w:p>
        </w:tc>
      </w:tr>
      <w:tr w:rsidR="00C911FC" w14:paraId="01BB4CC4" w14:textId="77777777" w:rsidTr="00EB3F7D">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45C76A" w14:textId="53D0FDDF" w:rsidR="00C911FC" w:rsidRPr="00EB3F7D" w:rsidRDefault="00BF7DC4" w:rsidP="00FC54DC">
            <w:pPr>
              <w:keepNext/>
              <w:rPr>
                <w:rFonts w:ascii="Arial Narrow" w:hAnsi="Arial Narrow"/>
                <w:i/>
                <w:iCs/>
                <w:sz w:val="20"/>
                <w:szCs w:val="20"/>
                <w:vertAlign w:val="superscript"/>
              </w:rPr>
            </w:pPr>
            <w:r>
              <w:rPr>
                <w:rFonts w:ascii="Arial Narrow" w:hAnsi="Arial Narrow"/>
                <w:i/>
                <w:iCs/>
                <w:sz w:val="20"/>
                <w:szCs w:val="20"/>
              </w:rPr>
              <w:t xml:space="preserve">ESC SA4: EFS assume same in each arm in absence of </w:t>
            </w:r>
            <w:proofErr w:type="spellStart"/>
            <w:r>
              <w:rPr>
                <w:rFonts w:ascii="Arial Narrow" w:hAnsi="Arial Narrow"/>
                <w:i/>
                <w:iCs/>
                <w:sz w:val="20"/>
                <w:szCs w:val="20"/>
              </w:rPr>
              <w:t>PFS</w:t>
            </w:r>
            <w:r w:rsidR="00B07127">
              <w:rPr>
                <w:rFonts w:ascii="Arial Narrow" w:hAnsi="Arial Narrow"/>
                <w:i/>
                <w:iCs/>
                <w:sz w:val="20"/>
                <w:szCs w:val="20"/>
                <w:vertAlign w:val="superscript"/>
              </w:rPr>
              <w:t>a</w:t>
            </w:r>
            <w:proofErr w:type="spellEnd"/>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FFFD28" w14:textId="1D0005F4" w:rsidR="00C911FC" w:rsidRPr="00FA1F5D" w:rsidRDefault="00B07127" w:rsidP="00FC54DC">
            <w:pPr>
              <w:keepNext/>
              <w:jc w:val="center"/>
              <w:rPr>
                <w:rFonts w:ascii="Arial Narrow" w:hAnsi="Arial Narrow"/>
                <w:i/>
                <w:iCs/>
                <w:sz w:val="20"/>
                <w:szCs w:val="20"/>
                <w:highlight w:val="yellow"/>
              </w:rPr>
            </w:pPr>
            <w:r w:rsidRPr="002F3CF8">
              <w:rPr>
                <w:rFonts w:ascii="Arial Narrow" w:hAnsi="Arial Narrow"/>
                <w:i/>
                <w:iCs/>
                <w:sz w:val="20"/>
                <w:szCs w:val="20"/>
              </w:rPr>
              <w:t>$</w:t>
            </w:r>
            <w:r w:rsidR="002610F9" w:rsidRPr="002610F9">
              <w:rPr>
                <w:rFonts w:ascii="Arial Narrow" w:hAnsi="Arial Narrow" w:hint="eastAsia"/>
                <w:i/>
                <w:iCs/>
                <w:color w:val="000000"/>
                <w:w w:val="15"/>
                <w:sz w:val="20"/>
                <w:szCs w:val="20"/>
                <w:shd w:val="solid" w:color="000000" w:fill="000000"/>
                <w:fitText w:val="50" w:id="-1217620478"/>
                <w14:textFill>
                  <w14:solidFill>
                    <w14:srgbClr w14:val="000000">
                      <w14:alpha w14:val="100000"/>
                    </w14:srgbClr>
                  </w14:solidFill>
                </w14:textFill>
              </w:rPr>
              <w:t xml:space="preserve">　</w:t>
            </w:r>
            <w:r w:rsidR="002610F9" w:rsidRPr="002610F9">
              <w:rPr>
                <w:rFonts w:ascii="Arial Narrow" w:hAnsi="Arial Narrow"/>
                <w:i/>
                <w:iCs/>
                <w:color w:val="000000"/>
                <w:w w:val="15"/>
                <w:sz w:val="20"/>
                <w:szCs w:val="20"/>
                <w:shd w:val="solid" w:color="000000" w:fill="000000"/>
                <w:fitText w:val="50" w:id="-1217620478"/>
                <w14:textFill>
                  <w14:solidFill>
                    <w14:srgbClr w14:val="000000">
                      <w14:alpha w14:val="100000"/>
                    </w14:srgbClr>
                  </w14:solidFill>
                </w14:textFill>
              </w:rPr>
              <w:t>|</w:t>
            </w:r>
            <w:r w:rsidR="002610F9" w:rsidRPr="002610F9">
              <w:rPr>
                <w:rFonts w:ascii="Arial Narrow" w:hAnsi="Arial Narrow" w:hint="eastAsia"/>
                <w:i/>
                <w:iCs/>
                <w:color w:val="000000"/>
                <w:spacing w:val="-15"/>
                <w:w w:val="15"/>
                <w:sz w:val="20"/>
                <w:szCs w:val="20"/>
                <w:shd w:val="solid" w:color="000000" w:fill="000000"/>
                <w:fitText w:val="50" w:id="-1217620478"/>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9FC497" w14:textId="4974473E" w:rsidR="00C911FC" w:rsidRPr="00EB3F7D" w:rsidRDefault="00B07127" w:rsidP="00FC54DC">
            <w:pPr>
              <w:keepNext/>
              <w:jc w:val="center"/>
              <w:rPr>
                <w:rFonts w:ascii="Arial Narrow" w:hAnsi="Arial Narrow"/>
                <w:i/>
                <w:iCs/>
                <w:sz w:val="20"/>
                <w:szCs w:val="20"/>
              </w:rPr>
            </w:pPr>
            <w:r>
              <w:rPr>
                <w:rFonts w:ascii="Arial Narrow" w:hAnsi="Arial Narrow"/>
                <w:i/>
                <w:iCs/>
                <w:sz w:val="20"/>
                <w:szCs w:val="20"/>
              </w:rPr>
              <w:t>1.031</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45C5A0" w14:textId="10727534" w:rsidR="00C911FC" w:rsidRPr="00FA1F5D" w:rsidRDefault="00B07127" w:rsidP="00FC54DC">
            <w:pPr>
              <w:keepNext/>
              <w:jc w:val="center"/>
              <w:rPr>
                <w:rFonts w:ascii="Arial Narrow" w:hAnsi="Arial Narrow"/>
                <w:i/>
                <w:iCs/>
                <w:sz w:val="20"/>
                <w:szCs w:val="20"/>
                <w:highlight w:val="yellow"/>
              </w:rPr>
            </w:pPr>
            <w:r w:rsidRPr="002F3CF8">
              <w:rPr>
                <w:rFonts w:ascii="Arial Narrow" w:hAnsi="Arial Narrow"/>
                <w:i/>
                <w:iCs/>
                <w:sz w:val="20"/>
                <w:szCs w:val="20"/>
              </w:rPr>
              <w:t>$</w:t>
            </w:r>
            <w:r w:rsidR="002610F9" w:rsidRPr="002610F9">
              <w:rPr>
                <w:rFonts w:ascii="Arial Narrow" w:hAnsi="Arial Narrow" w:hint="eastAsia"/>
                <w:i/>
                <w:iCs/>
                <w:color w:val="000000"/>
                <w:w w:val="15"/>
                <w:sz w:val="20"/>
                <w:szCs w:val="20"/>
                <w:shd w:val="solid" w:color="000000" w:fill="000000"/>
                <w:fitText w:val="50" w:id="-1217620477"/>
                <w14:textFill>
                  <w14:solidFill>
                    <w14:srgbClr w14:val="000000">
                      <w14:alpha w14:val="100000"/>
                    </w14:srgbClr>
                  </w14:solidFill>
                </w14:textFill>
              </w:rPr>
              <w:t xml:space="preserve">　</w:t>
            </w:r>
            <w:r w:rsidR="002610F9" w:rsidRPr="002610F9">
              <w:rPr>
                <w:rFonts w:ascii="Arial Narrow" w:hAnsi="Arial Narrow"/>
                <w:i/>
                <w:iCs/>
                <w:color w:val="000000"/>
                <w:w w:val="15"/>
                <w:sz w:val="20"/>
                <w:szCs w:val="20"/>
                <w:shd w:val="solid" w:color="000000" w:fill="000000"/>
                <w:fitText w:val="50" w:id="-1217620477"/>
                <w14:textFill>
                  <w14:solidFill>
                    <w14:srgbClr w14:val="000000">
                      <w14:alpha w14:val="100000"/>
                    </w14:srgbClr>
                  </w14:solidFill>
                </w14:textFill>
              </w:rPr>
              <w:t>|</w:t>
            </w:r>
            <w:r w:rsidR="002610F9" w:rsidRPr="002610F9">
              <w:rPr>
                <w:rFonts w:ascii="Arial Narrow" w:hAnsi="Arial Narrow" w:hint="eastAsia"/>
                <w:i/>
                <w:iCs/>
                <w:color w:val="000000"/>
                <w:spacing w:val="-15"/>
                <w:w w:val="15"/>
                <w:sz w:val="20"/>
                <w:szCs w:val="20"/>
                <w:shd w:val="solid" w:color="000000" w:fill="000000"/>
                <w:fitText w:val="50" w:id="-1217620477"/>
                <w14:textFill>
                  <w14:solidFill>
                    <w14:srgbClr w14:val="000000">
                      <w14:alpha w14:val="100000"/>
                    </w14:srgbClr>
                  </w14:solidFill>
                </w14:textFill>
              </w:rPr>
              <w:t xml:space="preserve">　</w:t>
            </w:r>
          </w:p>
        </w:tc>
      </w:tr>
      <w:tr w:rsidR="00C911FC" w14:paraId="4481F209" w14:textId="77777777" w:rsidTr="00EB3F7D">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7CB32E" w14:textId="493BE597" w:rsidR="00C911FC" w:rsidRPr="00EB3F7D" w:rsidRDefault="00BF7DC4" w:rsidP="00FC54DC">
            <w:pPr>
              <w:keepNext/>
              <w:rPr>
                <w:rFonts w:ascii="Arial Narrow" w:hAnsi="Arial Narrow"/>
                <w:i/>
                <w:iCs/>
                <w:sz w:val="20"/>
                <w:szCs w:val="20"/>
                <w:vertAlign w:val="superscript"/>
              </w:rPr>
            </w:pPr>
            <w:r>
              <w:rPr>
                <w:rFonts w:ascii="Arial Narrow" w:hAnsi="Arial Narrow"/>
                <w:i/>
                <w:iCs/>
                <w:sz w:val="20"/>
                <w:szCs w:val="20"/>
              </w:rPr>
              <w:t>ESC SA5: Hospitalisation cost (3.3 months*$46,57</w:t>
            </w:r>
            <w:r w:rsidR="007B7298">
              <w:rPr>
                <w:rFonts w:ascii="Arial Narrow" w:hAnsi="Arial Narrow"/>
                <w:i/>
                <w:iCs/>
                <w:sz w:val="20"/>
                <w:szCs w:val="20"/>
              </w:rPr>
              <w:t>5</w:t>
            </w:r>
            <w:r w:rsidR="000A6916">
              <w:rPr>
                <w:rFonts w:ascii="Arial Narrow" w:hAnsi="Arial Narrow"/>
                <w:i/>
                <w:iCs/>
                <w:sz w:val="20"/>
                <w:szCs w:val="20"/>
                <w:vertAlign w:val="superscript"/>
              </w:rPr>
              <w:t>b</w:t>
            </w:r>
            <w:r w:rsidR="007B7298">
              <w:rPr>
                <w:rFonts w:ascii="Arial Narrow" w:hAnsi="Arial Narrow"/>
                <w:i/>
                <w:iCs/>
                <w:sz w:val="20"/>
                <w:szCs w:val="20"/>
              </w:rPr>
              <w:t>)</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F29321" w14:textId="0C5C1BF9" w:rsidR="00C911FC" w:rsidRPr="00FA1F5D" w:rsidRDefault="00B07127" w:rsidP="00FC54DC">
            <w:pPr>
              <w:keepNext/>
              <w:jc w:val="center"/>
              <w:rPr>
                <w:rFonts w:ascii="Arial Narrow" w:hAnsi="Arial Narrow"/>
                <w:i/>
                <w:iCs/>
                <w:sz w:val="20"/>
                <w:szCs w:val="20"/>
                <w:highlight w:val="yellow"/>
              </w:rPr>
            </w:pPr>
            <w:r w:rsidRPr="002F3CF8">
              <w:rPr>
                <w:rFonts w:ascii="Arial Narrow" w:hAnsi="Arial Narrow"/>
                <w:i/>
                <w:iCs/>
                <w:sz w:val="20"/>
                <w:szCs w:val="20"/>
              </w:rPr>
              <w:t>$</w:t>
            </w:r>
            <w:r w:rsidR="002610F9" w:rsidRPr="002610F9">
              <w:rPr>
                <w:rFonts w:ascii="Arial Narrow" w:hAnsi="Arial Narrow" w:hint="eastAsia"/>
                <w:i/>
                <w:iCs/>
                <w:color w:val="000000"/>
                <w:w w:val="15"/>
                <w:sz w:val="20"/>
                <w:szCs w:val="20"/>
                <w:shd w:val="solid" w:color="000000" w:fill="000000"/>
                <w:fitText w:val="50" w:id="-1217620476"/>
                <w14:textFill>
                  <w14:solidFill>
                    <w14:srgbClr w14:val="000000">
                      <w14:alpha w14:val="100000"/>
                    </w14:srgbClr>
                  </w14:solidFill>
                </w14:textFill>
              </w:rPr>
              <w:t xml:space="preserve">　</w:t>
            </w:r>
            <w:r w:rsidR="002610F9" w:rsidRPr="002610F9">
              <w:rPr>
                <w:rFonts w:ascii="Arial Narrow" w:hAnsi="Arial Narrow"/>
                <w:i/>
                <w:iCs/>
                <w:color w:val="000000"/>
                <w:w w:val="15"/>
                <w:sz w:val="20"/>
                <w:szCs w:val="20"/>
                <w:shd w:val="solid" w:color="000000" w:fill="000000"/>
                <w:fitText w:val="50" w:id="-1217620476"/>
                <w14:textFill>
                  <w14:solidFill>
                    <w14:srgbClr w14:val="000000">
                      <w14:alpha w14:val="100000"/>
                    </w14:srgbClr>
                  </w14:solidFill>
                </w14:textFill>
              </w:rPr>
              <w:t>|</w:t>
            </w:r>
            <w:r w:rsidR="002610F9" w:rsidRPr="002610F9">
              <w:rPr>
                <w:rFonts w:ascii="Arial Narrow" w:hAnsi="Arial Narrow" w:hint="eastAsia"/>
                <w:i/>
                <w:iCs/>
                <w:color w:val="000000"/>
                <w:spacing w:val="-15"/>
                <w:w w:val="15"/>
                <w:sz w:val="20"/>
                <w:szCs w:val="20"/>
                <w:shd w:val="solid" w:color="000000" w:fill="000000"/>
                <w:fitText w:val="50" w:id="-1217620476"/>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0311EC" w14:textId="11F330AD" w:rsidR="00C911FC" w:rsidRPr="00EB3F7D" w:rsidRDefault="00B07127" w:rsidP="00FC54DC">
            <w:pPr>
              <w:keepNext/>
              <w:jc w:val="center"/>
              <w:rPr>
                <w:rFonts w:ascii="Arial Narrow" w:hAnsi="Arial Narrow"/>
                <w:i/>
                <w:iCs/>
                <w:sz w:val="20"/>
                <w:szCs w:val="20"/>
              </w:rPr>
            </w:pPr>
            <w:r>
              <w:rPr>
                <w:rFonts w:ascii="Arial Narrow" w:hAnsi="Arial Narrow"/>
                <w:i/>
                <w:iCs/>
                <w:sz w:val="20"/>
                <w:szCs w:val="20"/>
              </w:rPr>
              <w:t>1.050</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D37D7C" w14:textId="45282718" w:rsidR="00C911FC" w:rsidRPr="00FA1F5D" w:rsidRDefault="00B07127" w:rsidP="00FC54DC">
            <w:pPr>
              <w:keepNext/>
              <w:jc w:val="center"/>
              <w:rPr>
                <w:rFonts w:ascii="Arial Narrow" w:hAnsi="Arial Narrow"/>
                <w:i/>
                <w:iCs/>
                <w:sz w:val="20"/>
                <w:szCs w:val="20"/>
                <w:highlight w:val="yellow"/>
              </w:rPr>
            </w:pPr>
            <w:r w:rsidRPr="002F3CF8">
              <w:rPr>
                <w:rFonts w:ascii="Arial Narrow" w:hAnsi="Arial Narrow"/>
                <w:i/>
                <w:iCs/>
                <w:sz w:val="20"/>
                <w:szCs w:val="20"/>
              </w:rPr>
              <w:t>$</w:t>
            </w:r>
            <w:r w:rsidR="002610F9" w:rsidRPr="002610F9">
              <w:rPr>
                <w:rFonts w:ascii="Arial Narrow" w:hAnsi="Arial Narrow" w:hint="eastAsia"/>
                <w:i/>
                <w:iCs/>
                <w:color w:val="000000"/>
                <w:w w:val="15"/>
                <w:sz w:val="20"/>
                <w:szCs w:val="20"/>
                <w:shd w:val="solid" w:color="000000" w:fill="000000"/>
                <w:fitText w:val="50" w:id="-1217620475"/>
                <w14:textFill>
                  <w14:solidFill>
                    <w14:srgbClr w14:val="000000">
                      <w14:alpha w14:val="100000"/>
                    </w14:srgbClr>
                  </w14:solidFill>
                </w14:textFill>
              </w:rPr>
              <w:t xml:space="preserve">　</w:t>
            </w:r>
            <w:r w:rsidR="002610F9" w:rsidRPr="002610F9">
              <w:rPr>
                <w:rFonts w:ascii="Arial Narrow" w:hAnsi="Arial Narrow"/>
                <w:i/>
                <w:iCs/>
                <w:color w:val="000000"/>
                <w:w w:val="15"/>
                <w:sz w:val="20"/>
                <w:szCs w:val="20"/>
                <w:shd w:val="solid" w:color="000000" w:fill="000000"/>
                <w:fitText w:val="50" w:id="-1217620475"/>
                <w14:textFill>
                  <w14:solidFill>
                    <w14:srgbClr w14:val="000000">
                      <w14:alpha w14:val="100000"/>
                    </w14:srgbClr>
                  </w14:solidFill>
                </w14:textFill>
              </w:rPr>
              <w:t>|</w:t>
            </w:r>
            <w:r w:rsidR="002610F9" w:rsidRPr="002610F9">
              <w:rPr>
                <w:rFonts w:ascii="Arial Narrow" w:hAnsi="Arial Narrow" w:hint="eastAsia"/>
                <w:i/>
                <w:iCs/>
                <w:color w:val="000000"/>
                <w:spacing w:val="-15"/>
                <w:w w:val="15"/>
                <w:sz w:val="20"/>
                <w:szCs w:val="20"/>
                <w:shd w:val="solid" w:color="000000" w:fill="000000"/>
                <w:fitText w:val="50" w:id="-1217620475"/>
                <w14:textFill>
                  <w14:solidFill>
                    <w14:srgbClr w14:val="000000">
                      <w14:alpha w14:val="100000"/>
                    </w14:srgbClr>
                  </w14:solidFill>
                </w14:textFill>
              </w:rPr>
              <w:t xml:space="preserve">　</w:t>
            </w:r>
          </w:p>
        </w:tc>
      </w:tr>
      <w:tr w:rsidR="00BF7DC4" w14:paraId="000F0724" w14:textId="77777777" w:rsidTr="00EB3F7D">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0FBD26" w14:textId="6C7C89AF" w:rsidR="00BF7DC4" w:rsidRPr="00EB3F7D" w:rsidRDefault="00BF7DC4" w:rsidP="00FC54DC">
            <w:pPr>
              <w:keepNext/>
              <w:rPr>
                <w:rFonts w:ascii="Arial Narrow" w:hAnsi="Arial Narrow"/>
                <w:i/>
                <w:iCs/>
                <w:sz w:val="20"/>
                <w:szCs w:val="20"/>
              </w:rPr>
            </w:pPr>
            <w:r>
              <w:rPr>
                <w:rFonts w:ascii="Arial Narrow" w:hAnsi="Arial Narrow"/>
                <w:i/>
                <w:iCs/>
                <w:sz w:val="20"/>
                <w:szCs w:val="20"/>
              </w:rPr>
              <w:t>ESC SA6:</w:t>
            </w:r>
            <w:r w:rsidR="007B7298">
              <w:rPr>
                <w:rFonts w:ascii="Arial Narrow" w:hAnsi="Arial Narrow"/>
                <w:i/>
                <w:iCs/>
                <w:sz w:val="20"/>
                <w:szCs w:val="20"/>
              </w:rPr>
              <w:t xml:space="preserve"> Utility of AXI first 3 months to consider 25% ICU for AEs</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D82775" w14:textId="25F82B22" w:rsidR="00BF7DC4" w:rsidRPr="00FA1F5D" w:rsidRDefault="00B07127" w:rsidP="00FC54DC">
            <w:pPr>
              <w:keepNext/>
              <w:jc w:val="center"/>
              <w:rPr>
                <w:rFonts w:ascii="Arial Narrow" w:hAnsi="Arial Narrow"/>
                <w:i/>
                <w:iCs/>
                <w:sz w:val="20"/>
                <w:szCs w:val="20"/>
                <w:highlight w:val="yellow"/>
              </w:rPr>
            </w:pPr>
            <w:r w:rsidRPr="002F3CF8">
              <w:rPr>
                <w:rFonts w:ascii="Arial Narrow" w:hAnsi="Arial Narrow"/>
                <w:i/>
                <w:iCs/>
                <w:sz w:val="20"/>
                <w:szCs w:val="20"/>
              </w:rPr>
              <w:t>$</w:t>
            </w:r>
            <w:r w:rsidR="002610F9" w:rsidRPr="002610F9">
              <w:rPr>
                <w:rFonts w:ascii="Arial Narrow" w:hAnsi="Arial Narrow" w:hint="eastAsia"/>
                <w:i/>
                <w:iCs/>
                <w:color w:val="000000"/>
                <w:w w:val="15"/>
                <w:sz w:val="20"/>
                <w:szCs w:val="20"/>
                <w:shd w:val="solid" w:color="000000" w:fill="000000"/>
                <w:fitText w:val="50" w:id="-1217620474"/>
                <w14:textFill>
                  <w14:solidFill>
                    <w14:srgbClr w14:val="000000">
                      <w14:alpha w14:val="100000"/>
                    </w14:srgbClr>
                  </w14:solidFill>
                </w14:textFill>
              </w:rPr>
              <w:t xml:space="preserve">　</w:t>
            </w:r>
            <w:r w:rsidR="002610F9" w:rsidRPr="002610F9">
              <w:rPr>
                <w:rFonts w:ascii="Arial Narrow" w:hAnsi="Arial Narrow"/>
                <w:i/>
                <w:iCs/>
                <w:color w:val="000000"/>
                <w:w w:val="15"/>
                <w:sz w:val="20"/>
                <w:szCs w:val="20"/>
                <w:shd w:val="solid" w:color="000000" w:fill="000000"/>
                <w:fitText w:val="50" w:id="-1217620474"/>
                <w14:textFill>
                  <w14:solidFill>
                    <w14:srgbClr w14:val="000000">
                      <w14:alpha w14:val="100000"/>
                    </w14:srgbClr>
                  </w14:solidFill>
                </w14:textFill>
              </w:rPr>
              <w:t>|</w:t>
            </w:r>
            <w:r w:rsidR="002610F9" w:rsidRPr="002610F9">
              <w:rPr>
                <w:rFonts w:ascii="Arial Narrow" w:hAnsi="Arial Narrow" w:hint="eastAsia"/>
                <w:i/>
                <w:iCs/>
                <w:color w:val="000000"/>
                <w:spacing w:val="-15"/>
                <w:w w:val="15"/>
                <w:sz w:val="20"/>
                <w:szCs w:val="20"/>
                <w:shd w:val="solid" w:color="000000" w:fill="000000"/>
                <w:fitText w:val="50" w:id="-1217620474"/>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6E8660" w14:textId="50048E28" w:rsidR="00BF7DC4" w:rsidRPr="00BF7DC4" w:rsidRDefault="00B07127" w:rsidP="00FC54DC">
            <w:pPr>
              <w:keepNext/>
              <w:jc w:val="center"/>
              <w:rPr>
                <w:rFonts w:ascii="Arial Narrow" w:hAnsi="Arial Narrow"/>
                <w:i/>
                <w:iCs/>
                <w:sz w:val="20"/>
                <w:szCs w:val="20"/>
              </w:rPr>
            </w:pPr>
            <w:r>
              <w:rPr>
                <w:rFonts w:ascii="Arial Narrow" w:hAnsi="Arial Narrow"/>
                <w:i/>
                <w:iCs/>
                <w:sz w:val="20"/>
                <w:szCs w:val="20"/>
              </w:rPr>
              <w:t>1.031</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25E6AC" w14:textId="689A8089" w:rsidR="00BF7DC4" w:rsidRPr="00FA1F5D" w:rsidRDefault="00B07127" w:rsidP="00FC54DC">
            <w:pPr>
              <w:keepNext/>
              <w:jc w:val="center"/>
              <w:rPr>
                <w:rFonts w:ascii="Arial Narrow" w:hAnsi="Arial Narrow"/>
                <w:i/>
                <w:iCs/>
                <w:sz w:val="20"/>
                <w:szCs w:val="20"/>
                <w:highlight w:val="yellow"/>
              </w:rPr>
            </w:pPr>
            <w:r w:rsidRPr="002F3CF8">
              <w:rPr>
                <w:rFonts w:ascii="Arial Narrow" w:hAnsi="Arial Narrow"/>
                <w:i/>
                <w:iCs/>
                <w:sz w:val="20"/>
                <w:szCs w:val="20"/>
              </w:rPr>
              <w:t>$</w:t>
            </w:r>
            <w:r w:rsidR="002610F9" w:rsidRPr="002610F9">
              <w:rPr>
                <w:rFonts w:ascii="Arial Narrow" w:hAnsi="Arial Narrow" w:hint="eastAsia"/>
                <w:i/>
                <w:iCs/>
                <w:color w:val="000000"/>
                <w:w w:val="15"/>
                <w:sz w:val="20"/>
                <w:szCs w:val="20"/>
                <w:shd w:val="solid" w:color="000000" w:fill="000000"/>
                <w:fitText w:val="50" w:id="-1217620473"/>
                <w14:textFill>
                  <w14:solidFill>
                    <w14:srgbClr w14:val="000000">
                      <w14:alpha w14:val="100000"/>
                    </w14:srgbClr>
                  </w14:solidFill>
                </w14:textFill>
              </w:rPr>
              <w:t xml:space="preserve">　</w:t>
            </w:r>
            <w:r w:rsidR="002610F9" w:rsidRPr="002610F9">
              <w:rPr>
                <w:rFonts w:ascii="Arial Narrow" w:hAnsi="Arial Narrow"/>
                <w:i/>
                <w:iCs/>
                <w:color w:val="000000"/>
                <w:w w:val="15"/>
                <w:sz w:val="20"/>
                <w:szCs w:val="20"/>
                <w:shd w:val="solid" w:color="000000" w:fill="000000"/>
                <w:fitText w:val="50" w:id="-1217620473"/>
                <w14:textFill>
                  <w14:solidFill>
                    <w14:srgbClr w14:val="000000">
                      <w14:alpha w14:val="100000"/>
                    </w14:srgbClr>
                  </w14:solidFill>
                </w14:textFill>
              </w:rPr>
              <w:t>|</w:t>
            </w:r>
            <w:r w:rsidR="002610F9" w:rsidRPr="002610F9">
              <w:rPr>
                <w:rFonts w:ascii="Arial Narrow" w:hAnsi="Arial Narrow" w:hint="eastAsia"/>
                <w:i/>
                <w:iCs/>
                <w:color w:val="000000"/>
                <w:spacing w:val="-15"/>
                <w:w w:val="15"/>
                <w:sz w:val="20"/>
                <w:szCs w:val="20"/>
                <w:shd w:val="solid" w:color="000000" w:fill="000000"/>
                <w:fitText w:val="50" w:id="-1217620473"/>
                <w14:textFill>
                  <w14:solidFill>
                    <w14:srgbClr w14:val="000000">
                      <w14:alpha w14:val="100000"/>
                    </w14:srgbClr>
                  </w14:solidFill>
                </w14:textFill>
              </w:rPr>
              <w:t xml:space="preserve">　</w:t>
            </w:r>
          </w:p>
        </w:tc>
      </w:tr>
      <w:tr w:rsidR="00BF7DC4" w14:paraId="1E0043C0" w14:textId="77777777" w:rsidTr="00EB3F7D">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919B76" w14:textId="6A48EEE1" w:rsidR="00BF7DC4" w:rsidRPr="00EB3F7D" w:rsidRDefault="00BF7DC4" w:rsidP="00FC54DC">
            <w:pPr>
              <w:keepNext/>
              <w:rPr>
                <w:rFonts w:ascii="Arial Narrow" w:hAnsi="Arial Narrow"/>
                <w:i/>
                <w:iCs/>
                <w:sz w:val="20"/>
                <w:szCs w:val="20"/>
              </w:rPr>
            </w:pPr>
            <w:r>
              <w:rPr>
                <w:rFonts w:ascii="Arial Narrow" w:hAnsi="Arial Narrow"/>
                <w:i/>
                <w:iCs/>
                <w:sz w:val="20"/>
                <w:szCs w:val="20"/>
              </w:rPr>
              <w:t>ESC SA7:</w:t>
            </w:r>
            <w:r w:rsidR="007B7298">
              <w:rPr>
                <w:rFonts w:ascii="Arial Narrow" w:hAnsi="Arial Narrow"/>
                <w:i/>
                <w:iCs/>
                <w:sz w:val="20"/>
                <w:szCs w:val="20"/>
              </w:rPr>
              <w:t xml:space="preserve"> SA5+SA6</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05DE39" w14:textId="7B45CB35" w:rsidR="00BF7DC4" w:rsidRPr="00FA1F5D" w:rsidRDefault="00B07127" w:rsidP="00FC54DC">
            <w:pPr>
              <w:keepNext/>
              <w:jc w:val="center"/>
              <w:rPr>
                <w:rFonts w:ascii="Arial Narrow" w:hAnsi="Arial Narrow"/>
                <w:i/>
                <w:iCs/>
                <w:sz w:val="20"/>
                <w:szCs w:val="20"/>
                <w:highlight w:val="yellow"/>
              </w:rPr>
            </w:pPr>
            <w:r w:rsidRPr="002F3CF8">
              <w:rPr>
                <w:rFonts w:ascii="Arial Narrow" w:hAnsi="Arial Narrow"/>
                <w:i/>
                <w:iCs/>
                <w:sz w:val="20"/>
                <w:szCs w:val="20"/>
              </w:rPr>
              <w:t>$</w:t>
            </w:r>
            <w:r w:rsidR="002610F9" w:rsidRPr="002610F9">
              <w:rPr>
                <w:rFonts w:ascii="Arial Narrow" w:hAnsi="Arial Narrow" w:hint="eastAsia"/>
                <w:i/>
                <w:iCs/>
                <w:color w:val="000000"/>
                <w:w w:val="15"/>
                <w:sz w:val="20"/>
                <w:szCs w:val="20"/>
                <w:shd w:val="solid" w:color="000000" w:fill="000000"/>
                <w:fitText w:val="50" w:id="-1217620472"/>
                <w14:textFill>
                  <w14:solidFill>
                    <w14:srgbClr w14:val="000000">
                      <w14:alpha w14:val="100000"/>
                    </w14:srgbClr>
                  </w14:solidFill>
                </w14:textFill>
              </w:rPr>
              <w:t xml:space="preserve">　</w:t>
            </w:r>
            <w:r w:rsidR="002610F9" w:rsidRPr="002610F9">
              <w:rPr>
                <w:rFonts w:ascii="Arial Narrow" w:hAnsi="Arial Narrow"/>
                <w:i/>
                <w:iCs/>
                <w:color w:val="000000"/>
                <w:w w:val="15"/>
                <w:sz w:val="20"/>
                <w:szCs w:val="20"/>
                <w:shd w:val="solid" w:color="000000" w:fill="000000"/>
                <w:fitText w:val="50" w:id="-1217620472"/>
                <w14:textFill>
                  <w14:solidFill>
                    <w14:srgbClr w14:val="000000">
                      <w14:alpha w14:val="100000"/>
                    </w14:srgbClr>
                  </w14:solidFill>
                </w14:textFill>
              </w:rPr>
              <w:t>|</w:t>
            </w:r>
            <w:r w:rsidR="002610F9" w:rsidRPr="002610F9">
              <w:rPr>
                <w:rFonts w:ascii="Arial Narrow" w:hAnsi="Arial Narrow" w:hint="eastAsia"/>
                <w:i/>
                <w:iCs/>
                <w:color w:val="000000"/>
                <w:spacing w:val="-15"/>
                <w:w w:val="15"/>
                <w:sz w:val="20"/>
                <w:szCs w:val="20"/>
                <w:shd w:val="solid" w:color="000000" w:fill="000000"/>
                <w:fitText w:val="50" w:id="-1217620472"/>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2B2ED1" w14:textId="0DB80777" w:rsidR="00BF7DC4" w:rsidRPr="00BF7DC4" w:rsidRDefault="00B07127" w:rsidP="00FC54DC">
            <w:pPr>
              <w:keepNext/>
              <w:jc w:val="center"/>
              <w:rPr>
                <w:rFonts w:ascii="Arial Narrow" w:hAnsi="Arial Narrow"/>
                <w:i/>
                <w:iCs/>
                <w:sz w:val="20"/>
                <w:szCs w:val="20"/>
              </w:rPr>
            </w:pPr>
            <w:r>
              <w:rPr>
                <w:rFonts w:ascii="Arial Narrow" w:hAnsi="Arial Narrow"/>
                <w:i/>
                <w:iCs/>
                <w:sz w:val="20"/>
                <w:szCs w:val="20"/>
              </w:rPr>
              <w:t>1.031</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AFB002" w14:textId="123AC9B2" w:rsidR="00BF7DC4" w:rsidRPr="00FA1F5D" w:rsidRDefault="00B07127" w:rsidP="00FC54DC">
            <w:pPr>
              <w:keepNext/>
              <w:jc w:val="center"/>
              <w:rPr>
                <w:rFonts w:ascii="Arial Narrow" w:hAnsi="Arial Narrow"/>
                <w:i/>
                <w:iCs/>
                <w:sz w:val="20"/>
                <w:szCs w:val="20"/>
                <w:highlight w:val="yellow"/>
              </w:rPr>
            </w:pPr>
            <w:r w:rsidRPr="002F3CF8">
              <w:rPr>
                <w:rFonts w:ascii="Arial Narrow" w:hAnsi="Arial Narrow"/>
                <w:i/>
                <w:iCs/>
                <w:sz w:val="20"/>
                <w:szCs w:val="20"/>
              </w:rPr>
              <w:t>$</w:t>
            </w:r>
            <w:r w:rsidR="002610F9" w:rsidRPr="002610F9">
              <w:rPr>
                <w:rFonts w:ascii="Arial Narrow" w:hAnsi="Arial Narrow" w:hint="eastAsia"/>
                <w:i/>
                <w:iCs/>
                <w:color w:val="000000"/>
                <w:w w:val="15"/>
                <w:sz w:val="20"/>
                <w:szCs w:val="20"/>
                <w:shd w:val="solid" w:color="000000" w:fill="000000"/>
                <w:fitText w:val="50" w:id="-1217620471"/>
                <w14:textFill>
                  <w14:solidFill>
                    <w14:srgbClr w14:val="000000">
                      <w14:alpha w14:val="100000"/>
                    </w14:srgbClr>
                  </w14:solidFill>
                </w14:textFill>
              </w:rPr>
              <w:t xml:space="preserve">　</w:t>
            </w:r>
            <w:r w:rsidR="002610F9" w:rsidRPr="002610F9">
              <w:rPr>
                <w:rFonts w:ascii="Arial Narrow" w:hAnsi="Arial Narrow"/>
                <w:i/>
                <w:iCs/>
                <w:color w:val="000000"/>
                <w:w w:val="15"/>
                <w:sz w:val="20"/>
                <w:szCs w:val="20"/>
                <w:shd w:val="solid" w:color="000000" w:fill="000000"/>
                <w:fitText w:val="50" w:id="-1217620471"/>
                <w14:textFill>
                  <w14:solidFill>
                    <w14:srgbClr w14:val="000000">
                      <w14:alpha w14:val="100000"/>
                    </w14:srgbClr>
                  </w14:solidFill>
                </w14:textFill>
              </w:rPr>
              <w:t>|</w:t>
            </w:r>
            <w:r w:rsidR="002610F9" w:rsidRPr="002610F9">
              <w:rPr>
                <w:rFonts w:ascii="Arial Narrow" w:hAnsi="Arial Narrow" w:hint="eastAsia"/>
                <w:i/>
                <w:iCs/>
                <w:color w:val="000000"/>
                <w:spacing w:val="-15"/>
                <w:w w:val="15"/>
                <w:sz w:val="20"/>
                <w:szCs w:val="20"/>
                <w:shd w:val="solid" w:color="000000" w:fill="000000"/>
                <w:fitText w:val="50" w:id="-1217620471"/>
                <w14:textFill>
                  <w14:solidFill>
                    <w14:srgbClr w14:val="000000">
                      <w14:alpha w14:val="100000"/>
                    </w14:srgbClr>
                  </w14:solidFill>
                </w14:textFill>
              </w:rPr>
              <w:t xml:space="preserve">　</w:t>
            </w:r>
          </w:p>
        </w:tc>
      </w:tr>
      <w:tr w:rsidR="00BF7DC4" w14:paraId="71B29C90" w14:textId="77777777" w:rsidTr="00EB3F7D">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33DC84" w14:textId="559BCADB" w:rsidR="00BF7DC4" w:rsidRPr="00EB3F7D" w:rsidRDefault="00BF7DC4" w:rsidP="00FC54DC">
            <w:pPr>
              <w:keepNext/>
              <w:rPr>
                <w:rFonts w:ascii="Arial Narrow" w:hAnsi="Arial Narrow"/>
                <w:i/>
                <w:iCs/>
                <w:sz w:val="20"/>
                <w:szCs w:val="20"/>
              </w:rPr>
            </w:pPr>
            <w:r>
              <w:rPr>
                <w:rFonts w:ascii="Arial Narrow" w:hAnsi="Arial Narrow"/>
                <w:i/>
                <w:iCs/>
                <w:sz w:val="20"/>
                <w:szCs w:val="20"/>
              </w:rPr>
              <w:t>ESC SA8:</w:t>
            </w:r>
            <w:r w:rsidR="007B7298">
              <w:rPr>
                <w:rFonts w:ascii="Arial Narrow" w:hAnsi="Arial Narrow"/>
                <w:i/>
                <w:iCs/>
                <w:sz w:val="20"/>
                <w:szCs w:val="20"/>
              </w:rPr>
              <w:t xml:space="preserve"> SA1+ SA5+SA6</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9F7D88" w14:textId="29248040" w:rsidR="00BF7DC4" w:rsidRPr="00FA1F5D" w:rsidRDefault="00B07127" w:rsidP="00FC54DC">
            <w:pPr>
              <w:keepNext/>
              <w:jc w:val="center"/>
              <w:rPr>
                <w:rFonts w:ascii="Arial Narrow" w:hAnsi="Arial Narrow"/>
                <w:i/>
                <w:iCs/>
                <w:sz w:val="20"/>
                <w:szCs w:val="20"/>
                <w:highlight w:val="yellow"/>
              </w:rPr>
            </w:pPr>
            <w:r w:rsidRPr="002F3CF8">
              <w:rPr>
                <w:rFonts w:ascii="Arial Narrow" w:hAnsi="Arial Narrow"/>
                <w:i/>
                <w:iCs/>
                <w:sz w:val="20"/>
                <w:szCs w:val="20"/>
              </w:rPr>
              <w:t>$</w:t>
            </w:r>
            <w:r w:rsidR="002610F9" w:rsidRPr="002610F9">
              <w:rPr>
                <w:rFonts w:ascii="Arial Narrow" w:hAnsi="Arial Narrow" w:hint="eastAsia"/>
                <w:i/>
                <w:iCs/>
                <w:color w:val="000000"/>
                <w:w w:val="15"/>
                <w:sz w:val="20"/>
                <w:szCs w:val="20"/>
                <w:shd w:val="solid" w:color="000000" w:fill="000000"/>
                <w:fitText w:val="50" w:id="-1217620470"/>
                <w14:textFill>
                  <w14:solidFill>
                    <w14:srgbClr w14:val="000000">
                      <w14:alpha w14:val="100000"/>
                    </w14:srgbClr>
                  </w14:solidFill>
                </w14:textFill>
              </w:rPr>
              <w:t xml:space="preserve">　</w:t>
            </w:r>
            <w:r w:rsidR="002610F9" w:rsidRPr="002610F9">
              <w:rPr>
                <w:rFonts w:ascii="Arial Narrow" w:hAnsi="Arial Narrow"/>
                <w:i/>
                <w:iCs/>
                <w:color w:val="000000"/>
                <w:w w:val="15"/>
                <w:sz w:val="20"/>
                <w:szCs w:val="20"/>
                <w:shd w:val="solid" w:color="000000" w:fill="000000"/>
                <w:fitText w:val="50" w:id="-1217620470"/>
                <w14:textFill>
                  <w14:solidFill>
                    <w14:srgbClr w14:val="000000">
                      <w14:alpha w14:val="100000"/>
                    </w14:srgbClr>
                  </w14:solidFill>
                </w14:textFill>
              </w:rPr>
              <w:t>|</w:t>
            </w:r>
            <w:r w:rsidR="002610F9" w:rsidRPr="002610F9">
              <w:rPr>
                <w:rFonts w:ascii="Arial Narrow" w:hAnsi="Arial Narrow" w:hint="eastAsia"/>
                <w:i/>
                <w:iCs/>
                <w:color w:val="000000"/>
                <w:spacing w:val="-15"/>
                <w:w w:val="15"/>
                <w:sz w:val="20"/>
                <w:szCs w:val="20"/>
                <w:shd w:val="solid" w:color="000000" w:fill="000000"/>
                <w:fitText w:val="50" w:id="-1217620470"/>
                <w14:textFill>
                  <w14:solidFill>
                    <w14:srgbClr w14:val="000000">
                      <w14:alpha w14:val="100000"/>
                    </w14:srgbClr>
                  </w14:solidFill>
                </w14:textFill>
              </w:rPr>
              <w:t xml:space="preserve">　</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9FB27C" w14:textId="4555C49C" w:rsidR="00BF7DC4" w:rsidRPr="00BF7DC4" w:rsidRDefault="00B07127" w:rsidP="00FC54DC">
            <w:pPr>
              <w:keepNext/>
              <w:jc w:val="center"/>
              <w:rPr>
                <w:rFonts w:ascii="Arial Narrow" w:hAnsi="Arial Narrow"/>
                <w:i/>
                <w:iCs/>
                <w:sz w:val="20"/>
                <w:szCs w:val="20"/>
              </w:rPr>
            </w:pPr>
            <w:r>
              <w:rPr>
                <w:rFonts w:ascii="Arial Narrow" w:hAnsi="Arial Narrow"/>
                <w:i/>
                <w:iCs/>
                <w:sz w:val="20"/>
                <w:szCs w:val="20"/>
              </w:rPr>
              <w:t>1.031</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8EFDFC" w14:textId="01D25D87" w:rsidR="00BF7DC4" w:rsidRPr="00FA1F5D" w:rsidRDefault="00B07127" w:rsidP="00FC54DC">
            <w:pPr>
              <w:keepNext/>
              <w:jc w:val="center"/>
              <w:rPr>
                <w:rFonts w:ascii="Arial Narrow" w:hAnsi="Arial Narrow"/>
                <w:i/>
                <w:iCs/>
                <w:sz w:val="20"/>
                <w:szCs w:val="20"/>
                <w:highlight w:val="yellow"/>
              </w:rPr>
            </w:pPr>
            <w:r w:rsidRPr="002F3CF8">
              <w:rPr>
                <w:rFonts w:ascii="Arial Narrow" w:hAnsi="Arial Narrow"/>
                <w:i/>
                <w:iCs/>
                <w:sz w:val="20"/>
                <w:szCs w:val="20"/>
              </w:rPr>
              <w:t>$</w:t>
            </w:r>
            <w:r w:rsidR="002610F9" w:rsidRPr="002610F9">
              <w:rPr>
                <w:rFonts w:ascii="Arial Narrow" w:hAnsi="Arial Narrow" w:hint="eastAsia"/>
                <w:i/>
                <w:iCs/>
                <w:color w:val="000000"/>
                <w:w w:val="15"/>
                <w:sz w:val="20"/>
                <w:szCs w:val="20"/>
                <w:shd w:val="solid" w:color="000000" w:fill="000000"/>
                <w:fitText w:val="50" w:id="-1217620469"/>
                <w14:textFill>
                  <w14:solidFill>
                    <w14:srgbClr w14:val="000000">
                      <w14:alpha w14:val="100000"/>
                    </w14:srgbClr>
                  </w14:solidFill>
                </w14:textFill>
              </w:rPr>
              <w:t xml:space="preserve">　</w:t>
            </w:r>
            <w:r w:rsidR="002610F9" w:rsidRPr="002610F9">
              <w:rPr>
                <w:rFonts w:ascii="Arial Narrow" w:hAnsi="Arial Narrow"/>
                <w:i/>
                <w:iCs/>
                <w:color w:val="000000"/>
                <w:w w:val="15"/>
                <w:sz w:val="20"/>
                <w:szCs w:val="20"/>
                <w:shd w:val="solid" w:color="000000" w:fill="000000"/>
                <w:fitText w:val="50" w:id="-1217620469"/>
                <w14:textFill>
                  <w14:solidFill>
                    <w14:srgbClr w14:val="000000">
                      <w14:alpha w14:val="100000"/>
                    </w14:srgbClr>
                  </w14:solidFill>
                </w14:textFill>
              </w:rPr>
              <w:t>|</w:t>
            </w:r>
            <w:r w:rsidR="002610F9" w:rsidRPr="002610F9">
              <w:rPr>
                <w:rFonts w:ascii="Arial Narrow" w:hAnsi="Arial Narrow" w:hint="eastAsia"/>
                <w:i/>
                <w:iCs/>
                <w:color w:val="000000"/>
                <w:spacing w:val="-15"/>
                <w:w w:val="15"/>
                <w:sz w:val="20"/>
                <w:szCs w:val="20"/>
                <w:shd w:val="solid" w:color="000000" w:fill="000000"/>
                <w:fitText w:val="50" w:id="-1217620469"/>
                <w14:textFill>
                  <w14:solidFill>
                    <w14:srgbClr w14:val="000000">
                      <w14:alpha w14:val="100000"/>
                    </w14:srgbClr>
                  </w14:solidFill>
                </w14:textFill>
              </w:rPr>
              <w:t xml:space="preserve">　</w:t>
            </w:r>
          </w:p>
        </w:tc>
      </w:tr>
    </w:tbl>
    <w:p w14:paraId="646572D2" w14:textId="77777777" w:rsidR="002C72D1" w:rsidRPr="002C72D1" w:rsidRDefault="002C72D1" w:rsidP="00FC54DC">
      <w:pPr>
        <w:keepNext/>
        <w:rPr>
          <w:rFonts w:ascii="Arial Narrow" w:eastAsiaTheme="minorHAnsi" w:hAnsi="Arial Narrow" w:cstheme="minorBidi"/>
          <w:sz w:val="16"/>
          <w:szCs w:val="16"/>
          <w:lang w:eastAsia="en-US"/>
        </w:rPr>
      </w:pPr>
      <w:proofErr w:type="spellStart"/>
      <w:r w:rsidRPr="002C72D1">
        <w:rPr>
          <w:rFonts w:ascii="Arial Narrow" w:hAnsi="Arial Narrow"/>
          <w:sz w:val="14"/>
          <w:szCs w:val="14"/>
          <w:vertAlign w:val="superscript"/>
        </w:rPr>
        <w:t>a</w:t>
      </w:r>
      <w:proofErr w:type="spellEnd"/>
      <w:r w:rsidRPr="002C72D1">
        <w:rPr>
          <w:rFonts w:ascii="Arial Narrow" w:hAnsi="Arial Narrow"/>
          <w:sz w:val="20"/>
          <w:szCs w:val="20"/>
        </w:rPr>
        <w:t xml:space="preserve"> During evaluation the base case was corrected to rectify an error in the event free survival calculation; change the discount rate from 3.5% to 5% and reduce the time horizon to 30 years; these parameters are applied throughout the table unless they have been specifically varied.</w:t>
      </w:r>
    </w:p>
    <w:p w14:paraId="1449AA11" w14:textId="0F4984D5" w:rsidR="008B5B67" w:rsidRDefault="002145B3" w:rsidP="00FC54DC">
      <w:pPr>
        <w:pStyle w:val="TableFigureFooter"/>
        <w:keepNext/>
        <w:spacing w:after="0"/>
        <w:rPr>
          <w:rFonts w:eastAsia="Calibri"/>
          <w:szCs w:val="20"/>
        </w:rPr>
      </w:pPr>
      <w:r>
        <w:rPr>
          <w:rFonts w:eastAsia="Calibri"/>
          <w:szCs w:val="20"/>
        </w:rPr>
        <w:t xml:space="preserve">Abbreviations: </w:t>
      </w:r>
      <w:r w:rsidR="007B7298">
        <w:rPr>
          <w:rFonts w:eastAsia="Calibri"/>
          <w:szCs w:val="20"/>
        </w:rPr>
        <w:t xml:space="preserve">AE= adverse event; </w:t>
      </w:r>
      <w:r w:rsidR="00BF7DC4">
        <w:rPr>
          <w:rFonts w:eastAsia="Calibri"/>
          <w:szCs w:val="20"/>
        </w:rPr>
        <w:t xml:space="preserve">BC = base case </w:t>
      </w:r>
      <w:r w:rsidR="0045093D" w:rsidRPr="0045093D">
        <w:rPr>
          <w:rFonts w:eastAsia="Calibri"/>
          <w:szCs w:val="20"/>
        </w:rPr>
        <w:t xml:space="preserve">ICER=incremental cost-effectiveness ratio; </w:t>
      </w:r>
      <w:r w:rsidR="008B5B67" w:rsidRPr="00CE28E3">
        <w:rPr>
          <w:rFonts w:eastAsia="Calibri"/>
          <w:szCs w:val="20"/>
        </w:rPr>
        <w:t>QALY=quality adjusted life year</w:t>
      </w:r>
      <w:r>
        <w:rPr>
          <w:rFonts w:eastAsia="Calibri"/>
          <w:szCs w:val="20"/>
        </w:rPr>
        <w:t>; OS=overall survival</w:t>
      </w:r>
      <w:r w:rsidR="006624C1">
        <w:rPr>
          <w:rFonts w:eastAsia="Calibri"/>
          <w:szCs w:val="20"/>
        </w:rPr>
        <w:t>; SCT=</w:t>
      </w:r>
      <w:r w:rsidR="002420BF" w:rsidRPr="002420BF">
        <w:t xml:space="preserve"> </w:t>
      </w:r>
      <w:r w:rsidR="002420BF" w:rsidRPr="002420BF">
        <w:rPr>
          <w:rFonts w:eastAsia="Calibri"/>
          <w:szCs w:val="20"/>
        </w:rPr>
        <w:t>stem cell transplant</w:t>
      </w:r>
    </w:p>
    <w:p w14:paraId="63AA0094" w14:textId="18EF5350" w:rsidR="00B07127" w:rsidRPr="00EB3F7D" w:rsidRDefault="00B07127" w:rsidP="00FC54DC">
      <w:pPr>
        <w:pStyle w:val="TableFigureFooter"/>
        <w:keepNext/>
        <w:spacing w:after="0"/>
        <w:rPr>
          <w:rFonts w:eastAsia="Calibri"/>
          <w:i/>
          <w:iCs/>
          <w:szCs w:val="20"/>
        </w:rPr>
      </w:pPr>
      <w:r w:rsidRPr="00EB3F7D">
        <w:rPr>
          <w:rFonts w:eastAsia="Calibri"/>
          <w:i/>
          <w:iCs/>
          <w:szCs w:val="20"/>
          <w:vertAlign w:val="superscript"/>
        </w:rPr>
        <w:t>a</w:t>
      </w:r>
      <w:r w:rsidR="000A6916" w:rsidRPr="00EB3F7D">
        <w:rPr>
          <w:rFonts w:eastAsia="Calibri"/>
          <w:i/>
          <w:iCs/>
          <w:szCs w:val="20"/>
          <w:vertAlign w:val="superscript"/>
        </w:rPr>
        <w:t xml:space="preserve"> </w:t>
      </w:r>
      <w:r w:rsidR="000A6916" w:rsidRPr="00EB3F7D">
        <w:rPr>
          <w:rFonts w:eastAsia="Calibri"/>
          <w:i/>
          <w:iCs/>
          <w:szCs w:val="20"/>
        </w:rPr>
        <w:t xml:space="preserve">Modelled EFS values assumed to be the same in each </w:t>
      </w:r>
      <w:proofErr w:type="gramStart"/>
      <w:r w:rsidR="000A6916" w:rsidRPr="00EB3F7D">
        <w:rPr>
          <w:rFonts w:eastAsia="Calibri"/>
          <w:i/>
          <w:iCs/>
          <w:szCs w:val="20"/>
        </w:rPr>
        <w:t>arm</w:t>
      </w:r>
      <w:proofErr w:type="gramEnd"/>
    </w:p>
    <w:p w14:paraId="50778443" w14:textId="272ECEC4" w:rsidR="007B7298" w:rsidRDefault="00B07127" w:rsidP="00FC54DC">
      <w:pPr>
        <w:pStyle w:val="TableFigureFooter"/>
        <w:keepNext/>
        <w:spacing w:after="240"/>
        <w:rPr>
          <w:rFonts w:eastAsia="Calibri"/>
          <w:i/>
          <w:iCs/>
          <w:szCs w:val="20"/>
        </w:rPr>
      </w:pPr>
      <w:r w:rsidRPr="00EB3F7D">
        <w:rPr>
          <w:rFonts w:eastAsia="Calibri"/>
          <w:i/>
          <w:iCs/>
          <w:szCs w:val="20"/>
          <w:vertAlign w:val="superscript"/>
        </w:rPr>
        <w:t>b</w:t>
      </w:r>
      <w:r w:rsidR="007B7298" w:rsidRPr="00EB3F7D">
        <w:rPr>
          <w:rFonts w:eastAsia="Calibri"/>
          <w:i/>
          <w:iCs/>
          <w:szCs w:val="20"/>
          <w:vertAlign w:val="superscript"/>
        </w:rPr>
        <w:t xml:space="preserve"> </w:t>
      </w:r>
      <w:r w:rsidR="007B7298" w:rsidRPr="00EB3F7D">
        <w:rPr>
          <w:rFonts w:eastAsia="Calibri"/>
          <w:i/>
          <w:iCs/>
          <w:szCs w:val="20"/>
        </w:rPr>
        <w:t xml:space="preserve">1 Australian dollar (AUD) = 1 United States dollar (USD); 3.3 months of $46,575 taken from </w:t>
      </w:r>
      <w:proofErr w:type="spellStart"/>
      <w:r w:rsidR="007B7298" w:rsidRPr="00EB3F7D">
        <w:rPr>
          <w:rFonts w:eastAsia="Calibri"/>
          <w:i/>
          <w:iCs/>
          <w:szCs w:val="20"/>
        </w:rPr>
        <w:t>Maziarz</w:t>
      </w:r>
      <w:proofErr w:type="spellEnd"/>
      <w:r w:rsidR="007B7298" w:rsidRPr="00EB3F7D">
        <w:rPr>
          <w:rFonts w:eastAsia="Calibri"/>
          <w:i/>
          <w:iCs/>
          <w:szCs w:val="20"/>
        </w:rPr>
        <w:t xml:space="preserve"> et al 2022</w:t>
      </w:r>
    </w:p>
    <w:p w14:paraId="2FDD61C1" w14:textId="1E887EFD" w:rsidR="0072374A" w:rsidRDefault="0072374A" w:rsidP="00F818B8">
      <w:pPr>
        <w:pStyle w:val="a-TEXT"/>
      </w:pPr>
      <w:r>
        <w:t xml:space="preserve">Scenario analysis conducted during </w:t>
      </w:r>
      <w:r w:rsidR="00F818B8">
        <w:t xml:space="preserve">the </w:t>
      </w:r>
      <w:r>
        <w:t>evaluation</w:t>
      </w:r>
      <w:r w:rsidR="00F818B8">
        <w:t xml:space="preserve"> </w:t>
      </w:r>
      <w:r w:rsidR="006E79E6">
        <w:t xml:space="preserve">is presented </w:t>
      </w:r>
      <w:r w:rsidR="00D733BB">
        <w:t>in Table 11</w:t>
      </w:r>
      <w:r w:rsidR="00143990">
        <w:t>.</w:t>
      </w:r>
    </w:p>
    <w:p w14:paraId="5F0C72EE" w14:textId="6726845F" w:rsidR="00303F37" w:rsidRPr="004B082E" w:rsidRDefault="00303F37" w:rsidP="00D43E51">
      <w:pPr>
        <w:pStyle w:val="Caption"/>
      </w:pPr>
      <w:r w:rsidRPr="004B082E">
        <w:lastRenderedPageBreak/>
        <w:t xml:space="preserve">Table </w:t>
      </w:r>
      <w:r w:rsidR="004B082E" w:rsidRPr="004B082E">
        <w:t>1</w:t>
      </w:r>
      <w:r w:rsidR="00D733BB">
        <w:t>1</w:t>
      </w:r>
      <w:r w:rsidR="007965E8" w:rsidRPr="004B082E">
        <w:t xml:space="preserve"> </w:t>
      </w:r>
      <w:r w:rsidR="00E40AF0" w:rsidRPr="00B57CD7">
        <w:t xml:space="preserve">Results of scenario analysis around the modelled economic evaluation using the respecified base </w:t>
      </w:r>
      <w:proofErr w:type="spellStart"/>
      <w:proofErr w:type="gramStart"/>
      <w:r w:rsidR="00E40AF0" w:rsidRPr="00B57CD7">
        <w:t>case</w:t>
      </w:r>
      <w:r w:rsidR="00E40AF0" w:rsidRPr="00B57CD7">
        <w:rPr>
          <w:vertAlign w:val="superscript"/>
        </w:rPr>
        <w:t>a</w:t>
      </w:r>
      <w:proofErr w:type="spellEnd"/>
      <w:proofErr w:type="gramEnd"/>
    </w:p>
    <w:tbl>
      <w:tblPr>
        <w:tblStyle w:val="newstyle2"/>
        <w:tblW w:w="0" w:type="auto"/>
        <w:tblLook w:val="04A0" w:firstRow="1" w:lastRow="0" w:firstColumn="1" w:lastColumn="0" w:noHBand="0" w:noVBand="1"/>
      </w:tblPr>
      <w:tblGrid>
        <w:gridCol w:w="4106"/>
        <w:gridCol w:w="1634"/>
        <w:gridCol w:w="1635"/>
        <w:gridCol w:w="1635"/>
      </w:tblGrid>
      <w:tr w:rsidR="004B082E" w:rsidRPr="004B082E" w14:paraId="47C6339A" w14:textId="77777777" w:rsidTr="00C94193">
        <w:trPr>
          <w:cnfStyle w:val="100000000000" w:firstRow="1" w:lastRow="0" w:firstColumn="0" w:lastColumn="0" w:oddVBand="0" w:evenVBand="0" w:oddHBand="0" w:evenHBand="0" w:firstRowFirstColumn="0" w:firstRowLastColumn="0" w:lastRowFirstColumn="0" w:lastRowLastColumn="0"/>
          <w:tblHeader/>
        </w:trPr>
        <w:tc>
          <w:tcPr>
            <w:tcW w:w="4106" w:type="dxa"/>
            <w:tcBorders>
              <w:top w:val="single" w:sz="4" w:space="0" w:color="BFBFBF"/>
              <w:left w:val="single" w:sz="4" w:space="0" w:color="BFBFBF"/>
              <w:bottom w:val="single" w:sz="4" w:space="0" w:color="BFBFBF"/>
              <w:right w:val="single" w:sz="4" w:space="0" w:color="BFBFBF"/>
            </w:tcBorders>
            <w:shd w:val="clear" w:color="auto" w:fill="auto"/>
            <w:hideMark/>
          </w:tcPr>
          <w:p w14:paraId="5887C2AF" w14:textId="0C8B83E7" w:rsidR="00303F37" w:rsidRPr="00303F37" w:rsidRDefault="00303F37" w:rsidP="00303F37">
            <w:pPr>
              <w:rPr>
                <w:rFonts w:ascii="Arial Narrow" w:hAnsi="Arial Narrow"/>
                <w:bCs/>
                <w:sz w:val="20"/>
                <w:szCs w:val="20"/>
                <w:lang w:eastAsia="en-US"/>
              </w:rPr>
            </w:pPr>
            <w:r w:rsidRPr="00303F37">
              <w:rPr>
                <w:rFonts w:ascii="Arial Narrow" w:hAnsi="Arial Narrow"/>
                <w:bCs/>
                <w:sz w:val="20"/>
                <w:szCs w:val="20"/>
                <w:lang w:eastAsia="en-US"/>
              </w:rPr>
              <w:t xml:space="preserve">Variables altered in </w:t>
            </w:r>
            <w:r w:rsidR="00E40AF0" w:rsidRPr="004B082E">
              <w:rPr>
                <w:rFonts w:ascii="Arial Narrow" w:hAnsi="Arial Narrow"/>
                <w:bCs/>
                <w:sz w:val="20"/>
                <w:szCs w:val="20"/>
                <w:lang w:eastAsia="en-US"/>
              </w:rPr>
              <w:t>scenario analysis</w:t>
            </w:r>
          </w:p>
        </w:tc>
        <w:tc>
          <w:tcPr>
            <w:tcW w:w="16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448AA4" w14:textId="77777777" w:rsidR="00303F37" w:rsidRPr="00303F37" w:rsidRDefault="00303F37" w:rsidP="00303F37">
            <w:pPr>
              <w:jc w:val="center"/>
              <w:rPr>
                <w:rFonts w:ascii="Arial Narrow" w:hAnsi="Arial Narrow"/>
                <w:bCs/>
                <w:sz w:val="20"/>
                <w:szCs w:val="20"/>
                <w:lang w:eastAsia="en-US"/>
              </w:rPr>
            </w:pPr>
            <w:r w:rsidRPr="00303F37">
              <w:rPr>
                <w:rFonts w:ascii="Arial Narrow" w:hAnsi="Arial Narrow"/>
                <w:bCs/>
                <w:sz w:val="20"/>
                <w:szCs w:val="20"/>
                <w:lang w:eastAsia="en-US"/>
              </w:rPr>
              <w:t>Incremental costs</w:t>
            </w:r>
          </w:p>
        </w:tc>
        <w:tc>
          <w:tcPr>
            <w:tcW w:w="16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87A8F8" w14:textId="77777777" w:rsidR="00303F37" w:rsidRPr="00303F37" w:rsidRDefault="00303F37" w:rsidP="00303F37">
            <w:pPr>
              <w:jc w:val="center"/>
              <w:rPr>
                <w:rFonts w:ascii="Arial Narrow" w:hAnsi="Arial Narrow"/>
                <w:bCs/>
                <w:sz w:val="20"/>
                <w:szCs w:val="20"/>
                <w:lang w:eastAsia="en-US"/>
              </w:rPr>
            </w:pPr>
            <w:r w:rsidRPr="00303F37">
              <w:rPr>
                <w:rFonts w:ascii="Arial Narrow" w:hAnsi="Arial Narrow"/>
                <w:bCs/>
                <w:sz w:val="20"/>
                <w:szCs w:val="20"/>
                <w:lang w:eastAsia="en-US"/>
              </w:rPr>
              <w:t>Incremental QALYs</w:t>
            </w:r>
          </w:p>
        </w:tc>
        <w:tc>
          <w:tcPr>
            <w:tcW w:w="16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6A0171" w14:textId="77777777" w:rsidR="00303F37" w:rsidRPr="00303F37" w:rsidRDefault="00303F37" w:rsidP="00303F37">
            <w:pPr>
              <w:jc w:val="center"/>
              <w:rPr>
                <w:rFonts w:ascii="Arial Narrow" w:hAnsi="Arial Narrow"/>
                <w:bCs/>
                <w:sz w:val="20"/>
                <w:szCs w:val="20"/>
                <w:lang w:eastAsia="en-US"/>
              </w:rPr>
            </w:pPr>
            <w:r w:rsidRPr="00303F37">
              <w:rPr>
                <w:rFonts w:ascii="Arial Narrow" w:hAnsi="Arial Narrow"/>
                <w:bCs/>
                <w:sz w:val="20"/>
                <w:szCs w:val="20"/>
                <w:lang w:eastAsia="en-US"/>
              </w:rPr>
              <w:t>ICER</w:t>
            </w:r>
          </w:p>
        </w:tc>
      </w:tr>
      <w:tr w:rsidR="004B082E" w:rsidRPr="004B082E" w14:paraId="39B24CF6" w14:textId="77777777" w:rsidTr="00C94193">
        <w:trPr>
          <w:cnfStyle w:val="100000000000" w:firstRow="1" w:lastRow="0" w:firstColumn="0" w:lastColumn="0" w:oddVBand="0" w:evenVBand="0" w:oddHBand="0" w:evenHBand="0" w:firstRowFirstColumn="0" w:firstRowLastColumn="0" w:lastRowFirstColumn="0" w:lastRowLastColumn="0"/>
          <w:tblHeader/>
        </w:trPr>
        <w:tc>
          <w:tcPr>
            <w:tcW w:w="4106" w:type="dxa"/>
            <w:tcBorders>
              <w:top w:val="single" w:sz="4" w:space="0" w:color="BFBFBF"/>
              <w:left w:val="single" w:sz="4" w:space="0" w:color="BFBFBF"/>
              <w:bottom w:val="double" w:sz="4" w:space="0" w:color="BFBFBF"/>
              <w:right w:val="single" w:sz="4" w:space="0" w:color="BFBFBF"/>
            </w:tcBorders>
            <w:shd w:val="clear" w:color="auto" w:fill="auto"/>
            <w:hideMark/>
          </w:tcPr>
          <w:p w14:paraId="19B675D6" w14:textId="77777777" w:rsidR="00303F37" w:rsidRPr="00303F37" w:rsidRDefault="00303F37" w:rsidP="00303F37">
            <w:pPr>
              <w:rPr>
                <w:rFonts w:ascii="Arial Narrow" w:hAnsi="Arial Narrow"/>
                <w:sz w:val="20"/>
                <w:szCs w:val="20"/>
                <w:lang w:eastAsia="en-US"/>
              </w:rPr>
            </w:pPr>
            <w:r w:rsidRPr="00303F37">
              <w:rPr>
                <w:rFonts w:ascii="Arial Narrow" w:hAnsi="Arial Narrow"/>
                <w:sz w:val="20"/>
                <w:szCs w:val="20"/>
                <w:lang w:eastAsia="en-US"/>
              </w:rPr>
              <w:t>Base case results</w:t>
            </w:r>
          </w:p>
        </w:tc>
        <w:tc>
          <w:tcPr>
            <w:tcW w:w="1634" w:type="dxa"/>
            <w:tcBorders>
              <w:top w:val="single" w:sz="4" w:space="0" w:color="BFBFBF"/>
              <w:left w:val="single" w:sz="4" w:space="0" w:color="BFBFBF"/>
              <w:bottom w:val="double" w:sz="4" w:space="0" w:color="BFBFBF"/>
              <w:right w:val="single" w:sz="4" w:space="0" w:color="BFBFBF"/>
            </w:tcBorders>
            <w:shd w:val="clear" w:color="auto" w:fill="auto"/>
            <w:vAlign w:val="center"/>
            <w:hideMark/>
          </w:tcPr>
          <w:p w14:paraId="07D352E2" w14:textId="08B391E4" w:rsidR="00303F37" w:rsidRPr="00FA1F5D" w:rsidRDefault="00303F37" w:rsidP="00303F37">
            <w:pPr>
              <w:jc w:val="center"/>
              <w:rPr>
                <w:rFonts w:ascii="Arial Narrow" w:hAnsi="Arial Narrow"/>
                <w:sz w:val="20"/>
                <w:szCs w:val="20"/>
                <w:highlight w:val="yellow"/>
                <w:lang w:eastAsia="en-US"/>
              </w:rPr>
            </w:pPr>
            <w:r w:rsidRPr="002F3CF8">
              <w:rPr>
                <w:rFonts w:ascii="Arial Narrow" w:eastAsia="Calibri" w:hAnsi="Arial Narrow" w:cs="Arial"/>
                <w:bCs/>
                <w:sz w:val="20"/>
                <w:szCs w:val="20"/>
                <w:lang w:eastAsia="en-US"/>
              </w:rPr>
              <w:t>$</w:t>
            </w:r>
            <w:r w:rsidR="002610F9" w:rsidRPr="002610F9">
              <w:rPr>
                <w:rFonts w:ascii="Arial Narrow" w:eastAsia="Calibri" w:hAnsi="Arial Narrow" w:cs="Arial"/>
                <w:bCs/>
                <w:color w:val="000000"/>
                <w:sz w:val="20"/>
                <w:szCs w:val="20"/>
                <w:shd w:val="solid" w:color="000000" w:fill="000000"/>
                <w:lang w:eastAsia="en-US"/>
                <w14:textFill>
                  <w14:solidFill>
                    <w14:srgbClr w14:val="000000">
                      <w14:alpha w14:val="100000"/>
                    </w14:srgbClr>
                  </w14:solidFill>
                </w14:textFill>
              </w:rPr>
              <w:t>|</w:t>
            </w:r>
          </w:p>
        </w:tc>
        <w:tc>
          <w:tcPr>
            <w:tcW w:w="1635" w:type="dxa"/>
            <w:tcBorders>
              <w:top w:val="single" w:sz="4" w:space="0" w:color="BFBFBF"/>
              <w:left w:val="single" w:sz="4" w:space="0" w:color="BFBFBF"/>
              <w:bottom w:val="double" w:sz="4" w:space="0" w:color="BFBFBF"/>
              <w:right w:val="single" w:sz="4" w:space="0" w:color="BFBFBF"/>
            </w:tcBorders>
            <w:shd w:val="clear" w:color="auto" w:fill="auto"/>
            <w:vAlign w:val="center"/>
            <w:hideMark/>
          </w:tcPr>
          <w:p w14:paraId="511F6E29" w14:textId="77777777" w:rsidR="00303F37" w:rsidRPr="00303F37" w:rsidRDefault="00303F37" w:rsidP="00303F37">
            <w:pPr>
              <w:jc w:val="center"/>
              <w:rPr>
                <w:rFonts w:ascii="Arial Narrow" w:hAnsi="Arial Narrow"/>
                <w:bCs/>
                <w:sz w:val="20"/>
                <w:szCs w:val="20"/>
                <w:lang w:eastAsia="en-US"/>
              </w:rPr>
            </w:pPr>
            <w:r w:rsidRPr="00303F37">
              <w:rPr>
                <w:rFonts w:ascii="Arial Narrow" w:eastAsia="Calibri" w:hAnsi="Arial Narrow" w:cs="Arial"/>
                <w:bCs/>
                <w:sz w:val="20"/>
                <w:szCs w:val="20"/>
                <w:lang w:eastAsia="en-US"/>
              </w:rPr>
              <w:t>1.050</w:t>
            </w:r>
          </w:p>
        </w:tc>
        <w:tc>
          <w:tcPr>
            <w:tcW w:w="1635" w:type="dxa"/>
            <w:tcBorders>
              <w:top w:val="single" w:sz="4" w:space="0" w:color="BFBFBF"/>
              <w:left w:val="single" w:sz="4" w:space="0" w:color="BFBFBF"/>
              <w:bottom w:val="double" w:sz="4" w:space="0" w:color="BFBFBF"/>
              <w:right w:val="single" w:sz="4" w:space="0" w:color="BFBFBF"/>
            </w:tcBorders>
            <w:shd w:val="clear" w:color="auto" w:fill="auto"/>
            <w:vAlign w:val="center"/>
            <w:hideMark/>
          </w:tcPr>
          <w:p w14:paraId="3DD1EE5D" w14:textId="29BC6BC2" w:rsidR="00303F37" w:rsidRPr="00FA1F5D" w:rsidRDefault="00303F37" w:rsidP="00303F37">
            <w:pPr>
              <w:jc w:val="center"/>
              <w:rPr>
                <w:rFonts w:ascii="Arial Narrow" w:hAnsi="Arial Narrow"/>
                <w:sz w:val="20"/>
                <w:szCs w:val="20"/>
                <w:highlight w:val="yellow"/>
                <w:lang w:eastAsia="en-US"/>
              </w:rPr>
            </w:pPr>
            <w:r w:rsidRPr="002F3CF8">
              <w:rPr>
                <w:rFonts w:ascii="Arial Narrow" w:eastAsia="Calibri" w:hAnsi="Arial Narrow" w:cs="Arial"/>
                <w:bCs/>
                <w:sz w:val="20"/>
                <w:szCs w:val="20"/>
                <w:lang w:eastAsia="en-US"/>
              </w:rPr>
              <w:t>$</w:t>
            </w:r>
            <w:r w:rsidR="002610F9" w:rsidRPr="002610F9">
              <w:rPr>
                <w:rFonts w:ascii="Arial Narrow" w:eastAsia="Calibri" w:hAnsi="Arial Narrow" w:cs="Arial"/>
                <w:bCs/>
                <w:color w:val="000000"/>
                <w:sz w:val="20"/>
                <w:szCs w:val="20"/>
                <w:shd w:val="solid" w:color="000000" w:fill="000000"/>
                <w:lang w:eastAsia="en-US"/>
                <w14:textFill>
                  <w14:solidFill>
                    <w14:srgbClr w14:val="000000">
                      <w14:alpha w14:val="100000"/>
                    </w14:srgbClr>
                  </w14:solidFill>
                </w14:textFill>
              </w:rPr>
              <w:t>|</w:t>
            </w:r>
          </w:p>
        </w:tc>
      </w:tr>
      <w:tr w:rsidR="004B082E" w:rsidRPr="00303F37" w14:paraId="46386652" w14:textId="77777777" w:rsidTr="00303F37">
        <w:tc>
          <w:tcPr>
            <w:tcW w:w="4106" w:type="dxa"/>
            <w:tcBorders>
              <w:top w:val="single" w:sz="4" w:space="0" w:color="BFBFBF"/>
              <w:left w:val="single" w:sz="4" w:space="0" w:color="BFBFBF"/>
              <w:bottom w:val="double" w:sz="4" w:space="0" w:color="BFBFBF"/>
              <w:right w:val="single" w:sz="4" w:space="0" w:color="BFBFBF"/>
            </w:tcBorders>
            <w:hideMark/>
          </w:tcPr>
          <w:p w14:paraId="083F57C8" w14:textId="77777777" w:rsidR="00303F37" w:rsidRPr="00303F37" w:rsidRDefault="00303F37" w:rsidP="00D51B1C">
            <w:pPr>
              <w:numPr>
                <w:ilvl w:val="0"/>
                <w:numId w:val="14"/>
              </w:numPr>
              <w:spacing w:after="240" w:line="259" w:lineRule="auto"/>
              <w:ind w:left="284" w:hanging="284"/>
              <w:contextualSpacing/>
              <w:rPr>
                <w:rFonts w:ascii="Arial Narrow" w:hAnsi="Arial Narrow"/>
                <w:sz w:val="20"/>
                <w:szCs w:val="20"/>
                <w:lang w:eastAsia="en-US"/>
              </w:rPr>
            </w:pPr>
            <w:r w:rsidRPr="00303F37">
              <w:rPr>
                <w:rFonts w:ascii="Arial Narrow" w:hAnsi="Arial Narrow"/>
                <w:sz w:val="20"/>
                <w:szCs w:val="20"/>
                <w:lang w:eastAsia="en-US"/>
              </w:rPr>
              <w:t>Discount rate 5%</w:t>
            </w:r>
          </w:p>
          <w:p w14:paraId="0117420B" w14:textId="77777777" w:rsidR="00303F37" w:rsidRPr="00303F37" w:rsidRDefault="00303F37" w:rsidP="00D51B1C">
            <w:pPr>
              <w:numPr>
                <w:ilvl w:val="0"/>
                <w:numId w:val="14"/>
              </w:numPr>
              <w:spacing w:after="240" w:line="259" w:lineRule="auto"/>
              <w:ind w:left="284" w:hanging="284"/>
              <w:contextualSpacing/>
              <w:rPr>
                <w:rFonts w:ascii="Arial Narrow" w:hAnsi="Arial Narrow"/>
                <w:sz w:val="20"/>
                <w:szCs w:val="20"/>
                <w:lang w:eastAsia="en-US"/>
              </w:rPr>
            </w:pPr>
            <w:r w:rsidRPr="00303F37">
              <w:rPr>
                <w:rFonts w:ascii="Arial Narrow" w:hAnsi="Arial Narrow"/>
                <w:sz w:val="20"/>
                <w:szCs w:val="20"/>
                <w:lang w:eastAsia="en-US"/>
              </w:rPr>
              <w:t>Time horizon 10 years</w:t>
            </w:r>
          </w:p>
        </w:tc>
        <w:tc>
          <w:tcPr>
            <w:tcW w:w="1634" w:type="dxa"/>
            <w:tcBorders>
              <w:top w:val="single" w:sz="4" w:space="0" w:color="BFBFBF"/>
              <w:left w:val="single" w:sz="4" w:space="0" w:color="BFBFBF"/>
              <w:bottom w:val="double" w:sz="4" w:space="0" w:color="BFBFBF"/>
              <w:right w:val="single" w:sz="4" w:space="0" w:color="BFBFBF"/>
            </w:tcBorders>
            <w:vAlign w:val="center"/>
            <w:hideMark/>
          </w:tcPr>
          <w:p w14:paraId="744D3DD1" w14:textId="7FD5FD12" w:rsidR="00303F37" w:rsidRPr="00FA1F5D" w:rsidRDefault="00303F37" w:rsidP="00303F37">
            <w:pPr>
              <w:jc w:val="center"/>
              <w:rPr>
                <w:rFonts w:ascii="Arial Narrow" w:hAnsi="Arial Narrow"/>
                <w:sz w:val="20"/>
                <w:szCs w:val="20"/>
                <w:highlight w:val="yellow"/>
                <w:lang w:eastAsia="en-US"/>
              </w:rPr>
            </w:pPr>
            <w:r w:rsidRPr="002F3CF8">
              <w:rPr>
                <w:rFonts w:ascii="Arial Narrow" w:hAnsi="Arial Narrow"/>
                <w:sz w:val="20"/>
                <w:szCs w:val="20"/>
                <w:lang w:eastAsia="en-US"/>
              </w:rPr>
              <w:t>$</w:t>
            </w:r>
            <w:r w:rsidR="002610F9" w:rsidRPr="002610F9">
              <w:rPr>
                <w:rFonts w:ascii="Arial Narrow" w:hAnsi="Arial Narrow"/>
                <w:color w:val="000000"/>
                <w:sz w:val="20"/>
                <w:szCs w:val="20"/>
                <w:shd w:val="solid" w:color="000000" w:fill="000000"/>
                <w:lang w:eastAsia="en-US"/>
                <w14:textFill>
                  <w14:solidFill>
                    <w14:srgbClr w14:val="000000">
                      <w14:alpha w14:val="100000"/>
                    </w14:srgbClr>
                  </w14:solidFill>
                </w14:textFill>
              </w:rPr>
              <w:t>|</w:t>
            </w:r>
          </w:p>
        </w:tc>
        <w:tc>
          <w:tcPr>
            <w:tcW w:w="1635" w:type="dxa"/>
            <w:tcBorders>
              <w:top w:val="single" w:sz="4" w:space="0" w:color="BFBFBF"/>
              <w:left w:val="single" w:sz="4" w:space="0" w:color="BFBFBF"/>
              <w:bottom w:val="double" w:sz="4" w:space="0" w:color="BFBFBF"/>
              <w:right w:val="single" w:sz="4" w:space="0" w:color="BFBFBF"/>
            </w:tcBorders>
            <w:vAlign w:val="center"/>
            <w:hideMark/>
          </w:tcPr>
          <w:p w14:paraId="52496001" w14:textId="77777777" w:rsidR="00303F37" w:rsidRPr="00303F37" w:rsidRDefault="00303F37" w:rsidP="00303F37">
            <w:pPr>
              <w:jc w:val="center"/>
              <w:rPr>
                <w:rFonts w:ascii="Arial Narrow" w:hAnsi="Arial Narrow"/>
                <w:sz w:val="20"/>
                <w:szCs w:val="20"/>
                <w:lang w:eastAsia="en-US"/>
              </w:rPr>
            </w:pPr>
            <w:r w:rsidRPr="00303F37">
              <w:rPr>
                <w:rFonts w:ascii="Arial Narrow" w:hAnsi="Arial Narrow"/>
                <w:sz w:val="20"/>
                <w:szCs w:val="20"/>
                <w:lang w:eastAsia="en-US"/>
              </w:rPr>
              <w:t>0.535</w:t>
            </w:r>
          </w:p>
        </w:tc>
        <w:tc>
          <w:tcPr>
            <w:tcW w:w="1635" w:type="dxa"/>
            <w:tcBorders>
              <w:top w:val="single" w:sz="4" w:space="0" w:color="BFBFBF"/>
              <w:left w:val="single" w:sz="4" w:space="0" w:color="BFBFBF"/>
              <w:bottom w:val="double" w:sz="4" w:space="0" w:color="BFBFBF"/>
              <w:right w:val="single" w:sz="4" w:space="0" w:color="BFBFBF"/>
            </w:tcBorders>
            <w:vAlign w:val="center"/>
            <w:hideMark/>
          </w:tcPr>
          <w:p w14:paraId="63F4ED17" w14:textId="48E3E96C" w:rsidR="00303F37" w:rsidRPr="00FA1F5D" w:rsidRDefault="00303F37" w:rsidP="00303F37">
            <w:pPr>
              <w:jc w:val="center"/>
              <w:rPr>
                <w:rFonts w:ascii="Arial Narrow" w:hAnsi="Arial Narrow"/>
                <w:sz w:val="20"/>
                <w:szCs w:val="20"/>
                <w:highlight w:val="yellow"/>
                <w:lang w:eastAsia="en-US"/>
              </w:rPr>
            </w:pPr>
            <w:r w:rsidRPr="002F3CF8">
              <w:rPr>
                <w:rFonts w:ascii="Arial Narrow" w:hAnsi="Arial Narrow"/>
                <w:sz w:val="20"/>
                <w:szCs w:val="20"/>
                <w:lang w:eastAsia="en-US"/>
              </w:rPr>
              <w:t>$</w:t>
            </w:r>
            <w:r w:rsidR="002610F9" w:rsidRPr="002610F9">
              <w:rPr>
                <w:rFonts w:ascii="Arial Narrow" w:hAnsi="Arial Narrow"/>
                <w:color w:val="000000"/>
                <w:sz w:val="20"/>
                <w:szCs w:val="20"/>
                <w:shd w:val="solid" w:color="000000" w:fill="000000"/>
                <w:lang w:eastAsia="en-US"/>
                <w14:textFill>
                  <w14:solidFill>
                    <w14:srgbClr w14:val="000000">
                      <w14:alpha w14:val="100000"/>
                    </w14:srgbClr>
                  </w14:solidFill>
                </w14:textFill>
              </w:rPr>
              <w:t>|</w:t>
            </w:r>
          </w:p>
        </w:tc>
      </w:tr>
      <w:tr w:rsidR="004B082E" w:rsidRPr="00303F37" w14:paraId="04B8EA3B" w14:textId="77777777" w:rsidTr="00303F37">
        <w:tc>
          <w:tcPr>
            <w:tcW w:w="4106" w:type="dxa"/>
            <w:tcBorders>
              <w:top w:val="single" w:sz="4" w:space="0" w:color="BFBFBF"/>
              <w:left w:val="single" w:sz="4" w:space="0" w:color="BFBFBF"/>
              <w:bottom w:val="double" w:sz="4" w:space="0" w:color="BFBFBF"/>
              <w:right w:val="single" w:sz="4" w:space="0" w:color="BFBFBF"/>
            </w:tcBorders>
            <w:hideMark/>
          </w:tcPr>
          <w:p w14:paraId="7CBA1EE5" w14:textId="77777777" w:rsidR="00303F37" w:rsidRPr="00303F37" w:rsidRDefault="00303F37" w:rsidP="00D51B1C">
            <w:pPr>
              <w:numPr>
                <w:ilvl w:val="0"/>
                <w:numId w:val="14"/>
              </w:numPr>
              <w:spacing w:after="240" w:line="259" w:lineRule="auto"/>
              <w:ind w:left="284" w:hanging="284"/>
              <w:contextualSpacing/>
              <w:rPr>
                <w:rFonts w:ascii="Arial Narrow" w:hAnsi="Arial Narrow"/>
                <w:sz w:val="20"/>
                <w:szCs w:val="20"/>
                <w:lang w:eastAsia="en-US"/>
              </w:rPr>
            </w:pPr>
            <w:r w:rsidRPr="00303F37">
              <w:rPr>
                <w:rFonts w:ascii="Arial Narrow" w:hAnsi="Arial Narrow"/>
                <w:sz w:val="20"/>
                <w:szCs w:val="20"/>
                <w:lang w:eastAsia="en-US"/>
              </w:rPr>
              <w:t>Discount rate 5%</w:t>
            </w:r>
          </w:p>
          <w:p w14:paraId="0B401F7F" w14:textId="77777777" w:rsidR="00303F37" w:rsidRPr="00303F37" w:rsidRDefault="00303F37" w:rsidP="00D51B1C">
            <w:pPr>
              <w:numPr>
                <w:ilvl w:val="0"/>
                <w:numId w:val="14"/>
              </w:numPr>
              <w:spacing w:after="240" w:line="259" w:lineRule="auto"/>
              <w:ind w:left="284" w:hanging="284"/>
              <w:contextualSpacing/>
              <w:rPr>
                <w:rFonts w:ascii="Arial Narrow" w:hAnsi="Arial Narrow"/>
                <w:sz w:val="20"/>
                <w:szCs w:val="20"/>
                <w:lang w:eastAsia="en-US"/>
              </w:rPr>
            </w:pPr>
            <w:r w:rsidRPr="00303F37">
              <w:rPr>
                <w:rFonts w:ascii="Arial Narrow" w:hAnsi="Arial Narrow"/>
                <w:sz w:val="20"/>
                <w:szCs w:val="20"/>
                <w:lang w:eastAsia="en-US"/>
              </w:rPr>
              <w:t>Time horizon 10 years</w:t>
            </w:r>
          </w:p>
          <w:p w14:paraId="3604F89E" w14:textId="77777777" w:rsidR="00303F37" w:rsidRPr="00303F37" w:rsidRDefault="00303F37" w:rsidP="00D51B1C">
            <w:pPr>
              <w:numPr>
                <w:ilvl w:val="0"/>
                <w:numId w:val="14"/>
              </w:numPr>
              <w:spacing w:after="240" w:line="259" w:lineRule="auto"/>
              <w:ind w:left="284" w:hanging="284"/>
              <w:contextualSpacing/>
              <w:rPr>
                <w:rFonts w:ascii="Arial Narrow" w:hAnsi="Arial Narrow"/>
                <w:sz w:val="20"/>
                <w:szCs w:val="20"/>
                <w:lang w:eastAsia="en-US"/>
              </w:rPr>
            </w:pPr>
            <w:r w:rsidRPr="00303F37">
              <w:rPr>
                <w:rFonts w:ascii="Arial Narrow" w:hAnsi="Arial Narrow"/>
                <w:sz w:val="20"/>
                <w:szCs w:val="20"/>
                <w:lang w:eastAsia="en-US"/>
              </w:rPr>
              <w:t>Tasmania Auto SCT</w:t>
            </w:r>
          </w:p>
        </w:tc>
        <w:tc>
          <w:tcPr>
            <w:tcW w:w="1634" w:type="dxa"/>
            <w:tcBorders>
              <w:top w:val="single" w:sz="4" w:space="0" w:color="BFBFBF"/>
              <w:left w:val="single" w:sz="4" w:space="0" w:color="BFBFBF"/>
              <w:bottom w:val="double" w:sz="4" w:space="0" w:color="BFBFBF"/>
              <w:right w:val="single" w:sz="4" w:space="0" w:color="BFBFBF"/>
            </w:tcBorders>
            <w:vAlign w:val="center"/>
            <w:hideMark/>
          </w:tcPr>
          <w:p w14:paraId="77C2A90D" w14:textId="592CD089" w:rsidR="00303F37" w:rsidRPr="00FA1F5D" w:rsidRDefault="00303F37" w:rsidP="00303F37">
            <w:pPr>
              <w:jc w:val="center"/>
              <w:rPr>
                <w:rFonts w:ascii="Arial Narrow" w:hAnsi="Arial Narrow"/>
                <w:sz w:val="20"/>
                <w:szCs w:val="20"/>
                <w:highlight w:val="yellow"/>
                <w:lang w:eastAsia="en-US"/>
              </w:rPr>
            </w:pPr>
            <w:r w:rsidRPr="002F3CF8">
              <w:rPr>
                <w:rFonts w:ascii="Arial Narrow" w:hAnsi="Arial Narrow"/>
                <w:sz w:val="20"/>
                <w:szCs w:val="20"/>
                <w:lang w:eastAsia="en-US"/>
              </w:rPr>
              <w:t>$</w:t>
            </w:r>
            <w:r w:rsidR="002610F9" w:rsidRPr="002610F9">
              <w:rPr>
                <w:rFonts w:ascii="Arial Narrow" w:hAnsi="Arial Narrow"/>
                <w:color w:val="000000"/>
                <w:sz w:val="20"/>
                <w:szCs w:val="20"/>
                <w:shd w:val="solid" w:color="000000" w:fill="000000"/>
                <w:lang w:eastAsia="en-US"/>
                <w14:textFill>
                  <w14:solidFill>
                    <w14:srgbClr w14:val="000000">
                      <w14:alpha w14:val="100000"/>
                    </w14:srgbClr>
                  </w14:solidFill>
                </w14:textFill>
              </w:rPr>
              <w:t>|</w:t>
            </w:r>
          </w:p>
        </w:tc>
        <w:tc>
          <w:tcPr>
            <w:tcW w:w="1635" w:type="dxa"/>
            <w:tcBorders>
              <w:top w:val="single" w:sz="4" w:space="0" w:color="BFBFBF"/>
              <w:left w:val="single" w:sz="4" w:space="0" w:color="BFBFBF"/>
              <w:bottom w:val="double" w:sz="4" w:space="0" w:color="BFBFBF"/>
              <w:right w:val="single" w:sz="4" w:space="0" w:color="BFBFBF"/>
            </w:tcBorders>
            <w:vAlign w:val="center"/>
            <w:hideMark/>
          </w:tcPr>
          <w:p w14:paraId="01DC47E5" w14:textId="77777777" w:rsidR="00303F37" w:rsidRPr="00303F37" w:rsidRDefault="00303F37" w:rsidP="00303F37">
            <w:pPr>
              <w:jc w:val="center"/>
              <w:rPr>
                <w:rFonts w:ascii="Arial Narrow" w:hAnsi="Arial Narrow"/>
                <w:sz w:val="20"/>
                <w:szCs w:val="20"/>
                <w:lang w:eastAsia="en-US"/>
              </w:rPr>
            </w:pPr>
            <w:r w:rsidRPr="00303F37">
              <w:rPr>
                <w:rFonts w:ascii="Arial Narrow" w:hAnsi="Arial Narrow"/>
                <w:sz w:val="20"/>
                <w:szCs w:val="20"/>
                <w:lang w:eastAsia="en-US"/>
              </w:rPr>
              <w:t>0.535</w:t>
            </w:r>
          </w:p>
        </w:tc>
        <w:tc>
          <w:tcPr>
            <w:tcW w:w="1635" w:type="dxa"/>
            <w:tcBorders>
              <w:top w:val="single" w:sz="4" w:space="0" w:color="BFBFBF"/>
              <w:left w:val="single" w:sz="4" w:space="0" w:color="BFBFBF"/>
              <w:bottom w:val="double" w:sz="4" w:space="0" w:color="BFBFBF"/>
              <w:right w:val="single" w:sz="4" w:space="0" w:color="BFBFBF"/>
            </w:tcBorders>
            <w:vAlign w:val="center"/>
            <w:hideMark/>
          </w:tcPr>
          <w:p w14:paraId="7ABECC84" w14:textId="7614B213" w:rsidR="00303F37" w:rsidRPr="00FA1F5D" w:rsidRDefault="00303F37" w:rsidP="00303F37">
            <w:pPr>
              <w:jc w:val="center"/>
              <w:rPr>
                <w:rFonts w:ascii="Arial Narrow" w:hAnsi="Arial Narrow"/>
                <w:sz w:val="20"/>
                <w:szCs w:val="20"/>
                <w:highlight w:val="yellow"/>
                <w:lang w:eastAsia="en-US"/>
              </w:rPr>
            </w:pPr>
            <w:r w:rsidRPr="002F3CF8">
              <w:rPr>
                <w:rFonts w:ascii="Arial Narrow" w:hAnsi="Arial Narrow"/>
                <w:sz w:val="20"/>
                <w:szCs w:val="20"/>
                <w:lang w:eastAsia="en-US"/>
              </w:rPr>
              <w:t>$</w:t>
            </w:r>
            <w:r w:rsidR="002610F9" w:rsidRPr="002610F9">
              <w:rPr>
                <w:rFonts w:ascii="Arial Narrow" w:hAnsi="Arial Narrow"/>
                <w:color w:val="000000"/>
                <w:sz w:val="20"/>
                <w:szCs w:val="20"/>
                <w:shd w:val="solid" w:color="000000" w:fill="000000"/>
                <w:lang w:eastAsia="en-US"/>
                <w14:textFill>
                  <w14:solidFill>
                    <w14:srgbClr w14:val="000000">
                      <w14:alpha w14:val="100000"/>
                    </w14:srgbClr>
                  </w14:solidFill>
                </w14:textFill>
              </w:rPr>
              <w:t>|</w:t>
            </w:r>
          </w:p>
        </w:tc>
      </w:tr>
      <w:tr w:rsidR="004B082E" w:rsidRPr="00303F37" w14:paraId="1B9D9AE4" w14:textId="77777777" w:rsidTr="00303F37">
        <w:tc>
          <w:tcPr>
            <w:tcW w:w="4106" w:type="dxa"/>
            <w:tcBorders>
              <w:top w:val="single" w:sz="4" w:space="0" w:color="BFBFBF"/>
              <w:left w:val="single" w:sz="4" w:space="0" w:color="BFBFBF"/>
              <w:bottom w:val="double" w:sz="4" w:space="0" w:color="BFBFBF"/>
              <w:right w:val="single" w:sz="4" w:space="0" w:color="BFBFBF"/>
            </w:tcBorders>
            <w:hideMark/>
          </w:tcPr>
          <w:p w14:paraId="44FE90CE" w14:textId="77777777" w:rsidR="00303F37" w:rsidRPr="00303F37" w:rsidRDefault="00303F37" w:rsidP="00D51B1C">
            <w:pPr>
              <w:numPr>
                <w:ilvl w:val="0"/>
                <w:numId w:val="14"/>
              </w:numPr>
              <w:spacing w:after="240" w:line="259" w:lineRule="auto"/>
              <w:ind w:left="284" w:hanging="284"/>
              <w:contextualSpacing/>
              <w:rPr>
                <w:rFonts w:ascii="Arial Narrow" w:hAnsi="Arial Narrow"/>
                <w:sz w:val="20"/>
                <w:szCs w:val="20"/>
                <w:lang w:eastAsia="en-US"/>
              </w:rPr>
            </w:pPr>
            <w:r w:rsidRPr="00303F37">
              <w:rPr>
                <w:rFonts w:ascii="Arial Narrow" w:hAnsi="Arial Narrow"/>
                <w:sz w:val="20"/>
                <w:szCs w:val="20"/>
                <w:lang w:eastAsia="en-US"/>
              </w:rPr>
              <w:t>Discount rate 5%</w:t>
            </w:r>
          </w:p>
          <w:p w14:paraId="75061197" w14:textId="77777777" w:rsidR="00303F37" w:rsidRPr="00303F37" w:rsidRDefault="00303F37" w:rsidP="00D51B1C">
            <w:pPr>
              <w:numPr>
                <w:ilvl w:val="0"/>
                <w:numId w:val="14"/>
              </w:numPr>
              <w:spacing w:after="240" w:line="259" w:lineRule="auto"/>
              <w:ind w:left="284" w:hanging="284"/>
              <w:contextualSpacing/>
              <w:rPr>
                <w:rFonts w:ascii="Arial Narrow" w:hAnsi="Arial Narrow"/>
                <w:sz w:val="20"/>
                <w:szCs w:val="20"/>
                <w:lang w:eastAsia="en-US"/>
              </w:rPr>
            </w:pPr>
            <w:r w:rsidRPr="00303F37">
              <w:rPr>
                <w:rFonts w:ascii="Arial Narrow" w:hAnsi="Arial Narrow"/>
                <w:sz w:val="20"/>
                <w:szCs w:val="20"/>
                <w:lang w:eastAsia="en-US"/>
              </w:rPr>
              <w:t>Time horizon 10 years</w:t>
            </w:r>
          </w:p>
          <w:p w14:paraId="04DDB722" w14:textId="77777777" w:rsidR="00303F37" w:rsidRPr="00303F37" w:rsidRDefault="00303F37" w:rsidP="00D51B1C">
            <w:pPr>
              <w:numPr>
                <w:ilvl w:val="0"/>
                <w:numId w:val="14"/>
              </w:numPr>
              <w:spacing w:after="240" w:line="259" w:lineRule="auto"/>
              <w:ind w:left="284" w:hanging="284"/>
              <w:contextualSpacing/>
              <w:rPr>
                <w:rFonts w:ascii="Arial Narrow" w:hAnsi="Arial Narrow"/>
                <w:sz w:val="20"/>
                <w:szCs w:val="20"/>
                <w:lang w:eastAsia="en-US"/>
              </w:rPr>
            </w:pPr>
            <w:r w:rsidRPr="00303F37">
              <w:rPr>
                <w:rFonts w:ascii="Arial Narrow" w:hAnsi="Arial Narrow"/>
                <w:sz w:val="20"/>
                <w:szCs w:val="20"/>
                <w:lang w:eastAsia="en-US"/>
              </w:rPr>
              <w:t>Tasmania Auto SCT - $45,213</w:t>
            </w:r>
          </w:p>
          <w:p w14:paraId="48C74EC5" w14:textId="77777777" w:rsidR="00303F37" w:rsidRPr="00303F37" w:rsidRDefault="00303F37" w:rsidP="00D51B1C">
            <w:pPr>
              <w:numPr>
                <w:ilvl w:val="0"/>
                <w:numId w:val="14"/>
              </w:numPr>
              <w:spacing w:after="240" w:line="259" w:lineRule="auto"/>
              <w:ind w:left="284" w:hanging="284"/>
              <w:contextualSpacing/>
              <w:rPr>
                <w:rFonts w:ascii="Arial Narrow" w:hAnsi="Arial Narrow"/>
                <w:sz w:val="20"/>
                <w:szCs w:val="20"/>
                <w:lang w:eastAsia="en-US"/>
              </w:rPr>
            </w:pPr>
            <w:r w:rsidRPr="00303F37">
              <w:rPr>
                <w:rFonts w:ascii="Arial Narrow" w:hAnsi="Arial Narrow"/>
                <w:sz w:val="20"/>
                <w:szCs w:val="20"/>
                <w:lang w:eastAsia="en-US"/>
              </w:rPr>
              <w:t>end-of-life care - $28,091</w:t>
            </w:r>
          </w:p>
        </w:tc>
        <w:tc>
          <w:tcPr>
            <w:tcW w:w="1634" w:type="dxa"/>
            <w:tcBorders>
              <w:top w:val="single" w:sz="4" w:space="0" w:color="BFBFBF"/>
              <w:left w:val="single" w:sz="4" w:space="0" w:color="BFBFBF"/>
              <w:bottom w:val="double" w:sz="4" w:space="0" w:color="BFBFBF"/>
              <w:right w:val="single" w:sz="4" w:space="0" w:color="BFBFBF"/>
            </w:tcBorders>
            <w:vAlign w:val="center"/>
            <w:hideMark/>
          </w:tcPr>
          <w:p w14:paraId="2125B6FB" w14:textId="17325826" w:rsidR="00303F37" w:rsidRPr="00FA1F5D" w:rsidRDefault="00303F37" w:rsidP="00303F37">
            <w:pPr>
              <w:jc w:val="center"/>
              <w:rPr>
                <w:rFonts w:ascii="Arial Narrow" w:hAnsi="Arial Narrow"/>
                <w:sz w:val="20"/>
                <w:szCs w:val="20"/>
                <w:highlight w:val="yellow"/>
                <w:lang w:eastAsia="en-US"/>
              </w:rPr>
            </w:pPr>
            <w:r w:rsidRPr="002F3CF8">
              <w:rPr>
                <w:rFonts w:ascii="Arial Narrow" w:hAnsi="Arial Narrow"/>
                <w:sz w:val="20"/>
                <w:szCs w:val="20"/>
                <w:lang w:eastAsia="en-US"/>
              </w:rPr>
              <w:t>$</w:t>
            </w:r>
            <w:r w:rsidR="002610F9" w:rsidRPr="002610F9">
              <w:rPr>
                <w:rFonts w:ascii="Arial Narrow" w:hAnsi="Arial Narrow"/>
                <w:color w:val="000000"/>
                <w:sz w:val="20"/>
                <w:szCs w:val="20"/>
                <w:shd w:val="solid" w:color="000000" w:fill="000000"/>
                <w:lang w:eastAsia="en-US"/>
                <w14:textFill>
                  <w14:solidFill>
                    <w14:srgbClr w14:val="000000">
                      <w14:alpha w14:val="100000"/>
                    </w14:srgbClr>
                  </w14:solidFill>
                </w14:textFill>
              </w:rPr>
              <w:t>|</w:t>
            </w:r>
          </w:p>
        </w:tc>
        <w:tc>
          <w:tcPr>
            <w:tcW w:w="1635" w:type="dxa"/>
            <w:tcBorders>
              <w:top w:val="single" w:sz="4" w:space="0" w:color="BFBFBF"/>
              <w:left w:val="single" w:sz="4" w:space="0" w:color="BFBFBF"/>
              <w:bottom w:val="double" w:sz="4" w:space="0" w:color="BFBFBF"/>
              <w:right w:val="single" w:sz="4" w:space="0" w:color="BFBFBF"/>
            </w:tcBorders>
            <w:vAlign w:val="center"/>
            <w:hideMark/>
          </w:tcPr>
          <w:p w14:paraId="3EE985BD" w14:textId="77777777" w:rsidR="00303F37" w:rsidRPr="00303F37" w:rsidRDefault="00303F37" w:rsidP="00303F37">
            <w:pPr>
              <w:jc w:val="center"/>
              <w:rPr>
                <w:rFonts w:ascii="Arial Narrow" w:hAnsi="Arial Narrow"/>
                <w:sz w:val="20"/>
                <w:szCs w:val="20"/>
                <w:lang w:eastAsia="en-US"/>
              </w:rPr>
            </w:pPr>
            <w:r w:rsidRPr="00303F37">
              <w:rPr>
                <w:rFonts w:ascii="Arial Narrow" w:hAnsi="Arial Narrow"/>
                <w:sz w:val="20"/>
                <w:szCs w:val="20"/>
                <w:lang w:eastAsia="en-US"/>
              </w:rPr>
              <w:t>0.535</w:t>
            </w:r>
          </w:p>
        </w:tc>
        <w:tc>
          <w:tcPr>
            <w:tcW w:w="1635" w:type="dxa"/>
            <w:tcBorders>
              <w:top w:val="single" w:sz="4" w:space="0" w:color="BFBFBF"/>
              <w:left w:val="single" w:sz="4" w:space="0" w:color="BFBFBF"/>
              <w:bottom w:val="double" w:sz="4" w:space="0" w:color="BFBFBF"/>
              <w:right w:val="single" w:sz="4" w:space="0" w:color="BFBFBF"/>
            </w:tcBorders>
            <w:vAlign w:val="center"/>
            <w:hideMark/>
          </w:tcPr>
          <w:p w14:paraId="1FBC733C" w14:textId="4DB3DF40" w:rsidR="00303F37" w:rsidRPr="00FA1F5D" w:rsidRDefault="00303F37" w:rsidP="00303F37">
            <w:pPr>
              <w:jc w:val="center"/>
              <w:rPr>
                <w:rFonts w:ascii="Arial Narrow" w:hAnsi="Arial Narrow"/>
                <w:sz w:val="20"/>
                <w:szCs w:val="20"/>
                <w:highlight w:val="yellow"/>
                <w:lang w:eastAsia="en-US"/>
              </w:rPr>
            </w:pPr>
            <w:r w:rsidRPr="002F3CF8">
              <w:rPr>
                <w:rFonts w:ascii="Arial Narrow" w:hAnsi="Arial Narrow"/>
                <w:sz w:val="20"/>
                <w:szCs w:val="20"/>
                <w:lang w:eastAsia="en-US"/>
              </w:rPr>
              <w:t>$</w:t>
            </w:r>
            <w:r w:rsidR="002610F9" w:rsidRPr="002610F9">
              <w:rPr>
                <w:rFonts w:ascii="Arial Narrow" w:hAnsi="Arial Narrow"/>
                <w:color w:val="000000"/>
                <w:sz w:val="20"/>
                <w:szCs w:val="20"/>
                <w:shd w:val="solid" w:color="000000" w:fill="000000"/>
                <w:lang w:eastAsia="en-US"/>
                <w14:textFill>
                  <w14:solidFill>
                    <w14:srgbClr w14:val="000000">
                      <w14:alpha w14:val="100000"/>
                    </w14:srgbClr>
                  </w14:solidFill>
                </w14:textFill>
              </w:rPr>
              <w:t>|</w:t>
            </w:r>
          </w:p>
        </w:tc>
      </w:tr>
      <w:tr w:rsidR="004B082E" w:rsidRPr="00303F37" w14:paraId="5598A27E" w14:textId="77777777" w:rsidTr="00303F37">
        <w:tc>
          <w:tcPr>
            <w:tcW w:w="4106" w:type="dxa"/>
            <w:tcBorders>
              <w:top w:val="single" w:sz="4" w:space="0" w:color="BFBFBF"/>
              <w:left w:val="single" w:sz="4" w:space="0" w:color="BFBFBF"/>
              <w:bottom w:val="single" w:sz="4" w:space="0" w:color="BFBFBF"/>
              <w:right w:val="single" w:sz="4" w:space="0" w:color="BFBFBF"/>
            </w:tcBorders>
            <w:hideMark/>
          </w:tcPr>
          <w:p w14:paraId="084BEB5B" w14:textId="77777777" w:rsidR="00303F37" w:rsidRPr="00303F37" w:rsidRDefault="00303F37" w:rsidP="00D51B1C">
            <w:pPr>
              <w:numPr>
                <w:ilvl w:val="0"/>
                <w:numId w:val="14"/>
              </w:numPr>
              <w:spacing w:after="240" w:line="259" w:lineRule="auto"/>
              <w:ind w:left="284" w:hanging="284"/>
              <w:contextualSpacing/>
              <w:rPr>
                <w:rFonts w:ascii="Arial Narrow" w:hAnsi="Arial Narrow"/>
                <w:sz w:val="20"/>
                <w:szCs w:val="20"/>
                <w:lang w:eastAsia="en-US"/>
              </w:rPr>
            </w:pPr>
            <w:r w:rsidRPr="00303F37">
              <w:rPr>
                <w:rFonts w:ascii="Arial Narrow" w:hAnsi="Arial Narrow"/>
                <w:sz w:val="20"/>
                <w:szCs w:val="20"/>
                <w:lang w:eastAsia="en-US"/>
              </w:rPr>
              <w:t>Discount rate 5%</w:t>
            </w:r>
          </w:p>
          <w:p w14:paraId="6390C352" w14:textId="77777777" w:rsidR="00303F37" w:rsidRPr="00303F37" w:rsidRDefault="00303F37" w:rsidP="00D51B1C">
            <w:pPr>
              <w:numPr>
                <w:ilvl w:val="0"/>
                <w:numId w:val="14"/>
              </w:numPr>
              <w:spacing w:after="240" w:line="259" w:lineRule="auto"/>
              <w:ind w:left="284" w:hanging="284"/>
              <w:contextualSpacing/>
              <w:rPr>
                <w:rFonts w:ascii="Arial Narrow" w:hAnsi="Arial Narrow"/>
                <w:sz w:val="20"/>
                <w:szCs w:val="20"/>
                <w:lang w:eastAsia="en-US"/>
              </w:rPr>
            </w:pPr>
            <w:r w:rsidRPr="00303F37">
              <w:rPr>
                <w:rFonts w:ascii="Arial Narrow" w:hAnsi="Arial Narrow"/>
                <w:sz w:val="20"/>
                <w:szCs w:val="20"/>
                <w:lang w:eastAsia="en-US"/>
              </w:rPr>
              <w:t>Time horizon 40 years</w:t>
            </w:r>
          </w:p>
          <w:p w14:paraId="43A202A5" w14:textId="77777777" w:rsidR="00303F37" w:rsidRPr="00303F37" w:rsidRDefault="00303F37" w:rsidP="00D51B1C">
            <w:pPr>
              <w:numPr>
                <w:ilvl w:val="0"/>
                <w:numId w:val="14"/>
              </w:numPr>
              <w:spacing w:after="240" w:line="259" w:lineRule="auto"/>
              <w:ind w:left="284" w:hanging="284"/>
              <w:contextualSpacing/>
              <w:rPr>
                <w:rFonts w:ascii="Arial Narrow" w:hAnsi="Arial Narrow"/>
                <w:sz w:val="20"/>
                <w:szCs w:val="20"/>
                <w:lang w:eastAsia="en-US"/>
              </w:rPr>
            </w:pPr>
            <w:r w:rsidRPr="00303F37">
              <w:rPr>
                <w:rFonts w:ascii="Arial Narrow" w:hAnsi="Arial Narrow"/>
                <w:sz w:val="20"/>
                <w:szCs w:val="20"/>
                <w:lang w:eastAsia="en-US"/>
              </w:rPr>
              <w:t>Tasmania Auto SCT - $45,213</w:t>
            </w:r>
          </w:p>
          <w:p w14:paraId="394C5653" w14:textId="77777777" w:rsidR="00303F37" w:rsidRPr="00303F37" w:rsidRDefault="00303F37" w:rsidP="00D51B1C">
            <w:pPr>
              <w:numPr>
                <w:ilvl w:val="0"/>
                <w:numId w:val="14"/>
              </w:numPr>
              <w:spacing w:after="240" w:line="259" w:lineRule="auto"/>
              <w:ind w:left="284" w:hanging="284"/>
              <w:contextualSpacing/>
              <w:rPr>
                <w:rFonts w:ascii="Arial Narrow" w:hAnsi="Arial Narrow"/>
                <w:sz w:val="20"/>
                <w:szCs w:val="20"/>
                <w:lang w:eastAsia="en-US"/>
              </w:rPr>
            </w:pPr>
            <w:r w:rsidRPr="00303F37">
              <w:rPr>
                <w:rFonts w:ascii="Arial Narrow" w:hAnsi="Arial Narrow"/>
                <w:sz w:val="20"/>
                <w:szCs w:val="20"/>
                <w:lang w:eastAsia="en-US"/>
              </w:rPr>
              <w:t>end-of-life care - $28,091</w:t>
            </w:r>
          </w:p>
          <w:p w14:paraId="40987496" w14:textId="77777777" w:rsidR="00303F37" w:rsidRPr="00303F37" w:rsidRDefault="00303F37" w:rsidP="00D51B1C">
            <w:pPr>
              <w:numPr>
                <w:ilvl w:val="0"/>
                <w:numId w:val="14"/>
              </w:numPr>
              <w:spacing w:after="240" w:line="259" w:lineRule="auto"/>
              <w:ind w:left="284" w:hanging="284"/>
              <w:contextualSpacing/>
              <w:rPr>
                <w:rFonts w:ascii="Arial Narrow" w:hAnsi="Arial Narrow"/>
                <w:sz w:val="20"/>
                <w:szCs w:val="20"/>
                <w:lang w:eastAsia="en-US"/>
              </w:rPr>
            </w:pPr>
            <w:r w:rsidRPr="00303F37">
              <w:rPr>
                <w:rFonts w:ascii="Arial Narrow" w:hAnsi="Arial Narrow"/>
                <w:sz w:val="20"/>
                <w:szCs w:val="20"/>
                <w:lang w:eastAsia="en-US"/>
              </w:rPr>
              <w:t>36% of patients in SOC receiving AXI</w:t>
            </w:r>
          </w:p>
        </w:tc>
        <w:tc>
          <w:tcPr>
            <w:tcW w:w="1634" w:type="dxa"/>
            <w:tcBorders>
              <w:top w:val="single" w:sz="4" w:space="0" w:color="BFBFBF"/>
              <w:left w:val="single" w:sz="4" w:space="0" w:color="BFBFBF"/>
              <w:bottom w:val="single" w:sz="4" w:space="0" w:color="BFBFBF"/>
              <w:right w:val="single" w:sz="4" w:space="0" w:color="BFBFBF"/>
            </w:tcBorders>
            <w:vAlign w:val="center"/>
            <w:hideMark/>
          </w:tcPr>
          <w:p w14:paraId="33BD6E71" w14:textId="12AC30AF" w:rsidR="00303F37" w:rsidRPr="00FA1F5D" w:rsidRDefault="00303F37" w:rsidP="00303F37">
            <w:pPr>
              <w:jc w:val="center"/>
              <w:rPr>
                <w:rFonts w:ascii="Arial Narrow" w:hAnsi="Arial Narrow"/>
                <w:sz w:val="20"/>
                <w:szCs w:val="20"/>
                <w:highlight w:val="yellow"/>
                <w:lang w:eastAsia="en-US"/>
              </w:rPr>
            </w:pPr>
            <w:r w:rsidRPr="002F3CF8">
              <w:rPr>
                <w:rFonts w:ascii="Arial Narrow" w:hAnsi="Arial Narrow"/>
                <w:sz w:val="20"/>
                <w:szCs w:val="20"/>
                <w:lang w:eastAsia="en-US"/>
              </w:rPr>
              <w:t>$</w:t>
            </w:r>
            <w:r w:rsidR="002610F9" w:rsidRPr="002610F9">
              <w:rPr>
                <w:rFonts w:ascii="Arial Narrow" w:hAnsi="Arial Narrow"/>
                <w:color w:val="000000"/>
                <w:sz w:val="20"/>
                <w:szCs w:val="20"/>
                <w:shd w:val="solid" w:color="000000" w:fill="000000"/>
                <w:lang w:eastAsia="en-US"/>
                <w14:textFill>
                  <w14:solidFill>
                    <w14:srgbClr w14:val="000000">
                      <w14:alpha w14:val="100000"/>
                    </w14:srgbClr>
                  </w14:solidFill>
                </w14:textFill>
              </w:rPr>
              <w:t>|</w:t>
            </w:r>
          </w:p>
        </w:tc>
        <w:tc>
          <w:tcPr>
            <w:tcW w:w="1635" w:type="dxa"/>
            <w:tcBorders>
              <w:top w:val="single" w:sz="4" w:space="0" w:color="BFBFBF"/>
              <w:left w:val="single" w:sz="4" w:space="0" w:color="BFBFBF"/>
              <w:bottom w:val="single" w:sz="4" w:space="0" w:color="BFBFBF"/>
              <w:right w:val="single" w:sz="4" w:space="0" w:color="BFBFBF"/>
            </w:tcBorders>
            <w:vAlign w:val="center"/>
            <w:hideMark/>
          </w:tcPr>
          <w:p w14:paraId="0542B7A0" w14:textId="77777777" w:rsidR="00303F37" w:rsidRPr="00303F37" w:rsidRDefault="00303F37" w:rsidP="00303F37">
            <w:pPr>
              <w:jc w:val="center"/>
              <w:rPr>
                <w:rFonts w:ascii="Arial Narrow" w:hAnsi="Arial Narrow"/>
                <w:sz w:val="20"/>
                <w:szCs w:val="20"/>
                <w:lang w:eastAsia="en-US"/>
              </w:rPr>
            </w:pPr>
            <w:r w:rsidRPr="00303F37">
              <w:rPr>
                <w:rFonts w:ascii="Arial Narrow" w:hAnsi="Arial Narrow"/>
                <w:sz w:val="20"/>
                <w:szCs w:val="20"/>
                <w:lang w:eastAsia="en-US"/>
              </w:rPr>
              <w:t>1.086</w:t>
            </w:r>
          </w:p>
        </w:tc>
        <w:tc>
          <w:tcPr>
            <w:tcW w:w="1635" w:type="dxa"/>
            <w:tcBorders>
              <w:top w:val="single" w:sz="4" w:space="0" w:color="BFBFBF"/>
              <w:left w:val="single" w:sz="4" w:space="0" w:color="BFBFBF"/>
              <w:bottom w:val="single" w:sz="4" w:space="0" w:color="BFBFBF"/>
              <w:right w:val="single" w:sz="4" w:space="0" w:color="BFBFBF"/>
            </w:tcBorders>
            <w:vAlign w:val="center"/>
            <w:hideMark/>
          </w:tcPr>
          <w:p w14:paraId="6B8B2F0B" w14:textId="345E698F" w:rsidR="00303F37" w:rsidRPr="00FA1F5D" w:rsidRDefault="00303F37" w:rsidP="00FA1F5D">
            <w:pPr>
              <w:jc w:val="center"/>
              <w:rPr>
                <w:rFonts w:ascii="Arial Narrow" w:hAnsi="Arial Narrow"/>
                <w:sz w:val="20"/>
                <w:szCs w:val="20"/>
                <w:highlight w:val="yellow"/>
                <w:lang w:eastAsia="en-US"/>
              </w:rPr>
            </w:pPr>
            <w:r w:rsidRPr="002F3CF8">
              <w:rPr>
                <w:rFonts w:ascii="Arial Narrow" w:hAnsi="Arial Narrow"/>
                <w:sz w:val="20"/>
                <w:szCs w:val="20"/>
                <w:lang w:eastAsia="en-US"/>
              </w:rPr>
              <w:t>$</w:t>
            </w:r>
            <w:r w:rsidR="002610F9" w:rsidRPr="002610F9">
              <w:rPr>
                <w:rFonts w:ascii="Arial Narrow" w:hAnsi="Arial Narrow"/>
                <w:color w:val="000000"/>
                <w:sz w:val="20"/>
                <w:szCs w:val="20"/>
                <w:shd w:val="solid" w:color="000000" w:fill="000000"/>
                <w:lang w:eastAsia="en-US"/>
                <w14:textFill>
                  <w14:solidFill>
                    <w14:srgbClr w14:val="000000">
                      <w14:alpha w14:val="100000"/>
                    </w14:srgbClr>
                  </w14:solidFill>
                </w14:textFill>
              </w:rPr>
              <w:t>|</w:t>
            </w:r>
          </w:p>
        </w:tc>
      </w:tr>
      <w:tr w:rsidR="004B082E" w:rsidRPr="00303F37" w14:paraId="390F53F5" w14:textId="77777777" w:rsidTr="00303F37">
        <w:tc>
          <w:tcPr>
            <w:tcW w:w="4106" w:type="dxa"/>
            <w:tcBorders>
              <w:top w:val="single" w:sz="4" w:space="0" w:color="BFBFBF"/>
              <w:left w:val="single" w:sz="4" w:space="0" w:color="BFBFBF"/>
              <w:bottom w:val="double" w:sz="4" w:space="0" w:color="BFBFBF"/>
              <w:right w:val="single" w:sz="4" w:space="0" w:color="BFBFBF"/>
            </w:tcBorders>
            <w:hideMark/>
          </w:tcPr>
          <w:p w14:paraId="5B9EB262" w14:textId="77777777" w:rsidR="00303F37" w:rsidRPr="00303F37" w:rsidRDefault="00303F37" w:rsidP="00D51B1C">
            <w:pPr>
              <w:numPr>
                <w:ilvl w:val="0"/>
                <w:numId w:val="14"/>
              </w:numPr>
              <w:spacing w:after="240" w:line="259" w:lineRule="auto"/>
              <w:ind w:left="284" w:hanging="284"/>
              <w:contextualSpacing/>
              <w:rPr>
                <w:rFonts w:ascii="Arial Narrow" w:hAnsi="Arial Narrow"/>
                <w:sz w:val="20"/>
                <w:szCs w:val="20"/>
                <w:lang w:eastAsia="en-US"/>
              </w:rPr>
            </w:pPr>
            <w:r w:rsidRPr="00303F37">
              <w:rPr>
                <w:rFonts w:ascii="Arial Narrow" w:hAnsi="Arial Narrow"/>
                <w:sz w:val="20"/>
                <w:szCs w:val="20"/>
                <w:lang w:eastAsia="en-US"/>
              </w:rPr>
              <w:t>Discount rate 5%</w:t>
            </w:r>
          </w:p>
          <w:p w14:paraId="722E480B" w14:textId="77777777" w:rsidR="00303F37" w:rsidRPr="00303F37" w:rsidRDefault="00303F37" w:rsidP="00D51B1C">
            <w:pPr>
              <w:numPr>
                <w:ilvl w:val="0"/>
                <w:numId w:val="14"/>
              </w:numPr>
              <w:spacing w:after="240" w:line="259" w:lineRule="auto"/>
              <w:ind w:left="284" w:hanging="284"/>
              <w:contextualSpacing/>
              <w:rPr>
                <w:rFonts w:ascii="Arial Narrow" w:hAnsi="Arial Narrow"/>
                <w:sz w:val="20"/>
                <w:szCs w:val="20"/>
                <w:lang w:eastAsia="en-US"/>
              </w:rPr>
            </w:pPr>
            <w:r w:rsidRPr="00303F37">
              <w:rPr>
                <w:rFonts w:ascii="Arial Narrow" w:hAnsi="Arial Narrow"/>
                <w:sz w:val="20"/>
                <w:szCs w:val="20"/>
                <w:lang w:eastAsia="en-US"/>
              </w:rPr>
              <w:t>Time horizon 40 years</w:t>
            </w:r>
          </w:p>
          <w:p w14:paraId="748EC428" w14:textId="77777777" w:rsidR="00303F37" w:rsidRPr="00303F37" w:rsidRDefault="00303F37" w:rsidP="00D51B1C">
            <w:pPr>
              <w:numPr>
                <w:ilvl w:val="0"/>
                <w:numId w:val="14"/>
              </w:numPr>
              <w:spacing w:after="240" w:line="259" w:lineRule="auto"/>
              <w:ind w:left="284" w:hanging="284"/>
              <w:contextualSpacing/>
              <w:rPr>
                <w:rFonts w:ascii="Arial Narrow" w:hAnsi="Arial Narrow"/>
                <w:sz w:val="20"/>
                <w:szCs w:val="20"/>
                <w:lang w:eastAsia="en-US"/>
              </w:rPr>
            </w:pPr>
            <w:r w:rsidRPr="00303F37">
              <w:rPr>
                <w:rFonts w:ascii="Arial Narrow" w:hAnsi="Arial Narrow"/>
                <w:sz w:val="20"/>
                <w:szCs w:val="20"/>
                <w:lang w:eastAsia="en-US"/>
              </w:rPr>
              <w:t>Tasmania Auto SCT - $45,213</w:t>
            </w:r>
          </w:p>
          <w:p w14:paraId="24081D9B" w14:textId="77777777" w:rsidR="00303F37" w:rsidRPr="00303F37" w:rsidRDefault="00303F37" w:rsidP="00D51B1C">
            <w:pPr>
              <w:numPr>
                <w:ilvl w:val="0"/>
                <w:numId w:val="14"/>
              </w:numPr>
              <w:spacing w:after="240" w:line="259" w:lineRule="auto"/>
              <w:ind w:left="284" w:hanging="284"/>
              <w:contextualSpacing/>
              <w:rPr>
                <w:rFonts w:ascii="Arial Narrow" w:hAnsi="Arial Narrow"/>
                <w:sz w:val="20"/>
                <w:szCs w:val="20"/>
                <w:lang w:eastAsia="en-US"/>
              </w:rPr>
            </w:pPr>
            <w:r w:rsidRPr="00303F37">
              <w:rPr>
                <w:rFonts w:ascii="Arial Narrow" w:hAnsi="Arial Narrow"/>
                <w:sz w:val="20"/>
                <w:szCs w:val="20"/>
                <w:lang w:eastAsia="en-US"/>
              </w:rPr>
              <w:t>end-of-life care - $28,091</w:t>
            </w:r>
          </w:p>
          <w:p w14:paraId="66648C83" w14:textId="77777777" w:rsidR="00303F37" w:rsidRPr="00303F37" w:rsidRDefault="00303F37" w:rsidP="00D51B1C">
            <w:pPr>
              <w:numPr>
                <w:ilvl w:val="0"/>
                <w:numId w:val="14"/>
              </w:numPr>
              <w:spacing w:after="240" w:line="259" w:lineRule="auto"/>
              <w:ind w:left="284" w:hanging="284"/>
              <w:contextualSpacing/>
              <w:rPr>
                <w:rFonts w:ascii="Arial Narrow" w:hAnsi="Arial Narrow"/>
                <w:sz w:val="20"/>
                <w:szCs w:val="20"/>
                <w:lang w:eastAsia="en-US"/>
              </w:rPr>
            </w:pPr>
            <w:r w:rsidRPr="00303F37">
              <w:rPr>
                <w:rFonts w:ascii="Arial Narrow" w:hAnsi="Arial Narrow"/>
                <w:sz w:val="20"/>
                <w:szCs w:val="20"/>
                <w:lang w:eastAsia="en-US"/>
              </w:rPr>
              <w:t>36% of patients in SOC receiving AXI</w:t>
            </w:r>
          </w:p>
          <w:p w14:paraId="3A6F6930" w14:textId="77777777" w:rsidR="00303F37" w:rsidRPr="00303F37" w:rsidRDefault="00303F37" w:rsidP="00D51B1C">
            <w:pPr>
              <w:numPr>
                <w:ilvl w:val="0"/>
                <w:numId w:val="14"/>
              </w:numPr>
              <w:spacing w:after="240" w:line="259" w:lineRule="auto"/>
              <w:ind w:left="284" w:hanging="284"/>
              <w:contextualSpacing/>
              <w:rPr>
                <w:rFonts w:ascii="Arial Narrow" w:hAnsi="Arial Narrow"/>
                <w:sz w:val="20"/>
                <w:szCs w:val="20"/>
                <w:lang w:eastAsia="en-US"/>
              </w:rPr>
            </w:pPr>
            <w:r w:rsidRPr="00303F37">
              <w:rPr>
                <w:rFonts w:ascii="Arial Narrow" w:hAnsi="Arial Narrow"/>
                <w:sz w:val="20"/>
                <w:szCs w:val="20"/>
                <w:lang w:eastAsia="en-US"/>
              </w:rPr>
              <w:t>Tapering overall survival and EFS between 10 and 20 years</w:t>
            </w:r>
          </w:p>
        </w:tc>
        <w:tc>
          <w:tcPr>
            <w:tcW w:w="1634" w:type="dxa"/>
            <w:tcBorders>
              <w:top w:val="single" w:sz="4" w:space="0" w:color="BFBFBF"/>
              <w:left w:val="single" w:sz="4" w:space="0" w:color="BFBFBF"/>
              <w:bottom w:val="double" w:sz="4" w:space="0" w:color="BFBFBF"/>
              <w:right w:val="single" w:sz="4" w:space="0" w:color="BFBFBF"/>
            </w:tcBorders>
            <w:vAlign w:val="center"/>
            <w:hideMark/>
          </w:tcPr>
          <w:p w14:paraId="5F2329FB" w14:textId="2C3DE225" w:rsidR="00303F37" w:rsidRPr="00303F37" w:rsidRDefault="00303F37" w:rsidP="00303F37">
            <w:pPr>
              <w:jc w:val="center"/>
              <w:rPr>
                <w:rFonts w:ascii="Arial Narrow" w:hAnsi="Arial Narrow"/>
                <w:sz w:val="20"/>
                <w:szCs w:val="20"/>
                <w:lang w:eastAsia="en-US"/>
              </w:rPr>
            </w:pPr>
            <w:r w:rsidRPr="002F3CF8">
              <w:rPr>
                <w:rFonts w:ascii="Arial Narrow" w:hAnsi="Arial Narrow"/>
                <w:sz w:val="20"/>
                <w:szCs w:val="20"/>
                <w:lang w:eastAsia="en-US"/>
              </w:rPr>
              <w:t>$</w:t>
            </w:r>
            <w:r w:rsidR="002610F9" w:rsidRPr="002610F9">
              <w:rPr>
                <w:rFonts w:ascii="Arial Narrow" w:hAnsi="Arial Narrow"/>
                <w:color w:val="000000"/>
                <w:sz w:val="20"/>
                <w:szCs w:val="20"/>
                <w:shd w:val="solid" w:color="000000" w:fill="000000"/>
                <w:lang w:eastAsia="en-US"/>
                <w14:textFill>
                  <w14:solidFill>
                    <w14:srgbClr w14:val="000000">
                      <w14:alpha w14:val="100000"/>
                    </w14:srgbClr>
                  </w14:solidFill>
                </w14:textFill>
              </w:rPr>
              <w:t>|</w:t>
            </w:r>
          </w:p>
        </w:tc>
        <w:tc>
          <w:tcPr>
            <w:tcW w:w="1635" w:type="dxa"/>
            <w:tcBorders>
              <w:top w:val="single" w:sz="4" w:space="0" w:color="BFBFBF"/>
              <w:left w:val="single" w:sz="4" w:space="0" w:color="BFBFBF"/>
              <w:bottom w:val="double" w:sz="4" w:space="0" w:color="BFBFBF"/>
              <w:right w:val="single" w:sz="4" w:space="0" w:color="BFBFBF"/>
            </w:tcBorders>
            <w:vAlign w:val="center"/>
            <w:hideMark/>
          </w:tcPr>
          <w:p w14:paraId="630E7054" w14:textId="77777777" w:rsidR="00303F37" w:rsidRPr="00303F37" w:rsidRDefault="00303F37" w:rsidP="00303F37">
            <w:pPr>
              <w:jc w:val="center"/>
              <w:rPr>
                <w:rFonts w:ascii="Arial Narrow" w:hAnsi="Arial Narrow"/>
                <w:sz w:val="20"/>
                <w:szCs w:val="20"/>
                <w:lang w:eastAsia="en-US"/>
              </w:rPr>
            </w:pPr>
            <w:r w:rsidRPr="00303F37">
              <w:rPr>
                <w:rFonts w:ascii="Arial Narrow" w:hAnsi="Arial Narrow"/>
                <w:sz w:val="20"/>
                <w:szCs w:val="20"/>
                <w:lang w:eastAsia="en-US"/>
              </w:rPr>
              <w:t>0.637</w:t>
            </w:r>
          </w:p>
        </w:tc>
        <w:tc>
          <w:tcPr>
            <w:tcW w:w="1635" w:type="dxa"/>
            <w:tcBorders>
              <w:top w:val="single" w:sz="4" w:space="0" w:color="BFBFBF"/>
              <w:left w:val="single" w:sz="4" w:space="0" w:color="BFBFBF"/>
              <w:bottom w:val="double" w:sz="4" w:space="0" w:color="BFBFBF"/>
              <w:right w:val="single" w:sz="4" w:space="0" w:color="BFBFBF"/>
            </w:tcBorders>
            <w:vAlign w:val="center"/>
            <w:hideMark/>
          </w:tcPr>
          <w:p w14:paraId="3BF820CE" w14:textId="76E30B36" w:rsidR="00303F37" w:rsidRPr="00303F37" w:rsidRDefault="00303F37" w:rsidP="00FA1F5D">
            <w:pPr>
              <w:jc w:val="center"/>
              <w:rPr>
                <w:rFonts w:ascii="Arial Narrow" w:hAnsi="Arial Narrow"/>
                <w:sz w:val="20"/>
                <w:szCs w:val="20"/>
                <w:lang w:eastAsia="en-US"/>
              </w:rPr>
            </w:pPr>
            <w:r w:rsidRPr="002F3CF8">
              <w:rPr>
                <w:rFonts w:ascii="Arial Narrow" w:hAnsi="Arial Narrow"/>
                <w:sz w:val="20"/>
                <w:szCs w:val="20"/>
                <w:lang w:eastAsia="en-US"/>
              </w:rPr>
              <w:t>$</w:t>
            </w:r>
            <w:r w:rsidR="002610F9" w:rsidRPr="002610F9">
              <w:rPr>
                <w:rFonts w:ascii="Arial Narrow" w:hAnsi="Arial Narrow"/>
                <w:color w:val="000000"/>
                <w:sz w:val="20"/>
                <w:szCs w:val="20"/>
                <w:shd w:val="solid" w:color="000000" w:fill="000000"/>
                <w:lang w:eastAsia="en-US"/>
                <w14:textFill>
                  <w14:solidFill>
                    <w14:srgbClr w14:val="000000">
                      <w14:alpha w14:val="100000"/>
                    </w14:srgbClr>
                  </w14:solidFill>
                </w14:textFill>
              </w:rPr>
              <w:t>|</w:t>
            </w:r>
          </w:p>
        </w:tc>
      </w:tr>
    </w:tbl>
    <w:p w14:paraId="60708088" w14:textId="77777777" w:rsidR="00D43E51" w:rsidRPr="00B57CD7" w:rsidRDefault="00D43E51" w:rsidP="00D43E51">
      <w:pPr>
        <w:rPr>
          <w:rFonts w:ascii="Arial Narrow" w:hAnsi="Arial Narrow"/>
          <w:i/>
          <w:iCs/>
          <w:sz w:val="18"/>
          <w:szCs w:val="18"/>
        </w:rPr>
      </w:pPr>
      <w:r w:rsidRPr="00B57CD7">
        <w:rPr>
          <w:rFonts w:ascii="Arial Narrow" w:hAnsi="Arial Narrow"/>
          <w:i/>
          <w:iCs/>
          <w:sz w:val="18"/>
          <w:szCs w:val="18"/>
        </w:rPr>
        <w:t>Source: Compiled during evaluation</w:t>
      </w:r>
    </w:p>
    <w:p w14:paraId="5D82230D" w14:textId="023ED2AA" w:rsidR="009A5A70" w:rsidRPr="0016344F" w:rsidRDefault="00D43E51" w:rsidP="0016344F">
      <w:pPr>
        <w:rPr>
          <w:rFonts w:ascii="Arial Narrow" w:hAnsi="Arial Narrow"/>
          <w:sz w:val="18"/>
          <w:szCs w:val="18"/>
        </w:rPr>
      </w:pPr>
      <w:proofErr w:type="spellStart"/>
      <w:r w:rsidRPr="004B082E">
        <w:rPr>
          <w:rFonts w:ascii="Arial Narrow" w:hAnsi="Arial Narrow"/>
          <w:sz w:val="18"/>
          <w:szCs w:val="18"/>
          <w:vertAlign w:val="superscript"/>
        </w:rPr>
        <w:t>a</w:t>
      </w:r>
      <w:proofErr w:type="spellEnd"/>
      <w:r w:rsidRPr="00B57CD7">
        <w:rPr>
          <w:rFonts w:ascii="Arial Narrow" w:hAnsi="Arial Narrow"/>
          <w:sz w:val="18"/>
          <w:szCs w:val="18"/>
        </w:rPr>
        <w:t xml:space="preserve"> During evaluation the base case was corrected to rectify an error in the event free survival calculation; change the discount rate from 3.5% to 5% and reduce the time horizon to 30 years.</w:t>
      </w:r>
    </w:p>
    <w:p w14:paraId="25AE2BAC" w14:textId="1BF9804B" w:rsidR="00772829" w:rsidRPr="00CE28E3" w:rsidRDefault="00C36633" w:rsidP="00CE307E">
      <w:pPr>
        <w:pStyle w:val="Heading2"/>
        <w:numPr>
          <w:ilvl w:val="0"/>
          <w:numId w:val="0"/>
        </w:numPr>
        <w:spacing w:before="240" w:after="120"/>
      </w:pPr>
      <w:bookmarkStart w:id="41" w:name="_Toc69491426"/>
      <w:bookmarkEnd w:id="40"/>
      <w:r>
        <w:t>1</w:t>
      </w:r>
      <w:r w:rsidR="00C233D6">
        <w:t>4</w:t>
      </w:r>
      <w:r>
        <w:t>.</w:t>
      </w:r>
      <w:r>
        <w:tab/>
      </w:r>
      <w:r w:rsidR="00772829" w:rsidRPr="00CE28E3">
        <w:t>Financial/budgetary impacts</w:t>
      </w:r>
      <w:bookmarkEnd w:id="41"/>
    </w:p>
    <w:p w14:paraId="5BD9975D" w14:textId="1FD9AF90" w:rsidR="00920047" w:rsidRPr="0050405E" w:rsidRDefault="00920047" w:rsidP="001B3809">
      <w:pPr>
        <w:pStyle w:val="a-subHeading"/>
      </w:pPr>
      <w:r w:rsidRPr="00CE28E3">
        <w:t>Justification of the approach and data sources</w:t>
      </w:r>
    </w:p>
    <w:p w14:paraId="443D68DE" w14:textId="758D0E85" w:rsidR="00577A96" w:rsidRPr="0049040C" w:rsidRDefault="00577A96" w:rsidP="00B94F5D">
      <w:pPr>
        <w:pStyle w:val="a-TEXT"/>
      </w:pPr>
      <w:r>
        <w:t xml:space="preserve">An epidemiological approach to budget impact analysis was </w:t>
      </w:r>
      <w:r w:rsidR="00854078">
        <w:t>used to estimate the uptake of the proposed technology</w:t>
      </w:r>
      <w:r>
        <w:t xml:space="preserve">. </w:t>
      </w:r>
      <w:r w:rsidR="005C726D" w:rsidRPr="005C726D">
        <w:t xml:space="preserve">A validation of the estimates generated by the epidemiological approach </w:t>
      </w:r>
      <w:r w:rsidR="005C726D">
        <w:t>was</w:t>
      </w:r>
      <w:r w:rsidR="005C726D" w:rsidRPr="005C726D">
        <w:t xml:space="preserve"> conducted using a market share approach.</w:t>
      </w:r>
    </w:p>
    <w:p w14:paraId="207CBA2E" w14:textId="46E153FE" w:rsidR="0076549F" w:rsidRDefault="00920047" w:rsidP="00B94F5D">
      <w:pPr>
        <w:pStyle w:val="a-TEXT"/>
      </w:pPr>
      <w:r>
        <w:t xml:space="preserve">The ADAR did not tabulate the data sources used in the financial </w:t>
      </w:r>
      <w:r w:rsidR="00387A5A" w:rsidRPr="00920047">
        <w:t>model</w:t>
      </w:r>
      <w:r w:rsidR="00387A5A">
        <w:t xml:space="preserve"> but</w:t>
      </w:r>
      <w:r>
        <w:t xml:space="preserve"> provided </w:t>
      </w:r>
      <w:r w:rsidR="003A0312">
        <w:t xml:space="preserve">these </w:t>
      </w:r>
      <w:r>
        <w:t>as a listed summary</w:t>
      </w:r>
      <w:r w:rsidRPr="00920047">
        <w:t>. It would be beneficial to tabulate and justify all data sources used in the financial model.</w:t>
      </w:r>
      <w:r w:rsidR="00387A5A">
        <w:t xml:space="preserve"> From s</w:t>
      </w:r>
      <w:r w:rsidR="0013342C">
        <w:t>c</w:t>
      </w:r>
      <w:r w:rsidR="00387A5A">
        <w:t>oping of the literature</w:t>
      </w:r>
      <w:r w:rsidR="0013342C">
        <w:t xml:space="preserve"> by the assessment team</w:t>
      </w:r>
      <w:r w:rsidR="00387A5A">
        <w:t xml:space="preserve">, </w:t>
      </w:r>
      <w:r w:rsidR="00A401B0">
        <w:t>it</w:t>
      </w:r>
      <w:r w:rsidR="00387A5A">
        <w:t xml:space="preserve"> appears that the sources used are the best available evidence for the </w:t>
      </w:r>
      <w:r w:rsidR="0013342C">
        <w:t>analysis and are therefore appropriate.</w:t>
      </w:r>
    </w:p>
    <w:p w14:paraId="3806987B" w14:textId="31F29DBE" w:rsidR="00824AA2" w:rsidRPr="0049040C" w:rsidRDefault="00690946" w:rsidP="001B3809">
      <w:pPr>
        <w:pStyle w:val="a-subHeading"/>
      </w:pPr>
      <w:r w:rsidRPr="0049040C">
        <w:t>Key c</w:t>
      </w:r>
      <w:r w:rsidR="00824AA2" w:rsidRPr="0049040C">
        <w:t xml:space="preserve">ost </w:t>
      </w:r>
      <w:r w:rsidR="00824AA2" w:rsidRPr="001B3809">
        <w:t>assumptions</w:t>
      </w:r>
    </w:p>
    <w:p w14:paraId="5683DFD2" w14:textId="77777777" w:rsidR="00374AE4" w:rsidRDefault="0013342C" w:rsidP="00374AE4">
      <w:pPr>
        <w:pStyle w:val="a-TEXT"/>
      </w:pPr>
      <w:r>
        <w:t>The following key cost assumptions/</w:t>
      </w:r>
      <w:r w:rsidRPr="00F347BD">
        <w:t>drivers</w:t>
      </w:r>
      <w:r>
        <w:t xml:space="preserve"> were used for the budgetary impact analysis:</w:t>
      </w:r>
    </w:p>
    <w:p w14:paraId="62239FA7" w14:textId="46171946" w:rsidR="0013342C" w:rsidRPr="00C663CB" w:rsidRDefault="0013342C" w:rsidP="00D51B1C">
      <w:pPr>
        <w:pStyle w:val="a-TEXT"/>
        <w:numPr>
          <w:ilvl w:val="0"/>
          <w:numId w:val="21"/>
        </w:numPr>
        <w:spacing w:before="0" w:after="0"/>
        <w:ind w:left="714" w:hanging="357"/>
      </w:pPr>
      <w:r w:rsidRPr="002F3CF8">
        <w:t xml:space="preserve">The average </w:t>
      </w:r>
      <w:r w:rsidRPr="00330A0A">
        <w:t xml:space="preserve">cost of the proposed technology per patient is: </w:t>
      </w:r>
      <w:r w:rsidRPr="002F3CF8">
        <w:t>$</w:t>
      </w:r>
      <w:r w:rsidR="002610F9" w:rsidRPr="002610F9">
        <w:rPr>
          <w:rFonts w:hint="eastAsia"/>
          <w:color w:val="000000"/>
          <w:w w:val="15"/>
          <w:shd w:val="solid" w:color="000000" w:fill="000000"/>
          <w:fitText w:val="80" w:id="-1217620468"/>
          <w14:textFill>
            <w14:solidFill>
              <w14:srgbClr w14:val="000000">
                <w14:alpha w14:val="100000"/>
              </w14:srgbClr>
            </w14:solidFill>
          </w14:textFill>
        </w:rPr>
        <w:t xml:space="preserve">　</w:t>
      </w:r>
      <w:r w:rsidR="002610F9" w:rsidRPr="002610F9">
        <w:rPr>
          <w:color w:val="000000"/>
          <w:w w:val="15"/>
          <w:shd w:val="solid" w:color="000000" w:fill="000000"/>
          <w:fitText w:val="80" w:id="-1217620468"/>
          <w14:textFill>
            <w14:solidFill>
              <w14:srgbClr w14:val="000000">
                <w14:alpha w14:val="100000"/>
              </w14:srgbClr>
            </w14:solidFill>
          </w14:textFill>
        </w:rPr>
        <w:t>|</w:t>
      </w:r>
      <w:r w:rsidR="002610F9" w:rsidRPr="002610F9">
        <w:rPr>
          <w:rFonts w:hint="eastAsia"/>
          <w:color w:val="000000"/>
          <w:spacing w:val="-1"/>
          <w:w w:val="15"/>
          <w:shd w:val="solid" w:color="000000" w:fill="000000"/>
          <w:fitText w:val="80" w:id="-1217620468"/>
          <w14:textFill>
            <w14:solidFill>
              <w14:srgbClr w14:val="000000">
                <w14:alpha w14:val="100000"/>
              </w14:srgbClr>
            </w14:solidFill>
          </w14:textFill>
        </w:rPr>
        <w:t xml:space="preserve">　</w:t>
      </w:r>
    </w:p>
    <w:p w14:paraId="0BB0A54F" w14:textId="77777777" w:rsidR="0013342C" w:rsidRPr="00330A0A" w:rsidRDefault="0013342C" w:rsidP="00B94F5D">
      <w:pPr>
        <w:pStyle w:val="A-dot"/>
      </w:pPr>
      <w:r w:rsidRPr="00330A0A">
        <w:t xml:space="preserve">The average frequency of use of the proposed technology is: </w:t>
      </w:r>
      <w:r>
        <w:t>1</w:t>
      </w:r>
      <w:r w:rsidRPr="00330A0A">
        <w:t xml:space="preserve"> per lifetime.</w:t>
      </w:r>
    </w:p>
    <w:p w14:paraId="2CBA22CF" w14:textId="3A0914AD" w:rsidR="0013342C" w:rsidRDefault="00D62FFA" w:rsidP="00B94F5D">
      <w:pPr>
        <w:pStyle w:val="A-dot"/>
      </w:pPr>
      <w:r>
        <w:t>Per MSAC advice for 1587 (</w:t>
      </w:r>
      <w:r w:rsidR="00226D5B">
        <w:t>AXI</w:t>
      </w:r>
      <w:r w:rsidRPr="008B0E44">
        <w:t xml:space="preserve"> </w:t>
      </w:r>
      <w:r w:rsidR="007D311E">
        <w:t>in</w:t>
      </w:r>
      <w:r>
        <w:t xml:space="preserve"> the 3L setting), it is proposed that a payment is made in two instalments: </w:t>
      </w:r>
      <w:r w:rsidR="00110C43">
        <w:t xml:space="preserve">(1) </w:t>
      </w:r>
      <w:r>
        <w:t xml:space="preserve">upon infusion of the manufactured product, and </w:t>
      </w:r>
      <w:r w:rsidR="00110C43">
        <w:t xml:space="preserve">(2) </w:t>
      </w:r>
      <w:r>
        <w:t>at an agreed time in the future dependent on the outcomes observed in patient</w:t>
      </w:r>
      <w:r w:rsidRPr="008820D0">
        <w:t>s.</w:t>
      </w:r>
      <w:r w:rsidR="00764C7D">
        <w:t xml:space="preserve"> However, </w:t>
      </w:r>
      <w:r w:rsidR="00026E6F">
        <w:t>this was not included in the financial estimates.</w:t>
      </w:r>
    </w:p>
    <w:p w14:paraId="26F1C440" w14:textId="3FA8CB9E" w:rsidR="002A23AE" w:rsidRDefault="002A23AE" w:rsidP="002A23AE">
      <w:pPr>
        <w:pStyle w:val="a-TEXT"/>
      </w:pPr>
      <w:r>
        <w:lastRenderedPageBreak/>
        <w:t xml:space="preserve">The estimate of 40% </w:t>
      </w:r>
      <w:r w:rsidR="00F0675B">
        <w:t>for the p</w:t>
      </w:r>
      <w:r w:rsidR="00F0675B" w:rsidRPr="00F0675B">
        <w:t xml:space="preserve">roportion of patients who are refractory or who relapse after completion of 1L chemoimmunotherapy </w:t>
      </w:r>
      <w:r>
        <w:t>is derived from Maurer 2014. This appears to be the upper end estimate of the 20-40% provided (“Although the majority of patients treated with immunochemotherapy respond to treatment, 20% to 40% of patients will either fail to achieve remission or they will relapse”).</w:t>
      </w:r>
    </w:p>
    <w:p w14:paraId="7F2BA3D6" w14:textId="3A3DD657" w:rsidR="002A23AE" w:rsidRDefault="003B3014" w:rsidP="002A23AE">
      <w:pPr>
        <w:pStyle w:val="a-TEXT"/>
      </w:pPr>
      <w:r>
        <w:t>T</w:t>
      </w:r>
      <w:r w:rsidR="002A23AE">
        <w:t xml:space="preserve">he estimate of 42% </w:t>
      </w:r>
      <w:r>
        <w:t>for the p</w:t>
      </w:r>
      <w:r w:rsidRPr="003B3014">
        <w:t xml:space="preserve">roportion on NHL that is LBCL </w:t>
      </w:r>
      <w:r w:rsidR="002A23AE">
        <w:t xml:space="preserve">is derived from incidence calculations based on </w:t>
      </w:r>
      <w:proofErr w:type="spellStart"/>
      <w:r w:rsidR="002A23AE">
        <w:t>Sehn</w:t>
      </w:r>
      <w:proofErr w:type="spellEnd"/>
      <w:r w:rsidR="002A23AE">
        <w:t xml:space="preserve"> 2021 of 2500-2670 cases of LBCL per year. 42% (2670/6400=41.7%) appears to be the upper end estimate provided. It may therefore be appropriate to conduct sensitivity analysis or provide an explanation for assuming the maximum.</w:t>
      </w:r>
    </w:p>
    <w:p w14:paraId="0583F4A4" w14:textId="02724FAD" w:rsidR="003D2EA3" w:rsidRDefault="003D2EA3" w:rsidP="00246C59">
      <w:pPr>
        <w:pStyle w:val="a-TEXT"/>
      </w:pPr>
      <w:r w:rsidRPr="00C467EB">
        <w:t xml:space="preserve">Given the increase in infrastructure and workforce required to increase the surge in demand for CAR-T therapy in 2L it </w:t>
      </w:r>
      <w:r w:rsidR="00CE13C6">
        <w:t>may</w:t>
      </w:r>
      <w:r w:rsidR="00CE13C6" w:rsidRPr="00C467EB">
        <w:t xml:space="preserve"> </w:t>
      </w:r>
      <w:r w:rsidRPr="00C467EB">
        <w:t>be appropriate to include upfront costs associated with these in the financial impact</w:t>
      </w:r>
      <w:r>
        <w:t xml:space="preserve">. </w:t>
      </w:r>
      <w:r w:rsidRPr="00B22C09">
        <w:t>The payment schedule of upon infusion and on outcomes was not included in the financial estimates.</w:t>
      </w:r>
    </w:p>
    <w:p w14:paraId="616CAF01" w14:textId="30202D0E" w:rsidR="0076549F" w:rsidRPr="0050405E" w:rsidRDefault="00DB26C9" w:rsidP="001B3809">
      <w:pPr>
        <w:pStyle w:val="a-subHeading"/>
      </w:pPr>
      <w:r>
        <w:t xml:space="preserve">Financial impacts – </w:t>
      </w:r>
      <w:r w:rsidR="004B001E">
        <w:t xml:space="preserve">evaluation </w:t>
      </w:r>
      <w:r>
        <w:t>results</w:t>
      </w:r>
    </w:p>
    <w:p w14:paraId="3BE35AA0" w14:textId="25ABBD75" w:rsidR="004C749D" w:rsidRDefault="0076549F" w:rsidP="00B94F5D">
      <w:pPr>
        <w:pStyle w:val="a-TEXT"/>
      </w:pPr>
      <w:r w:rsidRPr="00187ACB">
        <w:t xml:space="preserve">The financial implications to the Highly Specialised Therapies resulting from the proposed listing of </w:t>
      </w:r>
      <w:r w:rsidR="00226D5B">
        <w:t>AXI</w:t>
      </w:r>
      <w:r w:rsidRPr="00187ACB">
        <w:t xml:space="preserve"> in the 2L setting are summarised</w:t>
      </w:r>
      <w:r w:rsidR="00E37CF3">
        <w:t xml:space="preserve"> </w:t>
      </w:r>
      <w:r w:rsidR="00DF2464">
        <w:t>below</w:t>
      </w:r>
      <w:r w:rsidR="00D16F5D">
        <w:t>.</w:t>
      </w:r>
    </w:p>
    <w:p w14:paraId="000F9311" w14:textId="20629E24" w:rsidR="00E20E63" w:rsidRPr="00187ACB" w:rsidRDefault="00E20E63" w:rsidP="00B94F5D">
      <w:pPr>
        <w:pStyle w:val="a-TEXT"/>
      </w:pPr>
      <w:r w:rsidRPr="00E20E63">
        <w:t>There were some errors noted in the calculations around the ABS population and incidence data and using ≥ 16 years when the trial was limited to ≥ 18 years.</w:t>
      </w:r>
      <w:r>
        <w:t xml:space="preserve"> These have been corrected</w:t>
      </w:r>
      <w:r w:rsidR="00DF2464">
        <w:t xml:space="preserve"> during evaluation</w:t>
      </w:r>
      <w:r>
        <w:t xml:space="preserve"> </w:t>
      </w:r>
      <w:r w:rsidR="003275E8">
        <w:t>as described</w:t>
      </w:r>
      <w:r w:rsidR="001E2771">
        <w:t xml:space="preserve"> in footnote</w:t>
      </w:r>
      <w:r w:rsidR="003275E8">
        <w:t xml:space="preserve"> </w:t>
      </w:r>
      <w:r>
        <w:t>below</w:t>
      </w:r>
      <w:r w:rsidR="001E2771">
        <w:t xml:space="preserve"> Table 12</w:t>
      </w:r>
      <w:r>
        <w:t>.</w:t>
      </w:r>
    </w:p>
    <w:p w14:paraId="33FCA9D4" w14:textId="77BFD3D0" w:rsidR="00D428B9" w:rsidRPr="00683B19" w:rsidRDefault="00D428B9" w:rsidP="007D2C20">
      <w:pPr>
        <w:pStyle w:val="aTableHeading"/>
      </w:pPr>
      <w:bookmarkStart w:id="42" w:name="_Ref69726382"/>
      <w:bookmarkStart w:id="43" w:name="_Ref123988851"/>
      <w:r w:rsidRPr="00BB2BFF">
        <w:t>Table</w:t>
      </w:r>
      <w:r w:rsidR="003571C2" w:rsidRPr="00BB2BFF">
        <w:t> </w:t>
      </w:r>
      <w:bookmarkEnd w:id="42"/>
      <w:r w:rsidR="00B96120">
        <w:t>1</w:t>
      </w:r>
      <w:r w:rsidR="00D733BB">
        <w:t>2</w:t>
      </w:r>
      <w:r w:rsidRPr="00BB2BFF">
        <w:tab/>
        <w:t xml:space="preserve">Net financial </w:t>
      </w:r>
      <w:r w:rsidR="00E20E63">
        <w:t>costs</w:t>
      </w:r>
      <w:r w:rsidR="00E20E63" w:rsidRPr="00BB2BFF">
        <w:t xml:space="preserve"> </w:t>
      </w:r>
      <w:r w:rsidRPr="00BB2BFF">
        <w:t xml:space="preserve">of </w:t>
      </w:r>
      <w:r w:rsidR="00226D5B" w:rsidRPr="00BB2BFF">
        <w:t>AXI</w:t>
      </w:r>
      <w:r w:rsidR="00854078" w:rsidRPr="00BB2BFF">
        <w:t xml:space="preserve"> in the 2L setting</w:t>
      </w:r>
      <w:r w:rsidRPr="00BB2BFF">
        <w:t xml:space="preserve"> to the </w:t>
      </w:r>
      <w:r w:rsidR="00E20E63">
        <w:t xml:space="preserve">state and </w:t>
      </w:r>
      <w:r w:rsidR="00F027BB">
        <w:t>commonwealth health departments</w:t>
      </w:r>
      <w:r w:rsidR="00110C43" w:rsidRPr="00BB2BFF">
        <w:t>.</w:t>
      </w:r>
      <w:bookmarkEnd w:id="43"/>
    </w:p>
    <w:tbl>
      <w:tblPr>
        <w:tblStyle w:val="TableGrid1"/>
        <w:tblW w:w="5000" w:type="pct"/>
        <w:tblLayout w:type="fixed"/>
        <w:tblCellMar>
          <w:top w:w="28" w:type="dxa"/>
          <w:left w:w="28" w:type="dxa"/>
          <w:bottom w:w="28" w:type="dxa"/>
          <w:right w:w="28" w:type="dxa"/>
        </w:tblCellMar>
        <w:tblLook w:val="04A0" w:firstRow="1" w:lastRow="0" w:firstColumn="1" w:lastColumn="0" w:noHBand="0" w:noVBand="1"/>
      </w:tblPr>
      <w:tblGrid>
        <w:gridCol w:w="1555"/>
        <w:gridCol w:w="1243"/>
        <w:gridCol w:w="1245"/>
        <w:gridCol w:w="1243"/>
        <w:gridCol w:w="1244"/>
        <w:gridCol w:w="1242"/>
        <w:gridCol w:w="1244"/>
      </w:tblGrid>
      <w:tr w:rsidR="00246C59" w:rsidRPr="0049040C" w14:paraId="00D288B1" w14:textId="77777777" w:rsidTr="00AA0C8E">
        <w:trPr>
          <w:cnfStyle w:val="100000000000" w:firstRow="1" w:lastRow="0" w:firstColumn="0" w:lastColumn="0" w:oddVBand="0" w:evenVBand="0" w:oddHBand="0" w:evenHBand="0" w:firstRowFirstColumn="0" w:firstRowLastColumn="0" w:lastRowFirstColumn="0" w:lastRowLastColumn="0"/>
          <w:trHeight w:val="688"/>
        </w:trPr>
        <w:tc>
          <w:tcPr>
            <w:tcW w:w="862" w:type="pct"/>
            <w:shd w:val="clear" w:color="auto" w:fill="auto"/>
            <w:hideMark/>
          </w:tcPr>
          <w:p w14:paraId="52C2DD3D" w14:textId="63083C62" w:rsidR="00110C43" w:rsidRPr="0049040C" w:rsidRDefault="00110C43" w:rsidP="007D2C20">
            <w:pPr>
              <w:keepNext/>
              <w:rPr>
                <w:rFonts w:ascii="Arial Narrow" w:hAnsi="Arial Narrow" w:cs="Calibri"/>
                <w:b/>
                <w:bCs/>
                <w:color w:val="000000"/>
                <w:sz w:val="20"/>
                <w:szCs w:val="20"/>
              </w:rPr>
            </w:pPr>
            <w:bookmarkStart w:id="44" w:name="_Hlk124366480"/>
            <w:bookmarkStart w:id="45" w:name="_Hlk68276814"/>
          </w:p>
        </w:tc>
        <w:tc>
          <w:tcPr>
            <w:tcW w:w="689" w:type="pct"/>
            <w:shd w:val="clear" w:color="auto" w:fill="auto"/>
            <w:vAlign w:val="center"/>
            <w:hideMark/>
          </w:tcPr>
          <w:p w14:paraId="4FA40DFF" w14:textId="77777777" w:rsidR="00110C43" w:rsidRPr="003D02B6" w:rsidRDefault="00110C43" w:rsidP="007D2C20">
            <w:pPr>
              <w:keepNext/>
              <w:jc w:val="center"/>
              <w:rPr>
                <w:rFonts w:ascii="Arial Narrow" w:hAnsi="Arial Narrow" w:cs="Calibri"/>
                <w:b/>
                <w:bCs/>
                <w:sz w:val="20"/>
                <w:szCs w:val="20"/>
              </w:rPr>
            </w:pPr>
            <w:r w:rsidRPr="003D02B6">
              <w:rPr>
                <w:rFonts w:ascii="Arial Narrow" w:hAnsi="Arial Narrow" w:cs="Calibri"/>
                <w:b/>
                <w:bCs/>
                <w:sz w:val="20"/>
                <w:szCs w:val="20"/>
              </w:rPr>
              <w:t>2023</w:t>
            </w:r>
          </w:p>
          <w:p w14:paraId="18AE5EC1" w14:textId="63B9D769" w:rsidR="00110C43" w:rsidRPr="003D02B6" w:rsidRDefault="00110C43" w:rsidP="007D2C20">
            <w:pPr>
              <w:keepNext/>
              <w:jc w:val="center"/>
              <w:rPr>
                <w:rFonts w:ascii="Arial Narrow" w:hAnsi="Arial Narrow" w:cs="Calibri"/>
                <w:b/>
                <w:bCs/>
                <w:sz w:val="20"/>
                <w:szCs w:val="20"/>
              </w:rPr>
            </w:pPr>
            <w:r w:rsidRPr="003D02B6">
              <w:rPr>
                <w:rFonts w:ascii="Arial Narrow" w:hAnsi="Arial Narrow" w:cs="Calibri"/>
                <w:b/>
                <w:bCs/>
                <w:sz w:val="20"/>
                <w:szCs w:val="20"/>
              </w:rPr>
              <w:t>(Year 1)</w:t>
            </w:r>
          </w:p>
        </w:tc>
        <w:tc>
          <w:tcPr>
            <w:tcW w:w="690" w:type="pct"/>
            <w:shd w:val="clear" w:color="auto" w:fill="auto"/>
            <w:vAlign w:val="center"/>
            <w:hideMark/>
          </w:tcPr>
          <w:p w14:paraId="60D1A2D6" w14:textId="77777777" w:rsidR="00110C43" w:rsidRPr="003D02B6" w:rsidRDefault="00110C43" w:rsidP="007D2C20">
            <w:pPr>
              <w:keepNext/>
              <w:jc w:val="center"/>
              <w:rPr>
                <w:rFonts w:ascii="Arial Narrow" w:hAnsi="Arial Narrow" w:cs="Calibri"/>
                <w:b/>
                <w:bCs/>
                <w:sz w:val="20"/>
                <w:szCs w:val="20"/>
              </w:rPr>
            </w:pPr>
            <w:r w:rsidRPr="003D02B6">
              <w:rPr>
                <w:rFonts w:ascii="Arial Narrow" w:hAnsi="Arial Narrow" w:cs="Calibri"/>
                <w:b/>
                <w:bCs/>
                <w:sz w:val="20"/>
                <w:szCs w:val="20"/>
              </w:rPr>
              <w:t>2024</w:t>
            </w:r>
          </w:p>
          <w:p w14:paraId="7475D3AC" w14:textId="6560D550" w:rsidR="00110C43" w:rsidRPr="003D02B6" w:rsidRDefault="00110C43" w:rsidP="007D2C20">
            <w:pPr>
              <w:keepNext/>
              <w:jc w:val="center"/>
              <w:rPr>
                <w:rFonts w:ascii="Arial Narrow" w:hAnsi="Arial Narrow" w:cs="Calibri"/>
                <w:b/>
                <w:bCs/>
                <w:sz w:val="20"/>
                <w:szCs w:val="20"/>
              </w:rPr>
            </w:pPr>
            <w:r w:rsidRPr="003D02B6">
              <w:rPr>
                <w:rFonts w:ascii="Arial Narrow" w:hAnsi="Arial Narrow" w:cs="Calibri"/>
                <w:b/>
                <w:bCs/>
                <w:sz w:val="20"/>
                <w:szCs w:val="20"/>
              </w:rPr>
              <w:t>(Year 2)</w:t>
            </w:r>
          </w:p>
        </w:tc>
        <w:tc>
          <w:tcPr>
            <w:tcW w:w="689" w:type="pct"/>
            <w:shd w:val="clear" w:color="auto" w:fill="auto"/>
            <w:vAlign w:val="center"/>
            <w:hideMark/>
          </w:tcPr>
          <w:p w14:paraId="7DCE0EFF" w14:textId="77777777" w:rsidR="00110C43" w:rsidRPr="003D02B6" w:rsidRDefault="00110C43" w:rsidP="007D2C20">
            <w:pPr>
              <w:keepNext/>
              <w:jc w:val="center"/>
              <w:rPr>
                <w:rFonts w:ascii="Arial Narrow" w:hAnsi="Arial Narrow" w:cs="Calibri"/>
                <w:b/>
                <w:bCs/>
                <w:sz w:val="20"/>
                <w:szCs w:val="20"/>
              </w:rPr>
            </w:pPr>
            <w:r w:rsidRPr="003D02B6">
              <w:rPr>
                <w:rFonts w:ascii="Arial Narrow" w:hAnsi="Arial Narrow" w:cs="Calibri"/>
                <w:b/>
                <w:bCs/>
                <w:sz w:val="20"/>
                <w:szCs w:val="20"/>
              </w:rPr>
              <w:t>2025</w:t>
            </w:r>
          </w:p>
          <w:p w14:paraId="67466B36" w14:textId="6522512F" w:rsidR="00110C43" w:rsidRPr="003D02B6" w:rsidRDefault="00110C43" w:rsidP="007D2C20">
            <w:pPr>
              <w:keepNext/>
              <w:jc w:val="center"/>
              <w:rPr>
                <w:rFonts w:ascii="Arial Narrow" w:hAnsi="Arial Narrow" w:cs="Calibri"/>
                <w:b/>
                <w:bCs/>
                <w:sz w:val="20"/>
                <w:szCs w:val="20"/>
              </w:rPr>
            </w:pPr>
            <w:r w:rsidRPr="003D02B6">
              <w:rPr>
                <w:rFonts w:ascii="Arial Narrow" w:hAnsi="Arial Narrow" w:cs="Calibri"/>
                <w:b/>
                <w:bCs/>
                <w:sz w:val="20"/>
                <w:szCs w:val="20"/>
              </w:rPr>
              <w:t>(Year 3)</w:t>
            </w:r>
          </w:p>
        </w:tc>
        <w:tc>
          <w:tcPr>
            <w:tcW w:w="690" w:type="pct"/>
            <w:shd w:val="clear" w:color="auto" w:fill="auto"/>
            <w:vAlign w:val="center"/>
            <w:hideMark/>
          </w:tcPr>
          <w:p w14:paraId="0DFA8382" w14:textId="77777777" w:rsidR="00110C43" w:rsidRPr="003D02B6" w:rsidRDefault="00110C43" w:rsidP="007D2C20">
            <w:pPr>
              <w:keepNext/>
              <w:jc w:val="center"/>
              <w:rPr>
                <w:rFonts w:ascii="Arial Narrow" w:hAnsi="Arial Narrow" w:cs="Calibri"/>
                <w:b/>
                <w:bCs/>
                <w:sz w:val="20"/>
                <w:szCs w:val="20"/>
              </w:rPr>
            </w:pPr>
            <w:r w:rsidRPr="003D02B6">
              <w:rPr>
                <w:rFonts w:ascii="Arial Narrow" w:hAnsi="Arial Narrow" w:cs="Calibri"/>
                <w:b/>
                <w:bCs/>
                <w:sz w:val="20"/>
                <w:szCs w:val="20"/>
              </w:rPr>
              <w:t>2026</w:t>
            </w:r>
          </w:p>
          <w:p w14:paraId="138BEF08" w14:textId="5E93BB70" w:rsidR="00110C43" w:rsidRPr="003D02B6" w:rsidRDefault="00110C43" w:rsidP="007D2C20">
            <w:pPr>
              <w:keepNext/>
              <w:jc w:val="center"/>
              <w:rPr>
                <w:rFonts w:ascii="Arial Narrow" w:hAnsi="Arial Narrow" w:cs="Calibri"/>
                <w:b/>
                <w:bCs/>
                <w:sz w:val="20"/>
                <w:szCs w:val="20"/>
              </w:rPr>
            </w:pPr>
            <w:r w:rsidRPr="003D02B6">
              <w:rPr>
                <w:rFonts w:ascii="Arial Narrow" w:hAnsi="Arial Narrow" w:cs="Calibri"/>
                <w:b/>
                <w:bCs/>
                <w:sz w:val="20"/>
                <w:szCs w:val="20"/>
              </w:rPr>
              <w:t>(Year 4)</w:t>
            </w:r>
          </w:p>
        </w:tc>
        <w:tc>
          <w:tcPr>
            <w:tcW w:w="689" w:type="pct"/>
            <w:shd w:val="clear" w:color="auto" w:fill="auto"/>
            <w:vAlign w:val="center"/>
            <w:hideMark/>
          </w:tcPr>
          <w:p w14:paraId="725E4623" w14:textId="77777777" w:rsidR="00110C43" w:rsidRPr="003D02B6" w:rsidRDefault="00110C43" w:rsidP="007D2C20">
            <w:pPr>
              <w:keepNext/>
              <w:jc w:val="center"/>
              <w:rPr>
                <w:rFonts w:ascii="Arial Narrow" w:hAnsi="Arial Narrow" w:cs="Calibri"/>
                <w:b/>
                <w:bCs/>
                <w:sz w:val="20"/>
                <w:szCs w:val="20"/>
              </w:rPr>
            </w:pPr>
            <w:r w:rsidRPr="003D02B6">
              <w:rPr>
                <w:rFonts w:ascii="Arial Narrow" w:hAnsi="Arial Narrow" w:cs="Calibri"/>
                <w:b/>
                <w:bCs/>
                <w:sz w:val="20"/>
                <w:szCs w:val="20"/>
              </w:rPr>
              <w:t>2027</w:t>
            </w:r>
          </w:p>
          <w:p w14:paraId="7A5DB568" w14:textId="25B5ACB2" w:rsidR="00110C43" w:rsidRPr="003D02B6" w:rsidRDefault="00110C43" w:rsidP="007D2C20">
            <w:pPr>
              <w:keepNext/>
              <w:jc w:val="center"/>
              <w:rPr>
                <w:rFonts w:ascii="Arial Narrow" w:hAnsi="Arial Narrow" w:cs="Calibri"/>
                <w:b/>
                <w:bCs/>
                <w:sz w:val="20"/>
                <w:szCs w:val="20"/>
              </w:rPr>
            </w:pPr>
            <w:r w:rsidRPr="003D02B6">
              <w:rPr>
                <w:rFonts w:ascii="Arial Narrow" w:hAnsi="Arial Narrow" w:cs="Calibri"/>
                <w:b/>
                <w:bCs/>
                <w:sz w:val="20"/>
                <w:szCs w:val="20"/>
              </w:rPr>
              <w:t>(Year 5)</w:t>
            </w:r>
          </w:p>
        </w:tc>
        <w:tc>
          <w:tcPr>
            <w:tcW w:w="690" w:type="pct"/>
            <w:shd w:val="clear" w:color="auto" w:fill="auto"/>
            <w:vAlign w:val="center"/>
            <w:hideMark/>
          </w:tcPr>
          <w:p w14:paraId="5570D04B" w14:textId="77777777" w:rsidR="00110C43" w:rsidRPr="003D02B6" w:rsidRDefault="00110C43" w:rsidP="007D2C20">
            <w:pPr>
              <w:keepNext/>
              <w:jc w:val="center"/>
              <w:rPr>
                <w:rFonts w:ascii="Arial Narrow" w:hAnsi="Arial Narrow" w:cs="Calibri"/>
                <w:b/>
                <w:bCs/>
                <w:sz w:val="20"/>
                <w:szCs w:val="20"/>
              </w:rPr>
            </w:pPr>
            <w:r w:rsidRPr="003D02B6">
              <w:rPr>
                <w:rFonts w:ascii="Arial Narrow" w:hAnsi="Arial Narrow" w:cs="Calibri"/>
                <w:b/>
                <w:bCs/>
                <w:sz w:val="20"/>
                <w:szCs w:val="20"/>
              </w:rPr>
              <w:t>2028</w:t>
            </w:r>
          </w:p>
          <w:p w14:paraId="78055D20" w14:textId="63F3A223" w:rsidR="00110C43" w:rsidRPr="003D02B6" w:rsidRDefault="00110C43" w:rsidP="007D2C20">
            <w:pPr>
              <w:keepNext/>
              <w:jc w:val="center"/>
              <w:rPr>
                <w:rFonts w:ascii="Arial Narrow" w:hAnsi="Arial Narrow" w:cs="Calibri"/>
                <w:b/>
                <w:bCs/>
                <w:sz w:val="20"/>
                <w:szCs w:val="20"/>
              </w:rPr>
            </w:pPr>
            <w:r w:rsidRPr="003D02B6">
              <w:rPr>
                <w:rFonts w:ascii="Arial Narrow" w:hAnsi="Arial Narrow" w:cs="Calibri"/>
                <w:b/>
                <w:bCs/>
                <w:sz w:val="20"/>
                <w:szCs w:val="20"/>
              </w:rPr>
              <w:t>(Year 6)</w:t>
            </w:r>
          </w:p>
        </w:tc>
      </w:tr>
      <w:bookmarkEnd w:id="44"/>
      <w:tr w:rsidR="00246C59" w:rsidRPr="0049040C" w14:paraId="33CF42DD" w14:textId="77777777" w:rsidTr="00AA0C8E">
        <w:trPr>
          <w:trHeight w:val="688"/>
        </w:trPr>
        <w:tc>
          <w:tcPr>
            <w:tcW w:w="862" w:type="pct"/>
            <w:shd w:val="clear" w:color="auto" w:fill="auto"/>
            <w:vAlign w:val="center"/>
            <w:hideMark/>
          </w:tcPr>
          <w:p w14:paraId="2DD79A15" w14:textId="7AA43B99" w:rsidR="007D078B" w:rsidRPr="0049040C" w:rsidRDefault="007D078B" w:rsidP="007D2C20">
            <w:pPr>
              <w:keepNext/>
              <w:rPr>
                <w:rFonts w:ascii="Arial Narrow" w:hAnsi="Arial Narrow" w:cs="Calibri"/>
                <w:color w:val="000000"/>
                <w:sz w:val="20"/>
                <w:szCs w:val="20"/>
              </w:rPr>
            </w:pPr>
            <w:r w:rsidRPr="0049040C">
              <w:rPr>
                <w:rFonts w:ascii="Arial Narrow" w:hAnsi="Arial Narrow" w:cs="Calibri"/>
                <w:color w:val="000000"/>
                <w:sz w:val="20"/>
                <w:szCs w:val="20"/>
              </w:rPr>
              <w:t xml:space="preserve">Number of patients likely to be administered </w:t>
            </w:r>
            <w:r>
              <w:rPr>
                <w:rFonts w:ascii="Arial Narrow" w:hAnsi="Arial Narrow" w:cs="Calibri"/>
                <w:color w:val="000000"/>
                <w:sz w:val="20"/>
                <w:szCs w:val="20"/>
              </w:rPr>
              <w:t>AXI</w:t>
            </w:r>
          </w:p>
        </w:tc>
        <w:tc>
          <w:tcPr>
            <w:tcW w:w="689" w:type="pct"/>
            <w:noWrap/>
            <w:hideMark/>
          </w:tcPr>
          <w:p w14:paraId="433EE4CE" w14:textId="0515C69B" w:rsidR="007D078B" w:rsidRPr="00FA1F5D" w:rsidRDefault="002610F9" w:rsidP="007D2C20">
            <w:pPr>
              <w:keepNext/>
              <w:jc w:val="center"/>
              <w:rPr>
                <w:rFonts w:ascii="Arial Narrow" w:hAnsi="Arial Narrow" w:cs="Calibri"/>
                <w:sz w:val="20"/>
                <w:szCs w:val="20"/>
                <w:highlight w:val="yellow"/>
              </w:rPr>
            </w:pPr>
            <w:r w:rsidRPr="002610F9">
              <w:rPr>
                <w:rFonts w:ascii="Arial Narrow" w:hAnsi="Arial Narrow" w:cs="Calibri"/>
                <w:color w:val="000000"/>
                <w:sz w:val="20"/>
                <w:szCs w:val="20"/>
                <w:shd w:val="solid" w:color="000000" w:fill="000000"/>
                <w:lang w:eastAsia="en-AU"/>
                <w14:textFill>
                  <w14:solidFill>
                    <w14:srgbClr w14:val="000000">
                      <w14:alpha w14:val="100000"/>
                    </w14:srgbClr>
                  </w14:solidFill>
                </w14:textFill>
              </w:rPr>
              <w:t>|</w:t>
            </w:r>
            <w:r w:rsidRPr="002610F9">
              <w:rPr>
                <w:rFonts w:ascii="Arial Narrow" w:hAnsi="Arial Narrow" w:cs="Calibri"/>
                <w:sz w:val="20"/>
                <w:szCs w:val="20"/>
                <w:lang w:eastAsia="en-AU"/>
              </w:rPr>
              <w:t xml:space="preserve"> </w:t>
            </w:r>
          </w:p>
        </w:tc>
        <w:tc>
          <w:tcPr>
            <w:tcW w:w="690" w:type="pct"/>
            <w:noWrap/>
            <w:hideMark/>
          </w:tcPr>
          <w:p w14:paraId="5EDC901F" w14:textId="7DC4153E" w:rsidR="007D078B" w:rsidRPr="00FA1F5D" w:rsidRDefault="002610F9" w:rsidP="007D2C20">
            <w:pPr>
              <w:keepNext/>
              <w:jc w:val="center"/>
              <w:rPr>
                <w:rFonts w:ascii="Arial Narrow" w:hAnsi="Arial Narrow" w:cs="Calibri"/>
                <w:sz w:val="20"/>
                <w:szCs w:val="20"/>
                <w:highlight w:val="yellow"/>
              </w:rPr>
            </w:pPr>
            <w:r w:rsidRPr="002610F9">
              <w:rPr>
                <w:rFonts w:ascii="Arial Narrow" w:hAnsi="Arial Narrow" w:cs="Calibri"/>
                <w:color w:val="000000"/>
                <w:sz w:val="20"/>
                <w:szCs w:val="20"/>
                <w:shd w:val="solid" w:color="000000" w:fill="000000"/>
                <w:lang w:eastAsia="en-AU"/>
                <w14:textFill>
                  <w14:solidFill>
                    <w14:srgbClr w14:val="000000">
                      <w14:alpha w14:val="100000"/>
                    </w14:srgbClr>
                  </w14:solidFill>
                </w14:textFill>
              </w:rPr>
              <w:t>|</w:t>
            </w:r>
            <w:r w:rsidRPr="002610F9">
              <w:rPr>
                <w:rFonts w:ascii="Arial Narrow" w:hAnsi="Arial Narrow" w:cs="Calibri"/>
                <w:sz w:val="20"/>
                <w:szCs w:val="20"/>
                <w:lang w:eastAsia="en-AU"/>
              </w:rPr>
              <w:t xml:space="preserve"> </w:t>
            </w:r>
          </w:p>
        </w:tc>
        <w:tc>
          <w:tcPr>
            <w:tcW w:w="689" w:type="pct"/>
            <w:noWrap/>
            <w:hideMark/>
          </w:tcPr>
          <w:p w14:paraId="4E91D492" w14:textId="678AF6E0" w:rsidR="007D078B" w:rsidRPr="00FA1F5D" w:rsidRDefault="002610F9" w:rsidP="007D2C20">
            <w:pPr>
              <w:keepNext/>
              <w:jc w:val="center"/>
              <w:rPr>
                <w:rFonts w:ascii="Arial Narrow" w:hAnsi="Arial Narrow" w:cs="Calibri"/>
                <w:sz w:val="20"/>
                <w:szCs w:val="20"/>
                <w:highlight w:val="yellow"/>
              </w:rPr>
            </w:pPr>
            <w:r w:rsidRPr="002610F9">
              <w:rPr>
                <w:rFonts w:ascii="Arial Narrow" w:hAnsi="Arial Narrow" w:cs="Calibri"/>
                <w:color w:val="000000"/>
                <w:sz w:val="20"/>
                <w:szCs w:val="20"/>
                <w:shd w:val="solid" w:color="000000" w:fill="000000"/>
                <w:lang w:eastAsia="en-AU"/>
                <w14:textFill>
                  <w14:solidFill>
                    <w14:srgbClr w14:val="000000">
                      <w14:alpha w14:val="100000"/>
                    </w14:srgbClr>
                  </w14:solidFill>
                </w14:textFill>
              </w:rPr>
              <w:t>|</w:t>
            </w:r>
            <w:r w:rsidRPr="002610F9">
              <w:rPr>
                <w:rFonts w:ascii="Arial Narrow" w:hAnsi="Arial Narrow" w:cs="Calibri"/>
                <w:sz w:val="20"/>
                <w:szCs w:val="20"/>
                <w:lang w:eastAsia="en-AU"/>
              </w:rPr>
              <w:t xml:space="preserve"> </w:t>
            </w:r>
          </w:p>
        </w:tc>
        <w:tc>
          <w:tcPr>
            <w:tcW w:w="690" w:type="pct"/>
            <w:noWrap/>
            <w:hideMark/>
          </w:tcPr>
          <w:p w14:paraId="4B94C0AD" w14:textId="33D479CD" w:rsidR="007D078B" w:rsidRPr="00FA1F5D" w:rsidRDefault="002610F9" w:rsidP="007D2C20">
            <w:pPr>
              <w:keepNext/>
              <w:jc w:val="center"/>
              <w:rPr>
                <w:rFonts w:ascii="Arial Narrow" w:hAnsi="Arial Narrow" w:cs="Calibri"/>
                <w:sz w:val="20"/>
                <w:szCs w:val="20"/>
                <w:highlight w:val="yellow"/>
              </w:rPr>
            </w:pPr>
            <w:r w:rsidRPr="002610F9">
              <w:rPr>
                <w:rFonts w:ascii="Arial Narrow" w:hAnsi="Arial Narrow" w:cs="Calibri"/>
                <w:color w:val="000000"/>
                <w:sz w:val="20"/>
                <w:szCs w:val="20"/>
                <w:shd w:val="solid" w:color="000000" w:fill="000000"/>
                <w:lang w:eastAsia="en-AU"/>
                <w14:textFill>
                  <w14:solidFill>
                    <w14:srgbClr w14:val="000000">
                      <w14:alpha w14:val="100000"/>
                    </w14:srgbClr>
                  </w14:solidFill>
                </w14:textFill>
              </w:rPr>
              <w:t>|</w:t>
            </w:r>
            <w:r w:rsidRPr="002610F9">
              <w:rPr>
                <w:rFonts w:ascii="Arial Narrow" w:hAnsi="Arial Narrow" w:cs="Calibri"/>
                <w:sz w:val="20"/>
                <w:szCs w:val="20"/>
                <w:lang w:eastAsia="en-AU"/>
              </w:rPr>
              <w:t xml:space="preserve"> </w:t>
            </w:r>
          </w:p>
        </w:tc>
        <w:tc>
          <w:tcPr>
            <w:tcW w:w="689" w:type="pct"/>
            <w:noWrap/>
            <w:hideMark/>
          </w:tcPr>
          <w:p w14:paraId="24B08C4F" w14:textId="18AFB6EB" w:rsidR="007D078B" w:rsidRPr="00FA1F5D" w:rsidRDefault="002610F9" w:rsidP="007D2C20">
            <w:pPr>
              <w:keepNext/>
              <w:jc w:val="center"/>
              <w:rPr>
                <w:rFonts w:ascii="Arial Narrow" w:hAnsi="Arial Narrow" w:cs="Calibri"/>
                <w:sz w:val="20"/>
                <w:szCs w:val="20"/>
                <w:highlight w:val="yellow"/>
              </w:rPr>
            </w:pPr>
            <w:r w:rsidRPr="002610F9">
              <w:rPr>
                <w:rFonts w:ascii="Arial Narrow" w:hAnsi="Arial Narrow" w:cs="Calibri"/>
                <w:color w:val="000000"/>
                <w:sz w:val="20"/>
                <w:szCs w:val="20"/>
                <w:shd w:val="solid" w:color="000000" w:fill="000000"/>
                <w:lang w:eastAsia="en-AU"/>
                <w14:textFill>
                  <w14:solidFill>
                    <w14:srgbClr w14:val="000000">
                      <w14:alpha w14:val="100000"/>
                    </w14:srgbClr>
                  </w14:solidFill>
                </w14:textFill>
              </w:rPr>
              <w:t>|</w:t>
            </w:r>
            <w:r w:rsidRPr="002610F9">
              <w:rPr>
                <w:rFonts w:ascii="Arial Narrow" w:hAnsi="Arial Narrow" w:cs="Calibri"/>
                <w:sz w:val="20"/>
                <w:szCs w:val="20"/>
                <w:lang w:eastAsia="en-AU"/>
              </w:rPr>
              <w:t xml:space="preserve"> </w:t>
            </w:r>
          </w:p>
        </w:tc>
        <w:tc>
          <w:tcPr>
            <w:tcW w:w="690" w:type="pct"/>
            <w:noWrap/>
            <w:hideMark/>
          </w:tcPr>
          <w:p w14:paraId="240375E9" w14:textId="624E8497" w:rsidR="007D078B" w:rsidRPr="00FA1F5D" w:rsidRDefault="002610F9" w:rsidP="007D2C20">
            <w:pPr>
              <w:keepNext/>
              <w:jc w:val="center"/>
              <w:rPr>
                <w:rFonts w:ascii="Arial Narrow" w:hAnsi="Arial Narrow" w:cs="Calibri"/>
                <w:sz w:val="20"/>
                <w:szCs w:val="20"/>
                <w:highlight w:val="yellow"/>
              </w:rPr>
            </w:pPr>
            <w:r w:rsidRPr="002610F9">
              <w:rPr>
                <w:rFonts w:ascii="Arial Narrow" w:hAnsi="Arial Narrow" w:cs="Calibri"/>
                <w:color w:val="000000"/>
                <w:sz w:val="20"/>
                <w:szCs w:val="20"/>
                <w:shd w:val="solid" w:color="000000" w:fill="000000"/>
                <w:lang w:eastAsia="en-AU"/>
                <w14:textFill>
                  <w14:solidFill>
                    <w14:srgbClr w14:val="000000">
                      <w14:alpha w14:val="100000"/>
                    </w14:srgbClr>
                  </w14:solidFill>
                </w14:textFill>
              </w:rPr>
              <w:t>|</w:t>
            </w:r>
            <w:r w:rsidRPr="002610F9">
              <w:rPr>
                <w:rFonts w:ascii="Arial Narrow" w:hAnsi="Arial Narrow" w:cs="Calibri"/>
                <w:sz w:val="20"/>
                <w:szCs w:val="20"/>
                <w:lang w:eastAsia="en-AU"/>
              </w:rPr>
              <w:t xml:space="preserve"> </w:t>
            </w:r>
          </w:p>
        </w:tc>
      </w:tr>
      <w:tr w:rsidR="00246C59" w:rsidRPr="0049040C" w14:paraId="2BB51660" w14:textId="77777777" w:rsidTr="00AA0C8E">
        <w:trPr>
          <w:trHeight w:val="688"/>
        </w:trPr>
        <w:tc>
          <w:tcPr>
            <w:tcW w:w="862" w:type="pct"/>
            <w:shd w:val="clear" w:color="auto" w:fill="auto"/>
            <w:vAlign w:val="center"/>
            <w:hideMark/>
          </w:tcPr>
          <w:p w14:paraId="3144DC3F" w14:textId="2E7B876B" w:rsidR="00A30AB6" w:rsidRPr="0049040C" w:rsidRDefault="00A30AB6" w:rsidP="00A30AB6">
            <w:pPr>
              <w:rPr>
                <w:rFonts w:ascii="Arial Narrow" w:hAnsi="Arial Narrow" w:cs="Calibri"/>
                <w:color w:val="000000"/>
                <w:sz w:val="20"/>
                <w:szCs w:val="20"/>
              </w:rPr>
            </w:pPr>
            <w:r w:rsidRPr="0049040C">
              <w:rPr>
                <w:rFonts w:ascii="Arial Narrow" w:hAnsi="Arial Narrow" w:cs="Calibri"/>
                <w:color w:val="000000"/>
                <w:sz w:val="20"/>
                <w:szCs w:val="20"/>
              </w:rPr>
              <w:t xml:space="preserve">Costs of </w:t>
            </w:r>
            <w:r>
              <w:rPr>
                <w:rFonts w:ascii="Arial Narrow" w:hAnsi="Arial Narrow" w:cs="Calibri"/>
                <w:color w:val="000000"/>
                <w:sz w:val="20"/>
                <w:szCs w:val="20"/>
              </w:rPr>
              <w:t>AXI</w:t>
            </w:r>
          </w:p>
        </w:tc>
        <w:tc>
          <w:tcPr>
            <w:tcW w:w="689" w:type="pct"/>
            <w:noWrap/>
            <w:hideMark/>
          </w:tcPr>
          <w:p w14:paraId="39C22D10" w14:textId="0750C287" w:rsidR="00A30AB6" w:rsidRPr="00FA1F5D" w:rsidRDefault="00A30AB6" w:rsidP="00A30AB6">
            <w:pPr>
              <w:jc w:val="center"/>
              <w:rPr>
                <w:rFonts w:ascii="Arial Narrow" w:hAnsi="Arial Narrow" w:cs="Calibri"/>
                <w:sz w:val="20"/>
                <w:szCs w:val="20"/>
                <w:highlight w:val="yellow"/>
              </w:rPr>
            </w:pPr>
            <w:r w:rsidRPr="002F3CF8">
              <w:rPr>
                <w:rFonts w:ascii="Arial Narrow" w:hAnsi="Arial Narrow" w:cs="Calibri"/>
                <w:b/>
                <w:bCs/>
                <w:sz w:val="20"/>
                <w:szCs w:val="20"/>
                <w:lang w:eastAsia="en-AU"/>
              </w:rPr>
              <w:t>$</w:t>
            </w:r>
            <w:r w:rsidR="002610F9" w:rsidRPr="00B36A58">
              <w:rPr>
                <w:rFonts w:ascii="Arial Narrow" w:hAnsi="Arial Narrow" w:cs="Calibri" w:hint="eastAsia"/>
                <w:b/>
                <w:bCs/>
                <w:color w:val="000000"/>
                <w:w w:val="15"/>
                <w:sz w:val="20"/>
                <w:szCs w:val="20"/>
                <w:shd w:val="solid" w:color="000000" w:fill="000000"/>
                <w:fitText w:val="50" w:id="-1217620467"/>
                <w:lang w:eastAsia="en-AU"/>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67"/>
                <w:lang w:eastAsia="en-AU"/>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67"/>
                <w:lang w:eastAsia="en-AU"/>
                <w14:textFill>
                  <w14:solidFill>
                    <w14:srgbClr w14:val="000000">
                      <w14:alpha w14:val="100000"/>
                    </w14:srgbClr>
                  </w14:solidFill>
                </w14:textFill>
              </w:rPr>
              <w:t xml:space="preserve">　</w:t>
            </w:r>
          </w:p>
        </w:tc>
        <w:tc>
          <w:tcPr>
            <w:tcW w:w="690" w:type="pct"/>
            <w:noWrap/>
            <w:hideMark/>
          </w:tcPr>
          <w:p w14:paraId="69477FEC" w14:textId="7CEDAF7F" w:rsidR="00A30AB6" w:rsidRPr="00FA1F5D" w:rsidRDefault="00A30AB6" w:rsidP="00A30AB6">
            <w:pPr>
              <w:jc w:val="center"/>
              <w:rPr>
                <w:rFonts w:ascii="Arial Narrow" w:hAnsi="Arial Narrow" w:cs="Calibri"/>
                <w:sz w:val="20"/>
                <w:szCs w:val="20"/>
                <w:highlight w:val="yellow"/>
              </w:rPr>
            </w:pPr>
            <w:r w:rsidRPr="002F3CF8">
              <w:rPr>
                <w:rFonts w:ascii="Arial Narrow" w:hAnsi="Arial Narrow" w:cs="Calibri"/>
                <w:b/>
                <w:bCs/>
                <w:sz w:val="20"/>
                <w:szCs w:val="20"/>
                <w:lang w:eastAsia="en-AU"/>
              </w:rPr>
              <w:t>$</w:t>
            </w:r>
            <w:r w:rsidR="002610F9" w:rsidRPr="00B36A58">
              <w:rPr>
                <w:rFonts w:ascii="Arial Narrow" w:hAnsi="Arial Narrow" w:cs="Calibri" w:hint="eastAsia"/>
                <w:b/>
                <w:bCs/>
                <w:color w:val="000000"/>
                <w:w w:val="15"/>
                <w:sz w:val="20"/>
                <w:szCs w:val="20"/>
                <w:shd w:val="solid" w:color="000000" w:fill="000000"/>
                <w:fitText w:val="50" w:id="-1217620466"/>
                <w:lang w:eastAsia="en-AU"/>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66"/>
                <w:lang w:eastAsia="en-AU"/>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66"/>
                <w:lang w:eastAsia="en-AU"/>
                <w14:textFill>
                  <w14:solidFill>
                    <w14:srgbClr w14:val="000000">
                      <w14:alpha w14:val="100000"/>
                    </w14:srgbClr>
                  </w14:solidFill>
                </w14:textFill>
              </w:rPr>
              <w:t xml:space="preserve">　</w:t>
            </w:r>
          </w:p>
        </w:tc>
        <w:tc>
          <w:tcPr>
            <w:tcW w:w="689" w:type="pct"/>
            <w:noWrap/>
            <w:hideMark/>
          </w:tcPr>
          <w:p w14:paraId="77037B04" w14:textId="0AF57ADA" w:rsidR="00A30AB6" w:rsidRPr="00FA1F5D" w:rsidRDefault="00A30AB6" w:rsidP="00A30AB6">
            <w:pPr>
              <w:jc w:val="center"/>
              <w:rPr>
                <w:rFonts w:ascii="Arial Narrow" w:hAnsi="Arial Narrow" w:cs="Calibri"/>
                <w:sz w:val="20"/>
                <w:szCs w:val="20"/>
                <w:highlight w:val="yellow"/>
              </w:rPr>
            </w:pPr>
            <w:r w:rsidRPr="002F3CF8">
              <w:rPr>
                <w:rFonts w:ascii="Arial Narrow" w:hAnsi="Arial Narrow" w:cs="Calibri"/>
                <w:b/>
                <w:bCs/>
                <w:sz w:val="20"/>
                <w:szCs w:val="20"/>
                <w:lang w:eastAsia="en-AU"/>
              </w:rPr>
              <w:t>$</w:t>
            </w:r>
            <w:r w:rsidR="002610F9" w:rsidRPr="00B36A58">
              <w:rPr>
                <w:rFonts w:ascii="Arial Narrow" w:hAnsi="Arial Narrow" w:cs="Calibri" w:hint="eastAsia"/>
                <w:b/>
                <w:bCs/>
                <w:color w:val="000000"/>
                <w:w w:val="15"/>
                <w:sz w:val="20"/>
                <w:szCs w:val="20"/>
                <w:shd w:val="solid" w:color="000000" w:fill="000000"/>
                <w:fitText w:val="50" w:id="-1217620465"/>
                <w:lang w:eastAsia="en-AU"/>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65"/>
                <w:lang w:eastAsia="en-AU"/>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65"/>
                <w:lang w:eastAsia="en-AU"/>
                <w14:textFill>
                  <w14:solidFill>
                    <w14:srgbClr w14:val="000000">
                      <w14:alpha w14:val="100000"/>
                    </w14:srgbClr>
                  </w14:solidFill>
                </w14:textFill>
              </w:rPr>
              <w:t xml:space="preserve">　</w:t>
            </w:r>
          </w:p>
        </w:tc>
        <w:tc>
          <w:tcPr>
            <w:tcW w:w="690" w:type="pct"/>
            <w:noWrap/>
            <w:hideMark/>
          </w:tcPr>
          <w:p w14:paraId="5B933313" w14:textId="06E3AAAD" w:rsidR="00A30AB6" w:rsidRPr="00FA1F5D" w:rsidRDefault="00A30AB6" w:rsidP="00A30AB6">
            <w:pPr>
              <w:jc w:val="center"/>
              <w:rPr>
                <w:rFonts w:ascii="Arial Narrow" w:hAnsi="Arial Narrow" w:cs="Calibri"/>
                <w:sz w:val="20"/>
                <w:szCs w:val="20"/>
                <w:highlight w:val="yellow"/>
              </w:rPr>
            </w:pPr>
            <w:r w:rsidRPr="002F3CF8">
              <w:rPr>
                <w:rFonts w:ascii="Arial Narrow" w:hAnsi="Arial Narrow" w:cs="Calibri"/>
                <w:b/>
                <w:bCs/>
                <w:sz w:val="20"/>
                <w:szCs w:val="20"/>
                <w:lang w:eastAsia="en-AU"/>
              </w:rPr>
              <w:t>$</w:t>
            </w:r>
            <w:r w:rsidR="002610F9" w:rsidRPr="00B36A58">
              <w:rPr>
                <w:rFonts w:ascii="Arial Narrow" w:hAnsi="Arial Narrow" w:cs="Calibri" w:hint="eastAsia"/>
                <w:b/>
                <w:bCs/>
                <w:color w:val="000000"/>
                <w:w w:val="15"/>
                <w:sz w:val="20"/>
                <w:szCs w:val="20"/>
                <w:shd w:val="solid" w:color="000000" w:fill="000000"/>
                <w:fitText w:val="50" w:id="-1217620464"/>
                <w:lang w:eastAsia="en-AU"/>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64"/>
                <w:lang w:eastAsia="en-AU"/>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64"/>
                <w:lang w:eastAsia="en-AU"/>
                <w14:textFill>
                  <w14:solidFill>
                    <w14:srgbClr w14:val="000000">
                      <w14:alpha w14:val="100000"/>
                    </w14:srgbClr>
                  </w14:solidFill>
                </w14:textFill>
              </w:rPr>
              <w:t xml:space="preserve">　</w:t>
            </w:r>
          </w:p>
        </w:tc>
        <w:tc>
          <w:tcPr>
            <w:tcW w:w="689" w:type="pct"/>
            <w:noWrap/>
            <w:hideMark/>
          </w:tcPr>
          <w:p w14:paraId="391B4C06" w14:textId="23109D0F" w:rsidR="00A30AB6" w:rsidRPr="00FA1F5D" w:rsidRDefault="00A30AB6" w:rsidP="00A30AB6">
            <w:pPr>
              <w:jc w:val="center"/>
              <w:rPr>
                <w:rFonts w:ascii="Arial Narrow" w:hAnsi="Arial Narrow" w:cs="Calibri"/>
                <w:sz w:val="20"/>
                <w:szCs w:val="20"/>
                <w:highlight w:val="yellow"/>
              </w:rPr>
            </w:pPr>
            <w:r w:rsidRPr="002F3CF8">
              <w:rPr>
                <w:rFonts w:ascii="Arial Narrow" w:hAnsi="Arial Narrow" w:cs="Calibri"/>
                <w:b/>
                <w:bCs/>
                <w:sz w:val="20"/>
                <w:szCs w:val="20"/>
                <w:lang w:eastAsia="en-AU"/>
              </w:rPr>
              <w:t>$</w:t>
            </w:r>
            <w:r w:rsidR="002610F9" w:rsidRPr="00B36A58">
              <w:rPr>
                <w:rFonts w:ascii="Arial Narrow" w:hAnsi="Arial Narrow" w:cs="Calibri" w:hint="eastAsia"/>
                <w:b/>
                <w:bCs/>
                <w:color w:val="000000"/>
                <w:w w:val="15"/>
                <w:sz w:val="20"/>
                <w:szCs w:val="20"/>
                <w:shd w:val="solid" w:color="000000" w:fill="000000"/>
                <w:fitText w:val="50" w:id="-1217620480"/>
                <w:lang w:eastAsia="en-AU"/>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80"/>
                <w:lang w:eastAsia="en-AU"/>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80"/>
                <w:lang w:eastAsia="en-AU"/>
                <w14:textFill>
                  <w14:solidFill>
                    <w14:srgbClr w14:val="000000">
                      <w14:alpha w14:val="100000"/>
                    </w14:srgbClr>
                  </w14:solidFill>
                </w14:textFill>
              </w:rPr>
              <w:t xml:space="preserve">　</w:t>
            </w:r>
          </w:p>
        </w:tc>
        <w:tc>
          <w:tcPr>
            <w:tcW w:w="690" w:type="pct"/>
            <w:noWrap/>
            <w:hideMark/>
          </w:tcPr>
          <w:p w14:paraId="67406023" w14:textId="21F9753D" w:rsidR="00A30AB6" w:rsidRPr="00FA1F5D" w:rsidRDefault="00A30AB6" w:rsidP="00A30AB6">
            <w:pPr>
              <w:jc w:val="center"/>
              <w:rPr>
                <w:rFonts w:ascii="Arial Narrow" w:hAnsi="Arial Narrow" w:cs="Calibri"/>
                <w:sz w:val="20"/>
                <w:szCs w:val="20"/>
                <w:highlight w:val="yellow"/>
              </w:rPr>
            </w:pPr>
            <w:r w:rsidRPr="002F3CF8">
              <w:rPr>
                <w:rFonts w:ascii="Arial Narrow" w:hAnsi="Arial Narrow" w:cs="Calibri"/>
                <w:b/>
                <w:bCs/>
                <w:sz w:val="20"/>
                <w:szCs w:val="20"/>
                <w:lang w:eastAsia="en-AU"/>
              </w:rPr>
              <w:t>$</w:t>
            </w:r>
            <w:r w:rsidR="002610F9" w:rsidRPr="00B36A58">
              <w:rPr>
                <w:rFonts w:ascii="Arial Narrow" w:hAnsi="Arial Narrow" w:cs="Calibri" w:hint="eastAsia"/>
                <w:b/>
                <w:bCs/>
                <w:color w:val="000000"/>
                <w:w w:val="15"/>
                <w:sz w:val="20"/>
                <w:szCs w:val="20"/>
                <w:shd w:val="solid" w:color="000000" w:fill="000000"/>
                <w:fitText w:val="50" w:id="-1217620479"/>
                <w:lang w:eastAsia="en-AU"/>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79"/>
                <w:lang w:eastAsia="en-AU"/>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79"/>
                <w:lang w:eastAsia="en-AU"/>
                <w14:textFill>
                  <w14:solidFill>
                    <w14:srgbClr w14:val="000000">
                      <w14:alpha w14:val="100000"/>
                    </w14:srgbClr>
                  </w14:solidFill>
                </w14:textFill>
              </w:rPr>
              <w:t xml:space="preserve">　</w:t>
            </w:r>
          </w:p>
        </w:tc>
      </w:tr>
      <w:tr w:rsidR="00246C59" w:rsidRPr="0049040C" w14:paraId="259FD801" w14:textId="77777777" w:rsidTr="00AA0C8E">
        <w:trPr>
          <w:trHeight w:val="689"/>
        </w:trPr>
        <w:tc>
          <w:tcPr>
            <w:tcW w:w="862" w:type="pct"/>
            <w:shd w:val="clear" w:color="auto" w:fill="auto"/>
            <w:vAlign w:val="center"/>
            <w:hideMark/>
          </w:tcPr>
          <w:p w14:paraId="5D283DC9" w14:textId="3E8D4136" w:rsidR="00CB1438" w:rsidRPr="0049040C" w:rsidRDefault="00CB1438" w:rsidP="00CB1438">
            <w:pPr>
              <w:rPr>
                <w:rFonts w:ascii="Arial Narrow" w:hAnsi="Arial Narrow" w:cs="Calibri"/>
                <w:color w:val="000000"/>
                <w:sz w:val="20"/>
                <w:szCs w:val="20"/>
              </w:rPr>
            </w:pPr>
            <w:r w:rsidRPr="0049040C">
              <w:rPr>
                <w:rFonts w:ascii="Arial Narrow" w:hAnsi="Arial Narrow" w:cs="Calibri"/>
                <w:color w:val="000000"/>
                <w:sz w:val="20"/>
                <w:szCs w:val="20"/>
              </w:rPr>
              <w:t xml:space="preserve">Costs of ancillary services associated with </w:t>
            </w:r>
            <w:r>
              <w:rPr>
                <w:rFonts w:ascii="Arial Narrow" w:hAnsi="Arial Narrow" w:cs="Calibri"/>
                <w:color w:val="000000"/>
                <w:sz w:val="20"/>
                <w:szCs w:val="20"/>
              </w:rPr>
              <w:t>AXI</w:t>
            </w:r>
          </w:p>
        </w:tc>
        <w:tc>
          <w:tcPr>
            <w:tcW w:w="689" w:type="pct"/>
            <w:noWrap/>
            <w:hideMark/>
          </w:tcPr>
          <w:p w14:paraId="6BD72AD9" w14:textId="233A20D7" w:rsidR="00CB1438" w:rsidRPr="00FA1F5D" w:rsidRDefault="00CB1438" w:rsidP="00CB1438">
            <w:pPr>
              <w:jc w:val="center"/>
              <w:rPr>
                <w:rFonts w:ascii="Arial Narrow" w:hAnsi="Arial Narrow" w:cs="Calibri"/>
                <w:sz w:val="20"/>
                <w:szCs w:val="20"/>
                <w:highlight w:val="yellow"/>
              </w:rPr>
            </w:pPr>
            <w:r w:rsidRPr="008D4D6A">
              <w:rPr>
                <w:rFonts w:ascii="Arial Narrow" w:hAnsi="Arial Narrow" w:cs="Calibri"/>
                <w:b/>
                <w:bCs/>
                <w:sz w:val="20"/>
                <w:szCs w:val="20"/>
                <w:lang w:eastAsia="en-AU"/>
              </w:rPr>
              <w:t>$</w:t>
            </w:r>
            <w:r w:rsidR="002610F9" w:rsidRPr="00B36A58">
              <w:rPr>
                <w:rFonts w:ascii="Arial Narrow" w:hAnsi="Arial Narrow" w:cs="Calibri" w:hint="eastAsia"/>
                <w:b/>
                <w:bCs/>
                <w:color w:val="000000"/>
                <w:w w:val="15"/>
                <w:sz w:val="20"/>
                <w:szCs w:val="20"/>
                <w:shd w:val="solid" w:color="000000" w:fill="000000"/>
                <w:fitText w:val="50" w:id="-1217620478"/>
                <w:lang w:eastAsia="en-AU"/>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78"/>
                <w:lang w:eastAsia="en-AU"/>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78"/>
                <w:lang w:eastAsia="en-AU"/>
                <w14:textFill>
                  <w14:solidFill>
                    <w14:srgbClr w14:val="000000">
                      <w14:alpha w14:val="100000"/>
                    </w14:srgbClr>
                  </w14:solidFill>
                </w14:textFill>
              </w:rPr>
              <w:t xml:space="preserve">　</w:t>
            </w:r>
          </w:p>
        </w:tc>
        <w:tc>
          <w:tcPr>
            <w:tcW w:w="690" w:type="pct"/>
            <w:noWrap/>
            <w:hideMark/>
          </w:tcPr>
          <w:p w14:paraId="3893B713" w14:textId="6666C92D" w:rsidR="00CB1438" w:rsidRPr="00FA1F5D" w:rsidRDefault="00CB1438" w:rsidP="00CB1438">
            <w:pPr>
              <w:jc w:val="center"/>
              <w:rPr>
                <w:rFonts w:ascii="Arial Narrow" w:hAnsi="Arial Narrow" w:cs="Calibri"/>
                <w:sz w:val="20"/>
                <w:szCs w:val="20"/>
                <w:highlight w:val="yellow"/>
              </w:rPr>
            </w:pPr>
            <w:r w:rsidRPr="008D4D6A">
              <w:rPr>
                <w:rFonts w:ascii="Arial Narrow" w:hAnsi="Arial Narrow" w:cs="Calibri"/>
                <w:b/>
                <w:bCs/>
                <w:sz w:val="20"/>
                <w:szCs w:val="20"/>
                <w:lang w:eastAsia="en-AU"/>
              </w:rPr>
              <w:t>$</w:t>
            </w:r>
            <w:r w:rsidR="002610F9" w:rsidRPr="00B36A58">
              <w:rPr>
                <w:rFonts w:ascii="Arial Narrow" w:hAnsi="Arial Narrow" w:cs="Calibri" w:hint="eastAsia"/>
                <w:b/>
                <w:bCs/>
                <w:color w:val="000000"/>
                <w:w w:val="15"/>
                <w:sz w:val="20"/>
                <w:szCs w:val="20"/>
                <w:shd w:val="solid" w:color="000000" w:fill="000000"/>
                <w:fitText w:val="50" w:id="-1217620477"/>
                <w:lang w:eastAsia="en-AU"/>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77"/>
                <w:lang w:eastAsia="en-AU"/>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77"/>
                <w:lang w:eastAsia="en-AU"/>
                <w14:textFill>
                  <w14:solidFill>
                    <w14:srgbClr w14:val="000000">
                      <w14:alpha w14:val="100000"/>
                    </w14:srgbClr>
                  </w14:solidFill>
                </w14:textFill>
              </w:rPr>
              <w:t xml:space="preserve">　</w:t>
            </w:r>
          </w:p>
        </w:tc>
        <w:tc>
          <w:tcPr>
            <w:tcW w:w="689" w:type="pct"/>
            <w:noWrap/>
            <w:hideMark/>
          </w:tcPr>
          <w:p w14:paraId="15E331A4" w14:textId="3B427748" w:rsidR="00CB1438" w:rsidRPr="00FA1F5D" w:rsidRDefault="00CB1438" w:rsidP="00CB1438">
            <w:pPr>
              <w:jc w:val="center"/>
              <w:rPr>
                <w:rFonts w:ascii="Arial Narrow" w:hAnsi="Arial Narrow" w:cs="Calibri"/>
                <w:sz w:val="20"/>
                <w:szCs w:val="20"/>
                <w:highlight w:val="yellow"/>
              </w:rPr>
            </w:pPr>
            <w:r w:rsidRPr="008D4D6A">
              <w:rPr>
                <w:rFonts w:ascii="Arial Narrow" w:hAnsi="Arial Narrow" w:cs="Calibri"/>
                <w:b/>
                <w:bCs/>
                <w:sz w:val="20"/>
                <w:szCs w:val="20"/>
                <w:lang w:eastAsia="en-AU"/>
              </w:rPr>
              <w:t>$</w:t>
            </w:r>
            <w:r w:rsidR="002610F9" w:rsidRPr="00B36A58">
              <w:rPr>
                <w:rFonts w:ascii="Arial Narrow" w:hAnsi="Arial Narrow" w:cs="Calibri" w:hint="eastAsia"/>
                <w:b/>
                <w:bCs/>
                <w:color w:val="000000"/>
                <w:w w:val="15"/>
                <w:sz w:val="20"/>
                <w:szCs w:val="20"/>
                <w:shd w:val="solid" w:color="000000" w:fill="000000"/>
                <w:fitText w:val="50" w:id="-1217620476"/>
                <w:lang w:eastAsia="en-AU"/>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76"/>
                <w:lang w:eastAsia="en-AU"/>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76"/>
                <w:lang w:eastAsia="en-AU"/>
                <w14:textFill>
                  <w14:solidFill>
                    <w14:srgbClr w14:val="000000">
                      <w14:alpha w14:val="100000"/>
                    </w14:srgbClr>
                  </w14:solidFill>
                </w14:textFill>
              </w:rPr>
              <w:t xml:space="preserve">　</w:t>
            </w:r>
          </w:p>
        </w:tc>
        <w:tc>
          <w:tcPr>
            <w:tcW w:w="690" w:type="pct"/>
            <w:noWrap/>
            <w:hideMark/>
          </w:tcPr>
          <w:p w14:paraId="47F41CF8" w14:textId="6A2B60B3" w:rsidR="00CB1438" w:rsidRPr="00FA1F5D" w:rsidRDefault="00CB1438" w:rsidP="00CB1438">
            <w:pPr>
              <w:jc w:val="center"/>
              <w:rPr>
                <w:rFonts w:ascii="Arial Narrow" w:hAnsi="Arial Narrow" w:cs="Calibri"/>
                <w:sz w:val="20"/>
                <w:szCs w:val="20"/>
                <w:highlight w:val="yellow"/>
              </w:rPr>
            </w:pPr>
            <w:r w:rsidRPr="008D4D6A">
              <w:rPr>
                <w:rFonts w:ascii="Arial Narrow" w:hAnsi="Arial Narrow" w:cs="Calibri"/>
                <w:b/>
                <w:bCs/>
                <w:sz w:val="20"/>
                <w:szCs w:val="20"/>
                <w:lang w:eastAsia="en-AU"/>
              </w:rPr>
              <w:t>$</w:t>
            </w:r>
            <w:r w:rsidR="002610F9" w:rsidRPr="00B36A58">
              <w:rPr>
                <w:rFonts w:ascii="Arial Narrow" w:hAnsi="Arial Narrow" w:cs="Calibri" w:hint="eastAsia"/>
                <w:b/>
                <w:bCs/>
                <w:color w:val="000000"/>
                <w:w w:val="15"/>
                <w:sz w:val="20"/>
                <w:szCs w:val="20"/>
                <w:shd w:val="solid" w:color="000000" w:fill="000000"/>
                <w:fitText w:val="50" w:id="-1217620475"/>
                <w:lang w:eastAsia="en-AU"/>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75"/>
                <w:lang w:eastAsia="en-AU"/>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75"/>
                <w:lang w:eastAsia="en-AU"/>
                <w14:textFill>
                  <w14:solidFill>
                    <w14:srgbClr w14:val="000000">
                      <w14:alpha w14:val="100000"/>
                    </w14:srgbClr>
                  </w14:solidFill>
                </w14:textFill>
              </w:rPr>
              <w:t xml:space="preserve">　</w:t>
            </w:r>
          </w:p>
        </w:tc>
        <w:tc>
          <w:tcPr>
            <w:tcW w:w="689" w:type="pct"/>
            <w:noWrap/>
            <w:hideMark/>
          </w:tcPr>
          <w:p w14:paraId="7B083F5D" w14:textId="066F1468" w:rsidR="00CB1438" w:rsidRPr="00FA1F5D" w:rsidRDefault="00CB1438" w:rsidP="00CB1438">
            <w:pPr>
              <w:jc w:val="center"/>
              <w:rPr>
                <w:rFonts w:ascii="Arial Narrow" w:hAnsi="Arial Narrow" w:cs="Calibri"/>
                <w:sz w:val="20"/>
                <w:szCs w:val="20"/>
                <w:highlight w:val="yellow"/>
              </w:rPr>
            </w:pPr>
            <w:r w:rsidRPr="008D4D6A">
              <w:rPr>
                <w:rFonts w:ascii="Arial Narrow" w:hAnsi="Arial Narrow" w:cs="Calibri"/>
                <w:b/>
                <w:bCs/>
                <w:sz w:val="20"/>
                <w:szCs w:val="20"/>
                <w:lang w:eastAsia="en-AU"/>
              </w:rPr>
              <w:t>$</w:t>
            </w:r>
            <w:r w:rsidR="002610F9" w:rsidRPr="00B36A58">
              <w:rPr>
                <w:rFonts w:ascii="Arial Narrow" w:hAnsi="Arial Narrow" w:cs="Calibri" w:hint="eastAsia"/>
                <w:b/>
                <w:bCs/>
                <w:color w:val="000000"/>
                <w:w w:val="15"/>
                <w:sz w:val="20"/>
                <w:szCs w:val="20"/>
                <w:shd w:val="solid" w:color="000000" w:fill="000000"/>
                <w:fitText w:val="50" w:id="-1217620474"/>
                <w:lang w:eastAsia="en-AU"/>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74"/>
                <w:lang w:eastAsia="en-AU"/>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74"/>
                <w:lang w:eastAsia="en-AU"/>
                <w14:textFill>
                  <w14:solidFill>
                    <w14:srgbClr w14:val="000000">
                      <w14:alpha w14:val="100000"/>
                    </w14:srgbClr>
                  </w14:solidFill>
                </w14:textFill>
              </w:rPr>
              <w:t xml:space="preserve">　</w:t>
            </w:r>
          </w:p>
        </w:tc>
        <w:tc>
          <w:tcPr>
            <w:tcW w:w="690" w:type="pct"/>
            <w:noWrap/>
            <w:hideMark/>
          </w:tcPr>
          <w:p w14:paraId="0673DADC" w14:textId="421E406A" w:rsidR="00CB1438" w:rsidRPr="00FA1F5D" w:rsidRDefault="00CB1438" w:rsidP="00CB1438">
            <w:pPr>
              <w:jc w:val="center"/>
              <w:rPr>
                <w:rFonts w:ascii="Arial Narrow" w:hAnsi="Arial Narrow" w:cs="Calibri"/>
                <w:sz w:val="20"/>
                <w:szCs w:val="20"/>
                <w:highlight w:val="yellow"/>
              </w:rPr>
            </w:pPr>
            <w:r w:rsidRPr="008D4D6A">
              <w:rPr>
                <w:rFonts w:ascii="Arial Narrow" w:hAnsi="Arial Narrow" w:cs="Calibri"/>
                <w:b/>
                <w:bCs/>
                <w:sz w:val="20"/>
                <w:szCs w:val="20"/>
                <w:lang w:eastAsia="en-AU"/>
              </w:rPr>
              <w:t>$</w:t>
            </w:r>
            <w:r w:rsidR="002610F9" w:rsidRPr="00B36A58">
              <w:rPr>
                <w:rFonts w:ascii="Arial Narrow" w:hAnsi="Arial Narrow" w:cs="Calibri" w:hint="eastAsia"/>
                <w:b/>
                <w:bCs/>
                <w:color w:val="000000"/>
                <w:w w:val="15"/>
                <w:sz w:val="20"/>
                <w:szCs w:val="20"/>
                <w:shd w:val="solid" w:color="000000" w:fill="000000"/>
                <w:fitText w:val="50" w:id="-1217620473"/>
                <w:lang w:eastAsia="en-AU"/>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73"/>
                <w:lang w:eastAsia="en-AU"/>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73"/>
                <w:lang w:eastAsia="en-AU"/>
                <w14:textFill>
                  <w14:solidFill>
                    <w14:srgbClr w14:val="000000">
                      <w14:alpha w14:val="100000"/>
                    </w14:srgbClr>
                  </w14:solidFill>
                </w14:textFill>
              </w:rPr>
              <w:t xml:space="preserve">　</w:t>
            </w:r>
          </w:p>
        </w:tc>
      </w:tr>
      <w:tr w:rsidR="00246C59" w:rsidRPr="0049040C" w14:paraId="4A84D52F" w14:textId="77777777" w:rsidTr="00AA0C8E">
        <w:trPr>
          <w:trHeight w:val="688"/>
        </w:trPr>
        <w:tc>
          <w:tcPr>
            <w:tcW w:w="862" w:type="pct"/>
            <w:shd w:val="clear" w:color="auto" w:fill="auto"/>
            <w:vAlign w:val="center"/>
            <w:hideMark/>
          </w:tcPr>
          <w:p w14:paraId="002E6D0B" w14:textId="33C32603" w:rsidR="00A40969" w:rsidRPr="0049040C" w:rsidRDefault="00A40969" w:rsidP="00A40969">
            <w:pPr>
              <w:rPr>
                <w:rFonts w:ascii="Arial Narrow" w:hAnsi="Arial Narrow" w:cs="Calibri"/>
                <w:color w:val="000000"/>
                <w:sz w:val="20"/>
                <w:szCs w:val="20"/>
              </w:rPr>
            </w:pPr>
            <w:r w:rsidRPr="0049040C">
              <w:rPr>
                <w:rFonts w:ascii="Arial Narrow" w:hAnsi="Arial Narrow" w:cs="Calibri"/>
                <w:color w:val="000000"/>
                <w:sz w:val="20"/>
                <w:szCs w:val="20"/>
              </w:rPr>
              <w:t xml:space="preserve">Total costs for 2L treatment with </w:t>
            </w:r>
            <w:r>
              <w:rPr>
                <w:rFonts w:ascii="Arial Narrow" w:hAnsi="Arial Narrow" w:cs="Calibri"/>
                <w:color w:val="000000"/>
                <w:sz w:val="20"/>
                <w:szCs w:val="20"/>
              </w:rPr>
              <w:t>AXI</w:t>
            </w:r>
          </w:p>
        </w:tc>
        <w:tc>
          <w:tcPr>
            <w:tcW w:w="689" w:type="pct"/>
            <w:shd w:val="clear" w:color="auto" w:fill="auto"/>
            <w:noWrap/>
            <w:vAlign w:val="bottom"/>
            <w:hideMark/>
          </w:tcPr>
          <w:p w14:paraId="1019E7D6" w14:textId="17DB35DB" w:rsidR="00A40969" w:rsidRPr="00FA1F5D" w:rsidRDefault="00A40969" w:rsidP="00A40969">
            <w:pPr>
              <w:jc w:val="center"/>
              <w:rPr>
                <w:rFonts w:ascii="Arial Narrow" w:hAnsi="Arial Narrow" w:cs="Calibri"/>
                <w:sz w:val="20"/>
                <w:szCs w:val="20"/>
                <w:highlight w:val="yellow"/>
              </w:rPr>
            </w:pPr>
            <w:r w:rsidRPr="008D4D6A">
              <w:rPr>
                <w:rFonts w:ascii="Arial Narrow" w:hAnsi="Arial Narrow" w:cs="Calibri"/>
                <w:sz w:val="20"/>
                <w:szCs w:val="20"/>
              </w:rPr>
              <w:t>$</w:t>
            </w:r>
            <w:r w:rsidR="002610F9" w:rsidRPr="002610F9">
              <w:rPr>
                <w:rFonts w:ascii="Arial Narrow" w:hAnsi="Arial Narrow" w:cs="Calibri"/>
                <w:color w:val="000000"/>
                <w:sz w:val="20"/>
                <w:szCs w:val="20"/>
                <w:shd w:val="solid" w:color="000000" w:fill="000000"/>
                <w14:textFill>
                  <w14:solidFill>
                    <w14:srgbClr w14:val="000000">
                      <w14:alpha w14:val="100000"/>
                    </w14:srgbClr>
                  </w14:solidFill>
                </w14:textFill>
              </w:rPr>
              <w:t>|</w:t>
            </w:r>
          </w:p>
        </w:tc>
        <w:tc>
          <w:tcPr>
            <w:tcW w:w="690" w:type="pct"/>
            <w:shd w:val="clear" w:color="auto" w:fill="auto"/>
            <w:noWrap/>
            <w:vAlign w:val="bottom"/>
            <w:hideMark/>
          </w:tcPr>
          <w:p w14:paraId="4CDFAFFF" w14:textId="70DB1B11" w:rsidR="00A40969" w:rsidRPr="00FA1F5D" w:rsidRDefault="00A40969" w:rsidP="00A40969">
            <w:pPr>
              <w:jc w:val="center"/>
              <w:rPr>
                <w:rFonts w:ascii="Arial Narrow" w:hAnsi="Arial Narrow" w:cs="Calibri"/>
                <w:sz w:val="20"/>
                <w:szCs w:val="20"/>
                <w:highlight w:val="yellow"/>
              </w:rPr>
            </w:pPr>
            <w:r w:rsidRPr="008D4D6A">
              <w:rPr>
                <w:rFonts w:ascii="Arial Narrow" w:hAnsi="Arial Narrow" w:cs="Calibri"/>
                <w:sz w:val="20"/>
                <w:szCs w:val="20"/>
              </w:rPr>
              <w:t>$</w:t>
            </w:r>
            <w:r w:rsidR="002610F9" w:rsidRPr="002610F9">
              <w:rPr>
                <w:rFonts w:ascii="Arial Narrow" w:hAnsi="Arial Narrow" w:cs="Calibri"/>
                <w:color w:val="000000"/>
                <w:sz w:val="20"/>
                <w:szCs w:val="20"/>
                <w:shd w:val="solid" w:color="000000" w:fill="000000"/>
                <w14:textFill>
                  <w14:solidFill>
                    <w14:srgbClr w14:val="000000">
                      <w14:alpha w14:val="100000"/>
                    </w14:srgbClr>
                  </w14:solidFill>
                </w14:textFill>
              </w:rPr>
              <w:t>|</w:t>
            </w:r>
          </w:p>
        </w:tc>
        <w:tc>
          <w:tcPr>
            <w:tcW w:w="689" w:type="pct"/>
            <w:shd w:val="clear" w:color="auto" w:fill="auto"/>
            <w:noWrap/>
            <w:vAlign w:val="bottom"/>
            <w:hideMark/>
          </w:tcPr>
          <w:p w14:paraId="3C6F94C6" w14:textId="31CA7E88" w:rsidR="00A40969" w:rsidRPr="00FA1F5D" w:rsidRDefault="00A40969" w:rsidP="00A40969">
            <w:pPr>
              <w:jc w:val="center"/>
              <w:rPr>
                <w:rFonts w:ascii="Arial Narrow" w:hAnsi="Arial Narrow" w:cs="Calibri"/>
                <w:sz w:val="20"/>
                <w:szCs w:val="20"/>
                <w:highlight w:val="yellow"/>
              </w:rPr>
            </w:pPr>
            <w:r w:rsidRPr="008D4D6A">
              <w:rPr>
                <w:rFonts w:ascii="Arial Narrow" w:hAnsi="Arial Narrow" w:cs="Calibri"/>
                <w:sz w:val="20"/>
                <w:szCs w:val="20"/>
              </w:rPr>
              <w:t>$</w:t>
            </w:r>
            <w:r w:rsidR="002610F9" w:rsidRPr="002610F9">
              <w:rPr>
                <w:rFonts w:ascii="Arial Narrow" w:hAnsi="Arial Narrow" w:cs="Calibri"/>
                <w:color w:val="000000"/>
                <w:sz w:val="20"/>
                <w:szCs w:val="20"/>
                <w:shd w:val="solid" w:color="000000" w:fill="000000"/>
                <w14:textFill>
                  <w14:solidFill>
                    <w14:srgbClr w14:val="000000">
                      <w14:alpha w14:val="100000"/>
                    </w14:srgbClr>
                  </w14:solidFill>
                </w14:textFill>
              </w:rPr>
              <w:t>|</w:t>
            </w:r>
          </w:p>
        </w:tc>
        <w:tc>
          <w:tcPr>
            <w:tcW w:w="690" w:type="pct"/>
            <w:shd w:val="clear" w:color="auto" w:fill="auto"/>
            <w:noWrap/>
            <w:vAlign w:val="bottom"/>
            <w:hideMark/>
          </w:tcPr>
          <w:p w14:paraId="1FAB3265" w14:textId="7DF44D64" w:rsidR="00A40969" w:rsidRPr="00FA1F5D" w:rsidRDefault="00A40969" w:rsidP="00A40969">
            <w:pPr>
              <w:jc w:val="center"/>
              <w:rPr>
                <w:rFonts w:ascii="Arial Narrow" w:hAnsi="Arial Narrow" w:cs="Calibri"/>
                <w:sz w:val="20"/>
                <w:szCs w:val="20"/>
                <w:highlight w:val="yellow"/>
              </w:rPr>
            </w:pPr>
            <w:r w:rsidRPr="008D4D6A">
              <w:rPr>
                <w:rFonts w:ascii="Arial Narrow" w:hAnsi="Arial Narrow" w:cs="Calibri"/>
                <w:sz w:val="20"/>
                <w:szCs w:val="20"/>
              </w:rPr>
              <w:t>$</w:t>
            </w:r>
            <w:r w:rsidR="002610F9" w:rsidRPr="002610F9">
              <w:rPr>
                <w:rFonts w:ascii="Arial Narrow" w:hAnsi="Arial Narrow" w:cs="Calibri"/>
                <w:color w:val="000000"/>
                <w:sz w:val="20"/>
                <w:szCs w:val="20"/>
                <w:shd w:val="solid" w:color="000000" w:fill="000000"/>
                <w14:textFill>
                  <w14:solidFill>
                    <w14:srgbClr w14:val="000000">
                      <w14:alpha w14:val="100000"/>
                    </w14:srgbClr>
                  </w14:solidFill>
                </w14:textFill>
              </w:rPr>
              <w:t>|</w:t>
            </w:r>
          </w:p>
        </w:tc>
        <w:tc>
          <w:tcPr>
            <w:tcW w:w="689" w:type="pct"/>
            <w:shd w:val="clear" w:color="auto" w:fill="auto"/>
            <w:noWrap/>
            <w:vAlign w:val="bottom"/>
            <w:hideMark/>
          </w:tcPr>
          <w:p w14:paraId="05B90498" w14:textId="4B8AF342" w:rsidR="00A40969" w:rsidRPr="00FA1F5D" w:rsidRDefault="00A40969" w:rsidP="00A40969">
            <w:pPr>
              <w:jc w:val="center"/>
              <w:rPr>
                <w:rFonts w:ascii="Arial Narrow" w:hAnsi="Arial Narrow" w:cs="Calibri"/>
                <w:sz w:val="20"/>
                <w:szCs w:val="20"/>
                <w:highlight w:val="yellow"/>
              </w:rPr>
            </w:pPr>
            <w:r w:rsidRPr="008D4D6A">
              <w:rPr>
                <w:rFonts w:ascii="Arial Narrow" w:hAnsi="Arial Narrow" w:cs="Calibri"/>
                <w:sz w:val="20"/>
                <w:szCs w:val="20"/>
              </w:rPr>
              <w:t>$</w:t>
            </w:r>
            <w:r w:rsidR="002610F9" w:rsidRPr="002610F9">
              <w:rPr>
                <w:rFonts w:ascii="Arial Narrow" w:hAnsi="Arial Narrow" w:cs="Calibri"/>
                <w:color w:val="000000"/>
                <w:sz w:val="20"/>
                <w:szCs w:val="20"/>
                <w:shd w:val="solid" w:color="000000" w:fill="000000"/>
                <w14:textFill>
                  <w14:solidFill>
                    <w14:srgbClr w14:val="000000">
                      <w14:alpha w14:val="100000"/>
                    </w14:srgbClr>
                  </w14:solidFill>
                </w14:textFill>
              </w:rPr>
              <w:t>|</w:t>
            </w:r>
          </w:p>
        </w:tc>
        <w:tc>
          <w:tcPr>
            <w:tcW w:w="690" w:type="pct"/>
            <w:shd w:val="clear" w:color="auto" w:fill="auto"/>
            <w:noWrap/>
            <w:vAlign w:val="bottom"/>
            <w:hideMark/>
          </w:tcPr>
          <w:p w14:paraId="25F1DBAA" w14:textId="065CE8E1" w:rsidR="00A40969" w:rsidRPr="00FA1F5D" w:rsidRDefault="00A40969" w:rsidP="00A40969">
            <w:pPr>
              <w:jc w:val="center"/>
              <w:rPr>
                <w:rFonts w:ascii="Arial Narrow" w:hAnsi="Arial Narrow" w:cs="Calibri"/>
                <w:sz w:val="20"/>
                <w:szCs w:val="20"/>
                <w:highlight w:val="yellow"/>
              </w:rPr>
            </w:pPr>
            <w:r w:rsidRPr="008D4D6A">
              <w:rPr>
                <w:rFonts w:ascii="Arial Narrow" w:hAnsi="Arial Narrow" w:cs="Calibri"/>
                <w:sz w:val="20"/>
                <w:szCs w:val="20"/>
              </w:rPr>
              <w:t>$</w:t>
            </w:r>
            <w:r w:rsidR="002610F9" w:rsidRPr="002610F9">
              <w:rPr>
                <w:rFonts w:ascii="Arial Narrow" w:hAnsi="Arial Narrow" w:cs="Calibri"/>
                <w:color w:val="000000"/>
                <w:sz w:val="20"/>
                <w:szCs w:val="20"/>
                <w:shd w:val="solid" w:color="000000" w:fill="000000"/>
                <w14:textFill>
                  <w14:solidFill>
                    <w14:srgbClr w14:val="000000">
                      <w14:alpha w14:val="100000"/>
                    </w14:srgbClr>
                  </w14:solidFill>
                </w14:textFill>
              </w:rPr>
              <w:t>|</w:t>
            </w:r>
          </w:p>
        </w:tc>
      </w:tr>
      <w:tr w:rsidR="00246C59" w:rsidRPr="0049040C" w14:paraId="300AB0D7" w14:textId="77777777" w:rsidTr="00AA0C8E">
        <w:trPr>
          <w:trHeight w:val="688"/>
        </w:trPr>
        <w:tc>
          <w:tcPr>
            <w:tcW w:w="862" w:type="pct"/>
            <w:shd w:val="clear" w:color="auto" w:fill="auto"/>
            <w:vAlign w:val="center"/>
            <w:hideMark/>
          </w:tcPr>
          <w:p w14:paraId="64F35067" w14:textId="7C045F44" w:rsidR="00655F89" w:rsidRPr="0049040C" w:rsidRDefault="00655F89" w:rsidP="00655F89">
            <w:pPr>
              <w:rPr>
                <w:rFonts w:ascii="Arial Narrow" w:hAnsi="Arial Narrow" w:cs="Calibri"/>
                <w:color w:val="000000"/>
                <w:sz w:val="20"/>
                <w:szCs w:val="20"/>
              </w:rPr>
            </w:pPr>
            <w:r w:rsidRPr="0049040C">
              <w:rPr>
                <w:rFonts w:ascii="Arial Narrow" w:hAnsi="Arial Narrow" w:cs="Calibri"/>
                <w:color w:val="000000"/>
                <w:sz w:val="20"/>
                <w:szCs w:val="20"/>
              </w:rPr>
              <w:t xml:space="preserve">Post- progression costs after 2L </w:t>
            </w:r>
            <w:r>
              <w:rPr>
                <w:rFonts w:ascii="Arial Narrow" w:hAnsi="Arial Narrow" w:cs="Calibri"/>
                <w:color w:val="000000"/>
                <w:sz w:val="20"/>
                <w:szCs w:val="20"/>
              </w:rPr>
              <w:t>AXI</w:t>
            </w:r>
          </w:p>
        </w:tc>
        <w:tc>
          <w:tcPr>
            <w:tcW w:w="689" w:type="pct"/>
            <w:shd w:val="clear" w:color="auto" w:fill="auto"/>
            <w:noWrap/>
            <w:vAlign w:val="center"/>
            <w:hideMark/>
          </w:tcPr>
          <w:p w14:paraId="65606192" w14:textId="5BF620EE" w:rsidR="00655F89" w:rsidRPr="00FA1F5D" w:rsidRDefault="00655F89" w:rsidP="00655F89">
            <w:pPr>
              <w:jc w:val="center"/>
              <w:rPr>
                <w:rFonts w:ascii="Arial Narrow" w:hAnsi="Arial Narrow" w:cs="Calibri"/>
                <w:sz w:val="20"/>
                <w:szCs w:val="20"/>
                <w:highlight w:val="yellow"/>
              </w:rPr>
            </w:pPr>
            <w:r w:rsidRPr="008D4D6A">
              <w:rPr>
                <w:rFonts w:ascii="Arial Narrow" w:hAnsi="Arial Narrow" w:cs="Calibri"/>
                <w:b/>
                <w:bCs/>
                <w:sz w:val="20"/>
                <w:szCs w:val="20"/>
              </w:rPr>
              <w:t>$</w:t>
            </w:r>
            <w:r w:rsidR="002610F9" w:rsidRPr="00B36A58">
              <w:rPr>
                <w:rFonts w:ascii="Arial Narrow" w:hAnsi="Arial Narrow" w:cs="Calibri" w:hint="eastAsia"/>
                <w:b/>
                <w:bCs/>
                <w:color w:val="000000"/>
                <w:w w:val="15"/>
                <w:sz w:val="20"/>
                <w:szCs w:val="20"/>
                <w:shd w:val="solid" w:color="000000" w:fill="000000"/>
                <w:fitText w:val="50" w:id="-1217620472"/>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72"/>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72"/>
                <w14:textFill>
                  <w14:solidFill>
                    <w14:srgbClr w14:val="000000">
                      <w14:alpha w14:val="100000"/>
                    </w14:srgbClr>
                  </w14:solidFill>
                </w14:textFill>
              </w:rPr>
              <w:t xml:space="preserve">　</w:t>
            </w:r>
          </w:p>
        </w:tc>
        <w:tc>
          <w:tcPr>
            <w:tcW w:w="690" w:type="pct"/>
            <w:shd w:val="clear" w:color="auto" w:fill="auto"/>
            <w:noWrap/>
            <w:vAlign w:val="center"/>
            <w:hideMark/>
          </w:tcPr>
          <w:p w14:paraId="3D8C1C4B" w14:textId="7B38BB58" w:rsidR="00655F89" w:rsidRPr="00FA1F5D" w:rsidRDefault="00655F89" w:rsidP="00655F89">
            <w:pPr>
              <w:jc w:val="center"/>
              <w:rPr>
                <w:rFonts w:ascii="Arial Narrow" w:hAnsi="Arial Narrow" w:cs="Calibri"/>
                <w:sz w:val="20"/>
                <w:szCs w:val="20"/>
                <w:highlight w:val="yellow"/>
              </w:rPr>
            </w:pPr>
            <w:r w:rsidRPr="008D4D6A">
              <w:rPr>
                <w:rFonts w:ascii="Arial Narrow" w:hAnsi="Arial Narrow" w:cs="Calibri"/>
                <w:b/>
                <w:bCs/>
                <w:sz w:val="20"/>
                <w:szCs w:val="20"/>
              </w:rPr>
              <w:t>$</w:t>
            </w:r>
            <w:r w:rsidR="002610F9" w:rsidRPr="00B36A58">
              <w:rPr>
                <w:rFonts w:ascii="Arial Narrow" w:hAnsi="Arial Narrow" w:cs="Calibri" w:hint="eastAsia"/>
                <w:b/>
                <w:bCs/>
                <w:color w:val="000000"/>
                <w:w w:val="15"/>
                <w:sz w:val="20"/>
                <w:szCs w:val="20"/>
                <w:shd w:val="solid" w:color="000000" w:fill="000000"/>
                <w:fitText w:val="50" w:id="-1217620471"/>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71"/>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71"/>
                <w14:textFill>
                  <w14:solidFill>
                    <w14:srgbClr w14:val="000000">
                      <w14:alpha w14:val="100000"/>
                    </w14:srgbClr>
                  </w14:solidFill>
                </w14:textFill>
              </w:rPr>
              <w:t xml:space="preserve">　</w:t>
            </w:r>
          </w:p>
        </w:tc>
        <w:tc>
          <w:tcPr>
            <w:tcW w:w="689" w:type="pct"/>
            <w:shd w:val="clear" w:color="auto" w:fill="auto"/>
            <w:noWrap/>
            <w:vAlign w:val="center"/>
            <w:hideMark/>
          </w:tcPr>
          <w:p w14:paraId="4326458F" w14:textId="20F3F225" w:rsidR="00655F89" w:rsidRPr="00FA1F5D" w:rsidRDefault="00655F89" w:rsidP="00655F89">
            <w:pPr>
              <w:jc w:val="center"/>
              <w:rPr>
                <w:rFonts w:ascii="Arial Narrow" w:hAnsi="Arial Narrow" w:cs="Calibri"/>
                <w:sz w:val="20"/>
                <w:szCs w:val="20"/>
                <w:highlight w:val="yellow"/>
              </w:rPr>
            </w:pPr>
            <w:r w:rsidRPr="008D4D6A">
              <w:rPr>
                <w:rFonts w:ascii="Arial Narrow" w:hAnsi="Arial Narrow" w:cs="Calibri"/>
                <w:b/>
                <w:bCs/>
                <w:sz w:val="20"/>
                <w:szCs w:val="20"/>
              </w:rPr>
              <w:t>$</w:t>
            </w:r>
            <w:r w:rsidR="002610F9" w:rsidRPr="00B36A58">
              <w:rPr>
                <w:rFonts w:ascii="Arial Narrow" w:hAnsi="Arial Narrow" w:cs="Calibri" w:hint="eastAsia"/>
                <w:b/>
                <w:bCs/>
                <w:color w:val="000000"/>
                <w:w w:val="15"/>
                <w:sz w:val="20"/>
                <w:szCs w:val="20"/>
                <w:shd w:val="solid" w:color="000000" w:fill="000000"/>
                <w:fitText w:val="50" w:id="-1217620470"/>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70"/>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70"/>
                <w14:textFill>
                  <w14:solidFill>
                    <w14:srgbClr w14:val="000000">
                      <w14:alpha w14:val="100000"/>
                    </w14:srgbClr>
                  </w14:solidFill>
                </w14:textFill>
              </w:rPr>
              <w:t xml:space="preserve">　</w:t>
            </w:r>
          </w:p>
        </w:tc>
        <w:tc>
          <w:tcPr>
            <w:tcW w:w="690" w:type="pct"/>
            <w:shd w:val="clear" w:color="auto" w:fill="auto"/>
            <w:noWrap/>
            <w:vAlign w:val="center"/>
            <w:hideMark/>
          </w:tcPr>
          <w:p w14:paraId="2E475066" w14:textId="4EEFC338" w:rsidR="00655F89" w:rsidRPr="00FA1F5D" w:rsidRDefault="00655F89" w:rsidP="00655F89">
            <w:pPr>
              <w:jc w:val="center"/>
              <w:rPr>
                <w:rFonts w:ascii="Arial Narrow" w:hAnsi="Arial Narrow" w:cs="Calibri"/>
                <w:sz w:val="20"/>
                <w:szCs w:val="20"/>
                <w:highlight w:val="yellow"/>
              </w:rPr>
            </w:pPr>
            <w:r w:rsidRPr="008D4D6A">
              <w:rPr>
                <w:rFonts w:ascii="Arial Narrow" w:hAnsi="Arial Narrow" w:cs="Calibri"/>
                <w:b/>
                <w:bCs/>
                <w:sz w:val="20"/>
                <w:szCs w:val="20"/>
              </w:rPr>
              <w:t>$</w:t>
            </w:r>
            <w:r w:rsidR="002610F9" w:rsidRPr="00B36A58">
              <w:rPr>
                <w:rFonts w:ascii="Arial Narrow" w:hAnsi="Arial Narrow" w:cs="Calibri" w:hint="eastAsia"/>
                <w:b/>
                <w:bCs/>
                <w:color w:val="000000"/>
                <w:w w:val="15"/>
                <w:sz w:val="20"/>
                <w:szCs w:val="20"/>
                <w:shd w:val="solid" w:color="000000" w:fill="000000"/>
                <w:fitText w:val="50" w:id="-1217620469"/>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69"/>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69"/>
                <w14:textFill>
                  <w14:solidFill>
                    <w14:srgbClr w14:val="000000">
                      <w14:alpha w14:val="100000"/>
                    </w14:srgbClr>
                  </w14:solidFill>
                </w14:textFill>
              </w:rPr>
              <w:t xml:space="preserve">　</w:t>
            </w:r>
          </w:p>
        </w:tc>
        <w:tc>
          <w:tcPr>
            <w:tcW w:w="689" w:type="pct"/>
            <w:shd w:val="clear" w:color="auto" w:fill="auto"/>
            <w:noWrap/>
            <w:vAlign w:val="center"/>
            <w:hideMark/>
          </w:tcPr>
          <w:p w14:paraId="00E41D8B" w14:textId="1C176251" w:rsidR="00655F89" w:rsidRPr="00FA1F5D" w:rsidRDefault="00655F89" w:rsidP="00655F89">
            <w:pPr>
              <w:jc w:val="center"/>
              <w:rPr>
                <w:rFonts w:ascii="Arial Narrow" w:hAnsi="Arial Narrow" w:cs="Calibri"/>
                <w:sz w:val="20"/>
                <w:szCs w:val="20"/>
                <w:highlight w:val="yellow"/>
              </w:rPr>
            </w:pPr>
            <w:r w:rsidRPr="008D4D6A">
              <w:rPr>
                <w:rFonts w:ascii="Arial Narrow" w:hAnsi="Arial Narrow" w:cs="Calibri"/>
                <w:b/>
                <w:bCs/>
                <w:sz w:val="20"/>
                <w:szCs w:val="20"/>
              </w:rPr>
              <w:t>$</w:t>
            </w:r>
            <w:r w:rsidR="002610F9" w:rsidRPr="00B36A58">
              <w:rPr>
                <w:rFonts w:ascii="Arial Narrow" w:hAnsi="Arial Narrow" w:cs="Calibri" w:hint="eastAsia"/>
                <w:b/>
                <w:bCs/>
                <w:color w:val="000000"/>
                <w:w w:val="15"/>
                <w:sz w:val="20"/>
                <w:szCs w:val="20"/>
                <w:shd w:val="solid" w:color="000000" w:fill="000000"/>
                <w:fitText w:val="50" w:id="-1217620468"/>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68"/>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68"/>
                <w14:textFill>
                  <w14:solidFill>
                    <w14:srgbClr w14:val="000000">
                      <w14:alpha w14:val="100000"/>
                    </w14:srgbClr>
                  </w14:solidFill>
                </w14:textFill>
              </w:rPr>
              <w:t xml:space="preserve">　</w:t>
            </w:r>
          </w:p>
        </w:tc>
        <w:tc>
          <w:tcPr>
            <w:tcW w:w="690" w:type="pct"/>
            <w:shd w:val="clear" w:color="auto" w:fill="auto"/>
            <w:noWrap/>
            <w:vAlign w:val="center"/>
            <w:hideMark/>
          </w:tcPr>
          <w:p w14:paraId="4A4E11B9" w14:textId="7B8E7784" w:rsidR="00655F89" w:rsidRPr="00FA1F5D" w:rsidRDefault="00655F89" w:rsidP="00655F89">
            <w:pPr>
              <w:jc w:val="center"/>
              <w:rPr>
                <w:rFonts w:ascii="Arial Narrow" w:hAnsi="Arial Narrow" w:cs="Calibri"/>
                <w:sz w:val="20"/>
                <w:szCs w:val="20"/>
                <w:highlight w:val="yellow"/>
              </w:rPr>
            </w:pPr>
            <w:r w:rsidRPr="008D4D6A">
              <w:rPr>
                <w:rFonts w:ascii="Arial Narrow" w:hAnsi="Arial Narrow" w:cs="Calibri"/>
                <w:b/>
                <w:bCs/>
                <w:sz w:val="20"/>
                <w:szCs w:val="20"/>
              </w:rPr>
              <w:t>$</w:t>
            </w:r>
            <w:r w:rsidR="002610F9" w:rsidRPr="00B36A58">
              <w:rPr>
                <w:rFonts w:ascii="Arial Narrow" w:hAnsi="Arial Narrow" w:cs="Calibri" w:hint="eastAsia"/>
                <w:b/>
                <w:bCs/>
                <w:color w:val="000000"/>
                <w:w w:val="15"/>
                <w:sz w:val="20"/>
                <w:szCs w:val="20"/>
                <w:shd w:val="solid" w:color="000000" w:fill="000000"/>
                <w:fitText w:val="50" w:id="-1217620467"/>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67"/>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67"/>
                <w14:textFill>
                  <w14:solidFill>
                    <w14:srgbClr w14:val="000000">
                      <w14:alpha w14:val="100000"/>
                    </w14:srgbClr>
                  </w14:solidFill>
                </w14:textFill>
              </w:rPr>
              <w:t xml:space="preserve">　</w:t>
            </w:r>
          </w:p>
        </w:tc>
      </w:tr>
      <w:tr w:rsidR="00246C59" w:rsidRPr="0049040C" w14:paraId="79B7CC3E" w14:textId="77777777" w:rsidTr="00AA0C8E">
        <w:trPr>
          <w:trHeight w:val="689"/>
        </w:trPr>
        <w:tc>
          <w:tcPr>
            <w:tcW w:w="862" w:type="pct"/>
            <w:shd w:val="clear" w:color="auto" w:fill="auto"/>
            <w:vAlign w:val="center"/>
            <w:hideMark/>
          </w:tcPr>
          <w:p w14:paraId="252EE3C0" w14:textId="7253E216" w:rsidR="00655F89" w:rsidRPr="00B937FD" w:rsidRDefault="00655F89" w:rsidP="00655F89">
            <w:pPr>
              <w:rPr>
                <w:rFonts w:ascii="Arial Narrow" w:hAnsi="Arial Narrow" w:cs="Calibri"/>
                <w:color w:val="000000"/>
                <w:sz w:val="20"/>
                <w:szCs w:val="20"/>
              </w:rPr>
            </w:pPr>
            <w:r w:rsidRPr="00B937FD">
              <w:rPr>
                <w:rFonts w:ascii="Arial Narrow" w:hAnsi="Arial Narrow" w:cs="Calibri"/>
                <w:color w:val="000000"/>
                <w:sz w:val="20"/>
                <w:szCs w:val="20"/>
              </w:rPr>
              <w:t xml:space="preserve">Total costs associated with funding of </w:t>
            </w:r>
            <w:r>
              <w:rPr>
                <w:rFonts w:ascii="Arial Narrow" w:hAnsi="Arial Narrow" w:cs="Calibri"/>
                <w:color w:val="000000"/>
                <w:sz w:val="20"/>
                <w:szCs w:val="20"/>
              </w:rPr>
              <w:t>AXI</w:t>
            </w:r>
          </w:p>
        </w:tc>
        <w:tc>
          <w:tcPr>
            <w:tcW w:w="689" w:type="pct"/>
            <w:shd w:val="clear" w:color="auto" w:fill="auto"/>
            <w:noWrap/>
            <w:vAlign w:val="center"/>
            <w:hideMark/>
          </w:tcPr>
          <w:p w14:paraId="12E406B5" w14:textId="20F27712" w:rsidR="00655F89" w:rsidRPr="00FA1F5D" w:rsidRDefault="00655F89" w:rsidP="00655F89">
            <w:pPr>
              <w:jc w:val="center"/>
              <w:rPr>
                <w:rFonts w:ascii="Arial Narrow" w:hAnsi="Arial Narrow" w:cs="Calibri"/>
                <w:sz w:val="20"/>
                <w:szCs w:val="20"/>
                <w:highlight w:val="yellow"/>
              </w:rPr>
            </w:pPr>
            <w:r w:rsidRPr="008D4D6A">
              <w:rPr>
                <w:rFonts w:ascii="Arial Narrow" w:hAnsi="Arial Narrow" w:cs="Calibri"/>
                <w:b/>
                <w:bCs/>
                <w:sz w:val="20"/>
                <w:szCs w:val="20"/>
              </w:rPr>
              <w:t>$</w:t>
            </w:r>
            <w:r w:rsidR="002610F9" w:rsidRPr="00B36A58">
              <w:rPr>
                <w:rFonts w:ascii="Arial Narrow" w:hAnsi="Arial Narrow" w:cs="Calibri" w:hint="eastAsia"/>
                <w:b/>
                <w:bCs/>
                <w:color w:val="000000"/>
                <w:w w:val="15"/>
                <w:sz w:val="20"/>
                <w:szCs w:val="20"/>
                <w:shd w:val="solid" w:color="000000" w:fill="000000"/>
                <w:fitText w:val="50" w:id="-1217620466"/>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66"/>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66"/>
                <w14:textFill>
                  <w14:solidFill>
                    <w14:srgbClr w14:val="000000">
                      <w14:alpha w14:val="100000"/>
                    </w14:srgbClr>
                  </w14:solidFill>
                </w14:textFill>
              </w:rPr>
              <w:t xml:space="preserve">　</w:t>
            </w:r>
          </w:p>
        </w:tc>
        <w:tc>
          <w:tcPr>
            <w:tcW w:w="690" w:type="pct"/>
            <w:shd w:val="clear" w:color="auto" w:fill="auto"/>
            <w:noWrap/>
            <w:vAlign w:val="center"/>
            <w:hideMark/>
          </w:tcPr>
          <w:p w14:paraId="50E20BF2" w14:textId="265C84D5" w:rsidR="00655F89" w:rsidRPr="00FA1F5D" w:rsidRDefault="00655F89" w:rsidP="00655F89">
            <w:pPr>
              <w:jc w:val="center"/>
              <w:rPr>
                <w:rFonts w:ascii="Arial Narrow" w:hAnsi="Arial Narrow" w:cs="Calibri"/>
                <w:sz w:val="20"/>
                <w:szCs w:val="20"/>
                <w:highlight w:val="yellow"/>
              </w:rPr>
            </w:pPr>
            <w:r w:rsidRPr="008D4D6A">
              <w:rPr>
                <w:rFonts w:ascii="Arial Narrow" w:hAnsi="Arial Narrow" w:cs="Calibri"/>
                <w:b/>
                <w:bCs/>
                <w:sz w:val="20"/>
                <w:szCs w:val="20"/>
              </w:rPr>
              <w:t>$</w:t>
            </w:r>
            <w:r w:rsidR="002610F9" w:rsidRPr="00B36A58">
              <w:rPr>
                <w:rFonts w:ascii="Arial Narrow" w:hAnsi="Arial Narrow" w:cs="Calibri" w:hint="eastAsia"/>
                <w:b/>
                <w:bCs/>
                <w:color w:val="000000"/>
                <w:w w:val="15"/>
                <w:sz w:val="20"/>
                <w:szCs w:val="20"/>
                <w:shd w:val="solid" w:color="000000" w:fill="000000"/>
                <w:fitText w:val="50" w:id="-1217620465"/>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65"/>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65"/>
                <w14:textFill>
                  <w14:solidFill>
                    <w14:srgbClr w14:val="000000">
                      <w14:alpha w14:val="100000"/>
                    </w14:srgbClr>
                  </w14:solidFill>
                </w14:textFill>
              </w:rPr>
              <w:t xml:space="preserve">　</w:t>
            </w:r>
          </w:p>
        </w:tc>
        <w:tc>
          <w:tcPr>
            <w:tcW w:w="689" w:type="pct"/>
            <w:shd w:val="clear" w:color="auto" w:fill="auto"/>
            <w:noWrap/>
            <w:vAlign w:val="center"/>
            <w:hideMark/>
          </w:tcPr>
          <w:p w14:paraId="0AF1139E" w14:textId="280C40EA" w:rsidR="00655F89" w:rsidRPr="00FA1F5D" w:rsidRDefault="00655F89" w:rsidP="00655F89">
            <w:pPr>
              <w:jc w:val="center"/>
              <w:rPr>
                <w:rFonts w:ascii="Arial Narrow" w:hAnsi="Arial Narrow" w:cs="Calibri"/>
                <w:sz w:val="20"/>
                <w:szCs w:val="20"/>
                <w:highlight w:val="yellow"/>
              </w:rPr>
            </w:pPr>
            <w:r w:rsidRPr="007E412C">
              <w:rPr>
                <w:rFonts w:ascii="Arial Narrow" w:hAnsi="Arial Narrow" w:cs="Calibri"/>
                <w:b/>
                <w:bCs/>
                <w:sz w:val="20"/>
                <w:szCs w:val="20"/>
              </w:rPr>
              <w:t>$</w:t>
            </w:r>
            <w:r w:rsidR="002610F9" w:rsidRPr="00B36A58">
              <w:rPr>
                <w:rFonts w:ascii="Arial Narrow" w:hAnsi="Arial Narrow" w:cs="Calibri" w:hint="eastAsia"/>
                <w:b/>
                <w:bCs/>
                <w:color w:val="000000"/>
                <w:w w:val="15"/>
                <w:sz w:val="20"/>
                <w:szCs w:val="20"/>
                <w:shd w:val="solid" w:color="000000" w:fill="000000"/>
                <w:fitText w:val="50" w:id="-1217620464"/>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64"/>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64"/>
                <w14:textFill>
                  <w14:solidFill>
                    <w14:srgbClr w14:val="000000">
                      <w14:alpha w14:val="100000"/>
                    </w14:srgbClr>
                  </w14:solidFill>
                </w14:textFill>
              </w:rPr>
              <w:t xml:space="preserve">　</w:t>
            </w:r>
          </w:p>
        </w:tc>
        <w:tc>
          <w:tcPr>
            <w:tcW w:w="690" w:type="pct"/>
            <w:shd w:val="clear" w:color="auto" w:fill="auto"/>
            <w:noWrap/>
            <w:vAlign w:val="center"/>
            <w:hideMark/>
          </w:tcPr>
          <w:p w14:paraId="5D8A3990" w14:textId="53E217E7" w:rsidR="00655F89" w:rsidRPr="00FA1F5D" w:rsidRDefault="00655F89" w:rsidP="00655F89">
            <w:pPr>
              <w:jc w:val="center"/>
              <w:rPr>
                <w:rFonts w:ascii="Arial Narrow" w:hAnsi="Arial Narrow" w:cs="Calibri"/>
                <w:sz w:val="20"/>
                <w:szCs w:val="20"/>
                <w:highlight w:val="yellow"/>
              </w:rPr>
            </w:pPr>
            <w:r w:rsidRPr="007E412C">
              <w:rPr>
                <w:rFonts w:ascii="Arial Narrow" w:hAnsi="Arial Narrow" w:cs="Calibri"/>
                <w:b/>
                <w:bCs/>
                <w:sz w:val="20"/>
                <w:szCs w:val="20"/>
              </w:rPr>
              <w:t>$</w:t>
            </w:r>
            <w:r w:rsidR="002610F9" w:rsidRPr="00B36A58">
              <w:rPr>
                <w:rFonts w:ascii="Arial Narrow" w:hAnsi="Arial Narrow" w:cs="Calibri" w:hint="eastAsia"/>
                <w:b/>
                <w:bCs/>
                <w:color w:val="000000"/>
                <w:w w:val="15"/>
                <w:sz w:val="20"/>
                <w:szCs w:val="20"/>
                <w:shd w:val="solid" w:color="000000" w:fill="000000"/>
                <w:fitText w:val="50" w:id="-1217620480"/>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80"/>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80"/>
                <w14:textFill>
                  <w14:solidFill>
                    <w14:srgbClr w14:val="000000">
                      <w14:alpha w14:val="100000"/>
                    </w14:srgbClr>
                  </w14:solidFill>
                </w14:textFill>
              </w:rPr>
              <w:t xml:space="preserve">　</w:t>
            </w:r>
          </w:p>
        </w:tc>
        <w:tc>
          <w:tcPr>
            <w:tcW w:w="689" w:type="pct"/>
            <w:shd w:val="clear" w:color="auto" w:fill="auto"/>
            <w:noWrap/>
            <w:vAlign w:val="center"/>
            <w:hideMark/>
          </w:tcPr>
          <w:p w14:paraId="1ACF26C0" w14:textId="657CD4CD" w:rsidR="00655F89" w:rsidRPr="00FA1F5D" w:rsidRDefault="00655F89" w:rsidP="00655F89">
            <w:pPr>
              <w:jc w:val="center"/>
              <w:rPr>
                <w:rFonts w:ascii="Arial Narrow" w:hAnsi="Arial Narrow" w:cs="Calibri"/>
                <w:sz w:val="20"/>
                <w:szCs w:val="20"/>
                <w:highlight w:val="yellow"/>
              </w:rPr>
            </w:pPr>
            <w:r w:rsidRPr="007E412C">
              <w:rPr>
                <w:rFonts w:ascii="Arial Narrow" w:hAnsi="Arial Narrow" w:cs="Calibri"/>
                <w:b/>
                <w:bCs/>
                <w:sz w:val="20"/>
                <w:szCs w:val="20"/>
              </w:rPr>
              <w:t>$</w:t>
            </w:r>
            <w:r w:rsidR="002610F9" w:rsidRPr="00B36A58">
              <w:rPr>
                <w:rFonts w:ascii="Arial Narrow" w:hAnsi="Arial Narrow" w:cs="Calibri" w:hint="eastAsia"/>
                <w:b/>
                <w:bCs/>
                <w:color w:val="000000"/>
                <w:w w:val="15"/>
                <w:sz w:val="20"/>
                <w:szCs w:val="20"/>
                <w:shd w:val="solid" w:color="000000" w:fill="000000"/>
                <w:fitText w:val="50" w:id="-1217620479"/>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79"/>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79"/>
                <w14:textFill>
                  <w14:solidFill>
                    <w14:srgbClr w14:val="000000">
                      <w14:alpha w14:val="100000"/>
                    </w14:srgbClr>
                  </w14:solidFill>
                </w14:textFill>
              </w:rPr>
              <w:t xml:space="preserve">　</w:t>
            </w:r>
          </w:p>
        </w:tc>
        <w:tc>
          <w:tcPr>
            <w:tcW w:w="690" w:type="pct"/>
            <w:shd w:val="clear" w:color="auto" w:fill="auto"/>
            <w:noWrap/>
            <w:vAlign w:val="center"/>
            <w:hideMark/>
          </w:tcPr>
          <w:p w14:paraId="180E5AA3" w14:textId="46BD4656" w:rsidR="00655F89" w:rsidRPr="00FA1F5D" w:rsidRDefault="00655F89" w:rsidP="00655F89">
            <w:pPr>
              <w:jc w:val="center"/>
              <w:rPr>
                <w:rFonts w:ascii="Arial Narrow" w:hAnsi="Arial Narrow" w:cs="Calibri"/>
                <w:sz w:val="20"/>
                <w:szCs w:val="20"/>
                <w:highlight w:val="yellow"/>
              </w:rPr>
            </w:pPr>
            <w:r w:rsidRPr="007E412C">
              <w:rPr>
                <w:rFonts w:ascii="Arial Narrow" w:hAnsi="Arial Narrow" w:cs="Calibri"/>
                <w:b/>
                <w:bCs/>
                <w:sz w:val="20"/>
                <w:szCs w:val="20"/>
              </w:rPr>
              <w:t>$</w:t>
            </w:r>
            <w:r w:rsidR="002610F9" w:rsidRPr="00B36A58">
              <w:rPr>
                <w:rFonts w:ascii="Arial Narrow" w:hAnsi="Arial Narrow" w:cs="Calibri" w:hint="eastAsia"/>
                <w:b/>
                <w:bCs/>
                <w:color w:val="000000"/>
                <w:w w:val="15"/>
                <w:sz w:val="20"/>
                <w:szCs w:val="20"/>
                <w:shd w:val="solid" w:color="000000" w:fill="000000"/>
                <w:fitText w:val="50" w:id="-1217620478"/>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50" w:id="-1217620478"/>
                <w14:textFill>
                  <w14:solidFill>
                    <w14:srgbClr w14:val="000000">
                      <w14:alpha w14:val="100000"/>
                    </w14:srgbClr>
                  </w14:solidFill>
                </w14:textFill>
              </w:rPr>
              <w:t>|</w:t>
            </w:r>
            <w:r w:rsidR="002610F9" w:rsidRPr="00B36A58">
              <w:rPr>
                <w:rFonts w:ascii="Arial Narrow" w:hAnsi="Arial Narrow" w:cs="Calibri" w:hint="eastAsia"/>
                <w:b/>
                <w:bCs/>
                <w:color w:val="000000"/>
                <w:spacing w:val="-16"/>
                <w:w w:val="15"/>
                <w:sz w:val="20"/>
                <w:szCs w:val="20"/>
                <w:shd w:val="solid" w:color="000000" w:fill="000000"/>
                <w:fitText w:val="50" w:id="-1217620478"/>
                <w14:textFill>
                  <w14:solidFill>
                    <w14:srgbClr w14:val="000000">
                      <w14:alpha w14:val="100000"/>
                    </w14:srgbClr>
                  </w14:solidFill>
                </w14:textFill>
              </w:rPr>
              <w:t xml:space="preserve">　</w:t>
            </w:r>
          </w:p>
        </w:tc>
      </w:tr>
    </w:tbl>
    <w:p w14:paraId="314B5062" w14:textId="6610E422" w:rsidR="00215AFB" w:rsidRDefault="002420BF" w:rsidP="001E2771">
      <w:pPr>
        <w:pStyle w:val="a-TableFOOTER"/>
        <w:spacing w:after="0"/>
      </w:pPr>
      <w:r>
        <w:t xml:space="preserve">Abbreviations: </w:t>
      </w:r>
      <w:r w:rsidR="002D0769">
        <w:t>1L=</w:t>
      </w:r>
      <w:proofErr w:type="gramStart"/>
      <w:r w:rsidR="002D0769">
        <w:t>first</w:t>
      </w:r>
      <w:r w:rsidR="00C1259D">
        <w:t>-</w:t>
      </w:r>
      <w:r w:rsidR="002D0769">
        <w:t>line</w:t>
      </w:r>
      <w:proofErr w:type="gramEnd"/>
      <w:r w:rsidR="002D0769">
        <w:t xml:space="preserve">; </w:t>
      </w:r>
      <w:r w:rsidR="00811951" w:rsidRPr="00811951">
        <w:t>2L=second</w:t>
      </w:r>
      <w:r w:rsidR="00C1259D">
        <w:t>-</w:t>
      </w:r>
      <w:r w:rsidR="00811951" w:rsidRPr="00811951">
        <w:t>line</w:t>
      </w:r>
      <w:r w:rsidR="002D0769">
        <w:t>; SoC=standard of care</w:t>
      </w:r>
    </w:p>
    <w:p w14:paraId="57081A83" w14:textId="2DE4BCA5" w:rsidR="001E2771" w:rsidRDefault="0058671B" w:rsidP="00CA366D">
      <w:pPr>
        <w:pStyle w:val="a-TableFOOTER"/>
        <w:spacing w:after="0"/>
      </w:pPr>
      <w:r>
        <w:t xml:space="preserve">Note the estimated Australian </w:t>
      </w:r>
      <w:r w:rsidR="000F0AEA">
        <w:t xml:space="preserve">population aged </w:t>
      </w:r>
      <w:r w:rsidR="000F0AEA" w:rsidRPr="000F0AEA">
        <w:t>≥ 16 years</w:t>
      </w:r>
      <w:r w:rsidR="000F0AEA">
        <w:t xml:space="preserve"> during evaluation was corrected </w:t>
      </w:r>
      <w:r w:rsidR="00867B99">
        <w:t>during evaluation</w:t>
      </w:r>
      <w:r w:rsidR="00DC34CD">
        <w:t xml:space="preserve"> using ABS </w:t>
      </w:r>
      <w:r w:rsidR="007258CE">
        <w:t xml:space="preserve">input </w:t>
      </w:r>
      <w:r w:rsidR="00DC34CD">
        <w:t xml:space="preserve">data </w:t>
      </w:r>
      <w:r w:rsidR="00867B99">
        <w:t>from &gt;18 y</w:t>
      </w:r>
      <w:r w:rsidR="007258CE">
        <w:t xml:space="preserve">, </w:t>
      </w:r>
      <w:r w:rsidR="00867B99">
        <w:t>as the trial. This resulted in</w:t>
      </w:r>
      <w:r w:rsidR="003C366A">
        <w:t xml:space="preserve"> Australian population data </w:t>
      </w:r>
      <w:proofErr w:type="gramStart"/>
      <w:r w:rsidR="003C366A">
        <w:t xml:space="preserve">of </w:t>
      </w:r>
      <w:r w:rsidR="00867B99">
        <w:t xml:space="preserve"> </w:t>
      </w:r>
      <w:r w:rsidR="001D0039">
        <w:t>21,139,340</w:t>
      </w:r>
      <w:proofErr w:type="gramEnd"/>
      <w:r w:rsidR="00057B78">
        <w:t xml:space="preserve"> in Year 1; 21,474,344 in Year 2; 21,809,267 in Year 3</w:t>
      </w:r>
      <w:r w:rsidR="00293630">
        <w:t xml:space="preserve">; 22,148,287 in Year 4; 22,487,778 in Year 5 and 22,828,373 in Year 6 (from </w:t>
      </w:r>
      <w:r w:rsidR="008D06E9">
        <w:t xml:space="preserve">21,734,626 in Year 1; 22,082,338 in Year 2; 22,422,054 in Year 3; 22,759,127 in Year 4; 23,086,141 in Year 5; and 23,411,238 in Year 6 in the ADAR). </w:t>
      </w:r>
      <w:r w:rsidR="0099571D">
        <w:t xml:space="preserve">Using this ABS </w:t>
      </w:r>
      <w:r w:rsidR="00003087">
        <w:t xml:space="preserve">input </w:t>
      </w:r>
      <w:r w:rsidR="0099571D">
        <w:t>data, resulted in the number of patients treated with AXI</w:t>
      </w:r>
      <w:r w:rsidR="000B1AE7">
        <w:t xml:space="preserve"> of </w:t>
      </w:r>
      <w:r w:rsidR="002610F9" w:rsidRPr="002610F9">
        <w:rPr>
          <w:color w:val="000000"/>
          <w:spacing w:val="213"/>
          <w:shd w:val="solid" w:color="000000" w:fill="000000"/>
          <w:fitText w:val="290" w:id="-1217620477"/>
          <w14:textFill>
            <w14:solidFill>
              <w14:srgbClr w14:val="000000">
                <w14:alpha w14:val="100000"/>
              </w14:srgbClr>
            </w14:solidFill>
          </w14:textFill>
        </w:rPr>
        <w:t>|</w:t>
      </w:r>
      <w:r w:rsidR="002610F9" w:rsidRPr="002610F9">
        <w:rPr>
          <w:color w:val="000000"/>
          <w:spacing w:val="1"/>
          <w:shd w:val="solid" w:color="000000" w:fill="000000"/>
          <w:fitText w:val="290" w:id="-1217620477"/>
          <w14:textFill>
            <w14:solidFill>
              <w14:srgbClr w14:val="000000">
                <w14:alpha w14:val="100000"/>
              </w14:srgbClr>
            </w14:solidFill>
          </w14:textFill>
        </w:rPr>
        <w:t>|</w:t>
      </w:r>
      <w:r w:rsidR="000B1AE7">
        <w:t xml:space="preserve"> in Year 1; </w:t>
      </w:r>
      <w:r w:rsidR="002610F9" w:rsidRPr="002610F9">
        <w:rPr>
          <w:color w:val="000000"/>
          <w:spacing w:val="223"/>
          <w:shd w:val="solid" w:color="000000" w:fill="000000"/>
          <w:fitText w:val="300" w:id="-1217620476"/>
          <w14:textFill>
            <w14:solidFill>
              <w14:srgbClr w14:val="000000">
                <w14:alpha w14:val="100000"/>
              </w14:srgbClr>
            </w14:solidFill>
          </w14:textFill>
        </w:rPr>
        <w:t>|</w:t>
      </w:r>
      <w:r w:rsidR="002610F9" w:rsidRPr="002610F9">
        <w:rPr>
          <w:color w:val="000000"/>
          <w:spacing w:val="1"/>
          <w:shd w:val="solid" w:color="000000" w:fill="000000"/>
          <w:fitText w:val="300" w:id="-1217620476"/>
          <w14:textFill>
            <w14:solidFill>
              <w14:srgbClr w14:val="000000">
                <w14:alpha w14:val="100000"/>
              </w14:srgbClr>
            </w14:solidFill>
          </w14:textFill>
        </w:rPr>
        <w:t>|</w:t>
      </w:r>
      <w:r w:rsidR="000B1AE7">
        <w:t xml:space="preserve"> in Year 2; </w:t>
      </w:r>
      <w:r w:rsidR="002610F9" w:rsidRPr="002610F9">
        <w:rPr>
          <w:color w:val="000000"/>
          <w:spacing w:val="213"/>
          <w:shd w:val="solid" w:color="000000" w:fill="000000"/>
          <w:fitText w:val="290" w:id="-1217620475"/>
          <w14:textFill>
            <w14:solidFill>
              <w14:srgbClr w14:val="000000">
                <w14:alpha w14:val="100000"/>
              </w14:srgbClr>
            </w14:solidFill>
          </w14:textFill>
        </w:rPr>
        <w:t>|</w:t>
      </w:r>
      <w:r w:rsidR="002610F9" w:rsidRPr="002610F9">
        <w:rPr>
          <w:color w:val="000000"/>
          <w:spacing w:val="1"/>
          <w:shd w:val="solid" w:color="000000" w:fill="000000"/>
          <w:fitText w:val="290" w:id="-1217620475"/>
          <w14:textFill>
            <w14:solidFill>
              <w14:srgbClr w14:val="000000">
                <w14:alpha w14:val="100000"/>
              </w14:srgbClr>
            </w14:solidFill>
          </w14:textFill>
        </w:rPr>
        <w:t>|</w:t>
      </w:r>
      <w:r w:rsidR="000B1AE7">
        <w:t xml:space="preserve"> in Year 3; </w:t>
      </w:r>
      <w:r w:rsidR="002610F9" w:rsidRPr="002610F9">
        <w:rPr>
          <w:color w:val="000000"/>
          <w:spacing w:val="223"/>
          <w:shd w:val="solid" w:color="000000" w:fill="000000"/>
          <w:fitText w:val="300" w:id="-1217620474"/>
          <w14:textFill>
            <w14:solidFill>
              <w14:srgbClr w14:val="000000">
                <w14:alpha w14:val="100000"/>
              </w14:srgbClr>
            </w14:solidFill>
          </w14:textFill>
        </w:rPr>
        <w:t>|</w:t>
      </w:r>
      <w:r w:rsidR="002610F9" w:rsidRPr="002610F9">
        <w:rPr>
          <w:color w:val="000000"/>
          <w:spacing w:val="1"/>
          <w:shd w:val="solid" w:color="000000" w:fill="000000"/>
          <w:fitText w:val="300" w:id="-1217620474"/>
          <w14:textFill>
            <w14:solidFill>
              <w14:srgbClr w14:val="000000">
                <w14:alpha w14:val="100000"/>
              </w14:srgbClr>
            </w14:solidFill>
          </w14:textFill>
        </w:rPr>
        <w:t>|</w:t>
      </w:r>
      <w:r w:rsidR="000B1AE7">
        <w:t xml:space="preserve"> in Year 4</w:t>
      </w:r>
      <w:r w:rsidR="00582C5F">
        <w:t xml:space="preserve">; </w:t>
      </w:r>
      <w:r w:rsidR="002610F9" w:rsidRPr="002610F9">
        <w:rPr>
          <w:color w:val="000000"/>
          <w:spacing w:val="213"/>
          <w:shd w:val="solid" w:color="000000" w:fill="000000"/>
          <w:fitText w:val="290" w:id="-1217620473"/>
          <w14:textFill>
            <w14:solidFill>
              <w14:srgbClr w14:val="000000">
                <w14:alpha w14:val="100000"/>
              </w14:srgbClr>
            </w14:solidFill>
          </w14:textFill>
        </w:rPr>
        <w:t>|</w:t>
      </w:r>
      <w:r w:rsidR="002610F9" w:rsidRPr="002610F9">
        <w:rPr>
          <w:color w:val="000000"/>
          <w:spacing w:val="1"/>
          <w:shd w:val="solid" w:color="000000" w:fill="000000"/>
          <w:fitText w:val="290" w:id="-1217620473"/>
          <w14:textFill>
            <w14:solidFill>
              <w14:srgbClr w14:val="000000">
                <w14:alpha w14:val="100000"/>
              </w14:srgbClr>
            </w14:solidFill>
          </w14:textFill>
        </w:rPr>
        <w:t>|</w:t>
      </w:r>
      <w:r w:rsidR="00582C5F">
        <w:t xml:space="preserve"> in Year 5; </w:t>
      </w:r>
      <w:r w:rsidR="00B36A58" w:rsidRPr="00B36A58">
        <w:rPr>
          <w:spacing w:val="220"/>
          <w:shd w:val="solid" w:color="000000" w:fill="000000"/>
          <w:fitText w:val="300" w:id="-1167396352"/>
          <w14:textFill>
            <w14:solidFill>
              <w14:srgbClr w14:val="000000">
                <w14:alpha w14:val="100000"/>
              </w14:srgbClr>
            </w14:solidFill>
          </w14:textFill>
        </w:rPr>
        <w:t>|</w:t>
      </w:r>
      <w:r w:rsidR="00B36A58" w:rsidRPr="00B36A58">
        <w:rPr>
          <w:shd w:val="solid" w:color="000000" w:fill="000000"/>
          <w:fitText w:val="300" w:id="-1167396352"/>
          <w14:textFill>
            <w14:solidFill>
              <w14:srgbClr w14:val="000000">
                <w14:alpha w14:val="100000"/>
              </w14:srgbClr>
            </w14:solidFill>
          </w14:textFill>
        </w:rPr>
        <w:t>|</w:t>
      </w:r>
      <w:r w:rsidR="00582C5F">
        <w:t xml:space="preserve"> in Year 6</w:t>
      </w:r>
      <w:r w:rsidR="001106E4">
        <w:t xml:space="preserve"> </w:t>
      </w:r>
      <w:r w:rsidR="00582C5F">
        <w:t xml:space="preserve">(compared with </w:t>
      </w:r>
      <w:r w:rsidR="002610F9" w:rsidRPr="002610F9">
        <w:rPr>
          <w:color w:val="000000"/>
          <w:spacing w:val="213"/>
          <w:shd w:val="solid" w:color="000000" w:fill="000000"/>
          <w:fitText w:val="290" w:id="-1217620472"/>
          <w14:textFill>
            <w14:solidFill>
              <w14:srgbClr w14:val="000000">
                <w14:alpha w14:val="100000"/>
              </w14:srgbClr>
            </w14:solidFill>
          </w14:textFill>
        </w:rPr>
        <w:t>|</w:t>
      </w:r>
      <w:r w:rsidR="002610F9" w:rsidRPr="002610F9">
        <w:rPr>
          <w:color w:val="000000"/>
          <w:spacing w:val="1"/>
          <w:shd w:val="solid" w:color="000000" w:fill="000000"/>
          <w:fitText w:val="290" w:id="-1217620472"/>
          <w14:textFill>
            <w14:solidFill>
              <w14:srgbClr w14:val="000000">
                <w14:alpha w14:val="100000"/>
              </w14:srgbClr>
            </w14:solidFill>
          </w14:textFill>
        </w:rPr>
        <w:t>|</w:t>
      </w:r>
      <w:r w:rsidR="00B91ECD">
        <w:t xml:space="preserve"> in Year 1; </w:t>
      </w:r>
      <w:r w:rsidR="002610F9" w:rsidRPr="002610F9">
        <w:rPr>
          <w:color w:val="000000"/>
          <w:spacing w:val="223"/>
          <w:shd w:val="solid" w:color="000000" w:fill="000000"/>
          <w:fitText w:val="300" w:id="-1217620471"/>
          <w14:textFill>
            <w14:solidFill>
              <w14:srgbClr w14:val="000000">
                <w14:alpha w14:val="100000"/>
              </w14:srgbClr>
            </w14:solidFill>
          </w14:textFill>
        </w:rPr>
        <w:t>|</w:t>
      </w:r>
      <w:r w:rsidR="002610F9" w:rsidRPr="002610F9">
        <w:rPr>
          <w:color w:val="000000"/>
          <w:spacing w:val="1"/>
          <w:shd w:val="solid" w:color="000000" w:fill="000000"/>
          <w:fitText w:val="300" w:id="-1217620471"/>
          <w14:textFill>
            <w14:solidFill>
              <w14:srgbClr w14:val="000000">
                <w14:alpha w14:val="100000"/>
              </w14:srgbClr>
            </w14:solidFill>
          </w14:textFill>
        </w:rPr>
        <w:t>|</w:t>
      </w:r>
      <w:r w:rsidR="00B91ECD">
        <w:t xml:space="preserve"> in Year 2; </w:t>
      </w:r>
      <w:r w:rsidR="002610F9" w:rsidRPr="002610F9">
        <w:rPr>
          <w:color w:val="000000"/>
          <w:spacing w:val="213"/>
          <w:shd w:val="solid" w:color="000000" w:fill="000000"/>
          <w:fitText w:val="290" w:id="-1217620470"/>
          <w14:textFill>
            <w14:solidFill>
              <w14:srgbClr w14:val="000000">
                <w14:alpha w14:val="100000"/>
              </w14:srgbClr>
            </w14:solidFill>
          </w14:textFill>
        </w:rPr>
        <w:t>|</w:t>
      </w:r>
      <w:r w:rsidR="002610F9" w:rsidRPr="002610F9">
        <w:rPr>
          <w:color w:val="000000"/>
          <w:spacing w:val="1"/>
          <w:shd w:val="solid" w:color="000000" w:fill="000000"/>
          <w:fitText w:val="290" w:id="-1217620470"/>
          <w14:textFill>
            <w14:solidFill>
              <w14:srgbClr w14:val="000000">
                <w14:alpha w14:val="100000"/>
              </w14:srgbClr>
            </w14:solidFill>
          </w14:textFill>
        </w:rPr>
        <w:t>|</w:t>
      </w:r>
      <w:r w:rsidR="00B91ECD">
        <w:t xml:space="preserve"> in Year 3; </w:t>
      </w:r>
      <w:r w:rsidR="002610F9" w:rsidRPr="002610F9">
        <w:rPr>
          <w:color w:val="000000"/>
          <w:spacing w:val="223"/>
          <w:shd w:val="solid" w:color="000000" w:fill="000000"/>
          <w:fitText w:val="300" w:id="-1217620469"/>
          <w14:textFill>
            <w14:solidFill>
              <w14:srgbClr w14:val="000000">
                <w14:alpha w14:val="100000"/>
              </w14:srgbClr>
            </w14:solidFill>
          </w14:textFill>
        </w:rPr>
        <w:t>|</w:t>
      </w:r>
      <w:r w:rsidR="002610F9" w:rsidRPr="002610F9">
        <w:rPr>
          <w:color w:val="000000"/>
          <w:spacing w:val="1"/>
          <w:shd w:val="solid" w:color="000000" w:fill="000000"/>
          <w:fitText w:val="300" w:id="-1217620469"/>
          <w14:textFill>
            <w14:solidFill>
              <w14:srgbClr w14:val="000000">
                <w14:alpha w14:val="100000"/>
              </w14:srgbClr>
            </w14:solidFill>
          </w14:textFill>
        </w:rPr>
        <w:t>|</w:t>
      </w:r>
      <w:r w:rsidR="00B91ECD">
        <w:t xml:space="preserve"> in Year 4; </w:t>
      </w:r>
      <w:r w:rsidR="002610F9" w:rsidRPr="002610F9">
        <w:rPr>
          <w:color w:val="000000"/>
          <w:spacing w:val="213"/>
          <w:shd w:val="solid" w:color="000000" w:fill="000000"/>
          <w:fitText w:val="290" w:id="-1217620468"/>
          <w14:textFill>
            <w14:solidFill>
              <w14:srgbClr w14:val="000000">
                <w14:alpha w14:val="100000"/>
              </w14:srgbClr>
            </w14:solidFill>
          </w14:textFill>
        </w:rPr>
        <w:t>|</w:t>
      </w:r>
      <w:r w:rsidR="002610F9" w:rsidRPr="002610F9">
        <w:rPr>
          <w:color w:val="000000"/>
          <w:spacing w:val="1"/>
          <w:shd w:val="solid" w:color="000000" w:fill="000000"/>
          <w:fitText w:val="290" w:id="-1217620468"/>
          <w14:textFill>
            <w14:solidFill>
              <w14:srgbClr w14:val="000000">
                <w14:alpha w14:val="100000"/>
              </w14:srgbClr>
            </w14:solidFill>
          </w14:textFill>
        </w:rPr>
        <w:t>|</w:t>
      </w:r>
      <w:r w:rsidR="00B91ECD">
        <w:t xml:space="preserve"> in Year 5 and </w:t>
      </w:r>
      <w:r w:rsidR="002610F9" w:rsidRPr="002610F9">
        <w:rPr>
          <w:color w:val="000000"/>
          <w:spacing w:val="213"/>
          <w:shd w:val="solid" w:color="000000" w:fill="000000"/>
          <w:fitText w:val="290" w:id="-1217620467"/>
          <w14:textFill>
            <w14:solidFill>
              <w14:srgbClr w14:val="000000">
                <w14:alpha w14:val="100000"/>
              </w14:srgbClr>
            </w14:solidFill>
          </w14:textFill>
        </w:rPr>
        <w:t>|</w:t>
      </w:r>
      <w:r w:rsidR="002610F9" w:rsidRPr="002610F9">
        <w:rPr>
          <w:color w:val="000000"/>
          <w:spacing w:val="1"/>
          <w:shd w:val="solid" w:color="000000" w:fill="000000"/>
          <w:fitText w:val="290" w:id="-1217620467"/>
          <w14:textFill>
            <w14:solidFill>
              <w14:srgbClr w14:val="000000">
                <w14:alpha w14:val="100000"/>
              </w14:srgbClr>
            </w14:solidFill>
          </w14:textFill>
        </w:rPr>
        <w:t>|</w:t>
      </w:r>
      <w:r w:rsidR="00B91ECD">
        <w:t xml:space="preserve"> in Year 6</w:t>
      </w:r>
      <w:r w:rsidR="001F149C">
        <w:t xml:space="preserve"> in the ADAR)</w:t>
      </w:r>
    </w:p>
    <w:p w14:paraId="2159B6A9" w14:textId="1B06CEDA" w:rsidR="00E20E63" w:rsidRDefault="00E20E63" w:rsidP="00C21FC3">
      <w:pPr>
        <w:pStyle w:val="Caption"/>
      </w:pPr>
      <w:r>
        <w:lastRenderedPageBreak/>
        <w:t xml:space="preserve">Table </w:t>
      </w:r>
      <w:r w:rsidR="004B082E">
        <w:t>1</w:t>
      </w:r>
      <w:r w:rsidR="00D733BB">
        <w:t>3</w:t>
      </w:r>
      <w:r>
        <w:t xml:space="preserve"> </w:t>
      </w:r>
      <w:r w:rsidRPr="00CB3E3A">
        <w:t xml:space="preserve">Net financial </w:t>
      </w:r>
      <w:r>
        <w:t xml:space="preserve">offsets of </w:t>
      </w:r>
      <w:r w:rsidRPr="00CB3E3A">
        <w:t xml:space="preserve">AXI in the 2L setting to the </w:t>
      </w:r>
      <w:r w:rsidR="00F027BB" w:rsidRPr="00F027BB">
        <w:t xml:space="preserve">state and commonwealth health </w:t>
      </w:r>
      <w:proofErr w:type="gramStart"/>
      <w:r w:rsidR="00F027BB" w:rsidRPr="00F027BB">
        <w:t>departments</w:t>
      </w:r>
      <w:proofErr w:type="gramEnd"/>
    </w:p>
    <w:tbl>
      <w:tblPr>
        <w:tblStyle w:val="TableGrid1"/>
        <w:tblW w:w="4997" w:type="pct"/>
        <w:tblCellMar>
          <w:top w:w="28" w:type="dxa"/>
          <w:left w:w="28" w:type="dxa"/>
          <w:bottom w:w="28" w:type="dxa"/>
          <w:right w:w="28" w:type="dxa"/>
        </w:tblCellMar>
        <w:tblLook w:val="04A0" w:firstRow="1" w:lastRow="0" w:firstColumn="1" w:lastColumn="0" w:noHBand="0" w:noVBand="1"/>
      </w:tblPr>
      <w:tblGrid>
        <w:gridCol w:w="1139"/>
        <w:gridCol w:w="1312"/>
        <w:gridCol w:w="1312"/>
        <w:gridCol w:w="1312"/>
        <w:gridCol w:w="1312"/>
        <w:gridCol w:w="1314"/>
        <w:gridCol w:w="1310"/>
      </w:tblGrid>
      <w:tr w:rsidR="00D53D17" w:rsidRPr="0049040C" w14:paraId="6E2CEB5D" w14:textId="77777777" w:rsidTr="00AA0C8E">
        <w:trPr>
          <w:cnfStyle w:val="100000000000" w:firstRow="1" w:lastRow="0" w:firstColumn="0" w:lastColumn="0" w:oddVBand="0" w:evenVBand="0" w:oddHBand="0" w:evenHBand="0" w:firstRowFirstColumn="0" w:firstRowLastColumn="0" w:lastRowFirstColumn="0" w:lastRowLastColumn="0"/>
          <w:trHeight w:val="49"/>
          <w:tblHeader/>
        </w:trPr>
        <w:tc>
          <w:tcPr>
            <w:tcW w:w="632" w:type="pct"/>
            <w:shd w:val="clear" w:color="auto" w:fill="auto"/>
          </w:tcPr>
          <w:p w14:paraId="56C8DF4E" w14:textId="77777777" w:rsidR="00D53D17" w:rsidRPr="00B937FD" w:rsidRDefault="00D53D17" w:rsidP="00B10338">
            <w:pPr>
              <w:keepNext/>
              <w:spacing w:before="0"/>
              <w:rPr>
                <w:rFonts w:ascii="Arial Narrow" w:hAnsi="Arial Narrow" w:cs="Calibri"/>
                <w:color w:val="000000"/>
                <w:sz w:val="20"/>
                <w:szCs w:val="20"/>
              </w:rPr>
            </w:pPr>
          </w:p>
        </w:tc>
        <w:tc>
          <w:tcPr>
            <w:tcW w:w="728" w:type="pct"/>
            <w:shd w:val="clear" w:color="auto" w:fill="auto"/>
            <w:noWrap/>
            <w:vAlign w:val="center"/>
          </w:tcPr>
          <w:p w14:paraId="2F8EF671" w14:textId="77777777" w:rsidR="00D53D17" w:rsidRPr="0049040C" w:rsidRDefault="00D53D17" w:rsidP="00B10338">
            <w:pPr>
              <w:keepNext/>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2023</w:t>
            </w:r>
          </w:p>
          <w:p w14:paraId="732B9D0F" w14:textId="1A9112BD" w:rsidR="00D53D17" w:rsidRDefault="00D53D17" w:rsidP="00B10338">
            <w:pPr>
              <w:keepNext/>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(Year 1)</w:t>
            </w:r>
          </w:p>
        </w:tc>
        <w:tc>
          <w:tcPr>
            <w:tcW w:w="728" w:type="pct"/>
            <w:shd w:val="clear" w:color="auto" w:fill="auto"/>
            <w:noWrap/>
            <w:vAlign w:val="center"/>
          </w:tcPr>
          <w:p w14:paraId="4A888D4A" w14:textId="77777777" w:rsidR="00D53D17" w:rsidRPr="0049040C" w:rsidRDefault="00D53D17" w:rsidP="00B10338">
            <w:pPr>
              <w:keepNext/>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2024</w:t>
            </w:r>
          </w:p>
          <w:p w14:paraId="6B352D9A" w14:textId="73A1254C" w:rsidR="00D53D17" w:rsidRDefault="00D53D17" w:rsidP="00B10338">
            <w:pPr>
              <w:keepNext/>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(Year 2)</w:t>
            </w:r>
          </w:p>
        </w:tc>
        <w:tc>
          <w:tcPr>
            <w:tcW w:w="728" w:type="pct"/>
            <w:shd w:val="clear" w:color="auto" w:fill="auto"/>
            <w:noWrap/>
            <w:vAlign w:val="center"/>
          </w:tcPr>
          <w:p w14:paraId="0820D783" w14:textId="77777777" w:rsidR="00D53D17" w:rsidRPr="0049040C" w:rsidRDefault="00D53D17" w:rsidP="00B10338">
            <w:pPr>
              <w:keepNext/>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2025</w:t>
            </w:r>
          </w:p>
          <w:p w14:paraId="72234F2C" w14:textId="6EF87CA7" w:rsidR="00D53D17" w:rsidRDefault="00D53D17" w:rsidP="00B10338">
            <w:pPr>
              <w:keepNext/>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(Year 3)</w:t>
            </w:r>
          </w:p>
        </w:tc>
        <w:tc>
          <w:tcPr>
            <w:tcW w:w="728" w:type="pct"/>
            <w:shd w:val="clear" w:color="auto" w:fill="auto"/>
            <w:noWrap/>
            <w:vAlign w:val="center"/>
          </w:tcPr>
          <w:p w14:paraId="4DD2F81F" w14:textId="77777777" w:rsidR="00D53D17" w:rsidRPr="0049040C" w:rsidRDefault="00D53D17" w:rsidP="00B10338">
            <w:pPr>
              <w:keepNext/>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2026</w:t>
            </w:r>
          </w:p>
          <w:p w14:paraId="4FA15048" w14:textId="31859501" w:rsidR="00D53D17" w:rsidRDefault="00D53D17" w:rsidP="00B10338">
            <w:pPr>
              <w:keepNext/>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(Year 4)</w:t>
            </w:r>
          </w:p>
        </w:tc>
        <w:tc>
          <w:tcPr>
            <w:tcW w:w="729" w:type="pct"/>
            <w:shd w:val="clear" w:color="auto" w:fill="auto"/>
            <w:noWrap/>
            <w:vAlign w:val="center"/>
          </w:tcPr>
          <w:p w14:paraId="6CB215BC" w14:textId="77777777" w:rsidR="00D53D17" w:rsidRPr="0049040C" w:rsidRDefault="00D53D17" w:rsidP="00B10338">
            <w:pPr>
              <w:keepNext/>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2027</w:t>
            </w:r>
          </w:p>
          <w:p w14:paraId="7A91B963" w14:textId="06F8CD5A" w:rsidR="00D53D17" w:rsidRDefault="00D53D17" w:rsidP="00B10338">
            <w:pPr>
              <w:keepNext/>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(Year 5)</w:t>
            </w:r>
          </w:p>
        </w:tc>
        <w:tc>
          <w:tcPr>
            <w:tcW w:w="727" w:type="pct"/>
            <w:shd w:val="clear" w:color="auto" w:fill="auto"/>
            <w:noWrap/>
            <w:vAlign w:val="center"/>
          </w:tcPr>
          <w:p w14:paraId="11EAB982" w14:textId="77777777" w:rsidR="00D53D17" w:rsidRPr="0049040C" w:rsidRDefault="00D53D17" w:rsidP="00B10338">
            <w:pPr>
              <w:keepNext/>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2028</w:t>
            </w:r>
          </w:p>
          <w:p w14:paraId="438205FF" w14:textId="74DB7276" w:rsidR="00D53D17" w:rsidRDefault="00D53D17" w:rsidP="00B10338">
            <w:pPr>
              <w:keepNext/>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(Year 6)</w:t>
            </w:r>
          </w:p>
        </w:tc>
      </w:tr>
      <w:tr w:rsidR="00D53D17" w:rsidRPr="0049040C" w14:paraId="422D43D2" w14:textId="77777777" w:rsidTr="00AA0C8E">
        <w:trPr>
          <w:trHeight w:val="49"/>
        </w:trPr>
        <w:tc>
          <w:tcPr>
            <w:tcW w:w="632" w:type="pct"/>
            <w:shd w:val="clear" w:color="auto" w:fill="auto"/>
            <w:vAlign w:val="center"/>
            <w:hideMark/>
          </w:tcPr>
          <w:p w14:paraId="78719944" w14:textId="77777777" w:rsidR="00D53D17" w:rsidRPr="00B937FD" w:rsidRDefault="00D53D17" w:rsidP="00B10338">
            <w:pPr>
              <w:keepNext/>
              <w:spacing w:before="0"/>
              <w:rPr>
                <w:rFonts w:ascii="Arial Narrow" w:hAnsi="Arial Narrow" w:cs="Calibri"/>
                <w:color w:val="000000"/>
                <w:sz w:val="20"/>
                <w:szCs w:val="20"/>
              </w:rPr>
            </w:pPr>
            <w:r w:rsidRPr="00B937FD">
              <w:rPr>
                <w:rFonts w:ascii="Arial Narrow" w:hAnsi="Arial Narrow" w:cs="Calibri"/>
                <w:color w:val="000000"/>
                <w:sz w:val="20"/>
                <w:szCs w:val="20"/>
              </w:rPr>
              <w:t>Costs of 2L SoC avoided</w:t>
            </w:r>
          </w:p>
        </w:tc>
        <w:tc>
          <w:tcPr>
            <w:tcW w:w="728" w:type="pct"/>
            <w:shd w:val="clear" w:color="auto" w:fill="auto"/>
            <w:noWrap/>
            <w:vAlign w:val="center"/>
            <w:hideMark/>
          </w:tcPr>
          <w:p w14:paraId="3911C6BB" w14:textId="3D7D66D6" w:rsidR="00D53D17" w:rsidRPr="00FA1F5D" w:rsidRDefault="00D53D17" w:rsidP="00B10338">
            <w:pPr>
              <w:keepNext/>
              <w:spacing w:before="0"/>
              <w:jc w:val="center"/>
              <w:rPr>
                <w:rFonts w:ascii="Arial Narrow" w:hAnsi="Arial Narrow" w:cs="Calibri"/>
                <w:color w:val="000000"/>
                <w:sz w:val="20"/>
                <w:szCs w:val="20"/>
                <w:highlight w:val="yellow"/>
              </w:rPr>
            </w:pPr>
            <w:r w:rsidRPr="007E412C">
              <w:rPr>
                <w:rFonts w:ascii="Arial Narrow" w:hAnsi="Arial Narrow" w:cs="Calibri"/>
                <w:b/>
                <w:bCs/>
                <w:color w:val="000000"/>
                <w:sz w:val="20"/>
                <w:szCs w:val="20"/>
              </w:rPr>
              <w:t>$</w:t>
            </w:r>
            <w:r w:rsidR="002610F9" w:rsidRPr="002610F9">
              <w:rPr>
                <w:rFonts w:ascii="Arial Narrow" w:hAnsi="Arial Narrow" w:cs="Calibri"/>
                <w:b/>
                <w:bCs/>
                <w:color w:val="000000"/>
                <w:sz w:val="20"/>
                <w:szCs w:val="20"/>
                <w:shd w:val="solid" w:color="000000" w:fill="000000"/>
                <w14:textFill>
                  <w14:solidFill>
                    <w14:srgbClr w14:val="000000">
                      <w14:alpha w14:val="100000"/>
                    </w14:srgbClr>
                  </w14:solidFill>
                </w14:textFill>
              </w:rPr>
              <w:t>|</w:t>
            </w:r>
          </w:p>
        </w:tc>
        <w:tc>
          <w:tcPr>
            <w:tcW w:w="728" w:type="pct"/>
            <w:shd w:val="clear" w:color="auto" w:fill="auto"/>
            <w:noWrap/>
            <w:vAlign w:val="center"/>
            <w:hideMark/>
          </w:tcPr>
          <w:p w14:paraId="7A01C5AD" w14:textId="2636FBEC" w:rsidR="00D53D17" w:rsidRPr="00FA1F5D" w:rsidRDefault="00D53D17" w:rsidP="00B10338">
            <w:pPr>
              <w:keepNext/>
              <w:spacing w:before="0"/>
              <w:jc w:val="center"/>
              <w:rPr>
                <w:rFonts w:ascii="Arial Narrow" w:hAnsi="Arial Narrow" w:cs="Calibri"/>
                <w:color w:val="000000"/>
                <w:sz w:val="20"/>
                <w:szCs w:val="20"/>
                <w:highlight w:val="yellow"/>
              </w:rPr>
            </w:pPr>
            <w:r w:rsidRPr="007E412C">
              <w:rPr>
                <w:rFonts w:ascii="Arial Narrow" w:hAnsi="Arial Narrow" w:cs="Calibri"/>
                <w:b/>
                <w:bCs/>
                <w:color w:val="000000"/>
                <w:sz w:val="20"/>
                <w:szCs w:val="20"/>
              </w:rPr>
              <w:t>$</w:t>
            </w:r>
            <w:r w:rsidR="002610F9" w:rsidRPr="002610F9">
              <w:rPr>
                <w:rFonts w:ascii="Arial Narrow" w:hAnsi="Arial Narrow" w:cs="Calibri"/>
                <w:b/>
                <w:bCs/>
                <w:color w:val="000000"/>
                <w:sz w:val="20"/>
                <w:szCs w:val="20"/>
                <w:shd w:val="solid" w:color="000000" w:fill="000000"/>
                <w14:textFill>
                  <w14:solidFill>
                    <w14:srgbClr w14:val="000000">
                      <w14:alpha w14:val="100000"/>
                    </w14:srgbClr>
                  </w14:solidFill>
                </w14:textFill>
              </w:rPr>
              <w:t>|</w:t>
            </w:r>
          </w:p>
        </w:tc>
        <w:tc>
          <w:tcPr>
            <w:tcW w:w="728" w:type="pct"/>
            <w:shd w:val="clear" w:color="auto" w:fill="auto"/>
            <w:noWrap/>
            <w:vAlign w:val="center"/>
            <w:hideMark/>
          </w:tcPr>
          <w:p w14:paraId="31098492" w14:textId="3D2C3889" w:rsidR="00D53D17" w:rsidRPr="00FA1F5D" w:rsidRDefault="00D53D17" w:rsidP="00B10338">
            <w:pPr>
              <w:keepNext/>
              <w:spacing w:before="0"/>
              <w:jc w:val="center"/>
              <w:rPr>
                <w:rFonts w:ascii="Arial Narrow" w:hAnsi="Arial Narrow" w:cs="Calibri"/>
                <w:color w:val="000000"/>
                <w:sz w:val="20"/>
                <w:szCs w:val="20"/>
                <w:highlight w:val="yellow"/>
              </w:rPr>
            </w:pPr>
            <w:r w:rsidRPr="007E412C">
              <w:rPr>
                <w:rFonts w:ascii="Arial Narrow" w:hAnsi="Arial Narrow" w:cs="Calibri"/>
                <w:b/>
                <w:bCs/>
                <w:color w:val="000000"/>
                <w:sz w:val="20"/>
                <w:szCs w:val="20"/>
              </w:rPr>
              <w:t>$</w:t>
            </w:r>
            <w:r w:rsidR="002610F9" w:rsidRPr="002610F9">
              <w:rPr>
                <w:rFonts w:ascii="Arial Narrow" w:hAnsi="Arial Narrow" w:cs="Calibri"/>
                <w:b/>
                <w:bCs/>
                <w:color w:val="000000"/>
                <w:sz w:val="20"/>
                <w:szCs w:val="20"/>
                <w:shd w:val="solid" w:color="000000" w:fill="000000"/>
                <w14:textFill>
                  <w14:solidFill>
                    <w14:srgbClr w14:val="000000">
                      <w14:alpha w14:val="100000"/>
                    </w14:srgbClr>
                  </w14:solidFill>
                </w14:textFill>
              </w:rPr>
              <w:t>|</w:t>
            </w:r>
          </w:p>
        </w:tc>
        <w:tc>
          <w:tcPr>
            <w:tcW w:w="728" w:type="pct"/>
            <w:shd w:val="clear" w:color="auto" w:fill="auto"/>
            <w:noWrap/>
            <w:vAlign w:val="center"/>
            <w:hideMark/>
          </w:tcPr>
          <w:p w14:paraId="552F9F4B" w14:textId="588262BD" w:rsidR="00D53D17" w:rsidRPr="00FA1F5D" w:rsidRDefault="00D53D17" w:rsidP="00B10338">
            <w:pPr>
              <w:keepNext/>
              <w:spacing w:before="0"/>
              <w:jc w:val="center"/>
              <w:rPr>
                <w:rFonts w:ascii="Arial Narrow" w:hAnsi="Arial Narrow" w:cs="Calibri"/>
                <w:color w:val="000000"/>
                <w:sz w:val="20"/>
                <w:szCs w:val="20"/>
                <w:highlight w:val="yellow"/>
              </w:rPr>
            </w:pPr>
            <w:r w:rsidRPr="007E412C">
              <w:rPr>
                <w:rFonts w:ascii="Arial Narrow" w:hAnsi="Arial Narrow" w:cs="Calibri"/>
                <w:b/>
                <w:bCs/>
                <w:color w:val="000000"/>
                <w:sz w:val="20"/>
                <w:szCs w:val="20"/>
              </w:rPr>
              <w:t>$</w:t>
            </w:r>
            <w:r w:rsidR="002610F9" w:rsidRPr="002610F9">
              <w:rPr>
                <w:rFonts w:ascii="Arial Narrow" w:hAnsi="Arial Narrow" w:cs="Calibri"/>
                <w:b/>
                <w:bCs/>
                <w:color w:val="000000"/>
                <w:sz w:val="20"/>
                <w:szCs w:val="20"/>
                <w:shd w:val="solid" w:color="000000" w:fill="000000"/>
                <w14:textFill>
                  <w14:solidFill>
                    <w14:srgbClr w14:val="000000">
                      <w14:alpha w14:val="100000"/>
                    </w14:srgbClr>
                  </w14:solidFill>
                </w14:textFill>
              </w:rPr>
              <w:t>|</w:t>
            </w:r>
          </w:p>
        </w:tc>
        <w:tc>
          <w:tcPr>
            <w:tcW w:w="729" w:type="pct"/>
            <w:shd w:val="clear" w:color="auto" w:fill="auto"/>
            <w:noWrap/>
            <w:vAlign w:val="center"/>
            <w:hideMark/>
          </w:tcPr>
          <w:p w14:paraId="1EFEDA50" w14:textId="35C47995" w:rsidR="00D53D17" w:rsidRPr="00FA1F5D" w:rsidRDefault="00D53D17" w:rsidP="00B10338">
            <w:pPr>
              <w:keepNext/>
              <w:spacing w:before="0"/>
              <w:jc w:val="center"/>
              <w:rPr>
                <w:rFonts w:ascii="Arial Narrow" w:hAnsi="Arial Narrow" w:cs="Calibri"/>
                <w:color w:val="000000"/>
                <w:sz w:val="20"/>
                <w:szCs w:val="20"/>
                <w:highlight w:val="yellow"/>
              </w:rPr>
            </w:pPr>
            <w:r w:rsidRPr="007E412C">
              <w:rPr>
                <w:rFonts w:ascii="Arial Narrow" w:hAnsi="Arial Narrow" w:cs="Calibri"/>
                <w:b/>
                <w:bCs/>
                <w:color w:val="000000"/>
                <w:sz w:val="20"/>
                <w:szCs w:val="20"/>
              </w:rPr>
              <w:t>$</w:t>
            </w:r>
            <w:r w:rsidR="002610F9" w:rsidRPr="002610F9">
              <w:rPr>
                <w:rFonts w:ascii="Arial Narrow" w:hAnsi="Arial Narrow" w:cs="Calibri"/>
                <w:b/>
                <w:bCs/>
                <w:color w:val="000000"/>
                <w:sz w:val="20"/>
                <w:szCs w:val="20"/>
                <w:shd w:val="solid" w:color="000000" w:fill="000000"/>
                <w14:textFill>
                  <w14:solidFill>
                    <w14:srgbClr w14:val="000000">
                      <w14:alpha w14:val="100000"/>
                    </w14:srgbClr>
                  </w14:solidFill>
                </w14:textFill>
              </w:rPr>
              <w:t>|</w:t>
            </w:r>
          </w:p>
        </w:tc>
        <w:tc>
          <w:tcPr>
            <w:tcW w:w="727" w:type="pct"/>
            <w:shd w:val="clear" w:color="auto" w:fill="auto"/>
            <w:noWrap/>
            <w:vAlign w:val="center"/>
            <w:hideMark/>
          </w:tcPr>
          <w:p w14:paraId="3209EF47" w14:textId="2FA1EC67" w:rsidR="00D53D17" w:rsidRPr="00FA1F5D" w:rsidRDefault="00D53D17" w:rsidP="00B10338">
            <w:pPr>
              <w:keepNext/>
              <w:spacing w:before="0"/>
              <w:jc w:val="center"/>
              <w:rPr>
                <w:rFonts w:ascii="Arial Narrow" w:hAnsi="Arial Narrow" w:cs="Calibri"/>
                <w:color w:val="000000"/>
                <w:sz w:val="20"/>
                <w:szCs w:val="20"/>
                <w:highlight w:val="yellow"/>
              </w:rPr>
            </w:pPr>
            <w:r w:rsidRPr="007E412C">
              <w:rPr>
                <w:rFonts w:ascii="Arial Narrow" w:hAnsi="Arial Narrow" w:cs="Calibri"/>
                <w:b/>
                <w:bCs/>
                <w:color w:val="000000"/>
                <w:sz w:val="20"/>
                <w:szCs w:val="20"/>
              </w:rPr>
              <w:t>$</w:t>
            </w:r>
            <w:r w:rsidR="002610F9" w:rsidRPr="00B36A58">
              <w:rPr>
                <w:rFonts w:ascii="Arial Narrow" w:hAnsi="Arial Narrow" w:cs="Calibri" w:hint="eastAsia"/>
                <w:b/>
                <w:bCs/>
                <w:color w:val="000000"/>
                <w:w w:val="15"/>
                <w:sz w:val="20"/>
                <w:szCs w:val="20"/>
                <w:shd w:val="solid" w:color="000000" w:fill="000000"/>
                <w:fitText w:val="20" w:id="-1217620466"/>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20" w:id="-1217620466"/>
                <w14:textFill>
                  <w14:solidFill>
                    <w14:srgbClr w14:val="000000">
                      <w14:alpha w14:val="100000"/>
                    </w14:srgbClr>
                  </w14:solidFill>
                </w14:textFill>
              </w:rPr>
              <w:t>|</w:t>
            </w:r>
            <w:r w:rsidR="002610F9" w:rsidRPr="00B36A58">
              <w:rPr>
                <w:rFonts w:ascii="Arial Narrow" w:hAnsi="Arial Narrow" w:cs="Calibri" w:hint="eastAsia"/>
                <w:b/>
                <w:bCs/>
                <w:color w:val="000000"/>
                <w:spacing w:val="-46"/>
                <w:w w:val="15"/>
                <w:sz w:val="20"/>
                <w:szCs w:val="20"/>
                <w:shd w:val="solid" w:color="000000" w:fill="000000"/>
                <w:fitText w:val="20" w:id="-1217620466"/>
                <w14:textFill>
                  <w14:solidFill>
                    <w14:srgbClr w14:val="000000">
                      <w14:alpha w14:val="100000"/>
                    </w14:srgbClr>
                  </w14:solidFill>
                </w14:textFill>
              </w:rPr>
              <w:t xml:space="preserve">　</w:t>
            </w:r>
          </w:p>
        </w:tc>
      </w:tr>
      <w:tr w:rsidR="00D53D17" w:rsidRPr="0049040C" w14:paraId="28DD6A9F" w14:textId="77777777" w:rsidTr="00AA0C8E">
        <w:trPr>
          <w:trHeight w:val="320"/>
        </w:trPr>
        <w:tc>
          <w:tcPr>
            <w:tcW w:w="632" w:type="pct"/>
            <w:shd w:val="clear" w:color="auto" w:fill="auto"/>
            <w:vAlign w:val="center"/>
            <w:hideMark/>
          </w:tcPr>
          <w:p w14:paraId="5D8F9EA3" w14:textId="77777777" w:rsidR="00D53D17" w:rsidRPr="00B937FD" w:rsidRDefault="00D53D17" w:rsidP="00B10338">
            <w:pPr>
              <w:keepNext/>
              <w:spacing w:before="0"/>
              <w:rPr>
                <w:rFonts w:ascii="Arial Narrow" w:hAnsi="Arial Narrow" w:cs="Calibri"/>
                <w:color w:val="000000"/>
                <w:sz w:val="20"/>
                <w:szCs w:val="20"/>
              </w:rPr>
            </w:pPr>
            <w:r w:rsidRPr="00B937FD">
              <w:rPr>
                <w:rFonts w:ascii="Arial Narrow" w:hAnsi="Arial Narrow" w:cs="Calibri"/>
                <w:color w:val="000000"/>
                <w:sz w:val="20"/>
                <w:szCs w:val="20"/>
              </w:rPr>
              <w:t>Post-progression costs after 2L SoC avoided</w:t>
            </w:r>
          </w:p>
        </w:tc>
        <w:tc>
          <w:tcPr>
            <w:tcW w:w="728" w:type="pct"/>
            <w:shd w:val="clear" w:color="auto" w:fill="auto"/>
            <w:noWrap/>
            <w:vAlign w:val="center"/>
            <w:hideMark/>
          </w:tcPr>
          <w:p w14:paraId="69C5BAC3" w14:textId="7ACFC7BC" w:rsidR="00D53D17" w:rsidRPr="00FA1F5D" w:rsidRDefault="00D53D17" w:rsidP="00B10338">
            <w:pPr>
              <w:keepNext/>
              <w:spacing w:before="0"/>
              <w:jc w:val="center"/>
              <w:rPr>
                <w:rFonts w:ascii="Arial Narrow" w:hAnsi="Arial Narrow" w:cs="Calibri"/>
                <w:color w:val="000000"/>
                <w:sz w:val="20"/>
                <w:szCs w:val="20"/>
                <w:highlight w:val="yellow"/>
              </w:rPr>
            </w:pPr>
            <w:r w:rsidRPr="007E412C">
              <w:rPr>
                <w:rFonts w:ascii="Arial Narrow" w:hAnsi="Arial Narrow" w:cs="Calibri"/>
                <w:b/>
                <w:bCs/>
                <w:color w:val="000000"/>
                <w:sz w:val="20"/>
                <w:szCs w:val="20"/>
              </w:rPr>
              <w:t>$</w:t>
            </w:r>
            <w:r w:rsidR="002610F9" w:rsidRPr="002610F9">
              <w:rPr>
                <w:rFonts w:ascii="Arial Narrow" w:hAnsi="Arial Narrow" w:cs="Calibri"/>
                <w:b/>
                <w:bCs/>
                <w:color w:val="000000"/>
                <w:sz w:val="20"/>
                <w:szCs w:val="20"/>
                <w:shd w:val="solid" w:color="000000" w:fill="000000"/>
                <w14:textFill>
                  <w14:solidFill>
                    <w14:srgbClr w14:val="000000">
                      <w14:alpha w14:val="100000"/>
                    </w14:srgbClr>
                  </w14:solidFill>
                </w14:textFill>
              </w:rPr>
              <w:t>|</w:t>
            </w:r>
          </w:p>
        </w:tc>
        <w:tc>
          <w:tcPr>
            <w:tcW w:w="728" w:type="pct"/>
            <w:shd w:val="clear" w:color="auto" w:fill="auto"/>
            <w:noWrap/>
            <w:vAlign w:val="center"/>
            <w:hideMark/>
          </w:tcPr>
          <w:p w14:paraId="619ACC17" w14:textId="70900DAF" w:rsidR="00D53D17" w:rsidRPr="00FA1F5D" w:rsidRDefault="00D53D17" w:rsidP="00B10338">
            <w:pPr>
              <w:keepNext/>
              <w:spacing w:before="0"/>
              <w:jc w:val="center"/>
              <w:rPr>
                <w:rFonts w:ascii="Arial Narrow" w:hAnsi="Arial Narrow" w:cs="Calibri"/>
                <w:color w:val="000000"/>
                <w:sz w:val="20"/>
                <w:szCs w:val="20"/>
                <w:highlight w:val="yellow"/>
              </w:rPr>
            </w:pPr>
            <w:r w:rsidRPr="007E412C">
              <w:rPr>
                <w:rFonts w:ascii="Arial Narrow" w:hAnsi="Arial Narrow" w:cs="Calibri"/>
                <w:b/>
                <w:bCs/>
                <w:color w:val="000000"/>
                <w:sz w:val="20"/>
                <w:szCs w:val="20"/>
              </w:rPr>
              <w:t>$</w:t>
            </w:r>
            <w:r w:rsidR="002610F9" w:rsidRPr="002610F9">
              <w:rPr>
                <w:rFonts w:ascii="Arial Narrow" w:hAnsi="Arial Narrow" w:cs="Calibri"/>
                <w:b/>
                <w:bCs/>
                <w:color w:val="000000"/>
                <w:sz w:val="20"/>
                <w:szCs w:val="20"/>
                <w:shd w:val="solid" w:color="000000" w:fill="000000"/>
                <w14:textFill>
                  <w14:solidFill>
                    <w14:srgbClr w14:val="000000">
                      <w14:alpha w14:val="100000"/>
                    </w14:srgbClr>
                  </w14:solidFill>
                </w14:textFill>
              </w:rPr>
              <w:t>|</w:t>
            </w:r>
          </w:p>
        </w:tc>
        <w:tc>
          <w:tcPr>
            <w:tcW w:w="728" w:type="pct"/>
            <w:shd w:val="clear" w:color="auto" w:fill="auto"/>
            <w:noWrap/>
            <w:vAlign w:val="center"/>
            <w:hideMark/>
          </w:tcPr>
          <w:p w14:paraId="0A9474DC" w14:textId="6C86F320" w:rsidR="00D53D17" w:rsidRPr="00FA1F5D" w:rsidRDefault="00D53D17" w:rsidP="00B10338">
            <w:pPr>
              <w:keepNext/>
              <w:spacing w:before="0"/>
              <w:jc w:val="center"/>
              <w:rPr>
                <w:rFonts w:ascii="Arial Narrow" w:hAnsi="Arial Narrow" w:cs="Calibri"/>
                <w:color w:val="000000"/>
                <w:sz w:val="20"/>
                <w:szCs w:val="20"/>
                <w:highlight w:val="yellow"/>
              </w:rPr>
            </w:pPr>
            <w:r w:rsidRPr="007E412C">
              <w:rPr>
                <w:rFonts w:ascii="Arial Narrow" w:hAnsi="Arial Narrow" w:cs="Calibri"/>
                <w:b/>
                <w:bCs/>
                <w:color w:val="000000"/>
                <w:sz w:val="20"/>
                <w:szCs w:val="20"/>
              </w:rPr>
              <w:t>$</w:t>
            </w:r>
            <w:r w:rsidR="002610F9" w:rsidRPr="002610F9">
              <w:rPr>
                <w:rFonts w:ascii="Arial Narrow" w:hAnsi="Arial Narrow" w:cs="Calibri"/>
                <w:b/>
                <w:bCs/>
                <w:color w:val="000000"/>
                <w:sz w:val="20"/>
                <w:szCs w:val="20"/>
                <w:shd w:val="solid" w:color="000000" w:fill="000000"/>
                <w14:textFill>
                  <w14:solidFill>
                    <w14:srgbClr w14:val="000000">
                      <w14:alpha w14:val="100000"/>
                    </w14:srgbClr>
                  </w14:solidFill>
                </w14:textFill>
              </w:rPr>
              <w:t>|</w:t>
            </w:r>
          </w:p>
        </w:tc>
        <w:tc>
          <w:tcPr>
            <w:tcW w:w="728" w:type="pct"/>
            <w:shd w:val="clear" w:color="auto" w:fill="auto"/>
            <w:noWrap/>
            <w:vAlign w:val="center"/>
            <w:hideMark/>
          </w:tcPr>
          <w:p w14:paraId="7C53E1FA" w14:textId="3DD6334D" w:rsidR="00D53D17" w:rsidRPr="00FA1F5D" w:rsidRDefault="00D53D17" w:rsidP="00B10338">
            <w:pPr>
              <w:keepNext/>
              <w:spacing w:before="0"/>
              <w:jc w:val="center"/>
              <w:rPr>
                <w:rFonts w:ascii="Arial Narrow" w:hAnsi="Arial Narrow" w:cs="Calibri"/>
                <w:color w:val="000000"/>
                <w:sz w:val="20"/>
                <w:szCs w:val="20"/>
                <w:highlight w:val="yellow"/>
              </w:rPr>
            </w:pPr>
            <w:r w:rsidRPr="007E412C">
              <w:rPr>
                <w:rFonts w:ascii="Arial Narrow" w:hAnsi="Arial Narrow" w:cs="Calibri"/>
                <w:b/>
                <w:bCs/>
                <w:color w:val="000000"/>
                <w:sz w:val="20"/>
                <w:szCs w:val="20"/>
              </w:rPr>
              <w:t>$</w:t>
            </w:r>
            <w:r w:rsidR="002610F9" w:rsidRPr="002610F9">
              <w:rPr>
                <w:rFonts w:ascii="Arial Narrow" w:hAnsi="Arial Narrow" w:cs="Calibri"/>
                <w:b/>
                <w:bCs/>
                <w:color w:val="000000"/>
                <w:sz w:val="20"/>
                <w:szCs w:val="20"/>
                <w:shd w:val="solid" w:color="000000" w:fill="000000"/>
                <w14:textFill>
                  <w14:solidFill>
                    <w14:srgbClr w14:val="000000">
                      <w14:alpha w14:val="100000"/>
                    </w14:srgbClr>
                  </w14:solidFill>
                </w14:textFill>
              </w:rPr>
              <w:t>|</w:t>
            </w:r>
          </w:p>
        </w:tc>
        <w:tc>
          <w:tcPr>
            <w:tcW w:w="729" w:type="pct"/>
            <w:shd w:val="clear" w:color="auto" w:fill="auto"/>
            <w:noWrap/>
            <w:vAlign w:val="center"/>
            <w:hideMark/>
          </w:tcPr>
          <w:p w14:paraId="39112DA8" w14:textId="65AAC980" w:rsidR="00D53D17" w:rsidRPr="00FA1F5D" w:rsidRDefault="00D53D17" w:rsidP="00B10338">
            <w:pPr>
              <w:keepNext/>
              <w:spacing w:before="0"/>
              <w:jc w:val="center"/>
              <w:rPr>
                <w:rFonts w:ascii="Arial Narrow" w:hAnsi="Arial Narrow" w:cs="Calibri"/>
                <w:color w:val="000000"/>
                <w:sz w:val="20"/>
                <w:szCs w:val="20"/>
                <w:highlight w:val="yellow"/>
              </w:rPr>
            </w:pPr>
            <w:r w:rsidRPr="007E412C">
              <w:rPr>
                <w:rFonts w:ascii="Arial Narrow" w:hAnsi="Arial Narrow" w:cs="Calibri"/>
                <w:b/>
                <w:bCs/>
                <w:color w:val="000000"/>
                <w:sz w:val="20"/>
                <w:szCs w:val="20"/>
              </w:rPr>
              <w:t>$</w:t>
            </w:r>
            <w:r w:rsidR="002610F9" w:rsidRPr="002610F9">
              <w:rPr>
                <w:rFonts w:ascii="Arial Narrow" w:hAnsi="Arial Narrow" w:cs="Calibri"/>
                <w:b/>
                <w:bCs/>
                <w:color w:val="000000"/>
                <w:sz w:val="20"/>
                <w:szCs w:val="20"/>
                <w:shd w:val="solid" w:color="000000" w:fill="000000"/>
                <w14:textFill>
                  <w14:solidFill>
                    <w14:srgbClr w14:val="000000">
                      <w14:alpha w14:val="100000"/>
                    </w14:srgbClr>
                  </w14:solidFill>
                </w14:textFill>
              </w:rPr>
              <w:t>|</w:t>
            </w:r>
          </w:p>
        </w:tc>
        <w:tc>
          <w:tcPr>
            <w:tcW w:w="727" w:type="pct"/>
            <w:shd w:val="clear" w:color="auto" w:fill="auto"/>
            <w:noWrap/>
            <w:vAlign w:val="center"/>
            <w:hideMark/>
          </w:tcPr>
          <w:p w14:paraId="631146FE" w14:textId="21696527" w:rsidR="00D53D17" w:rsidRPr="00FA1F5D" w:rsidRDefault="00D53D17" w:rsidP="00B10338">
            <w:pPr>
              <w:keepNext/>
              <w:spacing w:before="0"/>
              <w:jc w:val="center"/>
              <w:rPr>
                <w:rFonts w:ascii="Arial Narrow" w:hAnsi="Arial Narrow" w:cs="Calibri"/>
                <w:color w:val="000000"/>
                <w:sz w:val="20"/>
                <w:szCs w:val="20"/>
                <w:highlight w:val="yellow"/>
              </w:rPr>
            </w:pPr>
            <w:r w:rsidRPr="007E412C">
              <w:rPr>
                <w:rFonts w:ascii="Arial Narrow" w:hAnsi="Arial Narrow" w:cs="Calibri"/>
                <w:b/>
                <w:bCs/>
                <w:color w:val="000000"/>
                <w:sz w:val="20"/>
                <w:szCs w:val="20"/>
              </w:rPr>
              <w:t>$</w:t>
            </w:r>
            <w:r w:rsidR="002610F9" w:rsidRPr="00B36A58">
              <w:rPr>
                <w:rFonts w:ascii="Arial Narrow" w:hAnsi="Arial Narrow" w:cs="Calibri" w:hint="eastAsia"/>
                <w:b/>
                <w:bCs/>
                <w:color w:val="000000"/>
                <w:w w:val="15"/>
                <w:sz w:val="20"/>
                <w:szCs w:val="20"/>
                <w:shd w:val="solid" w:color="000000" w:fill="000000"/>
                <w:fitText w:val="20" w:id="-1217620465"/>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20" w:id="-1217620465"/>
                <w14:textFill>
                  <w14:solidFill>
                    <w14:srgbClr w14:val="000000">
                      <w14:alpha w14:val="100000"/>
                    </w14:srgbClr>
                  </w14:solidFill>
                </w14:textFill>
              </w:rPr>
              <w:t>|</w:t>
            </w:r>
            <w:r w:rsidR="002610F9" w:rsidRPr="00B36A58">
              <w:rPr>
                <w:rFonts w:ascii="Arial Narrow" w:hAnsi="Arial Narrow" w:cs="Calibri" w:hint="eastAsia"/>
                <w:b/>
                <w:bCs/>
                <w:color w:val="000000"/>
                <w:spacing w:val="-46"/>
                <w:w w:val="15"/>
                <w:sz w:val="20"/>
                <w:szCs w:val="20"/>
                <w:shd w:val="solid" w:color="000000" w:fill="000000"/>
                <w:fitText w:val="20" w:id="-1217620465"/>
                <w14:textFill>
                  <w14:solidFill>
                    <w14:srgbClr w14:val="000000">
                      <w14:alpha w14:val="100000"/>
                    </w14:srgbClr>
                  </w14:solidFill>
                </w14:textFill>
              </w:rPr>
              <w:t xml:space="preserve">　</w:t>
            </w:r>
          </w:p>
        </w:tc>
      </w:tr>
      <w:tr w:rsidR="00D53D17" w:rsidRPr="0049040C" w14:paraId="0A4E5EBB" w14:textId="77777777" w:rsidTr="00AA0C8E">
        <w:trPr>
          <w:trHeight w:val="580"/>
        </w:trPr>
        <w:tc>
          <w:tcPr>
            <w:tcW w:w="632" w:type="pct"/>
            <w:shd w:val="clear" w:color="auto" w:fill="auto"/>
            <w:vAlign w:val="center"/>
            <w:hideMark/>
          </w:tcPr>
          <w:p w14:paraId="51502243" w14:textId="77777777" w:rsidR="00D53D17" w:rsidRPr="00B937FD" w:rsidRDefault="00D53D17" w:rsidP="00B10338">
            <w:pPr>
              <w:keepNext/>
              <w:spacing w:before="0"/>
              <w:rPr>
                <w:rFonts w:ascii="Arial Narrow" w:hAnsi="Arial Narrow" w:cs="Calibri"/>
                <w:color w:val="000000"/>
                <w:sz w:val="20"/>
                <w:szCs w:val="20"/>
              </w:rPr>
            </w:pPr>
            <w:r w:rsidRPr="00B937FD">
              <w:rPr>
                <w:rFonts w:ascii="Arial Narrow" w:hAnsi="Arial Narrow" w:cs="Calibri"/>
                <w:color w:val="000000"/>
                <w:sz w:val="20"/>
                <w:szCs w:val="20"/>
              </w:rPr>
              <w:t xml:space="preserve">Total costs avoided with funding of </w:t>
            </w:r>
            <w:r>
              <w:rPr>
                <w:rFonts w:ascii="Arial Narrow" w:hAnsi="Arial Narrow" w:cs="Calibri"/>
                <w:color w:val="000000"/>
                <w:sz w:val="20"/>
                <w:szCs w:val="20"/>
              </w:rPr>
              <w:t>AXI</w:t>
            </w:r>
          </w:p>
        </w:tc>
        <w:tc>
          <w:tcPr>
            <w:tcW w:w="728" w:type="pct"/>
            <w:shd w:val="clear" w:color="auto" w:fill="auto"/>
            <w:noWrap/>
            <w:vAlign w:val="center"/>
            <w:hideMark/>
          </w:tcPr>
          <w:p w14:paraId="0A3F4FA4" w14:textId="57038A61" w:rsidR="00D53D17" w:rsidRPr="00FA1F5D" w:rsidRDefault="00D53D17" w:rsidP="00B10338">
            <w:pPr>
              <w:keepNext/>
              <w:spacing w:before="0"/>
              <w:jc w:val="center"/>
              <w:rPr>
                <w:rFonts w:ascii="Arial Narrow" w:hAnsi="Arial Narrow" w:cs="Calibri"/>
                <w:color w:val="000000"/>
                <w:sz w:val="20"/>
                <w:szCs w:val="20"/>
                <w:highlight w:val="yellow"/>
              </w:rPr>
            </w:pPr>
            <w:r w:rsidRPr="007E412C">
              <w:rPr>
                <w:rFonts w:ascii="Arial Narrow" w:hAnsi="Arial Narrow" w:cs="Calibri"/>
                <w:b/>
                <w:bCs/>
                <w:color w:val="000000"/>
                <w:sz w:val="20"/>
                <w:szCs w:val="20"/>
              </w:rPr>
              <w:t>$</w:t>
            </w:r>
            <w:r w:rsidR="002610F9" w:rsidRPr="002610F9">
              <w:rPr>
                <w:rFonts w:ascii="Arial Narrow" w:hAnsi="Arial Narrow" w:cs="Calibri"/>
                <w:b/>
                <w:bCs/>
                <w:color w:val="000000"/>
                <w:sz w:val="20"/>
                <w:szCs w:val="20"/>
                <w:shd w:val="solid" w:color="000000" w:fill="000000"/>
                <w14:textFill>
                  <w14:solidFill>
                    <w14:srgbClr w14:val="000000">
                      <w14:alpha w14:val="100000"/>
                    </w14:srgbClr>
                  </w14:solidFill>
                </w14:textFill>
              </w:rPr>
              <w:t>|</w:t>
            </w:r>
          </w:p>
        </w:tc>
        <w:tc>
          <w:tcPr>
            <w:tcW w:w="728" w:type="pct"/>
            <w:shd w:val="clear" w:color="auto" w:fill="auto"/>
            <w:noWrap/>
            <w:vAlign w:val="center"/>
            <w:hideMark/>
          </w:tcPr>
          <w:p w14:paraId="39DEFE40" w14:textId="41BE3C40" w:rsidR="00D53D17" w:rsidRPr="00FA1F5D" w:rsidRDefault="00D53D17" w:rsidP="00B10338">
            <w:pPr>
              <w:keepNext/>
              <w:spacing w:before="0"/>
              <w:jc w:val="center"/>
              <w:rPr>
                <w:rFonts w:ascii="Arial Narrow" w:hAnsi="Arial Narrow" w:cs="Calibri"/>
                <w:color w:val="000000"/>
                <w:sz w:val="20"/>
                <w:szCs w:val="20"/>
                <w:highlight w:val="yellow"/>
              </w:rPr>
            </w:pPr>
            <w:r w:rsidRPr="007E412C">
              <w:rPr>
                <w:rFonts w:ascii="Arial Narrow" w:hAnsi="Arial Narrow" w:cs="Calibri"/>
                <w:b/>
                <w:bCs/>
                <w:color w:val="000000"/>
                <w:sz w:val="20"/>
                <w:szCs w:val="20"/>
              </w:rPr>
              <w:t>$</w:t>
            </w:r>
            <w:r w:rsidR="002610F9" w:rsidRPr="002610F9">
              <w:rPr>
                <w:rFonts w:ascii="Arial Narrow" w:hAnsi="Arial Narrow" w:cs="Calibri"/>
                <w:b/>
                <w:bCs/>
                <w:color w:val="000000"/>
                <w:sz w:val="20"/>
                <w:szCs w:val="20"/>
                <w:shd w:val="solid" w:color="000000" w:fill="000000"/>
                <w14:textFill>
                  <w14:solidFill>
                    <w14:srgbClr w14:val="000000">
                      <w14:alpha w14:val="100000"/>
                    </w14:srgbClr>
                  </w14:solidFill>
                </w14:textFill>
              </w:rPr>
              <w:t>|</w:t>
            </w:r>
          </w:p>
        </w:tc>
        <w:tc>
          <w:tcPr>
            <w:tcW w:w="728" w:type="pct"/>
            <w:shd w:val="clear" w:color="auto" w:fill="auto"/>
            <w:noWrap/>
            <w:vAlign w:val="center"/>
            <w:hideMark/>
          </w:tcPr>
          <w:p w14:paraId="3ACCB584" w14:textId="5345FC48" w:rsidR="00D53D17" w:rsidRPr="00FA1F5D" w:rsidRDefault="00D53D17" w:rsidP="00B10338">
            <w:pPr>
              <w:keepNext/>
              <w:spacing w:before="0"/>
              <w:jc w:val="center"/>
              <w:rPr>
                <w:rFonts w:ascii="Arial Narrow" w:hAnsi="Arial Narrow" w:cs="Calibri"/>
                <w:color w:val="000000"/>
                <w:sz w:val="20"/>
                <w:szCs w:val="20"/>
                <w:highlight w:val="yellow"/>
              </w:rPr>
            </w:pPr>
            <w:r w:rsidRPr="007E412C">
              <w:rPr>
                <w:rFonts w:ascii="Arial Narrow" w:hAnsi="Arial Narrow" w:cs="Calibri"/>
                <w:b/>
                <w:bCs/>
                <w:color w:val="000000"/>
                <w:sz w:val="20"/>
                <w:szCs w:val="20"/>
              </w:rPr>
              <w:t>$</w:t>
            </w:r>
            <w:r w:rsidR="002610F9" w:rsidRPr="002610F9">
              <w:rPr>
                <w:rFonts w:ascii="Arial Narrow" w:hAnsi="Arial Narrow" w:cs="Calibri"/>
                <w:b/>
                <w:bCs/>
                <w:color w:val="000000"/>
                <w:sz w:val="20"/>
                <w:szCs w:val="20"/>
                <w:shd w:val="solid" w:color="000000" w:fill="000000"/>
                <w14:textFill>
                  <w14:solidFill>
                    <w14:srgbClr w14:val="000000">
                      <w14:alpha w14:val="100000"/>
                    </w14:srgbClr>
                  </w14:solidFill>
                </w14:textFill>
              </w:rPr>
              <w:t>|</w:t>
            </w:r>
          </w:p>
        </w:tc>
        <w:tc>
          <w:tcPr>
            <w:tcW w:w="728" w:type="pct"/>
            <w:shd w:val="clear" w:color="auto" w:fill="auto"/>
            <w:noWrap/>
            <w:vAlign w:val="center"/>
            <w:hideMark/>
          </w:tcPr>
          <w:p w14:paraId="5A5C61BE" w14:textId="1896871F" w:rsidR="00D53D17" w:rsidRPr="00FA1F5D" w:rsidRDefault="00D53D17" w:rsidP="00B10338">
            <w:pPr>
              <w:keepNext/>
              <w:spacing w:before="0"/>
              <w:jc w:val="center"/>
              <w:rPr>
                <w:rFonts w:ascii="Arial Narrow" w:hAnsi="Arial Narrow" w:cs="Calibri"/>
                <w:color w:val="000000"/>
                <w:sz w:val="20"/>
                <w:szCs w:val="20"/>
                <w:highlight w:val="yellow"/>
              </w:rPr>
            </w:pPr>
            <w:r w:rsidRPr="007E412C">
              <w:rPr>
                <w:rFonts w:ascii="Arial Narrow" w:hAnsi="Arial Narrow" w:cs="Calibri"/>
                <w:b/>
                <w:bCs/>
                <w:color w:val="000000"/>
                <w:sz w:val="20"/>
                <w:szCs w:val="20"/>
              </w:rPr>
              <w:t>$</w:t>
            </w:r>
            <w:r w:rsidR="002610F9" w:rsidRPr="002610F9">
              <w:rPr>
                <w:rFonts w:ascii="Arial Narrow" w:hAnsi="Arial Narrow" w:cs="Calibri"/>
                <w:b/>
                <w:bCs/>
                <w:color w:val="000000"/>
                <w:sz w:val="20"/>
                <w:szCs w:val="20"/>
                <w:shd w:val="solid" w:color="000000" w:fill="000000"/>
                <w14:textFill>
                  <w14:solidFill>
                    <w14:srgbClr w14:val="000000">
                      <w14:alpha w14:val="100000"/>
                    </w14:srgbClr>
                  </w14:solidFill>
                </w14:textFill>
              </w:rPr>
              <w:t>|</w:t>
            </w:r>
          </w:p>
        </w:tc>
        <w:tc>
          <w:tcPr>
            <w:tcW w:w="729" w:type="pct"/>
            <w:shd w:val="clear" w:color="auto" w:fill="auto"/>
            <w:noWrap/>
            <w:vAlign w:val="center"/>
            <w:hideMark/>
          </w:tcPr>
          <w:p w14:paraId="251E993B" w14:textId="03A8CE61" w:rsidR="00D53D17" w:rsidRPr="00FA1F5D" w:rsidRDefault="00D53D17" w:rsidP="00B10338">
            <w:pPr>
              <w:keepNext/>
              <w:spacing w:before="0"/>
              <w:jc w:val="center"/>
              <w:rPr>
                <w:rFonts w:ascii="Arial Narrow" w:hAnsi="Arial Narrow" w:cs="Calibri"/>
                <w:color w:val="000000"/>
                <w:sz w:val="20"/>
                <w:szCs w:val="20"/>
                <w:highlight w:val="yellow"/>
              </w:rPr>
            </w:pPr>
            <w:r w:rsidRPr="007E412C">
              <w:rPr>
                <w:rFonts w:ascii="Arial Narrow" w:hAnsi="Arial Narrow" w:cs="Calibri"/>
                <w:b/>
                <w:bCs/>
                <w:color w:val="000000"/>
                <w:sz w:val="20"/>
                <w:szCs w:val="20"/>
              </w:rPr>
              <w:t>$</w:t>
            </w:r>
            <w:r w:rsidR="002610F9" w:rsidRPr="002610F9">
              <w:rPr>
                <w:rFonts w:ascii="Arial Narrow" w:hAnsi="Arial Narrow" w:cs="Calibri"/>
                <w:b/>
                <w:bCs/>
                <w:color w:val="000000"/>
                <w:sz w:val="20"/>
                <w:szCs w:val="20"/>
                <w:shd w:val="solid" w:color="000000" w:fill="000000"/>
                <w14:textFill>
                  <w14:solidFill>
                    <w14:srgbClr w14:val="000000">
                      <w14:alpha w14:val="100000"/>
                    </w14:srgbClr>
                  </w14:solidFill>
                </w14:textFill>
              </w:rPr>
              <w:t>|</w:t>
            </w:r>
          </w:p>
        </w:tc>
        <w:tc>
          <w:tcPr>
            <w:tcW w:w="727" w:type="pct"/>
            <w:shd w:val="clear" w:color="auto" w:fill="auto"/>
            <w:noWrap/>
            <w:vAlign w:val="center"/>
            <w:hideMark/>
          </w:tcPr>
          <w:p w14:paraId="21E932CB" w14:textId="104AF1B6" w:rsidR="00D53D17" w:rsidRPr="00FA1F5D" w:rsidRDefault="00D53D17" w:rsidP="00B10338">
            <w:pPr>
              <w:keepNext/>
              <w:spacing w:before="0"/>
              <w:jc w:val="center"/>
              <w:rPr>
                <w:rFonts w:ascii="Arial Narrow" w:hAnsi="Arial Narrow" w:cs="Calibri"/>
                <w:color w:val="000000"/>
                <w:sz w:val="20"/>
                <w:szCs w:val="20"/>
                <w:highlight w:val="yellow"/>
              </w:rPr>
            </w:pPr>
            <w:r w:rsidRPr="007E412C">
              <w:rPr>
                <w:rFonts w:ascii="Arial Narrow" w:hAnsi="Arial Narrow" w:cs="Calibri"/>
                <w:b/>
                <w:bCs/>
                <w:color w:val="000000"/>
                <w:sz w:val="20"/>
                <w:szCs w:val="20"/>
              </w:rPr>
              <w:t>$</w:t>
            </w:r>
            <w:r w:rsidR="002610F9" w:rsidRPr="00B36A58">
              <w:rPr>
                <w:rFonts w:ascii="Arial Narrow" w:hAnsi="Arial Narrow" w:cs="Calibri" w:hint="eastAsia"/>
                <w:b/>
                <w:bCs/>
                <w:color w:val="000000"/>
                <w:w w:val="15"/>
                <w:sz w:val="20"/>
                <w:szCs w:val="20"/>
                <w:shd w:val="solid" w:color="000000" w:fill="000000"/>
                <w:fitText w:val="20" w:id="-1217620464"/>
                <w14:textFill>
                  <w14:solidFill>
                    <w14:srgbClr w14:val="000000">
                      <w14:alpha w14:val="100000"/>
                    </w14:srgbClr>
                  </w14:solidFill>
                </w14:textFill>
              </w:rPr>
              <w:t xml:space="preserve">　</w:t>
            </w:r>
            <w:r w:rsidR="002610F9" w:rsidRPr="00B36A58">
              <w:rPr>
                <w:rFonts w:ascii="Arial Narrow" w:hAnsi="Arial Narrow" w:cs="Calibri"/>
                <w:b/>
                <w:bCs/>
                <w:color w:val="000000"/>
                <w:w w:val="15"/>
                <w:sz w:val="20"/>
                <w:szCs w:val="20"/>
                <w:shd w:val="solid" w:color="000000" w:fill="000000"/>
                <w:fitText w:val="20" w:id="-1217620464"/>
                <w14:textFill>
                  <w14:solidFill>
                    <w14:srgbClr w14:val="000000">
                      <w14:alpha w14:val="100000"/>
                    </w14:srgbClr>
                  </w14:solidFill>
                </w14:textFill>
              </w:rPr>
              <w:t>|</w:t>
            </w:r>
            <w:r w:rsidR="002610F9" w:rsidRPr="00B36A58">
              <w:rPr>
                <w:rFonts w:ascii="Arial Narrow" w:hAnsi="Arial Narrow" w:cs="Calibri" w:hint="eastAsia"/>
                <w:b/>
                <w:bCs/>
                <w:color w:val="000000"/>
                <w:spacing w:val="-46"/>
                <w:w w:val="15"/>
                <w:sz w:val="20"/>
                <w:szCs w:val="20"/>
                <w:shd w:val="solid" w:color="000000" w:fill="000000"/>
                <w:fitText w:val="20" w:id="-1217620464"/>
                <w14:textFill>
                  <w14:solidFill>
                    <w14:srgbClr w14:val="000000">
                      <w14:alpha w14:val="100000"/>
                    </w14:srgbClr>
                  </w14:solidFill>
                </w14:textFill>
              </w:rPr>
              <w:t xml:space="preserve">　</w:t>
            </w:r>
          </w:p>
        </w:tc>
      </w:tr>
    </w:tbl>
    <w:p w14:paraId="33B0D8B1" w14:textId="77777777" w:rsidR="00D53D17" w:rsidRDefault="00D53D17" w:rsidP="004B432F">
      <w:pPr>
        <w:pStyle w:val="a-TableFOOTER"/>
        <w:keepNext/>
        <w:spacing w:after="240"/>
      </w:pPr>
      <w:r>
        <w:t>Abbreviations: 1L=</w:t>
      </w:r>
      <w:proofErr w:type="gramStart"/>
      <w:r>
        <w:t>first-line</w:t>
      </w:r>
      <w:proofErr w:type="gramEnd"/>
      <w:r>
        <w:t xml:space="preserve">; </w:t>
      </w:r>
      <w:r w:rsidRPr="00811951">
        <w:t>2L=second</w:t>
      </w:r>
      <w:r>
        <w:t>-</w:t>
      </w:r>
      <w:r w:rsidRPr="00811951">
        <w:t>line</w:t>
      </w:r>
      <w:r>
        <w:t>; SoC=standard of care</w:t>
      </w:r>
    </w:p>
    <w:p w14:paraId="48A929D7" w14:textId="27009C4A" w:rsidR="00E20E63" w:rsidRDefault="00E20E63" w:rsidP="004B432F">
      <w:pPr>
        <w:pStyle w:val="Caption"/>
        <w:spacing w:before="0" w:after="0"/>
      </w:pPr>
      <w:r>
        <w:t xml:space="preserve">Table </w:t>
      </w:r>
      <w:r w:rsidR="008633B7">
        <w:t>1</w:t>
      </w:r>
      <w:r w:rsidR="00D733BB">
        <w:t>4</w:t>
      </w:r>
      <w:r>
        <w:t xml:space="preserve"> </w:t>
      </w:r>
      <w:r w:rsidRPr="00396514">
        <w:t xml:space="preserve">Net financial implications of AXI in the 2L setting to the </w:t>
      </w:r>
      <w:r w:rsidR="00F027BB" w:rsidRPr="00F027BB">
        <w:t>state and commonwealth health departments</w:t>
      </w:r>
      <w:r w:rsidRPr="00396514">
        <w:t>.</w:t>
      </w:r>
    </w:p>
    <w:tbl>
      <w:tblPr>
        <w:tblStyle w:val="TableGrid1"/>
        <w:tblW w:w="4997" w:type="pct"/>
        <w:tblCellMar>
          <w:top w:w="28" w:type="dxa"/>
          <w:left w:w="28" w:type="dxa"/>
          <w:bottom w:w="28" w:type="dxa"/>
          <w:right w:w="28" w:type="dxa"/>
        </w:tblCellMar>
        <w:tblLook w:val="04A0" w:firstRow="1" w:lastRow="0" w:firstColumn="1" w:lastColumn="0" w:noHBand="0" w:noVBand="1"/>
      </w:tblPr>
      <w:tblGrid>
        <w:gridCol w:w="1401"/>
        <w:gridCol w:w="1269"/>
        <w:gridCol w:w="1269"/>
        <w:gridCol w:w="1269"/>
        <w:gridCol w:w="1269"/>
        <w:gridCol w:w="1269"/>
        <w:gridCol w:w="1265"/>
      </w:tblGrid>
      <w:tr w:rsidR="00D53D17" w:rsidRPr="0049040C" w14:paraId="29665C33" w14:textId="77777777" w:rsidTr="00AA0C8E">
        <w:trPr>
          <w:cnfStyle w:val="100000000000" w:firstRow="1" w:lastRow="0" w:firstColumn="0" w:lastColumn="0" w:oddVBand="0" w:evenVBand="0" w:oddHBand="0" w:evenHBand="0" w:firstRowFirstColumn="0" w:firstRowLastColumn="0" w:lastRowFirstColumn="0" w:lastRowLastColumn="0"/>
          <w:trHeight w:val="386"/>
        </w:trPr>
        <w:tc>
          <w:tcPr>
            <w:tcW w:w="777" w:type="pct"/>
            <w:shd w:val="clear" w:color="auto" w:fill="auto"/>
          </w:tcPr>
          <w:p w14:paraId="2A4E2F6E" w14:textId="77777777" w:rsidR="00D53D17" w:rsidRPr="0049040C" w:rsidRDefault="00D53D17" w:rsidP="00B10338">
            <w:pPr>
              <w:spacing w:before="0"/>
              <w:rPr>
                <w:rFonts w:ascii="Arial Narrow" w:hAnsi="Arial Narrow" w:cs="Calibri"/>
                <w:b/>
                <w:bCs/>
                <w:color w:val="000000"/>
                <w:sz w:val="20"/>
                <w:szCs w:val="20"/>
              </w:rPr>
            </w:pPr>
          </w:p>
        </w:tc>
        <w:tc>
          <w:tcPr>
            <w:tcW w:w="704" w:type="pct"/>
            <w:shd w:val="clear" w:color="auto" w:fill="auto"/>
            <w:noWrap/>
            <w:vAlign w:val="center"/>
          </w:tcPr>
          <w:p w14:paraId="7370D118" w14:textId="77777777" w:rsidR="00D53D17" w:rsidRPr="0049040C" w:rsidRDefault="00D53D17" w:rsidP="00B10338">
            <w:pPr>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2023</w:t>
            </w:r>
          </w:p>
          <w:p w14:paraId="147E4D9B" w14:textId="4A126960" w:rsidR="00D53D17" w:rsidRDefault="00D53D17" w:rsidP="00B10338">
            <w:pPr>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(Year 1)</w:t>
            </w:r>
          </w:p>
        </w:tc>
        <w:tc>
          <w:tcPr>
            <w:tcW w:w="704" w:type="pct"/>
            <w:shd w:val="clear" w:color="auto" w:fill="auto"/>
            <w:noWrap/>
            <w:vAlign w:val="center"/>
          </w:tcPr>
          <w:p w14:paraId="3F6151D4" w14:textId="77777777" w:rsidR="00D53D17" w:rsidRPr="0049040C" w:rsidRDefault="00D53D17" w:rsidP="00B10338">
            <w:pPr>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2024</w:t>
            </w:r>
          </w:p>
          <w:p w14:paraId="4C73E117" w14:textId="138D1693" w:rsidR="00D53D17" w:rsidRDefault="00D53D17" w:rsidP="00B10338">
            <w:pPr>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(Year 2)</w:t>
            </w:r>
          </w:p>
        </w:tc>
        <w:tc>
          <w:tcPr>
            <w:tcW w:w="704" w:type="pct"/>
            <w:shd w:val="clear" w:color="auto" w:fill="auto"/>
            <w:noWrap/>
            <w:vAlign w:val="center"/>
          </w:tcPr>
          <w:p w14:paraId="26A7AFBD" w14:textId="77777777" w:rsidR="00D53D17" w:rsidRPr="0049040C" w:rsidRDefault="00D53D17" w:rsidP="00B10338">
            <w:pPr>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2025</w:t>
            </w:r>
          </w:p>
          <w:p w14:paraId="148F0886" w14:textId="0A0DB131" w:rsidR="00D53D17" w:rsidRDefault="00D53D17" w:rsidP="00B10338">
            <w:pPr>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(Year 3)</w:t>
            </w:r>
          </w:p>
        </w:tc>
        <w:tc>
          <w:tcPr>
            <w:tcW w:w="704" w:type="pct"/>
            <w:shd w:val="clear" w:color="auto" w:fill="auto"/>
            <w:noWrap/>
            <w:vAlign w:val="center"/>
          </w:tcPr>
          <w:p w14:paraId="4A535BDF" w14:textId="77777777" w:rsidR="00D53D17" w:rsidRPr="0049040C" w:rsidRDefault="00D53D17" w:rsidP="00B10338">
            <w:pPr>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2026</w:t>
            </w:r>
          </w:p>
          <w:p w14:paraId="4E46B600" w14:textId="7AF86741" w:rsidR="00D53D17" w:rsidRDefault="00D53D17" w:rsidP="00B10338">
            <w:pPr>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(Year 4)</w:t>
            </w:r>
          </w:p>
        </w:tc>
        <w:tc>
          <w:tcPr>
            <w:tcW w:w="704" w:type="pct"/>
            <w:shd w:val="clear" w:color="auto" w:fill="auto"/>
            <w:noWrap/>
            <w:vAlign w:val="center"/>
          </w:tcPr>
          <w:p w14:paraId="269E2260" w14:textId="77777777" w:rsidR="00D53D17" w:rsidRPr="0049040C" w:rsidRDefault="00D53D17" w:rsidP="00B10338">
            <w:pPr>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2027</w:t>
            </w:r>
          </w:p>
          <w:p w14:paraId="09C0F61F" w14:textId="1B9976CC" w:rsidR="00D53D17" w:rsidRDefault="00D53D17" w:rsidP="00B10338">
            <w:pPr>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(Year 5)</w:t>
            </w:r>
          </w:p>
        </w:tc>
        <w:tc>
          <w:tcPr>
            <w:tcW w:w="702" w:type="pct"/>
            <w:shd w:val="clear" w:color="auto" w:fill="auto"/>
            <w:noWrap/>
            <w:vAlign w:val="center"/>
          </w:tcPr>
          <w:p w14:paraId="696F333E" w14:textId="77777777" w:rsidR="00D53D17" w:rsidRPr="0049040C" w:rsidRDefault="00D53D17" w:rsidP="00B10338">
            <w:pPr>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2028</w:t>
            </w:r>
          </w:p>
          <w:p w14:paraId="4AAEA7C0" w14:textId="6A0DC822" w:rsidR="00D53D17" w:rsidRDefault="00D53D17" w:rsidP="00B10338">
            <w:pPr>
              <w:spacing w:before="0"/>
              <w:jc w:val="center"/>
              <w:rPr>
                <w:rFonts w:ascii="Arial Narrow" w:hAnsi="Arial Narrow" w:cs="Calibri"/>
                <w:b/>
                <w:bCs/>
                <w:color w:val="000000"/>
                <w:sz w:val="20"/>
                <w:szCs w:val="20"/>
              </w:rPr>
            </w:pPr>
            <w:r w:rsidRPr="0049040C">
              <w:rPr>
                <w:rFonts w:ascii="Arial Narrow" w:hAnsi="Arial Narrow" w:cs="Calibri"/>
                <w:b/>
                <w:bCs/>
                <w:color w:val="000000"/>
                <w:sz w:val="20"/>
                <w:szCs w:val="20"/>
              </w:rPr>
              <w:t>(Year 6)</w:t>
            </w:r>
          </w:p>
        </w:tc>
      </w:tr>
      <w:tr w:rsidR="00D53D17" w:rsidRPr="0049040C" w14:paraId="7F45C053" w14:textId="77777777" w:rsidTr="00AA0C8E">
        <w:trPr>
          <w:trHeight w:val="386"/>
        </w:trPr>
        <w:tc>
          <w:tcPr>
            <w:tcW w:w="777" w:type="pct"/>
            <w:shd w:val="clear" w:color="auto" w:fill="auto"/>
            <w:vAlign w:val="center"/>
          </w:tcPr>
          <w:p w14:paraId="03394164" w14:textId="4DBA2BC6" w:rsidR="00D53D17" w:rsidRPr="0049040C" w:rsidRDefault="00D53D17" w:rsidP="00B10338">
            <w:pPr>
              <w:spacing w:before="0"/>
              <w:rPr>
                <w:rFonts w:ascii="Arial Narrow" w:hAnsi="Arial Narrow" w:cs="Calibri"/>
                <w:b/>
                <w:bCs/>
                <w:color w:val="000000"/>
                <w:sz w:val="20"/>
                <w:szCs w:val="20"/>
              </w:rPr>
            </w:pPr>
            <w:r w:rsidRPr="00B937FD">
              <w:rPr>
                <w:rFonts w:ascii="Arial Narrow" w:hAnsi="Arial Narrow" w:cs="Calibri"/>
                <w:color w:val="000000"/>
                <w:sz w:val="20"/>
                <w:szCs w:val="20"/>
              </w:rPr>
              <w:t xml:space="preserve">Total costs associated with funding of </w:t>
            </w:r>
            <w:r>
              <w:rPr>
                <w:rFonts w:ascii="Arial Narrow" w:hAnsi="Arial Narrow" w:cs="Calibri"/>
                <w:color w:val="000000"/>
                <w:sz w:val="20"/>
                <w:szCs w:val="20"/>
              </w:rPr>
              <w:t>AXI</w:t>
            </w:r>
          </w:p>
        </w:tc>
        <w:tc>
          <w:tcPr>
            <w:tcW w:w="704" w:type="pct"/>
            <w:shd w:val="clear" w:color="auto" w:fill="auto"/>
            <w:noWrap/>
            <w:vAlign w:val="center"/>
          </w:tcPr>
          <w:p w14:paraId="468E5558" w14:textId="0D4D46FA" w:rsidR="00D53D17" w:rsidRPr="00FA1F5D" w:rsidRDefault="00D53D17" w:rsidP="00B10338">
            <w:pPr>
              <w:spacing w:before="0"/>
              <w:jc w:val="center"/>
              <w:rPr>
                <w:rFonts w:ascii="Arial Narrow" w:hAnsi="Arial Narrow" w:cs="Calibri"/>
                <w:color w:val="000000"/>
                <w:sz w:val="20"/>
                <w:szCs w:val="20"/>
                <w:highlight w:val="yellow"/>
              </w:rPr>
            </w:pPr>
            <w:r w:rsidRPr="007E412C">
              <w:rPr>
                <w:rFonts w:ascii="Arial Narrow" w:hAnsi="Arial Narrow" w:cs="Calibri"/>
                <w:color w:val="000000"/>
                <w:sz w:val="20"/>
                <w:szCs w:val="20"/>
              </w:rPr>
              <w:t>$</w:t>
            </w:r>
            <w:r w:rsidR="002610F9" w:rsidRPr="002610F9">
              <w:rPr>
                <w:rFonts w:ascii="Arial Narrow" w:hAnsi="Arial Narrow" w:cs="Calibri"/>
                <w:color w:val="000000"/>
                <w:sz w:val="20"/>
                <w:szCs w:val="20"/>
                <w:shd w:val="solid" w:color="000000" w:fill="000000"/>
                <w14:textFill>
                  <w14:solidFill>
                    <w14:srgbClr w14:val="000000">
                      <w14:alpha w14:val="100000"/>
                    </w14:srgbClr>
                  </w14:solidFill>
                </w14:textFill>
              </w:rPr>
              <w:t>|</w:t>
            </w:r>
          </w:p>
        </w:tc>
        <w:tc>
          <w:tcPr>
            <w:tcW w:w="704" w:type="pct"/>
            <w:shd w:val="clear" w:color="auto" w:fill="auto"/>
            <w:noWrap/>
            <w:vAlign w:val="center"/>
          </w:tcPr>
          <w:p w14:paraId="5D6CFDC4" w14:textId="066199F0" w:rsidR="00D53D17" w:rsidRPr="00FA1F5D" w:rsidRDefault="00D53D17" w:rsidP="00B10338">
            <w:pPr>
              <w:spacing w:before="0"/>
              <w:jc w:val="center"/>
              <w:rPr>
                <w:rFonts w:ascii="Arial Narrow" w:hAnsi="Arial Narrow" w:cs="Calibri"/>
                <w:color w:val="000000"/>
                <w:sz w:val="20"/>
                <w:szCs w:val="20"/>
                <w:highlight w:val="yellow"/>
              </w:rPr>
            </w:pPr>
            <w:r w:rsidRPr="007E412C">
              <w:rPr>
                <w:rFonts w:ascii="Arial Narrow" w:hAnsi="Arial Narrow" w:cs="Calibri"/>
                <w:color w:val="000000"/>
                <w:sz w:val="20"/>
                <w:szCs w:val="20"/>
              </w:rPr>
              <w:t>$</w:t>
            </w:r>
            <w:r w:rsidR="002610F9" w:rsidRPr="002610F9">
              <w:rPr>
                <w:rFonts w:ascii="Arial Narrow" w:hAnsi="Arial Narrow" w:cs="Calibri"/>
                <w:color w:val="000000"/>
                <w:sz w:val="20"/>
                <w:szCs w:val="20"/>
                <w:shd w:val="solid" w:color="000000" w:fill="000000"/>
                <w14:textFill>
                  <w14:solidFill>
                    <w14:srgbClr w14:val="000000">
                      <w14:alpha w14:val="100000"/>
                    </w14:srgbClr>
                  </w14:solidFill>
                </w14:textFill>
              </w:rPr>
              <w:t>|</w:t>
            </w:r>
          </w:p>
        </w:tc>
        <w:tc>
          <w:tcPr>
            <w:tcW w:w="704" w:type="pct"/>
            <w:shd w:val="clear" w:color="auto" w:fill="auto"/>
            <w:noWrap/>
            <w:vAlign w:val="center"/>
          </w:tcPr>
          <w:p w14:paraId="39502F28" w14:textId="4490318C" w:rsidR="00D53D17" w:rsidRPr="00FA1F5D" w:rsidRDefault="00D53D17" w:rsidP="00B10338">
            <w:pPr>
              <w:spacing w:before="0"/>
              <w:jc w:val="center"/>
              <w:rPr>
                <w:rFonts w:ascii="Arial Narrow" w:hAnsi="Arial Narrow" w:cs="Calibri"/>
                <w:color w:val="000000"/>
                <w:sz w:val="20"/>
                <w:szCs w:val="20"/>
                <w:highlight w:val="yellow"/>
              </w:rPr>
            </w:pPr>
            <w:r w:rsidRPr="007E412C">
              <w:rPr>
                <w:rFonts w:ascii="Arial Narrow" w:hAnsi="Arial Narrow" w:cs="Calibri"/>
                <w:color w:val="000000"/>
                <w:sz w:val="20"/>
                <w:szCs w:val="20"/>
              </w:rPr>
              <w:t>$</w:t>
            </w:r>
            <w:r w:rsidR="002610F9" w:rsidRPr="002610F9">
              <w:rPr>
                <w:rFonts w:ascii="Arial Narrow" w:hAnsi="Arial Narrow" w:cs="Calibri"/>
                <w:color w:val="000000"/>
                <w:sz w:val="20"/>
                <w:szCs w:val="20"/>
                <w:shd w:val="solid" w:color="000000" w:fill="000000"/>
                <w14:textFill>
                  <w14:solidFill>
                    <w14:srgbClr w14:val="000000">
                      <w14:alpha w14:val="100000"/>
                    </w14:srgbClr>
                  </w14:solidFill>
                </w14:textFill>
              </w:rPr>
              <w:t>|</w:t>
            </w:r>
          </w:p>
        </w:tc>
        <w:tc>
          <w:tcPr>
            <w:tcW w:w="704" w:type="pct"/>
            <w:shd w:val="clear" w:color="auto" w:fill="auto"/>
            <w:noWrap/>
            <w:vAlign w:val="center"/>
          </w:tcPr>
          <w:p w14:paraId="542DDB09" w14:textId="1FDFF45A" w:rsidR="00D53D17" w:rsidRPr="00FA1F5D" w:rsidRDefault="00D53D17" w:rsidP="00B10338">
            <w:pPr>
              <w:spacing w:before="0"/>
              <w:jc w:val="center"/>
              <w:rPr>
                <w:rFonts w:ascii="Arial Narrow" w:hAnsi="Arial Narrow" w:cs="Calibri"/>
                <w:color w:val="000000"/>
                <w:sz w:val="20"/>
                <w:szCs w:val="20"/>
                <w:highlight w:val="yellow"/>
              </w:rPr>
            </w:pPr>
            <w:r w:rsidRPr="007E412C">
              <w:rPr>
                <w:rFonts w:ascii="Arial Narrow" w:hAnsi="Arial Narrow" w:cs="Calibri"/>
                <w:color w:val="000000"/>
                <w:sz w:val="20"/>
                <w:szCs w:val="20"/>
              </w:rPr>
              <w:t>$</w:t>
            </w:r>
            <w:r w:rsidR="002610F9" w:rsidRPr="002610F9">
              <w:rPr>
                <w:rFonts w:ascii="Arial Narrow" w:hAnsi="Arial Narrow" w:cs="Calibri"/>
                <w:color w:val="000000"/>
                <w:sz w:val="20"/>
                <w:szCs w:val="20"/>
                <w:shd w:val="solid" w:color="000000" w:fill="000000"/>
                <w14:textFill>
                  <w14:solidFill>
                    <w14:srgbClr w14:val="000000">
                      <w14:alpha w14:val="100000"/>
                    </w14:srgbClr>
                  </w14:solidFill>
                </w14:textFill>
              </w:rPr>
              <w:t>|</w:t>
            </w:r>
          </w:p>
        </w:tc>
        <w:tc>
          <w:tcPr>
            <w:tcW w:w="704" w:type="pct"/>
            <w:shd w:val="clear" w:color="auto" w:fill="auto"/>
            <w:noWrap/>
            <w:vAlign w:val="center"/>
          </w:tcPr>
          <w:p w14:paraId="7E38C960" w14:textId="343BDCF5" w:rsidR="00D53D17" w:rsidRPr="00FA1F5D" w:rsidRDefault="00D53D17" w:rsidP="00B10338">
            <w:pPr>
              <w:spacing w:before="0"/>
              <w:jc w:val="center"/>
              <w:rPr>
                <w:rFonts w:ascii="Arial Narrow" w:hAnsi="Arial Narrow" w:cs="Calibri"/>
                <w:color w:val="000000"/>
                <w:sz w:val="20"/>
                <w:szCs w:val="20"/>
                <w:highlight w:val="yellow"/>
              </w:rPr>
            </w:pPr>
            <w:r w:rsidRPr="007E412C">
              <w:rPr>
                <w:rFonts w:ascii="Arial Narrow" w:hAnsi="Arial Narrow" w:cs="Calibri"/>
                <w:color w:val="000000"/>
                <w:sz w:val="20"/>
                <w:szCs w:val="20"/>
              </w:rPr>
              <w:t>$</w:t>
            </w:r>
            <w:r w:rsidR="002610F9" w:rsidRPr="002610F9">
              <w:rPr>
                <w:rFonts w:ascii="Arial Narrow" w:hAnsi="Arial Narrow" w:cs="Calibri"/>
                <w:color w:val="000000"/>
                <w:sz w:val="20"/>
                <w:szCs w:val="20"/>
                <w:shd w:val="solid" w:color="000000" w:fill="000000"/>
                <w14:textFill>
                  <w14:solidFill>
                    <w14:srgbClr w14:val="000000">
                      <w14:alpha w14:val="100000"/>
                    </w14:srgbClr>
                  </w14:solidFill>
                </w14:textFill>
              </w:rPr>
              <w:t>|</w:t>
            </w:r>
          </w:p>
        </w:tc>
        <w:tc>
          <w:tcPr>
            <w:tcW w:w="702" w:type="pct"/>
            <w:shd w:val="clear" w:color="auto" w:fill="auto"/>
            <w:noWrap/>
            <w:vAlign w:val="center"/>
          </w:tcPr>
          <w:p w14:paraId="6392514C" w14:textId="6E08560D" w:rsidR="00D53D17" w:rsidRPr="00FA1F5D" w:rsidRDefault="00D53D17" w:rsidP="00B10338">
            <w:pPr>
              <w:spacing w:before="0"/>
              <w:jc w:val="center"/>
              <w:rPr>
                <w:rFonts w:ascii="Arial Narrow" w:hAnsi="Arial Narrow" w:cs="Calibri"/>
                <w:color w:val="000000"/>
                <w:sz w:val="20"/>
                <w:szCs w:val="20"/>
                <w:highlight w:val="yellow"/>
              </w:rPr>
            </w:pPr>
            <w:r w:rsidRPr="007E412C">
              <w:rPr>
                <w:rFonts w:ascii="Arial Narrow" w:hAnsi="Arial Narrow" w:cs="Calibri"/>
                <w:color w:val="000000"/>
                <w:sz w:val="20"/>
                <w:szCs w:val="20"/>
              </w:rPr>
              <w:t>$</w:t>
            </w:r>
            <w:r w:rsidR="002610F9" w:rsidRPr="002610F9">
              <w:rPr>
                <w:rFonts w:ascii="Arial Narrow" w:hAnsi="Arial Narrow" w:cs="Calibri"/>
                <w:color w:val="000000"/>
                <w:sz w:val="20"/>
                <w:szCs w:val="20"/>
                <w:shd w:val="solid" w:color="000000" w:fill="000000"/>
                <w14:textFill>
                  <w14:solidFill>
                    <w14:srgbClr w14:val="000000">
                      <w14:alpha w14:val="100000"/>
                    </w14:srgbClr>
                  </w14:solidFill>
                </w14:textFill>
              </w:rPr>
              <w:t>|</w:t>
            </w:r>
          </w:p>
        </w:tc>
      </w:tr>
      <w:tr w:rsidR="00D53D17" w:rsidRPr="0049040C" w14:paraId="15C75CDE" w14:textId="77777777" w:rsidTr="00AA0C8E">
        <w:trPr>
          <w:trHeight w:val="386"/>
        </w:trPr>
        <w:tc>
          <w:tcPr>
            <w:tcW w:w="777" w:type="pct"/>
            <w:shd w:val="clear" w:color="auto" w:fill="auto"/>
            <w:vAlign w:val="center"/>
          </w:tcPr>
          <w:p w14:paraId="1B33A3F6" w14:textId="0D5A5500" w:rsidR="00D53D17" w:rsidRPr="0049040C" w:rsidRDefault="00D53D17" w:rsidP="00B10338">
            <w:pPr>
              <w:spacing w:before="0"/>
              <w:rPr>
                <w:rFonts w:ascii="Arial Narrow" w:hAnsi="Arial Narrow" w:cs="Calibri"/>
                <w:b/>
                <w:bCs/>
                <w:color w:val="000000"/>
                <w:sz w:val="20"/>
                <w:szCs w:val="20"/>
              </w:rPr>
            </w:pPr>
            <w:r w:rsidRPr="00B937FD">
              <w:rPr>
                <w:rFonts w:ascii="Arial Narrow" w:hAnsi="Arial Narrow" w:cs="Calibri"/>
                <w:color w:val="000000"/>
                <w:sz w:val="20"/>
                <w:szCs w:val="20"/>
              </w:rPr>
              <w:t xml:space="preserve">Total costs avoided with funding of </w:t>
            </w:r>
            <w:r>
              <w:rPr>
                <w:rFonts w:ascii="Arial Narrow" w:hAnsi="Arial Narrow" w:cs="Calibri"/>
                <w:color w:val="000000"/>
                <w:sz w:val="20"/>
                <w:szCs w:val="20"/>
              </w:rPr>
              <w:t>AXI</w:t>
            </w:r>
          </w:p>
        </w:tc>
        <w:tc>
          <w:tcPr>
            <w:tcW w:w="704" w:type="pct"/>
            <w:shd w:val="clear" w:color="auto" w:fill="auto"/>
            <w:noWrap/>
            <w:vAlign w:val="center"/>
          </w:tcPr>
          <w:p w14:paraId="2725CFDD" w14:textId="0B3D5286" w:rsidR="00D53D17" w:rsidRPr="00FA1F5D" w:rsidRDefault="00D53D17" w:rsidP="00B10338">
            <w:pPr>
              <w:spacing w:before="0"/>
              <w:jc w:val="center"/>
              <w:rPr>
                <w:rFonts w:ascii="Arial Narrow" w:hAnsi="Arial Narrow" w:cs="Calibri"/>
                <w:color w:val="000000"/>
                <w:sz w:val="20"/>
                <w:szCs w:val="20"/>
                <w:highlight w:val="yellow"/>
              </w:rPr>
            </w:pPr>
            <w:r w:rsidRPr="007E412C">
              <w:rPr>
                <w:rFonts w:ascii="Arial Narrow" w:hAnsi="Arial Narrow" w:cs="Calibri"/>
                <w:color w:val="000000"/>
                <w:sz w:val="20"/>
                <w:szCs w:val="20"/>
              </w:rPr>
              <w:t>$</w:t>
            </w:r>
            <w:r w:rsidR="002610F9" w:rsidRPr="002610F9">
              <w:rPr>
                <w:rFonts w:ascii="Arial Narrow" w:hAnsi="Arial Narrow" w:cs="Calibri"/>
                <w:color w:val="000000"/>
                <w:sz w:val="20"/>
                <w:szCs w:val="20"/>
                <w:shd w:val="solid" w:color="000000" w:fill="000000"/>
                <w14:textFill>
                  <w14:solidFill>
                    <w14:srgbClr w14:val="000000">
                      <w14:alpha w14:val="100000"/>
                    </w14:srgbClr>
                  </w14:solidFill>
                </w14:textFill>
              </w:rPr>
              <w:t>|</w:t>
            </w:r>
          </w:p>
        </w:tc>
        <w:tc>
          <w:tcPr>
            <w:tcW w:w="704" w:type="pct"/>
            <w:shd w:val="clear" w:color="auto" w:fill="auto"/>
            <w:noWrap/>
            <w:vAlign w:val="center"/>
          </w:tcPr>
          <w:p w14:paraId="70A40D4D" w14:textId="394326C5" w:rsidR="00D53D17" w:rsidRPr="00FA1F5D" w:rsidRDefault="00D53D17" w:rsidP="00B10338">
            <w:pPr>
              <w:spacing w:before="0"/>
              <w:jc w:val="center"/>
              <w:rPr>
                <w:rFonts w:ascii="Arial Narrow" w:hAnsi="Arial Narrow" w:cs="Calibri"/>
                <w:color w:val="000000"/>
                <w:sz w:val="20"/>
                <w:szCs w:val="20"/>
                <w:highlight w:val="yellow"/>
              </w:rPr>
            </w:pPr>
            <w:r w:rsidRPr="007E412C">
              <w:rPr>
                <w:rFonts w:ascii="Arial Narrow" w:hAnsi="Arial Narrow" w:cs="Calibri"/>
                <w:color w:val="000000"/>
                <w:sz w:val="20"/>
                <w:szCs w:val="20"/>
              </w:rPr>
              <w:t>$</w:t>
            </w:r>
            <w:r w:rsidR="002610F9" w:rsidRPr="002610F9">
              <w:rPr>
                <w:rFonts w:ascii="Arial Narrow" w:hAnsi="Arial Narrow" w:cs="Calibri"/>
                <w:color w:val="000000"/>
                <w:sz w:val="20"/>
                <w:szCs w:val="20"/>
                <w:shd w:val="solid" w:color="000000" w:fill="000000"/>
                <w14:textFill>
                  <w14:solidFill>
                    <w14:srgbClr w14:val="000000">
                      <w14:alpha w14:val="100000"/>
                    </w14:srgbClr>
                  </w14:solidFill>
                </w14:textFill>
              </w:rPr>
              <w:t>|</w:t>
            </w:r>
          </w:p>
        </w:tc>
        <w:tc>
          <w:tcPr>
            <w:tcW w:w="704" w:type="pct"/>
            <w:shd w:val="clear" w:color="auto" w:fill="auto"/>
            <w:noWrap/>
            <w:vAlign w:val="center"/>
          </w:tcPr>
          <w:p w14:paraId="609F2FC4" w14:textId="5F527363" w:rsidR="00D53D17" w:rsidRPr="00FA1F5D" w:rsidRDefault="00D53D17" w:rsidP="00B10338">
            <w:pPr>
              <w:spacing w:before="0"/>
              <w:jc w:val="center"/>
              <w:rPr>
                <w:rFonts w:ascii="Arial Narrow" w:hAnsi="Arial Narrow" w:cs="Calibri"/>
                <w:color w:val="000000"/>
                <w:sz w:val="20"/>
                <w:szCs w:val="20"/>
                <w:highlight w:val="yellow"/>
              </w:rPr>
            </w:pPr>
            <w:r w:rsidRPr="007E412C">
              <w:rPr>
                <w:rFonts w:ascii="Arial Narrow" w:hAnsi="Arial Narrow" w:cs="Calibri"/>
                <w:color w:val="000000"/>
                <w:sz w:val="20"/>
                <w:szCs w:val="20"/>
              </w:rPr>
              <w:t>$</w:t>
            </w:r>
            <w:r w:rsidR="002610F9" w:rsidRPr="002610F9">
              <w:rPr>
                <w:rFonts w:ascii="Arial Narrow" w:hAnsi="Arial Narrow" w:cs="Calibri"/>
                <w:color w:val="000000"/>
                <w:sz w:val="20"/>
                <w:szCs w:val="20"/>
                <w:shd w:val="solid" w:color="000000" w:fill="000000"/>
                <w14:textFill>
                  <w14:solidFill>
                    <w14:srgbClr w14:val="000000">
                      <w14:alpha w14:val="100000"/>
                    </w14:srgbClr>
                  </w14:solidFill>
                </w14:textFill>
              </w:rPr>
              <w:t>|</w:t>
            </w:r>
          </w:p>
        </w:tc>
        <w:tc>
          <w:tcPr>
            <w:tcW w:w="704" w:type="pct"/>
            <w:shd w:val="clear" w:color="auto" w:fill="auto"/>
            <w:noWrap/>
            <w:vAlign w:val="center"/>
          </w:tcPr>
          <w:p w14:paraId="55F86884" w14:textId="508B8C11" w:rsidR="00D53D17" w:rsidRPr="00FA1F5D" w:rsidRDefault="00D53D17" w:rsidP="00B10338">
            <w:pPr>
              <w:spacing w:before="0"/>
              <w:jc w:val="center"/>
              <w:rPr>
                <w:rFonts w:ascii="Arial Narrow" w:hAnsi="Arial Narrow" w:cs="Calibri"/>
                <w:color w:val="000000"/>
                <w:sz w:val="20"/>
                <w:szCs w:val="20"/>
                <w:highlight w:val="yellow"/>
              </w:rPr>
            </w:pPr>
            <w:r w:rsidRPr="007E412C">
              <w:rPr>
                <w:rFonts w:ascii="Arial Narrow" w:hAnsi="Arial Narrow" w:cs="Calibri"/>
                <w:color w:val="000000"/>
                <w:sz w:val="20"/>
                <w:szCs w:val="20"/>
              </w:rPr>
              <w:t>$</w:t>
            </w:r>
            <w:r w:rsidR="002610F9" w:rsidRPr="002610F9">
              <w:rPr>
                <w:rFonts w:ascii="Arial Narrow" w:hAnsi="Arial Narrow" w:cs="Calibri"/>
                <w:color w:val="000000"/>
                <w:sz w:val="20"/>
                <w:szCs w:val="20"/>
                <w:shd w:val="solid" w:color="000000" w:fill="000000"/>
                <w14:textFill>
                  <w14:solidFill>
                    <w14:srgbClr w14:val="000000">
                      <w14:alpha w14:val="100000"/>
                    </w14:srgbClr>
                  </w14:solidFill>
                </w14:textFill>
              </w:rPr>
              <w:t>|</w:t>
            </w:r>
          </w:p>
        </w:tc>
        <w:tc>
          <w:tcPr>
            <w:tcW w:w="704" w:type="pct"/>
            <w:shd w:val="clear" w:color="auto" w:fill="auto"/>
            <w:noWrap/>
            <w:vAlign w:val="center"/>
          </w:tcPr>
          <w:p w14:paraId="35CE6286" w14:textId="4379898C" w:rsidR="00D53D17" w:rsidRPr="00FA1F5D" w:rsidRDefault="00D53D17" w:rsidP="00B10338">
            <w:pPr>
              <w:spacing w:before="0"/>
              <w:jc w:val="center"/>
              <w:rPr>
                <w:rFonts w:ascii="Arial Narrow" w:hAnsi="Arial Narrow" w:cs="Calibri"/>
                <w:color w:val="000000"/>
                <w:sz w:val="20"/>
                <w:szCs w:val="20"/>
                <w:highlight w:val="yellow"/>
              </w:rPr>
            </w:pPr>
            <w:r w:rsidRPr="007E412C">
              <w:rPr>
                <w:rFonts w:ascii="Arial Narrow" w:hAnsi="Arial Narrow" w:cs="Calibri"/>
                <w:color w:val="000000"/>
                <w:sz w:val="20"/>
                <w:szCs w:val="20"/>
              </w:rPr>
              <w:t>$</w:t>
            </w:r>
            <w:r w:rsidR="002610F9" w:rsidRPr="002610F9">
              <w:rPr>
                <w:rFonts w:ascii="Arial Narrow" w:hAnsi="Arial Narrow" w:cs="Calibri"/>
                <w:color w:val="000000"/>
                <w:sz w:val="20"/>
                <w:szCs w:val="20"/>
                <w:shd w:val="solid" w:color="000000" w:fill="000000"/>
                <w14:textFill>
                  <w14:solidFill>
                    <w14:srgbClr w14:val="000000">
                      <w14:alpha w14:val="100000"/>
                    </w14:srgbClr>
                  </w14:solidFill>
                </w14:textFill>
              </w:rPr>
              <w:t>|</w:t>
            </w:r>
          </w:p>
        </w:tc>
        <w:tc>
          <w:tcPr>
            <w:tcW w:w="702" w:type="pct"/>
            <w:shd w:val="clear" w:color="auto" w:fill="auto"/>
            <w:noWrap/>
            <w:vAlign w:val="center"/>
          </w:tcPr>
          <w:p w14:paraId="49A68EF6" w14:textId="40F8F6DC" w:rsidR="00D53D17" w:rsidRPr="00FA1F5D" w:rsidRDefault="00D53D17" w:rsidP="00B10338">
            <w:pPr>
              <w:spacing w:before="0"/>
              <w:jc w:val="center"/>
              <w:rPr>
                <w:rFonts w:ascii="Arial Narrow" w:hAnsi="Arial Narrow" w:cs="Calibri"/>
                <w:color w:val="000000"/>
                <w:sz w:val="20"/>
                <w:szCs w:val="20"/>
                <w:highlight w:val="yellow"/>
              </w:rPr>
            </w:pPr>
            <w:r w:rsidRPr="007E412C">
              <w:rPr>
                <w:rFonts w:ascii="Arial Narrow" w:hAnsi="Arial Narrow" w:cs="Calibri"/>
                <w:color w:val="000000"/>
                <w:sz w:val="20"/>
                <w:szCs w:val="20"/>
              </w:rPr>
              <w:t>$</w:t>
            </w:r>
            <w:r w:rsidR="002610F9" w:rsidRPr="002610F9">
              <w:rPr>
                <w:rFonts w:ascii="Arial Narrow" w:hAnsi="Arial Narrow" w:cs="Calibri"/>
                <w:color w:val="000000"/>
                <w:sz w:val="20"/>
                <w:szCs w:val="20"/>
                <w:shd w:val="solid" w:color="000000" w:fill="000000"/>
                <w14:textFill>
                  <w14:solidFill>
                    <w14:srgbClr w14:val="000000">
                      <w14:alpha w14:val="100000"/>
                    </w14:srgbClr>
                  </w14:solidFill>
                </w14:textFill>
              </w:rPr>
              <w:t>|</w:t>
            </w:r>
          </w:p>
        </w:tc>
      </w:tr>
      <w:tr w:rsidR="00D53D17" w:rsidRPr="0049040C" w14:paraId="54246C62" w14:textId="77777777" w:rsidTr="00AA0C8E">
        <w:trPr>
          <w:trHeight w:val="386"/>
        </w:trPr>
        <w:tc>
          <w:tcPr>
            <w:tcW w:w="777" w:type="pct"/>
            <w:shd w:val="clear" w:color="auto" w:fill="auto"/>
            <w:vAlign w:val="center"/>
            <w:hideMark/>
          </w:tcPr>
          <w:p w14:paraId="434E2E1E" w14:textId="77777777" w:rsidR="00D53D17" w:rsidRPr="0049040C" w:rsidRDefault="00D53D17" w:rsidP="00B10338">
            <w:pPr>
              <w:spacing w:before="0"/>
              <w:rPr>
                <w:rFonts w:ascii="Arial Narrow" w:hAnsi="Arial Narrow" w:cs="Calibri"/>
                <w:b/>
                <w:bCs/>
                <w:color w:val="000000"/>
                <w:sz w:val="20"/>
                <w:szCs w:val="20"/>
              </w:rPr>
            </w:pPr>
            <w:r w:rsidRPr="0049040C">
              <w:rPr>
                <w:rFonts w:ascii="Arial Narrow" w:hAnsi="Arial Narrow" w:cs="Calibri"/>
                <w:b/>
                <w:bCs/>
                <w:color w:val="000000"/>
                <w:sz w:val="20"/>
                <w:szCs w:val="20"/>
              </w:rPr>
              <w:t xml:space="preserve">Net budget impact </w:t>
            </w:r>
            <w:r>
              <w:rPr>
                <w:rFonts w:ascii="Arial Narrow" w:hAnsi="Arial Narrow" w:cs="Calibri"/>
                <w:b/>
                <w:bCs/>
                <w:color w:val="000000"/>
                <w:sz w:val="20"/>
                <w:szCs w:val="20"/>
              </w:rPr>
              <w:t>AXI to NHRA</w:t>
            </w:r>
          </w:p>
        </w:tc>
        <w:tc>
          <w:tcPr>
            <w:tcW w:w="704" w:type="pct"/>
            <w:shd w:val="clear" w:color="auto" w:fill="auto"/>
            <w:noWrap/>
            <w:vAlign w:val="center"/>
            <w:hideMark/>
          </w:tcPr>
          <w:p w14:paraId="294C200C" w14:textId="1A0DDAD0" w:rsidR="00D53D17" w:rsidRPr="00FA1F5D" w:rsidRDefault="00D53D17" w:rsidP="00B10338">
            <w:pPr>
              <w:spacing w:before="0"/>
              <w:jc w:val="center"/>
              <w:rPr>
                <w:rFonts w:ascii="Arial Narrow" w:hAnsi="Arial Narrow" w:cs="Calibri"/>
                <w:b/>
                <w:bCs/>
                <w:color w:val="000000"/>
                <w:sz w:val="20"/>
                <w:szCs w:val="20"/>
                <w:highlight w:val="yellow"/>
              </w:rPr>
            </w:pPr>
            <w:r w:rsidRPr="007E412C">
              <w:rPr>
                <w:rFonts w:ascii="Arial Narrow" w:hAnsi="Arial Narrow" w:cs="Calibri"/>
                <w:b/>
                <w:bCs/>
                <w:color w:val="000000"/>
                <w:sz w:val="20"/>
                <w:szCs w:val="20"/>
              </w:rPr>
              <w:t>$</w:t>
            </w:r>
            <w:r w:rsidR="002610F9" w:rsidRPr="002610F9">
              <w:rPr>
                <w:rFonts w:ascii="Arial Narrow" w:hAnsi="Arial Narrow" w:cs="Calibri" w:hint="eastAsia"/>
                <w:b/>
                <w:bCs/>
                <w:color w:val="000000"/>
                <w:w w:val="15"/>
                <w:sz w:val="20"/>
                <w:szCs w:val="20"/>
                <w:shd w:val="solid" w:color="000000" w:fill="000000"/>
                <w:fitText w:val="40" w:id="-1217620480"/>
                <w14:textFill>
                  <w14:solidFill>
                    <w14:srgbClr w14:val="000000">
                      <w14:alpha w14:val="100000"/>
                    </w14:srgbClr>
                  </w14:solidFill>
                </w14:textFill>
              </w:rPr>
              <w:t xml:space="preserve">　</w:t>
            </w:r>
            <w:r w:rsidR="002610F9" w:rsidRPr="002610F9">
              <w:rPr>
                <w:rFonts w:ascii="Arial Narrow" w:hAnsi="Arial Narrow" w:cs="Calibri"/>
                <w:b/>
                <w:bCs/>
                <w:color w:val="000000"/>
                <w:w w:val="15"/>
                <w:sz w:val="20"/>
                <w:szCs w:val="20"/>
                <w:shd w:val="solid" w:color="000000" w:fill="000000"/>
                <w:fitText w:val="40" w:id="-1217620480"/>
                <w14:textFill>
                  <w14:solidFill>
                    <w14:srgbClr w14:val="000000">
                      <w14:alpha w14:val="100000"/>
                    </w14:srgbClr>
                  </w14:solidFill>
                </w14:textFill>
              </w:rPr>
              <w:t>|</w:t>
            </w:r>
            <w:r w:rsidR="002610F9" w:rsidRPr="002610F9">
              <w:rPr>
                <w:rFonts w:ascii="Arial Narrow" w:hAnsi="Arial Narrow" w:cs="Calibri" w:hint="eastAsia"/>
                <w:b/>
                <w:bCs/>
                <w:color w:val="000000"/>
                <w:spacing w:val="-26"/>
                <w:w w:val="15"/>
                <w:sz w:val="20"/>
                <w:szCs w:val="20"/>
                <w:shd w:val="solid" w:color="000000" w:fill="000000"/>
                <w:fitText w:val="40" w:id="-1217620480"/>
                <w14:textFill>
                  <w14:solidFill>
                    <w14:srgbClr w14:val="000000">
                      <w14:alpha w14:val="100000"/>
                    </w14:srgbClr>
                  </w14:solidFill>
                </w14:textFill>
              </w:rPr>
              <w:t xml:space="preserve">　</w:t>
            </w:r>
          </w:p>
        </w:tc>
        <w:tc>
          <w:tcPr>
            <w:tcW w:w="704" w:type="pct"/>
            <w:shd w:val="clear" w:color="auto" w:fill="auto"/>
            <w:noWrap/>
            <w:vAlign w:val="center"/>
            <w:hideMark/>
          </w:tcPr>
          <w:p w14:paraId="68763C75" w14:textId="16C0293C" w:rsidR="00D53D17" w:rsidRPr="00FA1F5D" w:rsidRDefault="00D53D17" w:rsidP="00B10338">
            <w:pPr>
              <w:spacing w:before="0"/>
              <w:jc w:val="center"/>
              <w:rPr>
                <w:rFonts w:ascii="Arial Narrow" w:hAnsi="Arial Narrow" w:cs="Calibri"/>
                <w:b/>
                <w:bCs/>
                <w:color w:val="000000"/>
                <w:sz w:val="20"/>
                <w:szCs w:val="20"/>
                <w:highlight w:val="yellow"/>
              </w:rPr>
            </w:pPr>
            <w:r w:rsidRPr="007E412C">
              <w:rPr>
                <w:rFonts w:ascii="Arial Narrow" w:hAnsi="Arial Narrow" w:cs="Calibri"/>
                <w:b/>
                <w:bCs/>
                <w:color w:val="000000"/>
                <w:sz w:val="20"/>
                <w:szCs w:val="20"/>
              </w:rPr>
              <w:t>$</w:t>
            </w:r>
            <w:r w:rsidR="002610F9" w:rsidRPr="002610F9">
              <w:rPr>
                <w:rFonts w:ascii="Arial Narrow" w:hAnsi="Arial Narrow" w:cs="Calibri" w:hint="eastAsia"/>
                <w:b/>
                <w:bCs/>
                <w:color w:val="000000"/>
                <w:w w:val="15"/>
                <w:sz w:val="20"/>
                <w:szCs w:val="20"/>
                <w:shd w:val="solid" w:color="000000" w:fill="000000"/>
                <w:fitText w:val="40" w:id="-1217620479"/>
                <w14:textFill>
                  <w14:solidFill>
                    <w14:srgbClr w14:val="000000">
                      <w14:alpha w14:val="100000"/>
                    </w14:srgbClr>
                  </w14:solidFill>
                </w14:textFill>
              </w:rPr>
              <w:t xml:space="preserve">　</w:t>
            </w:r>
            <w:r w:rsidR="002610F9" w:rsidRPr="002610F9">
              <w:rPr>
                <w:rFonts w:ascii="Arial Narrow" w:hAnsi="Arial Narrow" w:cs="Calibri"/>
                <w:b/>
                <w:bCs/>
                <w:color w:val="000000"/>
                <w:w w:val="15"/>
                <w:sz w:val="20"/>
                <w:szCs w:val="20"/>
                <w:shd w:val="solid" w:color="000000" w:fill="000000"/>
                <w:fitText w:val="40" w:id="-1217620479"/>
                <w14:textFill>
                  <w14:solidFill>
                    <w14:srgbClr w14:val="000000">
                      <w14:alpha w14:val="100000"/>
                    </w14:srgbClr>
                  </w14:solidFill>
                </w14:textFill>
              </w:rPr>
              <w:t>|</w:t>
            </w:r>
            <w:r w:rsidR="002610F9" w:rsidRPr="002610F9">
              <w:rPr>
                <w:rFonts w:ascii="Arial Narrow" w:hAnsi="Arial Narrow" w:cs="Calibri" w:hint="eastAsia"/>
                <w:b/>
                <w:bCs/>
                <w:color w:val="000000"/>
                <w:spacing w:val="-26"/>
                <w:w w:val="15"/>
                <w:sz w:val="20"/>
                <w:szCs w:val="20"/>
                <w:shd w:val="solid" w:color="000000" w:fill="000000"/>
                <w:fitText w:val="40" w:id="-1217620479"/>
                <w14:textFill>
                  <w14:solidFill>
                    <w14:srgbClr w14:val="000000">
                      <w14:alpha w14:val="100000"/>
                    </w14:srgbClr>
                  </w14:solidFill>
                </w14:textFill>
              </w:rPr>
              <w:t xml:space="preserve">　</w:t>
            </w:r>
          </w:p>
        </w:tc>
        <w:tc>
          <w:tcPr>
            <w:tcW w:w="704" w:type="pct"/>
            <w:shd w:val="clear" w:color="auto" w:fill="auto"/>
            <w:noWrap/>
            <w:vAlign w:val="center"/>
            <w:hideMark/>
          </w:tcPr>
          <w:p w14:paraId="1AFA3504" w14:textId="67CD9ED4" w:rsidR="00D53D17" w:rsidRPr="00FA1F5D" w:rsidRDefault="00D53D17" w:rsidP="00B10338">
            <w:pPr>
              <w:spacing w:before="0"/>
              <w:jc w:val="center"/>
              <w:rPr>
                <w:rFonts w:ascii="Arial Narrow" w:hAnsi="Arial Narrow" w:cs="Calibri"/>
                <w:b/>
                <w:bCs/>
                <w:color w:val="000000"/>
                <w:sz w:val="20"/>
                <w:szCs w:val="20"/>
                <w:highlight w:val="yellow"/>
              </w:rPr>
            </w:pPr>
            <w:r w:rsidRPr="007E412C">
              <w:rPr>
                <w:rFonts w:ascii="Arial Narrow" w:hAnsi="Arial Narrow" w:cs="Calibri"/>
                <w:b/>
                <w:bCs/>
                <w:color w:val="000000"/>
                <w:sz w:val="20"/>
                <w:szCs w:val="20"/>
              </w:rPr>
              <w:t>$</w:t>
            </w:r>
            <w:r w:rsidR="002610F9" w:rsidRPr="002610F9">
              <w:rPr>
                <w:rFonts w:ascii="Arial Narrow" w:hAnsi="Arial Narrow" w:cs="Calibri" w:hint="eastAsia"/>
                <w:b/>
                <w:bCs/>
                <w:color w:val="000000"/>
                <w:w w:val="15"/>
                <w:sz w:val="20"/>
                <w:szCs w:val="20"/>
                <w:shd w:val="solid" w:color="000000" w:fill="000000"/>
                <w:fitText w:val="40" w:id="-1217620478"/>
                <w14:textFill>
                  <w14:solidFill>
                    <w14:srgbClr w14:val="000000">
                      <w14:alpha w14:val="100000"/>
                    </w14:srgbClr>
                  </w14:solidFill>
                </w14:textFill>
              </w:rPr>
              <w:t xml:space="preserve">　</w:t>
            </w:r>
            <w:r w:rsidR="002610F9" w:rsidRPr="002610F9">
              <w:rPr>
                <w:rFonts w:ascii="Arial Narrow" w:hAnsi="Arial Narrow" w:cs="Calibri"/>
                <w:b/>
                <w:bCs/>
                <w:color w:val="000000"/>
                <w:w w:val="15"/>
                <w:sz w:val="20"/>
                <w:szCs w:val="20"/>
                <w:shd w:val="solid" w:color="000000" w:fill="000000"/>
                <w:fitText w:val="40" w:id="-1217620478"/>
                <w14:textFill>
                  <w14:solidFill>
                    <w14:srgbClr w14:val="000000">
                      <w14:alpha w14:val="100000"/>
                    </w14:srgbClr>
                  </w14:solidFill>
                </w14:textFill>
              </w:rPr>
              <w:t>|</w:t>
            </w:r>
            <w:r w:rsidR="002610F9" w:rsidRPr="002610F9">
              <w:rPr>
                <w:rFonts w:ascii="Arial Narrow" w:hAnsi="Arial Narrow" w:cs="Calibri" w:hint="eastAsia"/>
                <w:b/>
                <w:bCs/>
                <w:color w:val="000000"/>
                <w:spacing w:val="-26"/>
                <w:w w:val="15"/>
                <w:sz w:val="20"/>
                <w:szCs w:val="20"/>
                <w:shd w:val="solid" w:color="000000" w:fill="000000"/>
                <w:fitText w:val="40" w:id="-1217620478"/>
                <w14:textFill>
                  <w14:solidFill>
                    <w14:srgbClr w14:val="000000">
                      <w14:alpha w14:val="100000"/>
                    </w14:srgbClr>
                  </w14:solidFill>
                </w14:textFill>
              </w:rPr>
              <w:t xml:space="preserve">　</w:t>
            </w:r>
          </w:p>
        </w:tc>
        <w:tc>
          <w:tcPr>
            <w:tcW w:w="704" w:type="pct"/>
            <w:shd w:val="clear" w:color="auto" w:fill="auto"/>
            <w:noWrap/>
            <w:vAlign w:val="center"/>
            <w:hideMark/>
          </w:tcPr>
          <w:p w14:paraId="0BD08C22" w14:textId="24C27BBB" w:rsidR="00D53D17" w:rsidRPr="00FA1F5D" w:rsidRDefault="00D53D17" w:rsidP="00B10338">
            <w:pPr>
              <w:spacing w:before="0"/>
              <w:jc w:val="center"/>
              <w:rPr>
                <w:rFonts w:ascii="Arial Narrow" w:hAnsi="Arial Narrow" w:cs="Calibri"/>
                <w:b/>
                <w:bCs/>
                <w:color w:val="000000"/>
                <w:sz w:val="20"/>
                <w:szCs w:val="20"/>
                <w:highlight w:val="yellow"/>
              </w:rPr>
            </w:pPr>
            <w:r w:rsidRPr="007E412C">
              <w:rPr>
                <w:rFonts w:ascii="Arial Narrow" w:hAnsi="Arial Narrow" w:cs="Calibri"/>
                <w:b/>
                <w:bCs/>
                <w:color w:val="000000"/>
                <w:sz w:val="20"/>
                <w:szCs w:val="20"/>
              </w:rPr>
              <w:t>$</w:t>
            </w:r>
            <w:r w:rsidR="002610F9" w:rsidRPr="002610F9">
              <w:rPr>
                <w:rFonts w:ascii="Arial Narrow" w:hAnsi="Arial Narrow" w:cs="Calibri" w:hint="eastAsia"/>
                <w:b/>
                <w:bCs/>
                <w:color w:val="000000"/>
                <w:w w:val="15"/>
                <w:sz w:val="20"/>
                <w:szCs w:val="20"/>
                <w:shd w:val="solid" w:color="000000" w:fill="000000"/>
                <w:fitText w:val="40" w:id="-1217620477"/>
                <w14:textFill>
                  <w14:solidFill>
                    <w14:srgbClr w14:val="000000">
                      <w14:alpha w14:val="100000"/>
                    </w14:srgbClr>
                  </w14:solidFill>
                </w14:textFill>
              </w:rPr>
              <w:t xml:space="preserve">　</w:t>
            </w:r>
            <w:r w:rsidR="002610F9" w:rsidRPr="002610F9">
              <w:rPr>
                <w:rFonts w:ascii="Arial Narrow" w:hAnsi="Arial Narrow" w:cs="Calibri"/>
                <w:b/>
                <w:bCs/>
                <w:color w:val="000000"/>
                <w:w w:val="15"/>
                <w:sz w:val="20"/>
                <w:szCs w:val="20"/>
                <w:shd w:val="solid" w:color="000000" w:fill="000000"/>
                <w:fitText w:val="40" w:id="-1217620477"/>
                <w14:textFill>
                  <w14:solidFill>
                    <w14:srgbClr w14:val="000000">
                      <w14:alpha w14:val="100000"/>
                    </w14:srgbClr>
                  </w14:solidFill>
                </w14:textFill>
              </w:rPr>
              <w:t>|</w:t>
            </w:r>
            <w:r w:rsidR="002610F9" w:rsidRPr="002610F9">
              <w:rPr>
                <w:rFonts w:ascii="Arial Narrow" w:hAnsi="Arial Narrow" w:cs="Calibri" w:hint="eastAsia"/>
                <w:b/>
                <w:bCs/>
                <w:color w:val="000000"/>
                <w:spacing w:val="-26"/>
                <w:w w:val="15"/>
                <w:sz w:val="20"/>
                <w:szCs w:val="20"/>
                <w:shd w:val="solid" w:color="000000" w:fill="000000"/>
                <w:fitText w:val="40" w:id="-1217620477"/>
                <w14:textFill>
                  <w14:solidFill>
                    <w14:srgbClr w14:val="000000">
                      <w14:alpha w14:val="100000"/>
                    </w14:srgbClr>
                  </w14:solidFill>
                </w14:textFill>
              </w:rPr>
              <w:t xml:space="preserve">　</w:t>
            </w:r>
          </w:p>
        </w:tc>
        <w:tc>
          <w:tcPr>
            <w:tcW w:w="704" w:type="pct"/>
            <w:shd w:val="clear" w:color="auto" w:fill="auto"/>
            <w:noWrap/>
            <w:vAlign w:val="center"/>
            <w:hideMark/>
          </w:tcPr>
          <w:p w14:paraId="5A9CB83C" w14:textId="2B28E447" w:rsidR="00D53D17" w:rsidRPr="00FA1F5D" w:rsidRDefault="00D53D17" w:rsidP="00B10338">
            <w:pPr>
              <w:spacing w:before="0"/>
              <w:jc w:val="center"/>
              <w:rPr>
                <w:rFonts w:ascii="Arial Narrow" w:hAnsi="Arial Narrow" w:cs="Calibri"/>
                <w:b/>
                <w:bCs/>
                <w:color w:val="000000"/>
                <w:sz w:val="20"/>
                <w:szCs w:val="20"/>
                <w:highlight w:val="yellow"/>
              </w:rPr>
            </w:pPr>
            <w:r w:rsidRPr="007E412C">
              <w:rPr>
                <w:rFonts w:ascii="Arial Narrow" w:hAnsi="Arial Narrow" w:cs="Calibri"/>
                <w:b/>
                <w:bCs/>
                <w:color w:val="000000"/>
                <w:sz w:val="20"/>
                <w:szCs w:val="20"/>
              </w:rPr>
              <w:t>$</w:t>
            </w:r>
            <w:r w:rsidR="002610F9" w:rsidRPr="002610F9">
              <w:rPr>
                <w:rFonts w:ascii="Arial Narrow" w:hAnsi="Arial Narrow" w:cs="Calibri" w:hint="eastAsia"/>
                <w:b/>
                <w:bCs/>
                <w:color w:val="000000"/>
                <w:w w:val="15"/>
                <w:sz w:val="20"/>
                <w:szCs w:val="20"/>
                <w:shd w:val="solid" w:color="000000" w:fill="000000"/>
                <w:fitText w:val="40" w:id="-1217620476"/>
                <w14:textFill>
                  <w14:solidFill>
                    <w14:srgbClr w14:val="000000">
                      <w14:alpha w14:val="100000"/>
                    </w14:srgbClr>
                  </w14:solidFill>
                </w14:textFill>
              </w:rPr>
              <w:t xml:space="preserve">　</w:t>
            </w:r>
            <w:r w:rsidR="002610F9" w:rsidRPr="002610F9">
              <w:rPr>
                <w:rFonts w:ascii="Arial Narrow" w:hAnsi="Arial Narrow" w:cs="Calibri"/>
                <w:b/>
                <w:bCs/>
                <w:color w:val="000000"/>
                <w:w w:val="15"/>
                <w:sz w:val="20"/>
                <w:szCs w:val="20"/>
                <w:shd w:val="solid" w:color="000000" w:fill="000000"/>
                <w:fitText w:val="40" w:id="-1217620476"/>
                <w14:textFill>
                  <w14:solidFill>
                    <w14:srgbClr w14:val="000000">
                      <w14:alpha w14:val="100000"/>
                    </w14:srgbClr>
                  </w14:solidFill>
                </w14:textFill>
              </w:rPr>
              <w:t>|</w:t>
            </w:r>
            <w:r w:rsidR="002610F9" w:rsidRPr="002610F9">
              <w:rPr>
                <w:rFonts w:ascii="Arial Narrow" w:hAnsi="Arial Narrow" w:cs="Calibri" w:hint="eastAsia"/>
                <w:b/>
                <w:bCs/>
                <w:color w:val="000000"/>
                <w:spacing w:val="-26"/>
                <w:w w:val="15"/>
                <w:sz w:val="20"/>
                <w:szCs w:val="20"/>
                <w:shd w:val="solid" w:color="000000" w:fill="000000"/>
                <w:fitText w:val="40" w:id="-1217620476"/>
                <w14:textFill>
                  <w14:solidFill>
                    <w14:srgbClr w14:val="000000">
                      <w14:alpha w14:val="100000"/>
                    </w14:srgbClr>
                  </w14:solidFill>
                </w14:textFill>
              </w:rPr>
              <w:t xml:space="preserve">　</w:t>
            </w:r>
          </w:p>
        </w:tc>
        <w:tc>
          <w:tcPr>
            <w:tcW w:w="702" w:type="pct"/>
            <w:shd w:val="clear" w:color="auto" w:fill="auto"/>
            <w:noWrap/>
            <w:vAlign w:val="center"/>
            <w:hideMark/>
          </w:tcPr>
          <w:p w14:paraId="4954C55D" w14:textId="064E8EF9" w:rsidR="00D53D17" w:rsidRPr="00FA1F5D" w:rsidRDefault="00D53D17" w:rsidP="00B10338">
            <w:pPr>
              <w:spacing w:before="0"/>
              <w:jc w:val="center"/>
              <w:rPr>
                <w:rFonts w:ascii="Arial Narrow" w:hAnsi="Arial Narrow" w:cs="Calibri"/>
                <w:b/>
                <w:bCs/>
                <w:color w:val="000000"/>
                <w:sz w:val="20"/>
                <w:szCs w:val="20"/>
                <w:highlight w:val="yellow"/>
              </w:rPr>
            </w:pPr>
            <w:r w:rsidRPr="00FA1F5D">
              <w:rPr>
                <w:rFonts w:ascii="Arial Narrow" w:hAnsi="Arial Narrow" w:cs="Calibri"/>
                <w:b/>
                <w:bCs/>
                <w:color w:val="000000"/>
                <w:sz w:val="20"/>
                <w:szCs w:val="20"/>
              </w:rPr>
              <w:t>$</w:t>
            </w:r>
            <w:r w:rsidR="002610F9" w:rsidRPr="002610F9">
              <w:rPr>
                <w:rFonts w:ascii="Arial Narrow" w:hAnsi="Arial Narrow" w:cs="Calibri" w:hint="eastAsia"/>
                <w:b/>
                <w:bCs/>
                <w:color w:val="000000"/>
                <w:w w:val="15"/>
                <w:sz w:val="20"/>
                <w:szCs w:val="20"/>
                <w:shd w:val="solid" w:color="000000" w:fill="000000"/>
                <w:fitText w:val="40" w:id="-1217620475"/>
                <w14:textFill>
                  <w14:solidFill>
                    <w14:srgbClr w14:val="000000">
                      <w14:alpha w14:val="100000"/>
                    </w14:srgbClr>
                  </w14:solidFill>
                </w14:textFill>
              </w:rPr>
              <w:t xml:space="preserve">　</w:t>
            </w:r>
            <w:r w:rsidR="002610F9" w:rsidRPr="002610F9">
              <w:rPr>
                <w:rFonts w:ascii="Arial Narrow" w:hAnsi="Arial Narrow" w:cs="Calibri"/>
                <w:b/>
                <w:bCs/>
                <w:color w:val="000000"/>
                <w:w w:val="15"/>
                <w:sz w:val="20"/>
                <w:szCs w:val="20"/>
                <w:shd w:val="solid" w:color="000000" w:fill="000000"/>
                <w:fitText w:val="40" w:id="-1217620475"/>
                <w14:textFill>
                  <w14:solidFill>
                    <w14:srgbClr w14:val="000000">
                      <w14:alpha w14:val="100000"/>
                    </w14:srgbClr>
                  </w14:solidFill>
                </w14:textFill>
              </w:rPr>
              <w:t>|</w:t>
            </w:r>
            <w:r w:rsidR="002610F9" w:rsidRPr="002610F9">
              <w:rPr>
                <w:rFonts w:ascii="Arial Narrow" w:hAnsi="Arial Narrow" w:cs="Calibri" w:hint="eastAsia"/>
                <w:b/>
                <w:bCs/>
                <w:color w:val="000000"/>
                <w:spacing w:val="-26"/>
                <w:w w:val="15"/>
                <w:sz w:val="20"/>
                <w:szCs w:val="20"/>
                <w:shd w:val="solid" w:color="000000" w:fill="000000"/>
                <w:fitText w:val="40" w:id="-1217620475"/>
                <w14:textFill>
                  <w14:solidFill>
                    <w14:srgbClr w14:val="000000">
                      <w14:alpha w14:val="100000"/>
                    </w14:srgbClr>
                  </w14:solidFill>
                </w14:textFill>
              </w:rPr>
              <w:t xml:space="preserve">　</w:t>
            </w:r>
          </w:p>
        </w:tc>
      </w:tr>
    </w:tbl>
    <w:p w14:paraId="29B45A95" w14:textId="3A76A6BF" w:rsidR="00AB5EA0" w:rsidRDefault="00E44CEF" w:rsidP="00BB207C">
      <w:pPr>
        <w:pStyle w:val="a-TEXT"/>
        <w:spacing w:before="240"/>
      </w:pPr>
      <w:r w:rsidRPr="00A96DF1">
        <w:t>The ADAR’s assumptions of eligibility and uptake at each stage of the clinical management process require sensitivity analysis given they are primarily “best guesses” and sometimes not justified or referenced</w:t>
      </w:r>
      <w:r w:rsidR="00C4197A" w:rsidRPr="00A96DF1">
        <w:t xml:space="preserve"> (</w:t>
      </w:r>
      <w:r w:rsidR="00D12C25">
        <w:t>Table 1</w:t>
      </w:r>
      <w:r w:rsidR="00D733BB">
        <w:t>5</w:t>
      </w:r>
      <w:r w:rsidR="00C4197A" w:rsidRPr="00A96DF1">
        <w:t>)</w:t>
      </w:r>
      <w:r w:rsidRPr="00A96DF1">
        <w:t xml:space="preserve">. Therefore, </w:t>
      </w:r>
      <w:r w:rsidR="00ED3055" w:rsidRPr="00A96DF1">
        <w:t xml:space="preserve">the assessment team has undertaken a sensitivity analysis with </w:t>
      </w:r>
      <w:r w:rsidR="00385A8C" w:rsidRPr="00A96DF1">
        <w:t>key variables</w:t>
      </w:r>
      <w:r w:rsidR="00ED3055" w:rsidRPr="00A96DF1">
        <w:t xml:space="preserve"> (</w:t>
      </w:r>
      <w:r w:rsidR="00F67C15">
        <w:t xml:space="preserve">see </w:t>
      </w:r>
      <w:r w:rsidR="00FC0100" w:rsidRPr="00A96DF1">
        <w:t>Table 1</w:t>
      </w:r>
      <w:r w:rsidR="00D733BB">
        <w:t>6</w:t>
      </w:r>
      <w:r w:rsidR="00ED3055" w:rsidRPr="00A96DF1">
        <w:t>).</w:t>
      </w:r>
    </w:p>
    <w:p w14:paraId="1EFCEBB7" w14:textId="4D3015A4" w:rsidR="0016344F" w:rsidRDefault="0016344F" w:rsidP="00670B4E">
      <w:pPr>
        <w:pStyle w:val="Caption"/>
        <w:keepNext w:val="0"/>
        <w:widowControl w:val="0"/>
        <w:spacing w:before="0"/>
      </w:pPr>
      <w:bookmarkStart w:id="46" w:name="_Ref124367057"/>
      <w:r>
        <w:t xml:space="preserve">Table </w:t>
      </w:r>
      <w:bookmarkEnd w:id="46"/>
      <w:r w:rsidR="00D733BB">
        <w:t>15</w:t>
      </w:r>
      <w:r>
        <w:t xml:space="preserve"> </w:t>
      </w:r>
      <w:r w:rsidRPr="00BD0E81">
        <w:t>Variables chosen for sensitivity analysis and justification of values.</w:t>
      </w:r>
    </w:p>
    <w:tbl>
      <w:tblPr>
        <w:tblStyle w:val="TableGrid1"/>
        <w:tblW w:w="0" w:type="auto"/>
        <w:tblLayout w:type="fixed"/>
        <w:tblCellMar>
          <w:top w:w="28" w:type="dxa"/>
          <w:left w:w="28" w:type="dxa"/>
          <w:bottom w:w="28" w:type="dxa"/>
          <w:right w:w="28" w:type="dxa"/>
        </w:tblCellMar>
        <w:tblLook w:val="04A0" w:firstRow="1" w:lastRow="0" w:firstColumn="1" w:lastColumn="0" w:noHBand="0" w:noVBand="1"/>
      </w:tblPr>
      <w:tblGrid>
        <w:gridCol w:w="3681"/>
        <w:gridCol w:w="1205"/>
        <w:gridCol w:w="1205"/>
        <w:gridCol w:w="2919"/>
      </w:tblGrid>
      <w:tr w:rsidR="0016344F" w:rsidRPr="00246C59" w14:paraId="003EA162" w14:textId="77777777" w:rsidTr="001B2130">
        <w:trPr>
          <w:cnfStyle w:val="100000000000" w:firstRow="1" w:lastRow="0" w:firstColumn="0" w:lastColumn="0" w:oddVBand="0" w:evenVBand="0" w:oddHBand="0" w:evenHBand="0" w:firstRowFirstColumn="0" w:firstRowLastColumn="0" w:lastRowFirstColumn="0" w:lastRowLastColumn="0"/>
          <w:trHeight w:val="389"/>
        </w:trPr>
        <w:tc>
          <w:tcPr>
            <w:tcW w:w="3681" w:type="dxa"/>
            <w:shd w:val="clear" w:color="auto" w:fill="auto"/>
            <w:hideMark/>
          </w:tcPr>
          <w:p w14:paraId="67EB9775" w14:textId="77777777" w:rsidR="0016344F" w:rsidRPr="003D02B6" w:rsidRDefault="0016344F" w:rsidP="00B10338">
            <w:pPr>
              <w:widowControl w:val="0"/>
              <w:spacing w:before="0"/>
              <w:rPr>
                <w:rFonts w:ascii="Arial Narrow" w:hAnsi="Arial Narrow" w:cs="Calibri"/>
                <w:b/>
                <w:bCs/>
                <w:sz w:val="20"/>
                <w:szCs w:val="20"/>
              </w:rPr>
            </w:pPr>
            <w:r w:rsidRPr="003D02B6">
              <w:rPr>
                <w:rFonts w:ascii="Arial Narrow" w:hAnsi="Arial Narrow" w:cs="Calibri"/>
                <w:b/>
                <w:bCs/>
                <w:sz w:val="20"/>
                <w:szCs w:val="20"/>
              </w:rPr>
              <w:t>Variable</w:t>
            </w:r>
          </w:p>
        </w:tc>
        <w:tc>
          <w:tcPr>
            <w:tcW w:w="1205" w:type="dxa"/>
            <w:shd w:val="clear" w:color="auto" w:fill="auto"/>
            <w:vAlign w:val="center"/>
            <w:hideMark/>
          </w:tcPr>
          <w:p w14:paraId="541E4463" w14:textId="77777777" w:rsidR="0016344F" w:rsidRPr="003D02B6" w:rsidRDefault="0016344F" w:rsidP="00B10338">
            <w:pPr>
              <w:widowControl w:val="0"/>
              <w:spacing w:before="0"/>
              <w:jc w:val="center"/>
              <w:rPr>
                <w:rFonts w:ascii="Arial Narrow" w:hAnsi="Arial Narrow" w:cs="Calibri"/>
                <w:b/>
                <w:bCs/>
                <w:sz w:val="20"/>
                <w:szCs w:val="20"/>
              </w:rPr>
            </w:pPr>
            <w:r w:rsidRPr="003D02B6">
              <w:rPr>
                <w:rFonts w:ascii="Arial Narrow" w:hAnsi="Arial Narrow" w:cs="Calibri"/>
                <w:b/>
                <w:bCs/>
                <w:sz w:val="20"/>
                <w:szCs w:val="20"/>
              </w:rPr>
              <w:t>Base case</w:t>
            </w:r>
          </w:p>
        </w:tc>
        <w:tc>
          <w:tcPr>
            <w:tcW w:w="1205" w:type="dxa"/>
            <w:shd w:val="clear" w:color="auto" w:fill="auto"/>
            <w:vAlign w:val="center"/>
            <w:hideMark/>
          </w:tcPr>
          <w:p w14:paraId="28325E7C" w14:textId="77777777" w:rsidR="0016344F" w:rsidRPr="003D02B6" w:rsidRDefault="0016344F" w:rsidP="00B10338">
            <w:pPr>
              <w:widowControl w:val="0"/>
              <w:spacing w:before="0"/>
              <w:jc w:val="center"/>
              <w:rPr>
                <w:rFonts w:ascii="Arial Narrow" w:hAnsi="Arial Narrow" w:cs="Calibri"/>
                <w:b/>
                <w:bCs/>
                <w:sz w:val="20"/>
                <w:szCs w:val="20"/>
              </w:rPr>
            </w:pPr>
            <w:r w:rsidRPr="003D02B6">
              <w:rPr>
                <w:rFonts w:ascii="Arial Narrow" w:hAnsi="Arial Narrow" w:cs="Calibri"/>
                <w:b/>
                <w:bCs/>
                <w:sz w:val="20"/>
                <w:szCs w:val="20"/>
              </w:rPr>
              <w:t>Sensitivity values</w:t>
            </w:r>
          </w:p>
        </w:tc>
        <w:tc>
          <w:tcPr>
            <w:tcW w:w="2919" w:type="dxa"/>
            <w:shd w:val="clear" w:color="auto" w:fill="auto"/>
            <w:vAlign w:val="center"/>
            <w:hideMark/>
          </w:tcPr>
          <w:p w14:paraId="2F5F90B1" w14:textId="77777777" w:rsidR="0016344F" w:rsidRPr="003D02B6" w:rsidRDefault="0016344F" w:rsidP="00B10338">
            <w:pPr>
              <w:widowControl w:val="0"/>
              <w:spacing w:before="0"/>
              <w:jc w:val="center"/>
              <w:rPr>
                <w:rFonts w:ascii="Arial Narrow" w:hAnsi="Arial Narrow" w:cs="Calibri"/>
                <w:b/>
                <w:bCs/>
                <w:sz w:val="20"/>
                <w:szCs w:val="20"/>
              </w:rPr>
            </w:pPr>
            <w:r w:rsidRPr="003D02B6">
              <w:rPr>
                <w:rFonts w:ascii="Arial Narrow" w:hAnsi="Arial Narrow" w:cs="Calibri"/>
                <w:b/>
                <w:bCs/>
                <w:sz w:val="20"/>
                <w:szCs w:val="20"/>
              </w:rPr>
              <w:t>Justification</w:t>
            </w:r>
          </w:p>
        </w:tc>
      </w:tr>
      <w:tr w:rsidR="0016344F" w:rsidRPr="00246C59" w14:paraId="1607C458" w14:textId="77777777" w:rsidTr="001B2130">
        <w:trPr>
          <w:trHeight w:val="38"/>
        </w:trPr>
        <w:tc>
          <w:tcPr>
            <w:tcW w:w="3681" w:type="dxa"/>
            <w:shd w:val="clear" w:color="auto" w:fill="auto"/>
            <w:vAlign w:val="center"/>
          </w:tcPr>
          <w:p w14:paraId="7DC1E039" w14:textId="77777777" w:rsidR="0016344F" w:rsidRPr="003D02B6" w:rsidRDefault="0016344F" w:rsidP="00B10338">
            <w:pPr>
              <w:widowControl w:val="0"/>
              <w:spacing w:before="0"/>
              <w:rPr>
                <w:rFonts w:ascii="Arial Narrow" w:hAnsi="Arial Narrow" w:cs="Calibri"/>
                <w:sz w:val="20"/>
                <w:szCs w:val="20"/>
              </w:rPr>
            </w:pPr>
            <w:r w:rsidRPr="003D02B6">
              <w:rPr>
                <w:rFonts w:ascii="Arial Narrow" w:hAnsi="Arial Narrow" w:cs="Calibri"/>
                <w:sz w:val="20"/>
                <w:szCs w:val="20"/>
              </w:rPr>
              <w:t>Proportion on NHL that is LBCL</w:t>
            </w:r>
          </w:p>
        </w:tc>
        <w:tc>
          <w:tcPr>
            <w:tcW w:w="1205" w:type="dxa"/>
            <w:shd w:val="clear" w:color="auto" w:fill="auto"/>
            <w:noWrap/>
            <w:vAlign w:val="center"/>
          </w:tcPr>
          <w:p w14:paraId="11C3F0AF" w14:textId="77777777" w:rsidR="0016344F" w:rsidRPr="003D02B6" w:rsidRDefault="0016344F" w:rsidP="00B10338">
            <w:pPr>
              <w:widowControl w:val="0"/>
              <w:spacing w:before="0"/>
              <w:jc w:val="center"/>
              <w:rPr>
                <w:rFonts w:ascii="Arial Narrow" w:hAnsi="Arial Narrow" w:cs="Calibri"/>
                <w:sz w:val="20"/>
                <w:szCs w:val="20"/>
              </w:rPr>
            </w:pPr>
            <w:r w:rsidRPr="003D02B6">
              <w:rPr>
                <w:rFonts w:ascii="Arial Narrow" w:hAnsi="Arial Narrow" w:cs="Calibri"/>
                <w:sz w:val="20"/>
                <w:szCs w:val="20"/>
              </w:rPr>
              <w:t>42%</w:t>
            </w:r>
          </w:p>
        </w:tc>
        <w:tc>
          <w:tcPr>
            <w:tcW w:w="1205" w:type="dxa"/>
            <w:shd w:val="clear" w:color="auto" w:fill="auto"/>
            <w:noWrap/>
            <w:vAlign w:val="center"/>
          </w:tcPr>
          <w:p w14:paraId="24F522BF" w14:textId="77777777" w:rsidR="0016344F" w:rsidRPr="003D02B6" w:rsidRDefault="0016344F" w:rsidP="00B10338">
            <w:pPr>
              <w:widowControl w:val="0"/>
              <w:spacing w:before="0"/>
              <w:jc w:val="center"/>
              <w:rPr>
                <w:rFonts w:ascii="Arial Narrow" w:hAnsi="Arial Narrow" w:cs="Calibri"/>
                <w:sz w:val="20"/>
                <w:szCs w:val="20"/>
              </w:rPr>
            </w:pPr>
            <w:r w:rsidRPr="003D02B6">
              <w:rPr>
                <w:rFonts w:ascii="Arial Narrow" w:hAnsi="Arial Narrow" w:cs="Calibri"/>
                <w:sz w:val="20"/>
                <w:szCs w:val="20"/>
              </w:rPr>
              <w:t>39%</w:t>
            </w:r>
          </w:p>
        </w:tc>
        <w:tc>
          <w:tcPr>
            <w:tcW w:w="2919" w:type="dxa"/>
            <w:shd w:val="clear" w:color="auto" w:fill="auto"/>
            <w:noWrap/>
            <w:vAlign w:val="center"/>
          </w:tcPr>
          <w:p w14:paraId="6B42C390" w14:textId="002D78CD" w:rsidR="0016344F" w:rsidRPr="003D02B6" w:rsidRDefault="0016344F" w:rsidP="00B10338">
            <w:pPr>
              <w:widowControl w:val="0"/>
              <w:spacing w:before="0"/>
              <w:rPr>
                <w:rFonts w:ascii="Arial Narrow" w:hAnsi="Arial Narrow" w:cs="Calibri"/>
                <w:sz w:val="20"/>
                <w:szCs w:val="20"/>
              </w:rPr>
            </w:pPr>
            <w:r w:rsidRPr="003D02B6">
              <w:rPr>
                <w:rFonts w:ascii="Arial Narrow" w:hAnsi="Arial Narrow" w:cs="Calibri"/>
                <w:sz w:val="20"/>
                <w:szCs w:val="20"/>
              </w:rPr>
              <w:t>42%</w:t>
            </w:r>
            <w:r w:rsidR="00F56188">
              <w:rPr>
                <w:rFonts w:ascii="Arial Narrow" w:hAnsi="Arial Narrow" w:cs="Calibri"/>
                <w:sz w:val="20"/>
                <w:szCs w:val="20"/>
              </w:rPr>
              <w:t xml:space="preserve"> </w:t>
            </w:r>
            <w:r w:rsidR="00F56188" w:rsidRPr="003D02B6">
              <w:rPr>
                <w:rFonts w:ascii="Arial Narrow" w:hAnsi="Arial Narrow" w:cs="Calibri"/>
                <w:sz w:val="20"/>
                <w:szCs w:val="20"/>
              </w:rPr>
              <w:t>(2670/6400=41.7</w:t>
            </w:r>
            <w:proofErr w:type="gramStart"/>
            <w:r w:rsidR="00F56188" w:rsidRPr="003D02B6">
              <w:rPr>
                <w:rFonts w:ascii="Arial Narrow" w:hAnsi="Arial Narrow" w:cs="Calibri"/>
                <w:sz w:val="20"/>
                <w:szCs w:val="20"/>
              </w:rPr>
              <w:t xml:space="preserve">%) </w:t>
            </w:r>
            <w:r w:rsidRPr="003D02B6">
              <w:rPr>
                <w:rFonts w:ascii="Arial Narrow" w:hAnsi="Arial Narrow" w:cs="Calibri"/>
                <w:sz w:val="20"/>
                <w:szCs w:val="20"/>
              </w:rPr>
              <w:t xml:space="preserve"> is</w:t>
            </w:r>
            <w:proofErr w:type="gramEnd"/>
            <w:r w:rsidRPr="003D02B6">
              <w:rPr>
                <w:rFonts w:ascii="Arial Narrow" w:hAnsi="Arial Narrow" w:cs="Calibri"/>
                <w:sz w:val="20"/>
                <w:szCs w:val="20"/>
              </w:rPr>
              <w:t xml:space="preserve"> </w:t>
            </w:r>
            <w:r w:rsidR="00F56188">
              <w:rPr>
                <w:rFonts w:ascii="Arial Narrow" w:hAnsi="Arial Narrow" w:cs="Calibri"/>
                <w:sz w:val="20"/>
                <w:szCs w:val="20"/>
              </w:rPr>
              <w:t xml:space="preserve">the upper estimate </w:t>
            </w:r>
            <w:r w:rsidRPr="003D02B6">
              <w:rPr>
                <w:rFonts w:ascii="Arial Narrow" w:hAnsi="Arial Narrow" w:cs="Calibri"/>
                <w:sz w:val="20"/>
                <w:szCs w:val="20"/>
              </w:rPr>
              <w:t xml:space="preserve">derived from incidence calculations based on </w:t>
            </w:r>
            <w:proofErr w:type="spellStart"/>
            <w:r w:rsidRPr="003D02B6">
              <w:rPr>
                <w:rFonts w:ascii="Arial Narrow" w:hAnsi="Arial Narrow" w:cs="Calibri"/>
                <w:sz w:val="20"/>
                <w:szCs w:val="20"/>
              </w:rPr>
              <w:t>Sehn</w:t>
            </w:r>
            <w:proofErr w:type="spellEnd"/>
            <w:r w:rsidRPr="003D02B6">
              <w:rPr>
                <w:rFonts w:ascii="Arial Narrow" w:hAnsi="Arial Narrow" w:cs="Calibri"/>
                <w:sz w:val="20"/>
                <w:szCs w:val="20"/>
              </w:rPr>
              <w:t xml:space="preserve"> 2021 of 2500-2670 cases of LBCL per year. </w:t>
            </w:r>
          </w:p>
          <w:p w14:paraId="7B5564C5" w14:textId="0F7B2ADD" w:rsidR="0016344F" w:rsidRPr="003D02B6" w:rsidRDefault="0016344F" w:rsidP="00B10338">
            <w:pPr>
              <w:widowControl w:val="0"/>
              <w:spacing w:before="0"/>
              <w:rPr>
                <w:rFonts w:ascii="Arial Narrow" w:hAnsi="Arial Narrow" w:cs="Calibri"/>
                <w:sz w:val="20"/>
                <w:szCs w:val="20"/>
              </w:rPr>
            </w:pPr>
            <w:r w:rsidRPr="003D02B6">
              <w:rPr>
                <w:rFonts w:ascii="Arial Narrow" w:hAnsi="Arial Narrow" w:cs="Calibri"/>
                <w:sz w:val="20"/>
                <w:szCs w:val="20"/>
              </w:rPr>
              <w:t>Conduct sensitivity</w:t>
            </w:r>
            <w:r w:rsidR="003E724E">
              <w:rPr>
                <w:rFonts w:ascii="Arial Narrow" w:hAnsi="Arial Narrow" w:cs="Calibri"/>
                <w:sz w:val="20"/>
                <w:szCs w:val="20"/>
              </w:rPr>
              <w:t xml:space="preserve"> testing</w:t>
            </w:r>
            <w:r w:rsidRPr="003D02B6">
              <w:rPr>
                <w:rFonts w:ascii="Arial Narrow" w:hAnsi="Arial Narrow" w:cs="Calibri"/>
                <w:sz w:val="20"/>
                <w:szCs w:val="20"/>
              </w:rPr>
              <w:t xml:space="preserve"> for lower limit of </w:t>
            </w:r>
            <w:r w:rsidR="003E724E">
              <w:rPr>
                <w:rFonts w:ascii="Arial Narrow" w:hAnsi="Arial Narrow" w:cs="Calibri"/>
                <w:sz w:val="20"/>
                <w:szCs w:val="20"/>
              </w:rPr>
              <w:t xml:space="preserve">39% </w:t>
            </w:r>
            <w:r w:rsidRPr="003D02B6">
              <w:rPr>
                <w:rFonts w:ascii="Arial Narrow" w:hAnsi="Arial Narrow" w:cs="Calibri"/>
                <w:sz w:val="20"/>
                <w:szCs w:val="20"/>
              </w:rPr>
              <w:t>(2500/6400=39.06%).</w:t>
            </w:r>
          </w:p>
        </w:tc>
      </w:tr>
      <w:tr w:rsidR="0016344F" w:rsidRPr="00246C59" w14:paraId="33D55483" w14:textId="77777777" w:rsidTr="002610F9">
        <w:trPr>
          <w:trHeight w:val="38"/>
        </w:trPr>
        <w:tc>
          <w:tcPr>
            <w:tcW w:w="3681" w:type="dxa"/>
            <w:shd w:val="clear" w:color="auto" w:fill="auto"/>
            <w:vAlign w:val="center"/>
            <w:hideMark/>
          </w:tcPr>
          <w:p w14:paraId="4304114D" w14:textId="71D143ED" w:rsidR="0016344F" w:rsidRPr="003D02B6" w:rsidRDefault="0016344F" w:rsidP="00B10338">
            <w:pPr>
              <w:widowControl w:val="0"/>
              <w:spacing w:before="0"/>
              <w:rPr>
                <w:rFonts w:ascii="Arial Narrow" w:hAnsi="Arial Narrow" w:cs="Calibri"/>
                <w:sz w:val="20"/>
                <w:szCs w:val="20"/>
              </w:rPr>
            </w:pPr>
            <w:r w:rsidRPr="003D02B6">
              <w:rPr>
                <w:rFonts w:ascii="Arial Narrow" w:hAnsi="Arial Narrow" w:cs="Calibri"/>
                <w:sz w:val="20"/>
                <w:szCs w:val="20"/>
              </w:rPr>
              <w:t xml:space="preserve">Proportion of patients who are </w:t>
            </w:r>
            <w:r w:rsidR="00CC2846">
              <w:rPr>
                <w:rFonts w:ascii="Arial Narrow" w:hAnsi="Arial Narrow" w:cs="Calibri"/>
                <w:sz w:val="20"/>
                <w:szCs w:val="20"/>
              </w:rPr>
              <w:t>r/r</w:t>
            </w:r>
            <w:r w:rsidRPr="003D02B6">
              <w:rPr>
                <w:rFonts w:ascii="Arial Narrow" w:hAnsi="Arial Narrow" w:cs="Calibri"/>
                <w:sz w:val="20"/>
                <w:szCs w:val="20"/>
              </w:rPr>
              <w:t xml:space="preserve"> after completion of 1L chemoimmunotherapy. </w:t>
            </w:r>
          </w:p>
        </w:tc>
        <w:tc>
          <w:tcPr>
            <w:tcW w:w="1205" w:type="dxa"/>
            <w:tcBorders>
              <w:bottom w:val="single" w:sz="4" w:space="0" w:color="auto"/>
            </w:tcBorders>
            <w:shd w:val="clear" w:color="auto" w:fill="auto"/>
            <w:noWrap/>
            <w:vAlign w:val="center"/>
            <w:hideMark/>
          </w:tcPr>
          <w:p w14:paraId="0E188CB2" w14:textId="77777777" w:rsidR="0016344F" w:rsidRPr="003D02B6" w:rsidRDefault="0016344F" w:rsidP="00B10338">
            <w:pPr>
              <w:widowControl w:val="0"/>
              <w:spacing w:before="0"/>
              <w:jc w:val="center"/>
              <w:rPr>
                <w:rFonts w:ascii="Arial Narrow" w:hAnsi="Arial Narrow" w:cs="Calibri"/>
                <w:sz w:val="20"/>
                <w:szCs w:val="20"/>
              </w:rPr>
            </w:pPr>
            <w:r w:rsidRPr="003D02B6">
              <w:rPr>
                <w:rFonts w:ascii="Arial Narrow" w:hAnsi="Arial Narrow" w:cs="Calibri"/>
                <w:sz w:val="20"/>
                <w:szCs w:val="20"/>
              </w:rPr>
              <w:t>40%</w:t>
            </w:r>
          </w:p>
        </w:tc>
        <w:tc>
          <w:tcPr>
            <w:tcW w:w="1205" w:type="dxa"/>
            <w:shd w:val="clear" w:color="auto" w:fill="auto"/>
            <w:noWrap/>
            <w:vAlign w:val="center"/>
            <w:hideMark/>
          </w:tcPr>
          <w:p w14:paraId="5EDA3459" w14:textId="77777777" w:rsidR="0016344F" w:rsidRPr="003D02B6" w:rsidRDefault="0016344F" w:rsidP="00B10338">
            <w:pPr>
              <w:widowControl w:val="0"/>
              <w:spacing w:before="0"/>
              <w:jc w:val="center"/>
              <w:rPr>
                <w:rFonts w:ascii="Arial Narrow" w:hAnsi="Arial Narrow" w:cs="Calibri"/>
                <w:sz w:val="20"/>
                <w:szCs w:val="20"/>
              </w:rPr>
            </w:pPr>
            <w:r w:rsidRPr="003D02B6">
              <w:rPr>
                <w:rFonts w:ascii="Arial Narrow" w:hAnsi="Arial Narrow" w:cs="Calibri"/>
                <w:sz w:val="20"/>
                <w:szCs w:val="20"/>
              </w:rPr>
              <w:t>20%, 30%</w:t>
            </w:r>
          </w:p>
        </w:tc>
        <w:tc>
          <w:tcPr>
            <w:tcW w:w="2919" w:type="dxa"/>
            <w:shd w:val="clear" w:color="auto" w:fill="auto"/>
            <w:noWrap/>
            <w:vAlign w:val="center"/>
            <w:hideMark/>
          </w:tcPr>
          <w:p w14:paraId="74171032" w14:textId="77777777" w:rsidR="0016344F" w:rsidRPr="003D02B6" w:rsidRDefault="0016344F" w:rsidP="00B10338">
            <w:pPr>
              <w:widowControl w:val="0"/>
              <w:spacing w:before="0"/>
              <w:rPr>
                <w:rFonts w:ascii="Arial Narrow" w:hAnsi="Arial Narrow" w:cs="Calibri"/>
                <w:sz w:val="20"/>
                <w:szCs w:val="20"/>
              </w:rPr>
            </w:pPr>
            <w:r w:rsidRPr="003D02B6">
              <w:rPr>
                <w:rFonts w:ascii="Arial Narrow" w:hAnsi="Arial Narrow" w:cs="Calibri"/>
                <w:sz w:val="20"/>
                <w:szCs w:val="20"/>
              </w:rPr>
              <w:t>Maurer 2014 cites 20-40%</w:t>
            </w:r>
          </w:p>
        </w:tc>
      </w:tr>
      <w:tr w:rsidR="0016344F" w:rsidRPr="00246C59" w14:paraId="58A8CFE0" w14:textId="77777777" w:rsidTr="002610F9">
        <w:trPr>
          <w:trHeight w:val="233"/>
        </w:trPr>
        <w:tc>
          <w:tcPr>
            <w:tcW w:w="3681" w:type="dxa"/>
            <w:shd w:val="clear" w:color="auto" w:fill="auto"/>
            <w:vAlign w:val="center"/>
            <w:hideMark/>
          </w:tcPr>
          <w:p w14:paraId="1A17F34B" w14:textId="3D0015BD" w:rsidR="0016344F" w:rsidRPr="003D02B6" w:rsidRDefault="0016344F" w:rsidP="00B10338">
            <w:pPr>
              <w:widowControl w:val="0"/>
              <w:spacing w:before="0"/>
              <w:rPr>
                <w:rFonts w:ascii="Arial Narrow" w:hAnsi="Arial Narrow" w:cs="Calibri"/>
                <w:sz w:val="20"/>
                <w:szCs w:val="20"/>
              </w:rPr>
            </w:pPr>
            <w:r w:rsidRPr="003D02B6">
              <w:rPr>
                <w:rFonts w:ascii="Arial Narrow" w:hAnsi="Arial Narrow" w:cs="Calibri"/>
                <w:sz w:val="20"/>
                <w:szCs w:val="20"/>
              </w:rPr>
              <w:t xml:space="preserve">Proportion of </w:t>
            </w:r>
            <w:r w:rsidR="00CC2846">
              <w:rPr>
                <w:rFonts w:ascii="Arial Narrow" w:hAnsi="Arial Narrow" w:cs="Calibri"/>
                <w:sz w:val="20"/>
                <w:szCs w:val="20"/>
              </w:rPr>
              <w:t>r/r</w:t>
            </w:r>
            <w:r w:rsidRPr="003D02B6">
              <w:rPr>
                <w:rFonts w:ascii="Arial Narrow" w:hAnsi="Arial Narrow" w:cs="Calibri"/>
                <w:sz w:val="20"/>
                <w:szCs w:val="20"/>
              </w:rPr>
              <w:t xml:space="preserve"> LBCL who are refractory or relapse no more than 12 months after completion of 1L chemoimmunotherapy</w:t>
            </w:r>
          </w:p>
        </w:tc>
        <w:tc>
          <w:tcPr>
            <w:tcW w:w="1205" w:type="dxa"/>
            <w:tcBorders>
              <w:bottom w:val="single" w:sz="4" w:space="0" w:color="auto"/>
            </w:tcBorders>
            <w:shd w:val="solid" w:color="000000" w:fill="000000"/>
            <w:noWrap/>
            <w:vAlign w:val="center"/>
            <w:hideMark/>
          </w:tcPr>
          <w:p w14:paraId="23DD4596" w14:textId="2D3C7B0D" w:rsidR="0016344F" w:rsidRPr="003D02B6" w:rsidRDefault="002610F9" w:rsidP="00B10338">
            <w:pPr>
              <w:widowControl w:val="0"/>
              <w:spacing w:before="0"/>
              <w:jc w:val="center"/>
              <w:rPr>
                <w:rFonts w:ascii="Arial Narrow" w:hAnsi="Arial Narrow" w:cs="Calibri"/>
                <w:sz w:val="20"/>
                <w:szCs w:val="20"/>
              </w:rPr>
            </w:pPr>
            <w:r w:rsidRPr="002610F9">
              <w:rPr>
                <w:rFonts w:ascii="Arial Narrow" w:hAnsi="Arial Narrow" w:cs="Calibri"/>
                <w:color w:val="000000"/>
                <w:sz w:val="20"/>
                <w:szCs w:val="20"/>
                <w14:textFill>
                  <w14:solidFill>
                    <w14:srgbClr w14:val="000000">
                      <w14:alpha w14:val="100000"/>
                    </w14:srgbClr>
                  </w14:solidFill>
                </w14:textFill>
              </w:rPr>
              <w:t>|</w:t>
            </w:r>
          </w:p>
        </w:tc>
        <w:tc>
          <w:tcPr>
            <w:tcW w:w="1205" w:type="dxa"/>
            <w:shd w:val="clear" w:color="auto" w:fill="auto"/>
            <w:noWrap/>
            <w:vAlign w:val="center"/>
            <w:hideMark/>
          </w:tcPr>
          <w:p w14:paraId="7AC34DF3" w14:textId="77777777" w:rsidR="0016344F" w:rsidRPr="003D02B6" w:rsidRDefault="0016344F" w:rsidP="00B10338">
            <w:pPr>
              <w:widowControl w:val="0"/>
              <w:spacing w:before="0"/>
              <w:jc w:val="center"/>
              <w:rPr>
                <w:rFonts w:ascii="Arial Narrow" w:hAnsi="Arial Narrow" w:cs="Calibri"/>
                <w:sz w:val="20"/>
                <w:szCs w:val="20"/>
              </w:rPr>
            </w:pPr>
            <w:r w:rsidRPr="003D02B6">
              <w:rPr>
                <w:rFonts w:ascii="Arial Narrow" w:hAnsi="Arial Narrow" w:cs="Calibri"/>
                <w:sz w:val="20"/>
                <w:szCs w:val="20"/>
              </w:rPr>
              <w:t>50%, 100%</w:t>
            </w:r>
          </w:p>
        </w:tc>
        <w:tc>
          <w:tcPr>
            <w:tcW w:w="2919" w:type="dxa"/>
            <w:shd w:val="clear" w:color="auto" w:fill="auto"/>
            <w:noWrap/>
            <w:vAlign w:val="center"/>
            <w:hideMark/>
          </w:tcPr>
          <w:p w14:paraId="319267E7" w14:textId="77777777" w:rsidR="0016344F" w:rsidRPr="003D02B6" w:rsidRDefault="0016344F" w:rsidP="00B10338">
            <w:pPr>
              <w:widowControl w:val="0"/>
              <w:spacing w:before="0"/>
              <w:rPr>
                <w:rFonts w:ascii="Arial Narrow" w:hAnsi="Arial Narrow" w:cs="Calibri"/>
                <w:sz w:val="20"/>
                <w:szCs w:val="20"/>
              </w:rPr>
            </w:pPr>
            <w:r w:rsidRPr="003D02B6">
              <w:rPr>
                <w:rFonts w:ascii="Arial Narrow" w:hAnsi="Arial Narrow" w:cs="Calibri"/>
                <w:sz w:val="20"/>
                <w:szCs w:val="20"/>
              </w:rPr>
              <w:t>75% appears to be a proxy for “most”, testing upper and lower limits</w:t>
            </w:r>
          </w:p>
        </w:tc>
      </w:tr>
      <w:tr w:rsidR="0016344F" w:rsidRPr="00246C59" w14:paraId="156E7E30" w14:textId="77777777" w:rsidTr="002610F9">
        <w:trPr>
          <w:trHeight w:val="233"/>
        </w:trPr>
        <w:tc>
          <w:tcPr>
            <w:tcW w:w="3681" w:type="dxa"/>
            <w:shd w:val="clear" w:color="auto" w:fill="auto"/>
            <w:vAlign w:val="center"/>
          </w:tcPr>
          <w:p w14:paraId="5F3B9EBD" w14:textId="77777777" w:rsidR="0016344F" w:rsidRPr="003D02B6" w:rsidRDefault="0016344F" w:rsidP="00B10338">
            <w:pPr>
              <w:widowControl w:val="0"/>
              <w:spacing w:before="0"/>
              <w:rPr>
                <w:rFonts w:ascii="Arial Narrow" w:hAnsi="Arial Narrow" w:cs="Calibri"/>
                <w:sz w:val="20"/>
                <w:szCs w:val="20"/>
              </w:rPr>
            </w:pPr>
            <w:r w:rsidRPr="003D02B6">
              <w:rPr>
                <w:rFonts w:ascii="Arial Narrow" w:hAnsi="Arial Narrow" w:cs="Calibri"/>
                <w:sz w:val="20"/>
                <w:szCs w:val="20"/>
              </w:rPr>
              <w:t>Proportion of patients who have adequate physical reserves for potentially curative therapy</w:t>
            </w:r>
          </w:p>
        </w:tc>
        <w:tc>
          <w:tcPr>
            <w:tcW w:w="1205" w:type="dxa"/>
            <w:shd w:val="solid" w:color="000000" w:fill="000000"/>
            <w:noWrap/>
            <w:vAlign w:val="center"/>
          </w:tcPr>
          <w:p w14:paraId="0D4594C0" w14:textId="1817484A" w:rsidR="0016344F" w:rsidRPr="003D02B6" w:rsidRDefault="002610F9" w:rsidP="00B10338">
            <w:pPr>
              <w:widowControl w:val="0"/>
              <w:spacing w:before="0"/>
              <w:jc w:val="center"/>
              <w:rPr>
                <w:rFonts w:ascii="Arial Narrow" w:hAnsi="Arial Narrow" w:cs="Calibri"/>
                <w:sz w:val="20"/>
                <w:szCs w:val="20"/>
              </w:rPr>
            </w:pPr>
            <w:r w:rsidRPr="002610F9">
              <w:rPr>
                <w:rFonts w:ascii="Arial Narrow" w:hAnsi="Arial Narrow" w:cs="Calibri"/>
                <w:color w:val="000000"/>
                <w:sz w:val="20"/>
                <w:szCs w:val="20"/>
                <w14:textFill>
                  <w14:solidFill>
                    <w14:srgbClr w14:val="000000">
                      <w14:alpha w14:val="100000"/>
                    </w14:srgbClr>
                  </w14:solidFill>
                </w14:textFill>
              </w:rPr>
              <w:t>|</w:t>
            </w:r>
          </w:p>
        </w:tc>
        <w:tc>
          <w:tcPr>
            <w:tcW w:w="1205" w:type="dxa"/>
            <w:shd w:val="clear" w:color="auto" w:fill="auto"/>
            <w:noWrap/>
            <w:vAlign w:val="center"/>
          </w:tcPr>
          <w:p w14:paraId="4168464B" w14:textId="77777777" w:rsidR="0016344F" w:rsidRPr="003D02B6" w:rsidRDefault="0016344F" w:rsidP="00B10338">
            <w:pPr>
              <w:widowControl w:val="0"/>
              <w:spacing w:before="0"/>
              <w:jc w:val="center"/>
              <w:rPr>
                <w:rFonts w:ascii="Arial Narrow" w:hAnsi="Arial Narrow" w:cs="Calibri"/>
                <w:sz w:val="20"/>
                <w:szCs w:val="20"/>
              </w:rPr>
            </w:pPr>
            <w:r w:rsidRPr="003D02B6">
              <w:rPr>
                <w:rFonts w:ascii="Arial Narrow" w:hAnsi="Arial Narrow" w:cs="Calibri"/>
                <w:sz w:val="20"/>
                <w:szCs w:val="20"/>
              </w:rPr>
              <w:t>70%, 90%</w:t>
            </w:r>
          </w:p>
        </w:tc>
        <w:tc>
          <w:tcPr>
            <w:tcW w:w="2919" w:type="dxa"/>
            <w:shd w:val="clear" w:color="auto" w:fill="auto"/>
            <w:noWrap/>
            <w:vAlign w:val="center"/>
          </w:tcPr>
          <w:p w14:paraId="585D7C18" w14:textId="77777777" w:rsidR="0016344F" w:rsidRPr="003D02B6" w:rsidRDefault="0016344F" w:rsidP="00B10338">
            <w:pPr>
              <w:widowControl w:val="0"/>
              <w:spacing w:before="0"/>
              <w:rPr>
                <w:rFonts w:ascii="Arial Narrow" w:hAnsi="Arial Narrow" w:cs="Calibri"/>
                <w:sz w:val="20"/>
                <w:szCs w:val="20"/>
              </w:rPr>
            </w:pPr>
            <w:r w:rsidRPr="003D02B6">
              <w:rPr>
                <w:rFonts w:ascii="Arial Narrow" w:hAnsi="Arial Narrow" w:cs="Calibri"/>
                <w:sz w:val="20"/>
                <w:szCs w:val="20"/>
              </w:rPr>
              <w:t>75% appears to be a proxy for “most”, testing upper and lower limits</w:t>
            </w:r>
          </w:p>
        </w:tc>
      </w:tr>
      <w:tr w:rsidR="0016344F" w:rsidRPr="00246C59" w14:paraId="429D5A67" w14:textId="77777777" w:rsidTr="001B2130">
        <w:trPr>
          <w:trHeight w:val="306"/>
        </w:trPr>
        <w:tc>
          <w:tcPr>
            <w:tcW w:w="3681" w:type="dxa"/>
            <w:shd w:val="clear" w:color="auto" w:fill="auto"/>
            <w:vAlign w:val="center"/>
          </w:tcPr>
          <w:p w14:paraId="4AEBA644" w14:textId="68E36F19" w:rsidR="0016344F" w:rsidRPr="003D02B6" w:rsidRDefault="0016344F" w:rsidP="00B10338">
            <w:pPr>
              <w:widowControl w:val="0"/>
              <w:spacing w:before="0"/>
              <w:rPr>
                <w:rFonts w:ascii="Arial Narrow" w:hAnsi="Arial Narrow" w:cs="Calibri"/>
                <w:sz w:val="20"/>
                <w:szCs w:val="20"/>
              </w:rPr>
            </w:pPr>
            <w:r w:rsidRPr="003D02B6">
              <w:rPr>
                <w:rFonts w:ascii="Arial Narrow" w:hAnsi="Arial Narrow" w:cs="Calibri"/>
                <w:sz w:val="20"/>
                <w:szCs w:val="20"/>
              </w:rPr>
              <w:t xml:space="preserve">Projected uptake of </w:t>
            </w:r>
            <w:r w:rsidR="00CC2846">
              <w:rPr>
                <w:rFonts w:ascii="Arial Narrow" w:hAnsi="Arial Narrow" w:cs="Calibri"/>
                <w:sz w:val="20"/>
                <w:szCs w:val="20"/>
              </w:rPr>
              <w:t>AXI</w:t>
            </w:r>
            <w:r w:rsidRPr="003D02B6">
              <w:rPr>
                <w:rFonts w:ascii="Arial Narrow" w:hAnsi="Arial Narrow" w:cs="Calibri"/>
                <w:sz w:val="20"/>
                <w:szCs w:val="20"/>
              </w:rPr>
              <w:t xml:space="preserve"> for LBCL in the 2L setting</w:t>
            </w:r>
          </w:p>
        </w:tc>
        <w:tc>
          <w:tcPr>
            <w:tcW w:w="1205" w:type="dxa"/>
            <w:shd w:val="clear" w:color="auto" w:fill="auto"/>
            <w:noWrap/>
            <w:vAlign w:val="center"/>
          </w:tcPr>
          <w:p w14:paraId="4D566CB3" w14:textId="7EE75052" w:rsidR="0016344F" w:rsidRPr="003D02B6" w:rsidRDefault="002610F9" w:rsidP="00B10338">
            <w:pPr>
              <w:widowControl w:val="0"/>
              <w:spacing w:before="0"/>
              <w:jc w:val="center"/>
              <w:rPr>
                <w:rFonts w:ascii="Arial Narrow" w:hAnsi="Arial Narrow" w:cs="Calibri"/>
                <w:sz w:val="20"/>
                <w:szCs w:val="20"/>
              </w:rPr>
            </w:pPr>
            <w:r w:rsidRPr="002610F9">
              <w:rPr>
                <w:rFonts w:ascii="Arial Narrow" w:hAnsi="Arial Narrow" w:cs="Calibri"/>
                <w:color w:val="000000"/>
                <w:spacing w:val="174"/>
                <w:sz w:val="20"/>
                <w:szCs w:val="20"/>
                <w:shd w:val="solid" w:color="000000" w:fill="000000"/>
                <w:fitText w:val="260" w:id="-1217620474"/>
                <w14:textFill>
                  <w14:solidFill>
                    <w14:srgbClr w14:val="000000">
                      <w14:alpha w14:val="100000"/>
                    </w14:srgbClr>
                  </w14:solidFill>
                </w14:textFill>
              </w:rPr>
              <w:t>|</w:t>
            </w:r>
            <w:r w:rsidRPr="002610F9">
              <w:rPr>
                <w:rFonts w:ascii="Arial Narrow" w:hAnsi="Arial Narrow" w:cs="Calibri"/>
                <w:color w:val="000000"/>
                <w:spacing w:val="1"/>
                <w:sz w:val="20"/>
                <w:szCs w:val="20"/>
                <w:shd w:val="solid" w:color="000000" w:fill="000000"/>
                <w:fitText w:val="260" w:id="-1217620474"/>
                <w14:textFill>
                  <w14:solidFill>
                    <w14:srgbClr w14:val="000000">
                      <w14:alpha w14:val="100000"/>
                    </w14:srgbClr>
                  </w14:solidFill>
                </w14:textFill>
              </w:rPr>
              <w:t>|</w:t>
            </w:r>
            <w:r w:rsidR="0016344F" w:rsidRPr="003D02B6">
              <w:rPr>
                <w:rFonts w:ascii="Arial Narrow" w:hAnsi="Arial Narrow" w:cs="Calibri"/>
                <w:sz w:val="20"/>
                <w:szCs w:val="20"/>
              </w:rPr>
              <w:t xml:space="preserve"> in Year 1, increasing </w:t>
            </w:r>
            <w:r w:rsidRPr="002610F9">
              <w:rPr>
                <w:rFonts w:ascii="Arial Narrow" w:hAnsi="Arial Narrow" w:cs="Calibri"/>
                <w:color w:val="000000"/>
                <w:spacing w:val="214"/>
                <w:sz w:val="20"/>
                <w:szCs w:val="20"/>
                <w:shd w:val="solid" w:color="000000" w:fill="000000"/>
                <w:fitText w:val="300" w:id="-1217620473"/>
                <w14:textFill>
                  <w14:solidFill>
                    <w14:srgbClr w14:val="000000">
                      <w14:alpha w14:val="100000"/>
                    </w14:srgbClr>
                  </w14:solidFill>
                </w14:textFill>
              </w:rPr>
              <w:t>|</w:t>
            </w:r>
            <w:r w:rsidRPr="002610F9">
              <w:rPr>
                <w:rFonts w:ascii="Arial Narrow" w:hAnsi="Arial Narrow" w:cs="Calibri"/>
                <w:color w:val="000000"/>
                <w:spacing w:val="1"/>
                <w:sz w:val="20"/>
                <w:szCs w:val="20"/>
                <w:shd w:val="solid" w:color="000000" w:fill="000000"/>
                <w:fitText w:val="300" w:id="-1217620473"/>
                <w14:textFill>
                  <w14:solidFill>
                    <w14:srgbClr w14:val="000000">
                      <w14:alpha w14:val="100000"/>
                    </w14:srgbClr>
                  </w14:solidFill>
                </w14:textFill>
              </w:rPr>
              <w:t>|</w:t>
            </w:r>
            <w:r w:rsidR="0016344F" w:rsidRPr="003D02B6">
              <w:rPr>
                <w:rFonts w:ascii="Arial Narrow" w:hAnsi="Arial Narrow" w:cs="Calibri"/>
                <w:sz w:val="20"/>
                <w:szCs w:val="20"/>
              </w:rPr>
              <w:t xml:space="preserve"> per year to </w:t>
            </w:r>
            <w:r w:rsidRPr="002610F9">
              <w:rPr>
                <w:rFonts w:ascii="Arial Narrow" w:hAnsi="Arial Narrow" w:cs="Calibri"/>
                <w:color w:val="000000"/>
                <w:spacing w:val="49"/>
                <w:sz w:val="20"/>
                <w:szCs w:val="20"/>
                <w:shd w:val="solid" w:color="000000" w:fill="000000"/>
                <w:fitText w:val="320" w:id="-1217620472"/>
                <w14:textFill>
                  <w14:solidFill>
                    <w14:srgbClr w14:val="000000">
                      <w14:alpha w14:val="100000"/>
                    </w14:srgbClr>
                  </w14:solidFill>
                </w14:textFill>
              </w:rPr>
              <w:t>|||</w:t>
            </w:r>
            <w:r w:rsidRPr="002610F9">
              <w:rPr>
                <w:rFonts w:ascii="Arial Narrow" w:hAnsi="Arial Narrow" w:cs="Calibri"/>
                <w:color w:val="000000"/>
                <w:spacing w:val="3"/>
                <w:sz w:val="20"/>
                <w:szCs w:val="20"/>
                <w:shd w:val="solid" w:color="000000" w:fill="000000"/>
                <w:fitText w:val="320" w:id="-1217620472"/>
                <w14:textFill>
                  <w14:solidFill>
                    <w14:srgbClr w14:val="000000">
                      <w14:alpha w14:val="100000"/>
                    </w14:srgbClr>
                  </w14:solidFill>
                </w14:textFill>
              </w:rPr>
              <w:t>|</w:t>
            </w:r>
            <w:r w:rsidR="0016344F" w:rsidRPr="003D02B6">
              <w:rPr>
                <w:rFonts w:ascii="Arial Narrow" w:hAnsi="Arial Narrow" w:cs="Calibri"/>
                <w:sz w:val="20"/>
                <w:szCs w:val="20"/>
              </w:rPr>
              <w:t xml:space="preserve"> in Year 6</w:t>
            </w:r>
          </w:p>
        </w:tc>
        <w:tc>
          <w:tcPr>
            <w:tcW w:w="1205" w:type="dxa"/>
            <w:shd w:val="clear" w:color="auto" w:fill="auto"/>
            <w:noWrap/>
            <w:vAlign w:val="center"/>
          </w:tcPr>
          <w:p w14:paraId="0794DB62" w14:textId="77777777" w:rsidR="0016344F" w:rsidRPr="003D02B6" w:rsidRDefault="0016344F" w:rsidP="00B10338">
            <w:pPr>
              <w:widowControl w:val="0"/>
              <w:spacing w:before="0"/>
              <w:jc w:val="center"/>
              <w:rPr>
                <w:rFonts w:ascii="Arial Narrow" w:hAnsi="Arial Narrow" w:cs="Calibri"/>
                <w:sz w:val="20"/>
                <w:szCs w:val="20"/>
              </w:rPr>
            </w:pPr>
            <w:r w:rsidRPr="003D02B6">
              <w:rPr>
                <w:rFonts w:ascii="Arial Narrow" w:hAnsi="Arial Narrow" w:cs="Calibri"/>
                <w:sz w:val="20"/>
                <w:szCs w:val="20"/>
              </w:rPr>
              <w:t>100% all years</w:t>
            </w:r>
          </w:p>
          <w:p w14:paraId="74B0F599" w14:textId="77777777" w:rsidR="0016344F" w:rsidRPr="003D02B6" w:rsidRDefault="0016344F" w:rsidP="00B10338">
            <w:pPr>
              <w:widowControl w:val="0"/>
              <w:spacing w:before="0"/>
              <w:jc w:val="center"/>
              <w:rPr>
                <w:rFonts w:ascii="Arial Narrow" w:hAnsi="Arial Narrow" w:cs="Calibri"/>
                <w:sz w:val="20"/>
                <w:szCs w:val="20"/>
              </w:rPr>
            </w:pPr>
          </w:p>
          <w:p w14:paraId="43CAD4DC" w14:textId="77777777" w:rsidR="0016344F" w:rsidRPr="003D02B6" w:rsidRDefault="0016344F" w:rsidP="00B10338">
            <w:pPr>
              <w:widowControl w:val="0"/>
              <w:spacing w:before="0"/>
              <w:jc w:val="center"/>
              <w:rPr>
                <w:rFonts w:ascii="Arial Narrow" w:hAnsi="Arial Narrow" w:cs="Calibri"/>
                <w:sz w:val="20"/>
                <w:szCs w:val="20"/>
              </w:rPr>
            </w:pPr>
            <w:r w:rsidRPr="003D02B6">
              <w:rPr>
                <w:rFonts w:ascii="Arial Narrow" w:hAnsi="Arial Narrow" w:cs="Calibri"/>
                <w:sz w:val="20"/>
                <w:szCs w:val="20"/>
              </w:rPr>
              <w:t>50% in Year 1, increasing 10% per year to 100% in Year 6</w:t>
            </w:r>
          </w:p>
        </w:tc>
        <w:tc>
          <w:tcPr>
            <w:tcW w:w="2919" w:type="dxa"/>
            <w:shd w:val="clear" w:color="auto" w:fill="auto"/>
            <w:noWrap/>
            <w:vAlign w:val="center"/>
          </w:tcPr>
          <w:p w14:paraId="5754D383" w14:textId="77777777" w:rsidR="0016344F" w:rsidRPr="003D02B6" w:rsidRDefault="0016344F" w:rsidP="00B10338">
            <w:pPr>
              <w:widowControl w:val="0"/>
              <w:spacing w:before="0"/>
              <w:rPr>
                <w:rFonts w:ascii="Arial Narrow" w:hAnsi="Arial Narrow" w:cs="Calibri"/>
                <w:sz w:val="20"/>
                <w:szCs w:val="20"/>
              </w:rPr>
            </w:pPr>
            <w:r w:rsidRPr="003D02B6">
              <w:rPr>
                <w:rFonts w:ascii="Arial Narrow" w:hAnsi="Arial Narrow" w:cs="Calibri"/>
                <w:sz w:val="20"/>
                <w:szCs w:val="20"/>
              </w:rPr>
              <w:t>Other potential uptake rates explored.</w:t>
            </w:r>
          </w:p>
          <w:p w14:paraId="6C432F64" w14:textId="77777777" w:rsidR="0016344F" w:rsidRPr="003D02B6" w:rsidRDefault="0016344F" w:rsidP="00B10338">
            <w:pPr>
              <w:widowControl w:val="0"/>
              <w:spacing w:before="0"/>
              <w:rPr>
                <w:rFonts w:ascii="Arial Narrow" w:hAnsi="Arial Narrow" w:cs="Calibri"/>
                <w:sz w:val="20"/>
                <w:szCs w:val="20"/>
              </w:rPr>
            </w:pPr>
          </w:p>
          <w:p w14:paraId="687DF142" w14:textId="77777777" w:rsidR="0016344F" w:rsidRPr="003D02B6" w:rsidRDefault="0016344F" w:rsidP="00B10338">
            <w:pPr>
              <w:widowControl w:val="0"/>
              <w:spacing w:before="0"/>
              <w:rPr>
                <w:rFonts w:ascii="Arial Narrow" w:hAnsi="Arial Narrow" w:cs="Calibri"/>
                <w:sz w:val="20"/>
                <w:szCs w:val="20"/>
              </w:rPr>
            </w:pPr>
            <w:r w:rsidRPr="003D02B6">
              <w:rPr>
                <w:rFonts w:ascii="Arial Narrow" w:hAnsi="Arial Narrow" w:cs="Calibri"/>
                <w:sz w:val="20"/>
                <w:szCs w:val="20"/>
              </w:rPr>
              <w:t>100% uptake across all years does not represent what the rates would be in real practice but provides an indication of the maximum financial outlay in absence of any further information</w:t>
            </w:r>
            <w:r w:rsidRPr="003D02B6">
              <w:rPr>
                <w:rFonts w:ascii="Arial Narrow" w:hAnsi="Arial Narrow"/>
                <w:i/>
                <w:iCs/>
                <w:sz w:val="20"/>
                <w:szCs w:val="20"/>
              </w:rPr>
              <w:t>.</w:t>
            </w:r>
          </w:p>
        </w:tc>
      </w:tr>
    </w:tbl>
    <w:p w14:paraId="4D4C8BBC" w14:textId="3E9D92EC" w:rsidR="002A0939" w:rsidRDefault="00110C43" w:rsidP="00F15693">
      <w:pPr>
        <w:pStyle w:val="aTableHeading"/>
        <w:ind w:left="0" w:firstLine="0"/>
      </w:pPr>
      <w:bookmarkStart w:id="47" w:name="_Ref120621615"/>
      <w:r w:rsidRPr="00BB2BFF">
        <w:lastRenderedPageBreak/>
        <w:t xml:space="preserve">Table </w:t>
      </w:r>
      <w:bookmarkEnd w:id="47"/>
      <w:r w:rsidR="00B96120">
        <w:t>1</w:t>
      </w:r>
      <w:r w:rsidR="00F67C15">
        <w:t>6</w:t>
      </w:r>
      <w:r w:rsidRPr="00BB2BFF">
        <w:tab/>
      </w:r>
      <w:r w:rsidR="00385A8C" w:rsidRPr="00BB2BFF">
        <w:t>Results of sensitivity analysis for net budget impact</w:t>
      </w:r>
      <w:r w:rsidR="00E44CEF" w:rsidRPr="00BB2BFF">
        <w:t xml:space="preserve"> </w:t>
      </w:r>
      <w:r w:rsidR="00E44CEF" w:rsidRPr="00246C59">
        <w:t xml:space="preserve">of making </w:t>
      </w:r>
      <w:r w:rsidR="00226D5B" w:rsidRPr="00246C59">
        <w:t>AXI</w:t>
      </w:r>
      <w:r w:rsidR="00E44CEF" w:rsidRPr="00246C59">
        <w:t xml:space="preserve"> available for patients with LBCL who are refractory to or have relapsed no more than 12 months after completion of 1L chemoimmunotherapy</w:t>
      </w:r>
      <w:r w:rsidR="00385A8C" w:rsidRPr="00BB2BFF">
        <w:t xml:space="preserve"> (conducted by the assessment team)</w:t>
      </w:r>
      <w:r w:rsidRPr="00BB2BFF">
        <w:t>.</w:t>
      </w:r>
    </w:p>
    <w:tbl>
      <w:tblPr>
        <w:tblStyle w:val="TableGrid1"/>
        <w:tblW w:w="5000" w:type="pct"/>
        <w:tblCellMar>
          <w:top w:w="28" w:type="dxa"/>
          <w:left w:w="28" w:type="dxa"/>
          <w:bottom w:w="28" w:type="dxa"/>
          <w:right w:w="28" w:type="dxa"/>
        </w:tblCellMar>
        <w:tblLook w:val="04A0" w:firstRow="1" w:lastRow="0" w:firstColumn="1" w:lastColumn="0" w:noHBand="0" w:noVBand="1"/>
      </w:tblPr>
      <w:tblGrid>
        <w:gridCol w:w="1020"/>
        <w:gridCol w:w="1335"/>
        <w:gridCol w:w="1333"/>
        <w:gridCol w:w="1333"/>
        <w:gridCol w:w="1333"/>
        <w:gridCol w:w="1333"/>
        <w:gridCol w:w="1329"/>
      </w:tblGrid>
      <w:tr w:rsidR="00246C59" w:rsidRPr="00246C59" w14:paraId="62781460" w14:textId="77777777" w:rsidTr="001B2130">
        <w:trPr>
          <w:cnfStyle w:val="100000000000" w:firstRow="1" w:lastRow="0" w:firstColumn="0" w:lastColumn="0" w:oddVBand="0" w:evenVBand="0" w:oddHBand="0" w:evenHBand="0" w:firstRowFirstColumn="0" w:firstRowLastColumn="0" w:lastRowFirstColumn="0" w:lastRowLastColumn="0"/>
          <w:trHeight w:val="200"/>
        </w:trPr>
        <w:tc>
          <w:tcPr>
            <w:tcW w:w="566" w:type="pct"/>
            <w:shd w:val="clear" w:color="auto" w:fill="auto"/>
            <w:vAlign w:val="center"/>
            <w:hideMark/>
          </w:tcPr>
          <w:p w14:paraId="53E10B2B" w14:textId="12DCB015" w:rsidR="00526C3E" w:rsidRPr="000D382E" w:rsidRDefault="00526C3E" w:rsidP="007D2C20">
            <w:pPr>
              <w:keepNext/>
              <w:rPr>
                <w:rFonts w:ascii="Arial Narrow" w:hAnsi="Arial Narrow" w:cs="Calibri"/>
                <w:b/>
                <w:bCs/>
                <w:sz w:val="20"/>
                <w:szCs w:val="20"/>
              </w:rPr>
            </w:pPr>
          </w:p>
        </w:tc>
        <w:tc>
          <w:tcPr>
            <w:tcW w:w="741" w:type="pct"/>
            <w:shd w:val="clear" w:color="auto" w:fill="auto"/>
            <w:vAlign w:val="center"/>
            <w:hideMark/>
          </w:tcPr>
          <w:p w14:paraId="7B76480F" w14:textId="77777777" w:rsidR="00526C3E" w:rsidRPr="000D382E" w:rsidRDefault="00526C3E" w:rsidP="007D2C20">
            <w:pPr>
              <w:keepNext/>
              <w:rPr>
                <w:rFonts w:ascii="Arial Narrow" w:hAnsi="Arial Narrow" w:cs="Calibri"/>
                <w:b/>
                <w:bCs/>
                <w:sz w:val="20"/>
                <w:szCs w:val="20"/>
              </w:rPr>
            </w:pPr>
            <w:r w:rsidRPr="000D382E">
              <w:rPr>
                <w:rFonts w:ascii="Arial Narrow" w:hAnsi="Arial Narrow" w:cs="Calibri"/>
                <w:b/>
                <w:bCs/>
                <w:sz w:val="20"/>
                <w:szCs w:val="20"/>
              </w:rPr>
              <w:t>2023</w:t>
            </w:r>
          </w:p>
          <w:p w14:paraId="03B766AE" w14:textId="77777777" w:rsidR="00526C3E" w:rsidRPr="000D382E" w:rsidRDefault="00526C3E" w:rsidP="007D2C20">
            <w:pPr>
              <w:keepNext/>
              <w:rPr>
                <w:rFonts w:ascii="Arial Narrow" w:hAnsi="Arial Narrow" w:cs="Calibri"/>
                <w:b/>
                <w:bCs/>
                <w:sz w:val="20"/>
                <w:szCs w:val="20"/>
              </w:rPr>
            </w:pPr>
            <w:r w:rsidRPr="000D382E">
              <w:rPr>
                <w:rFonts w:ascii="Arial Narrow" w:hAnsi="Arial Narrow" w:cs="Calibri"/>
                <w:b/>
                <w:bCs/>
                <w:sz w:val="20"/>
                <w:szCs w:val="20"/>
              </w:rPr>
              <w:t>(Year 1)</w:t>
            </w:r>
          </w:p>
        </w:tc>
        <w:tc>
          <w:tcPr>
            <w:tcW w:w="739" w:type="pct"/>
            <w:shd w:val="clear" w:color="auto" w:fill="auto"/>
            <w:vAlign w:val="center"/>
            <w:hideMark/>
          </w:tcPr>
          <w:p w14:paraId="2DEAE52C" w14:textId="77777777" w:rsidR="00526C3E" w:rsidRPr="000D382E" w:rsidRDefault="00526C3E" w:rsidP="007D2C20">
            <w:pPr>
              <w:keepNext/>
              <w:rPr>
                <w:rFonts w:ascii="Arial Narrow" w:hAnsi="Arial Narrow" w:cs="Calibri"/>
                <w:b/>
                <w:bCs/>
                <w:sz w:val="20"/>
                <w:szCs w:val="20"/>
              </w:rPr>
            </w:pPr>
            <w:r w:rsidRPr="000D382E">
              <w:rPr>
                <w:rFonts w:ascii="Arial Narrow" w:hAnsi="Arial Narrow" w:cs="Calibri"/>
                <w:b/>
                <w:bCs/>
                <w:sz w:val="20"/>
                <w:szCs w:val="20"/>
              </w:rPr>
              <w:t>2024</w:t>
            </w:r>
          </w:p>
          <w:p w14:paraId="27669929" w14:textId="77777777" w:rsidR="00526C3E" w:rsidRPr="000D382E" w:rsidRDefault="00526C3E" w:rsidP="007D2C20">
            <w:pPr>
              <w:keepNext/>
              <w:rPr>
                <w:rFonts w:ascii="Arial Narrow" w:hAnsi="Arial Narrow" w:cs="Calibri"/>
                <w:b/>
                <w:bCs/>
                <w:sz w:val="20"/>
                <w:szCs w:val="20"/>
              </w:rPr>
            </w:pPr>
            <w:r w:rsidRPr="000D382E">
              <w:rPr>
                <w:rFonts w:ascii="Arial Narrow" w:hAnsi="Arial Narrow" w:cs="Calibri"/>
                <w:b/>
                <w:bCs/>
                <w:sz w:val="20"/>
                <w:szCs w:val="20"/>
              </w:rPr>
              <w:t>(Year 2)</w:t>
            </w:r>
          </w:p>
        </w:tc>
        <w:tc>
          <w:tcPr>
            <w:tcW w:w="739" w:type="pct"/>
            <w:shd w:val="clear" w:color="auto" w:fill="auto"/>
            <w:vAlign w:val="center"/>
            <w:hideMark/>
          </w:tcPr>
          <w:p w14:paraId="260E7B02" w14:textId="77777777" w:rsidR="00526C3E" w:rsidRPr="000D382E" w:rsidRDefault="00526C3E" w:rsidP="007D2C20">
            <w:pPr>
              <w:keepNext/>
              <w:rPr>
                <w:rFonts w:ascii="Arial Narrow" w:hAnsi="Arial Narrow" w:cs="Calibri"/>
                <w:b/>
                <w:bCs/>
                <w:sz w:val="20"/>
                <w:szCs w:val="20"/>
              </w:rPr>
            </w:pPr>
            <w:r w:rsidRPr="000D382E">
              <w:rPr>
                <w:rFonts w:ascii="Arial Narrow" w:hAnsi="Arial Narrow" w:cs="Calibri"/>
                <w:b/>
                <w:bCs/>
                <w:sz w:val="20"/>
                <w:szCs w:val="20"/>
              </w:rPr>
              <w:t>2025</w:t>
            </w:r>
          </w:p>
          <w:p w14:paraId="1491CFA6" w14:textId="77777777" w:rsidR="00526C3E" w:rsidRPr="000D382E" w:rsidRDefault="00526C3E" w:rsidP="007D2C20">
            <w:pPr>
              <w:keepNext/>
              <w:rPr>
                <w:rFonts w:ascii="Arial Narrow" w:hAnsi="Arial Narrow" w:cs="Calibri"/>
                <w:b/>
                <w:bCs/>
                <w:sz w:val="20"/>
                <w:szCs w:val="20"/>
              </w:rPr>
            </w:pPr>
            <w:r w:rsidRPr="000D382E">
              <w:rPr>
                <w:rFonts w:ascii="Arial Narrow" w:hAnsi="Arial Narrow" w:cs="Calibri"/>
                <w:b/>
                <w:bCs/>
                <w:sz w:val="20"/>
                <w:szCs w:val="20"/>
              </w:rPr>
              <w:t>(Year 3)</w:t>
            </w:r>
          </w:p>
        </w:tc>
        <w:tc>
          <w:tcPr>
            <w:tcW w:w="739" w:type="pct"/>
            <w:shd w:val="clear" w:color="auto" w:fill="auto"/>
            <w:vAlign w:val="center"/>
            <w:hideMark/>
          </w:tcPr>
          <w:p w14:paraId="38D7D791" w14:textId="77777777" w:rsidR="00526C3E" w:rsidRPr="000D382E" w:rsidRDefault="00526C3E" w:rsidP="007D2C20">
            <w:pPr>
              <w:keepNext/>
              <w:rPr>
                <w:rFonts w:ascii="Arial Narrow" w:hAnsi="Arial Narrow" w:cs="Calibri"/>
                <w:b/>
                <w:bCs/>
                <w:sz w:val="20"/>
                <w:szCs w:val="20"/>
              </w:rPr>
            </w:pPr>
            <w:r w:rsidRPr="000D382E">
              <w:rPr>
                <w:rFonts w:ascii="Arial Narrow" w:hAnsi="Arial Narrow" w:cs="Calibri"/>
                <w:b/>
                <w:bCs/>
                <w:sz w:val="20"/>
                <w:szCs w:val="20"/>
              </w:rPr>
              <w:t>2026</w:t>
            </w:r>
          </w:p>
          <w:p w14:paraId="4B759B5C" w14:textId="77777777" w:rsidR="00526C3E" w:rsidRPr="000D382E" w:rsidRDefault="00526C3E" w:rsidP="007D2C20">
            <w:pPr>
              <w:keepNext/>
              <w:rPr>
                <w:rFonts w:ascii="Arial Narrow" w:hAnsi="Arial Narrow" w:cs="Calibri"/>
                <w:b/>
                <w:bCs/>
                <w:sz w:val="20"/>
                <w:szCs w:val="20"/>
              </w:rPr>
            </w:pPr>
            <w:r w:rsidRPr="000D382E">
              <w:rPr>
                <w:rFonts w:ascii="Arial Narrow" w:hAnsi="Arial Narrow" w:cs="Calibri"/>
                <w:b/>
                <w:bCs/>
                <w:sz w:val="20"/>
                <w:szCs w:val="20"/>
              </w:rPr>
              <w:t>(Year 4)</w:t>
            </w:r>
          </w:p>
        </w:tc>
        <w:tc>
          <w:tcPr>
            <w:tcW w:w="739" w:type="pct"/>
            <w:shd w:val="clear" w:color="auto" w:fill="auto"/>
            <w:vAlign w:val="center"/>
            <w:hideMark/>
          </w:tcPr>
          <w:p w14:paraId="79D5EF69" w14:textId="77777777" w:rsidR="00526C3E" w:rsidRPr="000D382E" w:rsidRDefault="00526C3E" w:rsidP="007D2C20">
            <w:pPr>
              <w:keepNext/>
              <w:rPr>
                <w:rFonts w:ascii="Arial Narrow" w:hAnsi="Arial Narrow" w:cs="Calibri"/>
                <w:b/>
                <w:bCs/>
                <w:sz w:val="20"/>
                <w:szCs w:val="20"/>
              </w:rPr>
            </w:pPr>
            <w:r w:rsidRPr="000D382E">
              <w:rPr>
                <w:rFonts w:ascii="Arial Narrow" w:hAnsi="Arial Narrow" w:cs="Calibri"/>
                <w:b/>
                <w:bCs/>
                <w:sz w:val="20"/>
                <w:szCs w:val="20"/>
              </w:rPr>
              <w:t>2027</w:t>
            </w:r>
          </w:p>
          <w:p w14:paraId="1F4E8AEE" w14:textId="77777777" w:rsidR="00526C3E" w:rsidRPr="000D382E" w:rsidRDefault="00526C3E" w:rsidP="007D2C20">
            <w:pPr>
              <w:keepNext/>
              <w:rPr>
                <w:rFonts w:ascii="Arial Narrow" w:hAnsi="Arial Narrow" w:cs="Calibri"/>
                <w:b/>
                <w:bCs/>
                <w:sz w:val="20"/>
                <w:szCs w:val="20"/>
              </w:rPr>
            </w:pPr>
            <w:r w:rsidRPr="000D382E">
              <w:rPr>
                <w:rFonts w:ascii="Arial Narrow" w:hAnsi="Arial Narrow" w:cs="Calibri"/>
                <w:b/>
                <w:bCs/>
                <w:sz w:val="20"/>
                <w:szCs w:val="20"/>
              </w:rPr>
              <w:t>(Year 5)</w:t>
            </w:r>
          </w:p>
        </w:tc>
        <w:tc>
          <w:tcPr>
            <w:tcW w:w="738" w:type="pct"/>
            <w:shd w:val="clear" w:color="auto" w:fill="auto"/>
            <w:vAlign w:val="center"/>
            <w:hideMark/>
          </w:tcPr>
          <w:p w14:paraId="233482A3" w14:textId="77777777" w:rsidR="00526C3E" w:rsidRPr="000D382E" w:rsidRDefault="00526C3E" w:rsidP="007D2C20">
            <w:pPr>
              <w:keepNext/>
              <w:rPr>
                <w:rFonts w:ascii="Arial Narrow" w:hAnsi="Arial Narrow" w:cs="Calibri"/>
                <w:b/>
                <w:bCs/>
                <w:sz w:val="20"/>
                <w:szCs w:val="20"/>
              </w:rPr>
            </w:pPr>
            <w:r w:rsidRPr="000D382E">
              <w:rPr>
                <w:rFonts w:ascii="Arial Narrow" w:hAnsi="Arial Narrow" w:cs="Calibri"/>
                <w:b/>
                <w:bCs/>
                <w:sz w:val="20"/>
                <w:szCs w:val="20"/>
              </w:rPr>
              <w:t>2028</w:t>
            </w:r>
          </w:p>
          <w:p w14:paraId="30846734" w14:textId="77777777" w:rsidR="00526C3E" w:rsidRPr="000D382E" w:rsidRDefault="00526C3E" w:rsidP="007D2C20">
            <w:pPr>
              <w:keepNext/>
              <w:rPr>
                <w:rFonts w:ascii="Arial Narrow" w:hAnsi="Arial Narrow" w:cs="Calibri"/>
                <w:b/>
                <w:bCs/>
                <w:sz w:val="20"/>
                <w:szCs w:val="20"/>
              </w:rPr>
            </w:pPr>
            <w:r w:rsidRPr="000D382E">
              <w:rPr>
                <w:rFonts w:ascii="Arial Narrow" w:hAnsi="Arial Narrow" w:cs="Calibri"/>
                <w:b/>
                <w:bCs/>
                <w:sz w:val="20"/>
                <w:szCs w:val="20"/>
              </w:rPr>
              <w:t>(Year 6)</w:t>
            </w:r>
          </w:p>
        </w:tc>
      </w:tr>
      <w:tr w:rsidR="00246C59" w:rsidRPr="00246C59" w14:paraId="28BBF6DD" w14:textId="77777777" w:rsidTr="001B2130">
        <w:trPr>
          <w:trHeight w:val="19"/>
        </w:trPr>
        <w:tc>
          <w:tcPr>
            <w:tcW w:w="566" w:type="pct"/>
            <w:shd w:val="clear" w:color="auto" w:fill="auto"/>
            <w:vAlign w:val="center"/>
          </w:tcPr>
          <w:p w14:paraId="33B28297" w14:textId="77777777" w:rsidR="00526C3E" w:rsidRPr="000D382E" w:rsidRDefault="00526C3E" w:rsidP="007D2C20">
            <w:pPr>
              <w:keepNext/>
              <w:rPr>
                <w:rFonts w:ascii="Arial Narrow" w:hAnsi="Arial Narrow" w:cs="Calibri"/>
                <w:b/>
                <w:sz w:val="20"/>
                <w:szCs w:val="20"/>
              </w:rPr>
            </w:pPr>
            <w:r w:rsidRPr="000D382E">
              <w:rPr>
                <w:rFonts w:ascii="Arial Narrow" w:hAnsi="Arial Narrow" w:cs="Calibri"/>
                <w:b/>
                <w:bCs/>
                <w:sz w:val="20"/>
                <w:szCs w:val="20"/>
              </w:rPr>
              <w:t>Base case</w:t>
            </w:r>
          </w:p>
        </w:tc>
        <w:tc>
          <w:tcPr>
            <w:tcW w:w="741" w:type="pct"/>
            <w:shd w:val="clear" w:color="auto" w:fill="auto"/>
            <w:noWrap/>
            <w:vAlign w:val="center"/>
          </w:tcPr>
          <w:p w14:paraId="62489AEB" w14:textId="5E34D342" w:rsidR="00526C3E" w:rsidRPr="00FA1F5D" w:rsidRDefault="00526C3E" w:rsidP="007D2C20">
            <w:pPr>
              <w:keepNext/>
              <w:rPr>
                <w:rFonts w:ascii="Arial Narrow" w:hAnsi="Arial Narrow" w:cs="Calibri"/>
                <w:b/>
                <w:sz w:val="20"/>
                <w:szCs w:val="20"/>
                <w:highlight w:val="yellow"/>
              </w:rPr>
            </w:pPr>
            <w:r w:rsidRPr="007E412C">
              <w:rPr>
                <w:rFonts w:ascii="Arial Narrow" w:hAnsi="Arial Narrow" w:cs="Calibri"/>
                <w:b/>
                <w:bCs/>
                <w:sz w:val="20"/>
                <w:szCs w:val="20"/>
              </w:rPr>
              <w:t>$</w:t>
            </w:r>
            <w:r w:rsidR="002610F9" w:rsidRPr="002610F9">
              <w:rPr>
                <w:rFonts w:ascii="Arial Narrow" w:hAnsi="Arial Narrow" w:cs="Calibri"/>
                <w:b/>
                <w:bCs/>
                <w:color w:val="000000"/>
                <w:spacing w:val="55"/>
                <w:sz w:val="20"/>
                <w:szCs w:val="20"/>
                <w:shd w:val="solid" w:color="000000" w:fill="000000"/>
                <w:fitText w:val="350" w:id="-1217620471"/>
                <w14:textFill>
                  <w14:solidFill>
                    <w14:srgbClr w14:val="000000">
                      <w14:alpha w14:val="100000"/>
                    </w14:srgbClr>
                  </w14:solidFill>
                </w14:textFill>
              </w:rPr>
              <w:t>|||</w:t>
            </w:r>
            <w:r w:rsidR="002610F9" w:rsidRPr="002610F9">
              <w:rPr>
                <w:rFonts w:ascii="Arial Narrow" w:hAnsi="Arial Narrow" w:cs="Calibri"/>
                <w:b/>
                <w:bCs/>
                <w:color w:val="000000"/>
                <w:spacing w:val="2"/>
                <w:sz w:val="20"/>
                <w:szCs w:val="20"/>
                <w:shd w:val="solid" w:color="000000" w:fill="000000"/>
                <w:fitText w:val="350" w:id="-1217620471"/>
                <w14:textFill>
                  <w14:solidFill>
                    <w14:srgbClr w14:val="000000">
                      <w14:alpha w14:val="100000"/>
                    </w14:srgbClr>
                  </w14:solidFill>
                </w14:textFill>
              </w:rPr>
              <w:t>|</w:t>
            </w:r>
          </w:p>
        </w:tc>
        <w:tc>
          <w:tcPr>
            <w:tcW w:w="739" w:type="pct"/>
            <w:shd w:val="clear" w:color="auto" w:fill="auto"/>
            <w:noWrap/>
            <w:vAlign w:val="center"/>
          </w:tcPr>
          <w:p w14:paraId="166C0ED4" w14:textId="6A3C2918" w:rsidR="00526C3E" w:rsidRPr="00FA1F5D" w:rsidRDefault="00526C3E" w:rsidP="007D2C20">
            <w:pPr>
              <w:keepNext/>
              <w:rPr>
                <w:rFonts w:ascii="Arial Narrow" w:hAnsi="Arial Narrow" w:cs="Calibri"/>
                <w:b/>
                <w:sz w:val="20"/>
                <w:szCs w:val="20"/>
                <w:highlight w:val="yellow"/>
              </w:rPr>
            </w:pPr>
            <w:r w:rsidRPr="007E412C">
              <w:rPr>
                <w:rFonts w:ascii="Arial Narrow" w:hAnsi="Arial Narrow" w:cs="Calibri"/>
                <w:b/>
                <w:bCs/>
                <w:sz w:val="20"/>
                <w:szCs w:val="20"/>
              </w:rPr>
              <w:t>$</w:t>
            </w:r>
            <w:r w:rsidR="002610F9" w:rsidRPr="002610F9">
              <w:rPr>
                <w:rFonts w:ascii="Arial Narrow" w:hAnsi="Arial Narrow" w:cs="Calibri"/>
                <w:b/>
                <w:bCs/>
                <w:color w:val="000000"/>
                <w:spacing w:val="55"/>
                <w:sz w:val="20"/>
                <w:szCs w:val="20"/>
                <w:shd w:val="solid" w:color="000000" w:fill="000000"/>
                <w:fitText w:val="350" w:id="-1217620470"/>
                <w14:textFill>
                  <w14:solidFill>
                    <w14:srgbClr w14:val="000000">
                      <w14:alpha w14:val="100000"/>
                    </w14:srgbClr>
                  </w14:solidFill>
                </w14:textFill>
              </w:rPr>
              <w:t>|||</w:t>
            </w:r>
            <w:r w:rsidR="002610F9" w:rsidRPr="002610F9">
              <w:rPr>
                <w:rFonts w:ascii="Arial Narrow" w:hAnsi="Arial Narrow" w:cs="Calibri"/>
                <w:b/>
                <w:bCs/>
                <w:color w:val="000000"/>
                <w:spacing w:val="2"/>
                <w:sz w:val="20"/>
                <w:szCs w:val="20"/>
                <w:shd w:val="solid" w:color="000000" w:fill="000000"/>
                <w:fitText w:val="350" w:id="-1217620470"/>
                <w14:textFill>
                  <w14:solidFill>
                    <w14:srgbClr w14:val="000000">
                      <w14:alpha w14:val="100000"/>
                    </w14:srgbClr>
                  </w14:solidFill>
                </w14:textFill>
              </w:rPr>
              <w:t>|</w:t>
            </w:r>
          </w:p>
        </w:tc>
        <w:tc>
          <w:tcPr>
            <w:tcW w:w="739" w:type="pct"/>
            <w:shd w:val="clear" w:color="auto" w:fill="auto"/>
            <w:noWrap/>
            <w:vAlign w:val="center"/>
          </w:tcPr>
          <w:p w14:paraId="4A818C3E" w14:textId="11338DBE" w:rsidR="00526C3E" w:rsidRPr="00FA1F5D" w:rsidRDefault="00526C3E" w:rsidP="007D2C20">
            <w:pPr>
              <w:keepNext/>
              <w:rPr>
                <w:rFonts w:ascii="Arial Narrow" w:hAnsi="Arial Narrow" w:cs="Calibri"/>
                <w:b/>
                <w:sz w:val="20"/>
                <w:szCs w:val="20"/>
                <w:highlight w:val="yellow"/>
              </w:rPr>
            </w:pPr>
            <w:r w:rsidRPr="007E412C">
              <w:rPr>
                <w:rFonts w:ascii="Arial Narrow" w:hAnsi="Arial Narrow" w:cs="Calibri"/>
                <w:b/>
                <w:bCs/>
                <w:sz w:val="20"/>
                <w:szCs w:val="20"/>
              </w:rPr>
              <w:t>$</w:t>
            </w:r>
            <w:r w:rsidR="002610F9" w:rsidRPr="002610F9">
              <w:rPr>
                <w:rFonts w:ascii="Arial Narrow" w:hAnsi="Arial Narrow" w:cs="Calibri"/>
                <w:b/>
                <w:bCs/>
                <w:color w:val="000000"/>
                <w:spacing w:val="55"/>
                <w:sz w:val="20"/>
                <w:szCs w:val="20"/>
                <w:shd w:val="solid" w:color="000000" w:fill="000000"/>
                <w:fitText w:val="350" w:id="-1217620469"/>
                <w14:textFill>
                  <w14:solidFill>
                    <w14:srgbClr w14:val="000000">
                      <w14:alpha w14:val="100000"/>
                    </w14:srgbClr>
                  </w14:solidFill>
                </w14:textFill>
              </w:rPr>
              <w:t>|||</w:t>
            </w:r>
            <w:r w:rsidR="002610F9" w:rsidRPr="002610F9">
              <w:rPr>
                <w:rFonts w:ascii="Arial Narrow" w:hAnsi="Arial Narrow" w:cs="Calibri"/>
                <w:b/>
                <w:bCs/>
                <w:color w:val="000000"/>
                <w:spacing w:val="2"/>
                <w:sz w:val="20"/>
                <w:szCs w:val="20"/>
                <w:shd w:val="solid" w:color="000000" w:fill="000000"/>
                <w:fitText w:val="350" w:id="-1217620469"/>
                <w14:textFill>
                  <w14:solidFill>
                    <w14:srgbClr w14:val="000000">
                      <w14:alpha w14:val="100000"/>
                    </w14:srgbClr>
                  </w14:solidFill>
                </w14:textFill>
              </w:rPr>
              <w:t>|</w:t>
            </w:r>
          </w:p>
        </w:tc>
        <w:tc>
          <w:tcPr>
            <w:tcW w:w="739" w:type="pct"/>
            <w:shd w:val="clear" w:color="auto" w:fill="auto"/>
            <w:noWrap/>
            <w:vAlign w:val="center"/>
          </w:tcPr>
          <w:p w14:paraId="66EE0D53" w14:textId="74A12EEC" w:rsidR="00526C3E" w:rsidRPr="00FA1F5D" w:rsidRDefault="00526C3E" w:rsidP="007D2C20">
            <w:pPr>
              <w:keepNext/>
              <w:rPr>
                <w:rFonts w:ascii="Arial Narrow" w:hAnsi="Arial Narrow" w:cs="Calibri"/>
                <w:b/>
                <w:sz w:val="20"/>
                <w:szCs w:val="20"/>
                <w:highlight w:val="yellow"/>
              </w:rPr>
            </w:pPr>
            <w:r w:rsidRPr="007E412C">
              <w:rPr>
                <w:rFonts w:ascii="Arial Narrow" w:hAnsi="Arial Narrow" w:cs="Calibri"/>
                <w:b/>
                <w:bCs/>
                <w:sz w:val="20"/>
                <w:szCs w:val="20"/>
              </w:rPr>
              <w:t>$</w:t>
            </w:r>
            <w:r w:rsidR="002610F9" w:rsidRPr="002610F9">
              <w:rPr>
                <w:rFonts w:ascii="Arial Narrow" w:hAnsi="Arial Narrow" w:cs="Calibri"/>
                <w:b/>
                <w:bCs/>
                <w:color w:val="000000"/>
                <w:spacing w:val="55"/>
                <w:sz w:val="20"/>
                <w:szCs w:val="20"/>
                <w:shd w:val="solid" w:color="000000" w:fill="000000"/>
                <w:fitText w:val="350" w:id="-1217620468"/>
                <w14:textFill>
                  <w14:solidFill>
                    <w14:srgbClr w14:val="000000">
                      <w14:alpha w14:val="100000"/>
                    </w14:srgbClr>
                  </w14:solidFill>
                </w14:textFill>
              </w:rPr>
              <w:t>|||</w:t>
            </w:r>
            <w:r w:rsidR="002610F9" w:rsidRPr="002610F9">
              <w:rPr>
                <w:rFonts w:ascii="Arial Narrow" w:hAnsi="Arial Narrow" w:cs="Calibri"/>
                <w:b/>
                <w:bCs/>
                <w:color w:val="000000"/>
                <w:spacing w:val="2"/>
                <w:sz w:val="20"/>
                <w:szCs w:val="20"/>
                <w:shd w:val="solid" w:color="000000" w:fill="000000"/>
                <w:fitText w:val="350" w:id="-1217620468"/>
                <w14:textFill>
                  <w14:solidFill>
                    <w14:srgbClr w14:val="000000">
                      <w14:alpha w14:val="100000"/>
                    </w14:srgbClr>
                  </w14:solidFill>
                </w14:textFill>
              </w:rPr>
              <w:t>|</w:t>
            </w:r>
          </w:p>
        </w:tc>
        <w:tc>
          <w:tcPr>
            <w:tcW w:w="739" w:type="pct"/>
            <w:shd w:val="clear" w:color="auto" w:fill="auto"/>
            <w:noWrap/>
            <w:vAlign w:val="center"/>
          </w:tcPr>
          <w:p w14:paraId="55820B15" w14:textId="49F23E7B" w:rsidR="00526C3E" w:rsidRPr="00FA1F5D" w:rsidRDefault="00526C3E" w:rsidP="007D2C20">
            <w:pPr>
              <w:keepNext/>
              <w:rPr>
                <w:rFonts w:ascii="Arial Narrow" w:hAnsi="Arial Narrow" w:cs="Calibri"/>
                <w:b/>
                <w:sz w:val="20"/>
                <w:szCs w:val="20"/>
                <w:highlight w:val="yellow"/>
              </w:rPr>
            </w:pPr>
            <w:r w:rsidRPr="007E412C">
              <w:rPr>
                <w:rFonts w:ascii="Arial Narrow" w:hAnsi="Arial Narrow" w:cs="Calibri"/>
                <w:b/>
                <w:bCs/>
                <w:sz w:val="20"/>
                <w:szCs w:val="20"/>
              </w:rPr>
              <w:t>$</w:t>
            </w:r>
            <w:r w:rsidR="002610F9" w:rsidRPr="002610F9">
              <w:rPr>
                <w:rFonts w:ascii="Arial Narrow" w:hAnsi="Arial Narrow" w:cs="Calibri"/>
                <w:b/>
                <w:bCs/>
                <w:color w:val="000000"/>
                <w:spacing w:val="55"/>
                <w:sz w:val="20"/>
                <w:szCs w:val="20"/>
                <w:shd w:val="solid" w:color="000000" w:fill="000000"/>
                <w:fitText w:val="350" w:id="-1217620467"/>
                <w14:textFill>
                  <w14:solidFill>
                    <w14:srgbClr w14:val="000000">
                      <w14:alpha w14:val="100000"/>
                    </w14:srgbClr>
                  </w14:solidFill>
                </w14:textFill>
              </w:rPr>
              <w:t>|||</w:t>
            </w:r>
            <w:r w:rsidR="002610F9" w:rsidRPr="002610F9">
              <w:rPr>
                <w:rFonts w:ascii="Arial Narrow" w:hAnsi="Arial Narrow" w:cs="Calibri"/>
                <w:b/>
                <w:bCs/>
                <w:color w:val="000000"/>
                <w:spacing w:val="2"/>
                <w:sz w:val="20"/>
                <w:szCs w:val="20"/>
                <w:shd w:val="solid" w:color="000000" w:fill="000000"/>
                <w:fitText w:val="350" w:id="-1217620467"/>
                <w14:textFill>
                  <w14:solidFill>
                    <w14:srgbClr w14:val="000000">
                      <w14:alpha w14:val="100000"/>
                    </w14:srgbClr>
                  </w14:solidFill>
                </w14:textFill>
              </w:rPr>
              <w:t>|</w:t>
            </w:r>
          </w:p>
        </w:tc>
        <w:tc>
          <w:tcPr>
            <w:tcW w:w="738" w:type="pct"/>
            <w:shd w:val="clear" w:color="auto" w:fill="auto"/>
            <w:noWrap/>
            <w:vAlign w:val="center"/>
          </w:tcPr>
          <w:p w14:paraId="78F00DFA" w14:textId="0E194B72" w:rsidR="00526C3E" w:rsidRPr="00FA1F5D" w:rsidRDefault="00526C3E" w:rsidP="007D2C20">
            <w:pPr>
              <w:keepNext/>
              <w:rPr>
                <w:rFonts w:ascii="Arial Narrow" w:hAnsi="Arial Narrow" w:cs="Calibri"/>
                <w:b/>
                <w:sz w:val="20"/>
                <w:szCs w:val="20"/>
                <w:highlight w:val="yellow"/>
              </w:rPr>
            </w:pPr>
            <w:r w:rsidRPr="007E412C">
              <w:rPr>
                <w:rFonts w:ascii="Arial Narrow" w:hAnsi="Arial Narrow" w:cs="Calibri"/>
                <w:b/>
                <w:bCs/>
                <w:sz w:val="20"/>
                <w:szCs w:val="20"/>
              </w:rPr>
              <w:t>$</w:t>
            </w:r>
            <w:r w:rsidR="002610F9" w:rsidRPr="002610F9">
              <w:rPr>
                <w:rFonts w:ascii="Arial Narrow" w:hAnsi="Arial Narrow" w:cs="Calibri"/>
                <w:b/>
                <w:bCs/>
                <w:color w:val="000000"/>
                <w:spacing w:val="55"/>
                <w:sz w:val="20"/>
                <w:szCs w:val="20"/>
                <w:shd w:val="solid" w:color="000000" w:fill="000000"/>
                <w:fitText w:val="350" w:id="-1217620466"/>
                <w14:textFill>
                  <w14:solidFill>
                    <w14:srgbClr w14:val="000000">
                      <w14:alpha w14:val="100000"/>
                    </w14:srgbClr>
                  </w14:solidFill>
                </w14:textFill>
              </w:rPr>
              <w:t>|||</w:t>
            </w:r>
            <w:r w:rsidR="002610F9" w:rsidRPr="002610F9">
              <w:rPr>
                <w:rFonts w:ascii="Arial Narrow" w:hAnsi="Arial Narrow" w:cs="Calibri"/>
                <w:b/>
                <w:bCs/>
                <w:color w:val="000000"/>
                <w:spacing w:val="2"/>
                <w:sz w:val="20"/>
                <w:szCs w:val="20"/>
                <w:shd w:val="solid" w:color="000000" w:fill="000000"/>
                <w:fitText w:val="350" w:id="-1217620466"/>
                <w14:textFill>
                  <w14:solidFill>
                    <w14:srgbClr w14:val="000000">
                      <w14:alpha w14:val="100000"/>
                    </w14:srgbClr>
                  </w14:solidFill>
                </w14:textFill>
              </w:rPr>
              <w:t>|</w:t>
            </w:r>
          </w:p>
        </w:tc>
      </w:tr>
      <w:tr w:rsidR="00246C59" w:rsidRPr="00246C59" w14:paraId="394AADCA" w14:textId="77777777" w:rsidTr="00A53D33">
        <w:trPr>
          <w:trHeight w:val="120"/>
        </w:trPr>
        <w:tc>
          <w:tcPr>
            <w:tcW w:w="5000" w:type="pct"/>
            <w:gridSpan w:val="7"/>
            <w:shd w:val="clear" w:color="auto" w:fill="F2F2F2" w:themeFill="background1" w:themeFillShade="F2"/>
            <w:vAlign w:val="center"/>
          </w:tcPr>
          <w:p w14:paraId="57999089" w14:textId="77777777" w:rsidR="00526C3E" w:rsidRPr="000D382E" w:rsidRDefault="00526C3E" w:rsidP="007D2C20">
            <w:pPr>
              <w:keepNext/>
              <w:rPr>
                <w:rFonts w:ascii="Arial Narrow" w:hAnsi="Arial Narrow" w:cs="Calibri"/>
                <w:sz w:val="20"/>
                <w:szCs w:val="20"/>
              </w:rPr>
            </w:pPr>
            <w:r w:rsidRPr="000D382E">
              <w:rPr>
                <w:rFonts w:ascii="Arial Narrow" w:hAnsi="Arial Narrow" w:cs="Calibri"/>
                <w:sz w:val="20"/>
                <w:szCs w:val="20"/>
              </w:rPr>
              <w:t>Proportion on NHL that is LBCL (base case = 42%)</w:t>
            </w:r>
          </w:p>
        </w:tc>
      </w:tr>
      <w:tr w:rsidR="00246C59" w:rsidRPr="00246C59" w14:paraId="7C654AE1" w14:textId="77777777" w:rsidTr="00A53D33">
        <w:trPr>
          <w:trHeight w:val="217"/>
        </w:trPr>
        <w:tc>
          <w:tcPr>
            <w:tcW w:w="566" w:type="pct"/>
            <w:shd w:val="clear" w:color="auto" w:fill="auto"/>
            <w:vAlign w:val="center"/>
          </w:tcPr>
          <w:p w14:paraId="00F9E5F2" w14:textId="77777777" w:rsidR="00526C3E" w:rsidRPr="000D382E" w:rsidRDefault="00526C3E" w:rsidP="007D2C20">
            <w:pPr>
              <w:keepNext/>
              <w:rPr>
                <w:rFonts w:ascii="Arial Narrow" w:hAnsi="Arial Narrow" w:cs="Calibri"/>
                <w:sz w:val="20"/>
                <w:szCs w:val="20"/>
              </w:rPr>
            </w:pPr>
            <w:r w:rsidRPr="000D382E">
              <w:rPr>
                <w:rFonts w:ascii="Arial Narrow" w:hAnsi="Arial Narrow" w:cs="Calibri"/>
                <w:sz w:val="20"/>
                <w:szCs w:val="20"/>
              </w:rPr>
              <w:t>39%</w:t>
            </w:r>
          </w:p>
        </w:tc>
        <w:tc>
          <w:tcPr>
            <w:tcW w:w="741" w:type="pct"/>
            <w:shd w:val="clear" w:color="auto" w:fill="auto"/>
            <w:noWrap/>
            <w:vAlign w:val="center"/>
          </w:tcPr>
          <w:p w14:paraId="0DF713F0" w14:textId="0B9DAD28"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465"/>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465"/>
                <w14:textFill>
                  <w14:solidFill>
                    <w14:srgbClr w14:val="000000">
                      <w14:alpha w14:val="100000"/>
                    </w14:srgbClr>
                  </w14:solidFill>
                </w14:textFill>
              </w:rPr>
              <w:t>|</w:t>
            </w:r>
          </w:p>
        </w:tc>
        <w:tc>
          <w:tcPr>
            <w:tcW w:w="739" w:type="pct"/>
            <w:shd w:val="clear" w:color="auto" w:fill="auto"/>
            <w:noWrap/>
            <w:vAlign w:val="center"/>
          </w:tcPr>
          <w:p w14:paraId="5AC4994E" w14:textId="7CC37750"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464"/>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464"/>
                <w14:textFill>
                  <w14:solidFill>
                    <w14:srgbClr w14:val="000000">
                      <w14:alpha w14:val="100000"/>
                    </w14:srgbClr>
                  </w14:solidFill>
                </w14:textFill>
              </w:rPr>
              <w:t>|</w:t>
            </w:r>
          </w:p>
        </w:tc>
        <w:tc>
          <w:tcPr>
            <w:tcW w:w="739" w:type="pct"/>
            <w:shd w:val="clear" w:color="auto" w:fill="auto"/>
            <w:noWrap/>
            <w:vAlign w:val="center"/>
          </w:tcPr>
          <w:p w14:paraId="433A36BD" w14:textId="2D91E732"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480"/>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480"/>
                <w14:textFill>
                  <w14:solidFill>
                    <w14:srgbClr w14:val="000000">
                      <w14:alpha w14:val="100000"/>
                    </w14:srgbClr>
                  </w14:solidFill>
                </w14:textFill>
              </w:rPr>
              <w:t>|</w:t>
            </w:r>
          </w:p>
        </w:tc>
        <w:tc>
          <w:tcPr>
            <w:tcW w:w="739" w:type="pct"/>
            <w:shd w:val="clear" w:color="auto" w:fill="auto"/>
            <w:noWrap/>
            <w:vAlign w:val="center"/>
          </w:tcPr>
          <w:p w14:paraId="2B52DA50" w14:textId="16ACE7AB"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479"/>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479"/>
                <w14:textFill>
                  <w14:solidFill>
                    <w14:srgbClr w14:val="000000">
                      <w14:alpha w14:val="100000"/>
                    </w14:srgbClr>
                  </w14:solidFill>
                </w14:textFill>
              </w:rPr>
              <w:t>|</w:t>
            </w:r>
          </w:p>
        </w:tc>
        <w:tc>
          <w:tcPr>
            <w:tcW w:w="739" w:type="pct"/>
            <w:shd w:val="clear" w:color="auto" w:fill="auto"/>
            <w:noWrap/>
            <w:vAlign w:val="center"/>
          </w:tcPr>
          <w:p w14:paraId="248DE6E3" w14:textId="0DA728E7"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478"/>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478"/>
                <w14:textFill>
                  <w14:solidFill>
                    <w14:srgbClr w14:val="000000">
                      <w14:alpha w14:val="100000"/>
                    </w14:srgbClr>
                  </w14:solidFill>
                </w14:textFill>
              </w:rPr>
              <w:t>|</w:t>
            </w:r>
          </w:p>
        </w:tc>
        <w:tc>
          <w:tcPr>
            <w:tcW w:w="738" w:type="pct"/>
            <w:shd w:val="clear" w:color="auto" w:fill="auto"/>
            <w:noWrap/>
            <w:vAlign w:val="center"/>
          </w:tcPr>
          <w:p w14:paraId="72DF524D" w14:textId="6D915751"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477"/>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477"/>
                <w14:textFill>
                  <w14:solidFill>
                    <w14:srgbClr w14:val="000000">
                      <w14:alpha w14:val="100000"/>
                    </w14:srgbClr>
                  </w14:solidFill>
                </w14:textFill>
              </w:rPr>
              <w:t>|</w:t>
            </w:r>
          </w:p>
        </w:tc>
      </w:tr>
      <w:tr w:rsidR="00246C59" w:rsidRPr="00246C59" w14:paraId="150372B6" w14:textId="77777777" w:rsidTr="00A53D33">
        <w:trPr>
          <w:trHeight w:val="120"/>
        </w:trPr>
        <w:tc>
          <w:tcPr>
            <w:tcW w:w="5000" w:type="pct"/>
            <w:gridSpan w:val="7"/>
            <w:shd w:val="clear" w:color="auto" w:fill="F2F2F2" w:themeFill="background1" w:themeFillShade="F2"/>
            <w:vAlign w:val="center"/>
          </w:tcPr>
          <w:p w14:paraId="54F6A421" w14:textId="7520659B" w:rsidR="00526C3E" w:rsidRPr="000D382E" w:rsidRDefault="00526C3E" w:rsidP="007D2C20">
            <w:pPr>
              <w:keepNext/>
              <w:rPr>
                <w:rFonts w:ascii="Arial Narrow" w:hAnsi="Arial Narrow" w:cs="Calibri"/>
                <w:sz w:val="20"/>
                <w:szCs w:val="20"/>
              </w:rPr>
            </w:pPr>
            <w:r w:rsidRPr="000D382E">
              <w:rPr>
                <w:rFonts w:ascii="Arial Narrow" w:hAnsi="Arial Narrow" w:cs="Calibri"/>
                <w:sz w:val="20"/>
                <w:szCs w:val="20"/>
              </w:rPr>
              <w:t xml:space="preserve">Proportion of patients who are refractory or who relapse after completion of 1L chemoimmunotherapy (base case = </w:t>
            </w:r>
            <w:r w:rsidR="002610F9" w:rsidRPr="002610F9">
              <w:rPr>
                <w:rFonts w:ascii="Arial Narrow" w:hAnsi="Arial Narrow" w:cs="Calibri"/>
                <w:color w:val="000000"/>
                <w:spacing w:val="53"/>
                <w:sz w:val="20"/>
                <w:szCs w:val="20"/>
                <w:shd w:val="solid" w:color="000000" w:fill="000000"/>
                <w:fitText w:val="330" w:id="-1217620476"/>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476"/>
                <w14:textFill>
                  <w14:solidFill>
                    <w14:srgbClr w14:val="000000">
                      <w14:alpha w14:val="100000"/>
                    </w14:srgbClr>
                  </w14:solidFill>
                </w14:textFill>
              </w:rPr>
              <w:t>|</w:t>
            </w:r>
            <w:r w:rsidRPr="000D382E">
              <w:rPr>
                <w:rFonts w:ascii="Arial Narrow" w:hAnsi="Arial Narrow" w:cs="Calibri"/>
                <w:sz w:val="20"/>
                <w:szCs w:val="20"/>
              </w:rPr>
              <w:t>)</w:t>
            </w:r>
          </w:p>
        </w:tc>
      </w:tr>
      <w:tr w:rsidR="00246C59" w:rsidRPr="00246C59" w14:paraId="52B7F196" w14:textId="77777777" w:rsidTr="00A53D33">
        <w:trPr>
          <w:trHeight w:val="120"/>
        </w:trPr>
        <w:tc>
          <w:tcPr>
            <w:tcW w:w="566" w:type="pct"/>
            <w:shd w:val="clear" w:color="auto" w:fill="auto"/>
            <w:vAlign w:val="center"/>
          </w:tcPr>
          <w:p w14:paraId="40547919" w14:textId="77777777" w:rsidR="00526C3E" w:rsidRPr="000D382E" w:rsidRDefault="00526C3E" w:rsidP="007D2C20">
            <w:pPr>
              <w:keepNext/>
              <w:rPr>
                <w:rFonts w:ascii="Arial Narrow" w:hAnsi="Arial Narrow" w:cs="Calibri"/>
                <w:sz w:val="20"/>
                <w:szCs w:val="20"/>
              </w:rPr>
            </w:pPr>
            <w:r w:rsidRPr="000D382E">
              <w:rPr>
                <w:rFonts w:ascii="Arial Narrow" w:hAnsi="Arial Narrow" w:cs="Calibri"/>
                <w:sz w:val="20"/>
                <w:szCs w:val="20"/>
              </w:rPr>
              <w:t>20%</w:t>
            </w:r>
          </w:p>
        </w:tc>
        <w:tc>
          <w:tcPr>
            <w:tcW w:w="741" w:type="pct"/>
            <w:shd w:val="clear" w:color="auto" w:fill="auto"/>
            <w:noWrap/>
            <w:vAlign w:val="center"/>
          </w:tcPr>
          <w:p w14:paraId="03B68AC7" w14:textId="31446814"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475"/>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475"/>
                <w14:textFill>
                  <w14:solidFill>
                    <w14:srgbClr w14:val="000000">
                      <w14:alpha w14:val="100000"/>
                    </w14:srgbClr>
                  </w14:solidFill>
                </w14:textFill>
              </w:rPr>
              <w:t>|</w:t>
            </w:r>
          </w:p>
        </w:tc>
        <w:tc>
          <w:tcPr>
            <w:tcW w:w="739" w:type="pct"/>
            <w:shd w:val="clear" w:color="auto" w:fill="auto"/>
            <w:noWrap/>
            <w:vAlign w:val="center"/>
          </w:tcPr>
          <w:p w14:paraId="0CF6ADD7" w14:textId="0408F216"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474"/>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474"/>
                <w14:textFill>
                  <w14:solidFill>
                    <w14:srgbClr w14:val="000000">
                      <w14:alpha w14:val="100000"/>
                    </w14:srgbClr>
                  </w14:solidFill>
                </w14:textFill>
              </w:rPr>
              <w:t>|</w:t>
            </w:r>
          </w:p>
        </w:tc>
        <w:tc>
          <w:tcPr>
            <w:tcW w:w="739" w:type="pct"/>
            <w:shd w:val="clear" w:color="auto" w:fill="auto"/>
            <w:noWrap/>
            <w:vAlign w:val="center"/>
          </w:tcPr>
          <w:p w14:paraId="6E77D7C3" w14:textId="13D687A2"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473"/>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473"/>
                <w14:textFill>
                  <w14:solidFill>
                    <w14:srgbClr w14:val="000000">
                      <w14:alpha w14:val="100000"/>
                    </w14:srgbClr>
                  </w14:solidFill>
                </w14:textFill>
              </w:rPr>
              <w:t>|</w:t>
            </w:r>
          </w:p>
        </w:tc>
        <w:tc>
          <w:tcPr>
            <w:tcW w:w="739" w:type="pct"/>
            <w:shd w:val="clear" w:color="auto" w:fill="auto"/>
            <w:noWrap/>
            <w:vAlign w:val="center"/>
          </w:tcPr>
          <w:p w14:paraId="069D38B2" w14:textId="380A1330"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472"/>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472"/>
                <w14:textFill>
                  <w14:solidFill>
                    <w14:srgbClr w14:val="000000">
                      <w14:alpha w14:val="100000"/>
                    </w14:srgbClr>
                  </w14:solidFill>
                </w14:textFill>
              </w:rPr>
              <w:t>|</w:t>
            </w:r>
          </w:p>
        </w:tc>
        <w:tc>
          <w:tcPr>
            <w:tcW w:w="739" w:type="pct"/>
            <w:shd w:val="clear" w:color="auto" w:fill="auto"/>
            <w:noWrap/>
            <w:vAlign w:val="center"/>
          </w:tcPr>
          <w:p w14:paraId="5894CB05" w14:textId="20B83609"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471"/>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471"/>
                <w14:textFill>
                  <w14:solidFill>
                    <w14:srgbClr w14:val="000000">
                      <w14:alpha w14:val="100000"/>
                    </w14:srgbClr>
                  </w14:solidFill>
                </w14:textFill>
              </w:rPr>
              <w:t>|</w:t>
            </w:r>
          </w:p>
        </w:tc>
        <w:tc>
          <w:tcPr>
            <w:tcW w:w="738" w:type="pct"/>
            <w:shd w:val="clear" w:color="auto" w:fill="auto"/>
            <w:noWrap/>
            <w:vAlign w:val="center"/>
          </w:tcPr>
          <w:p w14:paraId="5F3D6E29" w14:textId="38BC5B93"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470"/>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470"/>
                <w14:textFill>
                  <w14:solidFill>
                    <w14:srgbClr w14:val="000000">
                      <w14:alpha w14:val="100000"/>
                    </w14:srgbClr>
                  </w14:solidFill>
                </w14:textFill>
              </w:rPr>
              <w:t>|</w:t>
            </w:r>
          </w:p>
        </w:tc>
      </w:tr>
      <w:tr w:rsidR="00246C59" w:rsidRPr="00246C59" w14:paraId="4CBEDE21" w14:textId="77777777" w:rsidTr="00A53D33">
        <w:trPr>
          <w:trHeight w:val="217"/>
        </w:trPr>
        <w:tc>
          <w:tcPr>
            <w:tcW w:w="566" w:type="pct"/>
            <w:shd w:val="clear" w:color="auto" w:fill="auto"/>
            <w:vAlign w:val="center"/>
          </w:tcPr>
          <w:p w14:paraId="75BBE766" w14:textId="77777777" w:rsidR="00526C3E" w:rsidRPr="000D382E" w:rsidRDefault="00526C3E" w:rsidP="007D2C20">
            <w:pPr>
              <w:keepNext/>
              <w:rPr>
                <w:rFonts w:ascii="Arial Narrow" w:hAnsi="Arial Narrow" w:cs="Calibri"/>
                <w:sz w:val="20"/>
                <w:szCs w:val="20"/>
              </w:rPr>
            </w:pPr>
            <w:r w:rsidRPr="000D382E">
              <w:rPr>
                <w:rFonts w:ascii="Arial Narrow" w:hAnsi="Arial Narrow" w:cs="Calibri"/>
                <w:sz w:val="20"/>
                <w:szCs w:val="20"/>
              </w:rPr>
              <w:t>30%</w:t>
            </w:r>
          </w:p>
        </w:tc>
        <w:tc>
          <w:tcPr>
            <w:tcW w:w="741" w:type="pct"/>
            <w:shd w:val="clear" w:color="auto" w:fill="auto"/>
            <w:noWrap/>
            <w:vAlign w:val="center"/>
          </w:tcPr>
          <w:p w14:paraId="44A92113" w14:textId="0EE75B99"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469"/>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469"/>
                <w14:textFill>
                  <w14:solidFill>
                    <w14:srgbClr w14:val="000000">
                      <w14:alpha w14:val="100000"/>
                    </w14:srgbClr>
                  </w14:solidFill>
                </w14:textFill>
              </w:rPr>
              <w:t>|</w:t>
            </w:r>
          </w:p>
        </w:tc>
        <w:tc>
          <w:tcPr>
            <w:tcW w:w="739" w:type="pct"/>
            <w:shd w:val="clear" w:color="auto" w:fill="auto"/>
            <w:noWrap/>
            <w:vAlign w:val="center"/>
          </w:tcPr>
          <w:p w14:paraId="2766BAD5" w14:textId="49F62B66"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468"/>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468"/>
                <w14:textFill>
                  <w14:solidFill>
                    <w14:srgbClr w14:val="000000">
                      <w14:alpha w14:val="100000"/>
                    </w14:srgbClr>
                  </w14:solidFill>
                </w14:textFill>
              </w:rPr>
              <w:t>|</w:t>
            </w:r>
          </w:p>
        </w:tc>
        <w:tc>
          <w:tcPr>
            <w:tcW w:w="739" w:type="pct"/>
            <w:shd w:val="clear" w:color="auto" w:fill="auto"/>
            <w:noWrap/>
            <w:vAlign w:val="center"/>
          </w:tcPr>
          <w:p w14:paraId="2B1A4A8F" w14:textId="6B3B706C"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467"/>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467"/>
                <w14:textFill>
                  <w14:solidFill>
                    <w14:srgbClr w14:val="000000">
                      <w14:alpha w14:val="100000"/>
                    </w14:srgbClr>
                  </w14:solidFill>
                </w14:textFill>
              </w:rPr>
              <w:t>|</w:t>
            </w:r>
          </w:p>
        </w:tc>
        <w:tc>
          <w:tcPr>
            <w:tcW w:w="739" w:type="pct"/>
            <w:shd w:val="clear" w:color="auto" w:fill="auto"/>
            <w:noWrap/>
            <w:vAlign w:val="center"/>
          </w:tcPr>
          <w:p w14:paraId="2AAB06E0" w14:textId="36B807BC"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466"/>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466"/>
                <w14:textFill>
                  <w14:solidFill>
                    <w14:srgbClr w14:val="000000">
                      <w14:alpha w14:val="100000"/>
                    </w14:srgbClr>
                  </w14:solidFill>
                </w14:textFill>
              </w:rPr>
              <w:t>|</w:t>
            </w:r>
          </w:p>
        </w:tc>
        <w:tc>
          <w:tcPr>
            <w:tcW w:w="739" w:type="pct"/>
            <w:shd w:val="clear" w:color="auto" w:fill="auto"/>
            <w:noWrap/>
            <w:vAlign w:val="center"/>
          </w:tcPr>
          <w:p w14:paraId="7E337851" w14:textId="46D3F2DA"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465"/>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465"/>
                <w14:textFill>
                  <w14:solidFill>
                    <w14:srgbClr w14:val="000000">
                      <w14:alpha w14:val="100000"/>
                    </w14:srgbClr>
                  </w14:solidFill>
                </w14:textFill>
              </w:rPr>
              <w:t>|</w:t>
            </w:r>
          </w:p>
        </w:tc>
        <w:tc>
          <w:tcPr>
            <w:tcW w:w="738" w:type="pct"/>
            <w:shd w:val="clear" w:color="auto" w:fill="auto"/>
            <w:noWrap/>
            <w:vAlign w:val="center"/>
          </w:tcPr>
          <w:p w14:paraId="179BBD6E" w14:textId="4A215EB8"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464"/>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464"/>
                <w14:textFill>
                  <w14:solidFill>
                    <w14:srgbClr w14:val="000000">
                      <w14:alpha w14:val="100000"/>
                    </w14:srgbClr>
                  </w14:solidFill>
                </w14:textFill>
              </w:rPr>
              <w:t>|</w:t>
            </w:r>
          </w:p>
        </w:tc>
      </w:tr>
      <w:tr w:rsidR="00246C59" w:rsidRPr="00246C59" w14:paraId="65EE9C80" w14:textId="77777777" w:rsidTr="00A53D33">
        <w:trPr>
          <w:trHeight w:val="120"/>
        </w:trPr>
        <w:tc>
          <w:tcPr>
            <w:tcW w:w="5000" w:type="pct"/>
            <w:gridSpan w:val="7"/>
            <w:shd w:val="clear" w:color="auto" w:fill="F2F2F2" w:themeFill="background1" w:themeFillShade="F2"/>
            <w:vAlign w:val="center"/>
          </w:tcPr>
          <w:p w14:paraId="515C8888" w14:textId="797D7D74" w:rsidR="00526C3E" w:rsidRPr="000D382E" w:rsidRDefault="00526C3E" w:rsidP="007D2C20">
            <w:pPr>
              <w:keepNext/>
              <w:rPr>
                <w:rFonts w:ascii="Arial Narrow" w:hAnsi="Arial Narrow" w:cs="Calibri"/>
                <w:sz w:val="20"/>
                <w:szCs w:val="20"/>
              </w:rPr>
            </w:pPr>
            <w:r w:rsidRPr="000D382E">
              <w:rPr>
                <w:rFonts w:ascii="Arial Narrow" w:hAnsi="Arial Narrow" w:cs="Calibri"/>
                <w:sz w:val="20"/>
                <w:szCs w:val="20"/>
              </w:rPr>
              <w:t xml:space="preserve">Proportion of refractory or relapsed LBCL who are refractory or relapse no more than 12 months after completion of 1L chemoimmunotherapy (base case = </w:t>
            </w:r>
            <w:r w:rsidR="002610F9" w:rsidRPr="002610F9">
              <w:rPr>
                <w:rFonts w:ascii="Arial Narrow" w:hAnsi="Arial Narrow" w:cs="Calibri"/>
                <w:color w:val="000000"/>
                <w:spacing w:val="53"/>
                <w:sz w:val="20"/>
                <w:szCs w:val="20"/>
                <w:shd w:val="solid" w:color="000000" w:fill="000000"/>
                <w:fitText w:val="330" w:id="-1217620480"/>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480"/>
                <w14:textFill>
                  <w14:solidFill>
                    <w14:srgbClr w14:val="000000">
                      <w14:alpha w14:val="100000"/>
                    </w14:srgbClr>
                  </w14:solidFill>
                </w14:textFill>
              </w:rPr>
              <w:t>|</w:t>
            </w:r>
            <w:r w:rsidRPr="000D382E">
              <w:rPr>
                <w:rFonts w:ascii="Arial Narrow" w:hAnsi="Arial Narrow" w:cs="Calibri"/>
                <w:sz w:val="20"/>
                <w:szCs w:val="20"/>
              </w:rPr>
              <w:t>)</w:t>
            </w:r>
          </w:p>
        </w:tc>
      </w:tr>
      <w:tr w:rsidR="00246C59" w:rsidRPr="00246C59" w14:paraId="341DAD1D" w14:textId="77777777" w:rsidTr="00A53D33">
        <w:trPr>
          <w:trHeight w:val="120"/>
        </w:trPr>
        <w:tc>
          <w:tcPr>
            <w:tcW w:w="566" w:type="pct"/>
            <w:shd w:val="clear" w:color="auto" w:fill="auto"/>
            <w:vAlign w:val="center"/>
          </w:tcPr>
          <w:p w14:paraId="0DF6C534" w14:textId="77777777" w:rsidR="00526C3E" w:rsidRPr="000D382E" w:rsidRDefault="00526C3E" w:rsidP="007D2C20">
            <w:pPr>
              <w:keepNext/>
              <w:rPr>
                <w:rFonts w:ascii="Arial Narrow" w:hAnsi="Arial Narrow" w:cs="Calibri"/>
                <w:sz w:val="20"/>
                <w:szCs w:val="20"/>
              </w:rPr>
            </w:pPr>
            <w:r w:rsidRPr="000D382E">
              <w:rPr>
                <w:rFonts w:ascii="Arial Narrow" w:hAnsi="Arial Narrow" w:cs="Calibri"/>
                <w:sz w:val="20"/>
                <w:szCs w:val="20"/>
              </w:rPr>
              <w:t>50%</w:t>
            </w:r>
          </w:p>
        </w:tc>
        <w:tc>
          <w:tcPr>
            <w:tcW w:w="741" w:type="pct"/>
            <w:shd w:val="clear" w:color="auto" w:fill="auto"/>
            <w:noWrap/>
            <w:vAlign w:val="center"/>
          </w:tcPr>
          <w:p w14:paraId="4EF8022E" w14:textId="4A441BDF"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24"/>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24"/>
                <w14:textFill>
                  <w14:solidFill>
                    <w14:srgbClr w14:val="000000">
                      <w14:alpha w14:val="100000"/>
                    </w14:srgbClr>
                  </w14:solidFill>
                </w14:textFill>
              </w:rPr>
              <w:t>|</w:t>
            </w:r>
          </w:p>
        </w:tc>
        <w:tc>
          <w:tcPr>
            <w:tcW w:w="739" w:type="pct"/>
            <w:shd w:val="clear" w:color="auto" w:fill="auto"/>
            <w:noWrap/>
            <w:vAlign w:val="center"/>
          </w:tcPr>
          <w:p w14:paraId="1B787196" w14:textId="7C624854"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23"/>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23"/>
                <w14:textFill>
                  <w14:solidFill>
                    <w14:srgbClr w14:val="000000">
                      <w14:alpha w14:val="100000"/>
                    </w14:srgbClr>
                  </w14:solidFill>
                </w14:textFill>
              </w:rPr>
              <w:t>|</w:t>
            </w:r>
          </w:p>
        </w:tc>
        <w:tc>
          <w:tcPr>
            <w:tcW w:w="739" w:type="pct"/>
            <w:shd w:val="clear" w:color="auto" w:fill="auto"/>
            <w:noWrap/>
            <w:vAlign w:val="center"/>
          </w:tcPr>
          <w:p w14:paraId="76AA36EB" w14:textId="19801C93"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22"/>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22"/>
                <w14:textFill>
                  <w14:solidFill>
                    <w14:srgbClr w14:val="000000">
                      <w14:alpha w14:val="100000"/>
                    </w14:srgbClr>
                  </w14:solidFill>
                </w14:textFill>
              </w:rPr>
              <w:t>|</w:t>
            </w:r>
          </w:p>
        </w:tc>
        <w:tc>
          <w:tcPr>
            <w:tcW w:w="739" w:type="pct"/>
            <w:shd w:val="clear" w:color="auto" w:fill="auto"/>
            <w:noWrap/>
            <w:vAlign w:val="center"/>
          </w:tcPr>
          <w:p w14:paraId="7B09D4BF" w14:textId="4CFCE5D4"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21"/>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21"/>
                <w14:textFill>
                  <w14:solidFill>
                    <w14:srgbClr w14:val="000000">
                      <w14:alpha w14:val="100000"/>
                    </w14:srgbClr>
                  </w14:solidFill>
                </w14:textFill>
              </w:rPr>
              <w:t>|</w:t>
            </w:r>
          </w:p>
        </w:tc>
        <w:tc>
          <w:tcPr>
            <w:tcW w:w="739" w:type="pct"/>
            <w:shd w:val="clear" w:color="auto" w:fill="auto"/>
            <w:noWrap/>
            <w:vAlign w:val="center"/>
          </w:tcPr>
          <w:p w14:paraId="43339B7F" w14:textId="1E5679A9"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20"/>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20"/>
                <w14:textFill>
                  <w14:solidFill>
                    <w14:srgbClr w14:val="000000">
                      <w14:alpha w14:val="100000"/>
                    </w14:srgbClr>
                  </w14:solidFill>
                </w14:textFill>
              </w:rPr>
              <w:t>|</w:t>
            </w:r>
          </w:p>
        </w:tc>
        <w:tc>
          <w:tcPr>
            <w:tcW w:w="738" w:type="pct"/>
            <w:shd w:val="clear" w:color="auto" w:fill="auto"/>
            <w:noWrap/>
            <w:vAlign w:val="center"/>
          </w:tcPr>
          <w:p w14:paraId="2DE13792" w14:textId="77C55085"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19"/>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19"/>
                <w14:textFill>
                  <w14:solidFill>
                    <w14:srgbClr w14:val="000000">
                      <w14:alpha w14:val="100000"/>
                    </w14:srgbClr>
                  </w14:solidFill>
                </w14:textFill>
              </w:rPr>
              <w:t>|</w:t>
            </w:r>
          </w:p>
        </w:tc>
      </w:tr>
      <w:tr w:rsidR="00246C59" w:rsidRPr="00246C59" w14:paraId="1DF3F8A9" w14:textId="77777777" w:rsidTr="00A53D33">
        <w:trPr>
          <w:trHeight w:val="217"/>
        </w:trPr>
        <w:tc>
          <w:tcPr>
            <w:tcW w:w="566" w:type="pct"/>
            <w:shd w:val="clear" w:color="auto" w:fill="auto"/>
            <w:vAlign w:val="center"/>
          </w:tcPr>
          <w:p w14:paraId="7186F98A" w14:textId="77777777" w:rsidR="00526C3E" w:rsidRPr="000D382E" w:rsidRDefault="00526C3E" w:rsidP="007D2C20">
            <w:pPr>
              <w:keepNext/>
              <w:rPr>
                <w:rFonts w:ascii="Arial Narrow" w:hAnsi="Arial Narrow" w:cs="Calibri"/>
                <w:sz w:val="20"/>
                <w:szCs w:val="20"/>
              </w:rPr>
            </w:pPr>
            <w:r w:rsidRPr="000D382E">
              <w:rPr>
                <w:rFonts w:ascii="Arial Narrow" w:hAnsi="Arial Narrow" w:cs="Calibri"/>
                <w:sz w:val="20"/>
                <w:szCs w:val="20"/>
              </w:rPr>
              <w:t>100%</w:t>
            </w:r>
          </w:p>
        </w:tc>
        <w:tc>
          <w:tcPr>
            <w:tcW w:w="741" w:type="pct"/>
            <w:shd w:val="clear" w:color="auto" w:fill="auto"/>
            <w:noWrap/>
            <w:vAlign w:val="center"/>
          </w:tcPr>
          <w:p w14:paraId="62201253" w14:textId="0355082F"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18"/>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18"/>
                <w14:textFill>
                  <w14:solidFill>
                    <w14:srgbClr w14:val="000000">
                      <w14:alpha w14:val="100000"/>
                    </w14:srgbClr>
                  </w14:solidFill>
                </w14:textFill>
              </w:rPr>
              <w:t>|</w:t>
            </w:r>
          </w:p>
        </w:tc>
        <w:tc>
          <w:tcPr>
            <w:tcW w:w="739" w:type="pct"/>
            <w:shd w:val="clear" w:color="auto" w:fill="auto"/>
            <w:noWrap/>
            <w:vAlign w:val="center"/>
          </w:tcPr>
          <w:p w14:paraId="036BE946" w14:textId="435EE413"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17"/>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17"/>
                <w14:textFill>
                  <w14:solidFill>
                    <w14:srgbClr w14:val="000000">
                      <w14:alpha w14:val="100000"/>
                    </w14:srgbClr>
                  </w14:solidFill>
                </w14:textFill>
              </w:rPr>
              <w:t>|</w:t>
            </w:r>
          </w:p>
        </w:tc>
        <w:tc>
          <w:tcPr>
            <w:tcW w:w="739" w:type="pct"/>
            <w:shd w:val="clear" w:color="auto" w:fill="auto"/>
            <w:noWrap/>
            <w:vAlign w:val="center"/>
          </w:tcPr>
          <w:p w14:paraId="5DE0E437" w14:textId="4063BAC9"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16"/>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16"/>
                <w14:textFill>
                  <w14:solidFill>
                    <w14:srgbClr w14:val="000000">
                      <w14:alpha w14:val="100000"/>
                    </w14:srgbClr>
                  </w14:solidFill>
                </w14:textFill>
              </w:rPr>
              <w:t>|</w:t>
            </w:r>
          </w:p>
        </w:tc>
        <w:tc>
          <w:tcPr>
            <w:tcW w:w="739" w:type="pct"/>
            <w:shd w:val="clear" w:color="auto" w:fill="auto"/>
            <w:noWrap/>
            <w:vAlign w:val="center"/>
          </w:tcPr>
          <w:p w14:paraId="179FFE41" w14:textId="1B3380D9"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15"/>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15"/>
                <w14:textFill>
                  <w14:solidFill>
                    <w14:srgbClr w14:val="000000">
                      <w14:alpha w14:val="100000"/>
                    </w14:srgbClr>
                  </w14:solidFill>
                </w14:textFill>
              </w:rPr>
              <w:t>|</w:t>
            </w:r>
          </w:p>
        </w:tc>
        <w:tc>
          <w:tcPr>
            <w:tcW w:w="739" w:type="pct"/>
            <w:shd w:val="clear" w:color="auto" w:fill="auto"/>
            <w:noWrap/>
            <w:vAlign w:val="center"/>
          </w:tcPr>
          <w:p w14:paraId="6FE9C925" w14:textId="48E9FC25"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14"/>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14"/>
                <w14:textFill>
                  <w14:solidFill>
                    <w14:srgbClr w14:val="000000">
                      <w14:alpha w14:val="100000"/>
                    </w14:srgbClr>
                  </w14:solidFill>
                </w14:textFill>
              </w:rPr>
              <w:t>|</w:t>
            </w:r>
          </w:p>
        </w:tc>
        <w:tc>
          <w:tcPr>
            <w:tcW w:w="738" w:type="pct"/>
            <w:shd w:val="clear" w:color="auto" w:fill="auto"/>
            <w:noWrap/>
            <w:vAlign w:val="center"/>
          </w:tcPr>
          <w:p w14:paraId="76D67FDB" w14:textId="3E56865A" w:rsidR="00526C3E" w:rsidRPr="00FA1F5D" w:rsidRDefault="00526C3E" w:rsidP="007D2C20">
            <w:pPr>
              <w:keepNext/>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13"/>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13"/>
                <w14:textFill>
                  <w14:solidFill>
                    <w14:srgbClr w14:val="000000">
                      <w14:alpha w14:val="100000"/>
                    </w14:srgbClr>
                  </w14:solidFill>
                </w14:textFill>
              </w:rPr>
              <w:t>|</w:t>
            </w:r>
          </w:p>
        </w:tc>
      </w:tr>
      <w:tr w:rsidR="00246C59" w:rsidRPr="00246C59" w14:paraId="48E1132A" w14:textId="77777777" w:rsidTr="00A53D33">
        <w:trPr>
          <w:trHeight w:val="53"/>
        </w:trPr>
        <w:tc>
          <w:tcPr>
            <w:tcW w:w="5000" w:type="pct"/>
            <w:gridSpan w:val="7"/>
            <w:shd w:val="clear" w:color="auto" w:fill="F2F2F2" w:themeFill="background1" w:themeFillShade="F2"/>
            <w:vAlign w:val="center"/>
          </w:tcPr>
          <w:p w14:paraId="339727DD" w14:textId="2C4A3C07" w:rsidR="00526C3E" w:rsidRPr="000D382E" w:rsidRDefault="00526C3E" w:rsidP="009334AB">
            <w:pPr>
              <w:rPr>
                <w:rFonts w:ascii="Arial Narrow" w:hAnsi="Arial Narrow" w:cs="Calibri"/>
                <w:sz w:val="20"/>
                <w:szCs w:val="20"/>
              </w:rPr>
            </w:pPr>
            <w:r w:rsidRPr="000D382E">
              <w:rPr>
                <w:rFonts w:ascii="Arial Narrow" w:hAnsi="Arial Narrow" w:cs="Calibri"/>
                <w:sz w:val="20"/>
                <w:szCs w:val="20"/>
              </w:rPr>
              <w:t xml:space="preserve">Proportion of patients who have adequate physical reserves for potentially curative therapy (base case = </w:t>
            </w:r>
            <w:r w:rsidR="002610F9" w:rsidRPr="002610F9">
              <w:rPr>
                <w:rFonts w:ascii="Arial Narrow" w:hAnsi="Arial Narrow" w:cs="Calibri"/>
                <w:color w:val="000000"/>
                <w:spacing w:val="53"/>
                <w:sz w:val="20"/>
                <w:szCs w:val="20"/>
                <w:shd w:val="solid" w:color="000000" w:fill="000000"/>
                <w:fitText w:val="330" w:id="-1217620212"/>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12"/>
                <w14:textFill>
                  <w14:solidFill>
                    <w14:srgbClr w14:val="000000">
                      <w14:alpha w14:val="100000"/>
                    </w14:srgbClr>
                  </w14:solidFill>
                </w14:textFill>
              </w:rPr>
              <w:t>|</w:t>
            </w:r>
            <w:r w:rsidRPr="000D382E">
              <w:rPr>
                <w:rFonts w:ascii="Arial Narrow" w:hAnsi="Arial Narrow" w:cs="Calibri"/>
                <w:sz w:val="20"/>
                <w:szCs w:val="20"/>
              </w:rPr>
              <w:t>)</w:t>
            </w:r>
          </w:p>
        </w:tc>
      </w:tr>
      <w:tr w:rsidR="00246C59" w:rsidRPr="00246C59" w14:paraId="0A19A89E" w14:textId="77777777" w:rsidTr="00A53D33">
        <w:trPr>
          <w:trHeight w:val="208"/>
        </w:trPr>
        <w:tc>
          <w:tcPr>
            <w:tcW w:w="566" w:type="pct"/>
            <w:shd w:val="clear" w:color="auto" w:fill="auto"/>
            <w:vAlign w:val="center"/>
          </w:tcPr>
          <w:p w14:paraId="7DA90FD7" w14:textId="77777777" w:rsidR="00526C3E" w:rsidRPr="000D382E" w:rsidRDefault="00526C3E" w:rsidP="009334AB">
            <w:pPr>
              <w:rPr>
                <w:rFonts w:ascii="Arial Narrow" w:hAnsi="Arial Narrow" w:cs="Calibri"/>
                <w:sz w:val="20"/>
                <w:szCs w:val="20"/>
              </w:rPr>
            </w:pPr>
            <w:r w:rsidRPr="000D382E">
              <w:rPr>
                <w:rFonts w:ascii="Arial Narrow" w:hAnsi="Arial Narrow" w:cs="Calibri"/>
                <w:sz w:val="20"/>
                <w:szCs w:val="20"/>
              </w:rPr>
              <w:t>70%</w:t>
            </w:r>
          </w:p>
        </w:tc>
        <w:tc>
          <w:tcPr>
            <w:tcW w:w="741" w:type="pct"/>
            <w:shd w:val="clear" w:color="auto" w:fill="auto"/>
            <w:noWrap/>
            <w:vAlign w:val="center"/>
          </w:tcPr>
          <w:p w14:paraId="59D1A649" w14:textId="2B9769A5" w:rsidR="00526C3E" w:rsidRPr="00FA1F5D" w:rsidRDefault="00526C3E" w:rsidP="009334AB">
            <w:pPr>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11"/>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11"/>
                <w14:textFill>
                  <w14:solidFill>
                    <w14:srgbClr w14:val="000000">
                      <w14:alpha w14:val="100000"/>
                    </w14:srgbClr>
                  </w14:solidFill>
                </w14:textFill>
              </w:rPr>
              <w:t>|</w:t>
            </w:r>
          </w:p>
        </w:tc>
        <w:tc>
          <w:tcPr>
            <w:tcW w:w="739" w:type="pct"/>
            <w:shd w:val="clear" w:color="auto" w:fill="auto"/>
            <w:noWrap/>
            <w:vAlign w:val="center"/>
          </w:tcPr>
          <w:p w14:paraId="5AE53009" w14:textId="14A19E07" w:rsidR="00526C3E" w:rsidRPr="00FA1F5D" w:rsidRDefault="00526C3E" w:rsidP="009334AB">
            <w:pPr>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10"/>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10"/>
                <w14:textFill>
                  <w14:solidFill>
                    <w14:srgbClr w14:val="000000">
                      <w14:alpha w14:val="100000"/>
                    </w14:srgbClr>
                  </w14:solidFill>
                </w14:textFill>
              </w:rPr>
              <w:t>|</w:t>
            </w:r>
          </w:p>
        </w:tc>
        <w:tc>
          <w:tcPr>
            <w:tcW w:w="739" w:type="pct"/>
            <w:shd w:val="clear" w:color="auto" w:fill="auto"/>
            <w:noWrap/>
            <w:vAlign w:val="center"/>
          </w:tcPr>
          <w:p w14:paraId="2570AA3B" w14:textId="68FA4A81" w:rsidR="00526C3E" w:rsidRPr="00FA1F5D" w:rsidRDefault="00526C3E" w:rsidP="009334AB">
            <w:pPr>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09"/>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09"/>
                <w14:textFill>
                  <w14:solidFill>
                    <w14:srgbClr w14:val="000000">
                      <w14:alpha w14:val="100000"/>
                    </w14:srgbClr>
                  </w14:solidFill>
                </w14:textFill>
              </w:rPr>
              <w:t>|</w:t>
            </w:r>
          </w:p>
        </w:tc>
        <w:tc>
          <w:tcPr>
            <w:tcW w:w="739" w:type="pct"/>
            <w:shd w:val="clear" w:color="auto" w:fill="auto"/>
            <w:noWrap/>
            <w:vAlign w:val="center"/>
          </w:tcPr>
          <w:p w14:paraId="6E3F4E8E" w14:textId="373517FB" w:rsidR="00526C3E" w:rsidRPr="00FA1F5D" w:rsidRDefault="00526C3E" w:rsidP="009334AB">
            <w:pPr>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08"/>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08"/>
                <w14:textFill>
                  <w14:solidFill>
                    <w14:srgbClr w14:val="000000">
                      <w14:alpha w14:val="100000"/>
                    </w14:srgbClr>
                  </w14:solidFill>
                </w14:textFill>
              </w:rPr>
              <w:t>|</w:t>
            </w:r>
          </w:p>
        </w:tc>
        <w:tc>
          <w:tcPr>
            <w:tcW w:w="739" w:type="pct"/>
            <w:shd w:val="clear" w:color="auto" w:fill="auto"/>
            <w:noWrap/>
            <w:vAlign w:val="center"/>
          </w:tcPr>
          <w:p w14:paraId="0DB59579" w14:textId="353563B2" w:rsidR="00526C3E" w:rsidRPr="00FA1F5D" w:rsidRDefault="00526C3E" w:rsidP="009334AB">
            <w:pPr>
              <w:rPr>
                <w:rFonts w:ascii="Arial Narrow" w:hAnsi="Arial Narrow" w:cs="Calibri"/>
                <w:sz w:val="20"/>
                <w:szCs w:val="20"/>
                <w:highlight w:val="yellow"/>
              </w:rPr>
            </w:pPr>
            <w:r w:rsidRPr="00C663CB">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24"/>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24"/>
                <w14:textFill>
                  <w14:solidFill>
                    <w14:srgbClr w14:val="000000">
                      <w14:alpha w14:val="100000"/>
                    </w14:srgbClr>
                  </w14:solidFill>
                </w14:textFill>
              </w:rPr>
              <w:t>|</w:t>
            </w:r>
          </w:p>
        </w:tc>
        <w:tc>
          <w:tcPr>
            <w:tcW w:w="738" w:type="pct"/>
            <w:shd w:val="clear" w:color="auto" w:fill="auto"/>
            <w:noWrap/>
            <w:vAlign w:val="center"/>
          </w:tcPr>
          <w:p w14:paraId="0A340E6A" w14:textId="0D55C4B8" w:rsidR="00526C3E" w:rsidRPr="00FA1F5D" w:rsidRDefault="00526C3E" w:rsidP="009334AB">
            <w:pPr>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23"/>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23"/>
                <w14:textFill>
                  <w14:solidFill>
                    <w14:srgbClr w14:val="000000">
                      <w14:alpha w14:val="100000"/>
                    </w14:srgbClr>
                  </w14:solidFill>
                </w14:textFill>
              </w:rPr>
              <w:t>|</w:t>
            </w:r>
          </w:p>
        </w:tc>
      </w:tr>
      <w:tr w:rsidR="00246C59" w:rsidRPr="00246C59" w14:paraId="77942901" w14:textId="77777777" w:rsidTr="00A53D33">
        <w:trPr>
          <w:trHeight w:val="198"/>
        </w:trPr>
        <w:tc>
          <w:tcPr>
            <w:tcW w:w="566" w:type="pct"/>
            <w:shd w:val="clear" w:color="auto" w:fill="auto"/>
            <w:vAlign w:val="center"/>
          </w:tcPr>
          <w:p w14:paraId="15665A0B" w14:textId="77777777" w:rsidR="00526C3E" w:rsidRPr="000D382E" w:rsidRDefault="00526C3E" w:rsidP="009334AB">
            <w:pPr>
              <w:rPr>
                <w:rFonts w:ascii="Arial Narrow" w:hAnsi="Arial Narrow" w:cs="Calibri"/>
                <w:sz w:val="20"/>
                <w:szCs w:val="20"/>
              </w:rPr>
            </w:pPr>
            <w:r w:rsidRPr="000D382E">
              <w:rPr>
                <w:rFonts w:ascii="Arial Narrow" w:hAnsi="Arial Narrow" w:cs="Calibri"/>
                <w:sz w:val="20"/>
                <w:szCs w:val="20"/>
              </w:rPr>
              <w:t>90%</w:t>
            </w:r>
          </w:p>
        </w:tc>
        <w:tc>
          <w:tcPr>
            <w:tcW w:w="741" w:type="pct"/>
            <w:shd w:val="clear" w:color="auto" w:fill="auto"/>
            <w:noWrap/>
            <w:vAlign w:val="center"/>
          </w:tcPr>
          <w:p w14:paraId="129904A8" w14:textId="250D48D6" w:rsidR="00526C3E" w:rsidRPr="00FA1F5D" w:rsidRDefault="00526C3E" w:rsidP="009334AB">
            <w:pPr>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22"/>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22"/>
                <w14:textFill>
                  <w14:solidFill>
                    <w14:srgbClr w14:val="000000">
                      <w14:alpha w14:val="100000"/>
                    </w14:srgbClr>
                  </w14:solidFill>
                </w14:textFill>
              </w:rPr>
              <w:t>|</w:t>
            </w:r>
          </w:p>
        </w:tc>
        <w:tc>
          <w:tcPr>
            <w:tcW w:w="739" w:type="pct"/>
            <w:shd w:val="clear" w:color="auto" w:fill="auto"/>
            <w:noWrap/>
            <w:vAlign w:val="center"/>
          </w:tcPr>
          <w:p w14:paraId="13545E67" w14:textId="707AF3CE" w:rsidR="00526C3E" w:rsidRPr="00FA1F5D" w:rsidRDefault="00526C3E" w:rsidP="009334AB">
            <w:pPr>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21"/>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21"/>
                <w14:textFill>
                  <w14:solidFill>
                    <w14:srgbClr w14:val="000000">
                      <w14:alpha w14:val="100000"/>
                    </w14:srgbClr>
                  </w14:solidFill>
                </w14:textFill>
              </w:rPr>
              <w:t>|</w:t>
            </w:r>
          </w:p>
        </w:tc>
        <w:tc>
          <w:tcPr>
            <w:tcW w:w="739" w:type="pct"/>
            <w:shd w:val="clear" w:color="auto" w:fill="auto"/>
            <w:noWrap/>
            <w:vAlign w:val="center"/>
          </w:tcPr>
          <w:p w14:paraId="26B63FD4" w14:textId="1BA06831" w:rsidR="00526C3E" w:rsidRPr="00FA1F5D" w:rsidRDefault="00526C3E" w:rsidP="009334AB">
            <w:pPr>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20"/>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20"/>
                <w14:textFill>
                  <w14:solidFill>
                    <w14:srgbClr w14:val="000000">
                      <w14:alpha w14:val="100000"/>
                    </w14:srgbClr>
                  </w14:solidFill>
                </w14:textFill>
              </w:rPr>
              <w:t>|</w:t>
            </w:r>
          </w:p>
        </w:tc>
        <w:tc>
          <w:tcPr>
            <w:tcW w:w="739" w:type="pct"/>
            <w:shd w:val="clear" w:color="auto" w:fill="auto"/>
            <w:noWrap/>
            <w:vAlign w:val="center"/>
          </w:tcPr>
          <w:p w14:paraId="38BB7A83" w14:textId="28BC8F99" w:rsidR="00526C3E" w:rsidRPr="00FA1F5D" w:rsidRDefault="00526C3E" w:rsidP="009334AB">
            <w:pPr>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19"/>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19"/>
                <w14:textFill>
                  <w14:solidFill>
                    <w14:srgbClr w14:val="000000">
                      <w14:alpha w14:val="100000"/>
                    </w14:srgbClr>
                  </w14:solidFill>
                </w14:textFill>
              </w:rPr>
              <w:t>|</w:t>
            </w:r>
          </w:p>
        </w:tc>
        <w:tc>
          <w:tcPr>
            <w:tcW w:w="739" w:type="pct"/>
            <w:shd w:val="clear" w:color="auto" w:fill="auto"/>
            <w:noWrap/>
            <w:vAlign w:val="center"/>
          </w:tcPr>
          <w:p w14:paraId="0B57CCE8" w14:textId="7450E71C" w:rsidR="00526C3E" w:rsidRPr="00FA1F5D" w:rsidRDefault="00526C3E" w:rsidP="009334AB">
            <w:pPr>
              <w:rPr>
                <w:rFonts w:ascii="Arial Narrow" w:hAnsi="Arial Narrow" w:cs="Calibri"/>
                <w:sz w:val="20"/>
                <w:szCs w:val="20"/>
                <w:highlight w:val="yellow"/>
              </w:rPr>
            </w:pPr>
            <w:r w:rsidRPr="00C663CB">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18"/>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18"/>
                <w14:textFill>
                  <w14:solidFill>
                    <w14:srgbClr w14:val="000000">
                      <w14:alpha w14:val="100000"/>
                    </w14:srgbClr>
                  </w14:solidFill>
                </w14:textFill>
              </w:rPr>
              <w:t>|</w:t>
            </w:r>
          </w:p>
        </w:tc>
        <w:tc>
          <w:tcPr>
            <w:tcW w:w="738" w:type="pct"/>
            <w:shd w:val="clear" w:color="auto" w:fill="auto"/>
            <w:noWrap/>
            <w:vAlign w:val="center"/>
          </w:tcPr>
          <w:p w14:paraId="425CA78A" w14:textId="247C26DC" w:rsidR="00526C3E" w:rsidRPr="00FA1F5D" w:rsidRDefault="00526C3E" w:rsidP="009334AB">
            <w:pPr>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17"/>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17"/>
                <w14:textFill>
                  <w14:solidFill>
                    <w14:srgbClr w14:val="000000">
                      <w14:alpha w14:val="100000"/>
                    </w14:srgbClr>
                  </w14:solidFill>
                </w14:textFill>
              </w:rPr>
              <w:t>|</w:t>
            </w:r>
          </w:p>
        </w:tc>
      </w:tr>
      <w:tr w:rsidR="00246C59" w:rsidRPr="00246C59" w14:paraId="3D0463FF" w14:textId="77777777" w:rsidTr="00A53D33">
        <w:trPr>
          <w:trHeight w:val="428"/>
        </w:trPr>
        <w:tc>
          <w:tcPr>
            <w:tcW w:w="5000" w:type="pct"/>
            <w:gridSpan w:val="7"/>
            <w:shd w:val="clear" w:color="auto" w:fill="F2F2F2" w:themeFill="background1" w:themeFillShade="F2"/>
            <w:vAlign w:val="center"/>
          </w:tcPr>
          <w:p w14:paraId="09F5FD55" w14:textId="21DCDD5B" w:rsidR="00526C3E" w:rsidRPr="000D382E" w:rsidRDefault="00526C3E" w:rsidP="009334AB">
            <w:pPr>
              <w:rPr>
                <w:rFonts w:ascii="Arial Narrow" w:hAnsi="Arial Narrow" w:cs="Calibri"/>
                <w:sz w:val="20"/>
                <w:szCs w:val="20"/>
              </w:rPr>
            </w:pPr>
            <w:r w:rsidRPr="000D382E">
              <w:rPr>
                <w:rFonts w:ascii="Arial Narrow" w:hAnsi="Arial Narrow" w:cs="Calibri"/>
                <w:sz w:val="20"/>
                <w:szCs w:val="20"/>
              </w:rPr>
              <w:t xml:space="preserve">Projected uptake of </w:t>
            </w:r>
            <w:proofErr w:type="spellStart"/>
            <w:r w:rsidRPr="000D382E">
              <w:rPr>
                <w:rFonts w:ascii="Arial Narrow" w:hAnsi="Arial Narrow" w:cs="Calibri"/>
                <w:sz w:val="20"/>
                <w:szCs w:val="20"/>
              </w:rPr>
              <w:t>axicabtagene</w:t>
            </w:r>
            <w:proofErr w:type="spellEnd"/>
            <w:r w:rsidRPr="000D382E">
              <w:rPr>
                <w:rFonts w:ascii="Arial Narrow" w:hAnsi="Arial Narrow" w:cs="Calibri"/>
                <w:sz w:val="20"/>
                <w:szCs w:val="20"/>
              </w:rPr>
              <w:t xml:space="preserve"> </w:t>
            </w:r>
            <w:proofErr w:type="spellStart"/>
            <w:r w:rsidRPr="000D382E">
              <w:rPr>
                <w:rFonts w:ascii="Arial Narrow" w:hAnsi="Arial Narrow" w:cs="Calibri"/>
                <w:sz w:val="20"/>
                <w:szCs w:val="20"/>
              </w:rPr>
              <w:t>autoleucel</w:t>
            </w:r>
            <w:proofErr w:type="spellEnd"/>
            <w:r w:rsidRPr="000D382E">
              <w:rPr>
                <w:rFonts w:ascii="Arial Narrow" w:hAnsi="Arial Narrow" w:cs="Calibri"/>
                <w:sz w:val="20"/>
                <w:szCs w:val="20"/>
              </w:rPr>
              <w:t xml:space="preserve"> for LBCL in the 2L setting (base case = </w:t>
            </w:r>
            <w:r w:rsidR="002610F9" w:rsidRPr="002610F9">
              <w:rPr>
                <w:rFonts w:ascii="Arial Narrow" w:hAnsi="Arial Narrow" w:cs="Calibri"/>
                <w:color w:val="000000"/>
                <w:spacing w:val="53"/>
                <w:sz w:val="20"/>
                <w:szCs w:val="20"/>
                <w:shd w:val="solid" w:color="000000" w:fill="000000"/>
                <w:fitText w:val="330" w:id="-1217620216"/>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16"/>
                <w14:textFill>
                  <w14:solidFill>
                    <w14:srgbClr w14:val="000000">
                      <w14:alpha w14:val="100000"/>
                    </w14:srgbClr>
                  </w14:solidFill>
                </w14:textFill>
              </w:rPr>
              <w:t>|</w:t>
            </w:r>
            <w:r w:rsidRPr="000D382E">
              <w:rPr>
                <w:rFonts w:ascii="Arial Narrow" w:hAnsi="Arial Narrow" w:cs="Calibri"/>
                <w:sz w:val="20"/>
                <w:szCs w:val="20"/>
              </w:rPr>
              <w:t xml:space="preserve"> in Year 1, increasing </w:t>
            </w:r>
            <w:r w:rsidR="002610F9" w:rsidRPr="002610F9">
              <w:rPr>
                <w:rFonts w:ascii="Arial Narrow" w:hAnsi="Arial Narrow" w:cs="Calibri"/>
                <w:color w:val="000000"/>
                <w:spacing w:val="49"/>
                <w:sz w:val="20"/>
                <w:szCs w:val="20"/>
                <w:shd w:val="solid" w:color="000000" w:fill="000000"/>
                <w:fitText w:val="320" w:id="-1217620215"/>
                <w14:textFill>
                  <w14:solidFill>
                    <w14:srgbClr w14:val="000000">
                      <w14:alpha w14:val="100000"/>
                    </w14:srgbClr>
                  </w14:solidFill>
                </w14:textFill>
              </w:rPr>
              <w:t>|||</w:t>
            </w:r>
            <w:r w:rsidR="002610F9" w:rsidRPr="002610F9">
              <w:rPr>
                <w:rFonts w:ascii="Arial Narrow" w:hAnsi="Arial Narrow" w:cs="Calibri"/>
                <w:color w:val="000000"/>
                <w:spacing w:val="3"/>
                <w:sz w:val="20"/>
                <w:szCs w:val="20"/>
                <w:shd w:val="solid" w:color="000000" w:fill="000000"/>
                <w:fitText w:val="320" w:id="-1217620215"/>
                <w14:textFill>
                  <w14:solidFill>
                    <w14:srgbClr w14:val="000000">
                      <w14:alpha w14:val="100000"/>
                    </w14:srgbClr>
                  </w14:solidFill>
                </w14:textFill>
              </w:rPr>
              <w:t>|</w:t>
            </w:r>
            <w:r w:rsidRPr="000D382E">
              <w:rPr>
                <w:rFonts w:ascii="Arial Narrow" w:hAnsi="Arial Narrow" w:cs="Calibri"/>
                <w:sz w:val="20"/>
                <w:szCs w:val="20"/>
              </w:rPr>
              <w:t xml:space="preserve"> per year to </w:t>
            </w:r>
            <w:r w:rsidR="002610F9" w:rsidRPr="002610F9">
              <w:rPr>
                <w:rFonts w:ascii="Arial Narrow" w:hAnsi="Arial Narrow" w:cs="Calibri"/>
                <w:color w:val="000000"/>
                <w:spacing w:val="49"/>
                <w:sz w:val="20"/>
                <w:szCs w:val="20"/>
                <w:shd w:val="solid" w:color="000000" w:fill="000000"/>
                <w:fitText w:val="320" w:id="-1217620214"/>
                <w14:textFill>
                  <w14:solidFill>
                    <w14:srgbClr w14:val="000000">
                      <w14:alpha w14:val="100000"/>
                    </w14:srgbClr>
                  </w14:solidFill>
                </w14:textFill>
              </w:rPr>
              <w:t>|||</w:t>
            </w:r>
            <w:r w:rsidR="002610F9" w:rsidRPr="002610F9">
              <w:rPr>
                <w:rFonts w:ascii="Arial Narrow" w:hAnsi="Arial Narrow" w:cs="Calibri"/>
                <w:color w:val="000000"/>
                <w:spacing w:val="3"/>
                <w:sz w:val="20"/>
                <w:szCs w:val="20"/>
                <w:shd w:val="solid" w:color="000000" w:fill="000000"/>
                <w:fitText w:val="320" w:id="-1217620214"/>
                <w14:textFill>
                  <w14:solidFill>
                    <w14:srgbClr w14:val="000000">
                      <w14:alpha w14:val="100000"/>
                    </w14:srgbClr>
                  </w14:solidFill>
                </w14:textFill>
              </w:rPr>
              <w:t>|</w:t>
            </w:r>
            <w:r w:rsidRPr="000D382E">
              <w:rPr>
                <w:rFonts w:ascii="Arial Narrow" w:hAnsi="Arial Narrow" w:cs="Calibri"/>
                <w:sz w:val="20"/>
                <w:szCs w:val="20"/>
              </w:rPr>
              <w:t xml:space="preserve"> in Year 6) (equivalent reduction in 3L)</w:t>
            </w:r>
          </w:p>
        </w:tc>
      </w:tr>
      <w:tr w:rsidR="00246C59" w:rsidRPr="00246C59" w14:paraId="5ABC78DA" w14:textId="77777777" w:rsidTr="00A53D33">
        <w:trPr>
          <w:trHeight w:val="428"/>
        </w:trPr>
        <w:tc>
          <w:tcPr>
            <w:tcW w:w="566" w:type="pct"/>
            <w:shd w:val="clear" w:color="auto" w:fill="auto"/>
            <w:vAlign w:val="center"/>
          </w:tcPr>
          <w:p w14:paraId="6C7CF75D" w14:textId="77777777" w:rsidR="00526C3E" w:rsidRPr="000D382E" w:rsidRDefault="00526C3E" w:rsidP="009334AB">
            <w:pPr>
              <w:rPr>
                <w:rFonts w:ascii="Arial Narrow" w:hAnsi="Arial Narrow" w:cs="Calibri"/>
                <w:sz w:val="20"/>
                <w:szCs w:val="20"/>
              </w:rPr>
            </w:pPr>
            <w:r w:rsidRPr="000D382E">
              <w:rPr>
                <w:rFonts w:ascii="Arial Narrow" w:hAnsi="Arial Narrow" w:cs="Calibri"/>
                <w:sz w:val="20"/>
                <w:szCs w:val="20"/>
              </w:rPr>
              <w:t>50% in Year 1, increasing 10% per year to 100% in Year 6</w:t>
            </w:r>
          </w:p>
        </w:tc>
        <w:tc>
          <w:tcPr>
            <w:tcW w:w="741" w:type="pct"/>
            <w:shd w:val="clear" w:color="auto" w:fill="auto"/>
            <w:noWrap/>
            <w:vAlign w:val="center"/>
          </w:tcPr>
          <w:p w14:paraId="112AA0CD" w14:textId="57F13736" w:rsidR="00526C3E" w:rsidRPr="00FA1F5D" w:rsidRDefault="00526C3E" w:rsidP="009334AB">
            <w:pPr>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13"/>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13"/>
                <w14:textFill>
                  <w14:solidFill>
                    <w14:srgbClr w14:val="000000">
                      <w14:alpha w14:val="100000"/>
                    </w14:srgbClr>
                  </w14:solidFill>
                </w14:textFill>
              </w:rPr>
              <w:t>|</w:t>
            </w:r>
          </w:p>
        </w:tc>
        <w:tc>
          <w:tcPr>
            <w:tcW w:w="739" w:type="pct"/>
            <w:shd w:val="clear" w:color="auto" w:fill="auto"/>
            <w:noWrap/>
            <w:vAlign w:val="center"/>
          </w:tcPr>
          <w:p w14:paraId="2B678F3F" w14:textId="283CBDB2" w:rsidR="00526C3E" w:rsidRPr="00FA1F5D" w:rsidRDefault="00526C3E" w:rsidP="009334AB">
            <w:pPr>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12"/>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12"/>
                <w14:textFill>
                  <w14:solidFill>
                    <w14:srgbClr w14:val="000000">
                      <w14:alpha w14:val="100000"/>
                    </w14:srgbClr>
                  </w14:solidFill>
                </w14:textFill>
              </w:rPr>
              <w:t>|</w:t>
            </w:r>
          </w:p>
        </w:tc>
        <w:tc>
          <w:tcPr>
            <w:tcW w:w="739" w:type="pct"/>
            <w:shd w:val="clear" w:color="auto" w:fill="auto"/>
            <w:noWrap/>
            <w:vAlign w:val="center"/>
          </w:tcPr>
          <w:p w14:paraId="3EEF3542" w14:textId="7A811A10" w:rsidR="00526C3E" w:rsidRPr="00FA1F5D" w:rsidRDefault="00526C3E" w:rsidP="009334AB">
            <w:pPr>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11"/>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11"/>
                <w14:textFill>
                  <w14:solidFill>
                    <w14:srgbClr w14:val="000000">
                      <w14:alpha w14:val="100000"/>
                    </w14:srgbClr>
                  </w14:solidFill>
                </w14:textFill>
              </w:rPr>
              <w:t>|</w:t>
            </w:r>
          </w:p>
        </w:tc>
        <w:tc>
          <w:tcPr>
            <w:tcW w:w="739" w:type="pct"/>
            <w:shd w:val="clear" w:color="auto" w:fill="auto"/>
            <w:noWrap/>
            <w:vAlign w:val="center"/>
          </w:tcPr>
          <w:p w14:paraId="79DB08DA" w14:textId="68C38C3E" w:rsidR="00526C3E" w:rsidRPr="00FA1F5D" w:rsidRDefault="00526C3E" w:rsidP="009334AB">
            <w:pPr>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10"/>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10"/>
                <w14:textFill>
                  <w14:solidFill>
                    <w14:srgbClr w14:val="000000">
                      <w14:alpha w14:val="100000"/>
                    </w14:srgbClr>
                  </w14:solidFill>
                </w14:textFill>
              </w:rPr>
              <w:t>|</w:t>
            </w:r>
          </w:p>
        </w:tc>
        <w:tc>
          <w:tcPr>
            <w:tcW w:w="739" w:type="pct"/>
            <w:shd w:val="clear" w:color="auto" w:fill="auto"/>
            <w:noWrap/>
            <w:vAlign w:val="center"/>
          </w:tcPr>
          <w:p w14:paraId="62EF9844" w14:textId="4325264E" w:rsidR="00526C3E" w:rsidRPr="00FA1F5D" w:rsidRDefault="00526C3E" w:rsidP="009334AB">
            <w:pPr>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09"/>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09"/>
                <w14:textFill>
                  <w14:solidFill>
                    <w14:srgbClr w14:val="000000">
                      <w14:alpha w14:val="100000"/>
                    </w14:srgbClr>
                  </w14:solidFill>
                </w14:textFill>
              </w:rPr>
              <w:t>|</w:t>
            </w:r>
          </w:p>
        </w:tc>
        <w:tc>
          <w:tcPr>
            <w:tcW w:w="738" w:type="pct"/>
            <w:shd w:val="clear" w:color="auto" w:fill="auto"/>
            <w:noWrap/>
            <w:vAlign w:val="center"/>
          </w:tcPr>
          <w:p w14:paraId="1CB15953" w14:textId="0A149F1A" w:rsidR="00526C3E" w:rsidRPr="00FA1F5D" w:rsidRDefault="00526C3E" w:rsidP="009334AB">
            <w:pPr>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08"/>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08"/>
                <w14:textFill>
                  <w14:solidFill>
                    <w14:srgbClr w14:val="000000">
                      <w14:alpha w14:val="100000"/>
                    </w14:srgbClr>
                  </w14:solidFill>
                </w14:textFill>
              </w:rPr>
              <w:t>|</w:t>
            </w:r>
          </w:p>
        </w:tc>
      </w:tr>
      <w:tr w:rsidR="00246C59" w:rsidRPr="00246C59" w14:paraId="3C6A2B12" w14:textId="77777777" w:rsidTr="00A53D33">
        <w:trPr>
          <w:trHeight w:val="428"/>
        </w:trPr>
        <w:tc>
          <w:tcPr>
            <w:tcW w:w="566" w:type="pct"/>
            <w:shd w:val="clear" w:color="auto" w:fill="auto"/>
            <w:vAlign w:val="center"/>
          </w:tcPr>
          <w:p w14:paraId="0B7529C7" w14:textId="77777777" w:rsidR="00526C3E" w:rsidRPr="000D382E" w:rsidRDefault="00526C3E" w:rsidP="009334AB">
            <w:pPr>
              <w:rPr>
                <w:rFonts w:ascii="Arial Narrow" w:hAnsi="Arial Narrow" w:cs="Calibri"/>
                <w:sz w:val="20"/>
                <w:szCs w:val="20"/>
              </w:rPr>
            </w:pPr>
            <w:r w:rsidRPr="000D382E">
              <w:rPr>
                <w:rFonts w:ascii="Arial Narrow" w:hAnsi="Arial Narrow" w:cs="Calibri"/>
                <w:sz w:val="20"/>
                <w:szCs w:val="20"/>
              </w:rPr>
              <w:t>100% all years</w:t>
            </w:r>
          </w:p>
        </w:tc>
        <w:tc>
          <w:tcPr>
            <w:tcW w:w="741" w:type="pct"/>
            <w:shd w:val="clear" w:color="auto" w:fill="auto"/>
            <w:noWrap/>
            <w:vAlign w:val="center"/>
          </w:tcPr>
          <w:p w14:paraId="28D05DF5" w14:textId="662EEFB1" w:rsidR="00526C3E" w:rsidRPr="00FA1F5D" w:rsidRDefault="00526C3E" w:rsidP="009334AB">
            <w:pPr>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24"/>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24"/>
                <w14:textFill>
                  <w14:solidFill>
                    <w14:srgbClr w14:val="000000">
                      <w14:alpha w14:val="100000"/>
                    </w14:srgbClr>
                  </w14:solidFill>
                </w14:textFill>
              </w:rPr>
              <w:t>|</w:t>
            </w:r>
          </w:p>
        </w:tc>
        <w:tc>
          <w:tcPr>
            <w:tcW w:w="739" w:type="pct"/>
            <w:shd w:val="clear" w:color="auto" w:fill="auto"/>
            <w:noWrap/>
            <w:vAlign w:val="center"/>
          </w:tcPr>
          <w:p w14:paraId="5CB14F5A" w14:textId="2DD73C49" w:rsidR="00526C3E" w:rsidRPr="00FA1F5D" w:rsidRDefault="00526C3E" w:rsidP="009334AB">
            <w:pPr>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23"/>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23"/>
                <w14:textFill>
                  <w14:solidFill>
                    <w14:srgbClr w14:val="000000">
                      <w14:alpha w14:val="100000"/>
                    </w14:srgbClr>
                  </w14:solidFill>
                </w14:textFill>
              </w:rPr>
              <w:t>|</w:t>
            </w:r>
          </w:p>
        </w:tc>
        <w:tc>
          <w:tcPr>
            <w:tcW w:w="739" w:type="pct"/>
            <w:shd w:val="clear" w:color="auto" w:fill="auto"/>
            <w:noWrap/>
            <w:vAlign w:val="center"/>
          </w:tcPr>
          <w:p w14:paraId="193E1740" w14:textId="460C2CEF" w:rsidR="00526C3E" w:rsidRPr="00FA1F5D" w:rsidRDefault="00526C3E" w:rsidP="009334AB">
            <w:pPr>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22"/>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22"/>
                <w14:textFill>
                  <w14:solidFill>
                    <w14:srgbClr w14:val="000000">
                      <w14:alpha w14:val="100000"/>
                    </w14:srgbClr>
                  </w14:solidFill>
                </w14:textFill>
              </w:rPr>
              <w:t>|</w:t>
            </w:r>
          </w:p>
        </w:tc>
        <w:tc>
          <w:tcPr>
            <w:tcW w:w="739" w:type="pct"/>
            <w:shd w:val="clear" w:color="auto" w:fill="auto"/>
            <w:noWrap/>
            <w:vAlign w:val="center"/>
          </w:tcPr>
          <w:p w14:paraId="7E0EA6C5" w14:textId="4E771830" w:rsidR="00526C3E" w:rsidRPr="00FA1F5D" w:rsidRDefault="00526C3E" w:rsidP="009334AB">
            <w:pPr>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21"/>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21"/>
                <w14:textFill>
                  <w14:solidFill>
                    <w14:srgbClr w14:val="000000">
                      <w14:alpha w14:val="100000"/>
                    </w14:srgbClr>
                  </w14:solidFill>
                </w14:textFill>
              </w:rPr>
              <w:t>|</w:t>
            </w:r>
          </w:p>
        </w:tc>
        <w:tc>
          <w:tcPr>
            <w:tcW w:w="739" w:type="pct"/>
            <w:shd w:val="clear" w:color="auto" w:fill="auto"/>
            <w:noWrap/>
            <w:vAlign w:val="center"/>
          </w:tcPr>
          <w:p w14:paraId="1320E06F" w14:textId="7803C4DC" w:rsidR="00526C3E" w:rsidRPr="00FA1F5D" w:rsidRDefault="00526C3E" w:rsidP="009334AB">
            <w:pPr>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20"/>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20"/>
                <w14:textFill>
                  <w14:solidFill>
                    <w14:srgbClr w14:val="000000">
                      <w14:alpha w14:val="100000"/>
                    </w14:srgbClr>
                  </w14:solidFill>
                </w14:textFill>
              </w:rPr>
              <w:t>|</w:t>
            </w:r>
          </w:p>
        </w:tc>
        <w:tc>
          <w:tcPr>
            <w:tcW w:w="738" w:type="pct"/>
            <w:shd w:val="clear" w:color="auto" w:fill="auto"/>
            <w:noWrap/>
            <w:vAlign w:val="center"/>
          </w:tcPr>
          <w:p w14:paraId="6F4EC861" w14:textId="5AF9FAA2" w:rsidR="00526C3E" w:rsidRPr="00FA1F5D" w:rsidRDefault="00526C3E" w:rsidP="009334AB">
            <w:pPr>
              <w:rPr>
                <w:rFonts w:ascii="Arial Narrow" w:hAnsi="Arial Narrow" w:cs="Calibri"/>
                <w:sz w:val="20"/>
                <w:szCs w:val="20"/>
                <w:highlight w:val="yellow"/>
              </w:rPr>
            </w:pPr>
            <w:r w:rsidRPr="007E412C">
              <w:rPr>
                <w:rFonts w:ascii="Arial Narrow" w:hAnsi="Arial Narrow" w:cs="Calibri"/>
                <w:sz w:val="20"/>
                <w:szCs w:val="20"/>
              </w:rPr>
              <w:t>$</w:t>
            </w:r>
            <w:r w:rsidR="002610F9" w:rsidRPr="002610F9">
              <w:rPr>
                <w:rFonts w:ascii="Arial Narrow" w:hAnsi="Arial Narrow" w:cs="Calibri"/>
                <w:color w:val="000000"/>
                <w:spacing w:val="53"/>
                <w:sz w:val="20"/>
                <w:szCs w:val="20"/>
                <w:shd w:val="solid" w:color="000000" w:fill="000000"/>
                <w:fitText w:val="330" w:id="-1217620219"/>
                <w14:textFill>
                  <w14:solidFill>
                    <w14:srgbClr w14:val="000000">
                      <w14:alpha w14:val="100000"/>
                    </w14:srgbClr>
                  </w14:solidFill>
                </w14:textFill>
              </w:rPr>
              <w:t>|||</w:t>
            </w:r>
            <w:r w:rsidR="002610F9" w:rsidRPr="002610F9">
              <w:rPr>
                <w:rFonts w:ascii="Arial Narrow" w:hAnsi="Arial Narrow" w:cs="Calibri"/>
                <w:color w:val="000000"/>
                <w:spacing w:val="1"/>
                <w:sz w:val="20"/>
                <w:szCs w:val="20"/>
                <w:shd w:val="solid" w:color="000000" w:fill="000000"/>
                <w:fitText w:val="330" w:id="-1217620219"/>
                <w14:textFill>
                  <w14:solidFill>
                    <w14:srgbClr w14:val="000000">
                      <w14:alpha w14:val="100000"/>
                    </w14:srgbClr>
                  </w14:solidFill>
                </w14:textFill>
              </w:rPr>
              <w:t>|</w:t>
            </w:r>
          </w:p>
        </w:tc>
      </w:tr>
    </w:tbl>
    <w:p w14:paraId="5DF9A56F" w14:textId="7153987D" w:rsidR="002A0939" w:rsidRPr="00EF2A20" w:rsidRDefault="002420BF" w:rsidP="00EF2A20">
      <w:pPr>
        <w:pStyle w:val="a-TableFOOTER"/>
      </w:pPr>
      <w:r>
        <w:t xml:space="preserve">Abbreviations: </w:t>
      </w:r>
      <w:r w:rsidR="002D0769">
        <w:t>1L=</w:t>
      </w:r>
      <w:proofErr w:type="gramStart"/>
      <w:r w:rsidR="002D0769">
        <w:t>first</w:t>
      </w:r>
      <w:r w:rsidR="00C1259D">
        <w:t>-</w:t>
      </w:r>
      <w:r w:rsidR="002D0769">
        <w:t>line</w:t>
      </w:r>
      <w:proofErr w:type="gramEnd"/>
      <w:r w:rsidR="002D0769">
        <w:t xml:space="preserve">; </w:t>
      </w:r>
      <w:r w:rsidR="002D0769" w:rsidRPr="00811951">
        <w:t>2L=second</w:t>
      </w:r>
      <w:r w:rsidR="00C1259D">
        <w:t>-</w:t>
      </w:r>
      <w:r w:rsidR="002D0769" w:rsidRPr="00811951">
        <w:t>line</w:t>
      </w:r>
      <w:r w:rsidR="002D0769">
        <w:t xml:space="preserve">; </w:t>
      </w:r>
      <w:r>
        <w:t xml:space="preserve">LBCL= </w:t>
      </w:r>
      <w:r w:rsidR="008A4576" w:rsidRPr="008A4576">
        <w:t>large B-cell lymphoma</w:t>
      </w:r>
      <w:r>
        <w:t xml:space="preserve">; NHL=non-Hodgkin lymphoma; </w:t>
      </w:r>
      <w:r w:rsidR="002D0769">
        <w:t>SoC=standard of care</w:t>
      </w:r>
    </w:p>
    <w:p w14:paraId="2286BA3C" w14:textId="77777777" w:rsidR="00A178CB" w:rsidRDefault="00A178CB" w:rsidP="00B62D2C">
      <w:pPr>
        <w:pStyle w:val="Heading3"/>
      </w:pPr>
      <w:r>
        <w:t>Market share</w:t>
      </w:r>
    </w:p>
    <w:p w14:paraId="3EB831E2" w14:textId="05059F6C" w:rsidR="00ED3055" w:rsidRPr="002868FE" w:rsidRDefault="00AE29C4" w:rsidP="00770AEB">
      <w:pPr>
        <w:pStyle w:val="a-COMMENT"/>
        <w:rPr>
          <w:i w:val="0"/>
          <w:iCs/>
        </w:rPr>
      </w:pPr>
      <w:r w:rsidRPr="002868FE">
        <w:rPr>
          <w:i w:val="0"/>
          <w:iCs/>
        </w:rPr>
        <w:t xml:space="preserve">In addition, the ADAR states that the CAR T-cell therapies market is shared evenly between </w:t>
      </w:r>
      <w:r w:rsidR="00226D5B" w:rsidRPr="002868FE">
        <w:rPr>
          <w:i w:val="0"/>
          <w:iCs/>
        </w:rPr>
        <w:t>AXI</w:t>
      </w:r>
      <w:r w:rsidRPr="002868FE">
        <w:rPr>
          <w:i w:val="0"/>
          <w:iCs/>
        </w:rPr>
        <w:t xml:space="preserve"> and tisagenlecleucel</w:t>
      </w:r>
      <w:r w:rsidR="00AB5EA0" w:rsidRPr="002868FE">
        <w:rPr>
          <w:i w:val="0"/>
          <w:iCs/>
        </w:rPr>
        <w:t>. As tisagenlecleucel is not yet approved for use in the 2L setting, this may not be an initial consideration</w:t>
      </w:r>
      <w:r w:rsidR="00FE3C26" w:rsidRPr="002868FE">
        <w:rPr>
          <w:i w:val="0"/>
          <w:iCs/>
        </w:rPr>
        <w:t xml:space="preserve"> for demand</w:t>
      </w:r>
      <w:r w:rsidR="00AB5EA0" w:rsidRPr="002868FE">
        <w:rPr>
          <w:i w:val="0"/>
          <w:iCs/>
        </w:rPr>
        <w:t xml:space="preserve">, but </w:t>
      </w:r>
      <w:r w:rsidR="00ED3055" w:rsidRPr="002868FE">
        <w:rPr>
          <w:i w:val="0"/>
          <w:iCs/>
        </w:rPr>
        <w:t>should be noted for</w:t>
      </w:r>
      <w:r w:rsidR="002868FE" w:rsidRPr="002868FE">
        <w:rPr>
          <w:i w:val="0"/>
          <w:iCs/>
        </w:rPr>
        <w:t xml:space="preserve"> the</w:t>
      </w:r>
      <w:r w:rsidR="00ED3055" w:rsidRPr="002868FE">
        <w:rPr>
          <w:i w:val="0"/>
          <w:iCs/>
        </w:rPr>
        <w:t xml:space="preserve"> future.</w:t>
      </w:r>
    </w:p>
    <w:p w14:paraId="0BE87D10" w14:textId="6FC42AE1" w:rsidR="007671CD" w:rsidRPr="007671CD" w:rsidRDefault="007671CD" w:rsidP="00B62D2C">
      <w:pPr>
        <w:pStyle w:val="Heading3"/>
      </w:pPr>
      <w:r w:rsidRPr="007671CD">
        <w:t>Across jurisdictions</w:t>
      </w:r>
    </w:p>
    <w:p w14:paraId="4C6B2E84" w14:textId="76DDEA69" w:rsidR="00634A89" w:rsidRPr="007671CD" w:rsidRDefault="007671CD" w:rsidP="00246C59">
      <w:pPr>
        <w:pStyle w:val="a-TEXT"/>
      </w:pPr>
      <w:r w:rsidRPr="007D311E">
        <w:t xml:space="preserve">The ADAR did not provide a budgetary analysis breakdown for different jurisdictions (i.e., Commonwealth versus </w:t>
      </w:r>
      <w:r w:rsidR="00984622" w:rsidRPr="007D311E">
        <w:t>sta</w:t>
      </w:r>
      <w:r w:rsidR="00984622">
        <w:t>t</w:t>
      </w:r>
      <w:r w:rsidR="00984622" w:rsidRPr="007D311E">
        <w:t>e</w:t>
      </w:r>
      <w:r w:rsidR="00984622">
        <w:t xml:space="preserve"> or MBS versus PBS</w:t>
      </w:r>
      <w:r w:rsidRPr="007D311E">
        <w:t xml:space="preserve">). The assessment team attempted to </w:t>
      </w:r>
      <w:r>
        <w:t xml:space="preserve">calculate this, but some cost assumptions aggregated administration and pharmacy costs which precluded breakdown. Given the current funding mechanism for the intervention in 3L setting (cost sharing across Commonwealth and state </w:t>
      </w:r>
      <w:r w:rsidR="00D74595">
        <w:t xml:space="preserve">as </w:t>
      </w:r>
      <w:r w:rsidRPr="009C4069">
        <w:t>Highly Specialised Therapies</w:t>
      </w:r>
      <w:r w:rsidR="00D74595">
        <w:t xml:space="preserve"> under the National Health Reform Agreement</w:t>
      </w:r>
      <w:r w:rsidRPr="009C4069">
        <w:t>)</w:t>
      </w:r>
      <w:r>
        <w:t xml:space="preserve"> is proposed for the 2L setting, it can be assumed that </w:t>
      </w:r>
      <w:r w:rsidR="00A80AD4">
        <w:t xml:space="preserve">this </w:t>
      </w:r>
      <w:r>
        <w:t xml:space="preserve">proposed </w:t>
      </w:r>
      <w:r w:rsidR="00A80AD4">
        <w:t>funding</w:t>
      </w:r>
      <w:r>
        <w:t xml:space="preserve"> mechanism </w:t>
      </w:r>
      <w:r w:rsidR="00512ED6">
        <w:t>remains</w:t>
      </w:r>
      <w:r>
        <w:t xml:space="preserve"> appropriate, therefore the</w:t>
      </w:r>
      <w:r w:rsidR="00984622">
        <w:t xml:space="preserve"> granular</w:t>
      </w:r>
      <w:r>
        <w:t xml:space="preserve"> budget impacts on a jurisdiction level are not </w:t>
      </w:r>
      <w:r w:rsidR="00984622">
        <w:t>critical</w:t>
      </w:r>
      <w:r>
        <w:t xml:space="preserve"> for an MSAC decision.</w:t>
      </w:r>
    </w:p>
    <w:p w14:paraId="7838A9FF" w14:textId="2A05C4B6" w:rsidR="00772829" w:rsidRPr="00CE28E3" w:rsidRDefault="00C36633" w:rsidP="002A18BE">
      <w:pPr>
        <w:pStyle w:val="Heading2"/>
        <w:numPr>
          <w:ilvl w:val="0"/>
          <w:numId w:val="0"/>
        </w:numPr>
      </w:pPr>
      <w:bookmarkStart w:id="48" w:name="_Toc69491427"/>
      <w:bookmarkEnd w:id="45"/>
      <w:r>
        <w:lastRenderedPageBreak/>
        <w:t>1</w:t>
      </w:r>
      <w:r w:rsidR="00C233D6">
        <w:t>5</w:t>
      </w:r>
      <w:r>
        <w:t>.</w:t>
      </w:r>
      <w:r>
        <w:tab/>
      </w:r>
      <w:r w:rsidR="00772829" w:rsidRPr="00CE28E3">
        <w:t xml:space="preserve">Other relevant </w:t>
      </w:r>
      <w:bookmarkEnd w:id="48"/>
      <w:r w:rsidR="00FA5766">
        <w:t>information</w:t>
      </w:r>
    </w:p>
    <w:p w14:paraId="0F90DBD6" w14:textId="4D26BD8E" w:rsidR="00803F23" w:rsidRDefault="00803F23" w:rsidP="00246C59">
      <w:pPr>
        <w:pStyle w:val="a-TEXT"/>
      </w:pPr>
      <w:r w:rsidRPr="00855633">
        <w:t>There are pressing policy and implementation considerations that have not been discussed</w:t>
      </w:r>
      <w:r w:rsidR="00B8458C">
        <w:t xml:space="preserve"> in this application</w:t>
      </w:r>
      <w:r w:rsidRPr="00855633">
        <w:t xml:space="preserve">. </w:t>
      </w:r>
    </w:p>
    <w:p w14:paraId="7C032F9E" w14:textId="73333BFA" w:rsidR="00855633" w:rsidRPr="00EF2A20" w:rsidRDefault="00855633" w:rsidP="00B62D2C">
      <w:pPr>
        <w:pStyle w:val="Heading3"/>
      </w:pPr>
      <w:r w:rsidRPr="00EF2A20">
        <w:t>Demand considerations</w:t>
      </w:r>
    </w:p>
    <w:p w14:paraId="40467223" w14:textId="308F0779" w:rsidR="000566DC" w:rsidRPr="003E1FC4" w:rsidRDefault="00767827" w:rsidP="00246C59">
      <w:pPr>
        <w:pStyle w:val="a-TEXT"/>
      </w:pPr>
      <w:r w:rsidRPr="003E1FC4">
        <w:t xml:space="preserve">The impact of demand on workforce, training and infrastructure capabilities and requirements have not been considered. The </w:t>
      </w:r>
      <w:r w:rsidR="003E1FC4">
        <w:t xml:space="preserve">applicant suggests that the </w:t>
      </w:r>
      <w:r w:rsidRPr="003E1FC4">
        <w:t xml:space="preserve">number of people receiving </w:t>
      </w:r>
      <w:r w:rsidR="00226D5B">
        <w:t>AXI</w:t>
      </w:r>
      <w:r w:rsidRPr="003E1FC4">
        <w:t xml:space="preserve"> will increase from </w:t>
      </w:r>
      <w:r w:rsidR="002610F9" w:rsidRPr="002610F9">
        <w:rPr>
          <w:color w:val="000000"/>
          <w:w w:val="66"/>
          <w:shd w:val="solid" w:color="000000" w:fill="000000"/>
          <w:fitText w:val="440" w:id="-1217620218"/>
          <w14:textFill>
            <w14:solidFill>
              <w14:srgbClr w14:val="000000">
                <w14:alpha w14:val="100000"/>
              </w14:srgbClr>
            </w14:solidFill>
          </w14:textFill>
        </w:rPr>
        <w:t>|||||</w:t>
      </w:r>
      <w:r w:rsidR="002610F9" w:rsidRPr="002610F9">
        <w:rPr>
          <w:color w:val="000000"/>
          <w:spacing w:val="4"/>
          <w:w w:val="66"/>
          <w:shd w:val="solid" w:color="000000" w:fill="000000"/>
          <w:fitText w:val="440" w:id="-1217620218"/>
          <w14:textFill>
            <w14:solidFill>
              <w14:srgbClr w14:val="000000">
                <w14:alpha w14:val="100000"/>
              </w14:srgbClr>
            </w14:solidFill>
          </w14:textFill>
        </w:rPr>
        <w:t>|</w:t>
      </w:r>
      <w:r w:rsidRPr="003E1FC4">
        <w:t xml:space="preserve"> per year in the 3L setting (as of year ending 31 July 2022) to an additional </w:t>
      </w:r>
      <w:r w:rsidR="002610F9" w:rsidRPr="002610F9">
        <w:rPr>
          <w:color w:val="000000"/>
          <w:w w:val="66"/>
          <w:shd w:val="solid" w:color="000000" w:fill="000000"/>
          <w:fitText w:val="440" w:id="-1217620217"/>
          <w14:textFill>
            <w14:solidFill>
              <w14:srgbClr w14:val="000000">
                <w14:alpha w14:val="100000"/>
              </w14:srgbClr>
            </w14:solidFill>
          </w14:textFill>
        </w:rPr>
        <w:t>|||||</w:t>
      </w:r>
      <w:r w:rsidR="002610F9" w:rsidRPr="002610F9">
        <w:rPr>
          <w:color w:val="000000"/>
          <w:spacing w:val="4"/>
          <w:w w:val="66"/>
          <w:shd w:val="solid" w:color="000000" w:fill="000000"/>
          <w:fitText w:val="440" w:id="-1217620217"/>
          <w14:textFill>
            <w14:solidFill>
              <w14:srgbClr w14:val="000000">
                <w14:alpha w14:val="100000"/>
              </w14:srgbClr>
            </w14:solidFill>
          </w14:textFill>
        </w:rPr>
        <w:t>|</w:t>
      </w:r>
      <w:r w:rsidRPr="003E1FC4">
        <w:t xml:space="preserve"> in 2023, reaching </w:t>
      </w:r>
      <w:r w:rsidR="002610F9" w:rsidRPr="002610F9">
        <w:rPr>
          <w:color w:val="000000"/>
          <w:w w:val="66"/>
          <w:shd w:val="solid" w:color="000000" w:fill="000000"/>
          <w:fitText w:val="440" w:id="-1217620216"/>
          <w14:textFill>
            <w14:solidFill>
              <w14:srgbClr w14:val="000000">
                <w14:alpha w14:val="100000"/>
              </w14:srgbClr>
            </w14:solidFill>
          </w14:textFill>
        </w:rPr>
        <w:t>|||||</w:t>
      </w:r>
      <w:r w:rsidR="002610F9" w:rsidRPr="002610F9">
        <w:rPr>
          <w:color w:val="000000"/>
          <w:spacing w:val="4"/>
          <w:w w:val="66"/>
          <w:shd w:val="solid" w:color="000000" w:fill="000000"/>
          <w:fitText w:val="440" w:id="-1217620216"/>
          <w14:textFill>
            <w14:solidFill>
              <w14:srgbClr w14:val="000000">
                <w14:alpha w14:val="100000"/>
              </w14:srgbClr>
            </w14:solidFill>
          </w14:textFill>
        </w:rPr>
        <w:t>|</w:t>
      </w:r>
      <w:r w:rsidRPr="003E1FC4">
        <w:t xml:space="preserve"> by 2025, in the 2L setting. Given there are only five </w:t>
      </w:r>
      <w:r w:rsidR="00350276" w:rsidRPr="003E1FC4">
        <w:t xml:space="preserve">qualified treatment facilities in Australia, </w:t>
      </w:r>
      <w:r w:rsidR="00FA60C3" w:rsidRPr="003E1FC4">
        <w:t>a</w:t>
      </w:r>
      <w:r w:rsidR="00350276" w:rsidRPr="003E1FC4">
        <w:t xml:space="preserve"> </w:t>
      </w:r>
      <w:r w:rsidR="002610F9" w:rsidRPr="002610F9">
        <w:rPr>
          <w:color w:val="000000"/>
          <w:w w:val="66"/>
          <w:shd w:val="solid" w:color="000000" w:fill="000000"/>
          <w:fitText w:val="440" w:id="-1217620215"/>
          <w14:textFill>
            <w14:solidFill>
              <w14:srgbClr w14:val="000000">
                <w14:alpha w14:val="100000"/>
              </w14:srgbClr>
            </w14:solidFill>
          </w14:textFill>
        </w:rPr>
        <w:t>|||||</w:t>
      </w:r>
      <w:r w:rsidR="002610F9" w:rsidRPr="002610F9">
        <w:rPr>
          <w:color w:val="000000"/>
          <w:spacing w:val="4"/>
          <w:w w:val="66"/>
          <w:shd w:val="solid" w:color="000000" w:fill="000000"/>
          <w:fitText w:val="440" w:id="-1217620215"/>
          <w14:textFill>
            <w14:solidFill>
              <w14:srgbClr w14:val="000000">
                <w14:alpha w14:val="100000"/>
              </w14:srgbClr>
            </w14:solidFill>
          </w14:textFill>
        </w:rPr>
        <w:t>|</w:t>
      </w:r>
      <w:r w:rsidR="00350276" w:rsidRPr="003E1FC4">
        <w:t xml:space="preserve"> increase in demand</w:t>
      </w:r>
      <w:r w:rsidR="00FA60C3" w:rsidRPr="003E1FC4">
        <w:t xml:space="preserve"> </w:t>
      </w:r>
      <w:r w:rsidR="007E3561" w:rsidRPr="003E1FC4">
        <w:t xml:space="preserve">in Year 1 (2023) </w:t>
      </w:r>
      <w:r w:rsidR="00FA60C3" w:rsidRPr="003E1FC4">
        <w:t xml:space="preserve">may not be possible given current </w:t>
      </w:r>
      <w:r w:rsidR="00587E61" w:rsidRPr="003E1FC4">
        <w:t>positioning. The ADAR did</w:t>
      </w:r>
      <w:r w:rsidR="00AD6988" w:rsidRPr="003E1FC4">
        <w:t xml:space="preserve"> not discuss</w:t>
      </w:r>
      <w:r w:rsidR="00587E61" w:rsidRPr="003E1FC4">
        <w:t xml:space="preserve"> </w:t>
      </w:r>
      <w:r w:rsidR="00B8458C" w:rsidRPr="003E1FC4">
        <w:t>the current capabilities of existing treatment facilities to meet demand, nor any plans for scale-up of other facilities.</w:t>
      </w:r>
    </w:p>
    <w:p w14:paraId="2578806F" w14:textId="48D6E361" w:rsidR="00EE4615" w:rsidRPr="003E1FC4" w:rsidRDefault="00AD6988" w:rsidP="00246C59">
      <w:pPr>
        <w:pStyle w:val="a-TEXT"/>
      </w:pPr>
      <w:r w:rsidRPr="003E1FC4">
        <w:t xml:space="preserve">In addition to infrastructure requirements, the applicant stated that </w:t>
      </w:r>
      <w:r w:rsidR="00226D5B">
        <w:t>AXI</w:t>
      </w:r>
      <w:r w:rsidRPr="003E1FC4">
        <w:t xml:space="preserve"> is required to be </w:t>
      </w:r>
      <w:r w:rsidR="006C4989" w:rsidRPr="003E1FC4">
        <w:t xml:space="preserve">prescribed </w:t>
      </w:r>
      <w:r w:rsidRPr="003E1FC4">
        <w:t xml:space="preserve">by </w:t>
      </w:r>
      <w:r w:rsidR="00F2390B" w:rsidRPr="003E1FC4">
        <w:t>physicians who are “experienced in the treatment of patients with haematological malignancies”</w:t>
      </w:r>
      <w:r w:rsidR="006C4989" w:rsidRPr="003E1FC4">
        <w:t xml:space="preserve">, and administration must be </w:t>
      </w:r>
      <w:r w:rsidR="000566DC" w:rsidRPr="003E1FC4">
        <w:t xml:space="preserve">supervised by a haematologist or haematologist-oncologist. With the specialist nature of administration of CAR-T cell therapies, </w:t>
      </w:r>
      <w:r w:rsidR="00EE4615" w:rsidRPr="003E1FC4">
        <w:t>training and workforce requirements need to be carefully considered. This is especially important given the applicant’s assertion that clinician experience will have important impacts on reducing AEs.</w:t>
      </w:r>
    </w:p>
    <w:p w14:paraId="78EAAB60" w14:textId="77777777" w:rsidR="00AD6209" w:rsidRPr="00AD6209" w:rsidRDefault="00AD6209" w:rsidP="00B62D2C">
      <w:pPr>
        <w:pStyle w:val="a-subHeading"/>
      </w:pPr>
      <w:r w:rsidRPr="00B62D2C">
        <w:t>Clinical</w:t>
      </w:r>
      <w:r w:rsidRPr="00AD6209">
        <w:t xml:space="preserve"> management and eligibility</w:t>
      </w:r>
    </w:p>
    <w:p w14:paraId="5DBD8D04" w14:textId="77777777" w:rsidR="00AD6209" w:rsidRDefault="00AD6209" w:rsidP="00246C59">
      <w:pPr>
        <w:pStyle w:val="a-TEXT"/>
      </w:pPr>
      <w:r>
        <w:t xml:space="preserve">The proposed clinical management framework is currently underdeveloped. The assessment team believes the management </w:t>
      </w:r>
      <w:r w:rsidRPr="00A33910">
        <w:t>algorithm</w:t>
      </w:r>
      <w:r>
        <w:t xml:space="preserve"> will be more complex than is presented in this ADAR. As an example, </w:t>
      </w:r>
      <w:r w:rsidRPr="00203DA9">
        <w:t>Figure 1-4 show</w:t>
      </w:r>
      <w:r>
        <w:t>ed</w:t>
      </w:r>
      <w:r w:rsidRPr="00203DA9">
        <w:t xml:space="preserve"> patients who are refractory or relapsed after 1L treatment will then either undergo CAR T-cell therapy OR salvage chemotherapy (and follow the existing clinical management pathway). The figure is not completely accurate</w:t>
      </w:r>
      <w:r>
        <w:t>,</w:t>
      </w:r>
      <w:r w:rsidRPr="00203DA9">
        <w:t xml:space="preserve"> as the aim is for CAR T-cell therapy to replace salvage chemotherapy; therefore, salvage chemotherapy would not be an option in </w:t>
      </w:r>
      <w:r>
        <w:t xml:space="preserve">the </w:t>
      </w:r>
      <w:r w:rsidRPr="00203DA9">
        <w:t>2L</w:t>
      </w:r>
      <w:r>
        <w:t xml:space="preserve"> setting</w:t>
      </w:r>
      <w:r w:rsidRPr="00203DA9">
        <w:t xml:space="preserve">. While this is impractical </w:t>
      </w:r>
      <w:r>
        <w:t>given</w:t>
      </w:r>
      <w:r w:rsidRPr="00203DA9">
        <w:t xml:space="preserve"> current</w:t>
      </w:r>
      <w:r>
        <w:t xml:space="preserve"> service</w:t>
      </w:r>
      <w:r w:rsidRPr="00203DA9">
        <w:t xml:space="preserve"> limitations</w:t>
      </w:r>
      <w:r>
        <w:t xml:space="preserve"> and</w:t>
      </w:r>
      <w:r w:rsidRPr="00203DA9">
        <w:t xml:space="preserve"> capacity issues</w:t>
      </w:r>
      <w:r>
        <w:t>,</w:t>
      </w:r>
      <w:r w:rsidRPr="00203DA9">
        <w:t xml:space="preserve"> it would be a more accurate representation </w:t>
      </w:r>
      <w:r>
        <w:t>of intended practice for this</w:t>
      </w:r>
      <w:r w:rsidRPr="00203DA9">
        <w:t xml:space="preserve"> submission.</w:t>
      </w:r>
    </w:p>
    <w:p w14:paraId="4BD7B821" w14:textId="4727DB75" w:rsidR="00AD6209" w:rsidRDefault="00AD6209" w:rsidP="00246C59">
      <w:pPr>
        <w:pStyle w:val="a-TEXT"/>
      </w:pPr>
      <w:r>
        <w:t xml:space="preserve">Appropriate decision criteria for the clinical management pathway </w:t>
      </w:r>
      <w:proofErr w:type="gramStart"/>
      <w:r>
        <w:t>is</w:t>
      </w:r>
      <w:proofErr w:type="gramEnd"/>
      <w:r>
        <w:t xml:space="preserve"> also required. This was not presented by the applicant in the ADAR, but the assessment team suggests eligibility criteria for admission for </w:t>
      </w:r>
      <w:r w:rsidR="00226D5B">
        <w:t>AXI</w:t>
      </w:r>
      <w:r w:rsidRPr="009E45F1">
        <w:t xml:space="preserve"> </w:t>
      </w:r>
      <w:r>
        <w:t>in 2L (suggested criteria provided in Table C1).</w:t>
      </w:r>
    </w:p>
    <w:p w14:paraId="2DBFB67C" w14:textId="47740454" w:rsidR="003E1FC4" w:rsidRDefault="003E1FC4" w:rsidP="00246C59">
      <w:pPr>
        <w:pStyle w:val="a-TEXT"/>
      </w:pPr>
      <w:r w:rsidRPr="007A2733">
        <w:t>The applicant did not indicate how long the manufacturing process for CAR-T cell therapies takes. Given clinical treatment decisions for 2L and 3L treatment may be time-dependent, this is an important consideration. In addition, the increase in demand may have impacts on</w:t>
      </w:r>
      <w:r w:rsidR="007A2733" w:rsidRPr="007A2733">
        <w:t xml:space="preserve"> </w:t>
      </w:r>
      <w:r w:rsidRPr="007A2733">
        <w:t>manufacturing time and order backlog which need to be considered.</w:t>
      </w:r>
    </w:p>
    <w:p w14:paraId="2527D5AF" w14:textId="06D37B9D" w:rsidR="00E20E63" w:rsidRPr="00E20E63" w:rsidRDefault="00975B5D" w:rsidP="00246C59">
      <w:pPr>
        <w:pStyle w:val="a-TEXT"/>
      </w:pPr>
      <w:r>
        <w:t xml:space="preserve">The </w:t>
      </w:r>
      <w:r w:rsidR="0082658F" w:rsidRPr="0082658F">
        <w:t xml:space="preserve">patient eligibility for subsidy for </w:t>
      </w:r>
      <w:r w:rsidR="0082658F">
        <w:t>AXI</w:t>
      </w:r>
      <w:r w:rsidR="0082658F" w:rsidRPr="0082658F">
        <w:t xml:space="preserve"> should be aligned with the Therapeutic Goods Administration (TGA) </w:t>
      </w:r>
      <w:r w:rsidR="0082658F">
        <w:t xml:space="preserve">and the ZUMA-7 trial. The </w:t>
      </w:r>
      <w:r w:rsidR="00B65B14">
        <w:t xml:space="preserve">TGA </w:t>
      </w:r>
      <w:r>
        <w:t xml:space="preserve">eligibility </w:t>
      </w:r>
      <w:r w:rsidR="00976257">
        <w:t>is “</w:t>
      </w:r>
      <w:r w:rsidR="00161AA6">
        <w:t xml:space="preserve">YESCARTA is a genetically modified autologous </w:t>
      </w:r>
      <w:proofErr w:type="spellStart"/>
      <w:r w:rsidR="00161AA6">
        <w:t>immunocellular</w:t>
      </w:r>
      <w:proofErr w:type="spellEnd"/>
      <w:r w:rsidR="00161AA6">
        <w:t xml:space="preserve"> therapy for the treatment of: Large B-cell Lymphoma Patients with relapsed or refractory large B-cell lymphoma (LBCL). YESCARTA is not indicated for the treatment of patients with primary central nervous system lymphoma</w:t>
      </w:r>
      <w:r w:rsidR="00976257">
        <w:t xml:space="preserve">” </w:t>
      </w:r>
      <w:r w:rsidR="005519A6">
        <w:t xml:space="preserve">whereas the ZUMA </w:t>
      </w:r>
      <w:r w:rsidR="00432035">
        <w:t xml:space="preserve">7 </w:t>
      </w:r>
      <w:r w:rsidR="005519A6">
        <w:t xml:space="preserve">trial patients had to </w:t>
      </w:r>
      <w:r w:rsidR="00432035">
        <w:t xml:space="preserve">be </w:t>
      </w:r>
      <w:r w:rsidR="00432035" w:rsidRPr="009C2AA4">
        <w:t>adult</w:t>
      </w:r>
      <w:r w:rsidR="009C2AA4" w:rsidRPr="009C2AA4">
        <w:t xml:space="preserve"> subjects with LBCL (based on the WHO 2016 lymphoma categorisation) who were refractory to or relapsed no more than 12 months after completion of 1L treatment with a chemoimmunotherapy </w:t>
      </w:r>
      <w:r w:rsidR="00887CC9" w:rsidRPr="00887CC9">
        <w:t>including a CD20 monoclonal antibody and an anthracycline-containing regimen</w:t>
      </w:r>
      <w:r w:rsidR="00A82290">
        <w:t>.</w:t>
      </w:r>
    </w:p>
    <w:p w14:paraId="3D8C2901" w14:textId="7C872400" w:rsidR="001F795E" w:rsidRPr="00EF2A20" w:rsidRDefault="00855633" w:rsidP="00B62D2C">
      <w:pPr>
        <w:pStyle w:val="Heading3"/>
      </w:pPr>
      <w:r w:rsidRPr="00EF2A20">
        <w:lastRenderedPageBreak/>
        <w:t>Access and equity</w:t>
      </w:r>
    </w:p>
    <w:p w14:paraId="0FDD825A" w14:textId="198E2F22" w:rsidR="009E45F1" w:rsidRPr="00D05E1F" w:rsidRDefault="009E45F1" w:rsidP="00A33910">
      <w:pPr>
        <w:pStyle w:val="a-COMMENT"/>
        <w:rPr>
          <w:i w:val="0"/>
          <w:iCs/>
        </w:rPr>
      </w:pPr>
      <w:r w:rsidRPr="00D05E1F">
        <w:rPr>
          <w:i w:val="0"/>
          <w:iCs/>
        </w:rPr>
        <w:t xml:space="preserve">Given that </w:t>
      </w:r>
      <w:r w:rsidR="00226D5B" w:rsidRPr="00D05E1F">
        <w:rPr>
          <w:i w:val="0"/>
          <w:iCs/>
        </w:rPr>
        <w:t>AXI</w:t>
      </w:r>
      <w:r w:rsidRPr="00D05E1F">
        <w:rPr>
          <w:i w:val="0"/>
          <w:iCs/>
        </w:rPr>
        <w:t xml:space="preserve"> can only be administered in a handful of specialised facilities (5 centres in Australia) in certain metro areas (4 capital cities), there are concerns around accessibility and equity for all eligible populations, especially with the initial demand surge. MSAC 1587 PSD (</w:t>
      </w:r>
      <w:r w:rsidR="00226D5B" w:rsidRPr="00D05E1F">
        <w:rPr>
          <w:i w:val="0"/>
          <w:iCs/>
        </w:rPr>
        <w:t>AXI</w:t>
      </w:r>
      <w:r w:rsidRPr="00D05E1F">
        <w:rPr>
          <w:i w:val="0"/>
          <w:iCs/>
        </w:rPr>
        <w:t xml:space="preserve"> in the 3L setting) advised the minister to limit the number of designated treatment centres to balance the need to provide access to patients from all parts of Australia, whilst also ensuring availability of sufficient expertise and efficient use of hospital resources. This is an important consideration but needs to be balanced with the significant demand requirements if </w:t>
      </w:r>
      <w:r w:rsidR="00226D5B" w:rsidRPr="00D05E1F">
        <w:rPr>
          <w:i w:val="0"/>
          <w:iCs/>
        </w:rPr>
        <w:t>AXI</w:t>
      </w:r>
      <w:r w:rsidRPr="00D05E1F">
        <w:rPr>
          <w:i w:val="0"/>
          <w:iCs/>
        </w:rPr>
        <w:t xml:space="preserve"> is funded in the 2L setting.</w:t>
      </w:r>
    </w:p>
    <w:p w14:paraId="3FDE6EAB" w14:textId="77777777" w:rsidR="001F795E" w:rsidRPr="00D05E1F" w:rsidRDefault="00F82A0A" w:rsidP="00BA43FA">
      <w:pPr>
        <w:pStyle w:val="a-COMMENT"/>
        <w:rPr>
          <w:i w:val="0"/>
          <w:iCs/>
        </w:rPr>
      </w:pPr>
      <w:r w:rsidRPr="00D05E1F">
        <w:rPr>
          <w:i w:val="0"/>
          <w:iCs/>
        </w:rPr>
        <w:t>The ADAR mentions that patients</w:t>
      </w:r>
      <w:r w:rsidR="002D53DA" w:rsidRPr="00D05E1F">
        <w:rPr>
          <w:i w:val="0"/>
          <w:iCs/>
        </w:rPr>
        <w:t xml:space="preserve"> are required to remain no more than 2 hours from the treatment centre for 4 weeks following infusion</w:t>
      </w:r>
      <w:r w:rsidRPr="00D05E1F">
        <w:rPr>
          <w:i w:val="0"/>
          <w:iCs/>
        </w:rPr>
        <w:t xml:space="preserve"> (after the initial </w:t>
      </w:r>
      <w:r w:rsidR="00422A71" w:rsidRPr="00D05E1F">
        <w:rPr>
          <w:i w:val="0"/>
          <w:iCs/>
        </w:rPr>
        <w:t>7-day</w:t>
      </w:r>
      <w:r w:rsidRPr="00D05E1F">
        <w:rPr>
          <w:i w:val="0"/>
          <w:iCs/>
        </w:rPr>
        <w:t xml:space="preserve"> hospitalisation)</w:t>
      </w:r>
      <w:r w:rsidR="002D53DA" w:rsidRPr="00D05E1F">
        <w:rPr>
          <w:i w:val="0"/>
          <w:iCs/>
        </w:rPr>
        <w:t>. There are potentially substantial out of pocket costs associated with this for those who do not have such accommodation or additional income available to meet these post-treatment requirements</w:t>
      </w:r>
      <w:r w:rsidRPr="00D05E1F">
        <w:rPr>
          <w:i w:val="0"/>
          <w:iCs/>
        </w:rPr>
        <w:t>, but this was not discussed.</w:t>
      </w:r>
    </w:p>
    <w:p w14:paraId="5C30D77A" w14:textId="4EC98B18" w:rsidR="00C4197A" w:rsidRPr="00D05E1F" w:rsidRDefault="00310C9C" w:rsidP="00BA43FA">
      <w:pPr>
        <w:pStyle w:val="a-COMMENT"/>
        <w:rPr>
          <w:i w:val="0"/>
          <w:iCs/>
        </w:rPr>
      </w:pPr>
      <w:r w:rsidRPr="00D05E1F">
        <w:rPr>
          <w:i w:val="0"/>
          <w:iCs/>
        </w:rPr>
        <w:t>The proposed intervention should be implemented with a registry of participants and their outcomes, and would require an expert advisory panel, including consumer representation, to continue to oversee the appropriate use of AXI in 2L patients.</w:t>
      </w:r>
    </w:p>
    <w:p w14:paraId="7639DA53" w14:textId="6660B926" w:rsidR="00726F72" w:rsidRPr="00AD6209" w:rsidRDefault="00726F72" w:rsidP="00B62D2C">
      <w:pPr>
        <w:pStyle w:val="Heading3"/>
      </w:pPr>
      <w:r w:rsidRPr="00AD6209">
        <w:t>Price</w:t>
      </w:r>
    </w:p>
    <w:p w14:paraId="24798B94" w14:textId="7065329F" w:rsidR="00726F72" w:rsidRPr="00D05E1F" w:rsidRDefault="00726F72" w:rsidP="00A33910">
      <w:pPr>
        <w:pStyle w:val="a-COMMENT"/>
        <w:rPr>
          <w:i w:val="0"/>
          <w:iCs/>
        </w:rPr>
      </w:pPr>
      <w:r w:rsidRPr="00D05E1F">
        <w:rPr>
          <w:i w:val="0"/>
          <w:iCs/>
        </w:rPr>
        <w:t xml:space="preserve">The MSAC 1587 PSD advised the Minister to consider rapidly putting in place risk mitigation for equity given the high price of CAR T-cell therapies. It was suggested to utilise the competition between different CAR-T cell therapies to achieve the most efficient price for this service. This should be considered, especially given the only current competitor in Australia for </w:t>
      </w:r>
      <w:r w:rsidR="00226D5B" w:rsidRPr="00D05E1F">
        <w:rPr>
          <w:i w:val="0"/>
          <w:iCs/>
        </w:rPr>
        <w:t>AXI</w:t>
      </w:r>
      <w:r w:rsidRPr="00D05E1F">
        <w:rPr>
          <w:i w:val="0"/>
          <w:iCs/>
        </w:rPr>
        <w:t xml:space="preserve"> (tisagenlecleucel) is not funded in the 2L setting and so </w:t>
      </w:r>
      <w:r w:rsidR="00226D5B" w:rsidRPr="00D05E1F">
        <w:rPr>
          <w:i w:val="0"/>
          <w:iCs/>
        </w:rPr>
        <w:t>AXI</w:t>
      </w:r>
      <w:r w:rsidRPr="00D05E1F">
        <w:rPr>
          <w:i w:val="0"/>
          <w:iCs/>
        </w:rPr>
        <w:t xml:space="preserve"> would have </w:t>
      </w:r>
      <w:r w:rsidR="008E3EFD" w:rsidRPr="00D05E1F">
        <w:rPr>
          <w:i w:val="0"/>
          <w:iCs/>
        </w:rPr>
        <w:t>sole place in the market at this line of treatment.</w:t>
      </w:r>
    </w:p>
    <w:p w14:paraId="01B2A9FA" w14:textId="64BA27CD" w:rsidR="00772829" w:rsidRPr="00D05E1F" w:rsidRDefault="00F7757B" w:rsidP="00C233D6">
      <w:pPr>
        <w:pStyle w:val="a-COMMENT"/>
        <w:rPr>
          <w:i w:val="0"/>
          <w:iCs/>
        </w:rPr>
      </w:pPr>
      <w:r w:rsidRPr="00D05E1F">
        <w:rPr>
          <w:i w:val="0"/>
          <w:iCs/>
        </w:rPr>
        <w:t xml:space="preserve">In addition, no pay for performance or risk share </w:t>
      </w:r>
      <w:r w:rsidR="004612BC" w:rsidRPr="00D05E1F">
        <w:rPr>
          <w:i w:val="0"/>
          <w:iCs/>
        </w:rPr>
        <w:t xml:space="preserve">proposals were </w:t>
      </w:r>
      <w:r w:rsidRPr="00D05E1F">
        <w:rPr>
          <w:i w:val="0"/>
          <w:iCs/>
        </w:rPr>
        <w:t xml:space="preserve">included in </w:t>
      </w:r>
      <w:r w:rsidR="004612BC" w:rsidRPr="00D05E1F">
        <w:rPr>
          <w:i w:val="0"/>
          <w:iCs/>
        </w:rPr>
        <w:t xml:space="preserve">the </w:t>
      </w:r>
      <w:r w:rsidRPr="00D05E1F">
        <w:rPr>
          <w:i w:val="0"/>
          <w:iCs/>
        </w:rPr>
        <w:t>application.</w:t>
      </w:r>
    </w:p>
    <w:p w14:paraId="0B524B5B" w14:textId="73D08BF5" w:rsidR="005C726D" w:rsidRPr="005C726D" w:rsidRDefault="00C233D6" w:rsidP="00C233D6">
      <w:pPr>
        <w:pStyle w:val="Heading2"/>
        <w:numPr>
          <w:ilvl w:val="0"/>
          <w:numId w:val="0"/>
        </w:numPr>
      </w:pPr>
      <w:r>
        <w:t>16.</w:t>
      </w:r>
      <w:r>
        <w:tab/>
        <w:t>Key issues from ESC to MSAC</w:t>
      </w:r>
    </w:p>
    <w:tbl>
      <w:tblPr>
        <w:tblStyle w:val="TableGrid"/>
        <w:tblW w:w="0" w:type="auto"/>
        <w:tblLook w:val="04A0" w:firstRow="1" w:lastRow="0" w:firstColumn="1" w:lastColumn="0" w:noHBand="0" w:noVBand="1"/>
      </w:tblPr>
      <w:tblGrid>
        <w:gridCol w:w="9016"/>
      </w:tblGrid>
      <w:tr w:rsidR="00C233D6" w:rsidRPr="0070319A" w14:paraId="024AD6B6" w14:textId="77777777" w:rsidTr="00F51C7B">
        <w:tc>
          <w:tcPr>
            <w:tcW w:w="9016" w:type="dxa"/>
          </w:tcPr>
          <w:p w14:paraId="12CA037C" w14:textId="77777777" w:rsidR="00C233D6" w:rsidRPr="0027398A" w:rsidRDefault="00C233D6" w:rsidP="00F51C7B">
            <w:pPr>
              <w:spacing w:before="240" w:after="240"/>
              <w:rPr>
                <w:rFonts w:ascii="Franklin Gothic Book" w:hAnsi="Franklin Gothic Book"/>
                <w:b/>
                <w:bCs/>
              </w:rPr>
            </w:pPr>
            <w:r w:rsidRPr="0027398A">
              <w:rPr>
                <w:rFonts w:ascii="Franklin Gothic Book" w:hAnsi="Franklin Gothic Book"/>
                <w:b/>
                <w:bCs/>
              </w:rPr>
              <w:t xml:space="preserve">Main issues for MSAC consideration </w:t>
            </w:r>
          </w:p>
          <w:p w14:paraId="6AF458B4" w14:textId="77777777" w:rsidR="00C233D6" w:rsidRPr="0027398A" w:rsidRDefault="00C233D6" w:rsidP="00F51C7B">
            <w:pPr>
              <w:rPr>
                <w:rFonts w:ascii="Franklin Gothic Book" w:hAnsi="Franklin Gothic Book"/>
                <w:b/>
              </w:rPr>
            </w:pPr>
            <w:r w:rsidRPr="0027398A">
              <w:rPr>
                <w:rFonts w:ascii="Franklin Gothic Book" w:hAnsi="Franklin Gothic Book"/>
                <w:b/>
              </w:rPr>
              <w:t>Clinical issues:</w:t>
            </w:r>
          </w:p>
          <w:p w14:paraId="3AFBD51F" w14:textId="77777777" w:rsidR="00C233D6" w:rsidRDefault="00C233D6" w:rsidP="00F51C7B">
            <w:pPr>
              <w:pStyle w:val="BoxBullet"/>
              <w:pBdr>
                <w:top w:val="none" w:sz="0" w:space="0" w:color="auto"/>
                <w:bottom w:val="none" w:sz="0" w:space="0" w:color="auto"/>
              </w:pBdr>
              <w:rPr>
                <w:b/>
                <w:bCs/>
              </w:rPr>
            </w:pPr>
            <w:r>
              <w:t xml:space="preserve">Clinical effectiveness is less clear than as presented in the ZUMA-7 trial data </w:t>
            </w:r>
            <w:r w:rsidRPr="00953FDA">
              <w:rPr>
                <w:rFonts w:eastAsia="Calibri"/>
                <w:color w:val="auto"/>
              </w:rPr>
              <w:t>–</w:t>
            </w:r>
            <w:r>
              <w:rPr>
                <w:color w:val="auto"/>
              </w:rPr>
              <w:t xml:space="preserve"> </w:t>
            </w:r>
            <w:r>
              <w:t>Flexible timing on survival endpoints is likely to favour AXI. Thus, there is high uncertainty related to the observed incremental magnitude of effect of AXI, due to the unblinded trial (</w:t>
            </w:r>
            <w:proofErr w:type="gramStart"/>
            <w:r>
              <w:t>in particular EFS</w:t>
            </w:r>
            <w:proofErr w:type="gramEnd"/>
            <w:r>
              <w:t xml:space="preserve"> and PFS) and the extent of treatment switching in the trial (which broke randomisation)</w:t>
            </w:r>
          </w:p>
          <w:p w14:paraId="6A2BD71B" w14:textId="77777777" w:rsidR="00C233D6" w:rsidRDefault="00C233D6" w:rsidP="00F51C7B">
            <w:pPr>
              <w:pStyle w:val="BoxBullet"/>
              <w:pBdr>
                <w:top w:val="none" w:sz="0" w:space="0" w:color="auto"/>
                <w:bottom w:val="none" w:sz="0" w:space="0" w:color="auto"/>
              </w:pBdr>
              <w:rPr>
                <w:b/>
                <w:bCs/>
              </w:rPr>
            </w:pPr>
            <w:r>
              <w:t xml:space="preserve">Long term incremental benefit of AXI is highly uncertain </w:t>
            </w:r>
            <w:r w:rsidRPr="00953FDA">
              <w:rPr>
                <w:rFonts w:eastAsia="Calibri"/>
                <w:color w:val="auto"/>
              </w:rPr>
              <w:t>–</w:t>
            </w:r>
            <w:r>
              <w:t>There are no survival data beyond 2 years where the hazard curves are observed to approximate and there are comparable death rates in both arms. D</w:t>
            </w:r>
            <w:r w:rsidRPr="0027306F">
              <w:t xml:space="preserve">ata presented in the ADAR </w:t>
            </w:r>
            <w:r>
              <w:t>a</w:t>
            </w:r>
            <w:r w:rsidRPr="0027306F">
              <w:t>re now two years old and an updated analysis of overall survival</w:t>
            </w:r>
            <w:r>
              <w:t xml:space="preserve"> (OS) </w:t>
            </w:r>
            <w:r w:rsidRPr="0027306F">
              <w:t>according to the treatments received would be informative</w:t>
            </w:r>
            <w:r>
              <w:t xml:space="preserve">, including to inform or validate the modelled </w:t>
            </w:r>
            <w:proofErr w:type="gramStart"/>
            <w:r>
              <w:t>OS</w:t>
            </w:r>
            <w:proofErr w:type="gramEnd"/>
          </w:p>
          <w:p w14:paraId="2EE826A3" w14:textId="77777777" w:rsidR="00C233D6" w:rsidRDefault="00C233D6" w:rsidP="00F51C7B">
            <w:pPr>
              <w:pStyle w:val="BoxBullet"/>
              <w:pBdr>
                <w:top w:val="none" w:sz="0" w:space="0" w:color="auto"/>
                <w:bottom w:val="none" w:sz="0" w:space="0" w:color="auto"/>
              </w:pBdr>
            </w:pPr>
            <w:r>
              <w:t xml:space="preserve">EFS as the primary endpoint in the ZUMA-7 trial </w:t>
            </w:r>
            <w:r w:rsidRPr="00953FDA">
              <w:rPr>
                <w:rFonts w:eastAsia="Calibri"/>
                <w:color w:val="auto"/>
              </w:rPr>
              <w:t>–</w:t>
            </w:r>
            <w:r>
              <w:rPr>
                <w:rFonts w:eastAsia="Calibri"/>
                <w:color w:val="auto"/>
              </w:rPr>
              <w:t xml:space="preserve"> The observed difference in EFS is </w:t>
            </w:r>
            <w:r w:rsidRPr="00234F40">
              <w:rPr>
                <w:rFonts w:eastAsia="Calibri"/>
                <w:color w:val="auto"/>
              </w:rPr>
              <w:t xml:space="preserve">primarily driven by the time to ‘new lymphoma therapy’ and this </w:t>
            </w:r>
            <w:r>
              <w:rPr>
                <w:rFonts w:eastAsia="Calibri"/>
                <w:color w:val="auto"/>
              </w:rPr>
              <w:t>endpoint</w:t>
            </w:r>
            <w:r w:rsidRPr="00234F40">
              <w:rPr>
                <w:rFonts w:eastAsia="Calibri"/>
                <w:color w:val="auto"/>
              </w:rPr>
              <w:t xml:space="preserve"> </w:t>
            </w:r>
            <w:r>
              <w:rPr>
                <w:rFonts w:eastAsia="Calibri"/>
                <w:color w:val="auto"/>
              </w:rPr>
              <w:t>i</w:t>
            </w:r>
            <w:r w:rsidRPr="00234F40">
              <w:rPr>
                <w:rFonts w:eastAsia="Calibri"/>
                <w:color w:val="auto"/>
              </w:rPr>
              <w:t xml:space="preserve">s likely to be heavily biased in favour of the AXI arm, due to the unblinded nature of the trial and </w:t>
            </w:r>
            <w:r>
              <w:rPr>
                <w:rFonts w:eastAsia="Calibri"/>
                <w:color w:val="auto"/>
              </w:rPr>
              <w:t>potential</w:t>
            </w:r>
            <w:r w:rsidRPr="00234F40">
              <w:rPr>
                <w:rFonts w:eastAsia="Calibri"/>
                <w:color w:val="auto"/>
              </w:rPr>
              <w:t xml:space="preserve"> performance and measurement bias.</w:t>
            </w:r>
            <w:r>
              <w:rPr>
                <w:rFonts w:eastAsia="Calibri"/>
                <w:color w:val="auto"/>
              </w:rPr>
              <w:t xml:space="preserve"> </w:t>
            </w:r>
            <w:r>
              <w:t>D</w:t>
            </w:r>
            <w:r w:rsidRPr="00C2126B">
              <w:t xml:space="preserve">isease progression (as measured by </w:t>
            </w:r>
            <w:r w:rsidRPr="00C2126B">
              <w:lastRenderedPageBreak/>
              <w:t>progression</w:t>
            </w:r>
            <w:r>
              <w:t>-</w:t>
            </w:r>
            <w:r w:rsidRPr="00C2126B">
              <w:t>free survival [PFS]) would likely be a more reliable endpoint</w:t>
            </w:r>
            <w:r>
              <w:t>, h</w:t>
            </w:r>
            <w:r w:rsidRPr="00C2126B">
              <w:t>owever, would likely still be biased due to the trial design</w:t>
            </w:r>
            <w:r>
              <w:t>.</w:t>
            </w:r>
          </w:p>
          <w:p w14:paraId="1B1F1069" w14:textId="77777777" w:rsidR="00C233D6" w:rsidRDefault="00C233D6" w:rsidP="00F51C7B">
            <w:pPr>
              <w:pStyle w:val="BoxBullet"/>
              <w:pBdr>
                <w:top w:val="none" w:sz="0" w:space="0" w:color="auto"/>
                <w:bottom w:val="none" w:sz="0" w:space="0" w:color="auto"/>
              </w:pBdr>
            </w:pPr>
            <w:r>
              <w:t xml:space="preserve">Comparative safety </w:t>
            </w:r>
            <w:r w:rsidRPr="00953FDA">
              <w:rPr>
                <w:rFonts w:eastAsia="Calibri"/>
                <w:color w:val="auto"/>
              </w:rPr>
              <w:t>–</w:t>
            </w:r>
            <w:r>
              <w:rPr>
                <w:rFonts w:eastAsia="Calibri"/>
                <w:color w:val="auto"/>
              </w:rPr>
              <w:t xml:space="preserve"> Safety is likely inferior and AEs unique to AXI including cytokine release and neurological AEs are not captured in the model. This favours AXI.</w:t>
            </w:r>
          </w:p>
          <w:p w14:paraId="11C553C7" w14:textId="77777777" w:rsidR="00C233D6" w:rsidRDefault="00C233D6" w:rsidP="00F51C7B">
            <w:pPr>
              <w:pStyle w:val="BoxBullet"/>
              <w:pBdr>
                <w:top w:val="none" w:sz="0" w:space="0" w:color="auto"/>
                <w:bottom w:val="none" w:sz="0" w:space="0" w:color="auto"/>
              </w:pBdr>
            </w:pPr>
            <w:r>
              <w:t>Comparator</w:t>
            </w:r>
            <w:r w:rsidRPr="00953FDA">
              <w:rPr>
                <w:rFonts w:eastAsia="Calibri"/>
                <w:color w:val="auto"/>
              </w:rPr>
              <w:t>–</w:t>
            </w:r>
            <w:r>
              <w:t xml:space="preserve"> The nominated comparator does not include reimbursed 3L CAR-T therapy (although it is included as a subsequent therapy in the algorithm), which could be replaced with the introduction of AXI in 2L. </w:t>
            </w:r>
            <w:r w:rsidRPr="00823BCF">
              <w:t>This suggests that the application has only compared AXI at the second line stage, in comparison to chemotherapy and stem cell transplant, rather than a real</w:t>
            </w:r>
            <w:r>
              <w:t>-</w:t>
            </w:r>
            <w:r w:rsidRPr="00823BCF">
              <w:t>world scenario where 3rd line CAR-T therapy may follow unsuccessful 2nd line treatment. This suggests the model has not captured the difference between AXI in the 2nd vs 3rd line setting</w:t>
            </w:r>
            <w:r>
              <w:t>.</w:t>
            </w:r>
            <w:r w:rsidRPr="00823BCF">
              <w:t xml:space="preserve"> </w:t>
            </w:r>
            <w:r>
              <w:t xml:space="preserve"> </w:t>
            </w:r>
          </w:p>
          <w:p w14:paraId="5A2BC5A5" w14:textId="77777777" w:rsidR="00C233D6" w:rsidRPr="0027398A" w:rsidRDefault="00C233D6" w:rsidP="00F51C7B">
            <w:pPr>
              <w:pStyle w:val="Instructionaltext-bullet"/>
              <w:numPr>
                <w:ilvl w:val="0"/>
                <w:numId w:val="0"/>
              </w:numPr>
              <w:rPr>
                <w:rFonts w:ascii="Franklin Gothic Book" w:hAnsi="Franklin Gothic Book"/>
                <w:b/>
                <w:color w:val="auto"/>
              </w:rPr>
            </w:pPr>
            <w:r w:rsidRPr="0027398A">
              <w:rPr>
                <w:rFonts w:ascii="Franklin Gothic Book" w:hAnsi="Franklin Gothic Book"/>
                <w:b/>
                <w:color w:val="auto"/>
              </w:rPr>
              <w:t>Economic issues:</w:t>
            </w:r>
          </w:p>
          <w:p w14:paraId="5C4A284D" w14:textId="77777777" w:rsidR="00C233D6" w:rsidRDefault="00C233D6" w:rsidP="00F51C7B">
            <w:pPr>
              <w:pStyle w:val="BoxBullet"/>
              <w:pBdr>
                <w:top w:val="none" w:sz="0" w:space="0" w:color="auto"/>
                <w:bottom w:val="none" w:sz="0" w:space="0" w:color="auto"/>
              </w:pBdr>
              <w:rPr>
                <w:bCs/>
              </w:rPr>
            </w:pPr>
            <w:r>
              <w:rPr>
                <w:bCs/>
              </w:rPr>
              <w:t xml:space="preserve">Model specification </w:t>
            </w:r>
            <w:r w:rsidRPr="00953FDA">
              <w:rPr>
                <w:rFonts w:eastAsia="Calibri"/>
                <w:color w:val="auto"/>
              </w:rPr>
              <w:t>–</w:t>
            </w:r>
            <w:r>
              <w:rPr>
                <w:bCs/>
              </w:rPr>
              <w:t xml:space="preserve"> The validity of the modelling approach results is queried, as a mixed cure fraction model is used to extrapolate OS based on too short trial follow-up, and use of EFS (rather than PFS). In addition, </w:t>
            </w:r>
            <w:r>
              <w:t>although the commentary’s respecified base-case is more appropriate than the ADAR’s base case, it should be regarded as exploratory due to these issues noted with the use of EFS and model structure.</w:t>
            </w:r>
          </w:p>
          <w:p w14:paraId="23F8F840" w14:textId="77777777" w:rsidR="00C233D6" w:rsidRPr="00C36F89" w:rsidRDefault="00C233D6" w:rsidP="00F51C7B">
            <w:pPr>
              <w:pStyle w:val="BoxBullet"/>
              <w:pBdr>
                <w:top w:val="none" w:sz="0" w:space="0" w:color="auto"/>
                <w:bottom w:val="none" w:sz="0" w:space="0" w:color="auto"/>
              </w:pBdr>
            </w:pPr>
            <w:r>
              <w:rPr>
                <w:bCs/>
              </w:rPr>
              <w:t xml:space="preserve">Additional concerns with model </w:t>
            </w:r>
            <w:r w:rsidRPr="00953FDA">
              <w:rPr>
                <w:rFonts w:eastAsia="Calibri"/>
                <w:color w:val="auto"/>
              </w:rPr>
              <w:t>–</w:t>
            </w:r>
            <w:r>
              <w:t>T</w:t>
            </w:r>
            <w:r>
              <w:rPr>
                <w:bCs/>
              </w:rPr>
              <w:t>he modelled frequency of use of 3L CAR-T in the SoC arm, the c</w:t>
            </w:r>
            <w:r w:rsidRPr="007E6863">
              <w:rPr>
                <w:bCs/>
              </w:rPr>
              <w:t>osts</w:t>
            </w:r>
            <w:r>
              <w:rPr>
                <w:bCs/>
              </w:rPr>
              <w:t xml:space="preserve"> and </w:t>
            </w:r>
            <w:proofErr w:type="spellStart"/>
            <w:r>
              <w:rPr>
                <w:bCs/>
              </w:rPr>
              <w:t>disutilities</w:t>
            </w:r>
            <w:proofErr w:type="spellEnd"/>
            <w:r w:rsidRPr="00CA1B2E">
              <w:rPr>
                <w:bCs/>
              </w:rPr>
              <w:t xml:space="preserve"> of adverse events</w:t>
            </w:r>
            <w:r>
              <w:rPr>
                <w:bCs/>
              </w:rPr>
              <w:t>, and intensive care unit stays and IVIG usage</w:t>
            </w:r>
            <w:r w:rsidRPr="00CA1B2E">
              <w:rPr>
                <w:bCs/>
              </w:rPr>
              <w:t xml:space="preserve"> have not been</w:t>
            </w:r>
            <w:r>
              <w:rPr>
                <w:bCs/>
              </w:rPr>
              <w:t xml:space="preserve"> adequately</w:t>
            </w:r>
            <w:r w:rsidRPr="00CA1B2E">
              <w:rPr>
                <w:bCs/>
              </w:rPr>
              <w:t xml:space="preserve"> incorporated into the model</w:t>
            </w:r>
            <w:r>
              <w:rPr>
                <w:bCs/>
              </w:rPr>
              <w:t>. This approach favours</w:t>
            </w:r>
            <w:r w:rsidRPr="007E6863">
              <w:rPr>
                <w:bCs/>
              </w:rPr>
              <w:t xml:space="preserve"> </w:t>
            </w:r>
            <w:r w:rsidRPr="00CA1B2E">
              <w:rPr>
                <w:bCs/>
              </w:rPr>
              <w:t>AXI.</w:t>
            </w:r>
          </w:p>
          <w:p w14:paraId="215886C5" w14:textId="77777777" w:rsidR="00C233D6" w:rsidRPr="0027398A" w:rsidRDefault="00C233D6" w:rsidP="00F51C7B">
            <w:pPr>
              <w:pStyle w:val="Instructionaltext-bullet"/>
              <w:numPr>
                <w:ilvl w:val="0"/>
                <w:numId w:val="0"/>
              </w:numPr>
              <w:rPr>
                <w:rFonts w:ascii="Franklin Gothic Book" w:hAnsi="Franklin Gothic Book"/>
                <w:b/>
                <w:color w:val="auto"/>
              </w:rPr>
            </w:pPr>
            <w:r w:rsidRPr="0027398A">
              <w:rPr>
                <w:rFonts w:ascii="Franklin Gothic Book" w:hAnsi="Franklin Gothic Book"/>
                <w:b/>
                <w:color w:val="auto"/>
              </w:rPr>
              <w:t>Financial issues:</w:t>
            </w:r>
          </w:p>
          <w:p w14:paraId="5C36ED09" w14:textId="77777777" w:rsidR="00C233D6" w:rsidRDefault="00C233D6" w:rsidP="00F51C7B">
            <w:pPr>
              <w:pStyle w:val="BoxBullet"/>
              <w:pBdr>
                <w:top w:val="none" w:sz="0" w:space="0" w:color="auto"/>
                <w:bottom w:val="none" w:sz="0" w:space="0" w:color="auto"/>
              </w:pBdr>
            </w:pPr>
            <w:r>
              <w:t xml:space="preserve">High and uncertain </w:t>
            </w:r>
            <w:r w:rsidRPr="00977505">
              <w:t>budget impact</w:t>
            </w:r>
            <w:r>
              <w:t xml:space="preserve"> </w:t>
            </w:r>
            <w:r w:rsidRPr="00953FDA">
              <w:rPr>
                <w:rFonts w:eastAsia="Calibri"/>
                <w:color w:val="auto"/>
              </w:rPr>
              <w:t>–</w:t>
            </w:r>
            <w:r>
              <w:t>D</w:t>
            </w:r>
            <w:r w:rsidRPr="00977505">
              <w:t>ue to the lack of clearly defined eligibility criteria for AXI and lack of clarity around costs of</w:t>
            </w:r>
            <w:r>
              <w:t xml:space="preserve"> </w:t>
            </w:r>
            <w:r w:rsidRPr="00977505">
              <w:t>administration and treatment of AE</w:t>
            </w:r>
            <w:r>
              <w:t xml:space="preserve">, and the extent of use of 3L CAR-T in Australian clinical practice, </w:t>
            </w:r>
            <w:r w:rsidRPr="00977505">
              <w:t>the actual budget impact could therefore be higher</w:t>
            </w:r>
            <w:r>
              <w:t xml:space="preserve"> (</w:t>
            </w:r>
            <w:proofErr w:type="gramStart"/>
            <w:r>
              <w:t>i.e.</w:t>
            </w:r>
            <w:proofErr w:type="gramEnd"/>
            <w:r>
              <w:t xml:space="preserve"> underestimated)</w:t>
            </w:r>
          </w:p>
          <w:p w14:paraId="42305852" w14:textId="77777777" w:rsidR="00C233D6" w:rsidRPr="0027398A" w:rsidRDefault="00C233D6" w:rsidP="00F51C7B">
            <w:pPr>
              <w:pStyle w:val="Instructionaltext-bullet"/>
              <w:numPr>
                <w:ilvl w:val="0"/>
                <w:numId w:val="0"/>
              </w:numPr>
              <w:rPr>
                <w:rFonts w:ascii="Franklin Gothic Book" w:hAnsi="Franklin Gothic Book"/>
                <w:b/>
                <w:color w:val="auto"/>
              </w:rPr>
            </w:pPr>
            <w:r w:rsidRPr="0027398A">
              <w:rPr>
                <w:rFonts w:ascii="Franklin Gothic Book" w:hAnsi="Franklin Gothic Book"/>
                <w:b/>
                <w:color w:val="auto"/>
              </w:rPr>
              <w:t>Other relevant information:</w:t>
            </w:r>
          </w:p>
          <w:p w14:paraId="53B92AC3" w14:textId="77777777" w:rsidR="00C233D6" w:rsidRDefault="00C233D6" w:rsidP="00F51C7B">
            <w:pPr>
              <w:pStyle w:val="BoxBullet"/>
              <w:pBdr>
                <w:top w:val="none" w:sz="0" w:space="0" w:color="auto"/>
                <w:bottom w:val="none" w:sz="0" w:space="0" w:color="auto"/>
              </w:pBdr>
            </w:pPr>
            <w:r>
              <w:t>S</w:t>
            </w:r>
            <w:r w:rsidRPr="00955054">
              <w:t xml:space="preserve">tate and </w:t>
            </w:r>
            <w:r>
              <w:t>T</w:t>
            </w:r>
            <w:r w:rsidRPr="00955054">
              <w:t xml:space="preserve">erritory government submissions are not supportive of the </w:t>
            </w:r>
            <w:proofErr w:type="gramStart"/>
            <w:r w:rsidRPr="00955054">
              <w:t>application</w:t>
            </w:r>
            <w:proofErr w:type="gramEnd"/>
          </w:p>
          <w:p w14:paraId="01AA670A" w14:textId="77777777" w:rsidR="00C233D6" w:rsidRDefault="00C233D6" w:rsidP="00F51C7B">
            <w:pPr>
              <w:pStyle w:val="BoxBullet"/>
              <w:pBdr>
                <w:top w:val="none" w:sz="0" w:space="0" w:color="auto"/>
                <w:bottom w:val="none" w:sz="0" w:space="0" w:color="auto"/>
              </w:pBdr>
            </w:pPr>
            <w:r>
              <w:t xml:space="preserve">No pay for </w:t>
            </w:r>
            <w:r>
              <w:rPr>
                <w:bCs/>
              </w:rPr>
              <w:t>performance</w:t>
            </w:r>
            <w:r>
              <w:t xml:space="preserve"> or risk share measures were proposed by the sponsor.</w:t>
            </w:r>
          </w:p>
          <w:p w14:paraId="013FA934" w14:textId="77777777" w:rsidR="00C233D6" w:rsidRPr="0070319A" w:rsidRDefault="00C233D6" w:rsidP="00F51C7B">
            <w:pPr>
              <w:pStyle w:val="BoxBullet"/>
              <w:pBdr>
                <w:top w:val="none" w:sz="0" w:space="0" w:color="auto"/>
                <w:bottom w:val="none" w:sz="0" w:space="0" w:color="auto"/>
              </w:pBdr>
            </w:pPr>
            <w:r>
              <w:t xml:space="preserve">Registry data should be made available to </w:t>
            </w:r>
            <w:proofErr w:type="gramStart"/>
            <w:r>
              <w:t>stakeholders,</w:t>
            </w:r>
            <w:proofErr w:type="gramEnd"/>
            <w:r>
              <w:t xml:space="preserve"> however this was not addressed.</w:t>
            </w:r>
          </w:p>
        </w:tc>
      </w:tr>
    </w:tbl>
    <w:p w14:paraId="14F9AD1C" w14:textId="4972C9BD" w:rsidR="00C233D6" w:rsidRDefault="00C233D6" w:rsidP="00FE0DA6">
      <w:pPr>
        <w:spacing w:before="240" w:after="240"/>
        <w:rPr>
          <w:rFonts w:ascii="Franklin Gothic Book" w:hAnsi="Franklin Gothic Book" w:cs="Arial"/>
          <w:b/>
          <w:bCs/>
          <w:iCs/>
          <w:color w:val="000000"/>
          <w:szCs w:val="28"/>
          <w:lang w:eastAsia="en-AU"/>
        </w:rPr>
      </w:pPr>
      <w:r>
        <w:rPr>
          <w:rFonts w:ascii="Franklin Gothic Book" w:hAnsi="Franklin Gothic Book" w:cs="Arial"/>
          <w:b/>
          <w:bCs/>
          <w:iCs/>
          <w:color w:val="000000"/>
          <w:szCs w:val="28"/>
          <w:lang w:eastAsia="en-AU"/>
        </w:rPr>
        <w:lastRenderedPageBreak/>
        <w:t>ESC discussion</w:t>
      </w:r>
    </w:p>
    <w:p w14:paraId="20BC2A25" w14:textId="0B7EDD6A" w:rsidR="00C233D6" w:rsidRPr="00C2126B" w:rsidRDefault="00C233D6" w:rsidP="00C233D6">
      <w:pPr>
        <w:spacing w:after="240"/>
        <w:rPr>
          <w:rFonts w:ascii="Franklin Gothic Book" w:hAnsi="Franklin Gothic Book"/>
          <w:color w:val="000000"/>
          <w:sz w:val="22"/>
          <w:szCs w:val="20"/>
          <w:lang w:eastAsia="en-AU"/>
        </w:rPr>
      </w:pPr>
      <w:r w:rsidRPr="00C2126B">
        <w:rPr>
          <w:rFonts w:ascii="Franklin Gothic Book" w:hAnsi="Franklin Gothic Book"/>
          <w:color w:val="000000"/>
          <w:sz w:val="22"/>
          <w:szCs w:val="20"/>
          <w:lang w:eastAsia="en-AU"/>
        </w:rPr>
        <w:t xml:space="preserve">ESC noted that this application is from Gilead Sciences Pty Limited for the chimeric antigen receptor-T (CAR-T) cell therapy, axicabtagene ciloleucel (YESCARTA®), referred to as AXI, for the treatment of relapsed or refractory (r/r) large B-cell lymphoma (LBCL) in the </w:t>
      </w:r>
      <w:proofErr w:type="gramStart"/>
      <w:r w:rsidRPr="00C2126B">
        <w:rPr>
          <w:rFonts w:ascii="Franklin Gothic Book" w:hAnsi="Franklin Gothic Book"/>
          <w:color w:val="000000"/>
          <w:sz w:val="22"/>
          <w:szCs w:val="20"/>
          <w:lang w:eastAsia="en-AU"/>
        </w:rPr>
        <w:t>second-line</w:t>
      </w:r>
      <w:proofErr w:type="gramEnd"/>
      <w:r w:rsidRPr="00C2126B">
        <w:rPr>
          <w:rFonts w:ascii="Franklin Gothic Book" w:hAnsi="Franklin Gothic Book"/>
          <w:color w:val="000000"/>
          <w:sz w:val="22"/>
          <w:szCs w:val="20"/>
          <w:lang w:eastAsia="en-AU"/>
        </w:rPr>
        <w:t xml:space="preserve"> (2L) setting. The application seeks joint funding by the Commonwealth and </w:t>
      </w:r>
      <w:r>
        <w:rPr>
          <w:rFonts w:ascii="Franklin Gothic Book" w:hAnsi="Franklin Gothic Book"/>
          <w:color w:val="000000"/>
          <w:sz w:val="22"/>
          <w:szCs w:val="20"/>
          <w:lang w:eastAsia="en-AU"/>
        </w:rPr>
        <w:t>S</w:t>
      </w:r>
      <w:r w:rsidRPr="00C2126B">
        <w:rPr>
          <w:rFonts w:ascii="Franklin Gothic Book" w:hAnsi="Franklin Gothic Book"/>
          <w:color w:val="000000"/>
          <w:sz w:val="22"/>
          <w:szCs w:val="20"/>
          <w:lang w:eastAsia="en-AU"/>
        </w:rPr>
        <w:t xml:space="preserve">tates and </w:t>
      </w:r>
      <w:r>
        <w:rPr>
          <w:rFonts w:ascii="Franklin Gothic Book" w:hAnsi="Franklin Gothic Book"/>
          <w:color w:val="000000"/>
          <w:sz w:val="22"/>
          <w:szCs w:val="20"/>
          <w:lang w:eastAsia="en-AU"/>
        </w:rPr>
        <w:t>T3</w:t>
      </w:r>
      <w:r w:rsidRPr="00C2126B">
        <w:rPr>
          <w:rFonts w:ascii="Franklin Gothic Book" w:hAnsi="Franklin Gothic Book"/>
          <w:color w:val="000000"/>
          <w:sz w:val="22"/>
          <w:szCs w:val="20"/>
          <w:lang w:eastAsia="en-AU"/>
        </w:rPr>
        <w:t>erritories through the High Cost, Highly Specialised Therapy arrangements included in the National Health Reform Agreement (NHRA) Addendum 2020-25.</w:t>
      </w:r>
    </w:p>
    <w:p w14:paraId="6DA994FF" w14:textId="1D00EC40" w:rsidR="00C233D6" w:rsidRPr="00C2126B" w:rsidRDefault="00C233D6" w:rsidP="00C233D6">
      <w:pPr>
        <w:spacing w:after="240"/>
        <w:rPr>
          <w:rFonts w:ascii="Franklin Gothic Book" w:hAnsi="Franklin Gothic Book"/>
          <w:color w:val="000000"/>
          <w:sz w:val="22"/>
          <w:szCs w:val="20"/>
          <w:lang w:eastAsia="en-AU"/>
        </w:rPr>
      </w:pPr>
      <w:r w:rsidRPr="00C2126B">
        <w:rPr>
          <w:rFonts w:ascii="Franklin Gothic Book" w:hAnsi="Franklin Gothic Book"/>
          <w:color w:val="000000"/>
          <w:sz w:val="22"/>
          <w:szCs w:val="20"/>
          <w:lang w:eastAsia="en-AU"/>
        </w:rPr>
        <w:t xml:space="preserve">AXI has recently been approved for usage in this 2L setting by the Therapeutic Goods Administration (TGA). ESC noted that AXI is also currently funded in the </w:t>
      </w:r>
      <w:proofErr w:type="gramStart"/>
      <w:r w:rsidRPr="00C2126B">
        <w:rPr>
          <w:rFonts w:ascii="Franklin Gothic Book" w:hAnsi="Franklin Gothic Book"/>
          <w:color w:val="000000"/>
          <w:sz w:val="22"/>
          <w:szCs w:val="20"/>
          <w:lang w:eastAsia="en-AU"/>
        </w:rPr>
        <w:t>third-line</w:t>
      </w:r>
      <w:proofErr w:type="gramEnd"/>
      <w:r w:rsidRPr="00C2126B">
        <w:rPr>
          <w:rFonts w:ascii="Franklin Gothic Book" w:hAnsi="Franklin Gothic Book"/>
          <w:color w:val="000000"/>
          <w:sz w:val="22"/>
          <w:szCs w:val="20"/>
          <w:lang w:eastAsia="en-AU"/>
        </w:rPr>
        <w:t xml:space="preserve"> (3L) setting through the NHRA for the treatment of r/r diffuse </w:t>
      </w:r>
      <w:r>
        <w:rPr>
          <w:rFonts w:ascii="Franklin Gothic Book" w:hAnsi="Franklin Gothic Book"/>
          <w:color w:val="000000"/>
          <w:sz w:val="22"/>
          <w:szCs w:val="20"/>
          <w:lang w:eastAsia="en-AU"/>
        </w:rPr>
        <w:t>large B-cell lymphoma</w:t>
      </w:r>
      <w:r w:rsidRPr="00C2126B">
        <w:rPr>
          <w:rFonts w:ascii="Franklin Gothic Book" w:hAnsi="Franklin Gothic Book"/>
          <w:color w:val="000000"/>
          <w:sz w:val="22"/>
          <w:szCs w:val="20"/>
          <w:lang w:eastAsia="en-AU"/>
        </w:rPr>
        <w:t xml:space="preserve"> (DLBCL), transformed follicular lymphoma (TFL) and primary mediastinal B-cell lymphoma (PMBCL).</w:t>
      </w:r>
    </w:p>
    <w:p w14:paraId="1DC5E663" w14:textId="77777777" w:rsidR="00C233D6" w:rsidRPr="00C2126B" w:rsidRDefault="00C233D6" w:rsidP="00C233D6">
      <w:pPr>
        <w:spacing w:after="240"/>
        <w:rPr>
          <w:rFonts w:ascii="Franklin Gothic Book" w:hAnsi="Franklin Gothic Book"/>
          <w:color w:val="000000"/>
          <w:sz w:val="22"/>
          <w:szCs w:val="20"/>
          <w:lang w:eastAsia="en-AU"/>
        </w:rPr>
      </w:pPr>
      <w:r w:rsidRPr="00C2126B">
        <w:rPr>
          <w:rFonts w:ascii="Franklin Gothic Book" w:hAnsi="Franklin Gothic Book"/>
          <w:color w:val="000000"/>
          <w:sz w:val="22"/>
          <w:szCs w:val="20"/>
          <w:lang w:eastAsia="en-AU"/>
        </w:rPr>
        <w:t xml:space="preserve">ESC noted that the applicant has bypassed PASC and that the PICO has been provided as part of the Applicant Developed Assessment Report (ADAR). ESC noted that tisagenlecleucel (Kymriah) is </w:t>
      </w:r>
      <w:r>
        <w:rPr>
          <w:rFonts w:ascii="Franklin Gothic Book" w:hAnsi="Franklin Gothic Book"/>
          <w:color w:val="000000"/>
          <w:sz w:val="22"/>
          <w:szCs w:val="20"/>
          <w:lang w:eastAsia="en-AU"/>
        </w:rPr>
        <w:t>another</w:t>
      </w:r>
      <w:r w:rsidRPr="00C2126B">
        <w:rPr>
          <w:rFonts w:ascii="Franklin Gothic Book" w:hAnsi="Franklin Gothic Book"/>
          <w:color w:val="000000"/>
          <w:sz w:val="22"/>
          <w:szCs w:val="20"/>
          <w:lang w:eastAsia="en-AU"/>
        </w:rPr>
        <w:t xml:space="preserve"> CAR-T</w:t>
      </w:r>
      <w:r>
        <w:rPr>
          <w:rFonts w:ascii="Franklin Gothic Book" w:hAnsi="Franklin Gothic Book"/>
          <w:color w:val="000000"/>
          <w:sz w:val="22"/>
          <w:szCs w:val="20"/>
          <w:lang w:eastAsia="en-AU"/>
        </w:rPr>
        <w:t xml:space="preserve"> therapy</w:t>
      </w:r>
      <w:r w:rsidRPr="00C2126B">
        <w:rPr>
          <w:rFonts w:ascii="Franklin Gothic Book" w:hAnsi="Franklin Gothic Book"/>
          <w:color w:val="000000"/>
          <w:sz w:val="22"/>
          <w:szCs w:val="20"/>
          <w:lang w:eastAsia="en-AU"/>
        </w:rPr>
        <w:t xml:space="preserve"> currently funded under the NHRA for the 3L treatment of r/r DLBCL. Both CAR-T therapies used in the 3L setting are restricted to one CAR-T </w:t>
      </w:r>
      <w:r>
        <w:rPr>
          <w:rFonts w:ascii="Franklin Gothic Book" w:hAnsi="Franklin Gothic Book"/>
          <w:color w:val="000000"/>
          <w:sz w:val="22"/>
          <w:szCs w:val="20"/>
          <w:lang w:eastAsia="en-AU"/>
        </w:rPr>
        <w:t xml:space="preserve">infusion </w:t>
      </w:r>
      <w:r w:rsidRPr="00C2126B">
        <w:rPr>
          <w:rFonts w:ascii="Franklin Gothic Book" w:hAnsi="Franklin Gothic Book"/>
          <w:color w:val="000000"/>
          <w:sz w:val="22"/>
          <w:szCs w:val="20"/>
          <w:lang w:eastAsia="en-AU"/>
        </w:rPr>
        <w:t xml:space="preserve">per patient per lifetime; ESC therefore considered that the key question is the comparative safety, effectiveness and cost effectiveness of AXI given in the 2L setting compared with giving AXI (or Kymriah) in the </w:t>
      </w:r>
      <w:r w:rsidRPr="00C2126B">
        <w:rPr>
          <w:rFonts w:ascii="Franklin Gothic Book" w:hAnsi="Franklin Gothic Book"/>
          <w:color w:val="000000"/>
          <w:sz w:val="22"/>
          <w:szCs w:val="20"/>
          <w:lang w:eastAsia="en-AU"/>
        </w:rPr>
        <w:lastRenderedPageBreak/>
        <w:t xml:space="preserve">3L setting (i.e. 2L AXI followed by 3L salvage chemotherapy +/- stem cell transplantation compared with 2L chemotherapy +/- stem cell transplantation followed by 3L CAR-T). ESC noted that in the pre-ESC response, the applicant contends that the trial does in fact represent </w:t>
      </w:r>
      <w:r>
        <w:rPr>
          <w:rFonts w:ascii="Franklin Gothic Book" w:hAnsi="Franklin Gothic Book"/>
          <w:color w:val="000000"/>
          <w:sz w:val="22"/>
          <w:szCs w:val="20"/>
          <w:lang w:eastAsia="en-AU"/>
        </w:rPr>
        <w:t>this comparison of treatment sequences</w:t>
      </w:r>
      <w:r w:rsidRPr="00C2126B">
        <w:rPr>
          <w:rFonts w:ascii="Franklin Gothic Book" w:hAnsi="Franklin Gothic Book"/>
          <w:color w:val="000000"/>
          <w:sz w:val="22"/>
          <w:szCs w:val="20"/>
          <w:lang w:eastAsia="en-AU"/>
        </w:rPr>
        <w:t xml:space="preserve"> </w:t>
      </w:r>
      <w:r>
        <w:rPr>
          <w:rFonts w:ascii="Franklin Gothic Book" w:hAnsi="Franklin Gothic Book"/>
          <w:color w:val="000000"/>
          <w:sz w:val="22"/>
          <w:szCs w:val="20"/>
          <w:lang w:eastAsia="en-AU"/>
        </w:rPr>
        <w:t>(inclusive of</w:t>
      </w:r>
      <w:r w:rsidRPr="00C2126B">
        <w:rPr>
          <w:rFonts w:ascii="Franklin Gothic Book" w:hAnsi="Franklin Gothic Book"/>
          <w:color w:val="000000"/>
          <w:sz w:val="22"/>
          <w:szCs w:val="20"/>
          <w:lang w:eastAsia="en-AU"/>
        </w:rPr>
        <w:t xml:space="preserve"> 2L and 3L</w:t>
      </w:r>
      <w:r>
        <w:rPr>
          <w:rFonts w:ascii="Franklin Gothic Book" w:hAnsi="Franklin Gothic Book"/>
          <w:color w:val="000000"/>
          <w:sz w:val="22"/>
          <w:szCs w:val="20"/>
          <w:lang w:eastAsia="en-AU"/>
        </w:rPr>
        <w:t xml:space="preserve"> therapy options in each arm)</w:t>
      </w:r>
      <w:r w:rsidRPr="00C2126B">
        <w:rPr>
          <w:rFonts w:ascii="Franklin Gothic Book" w:hAnsi="Franklin Gothic Book"/>
          <w:color w:val="000000"/>
          <w:sz w:val="22"/>
          <w:szCs w:val="20"/>
          <w:lang w:eastAsia="en-AU"/>
        </w:rPr>
        <w:t>, given that many in the standard of care (SoC) arm did receive AXI</w:t>
      </w:r>
      <w:r>
        <w:rPr>
          <w:rFonts w:ascii="Franklin Gothic Book" w:hAnsi="Franklin Gothic Book"/>
          <w:color w:val="000000"/>
          <w:sz w:val="22"/>
          <w:szCs w:val="20"/>
          <w:lang w:eastAsia="en-AU"/>
        </w:rPr>
        <w:t xml:space="preserve"> and patients in the AXI arm who met the criteria for new anti-lymphoma therapy could receive further therapy (the majority of those who proceeded to 3L received salvage chemotherapy which, in some cases, was followed by SCT)</w:t>
      </w:r>
      <w:r w:rsidRPr="00C2126B">
        <w:rPr>
          <w:rFonts w:ascii="Franklin Gothic Book" w:hAnsi="Franklin Gothic Book"/>
          <w:color w:val="000000"/>
          <w:sz w:val="22"/>
          <w:szCs w:val="20"/>
          <w:lang w:eastAsia="en-AU"/>
        </w:rPr>
        <w:t>. ESC however considered that it was not clear how reflective this usage was of Australian practice and that this did not fully answer the clinical question of interest.</w:t>
      </w:r>
    </w:p>
    <w:p w14:paraId="4C241F3C" w14:textId="4C5F9FB6" w:rsidR="00C233D6" w:rsidRPr="00C2126B" w:rsidRDefault="00C233D6" w:rsidP="00C233D6">
      <w:pPr>
        <w:spacing w:after="240"/>
        <w:rPr>
          <w:rFonts w:ascii="Franklin Gothic Book" w:hAnsi="Franklin Gothic Book"/>
          <w:color w:val="000000"/>
          <w:sz w:val="22"/>
          <w:szCs w:val="20"/>
          <w:lang w:eastAsia="en-AU"/>
        </w:rPr>
      </w:pPr>
      <w:r w:rsidRPr="00C2126B">
        <w:rPr>
          <w:rFonts w:ascii="Franklin Gothic Book" w:hAnsi="Franklin Gothic Book"/>
          <w:color w:val="000000"/>
          <w:sz w:val="22"/>
          <w:szCs w:val="20"/>
          <w:lang w:eastAsia="en-AU"/>
        </w:rPr>
        <w:t>ESC noted that consultation input was received from one individual specialist with experience in treating patients with blood cancers</w:t>
      </w:r>
      <w:r>
        <w:rPr>
          <w:rFonts w:ascii="Franklin Gothic Book" w:hAnsi="Franklin Gothic Book"/>
          <w:color w:val="000000"/>
          <w:sz w:val="22"/>
          <w:szCs w:val="20"/>
          <w:lang w:eastAsia="en-AU"/>
        </w:rPr>
        <w:t>, who</w:t>
      </w:r>
      <w:r w:rsidRPr="00C2126B">
        <w:rPr>
          <w:rFonts w:ascii="Franklin Gothic Book" w:hAnsi="Franklin Gothic Book"/>
          <w:color w:val="000000"/>
          <w:sz w:val="22"/>
          <w:szCs w:val="20"/>
          <w:lang w:eastAsia="en-AU"/>
        </w:rPr>
        <w:t xml:space="preserve"> supported the service being publicly funded.</w:t>
      </w:r>
    </w:p>
    <w:p w14:paraId="20CF0E46" w14:textId="77777777" w:rsidR="00C233D6" w:rsidRPr="00C2126B" w:rsidRDefault="00C233D6" w:rsidP="00C233D6">
      <w:pPr>
        <w:spacing w:after="240"/>
        <w:rPr>
          <w:rFonts w:ascii="Franklin Gothic Book" w:hAnsi="Franklin Gothic Book"/>
          <w:color w:val="000000"/>
          <w:sz w:val="22"/>
          <w:szCs w:val="20"/>
          <w:lang w:eastAsia="en-AU"/>
        </w:rPr>
      </w:pPr>
      <w:r w:rsidRPr="00C2126B">
        <w:rPr>
          <w:rFonts w:ascii="Franklin Gothic Book" w:hAnsi="Franklin Gothic Book"/>
          <w:color w:val="000000"/>
          <w:sz w:val="22"/>
          <w:szCs w:val="20"/>
          <w:lang w:eastAsia="en-AU"/>
        </w:rPr>
        <w:t>ESC noted that the ADAR was based on direct evidence from the randomised controlled ZUMA-7 trial. This trial compared SoC, n=180 (involving salvage chemotherapy and, in responders, high-dose therapy [HDT</w:t>
      </w:r>
      <w:r>
        <w:rPr>
          <w:rFonts w:ascii="Franklin Gothic Book" w:hAnsi="Franklin Gothic Book"/>
          <w:color w:val="000000"/>
          <w:sz w:val="22"/>
          <w:szCs w:val="20"/>
          <w:lang w:eastAsia="en-AU"/>
        </w:rPr>
        <w:t>]</w:t>
      </w:r>
      <w:r w:rsidRPr="00C2126B">
        <w:rPr>
          <w:rFonts w:ascii="Franklin Gothic Book" w:hAnsi="Franklin Gothic Book"/>
          <w:color w:val="000000"/>
          <w:sz w:val="22"/>
          <w:szCs w:val="20"/>
          <w:lang w:eastAsia="en-AU"/>
        </w:rPr>
        <w:t xml:space="preserve"> with autologous stem cell transplantation [ASCT]) with AXI, n=179, in the 2L setting. Patients were permitted to receive a 3L CAR-T (AXI) upon disease progression</w:t>
      </w:r>
      <w:r>
        <w:rPr>
          <w:rFonts w:ascii="Franklin Gothic Book" w:hAnsi="Franklin Gothic Book"/>
          <w:color w:val="000000"/>
          <w:sz w:val="22"/>
          <w:szCs w:val="20"/>
          <w:lang w:eastAsia="en-AU"/>
        </w:rPr>
        <w:t xml:space="preserve"> in the SoC arm;</w:t>
      </w:r>
      <w:r w:rsidRPr="00657130">
        <w:rPr>
          <w:rFonts w:ascii="Franklin Gothic Book" w:hAnsi="Franklin Gothic Book"/>
          <w:color w:val="000000"/>
          <w:sz w:val="22"/>
          <w:szCs w:val="20"/>
          <w:lang w:eastAsia="en-AU"/>
        </w:rPr>
        <w:t xml:space="preserve"> </w:t>
      </w:r>
      <w:r>
        <w:rPr>
          <w:rFonts w:ascii="Franklin Gothic Book" w:hAnsi="Franklin Gothic Book"/>
          <w:color w:val="000000"/>
          <w:sz w:val="22"/>
          <w:szCs w:val="20"/>
          <w:lang w:eastAsia="en-AU"/>
        </w:rPr>
        <w:t xml:space="preserve">a total of 100 participants </w:t>
      </w:r>
      <w:r w:rsidRPr="0027306F">
        <w:rPr>
          <w:rFonts w:ascii="Franklin Gothic Book" w:hAnsi="Franklin Gothic Book"/>
          <w:color w:val="000000"/>
          <w:sz w:val="22"/>
          <w:szCs w:val="20"/>
          <w:lang w:eastAsia="en-AU"/>
        </w:rPr>
        <w:t xml:space="preserve">(56%) received </w:t>
      </w:r>
      <w:r>
        <w:rPr>
          <w:rFonts w:ascii="Franklin Gothic Book" w:hAnsi="Franklin Gothic Book"/>
          <w:color w:val="000000"/>
          <w:sz w:val="22"/>
          <w:szCs w:val="20"/>
          <w:lang w:eastAsia="en-AU"/>
        </w:rPr>
        <w:t>3</w:t>
      </w:r>
      <w:r w:rsidRPr="0097614F">
        <w:rPr>
          <w:rFonts w:ascii="Franklin Gothic Book" w:hAnsi="Franklin Gothic Book"/>
          <w:color w:val="000000"/>
          <w:sz w:val="22"/>
          <w:szCs w:val="20"/>
          <w:vertAlign w:val="superscript"/>
          <w:lang w:eastAsia="en-AU"/>
        </w:rPr>
        <w:t>rd</w:t>
      </w:r>
      <w:r>
        <w:rPr>
          <w:rFonts w:ascii="Franklin Gothic Book" w:hAnsi="Franklin Gothic Book"/>
          <w:color w:val="000000"/>
          <w:sz w:val="22"/>
          <w:szCs w:val="20"/>
          <w:lang w:eastAsia="en-AU"/>
        </w:rPr>
        <w:t xml:space="preserve"> line CAR-T therapy after </w:t>
      </w:r>
      <w:proofErr w:type="spellStart"/>
      <w:r w:rsidRPr="0027306F">
        <w:rPr>
          <w:rFonts w:ascii="Franklin Gothic Book" w:hAnsi="Franklin Gothic Book"/>
          <w:color w:val="000000"/>
          <w:sz w:val="22"/>
          <w:szCs w:val="20"/>
          <w:lang w:eastAsia="en-AU"/>
        </w:rPr>
        <w:t>S</w:t>
      </w:r>
      <w:r>
        <w:rPr>
          <w:rFonts w:ascii="Franklin Gothic Book" w:hAnsi="Franklin Gothic Book"/>
          <w:color w:val="000000"/>
          <w:sz w:val="22"/>
          <w:szCs w:val="20"/>
          <w:lang w:eastAsia="en-AU"/>
        </w:rPr>
        <w:t>o</w:t>
      </w:r>
      <w:r w:rsidRPr="0027306F">
        <w:rPr>
          <w:rFonts w:ascii="Franklin Gothic Book" w:hAnsi="Franklin Gothic Book"/>
          <w:color w:val="000000"/>
          <w:sz w:val="22"/>
          <w:szCs w:val="20"/>
          <w:lang w:eastAsia="en-AU"/>
        </w:rPr>
        <w:t>C</w:t>
      </w:r>
      <w:r>
        <w:rPr>
          <w:rFonts w:ascii="Franklin Gothic Book" w:hAnsi="Franklin Gothic Book"/>
          <w:color w:val="000000"/>
          <w:sz w:val="22"/>
          <w:szCs w:val="20"/>
          <w:lang w:eastAsia="en-AU"/>
        </w:rPr>
        <w:t>.</w:t>
      </w:r>
      <w:proofErr w:type="spellEnd"/>
      <w:r>
        <w:rPr>
          <w:rFonts w:ascii="Franklin Gothic Book" w:hAnsi="Franklin Gothic Book"/>
          <w:color w:val="000000"/>
          <w:sz w:val="22"/>
          <w:szCs w:val="20"/>
          <w:lang w:eastAsia="en-AU"/>
        </w:rPr>
        <w:t xml:space="preserve"> ESC noted that treatment switching was not planned and broke randomisation, and it was unclear if this can confound the outcomes. </w:t>
      </w:r>
      <w:r w:rsidRPr="00C2126B">
        <w:rPr>
          <w:rFonts w:ascii="Franklin Gothic Book" w:hAnsi="Franklin Gothic Book"/>
          <w:color w:val="000000"/>
          <w:sz w:val="22"/>
          <w:szCs w:val="20"/>
          <w:lang w:eastAsia="en-AU"/>
        </w:rPr>
        <w:t xml:space="preserve">ESC noted that the ZUMA-7 </w:t>
      </w:r>
      <w:r>
        <w:rPr>
          <w:rFonts w:ascii="Franklin Gothic Book" w:hAnsi="Franklin Gothic Book"/>
          <w:color w:val="000000"/>
          <w:sz w:val="22"/>
          <w:szCs w:val="20"/>
          <w:lang w:eastAsia="en-AU"/>
        </w:rPr>
        <w:t xml:space="preserve">trial </w:t>
      </w:r>
      <w:r w:rsidRPr="00C2126B">
        <w:rPr>
          <w:rFonts w:ascii="Franklin Gothic Book" w:hAnsi="Franklin Gothic Book"/>
          <w:color w:val="000000"/>
          <w:sz w:val="22"/>
          <w:szCs w:val="20"/>
          <w:lang w:eastAsia="en-AU"/>
        </w:rPr>
        <w:t>ha</w:t>
      </w:r>
      <w:r>
        <w:rPr>
          <w:rFonts w:ascii="Franklin Gothic Book" w:hAnsi="Franklin Gothic Book"/>
          <w:color w:val="000000"/>
          <w:sz w:val="22"/>
          <w:szCs w:val="20"/>
          <w:lang w:eastAsia="en-AU"/>
        </w:rPr>
        <w:t>d</w:t>
      </w:r>
      <w:r w:rsidRPr="00C2126B">
        <w:rPr>
          <w:rFonts w:ascii="Franklin Gothic Book" w:hAnsi="Franklin Gothic Book"/>
          <w:color w:val="000000"/>
          <w:sz w:val="22"/>
          <w:szCs w:val="20"/>
          <w:lang w:eastAsia="en-AU"/>
        </w:rPr>
        <w:t xml:space="preserve"> extensive exclusion criteria and considered that this would have implications for the eligibility criteria of AXI in practice, which were not clearly defined in the ADAR.</w:t>
      </w:r>
    </w:p>
    <w:p w14:paraId="4263663A" w14:textId="3854F18F" w:rsidR="00C233D6" w:rsidRPr="00C2126B" w:rsidRDefault="00C233D6" w:rsidP="00C233D6">
      <w:pPr>
        <w:spacing w:after="240"/>
        <w:rPr>
          <w:rFonts w:ascii="Franklin Gothic Book" w:hAnsi="Franklin Gothic Book"/>
          <w:color w:val="000000"/>
          <w:sz w:val="22"/>
          <w:szCs w:val="20"/>
          <w:lang w:eastAsia="en-AU"/>
        </w:rPr>
      </w:pPr>
      <w:r w:rsidRPr="00C2126B">
        <w:rPr>
          <w:rFonts w:ascii="Franklin Gothic Book" w:hAnsi="Franklin Gothic Book"/>
          <w:color w:val="000000"/>
          <w:sz w:val="22"/>
          <w:szCs w:val="20"/>
          <w:lang w:eastAsia="en-AU"/>
        </w:rPr>
        <w:t xml:space="preserve">Regarding comparative safety. ESC noted that there was significant drop-out in the SoC arm </w:t>
      </w:r>
      <w:r>
        <w:rPr>
          <w:rFonts w:ascii="Franklin Gothic Book" w:hAnsi="Franklin Gothic Book"/>
          <w:color w:val="000000"/>
          <w:sz w:val="22"/>
          <w:szCs w:val="20"/>
          <w:lang w:eastAsia="en-AU"/>
        </w:rPr>
        <w:t xml:space="preserve">and </w:t>
      </w:r>
      <w:r w:rsidRPr="00C2126B">
        <w:rPr>
          <w:rFonts w:ascii="Franklin Gothic Book" w:hAnsi="Franklin Gothic Book"/>
          <w:color w:val="000000"/>
          <w:sz w:val="22"/>
          <w:szCs w:val="20"/>
          <w:lang w:eastAsia="en-AU"/>
        </w:rPr>
        <w:t xml:space="preserve">only 60 participants </w:t>
      </w:r>
      <w:r>
        <w:rPr>
          <w:rFonts w:ascii="Franklin Gothic Book" w:hAnsi="Franklin Gothic Book"/>
          <w:color w:val="000000"/>
          <w:sz w:val="22"/>
          <w:szCs w:val="20"/>
          <w:lang w:eastAsia="en-AU"/>
        </w:rPr>
        <w:t>were assessed in</w:t>
      </w:r>
      <w:r w:rsidRPr="00C2126B">
        <w:rPr>
          <w:rFonts w:ascii="Franklin Gothic Book" w:hAnsi="Franklin Gothic Book"/>
          <w:color w:val="000000"/>
          <w:sz w:val="22"/>
          <w:szCs w:val="20"/>
          <w:lang w:eastAsia="en-AU"/>
        </w:rPr>
        <w:t xml:space="preserve"> safety </w:t>
      </w:r>
      <w:r>
        <w:rPr>
          <w:rFonts w:ascii="Franklin Gothic Book" w:hAnsi="Franklin Gothic Book"/>
          <w:color w:val="000000"/>
          <w:sz w:val="22"/>
          <w:szCs w:val="20"/>
          <w:lang w:eastAsia="en-AU"/>
        </w:rPr>
        <w:t xml:space="preserve">outcomes (as 100 participants subsequently received </w:t>
      </w:r>
      <w:r w:rsidRPr="00D0341C">
        <w:rPr>
          <w:rFonts w:ascii="Franklin Gothic Book" w:hAnsi="Franklin Gothic Book"/>
          <w:color w:val="000000"/>
          <w:sz w:val="22"/>
          <w:szCs w:val="20"/>
          <w:lang w:eastAsia="en-AU"/>
        </w:rPr>
        <w:t>3L CAR-T therapy</w:t>
      </w:r>
      <w:r>
        <w:rPr>
          <w:rFonts w:ascii="Franklin Gothic Book" w:hAnsi="Franklin Gothic Book"/>
          <w:color w:val="000000"/>
          <w:sz w:val="22"/>
          <w:szCs w:val="20"/>
          <w:lang w:eastAsia="en-AU"/>
        </w:rPr>
        <w:t>)</w:t>
      </w:r>
      <w:r w:rsidRPr="00C2126B">
        <w:rPr>
          <w:rFonts w:ascii="Franklin Gothic Book" w:hAnsi="Franklin Gothic Book"/>
          <w:color w:val="000000"/>
          <w:sz w:val="22"/>
          <w:szCs w:val="20"/>
          <w:lang w:eastAsia="en-AU"/>
        </w:rPr>
        <w:t xml:space="preserve">. ESC noted that of the participants analysed, the adverse event (AE) profile of AXI in the ZUMA-7 trial was consistent with the profile observed in other studies of CAR-T therapy in patients with r/r LBCL. The frequency of AEs, including those of </w:t>
      </w:r>
      <w:r>
        <w:rPr>
          <w:rFonts w:ascii="Franklin Gothic Book" w:hAnsi="Franklin Gothic Book"/>
          <w:color w:val="000000"/>
          <w:sz w:val="22"/>
          <w:szCs w:val="20"/>
          <w:lang w:eastAsia="en-AU"/>
        </w:rPr>
        <w:t>G</w:t>
      </w:r>
      <w:r w:rsidRPr="00C2126B">
        <w:rPr>
          <w:rFonts w:ascii="Franklin Gothic Book" w:hAnsi="Franklin Gothic Book"/>
          <w:color w:val="000000"/>
          <w:sz w:val="22"/>
          <w:szCs w:val="20"/>
          <w:lang w:eastAsia="en-AU"/>
        </w:rPr>
        <w:t>rade 3 or higher and of serious AEs, was high in both the AXI and SoC arms of the trial (all patients experienced at least one treatment-emergent AE); however, it was higher in the AXI arm. Also, the AE profile differed between the two groups, with the incidence of cytokine release syndrome and neurologic events being significantly higher in the AXI group, although the incidence of febrile neutropenia was higher in the SoC group. ESC noted that 25% of participants in the AXI arm required a stay in the intensive care unit for a median of 5 days and that only 5% of participants in the SoC arm required an intensive care unit stay for a median of 3 days</w:t>
      </w:r>
      <w:r>
        <w:rPr>
          <w:rFonts w:ascii="Franklin Gothic Book" w:hAnsi="Franklin Gothic Book"/>
          <w:color w:val="000000"/>
          <w:sz w:val="22"/>
          <w:szCs w:val="20"/>
          <w:lang w:eastAsia="en-AU"/>
        </w:rPr>
        <w:t xml:space="preserve"> and this was not captured in the model</w:t>
      </w:r>
      <w:r w:rsidRPr="00C2126B">
        <w:rPr>
          <w:rFonts w:ascii="Franklin Gothic Book" w:hAnsi="Franklin Gothic Book"/>
          <w:color w:val="000000"/>
          <w:sz w:val="22"/>
          <w:szCs w:val="20"/>
          <w:lang w:eastAsia="en-AU"/>
        </w:rPr>
        <w:t xml:space="preserve">. ESC noted that the applicant stated that as clinicians gain experience in the use of AXI, rates of AEs observed have been falling and are anticipated to fall further. However, </w:t>
      </w:r>
      <w:r>
        <w:rPr>
          <w:rFonts w:ascii="Franklin Gothic Book" w:hAnsi="Franklin Gothic Book"/>
          <w:color w:val="000000"/>
          <w:sz w:val="22"/>
          <w:szCs w:val="20"/>
          <w:lang w:eastAsia="en-AU"/>
        </w:rPr>
        <w:t>evidence to support this was lacking</w:t>
      </w:r>
      <w:r w:rsidRPr="00C2126B">
        <w:rPr>
          <w:rFonts w:ascii="Franklin Gothic Book" w:hAnsi="Franklin Gothic Book"/>
          <w:color w:val="000000"/>
          <w:sz w:val="22"/>
          <w:szCs w:val="20"/>
          <w:lang w:eastAsia="en-AU"/>
        </w:rPr>
        <w:t>. In addition, the role of training and workforce in supporting the reduction of AEs for AXI needs to be considered. ESC also noted that some of the AE treatments given in the trial</w:t>
      </w:r>
      <w:r>
        <w:rPr>
          <w:rFonts w:ascii="Franklin Gothic Book" w:hAnsi="Franklin Gothic Book"/>
          <w:color w:val="000000"/>
          <w:sz w:val="22"/>
          <w:szCs w:val="20"/>
          <w:lang w:eastAsia="en-AU"/>
        </w:rPr>
        <w:t xml:space="preserve"> </w:t>
      </w:r>
      <w:r w:rsidRPr="00C2126B">
        <w:rPr>
          <w:rFonts w:ascii="Franklin Gothic Book" w:hAnsi="Franklin Gothic Book"/>
          <w:color w:val="000000"/>
          <w:sz w:val="22"/>
          <w:szCs w:val="20"/>
          <w:lang w:eastAsia="en-AU"/>
        </w:rPr>
        <w:t xml:space="preserve">(e.g.,65% of participants received tocilizumab) are not currently </w:t>
      </w:r>
      <w:r>
        <w:rPr>
          <w:rFonts w:ascii="Franklin Gothic Book" w:hAnsi="Franklin Gothic Book"/>
          <w:color w:val="000000"/>
          <w:sz w:val="22"/>
          <w:szCs w:val="20"/>
          <w:lang w:eastAsia="en-AU"/>
        </w:rPr>
        <w:t>reimbursed</w:t>
      </w:r>
      <w:r w:rsidRPr="00C2126B">
        <w:rPr>
          <w:rFonts w:ascii="Franklin Gothic Book" w:hAnsi="Franklin Gothic Book"/>
          <w:color w:val="000000"/>
          <w:sz w:val="22"/>
          <w:szCs w:val="20"/>
          <w:lang w:eastAsia="en-AU"/>
        </w:rPr>
        <w:t xml:space="preserve"> for such usage in Australia</w:t>
      </w:r>
      <w:r>
        <w:rPr>
          <w:rFonts w:ascii="Franklin Gothic Book" w:hAnsi="Franklin Gothic Book"/>
          <w:color w:val="000000"/>
          <w:sz w:val="22"/>
          <w:szCs w:val="20"/>
          <w:lang w:eastAsia="en-AU"/>
        </w:rPr>
        <w:t xml:space="preserve"> and the cost not included in modelling.</w:t>
      </w:r>
      <w:r w:rsidRPr="00C2126B">
        <w:rPr>
          <w:rFonts w:ascii="Franklin Gothic Book" w:hAnsi="Franklin Gothic Book"/>
          <w:color w:val="000000"/>
          <w:sz w:val="22"/>
          <w:szCs w:val="20"/>
          <w:lang w:eastAsia="en-AU"/>
        </w:rPr>
        <w:t xml:space="preserve"> </w:t>
      </w:r>
      <w:r>
        <w:rPr>
          <w:rFonts w:ascii="Franklin Gothic Book" w:hAnsi="Franklin Gothic Book"/>
          <w:color w:val="000000"/>
          <w:sz w:val="22"/>
          <w:szCs w:val="20"/>
          <w:lang w:eastAsia="en-AU"/>
        </w:rPr>
        <w:t xml:space="preserve">Overall, </w:t>
      </w:r>
      <w:r w:rsidRPr="00C2126B">
        <w:rPr>
          <w:rFonts w:ascii="Franklin Gothic Book" w:hAnsi="Franklin Gothic Book"/>
          <w:color w:val="000000"/>
          <w:sz w:val="22"/>
          <w:szCs w:val="20"/>
          <w:lang w:eastAsia="en-AU"/>
        </w:rPr>
        <w:t>ESC considered that the claim of noninferior safety of AXI compared with SoC was not supported by the evidence presented.</w:t>
      </w:r>
    </w:p>
    <w:p w14:paraId="7A558DE4" w14:textId="77777777" w:rsidR="00C233D6" w:rsidRPr="00C2126B" w:rsidRDefault="00C233D6" w:rsidP="00C233D6">
      <w:pPr>
        <w:spacing w:after="240"/>
        <w:rPr>
          <w:rFonts w:ascii="Franklin Gothic Book" w:hAnsi="Franklin Gothic Book"/>
          <w:color w:val="000000"/>
          <w:sz w:val="22"/>
          <w:szCs w:val="20"/>
          <w:lang w:eastAsia="en-AU"/>
        </w:rPr>
      </w:pPr>
      <w:r w:rsidRPr="00C2126B">
        <w:rPr>
          <w:rFonts w:ascii="Franklin Gothic Book" w:hAnsi="Franklin Gothic Book"/>
          <w:color w:val="000000"/>
          <w:sz w:val="22"/>
          <w:szCs w:val="20"/>
          <w:lang w:eastAsia="en-AU"/>
        </w:rPr>
        <w:t>Regarding comparative effectiveness, ESC noted that although the primary evidence came from a randomised, controlled trial, there was potential for bias. For example, clinicians and investigators were not blinded to the treatment arms (potentially introducing performance bias) and it was unclear as to the reasons why patients were transferred to a “new lymphoma therapy” (considered an event) in the absence of a disease progression event, which could also be influenced by clinicians being unblinded. There were more incidents of this in the SoC arm and hence this favoured the AXI arm. ESC also noted that the flexibility in the timing of assessments for patients in the ZUMA-7 trial likely introduced measurement bias. Patients had a –</w:t>
      </w:r>
      <w:proofErr w:type="gramStart"/>
      <w:r w:rsidRPr="00C2126B">
        <w:rPr>
          <w:rFonts w:ascii="Franklin Gothic Book" w:hAnsi="Franklin Gothic Book"/>
          <w:color w:val="000000"/>
          <w:sz w:val="22"/>
          <w:szCs w:val="20"/>
          <w:lang w:eastAsia="en-AU"/>
        </w:rPr>
        <w:t>7 to +14 day</w:t>
      </w:r>
      <w:proofErr w:type="gramEnd"/>
      <w:r w:rsidRPr="00C2126B">
        <w:rPr>
          <w:rFonts w:ascii="Franklin Gothic Book" w:hAnsi="Franklin Gothic Book"/>
          <w:color w:val="000000"/>
          <w:sz w:val="22"/>
          <w:szCs w:val="20"/>
          <w:lang w:eastAsia="en-AU"/>
        </w:rPr>
        <w:t xml:space="preserve"> window in which to have PET-CT assessment performed, which could result in bias in reporting of events in favour of AXI. ESC noted that in the pre-ESC re</w:t>
      </w:r>
      <w:r>
        <w:rPr>
          <w:rFonts w:ascii="Franklin Gothic Book" w:hAnsi="Franklin Gothic Book"/>
          <w:color w:val="000000"/>
          <w:sz w:val="22"/>
          <w:szCs w:val="20"/>
          <w:lang w:eastAsia="en-AU"/>
        </w:rPr>
        <w:t>sponse</w:t>
      </w:r>
      <w:r w:rsidRPr="00C2126B">
        <w:rPr>
          <w:rFonts w:ascii="Franklin Gothic Book" w:hAnsi="Franklin Gothic Book"/>
          <w:color w:val="000000"/>
          <w:sz w:val="22"/>
          <w:szCs w:val="20"/>
          <w:lang w:eastAsia="en-AU"/>
        </w:rPr>
        <w:t xml:space="preserve">, the applicant stated that potential flexible timing of endpoints is unavoidable and may also be similar in both arms. </w:t>
      </w:r>
      <w:r w:rsidRPr="00C2126B">
        <w:rPr>
          <w:rFonts w:ascii="Franklin Gothic Book" w:hAnsi="Franklin Gothic Book"/>
          <w:color w:val="000000"/>
          <w:sz w:val="22"/>
          <w:szCs w:val="20"/>
          <w:lang w:eastAsia="en-AU"/>
        </w:rPr>
        <w:lastRenderedPageBreak/>
        <w:t>However, ESC noted that the applicant did not provide information on the median timing, which could provide further clarity around this issue.</w:t>
      </w:r>
    </w:p>
    <w:p w14:paraId="3F316754" w14:textId="77777777" w:rsidR="00C233D6" w:rsidRPr="00C2126B" w:rsidRDefault="00C233D6" w:rsidP="00C233D6">
      <w:pPr>
        <w:spacing w:after="240"/>
        <w:rPr>
          <w:rFonts w:ascii="Franklin Gothic Book" w:hAnsi="Franklin Gothic Book"/>
          <w:color w:val="000000"/>
          <w:sz w:val="22"/>
          <w:szCs w:val="20"/>
          <w:lang w:eastAsia="en-AU"/>
        </w:rPr>
      </w:pPr>
      <w:r w:rsidRPr="00C2126B">
        <w:rPr>
          <w:rFonts w:ascii="Franklin Gothic Book" w:hAnsi="Franklin Gothic Book"/>
          <w:color w:val="000000"/>
          <w:sz w:val="22"/>
          <w:szCs w:val="20"/>
          <w:lang w:eastAsia="en-AU"/>
        </w:rPr>
        <w:t>ESC noted that a primary outcome presented in the ADAR was event-free survival (EFS), and this was a composite outcome defined as</w:t>
      </w:r>
      <w:r>
        <w:rPr>
          <w:rFonts w:ascii="Franklin Gothic Book" w:hAnsi="Franklin Gothic Book"/>
          <w:color w:val="000000"/>
          <w:sz w:val="22"/>
          <w:szCs w:val="20"/>
          <w:lang w:eastAsia="en-AU"/>
        </w:rPr>
        <w:t xml:space="preserve"> 1)</w:t>
      </w:r>
      <w:r w:rsidRPr="00C2126B">
        <w:rPr>
          <w:rFonts w:ascii="Franklin Gothic Book" w:hAnsi="Franklin Gothic Book"/>
          <w:color w:val="000000"/>
          <w:sz w:val="22"/>
          <w:szCs w:val="20"/>
          <w:lang w:eastAsia="en-AU"/>
        </w:rPr>
        <w:t xml:space="preserve"> the time from randomisation to the earliest date of disease progression (per the Lugano Classification); </w:t>
      </w:r>
      <w:r>
        <w:rPr>
          <w:rFonts w:ascii="Franklin Gothic Book" w:hAnsi="Franklin Gothic Book"/>
          <w:color w:val="000000"/>
          <w:sz w:val="22"/>
          <w:szCs w:val="20"/>
          <w:lang w:eastAsia="en-AU"/>
        </w:rPr>
        <w:t xml:space="preserve">2) </w:t>
      </w:r>
      <w:r w:rsidRPr="00C2126B">
        <w:rPr>
          <w:rFonts w:ascii="Franklin Gothic Book" w:hAnsi="Franklin Gothic Book"/>
          <w:color w:val="000000"/>
          <w:sz w:val="22"/>
          <w:szCs w:val="20"/>
          <w:lang w:eastAsia="en-AU"/>
        </w:rPr>
        <w:t>commencement of new lymphoma therapy; or</w:t>
      </w:r>
      <w:r>
        <w:rPr>
          <w:rFonts w:ascii="Franklin Gothic Book" w:hAnsi="Franklin Gothic Book"/>
          <w:color w:val="000000"/>
          <w:sz w:val="22"/>
          <w:szCs w:val="20"/>
          <w:lang w:eastAsia="en-AU"/>
        </w:rPr>
        <w:t xml:space="preserve"> 3)</w:t>
      </w:r>
      <w:r w:rsidRPr="00C2126B">
        <w:rPr>
          <w:rFonts w:ascii="Franklin Gothic Book" w:hAnsi="Franklin Gothic Book"/>
          <w:color w:val="000000"/>
          <w:sz w:val="22"/>
          <w:szCs w:val="20"/>
          <w:lang w:eastAsia="en-AU"/>
        </w:rPr>
        <w:t xml:space="preserve"> death from any cause. According to this definition, more than twice as many patients in the AXI arm compared with the SoC arm of the ZUMA-7 trial were still free of events at 24 months (40.5% vs 16.3%, respectively). Median EFS was 8.3 months for patients treated with AXI compared to only 2.0 months for patients treated with </w:t>
      </w:r>
      <w:proofErr w:type="spellStart"/>
      <w:r w:rsidRPr="00C2126B">
        <w:rPr>
          <w:rFonts w:ascii="Franklin Gothic Book" w:hAnsi="Franklin Gothic Book"/>
          <w:color w:val="000000"/>
          <w:sz w:val="22"/>
          <w:szCs w:val="20"/>
          <w:lang w:eastAsia="en-AU"/>
        </w:rPr>
        <w:t>SoC.</w:t>
      </w:r>
      <w:proofErr w:type="spellEnd"/>
      <w:r w:rsidRPr="00C2126B">
        <w:rPr>
          <w:rFonts w:ascii="Franklin Gothic Book" w:hAnsi="Franklin Gothic Book"/>
          <w:color w:val="000000"/>
          <w:sz w:val="22"/>
          <w:szCs w:val="20"/>
          <w:lang w:eastAsia="en-AU"/>
        </w:rPr>
        <w:t xml:space="preserve"> The difference in EFS across the two arms was statistically significant (HR: 0.398; 95% CI: 0.308, 0.514). However, ESC noted that this difference was primarily driven by the time to ‘new lymphoma therapy’ </w:t>
      </w:r>
      <w:r>
        <w:rPr>
          <w:rFonts w:ascii="Franklin Gothic Book" w:hAnsi="Franklin Gothic Book"/>
          <w:color w:val="000000"/>
          <w:sz w:val="22"/>
          <w:szCs w:val="20"/>
          <w:lang w:eastAsia="en-AU"/>
        </w:rPr>
        <w:t>with significant numbers in the SoC arm documented to meet this criterion each time new treatment was commenced, with negligible numbers in the AXI arm at specified timepoints. This endpoint is</w:t>
      </w:r>
      <w:r w:rsidRPr="00C2126B">
        <w:rPr>
          <w:rFonts w:ascii="Franklin Gothic Book" w:hAnsi="Franklin Gothic Book"/>
          <w:color w:val="000000"/>
          <w:sz w:val="22"/>
          <w:szCs w:val="20"/>
          <w:lang w:eastAsia="en-AU"/>
        </w:rPr>
        <w:t xml:space="preserve"> likely to be heavily biased in favour of the AXI arm, due to the </w:t>
      </w:r>
      <w:r>
        <w:rPr>
          <w:rFonts w:ascii="Franklin Gothic Book" w:hAnsi="Franklin Gothic Book"/>
          <w:color w:val="000000"/>
          <w:sz w:val="22"/>
          <w:szCs w:val="20"/>
          <w:lang w:eastAsia="en-AU"/>
        </w:rPr>
        <w:t>un</w:t>
      </w:r>
      <w:r w:rsidRPr="00C2126B">
        <w:rPr>
          <w:rFonts w:ascii="Franklin Gothic Book" w:hAnsi="Franklin Gothic Book"/>
          <w:color w:val="000000"/>
          <w:sz w:val="22"/>
          <w:szCs w:val="20"/>
          <w:lang w:eastAsia="en-AU"/>
        </w:rPr>
        <w:t xml:space="preserve">blinded nature of the trial and the possible performance and measurement bias that could be present. </w:t>
      </w:r>
      <w:r>
        <w:rPr>
          <w:rFonts w:ascii="Franklin Gothic Book" w:hAnsi="Franklin Gothic Book"/>
          <w:color w:val="000000"/>
          <w:sz w:val="22"/>
          <w:szCs w:val="20"/>
          <w:lang w:eastAsia="en-AU"/>
        </w:rPr>
        <w:t>EFS also noted that EFS is not a validated endpoint in lymphoma trials in existing FDA regulatory approvals</w:t>
      </w:r>
      <w:r>
        <w:rPr>
          <w:rStyle w:val="FootnoteReference"/>
          <w:rFonts w:ascii="Franklin Gothic Book" w:hAnsi="Franklin Gothic Book"/>
          <w:color w:val="000000"/>
          <w:sz w:val="22"/>
          <w:szCs w:val="20"/>
          <w:lang w:eastAsia="en-AU"/>
        </w:rPr>
        <w:footnoteReference w:id="2"/>
      </w:r>
      <w:r>
        <w:rPr>
          <w:rFonts w:ascii="Franklin Gothic Book" w:hAnsi="Franklin Gothic Book"/>
          <w:color w:val="000000"/>
          <w:sz w:val="22"/>
          <w:szCs w:val="20"/>
          <w:lang w:eastAsia="en-AU"/>
        </w:rPr>
        <w:t xml:space="preserve"> and ESC considered harder endpoints should carry more weight.</w:t>
      </w:r>
    </w:p>
    <w:p w14:paraId="6555D2F6" w14:textId="4A263F3D" w:rsidR="00C233D6" w:rsidRPr="00C2126B" w:rsidRDefault="00C233D6" w:rsidP="00C233D6">
      <w:pPr>
        <w:spacing w:after="240"/>
        <w:rPr>
          <w:rFonts w:ascii="Franklin Gothic Book" w:hAnsi="Franklin Gothic Book"/>
          <w:color w:val="000000"/>
          <w:sz w:val="22"/>
          <w:szCs w:val="20"/>
          <w:lang w:eastAsia="en-AU"/>
        </w:rPr>
      </w:pPr>
      <w:r w:rsidRPr="00C2126B">
        <w:rPr>
          <w:rFonts w:ascii="Franklin Gothic Book" w:hAnsi="Franklin Gothic Book"/>
          <w:color w:val="000000"/>
          <w:sz w:val="22"/>
          <w:szCs w:val="20"/>
          <w:lang w:eastAsia="en-AU"/>
        </w:rPr>
        <w:t>ESC noted that disease progression (as measured by progression</w:t>
      </w:r>
      <w:r>
        <w:rPr>
          <w:rFonts w:ascii="Franklin Gothic Book" w:hAnsi="Franklin Gothic Book"/>
          <w:color w:val="000000"/>
          <w:sz w:val="22"/>
          <w:szCs w:val="20"/>
          <w:lang w:eastAsia="en-AU"/>
        </w:rPr>
        <w:t>-</w:t>
      </w:r>
      <w:r w:rsidRPr="00C2126B">
        <w:rPr>
          <w:rFonts w:ascii="Franklin Gothic Book" w:hAnsi="Franklin Gothic Book"/>
          <w:color w:val="000000"/>
          <w:sz w:val="22"/>
          <w:szCs w:val="20"/>
          <w:lang w:eastAsia="en-AU"/>
        </w:rPr>
        <w:t xml:space="preserve">free survival [PFS]) would likely be a more reliable endpoint as it does not include changing to a new lymphoma therapy. However, ESC noted that PFS would likely still be biased due to the trial design with patients in the SoC arm assessed </w:t>
      </w:r>
      <w:r w:rsidRPr="00CD05BB">
        <w:rPr>
          <w:rFonts w:ascii="Franklin Gothic Book" w:hAnsi="Franklin Gothic Book"/>
          <w:color w:val="000000"/>
          <w:sz w:val="22"/>
          <w:szCs w:val="20"/>
          <w:lang w:eastAsia="en-AU"/>
        </w:rPr>
        <w:t>at a potentially earlier time point</w:t>
      </w:r>
      <w:r w:rsidRPr="00CD05BB" w:rsidDel="00CD05BB">
        <w:rPr>
          <w:rFonts w:ascii="Franklin Gothic Book" w:hAnsi="Franklin Gothic Book"/>
          <w:color w:val="000000"/>
          <w:sz w:val="22"/>
          <w:szCs w:val="20"/>
          <w:lang w:eastAsia="en-AU"/>
        </w:rPr>
        <w:t xml:space="preserve"> </w:t>
      </w:r>
      <w:r w:rsidRPr="00C2126B">
        <w:rPr>
          <w:rFonts w:ascii="Franklin Gothic Book" w:hAnsi="Franklin Gothic Book"/>
          <w:color w:val="000000"/>
          <w:sz w:val="22"/>
          <w:szCs w:val="20"/>
          <w:lang w:eastAsia="en-AU"/>
        </w:rPr>
        <w:t>than those in the AXI arm, however considered that PFS</w:t>
      </w:r>
      <w:r>
        <w:rPr>
          <w:rFonts w:ascii="Franklin Gothic Book" w:hAnsi="Franklin Gothic Book"/>
          <w:color w:val="000000"/>
          <w:sz w:val="22"/>
          <w:szCs w:val="20"/>
          <w:lang w:eastAsia="en-AU"/>
        </w:rPr>
        <w:t>, along with overall survival,</w:t>
      </w:r>
      <w:r w:rsidRPr="00C2126B">
        <w:rPr>
          <w:rFonts w:ascii="Franklin Gothic Book" w:hAnsi="Franklin Gothic Book"/>
          <w:color w:val="000000"/>
          <w:sz w:val="22"/>
          <w:szCs w:val="20"/>
          <w:lang w:eastAsia="en-AU"/>
        </w:rPr>
        <w:t xml:space="preserve"> </w:t>
      </w:r>
      <w:r>
        <w:rPr>
          <w:rFonts w:ascii="Franklin Gothic Book" w:hAnsi="Franklin Gothic Book"/>
          <w:color w:val="000000"/>
          <w:sz w:val="22"/>
          <w:szCs w:val="20"/>
          <w:lang w:eastAsia="en-AU"/>
        </w:rPr>
        <w:t>are</w:t>
      </w:r>
      <w:r w:rsidRPr="00C2126B">
        <w:rPr>
          <w:rFonts w:ascii="Franklin Gothic Book" w:hAnsi="Franklin Gothic Book"/>
          <w:color w:val="000000"/>
          <w:sz w:val="22"/>
          <w:szCs w:val="20"/>
          <w:lang w:eastAsia="en-AU"/>
        </w:rPr>
        <w:t xml:space="preserve"> more appropriate endpoint</w:t>
      </w:r>
      <w:r>
        <w:rPr>
          <w:rFonts w:ascii="Franklin Gothic Book" w:hAnsi="Franklin Gothic Book"/>
          <w:color w:val="000000"/>
          <w:sz w:val="22"/>
          <w:szCs w:val="20"/>
          <w:lang w:eastAsia="en-AU"/>
        </w:rPr>
        <w:t>s</w:t>
      </w:r>
      <w:r w:rsidRPr="00C2126B">
        <w:rPr>
          <w:rFonts w:ascii="Franklin Gothic Book" w:hAnsi="Franklin Gothic Book"/>
          <w:color w:val="000000"/>
          <w:sz w:val="22"/>
          <w:szCs w:val="20"/>
          <w:lang w:eastAsia="en-AU"/>
        </w:rPr>
        <w:t xml:space="preserve"> for MSAC consideration.</w:t>
      </w:r>
    </w:p>
    <w:p w14:paraId="288B1237" w14:textId="77777777" w:rsidR="00C233D6" w:rsidRDefault="00C233D6" w:rsidP="00C233D6">
      <w:pPr>
        <w:spacing w:after="240"/>
        <w:rPr>
          <w:rFonts w:ascii="Franklin Gothic Book" w:hAnsi="Franklin Gothic Book"/>
          <w:color w:val="000000"/>
          <w:sz w:val="22"/>
          <w:szCs w:val="20"/>
          <w:lang w:eastAsia="en-AU"/>
        </w:rPr>
      </w:pPr>
      <w:r w:rsidRPr="00C2126B">
        <w:rPr>
          <w:rFonts w:ascii="Franklin Gothic Book" w:hAnsi="Franklin Gothic Book"/>
          <w:color w:val="000000"/>
          <w:sz w:val="22"/>
          <w:szCs w:val="20"/>
          <w:lang w:eastAsia="en-AU"/>
        </w:rPr>
        <w:t xml:space="preserve">ESC noted that when considering the difference in overall survival (a more objective endpoint), at the </w:t>
      </w:r>
      <w:r>
        <w:rPr>
          <w:rFonts w:ascii="Franklin Gothic Book" w:hAnsi="Franklin Gothic Book"/>
          <w:color w:val="000000"/>
          <w:sz w:val="22"/>
          <w:szCs w:val="20"/>
          <w:lang w:eastAsia="en-AU"/>
        </w:rPr>
        <w:t>median follow-up of 24.9 months</w:t>
      </w:r>
      <w:r w:rsidRPr="00C2126B">
        <w:rPr>
          <w:rFonts w:ascii="Franklin Gothic Book" w:hAnsi="Franklin Gothic Book"/>
          <w:color w:val="000000"/>
          <w:sz w:val="22"/>
          <w:szCs w:val="20"/>
          <w:lang w:eastAsia="en-AU"/>
        </w:rPr>
        <w:t xml:space="preserve">, 64 out of </w:t>
      </w:r>
      <w:r w:rsidRPr="00DA0335">
        <w:rPr>
          <w:rFonts w:ascii="Franklin Gothic Book" w:hAnsi="Franklin Gothic Book"/>
          <w:color w:val="000000"/>
          <w:sz w:val="22"/>
          <w:szCs w:val="20"/>
          <w:lang w:eastAsia="en-AU"/>
        </w:rPr>
        <w:t>180</w:t>
      </w:r>
      <w:r w:rsidRPr="00C2126B">
        <w:rPr>
          <w:rFonts w:ascii="Franklin Gothic Book" w:hAnsi="Franklin Gothic Book"/>
          <w:color w:val="000000"/>
          <w:sz w:val="22"/>
          <w:szCs w:val="20"/>
          <w:lang w:eastAsia="en-AU"/>
        </w:rPr>
        <w:t xml:space="preserve"> participants in the </w:t>
      </w:r>
      <w:r>
        <w:rPr>
          <w:rFonts w:ascii="Franklin Gothic Book" w:hAnsi="Franklin Gothic Book"/>
          <w:color w:val="000000"/>
          <w:sz w:val="22"/>
          <w:szCs w:val="20"/>
          <w:lang w:eastAsia="en-AU"/>
        </w:rPr>
        <w:t>AXI</w:t>
      </w:r>
      <w:r w:rsidRPr="00C2126B">
        <w:rPr>
          <w:rFonts w:ascii="Franklin Gothic Book" w:hAnsi="Franklin Gothic Book"/>
          <w:color w:val="000000"/>
          <w:sz w:val="22"/>
          <w:szCs w:val="20"/>
          <w:lang w:eastAsia="en-AU"/>
        </w:rPr>
        <w:t xml:space="preserve"> arm had died and 7</w:t>
      </w:r>
      <w:r>
        <w:rPr>
          <w:rFonts w:ascii="Franklin Gothic Book" w:hAnsi="Franklin Gothic Book"/>
          <w:color w:val="000000"/>
          <w:sz w:val="22"/>
          <w:szCs w:val="20"/>
          <w:lang w:eastAsia="en-AU"/>
        </w:rPr>
        <w:t>5</w:t>
      </w:r>
      <w:r w:rsidRPr="00C2126B">
        <w:rPr>
          <w:rFonts w:ascii="Franklin Gothic Book" w:hAnsi="Franklin Gothic Book"/>
          <w:color w:val="000000"/>
          <w:sz w:val="22"/>
          <w:szCs w:val="20"/>
          <w:lang w:eastAsia="en-AU"/>
        </w:rPr>
        <w:t xml:space="preserve"> out of </w:t>
      </w:r>
      <w:r w:rsidRPr="00DA0335">
        <w:rPr>
          <w:rFonts w:ascii="Franklin Gothic Book" w:hAnsi="Franklin Gothic Book"/>
          <w:color w:val="000000"/>
          <w:sz w:val="22"/>
          <w:szCs w:val="20"/>
          <w:lang w:eastAsia="en-AU"/>
        </w:rPr>
        <w:t>179</w:t>
      </w:r>
      <w:r w:rsidRPr="00C2126B">
        <w:rPr>
          <w:rFonts w:ascii="Franklin Gothic Book" w:hAnsi="Franklin Gothic Book"/>
          <w:color w:val="000000"/>
          <w:sz w:val="22"/>
          <w:szCs w:val="20"/>
          <w:lang w:eastAsia="en-AU"/>
        </w:rPr>
        <w:t xml:space="preserve"> participants in the </w:t>
      </w:r>
      <w:r>
        <w:rPr>
          <w:rFonts w:ascii="Franklin Gothic Book" w:hAnsi="Franklin Gothic Book"/>
          <w:color w:val="000000"/>
          <w:sz w:val="22"/>
          <w:szCs w:val="20"/>
          <w:lang w:eastAsia="en-AU"/>
        </w:rPr>
        <w:t>SoC</w:t>
      </w:r>
      <w:r w:rsidRPr="00C2126B">
        <w:rPr>
          <w:rFonts w:ascii="Franklin Gothic Book" w:hAnsi="Franklin Gothic Book"/>
          <w:color w:val="000000"/>
          <w:sz w:val="22"/>
          <w:szCs w:val="20"/>
          <w:lang w:eastAsia="en-AU"/>
        </w:rPr>
        <w:t xml:space="preserve"> arm had died due to various causes. </w:t>
      </w:r>
      <w:r>
        <w:rPr>
          <w:rFonts w:ascii="Franklin Gothic Book" w:hAnsi="Franklin Gothic Book"/>
          <w:color w:val="000000"/>
          <w:sz w:val="22"/>
          <w:szCs w:val="20"/>
          <w:lang w:eastAsia="en-AU"/>
        </w:rPr>
        <w:t>A total of</w:t>
      </w:r>
      <w:r w:rsidRPr="00C2126B">
        <w:rPr>
          <w:rFonts w:ascii="Franklin Gothic Book" w:hAnsi="Franklin Gothic Book"/>
          <w:color w:val="000000"/>
          <w:sz w:val="22"/>
          <w:szCs w:val="20"/>
          <w:lang w:eastAsia="en-AU"/>
        </w:rPr>
        <w:t xml:space="preserve"> </w:t>
      </w:r>
      <w:r>
        <w:rPr>
          <w:rFonts w:ascii="Franklin Gothic Book" w:hAnsi="Franklin Gothic Book"/>
          <w:color w:val="000000"/>
          <w:sz w:val="22"/>
          <w:szCs w:val="20"/>
          <w:lang w:eastAsia="en-AU"/>
        </w:rPr>
        <w:t>52 participants (</w:t>
      </w:r>
      <w:r w:rsidRPr="00C2126B">
        <w:rPr>
          <w:rFonts w:ascii="Franklin Gothic Book" w:hAnsi="Franklin Gothic Book"/>
          <w:color w:val="000000"/>
          <w:sz w:val="22"/>
          <w:szCs w:val="20"/>
          <w:lang w:eastAsia="en-AU"/>
        </w:rPr>
        <w:t>29%</w:t>
      </w:r>
      <w:r>
        <w:rPr>
          <w:rFonts w:ascii="Franklin Gothic Book" w:hAnsi="Franklin Gothic Book"/>
          <w:color w:val="000000"/>
          <w:sz w:val="22"/>
          <w:szCs w:val="20"/>
          <w:lang w:eastAsia="en-AU"/>
        </w:rPr>
        <w:t>)</w:t>
      </w:r>
      <w:r w:rsidRPr="00C2126B">
        <w:rPr>
          <w:rFonts w:ascii="Franklin Gothic Book" w:hAnsi="Franklin Gothic Book"/>
          <w:color w:val="000000"/>
          <w:sz w:val="22"/>
          <w:szCs w:val="20"/>
          <w:lang w:eastAsia="en-AU"/>
        </w:rPr>
        <w:t xml:space="preserve"> patients in the AXI arm and </w:t>
      </w:r>
      <w:r>
        <w:rPr>
          <w:rFonts w:ascii="Franklin Gothic Book" w:hAnsi="Franklin Gothic Book"/>
          <w:color w:val="000000"/>
          <w:sz w:val="22"/>
          <w:szCs w:val="20"/>
          <w:lang w:eastAsia="en-AU"/>
        </w:rPr>
        <w:t>65 (</w:t>
      </w:r>
      <w:r w:rsidRPr="00C2126B">
        <w:rPr>
          <w:rFonts w:ascii="Franklin Gothic Book" w:hAnsi="Franklin Gothic Book"/>
          <w:color w:val="000000"/>
          <w:sz w:val="22"/>
          <w:szCs w:val="20"/>
          <w:lang w:eastAsia="en-AU"/>
        </w:rPr>
        <w:t>36%</w:t>
      </w:r>
      <w:r>
        <w:rPr>
          <w:rFonts w:ascii="Franklin Gothic Book" w:hAnsi="Franklin Gothic Book"/>
          <w:color w:val="000000"/>
          <w:sz w:val="22"/>
          <w:szCs w:val="20"/>
          <w:lang w:eastAsia="en-AU"/>
        </w:rPr>
        <w:t>)</w:t>
      </w:r>
      <w:r w:rsidRPr="00C2126B">
        <w:rPr>
          <w:rFonts w:ascii="Franklin Gothic Book" w:hAnsi="Franklin Gothic Book"/>
          <w:color w:val="000000"/>
          <w:sz w:val="22"/>
          <w:szCs w:val="20"/>
          <w:lang w:eastAsia="en-AU"/>
        </w:rPr>
        <w:t xml:space="preserve"> in the SoC arm had died due to disease progression. </w:t>
      </w:r>
      <w:r>
        <w:rPr>
          <w:rFonts w:ascii="Franklin Gothic Book" w:hAnsi="Franklin Gothic Book"/>
          <w:color w:val="000000"/>
          <w:sz w:val="22"/>
          <w:szCs w:val="20"/>
          <w:lang w:eastAsia="en-AU"/>
        </w:rPr>
        <w:t xml:space="preserve">The Clinical Study Report addendum reported an update to the interim OS analysis, which was reported in the ADAR. </w:t>
      </w:r>
      <w:r w:rsidRPr="00C2126B">
        <w:rPr>
          <w:rFonts w:ascii="Franklin Gothic Book" w:hAnsi="Franklin Gothic Book"/>
          <w:color w:val="000000"/>
          <w:sz w:val="22"/>
          <w:szCs w:val="20"/>
          <w:lang w:eastAsia="en-AU"/>
        </w:rPr>
        <w:t>ESC further noted that whether the differences in overall survival were statistically significant or not were heavily influenced by the timepoint at which the analysis occurred</w:t>
      </w:r>
      <w:r>
        <w:rPr>
          <w:rFonts w:ascii="Franklin Gothic Book" w:hAnsi="Franklin Gothic Book"/>
          <w:color w:val="000000"/>
          <w:sz w:val="22"/>
          <w:szCs w:val="20"/>
          <w:lang w:eastAsia="en-AU"/>
        </w:rPr>
        <w:t xml:space="preserve"> and whether the results were adjusted for treatment switching:</w:t>
      </w:r>
    </w:p>
    <w:p w14:paraId="7A46A291" w14:textId="77777777" w:rsidR="00C233D6" w:rsidRDefault="00C233D6" w:rsidP="00D51B1C">
      <w:pPr>
        <w:pStyle w:val="ListParagraph"/>
        <w:numPr>
          <w:ilvl w:val="0"/>
          <w:numId w:val="19"/>
        </w:numPr>
        <w:spacing w:after="240"/>
        <w:rPr>
          <w:rFonts w:ascii="Franklin Gothic Book" w:hAnsi="Franklin Gothic Book"/>
          <w:color w:val="000000"/>
          <w:sz w:val="22"/>
          <w:szCs w:val="20"/>
          <w:lang w:eastAsia="en-AU"/>
        </w:rPr>
      </w:pPr>
      <w:r w:rsidRPr="00411B75">
        <w:rPr>
          <w:rFonts w:ascii="Franklin Gothic Book" w:hAnsi="Franklin Gothic Book"/>
          <w:color w:val="000000"/>
          <w:sz w:val="22"/>
          <w:szCs w:val="20"/>
          <w:lang w:eastAsia="en-AU"/>
        </w:rPr>
        <w:t>The</w:t>
      </w:r>
      <w:r>
        <w:rPr>
          <w:rFonts w:ascii="Franklin Gothic Book" w:hAnsi="Franklin Gothic Book"/>
          <w:color w:val="000000"/>
          <w:sz w:val="22"/>
          <w:szCs w:val="20"/>
          <w:lang w:eastAsia="en-AU"/>
        </w:rPr>
        <w:t xml:space="preserve"> median overall survival evaluated as an</w:t>
      </w:r>
      <w:r w:rsidRPr="00411B75">
        <w:rPr>
          <w:rFonts w:ascii="Franklin Gothic Book" w:hAnsi="Franklin Gothic Book"/>
          <w:color w:val="000000"/>
          <w:sz w:val="22"/>
          <w:szCs w:val="20"/>
          <w:lang w:eastAsia="en-AU"/>
        </w:rPr>
        <w:t xml:space="preserve"> interim analysis </w:t>
      </w:r>
      <w:r>
        <w:rPr>
          <w:rFonts w:ascii="Franklin Gothic Book" w:hAnsi="Franklin Gothic Book"/>
          <w:color w:val="000000"/>
          <w:sz w:val="22"/>
          <w:szCs w:val="20"/>
          <w:lang w:eastAsia="en-AU"/>
        </w:rPr>
        <w:t xml:space="preserve">in the ZUMA-7 trial publication reported </w:t>
      </w:r>
      <w:r w:rsidRPr="00411B75">
        <w:rPr>
          <w:rFonts w:ascii="Franklin Gothic Book" w:hAnsi="Franklin Gothic Book"/>
          <w:color w:val="000000"/>
          <w:sz w:val="22"/>
          <w:szCs w:val="20"/>
          <w:lang w:eastAsia="en-AU"/>
        </w:rPr>
        <w:t xml:space="preserve">no </w:t>
      </w:r>
      <w:r>
        <w:rPr>
          <w:rFonts w:ascii="Franklin Gothic Book" w:hAnsi="Franklin Gothic Book"/>
          <w:color w:val="000000"/>
          <w:sz w:val="22"/>
          <w:szCs w:val="20"/>
          <w:lang w:eastAsia="en-AU"/>
        </w:rPr>
        <w:t xml:space="preserve">statistically significant </w:t>
      </w:r>
      <w:r w:rsidRPr="00411B75">
        <w:rPr>
          <w:rFonts w:ascii="Franklin Gothic Book" w:hAnsi="Franklin Gothic Book"/>
          <w:color w:val="000000"/>
          <w:sz w:val="22"/>
          <w:szCs w:val="20"/>
          <w:lang w:eastAsia="en-AU"/>
        </w:rPr>
        <w:t>difference in OS (HR = 0.73</w:t>
      </w:r>
      <w:r>
        <w:rPr>
          <w:rFonts w:ascii="Franklin Gothic Book" w:hAnsi="Franklin Gothic Book"/>
          <w:color w:val="000000"/>
          <w:sz w:val="22"/>
          <w:szCs w:val="20"/>
          <w:lang w:eastAsia="en-AU"/>
        </w:rPr>
        <w:t xml:space="preserve"> [95% CI: 0.52, 1.01) compared with the updated interim analysis reported in the ADAR which showed a difference in favour of AXI (</w:t>
      </w:r>
      <w:r w:rsidRPr="002A1808">
        <w:rPr>
          <w:rFonts w:ascii="Franklin Gothic Book" w:hAnsi="Franklin Gothic Book"/>
          <w:color w:val="000000"/>
          <w:sz w:val="22"/>
          <w:szCs w:val="20"/>
          <w:lang w:eastAsia="en-AU"/>
        </w:rPr>
        <w:t>HR = 0.7</w:t>
      </w:r>
      <w:r>
        <w:rPr>
          <w:rFonts w:ascii="Franklin Gothic Book" w:hAnsi="Franklin Gothic Book"/>
          <w:color w:val="000000"/>
          <w:sz w:val="22"/>
          <w:szCs w:val="20"/>
          <w:lang w:eastAsia="en-AU"/>
        </w:rPr>
        <w:t>08 [95% CI: 0.515, 0.972])</w:t>
      </w:r>
    </w:p>
    <w:p w14:paraId="02D785AC" w14:textId="048DACAE" w:rsidR="00C233D6" w:rsidRDefault="00C233D6" w:rsidP="00D51B1C">
      <w:pPr>
        <w:pStyle w:val="ListParagraph"/>
        <w:numPr>
          <w:ilvl w:val="0"/>
          <w:numId w:val="19"/>
        </w:numPr>
        <w:spacing w:after="240"/>
        <w:rPr>
          <w:rFonts w:ascii="Franklin Gothic Book" w:hAnsi="Franklin Gothic Book"/>
          <w:color w:val="000000"/>
          <w:sz w:val="22"/>
          <w:szCs w:val="20"/>
          <w:lang w:eastAsia="en-AU"/>
        </w:rPr>
      </w:pPr>
      <w:r>
        <w:rPr>
          <w:rFonts w:ascii="Franklin Gothic Book" w:hAnsi="Franklin Gothic Book"/>
          <w:color w:val="000000"/>
          <w:sz w:val="22"/>
          <w:szCs w:val="20"/>
          <w:lang w:eastAsia="en-AU"/>
        </w:rPr>
        <w:t>Results of a prespecified sensitivity analysis which was conducted to address the confounding effects of treatment switching showed a difference in favour of AXI using the rank-preserving structural failure time model (RPSFT</w:t>
      </w:r>
      <w:proofErr w:type="gramStart"/>
      <w:r>
        <w:rPr>
          <w:rFonts w:ascii="Franklin Gothic Book" w:hAnsi="Franklin Gothic Book"/>
          <w:color w:val="000000"/>
          <w:sz w:val="22"/>
          <w:szCs w:val="20"/>
          <w:lang w:eastAsia="en-AU"/>
        </w:rPr>
        <w:t>)</w:t>
      </w:r>
      <w:proofErr w:type="gramEnd"/>
      <w:r>
        <w:rPr>
          <w:rFonts w:ascii="Franklin Gothic Book" w:hAnsi="Franklin Gothic Book"/>
          <w:color w:val="000000"/>
          <w:sz w:val="22"/>
          <w:szCs w:val="20"/>
          <w:lang w:eastAsia="en-AU"/>
        </w:rPr>
        <w:t xml:space="preserve"> but no difference was observed using the inverse probability of censoring weights model (IPCW) [</w:t>
      </w:r>
      <w:r w:rsidRPr="002A1808">
        <w:rPr>
          <w:rFonts w:ascii="Franklin Gothic Book" w:hAnsi="Franklin Gothic Book"/>
          <w:color w:val="000000"/>
          <w:sz w:val="22"/>
          <w:szCs w:val="20"/>
          <w:lang w:eastAsia="en-AU"/>
        </w:rPr>
        <w:t>HR = 0.</w:t>
      </w:r>
      <w:r>
        <w:rPr>
          <w:rFonts w:ascii="Franklin Gothic Book" w:hAnsi="Franklin Gothic Book"/>
          <w:color w:val="000000"/>
          <w:sz w:val="22"/>
          <w:szCs w:val="20"/>
          <w:lang w:eastAsia="en-AU"/>
        </w:rPr>
        <w:t>58 [95% CI: 0.42, 0.81) vs.</w:t>
      </w:r>
      <w:r w:rsidRPr="001C75E0">
        <w:rPr>
          <w:rFonts w:ascii="Franklin Gothic Book" w:hAnsi="Franklin Gothic Book"/>
          <w:color w:val="000000"/>
          <w:sz w:val="22"/>
          <w:szCs w:val="20"/>
          <w:lang w:eastAsia="en-AU"/>
        </w:rPr>
        <w:t xml:space="preserve"> </w:t>
      </w:r>
      <w:r w:rsidRPr="002A1808">
        <w:rPr>
          <w:rFonts w:ascii="Franklin Gothic Book" w:hAnsi="Franklin Gothic Book"/>
          <w:color w:val="000000"/>
          <w:sz w:val="22"/>
          <w:szCs w:val="20"/>
          <w:lang w:eastAsia="en-AU"/>
        </w:rPr>
        <w:t>HR = 0.</w:t>
      </w:r>
      <w:r>
        <w:rPr>
          <w:rFonts w:ascii="Franklin Gothic Book" w:hAnsi="Franklin Gothic Book"/>
          <w:color w:val="000000"/>
          <w:sz w:val="22"/>
          <w:szCs w:val="20"/>
          <w:lang w:eastAsia="en-AU"/>
        </w:rPr>
        <w:t>70 [95% CI: 0.46, 1.05, respectively).</w:t>
      </w:r>
    </w:p>
    <w:p w14:paraId="212FC7AA" w14:textId="77777777" w:rsidR="00C233D6" w:rsidRPr="00411B75" w:rsidRDefault="00C233D6" w:rsidP="00C233D6">
      <w:pPr>
        <w:spacing w:after="240"/>
        <w:rPr>
          <w:rFonts w:ascii="Franklin Gothic Book" w:hAnsi="Franklin Gothic Book"/>
          <w:color w:val="000000"/>
          <w:sz w:val="22"/>
          <w:szCs w:val="20"/>
          <w:lang w:eastAsia="en-AU"/>
        </w:rPr>
      </w:pPr>
      <w:r>
        <w:rPr>
          <w:rFonts w:ascii="Franklin Gothic Book" w:hAnsi="Franklin Gothic Book"/>
          <w:color w:val="000000"/>
          <w:sz w:val="22"/>
          <w:szCs w:val="20"/>
          <w:lang w:eastAsia="en-AU"/>
        </w:rPr>
        <w:t xml:space="preserve">ESC considered that the long-term incremental benefit is highly uncertain as there was no data on survival beyond 2 years where the hazard curves </w:t>
      </w:r>
      <w:r w:rsidRPr="00977505">
        <w:rPr>
          <w:rFonts w:ascii="Franklin Gothic Book" w:hAnsi="Franklin Gothic Book"/>
          <w:color w:val="000000"/>
          <w:sz w:val="22"/>
          <w:szCs w:val="20"/>
          <w:lang w:eastAsia="en-AU"/>
        </w:rPr>
        <w:t>are observed to</w:t>
      </w:r>
      <w:r>
        <w:rPr>
          <w:rFonts w:ascii="Franklin Gothic Book" w:hAnsi="Franklin Gothic Book"/>
          <w:color w:val="000000"/>
          <w:sz w:val="22"/>
          <w:szCs w:val="20"/>
          <w:lang w:eastAsia="en-AU"/>
        </w:rPr>
        <w:t xml:space="preserve"> approximate and there appears to be comparable death rates in both arms at ~24 months to 28 months (N at risk in SoC arm: 27% to 12%, respectively). </w:t>
      </w:r>
      <w:r w:rsidRPr="0027306F">
        <w:rPr>
          <w:rFonts w:ascii="Franklin Gothic Book" w:hAnsi="Franklin Gothic Book"/>
          <w:color w:val="000000"/>
          <w:sz w:val="22"/>
          <w:szCs w:val="20"/>
          <w:lang w:eastAsia="en-AU"/>
        </w:rPr>
        <w:t xml:space="preserve">ESC noted that the data </w:t>
      </w:r>
      <w:proofErr w:type="spellStart"/>
      <w:r>
        <w:rPr>
          <w:rFonts w:ascii="Franklin Gothic Book" w:hAnsi="Franklin Gothic Book"/>
          <w:color w:val="000000"/>
          <w:sz w:val="22"/>
          <w:szCs w:val="20"/>
          <w:lang w:eastAsia="en-AU"/>
        </w:rPr>
        <w:t>cutoff</w:t>
      </w:r>
      <w:proofErr w:type="spellEnd"/>
      <w:r>
        <w:rPr>
          <w:rFonts w:ascii="Franklin Gothic Book" w:hAnsi="Franklin Gothic Book"/>
          <w:color w:val="000000"/>
          <w:sz w:val="22"/>
          <w:szCs w:val="20"/>
          <w:lang w:eastAsia="en-AU"/>
        </w:rPr>
        <w:t xml:space="preserve"> for data used </w:t>
      </w:r>
      <w:r w:rsidRPr="0027306F">
        <w:rPr>
          <w:rFonts w:ascii="Franklin Gothic Book" w:hAnsi="Franklin Gothic Book"/>
          <w:color w:val="000000"/>
          <w:sz w:val="22"/>
          <w:szCs w:val="20"/>
          <w:lang w:eastAsia="en-AU"/>
        </w:rPr>
        <w:t xml:space="preserve">in the ADAR </w:t>
      </w:r>
      <w:r>
        <w:rPr>
          <w:rFonts w:ascii="Franklin Gothic Book" w:hAnsi="Franklin Gothic Book"/>
          <w:color w:val="000000"/>
          <w:sz w:val="22"/>
          <w:szCs w:val="20"/>
          <w:lang w:eastAsia="en-AU"/>
        </w:rPr>
        <w:t>was 2021 (</w:t>
      </w:r>
      <w:proofErr w:type="spellStart"/>
      <w:r>
        <w:rPr>
          <w:rFonts w:ascii="Franklin Gothic Book" w:hAnsi="Franklin Gothic Book"/>
          <w:color w:val="000000"/>
          <w:sz w:val="22"/>
          <w:szCs w:val="20"/>
          <w:lang w:eastAsia="en-AU"/>
        </w:rPr>
        <w:t>ie</w:t>
      </w:r>
      <w:proofErr w:type="spellEnd"/>
      <w:r>
        <w:rPr>
          <w:rFonts w:ascii="Franklin Gothic Book" w:hAnsi="Franklin Gothic Book"/>
          <w:color w:val="000000"/>
          <w:sz w:val="22"/>
          <w:szCs w:val="20"/>
          <w:lang w:eastAsia="en-AU"/>
        </w:rPr>
        <w:t>. 2 years ago)</w:t>
      </w:r>
      <w:r w:rsidRPr="0027306F">
        <w:rPr>
          <w:rFonts w:ascii="Franklin Gothic Book" w:hAnsi="Franklin Gothic Book"/>
          <w:color w:val="000000"/>
          <w:sz w:val="22"/>
          <w:szCs w:val="20"/>
          <w:lang w:eastAsia="en-AU"/>
        </w:rPr>
        <w:t xml:space="preserve"> and considered that an updated analysis of overall survival would be informative</w:t>
      </w:r>
      <w:r>
        <w:rPr>
          <w:rFonts w:ascii="Franklin Gothic Book" w:hAnsi="Franklin Gothic Book"/>
          <w:color w:val="000000"/>
          <w:sz w:val="22"/>
          <w:szCs w:val="20"/>
          <w:lang w:eastAsia="en-AU"/>
        </w:rPr>
        <w:t xml:space="preserve">, </w:t>
      </w:r>
      <w:r w:rsidRPr="003C0FD3">
        <w:rPr>
          <w:rFonts w:ascii="Franklin Gothic Book" w:hAnsi="Franklin Gothic Book"/>
          <w:color w:val="000000"/>
          <w:sz w:val="22"/>
          <w:szCs w:val="20"/>
          <w:lang w:eastAsia="en-AU"/>
        </w:rPr>
        <w:t>including to inform or validate the modelled OS</w:t>
      </w:r>
      <w:r>
        <w:rPr>
          <w:rFonts w:ascii="Franklin Gothic Book" w:hAnsi="Franklin Gothic Book"/>
          <w:color w:val="000000"/>
          <w:sz w:val="22"/>
          <w:szCs w:val="20"/>
          <w:lang w:eastAsia="en-AU"/>
        </w:rPr>
        <w:t>.</w:t>
      </w:r>
    </w:p>
    <w:p w14:paraId="410B96BB" w14:textId="05B4CF9F" w:rsidR="00C233D6" w:rsidRPr="00C2126B" w:rsidRDefault="00C233D6" w:rsidP="00C233D6">
      <w:pPr>
        <w:spacing w:after="240"/>
        <w:rPr>
          <w:rFonts w:ascii="Franklin Gothic Book" w:hAnsi="Franklin Gothic Book"/>
          <w:color w:val="000000"/>
          <w:sz w:val="22"/>
          <w:szCs w:val="20"/>
          <w:lang w:eastAsia="en-AU"/>
        </w:rPr>
      </w:pPr>
      <w:r w:rsidRPr="00C2126B">
        <w:rPr>
          <w:rFonts w:ascii="Franklin Gothic Book" w:hAnsi="Franklin Gothic Book"/>
          <w:color w:val="000000"/>
          <w:sz w:val="22"/>
          <w:szCs w:val="20"/>
          <w:lang w:eastAsia="en-AU"/>
        </w:rPr>
        <w:lastRenderedPageBreak/>
        <w:t>ESC noted that the ADAR presented a cost-utility analysis. The economic analysis use</w:t>
      </w:r>
      <w:r>
        <w:rPr>
          <w:rFonts w:ascii="Franklin Gothic Book" w:hAnsi="Franklin Gothic Book"/>
          <w:color w:val="000000"/>
          <w:sz w:val="22"/>
          <w:szCs w:val="20"/>
          <w:lang w:eastAsia="en-AU"/>
        </w:rPr>
        <w:t>d</w:t>
      </w:r>
      <w:r w:rsidRPr="00C2126B">
        <w:rPr>
          <w:rFonts w:ascii="Franklin Gothic Book" w:hAnsi="Franklin Gothic Book"/>
          <w:color w:val="000000"/>
          <w:sz w:val="22"/>
          <w:szCs w:val="20"/>
          <w:lang w:eastAsia="en-AU"/>
        </w:rPr>
        <w:t xml:space="preserve"> a mixed cure fraction model to extrapolate the overall survival (OS) for patients with LBCL in the model. ESC noted that this model type is typically used when a long period of disease stabilisation has been observed; and that this was not the case with the evidence presented for AXI. ESC considered that based on the ZUMA</w:t>
      </w:r>
      <w:r>
        <w:rPr>
          <w:rFonts w:ascii="Franklin Gothic Book" w:hAnsi="Franklin Gothic Book"/>
          <w:color w:val="000000"/>
          <w:sz w:val="22"/>
          <w:szCs w:val="20"/>
          <w:lang w:eastAsia="en-AU"/>
        </w:rPr>
        <w:t>-7</w:t>
      </w:r>
      <w:r w:rsidRPr="00C2126B">
        <w:rPr>
          <w:rFonts w:ascii="Franklin Gothic Book" w:hAnsi="Franklin Gothic Book"/>
          <w:color w:val="000000"/>
          <w:sz w:val="22"/>
          <w:szCs w:val="20"/>
          <w:lang w:eastAsia="en-AU"/>
        </w:rPr>
        <w:t xml:space="preserve"> trial data</w:t>
      </w:r>
      <w:r>
        <w:rPr>
          <w:rFonts w:ascii="Franklin Gothic Book" w:hAnsi="Franklin Gothic Book"/>
          <w:color w:val="000000"/>
          <w:sz w:val="22"/>
          <w:szCs w:val="20"/>
          <w:lang w:eastAsia="en-AU"/>
        </w:rPr>
        <w:t>,</w:t>
      </w:r>
      <w:r w:rsidRPr="00C2126B">
        <w:rPr>
          <w:rFonts w:ascii="Franklin Gothic Book" w:hAnsi="Franklin Gothic Book"/>
          <w:color w:val="000000"/>
          <w:sz w:val="22"/>
          <w:szCs w:val="20"/>
          <w:lang w:eastAsia="en-AU"/>
        </w:rPr>
        <w:t xml:space="preserve"> the cure rate may be too optimistic, noting that </w:t>
      </w:r>
      <w:r>
        <w:rPr>
          <w:rFonts w:ascii="Franklin Gothic Book" w:hAnsi="Franklin Gothic Book"/>
          <w:color w:val="000000"/>
          <w:sz w:val="22"/>
          <w:szCs w:val="20"/>
          <w:lang w:eastAsia="en-AU"/>
        </w:rPr>
        <w:t xml:space="preserve">the Kaplan Meier estimates of OS at 24 months after randomisation in the AXI arm were 60.7% (95% CI: 52.8, 67.7%) compared with in the SOC 51.3% (43.4%, 58.7%) reported in the ADAR (see Figure </w:t>
      </w:r>
      <w:r w:rsidR="00D92139">
        <w:rPr>
          <w:rFonts w:ascii="Franklin Gothic Book" w:hAnsi="Franklin Gothic Book"/>
          <w:color w:val="000000"/>
          <w:sz w:val="22"/>
          <w:szCs w:val="20"/>
          <w:lang w:eastAsia="en-AU"/>
        </w:rPr>
        <w:t>1</w:t>
      </w:r>
      <w:r>
        <w:rPr>
          <w:rFonts w:ascii="Franklin Gothic Book" w:hAnsi="Franklin Gothic Book"/>
          <w:color w:val="000000"/>
          <w:sz w:val="22"/>
          <w:szCs w:val="20"/>
          <w:lang w:eastAsia="en-AU"/>
        </w:rPr>
        <w:t>)</w:t>
      </w:r>
      <w:r w:rsidRPr="00C2126B">
        <w:rPr>
          <w:rFonts w:ascii="Franklin Gothic Book" w:hAnsi="Franklin Gothic Book"/>
          <w:color w:val="000000"/>
          <w:sz w:val="22"/>
          <w:szCs w:val="20"/>
          <w:lang w:eastAsia="en-AU"/>
        </w:rPr>
        <w:t xml:space="preserve"> Further, ESC noted that the distribution chosen (generalised gamma) resulted in the most optimistic scenario favouring AXI. The model approach also does not allow for participants experiencing a relapse once they are in the ‘cured’ state</w:t>
      </w:r>
      <w:r>
        <w:rPr>
          <w:rFonts w:ascii="Franklin Gothic Book" w:hAnsi="Franklin Gothic Book"/>
          <w:color w:val="000000"/>
          <w:sz w:val="22"/>
          <w:szCs w:val="20"/>
          <w:lang w:eastAsia="en-AU"/>
        </w:rPr>
        <w:t>.</w:t>
      </w:r>
    </w:p>
    <w:p w14:paraId="74A269D5" w14:textId="506B02AA" w:rsidR="00C233D6" w:rsidRPr="00C2126B" w:rsidRDefault="00C233D6" w:rsidP="00C233D6">
      <w:pPr>
        <w:spacing w:after="240"/>
        <w:rPr>
          <w:rFonts w:ascii="Franklin Gothic Book" w:hAnsi="Franklin Gothic Book"/>
          <w:color w:val="000000"/>
          <w:sz w:val="22"/>
          <w:szCs w:val="20"/>
          <w:lang w:eastAsia="en-AU"/>
        </w:rPr>
      </w:pPr>
      <w:r w:rsidRPr="00C2126B">
        <w:rPr>
          <w:rFonts w:ascii="Franklin Gothic Book" w:hAnsi="Franklin Gothic Book"/>
          <w:color w:val="000000"/>
          <w:sz w:val="22"/>
          <w:szCs w:val="20"/>
          <w:lang w:eastAsia="en-AU"/>
        </w:rPr>
        <w:t xml:space="preserve">ESC noted that the model was primarily driven by the EFS endpoint, </w:t>
      </w:r>
      <w:r>
        <w:rPr>
          <w:rFonts w:ascii="Franklin Gothic Book" w:hAnsi="Franklin Gothic Book"/>
          <w:color w:val="000000"/>
          <w:sz w:val="22"/>
          <w:szCs w:val="20"/>
          <w:lang w:eastAsia="en-AU"/>
        </w:rPr>
        <w:t>which is an unvalidated endpoint and likely favours AXI</w:t>
      </w:r>
      <w:r w:rsidRPr="00C2126B">
        <w:rPr>
          <w:rFonts w:ascii="Franklin Gothic Book" w:hAnsi="Franklin Gothic Book"/>
          <w:color w:val="000000"/>
          <w:sz w:val="22"/>
          <w:szCs w:val="20"/>
          <w:lang w:eastAsia="en-AU"/>
        </w:rPr>
        <w:t xml:space="preserve">. ESC also noted that the EFS endpoint was available to 15 months and after this point distributions were applied. As previously noted, ESC </w:t>
      </w:r>
      <w:r>
        <w:rPr>
          <w:rFonts w:ascii="Franklin Gothic Book" w:hAnsi="Franklin Gothic Book"/>
          <w:color w:val="000000"/>
          <w:sz w:val="22"/>
          <w:szCs w:val="20"/>
          <w:lang w:eastAsia="en-AU"/>
        </w:rPr>
        <w:t>advised</w:t>
      </w:r>
      <w:r w:rsidRPr="00C2126B">
        <w:rPr>
          <w:rFonts w:ascii="Franklin Gothic Book" w:hAnsi="Franklin Gothic Book"/>
          <w:color w:val="000000"/>
          <w:sz w:val="22"/>
          <w:szCs w:val="20"/>
          <w:lang w:eastAsia="en-AU"/>
        </w:rPr>
        <w:t xml:space="preserve"> that PFS would be more appropriate for MSAC consideration and that the model should be re-specified using PFS rather than EFS. ESC noted the base case results presented in the ADAR used a discount rate of 3.5% and ESC considered that there was no justification for this and that the base case should apply a discount rate of 5% as per the guidelines. ESC noted that the ADAR base case used a long time</w:t>
      </w:r>
      <w:r>
        <w:rPr>
          <w:rFonts w:ascii="Franklin Gothic Book" w:hAnsi="Franklin Gothic Book"/>
          <w:color w:val="000000"/>
          <w:sz w:val="22"/>
          <w:szCs w:val="20"/>
          <w:lang w:eastAsia="en-AU"/>
        </w:rPr>
        <w:t>-</w:t>
      </w:r>
      <w:r w:rsidRPr="00C2126B">
        <w:rPr>
          <w:rFonts w:ascii="Franklin Gothic Book" w:hAnsi="Franklin Gothic Book"/>
          <w:color w:val="000000"/>
          <w:sz w:val="22"/>
          <w:szCs w:val="20"/>
          <w:lang w:eastAsia="en-AU"/>
        </w:rPr>
        <w:t>horizon (40 years), and that this</w:t>
      </w:r>
      <w:r>
        <w:rPr>
          <w:rFonts w:ascii="Franklin Gothic Book" w:hAnsi="Franklin Gothic Book"/>
          <w:color w:val="000000"/>
          <w:sz w:val="22"/>
          <w:szCs w:val="20"/>
          <w:lang w:eastAsia="en-AU"/>
        </w:rPr>
        <w:t xml:space="preserve"> </w:t>
      </w:r>
      <w:r w:rsidRPr="00C2126B">
        <w:rPr>
          <w:rFonts w:ascii="Franklin Gothic Book" w:hAnsi="Franklin Gothic Book"/>
          <w:color w:val="000000"/>
          <w:sz w:val="22"/>
          <w:szCs w:val="20"/>
          <w:lang w:eastAsia="en-AU"/>
        </w:rPr>
        <w:t xml:space="preserve">is considerably long for this population and favours AXI. ESC noted that a 30-year time horizon was included in the respecified base case and ESC considered this would be more appropriate given the average age of patients at presentation. ESC noted that the revised discount rate and time horizon (30 years) had been incorporated into a revised base case presented in the commentary. </w:t>
      </w:r>
      <w:r>
        <w:rPr>
          <w:rFonts w:ascii="Franklin Gothic Book" w:hAnsi="Franklin Gothic Book"/>
          <w:color w:val="000000"/>
          <w:sz w:val="22"/>
          <w:szCs w:val="20"/>
          <w:lang w:eastAsia="en-AU"/>
        </w:rPr>
        <w:t xml:space="preserve">While ESC considered that the respecified base-case should be regarded as exploratory due to the issues noted with the use of EFS and model structure, the </w:t>
      </w:r>
      <w:r w:rsidRPr="00C2126B">
        <w:rPr>
          <w:rFonts w:ascii="Franklin Gothic Book" w:hAnsi="Franklin Gothic Book"/>
          <w:color w:val="000000"/>
          <w:sz w:val="22"/>
          <w:szCs w:val="20"/>
          <w:lang w:eastAsia="en-AU"/>
        </w:rPr>
        <w:t>resul</w:t>
      </w:r>
      <w:r>
        <w:rPr>
          <w:rFonts w:ascii="Franklin Gothic Book" w:hAnsi="Franklin Gothic Book"/>
          <w:color w:val="000000"/>
          <w:sz w:val="22"/>
          <w:szCs w:val="20"/>
          <w:lang w:eastAsia="en-AU"/>
        </w:rPr>
        <w:t xml:space="preserve">tant </w:t>
      </w:r>
      <w:r w:rsidRPr="00C2126B">
        <w:rPr>
          <w:rFonts w:ascii="Franklin Gothic Book" w:hAnsi="Franklin Gothic Book"/>
          <w:color w:val="000000"/>
          <w:sz w:val="22"/>
          <w:szCs w:val="20"/>
          <w:lang w:eastAsia="en-AU"/>
        </w:rPr>
        <w:t xml:space="preserve">incremental cost effectiveness ratio (ICER) of </w:t>
      </w:r>
      <w:r w:rsidRPr="00C663CB">
        <w:rPr>
          <w:rFonts w:ascii="Franklin Gothic Book" w:hAnsi="Franklin Gothic Book"/>
          <w:color w:val="000000"/>
          <w:sz w:val="22"/>
          <w:szCs w:val="20"/>
          <w:lang w:eastAsia="en-AU"/>
        </w:rPr>
        <w:t>$</w:t>
      </w:r>
      <w:r w:rsidR="002610F9" w:rsidRPr="002610F9">
        <w:rPr>
          <w:rFonts w:ascii="Franklin Gothic Book" w:hAnsi="Franklin Gothic Book"/>
          <w:color w:val="000000"/>
          <w:w w:val="66"/>
          <w:sz w:val="22"/>
          <w:szCs w:val="20"/>
          <w:shd w:val="solid" w:color="000000" w:fill="000000"/>
          <w:fitText w:val="440" w:id="-1217620214"/>
          <w:lang w:eastAsia="en-AU"/>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0"/>
          <w:shd w:val="solid" w:color="000000" w:fill="000000"/>
          <w:fitText w:val="440" w:id="-1217620214"/>
          <w:lang w:eastAsia="en-AU"/>
          <w14:textFill>
            <w14:solidFill>
              <w14:srgbClr w14:val="000000">
                <w14:alpha w14:val="100000"/>
              </w14:srgbClr>
            </w14:solidFill>
          </w14:textFill>
        </w:rPr>
        <w:t>|</w:t>
      </w:r>
      <w:r w:rsidRPr="00C2126B">
        <w:rPr>
          <w:rFonts w:ascii="Franklin Gothic Book" w:hAnsi="Franklin Gothic Book"/>
          <w:color w:val="000000"/>
          <w:sz w:val="22"/>
          <w:szCs w:val="20"/>
          <w:lang w:eastAsia="en-AU"/>
        </w:rPr>
        <w:t xml:space="preserve"> per quality adjusted life year (QALY) gained</w:t>
      </w:r>
      <w:r>
        <w:rPr>
          <w:rFonts w:ascii="Franklin Gothic Book" w:hAnsi="Franklin Gothic Book"/>
          <w:color w:val="000000"/>
          <w:sz w:val="22"/>
          <w:szCs w:val="20"/>
          <w:lang w:eastAsia="en-AU"/>
        </w:rPr>
        <w:t xml:space="preserve"> was noted</w:t>
      </w:r>
      <w:r w:rsidRPr="00C2126B">
        <w:rPr>
          <w:rFonts w:ascii="Franklin Gothic Book" w:hAnsi="Franklin Gothic Book"/>
          <w:color w:val="000000"/>
          <w:sz w:val="22"/>
          <w:szCs w:val="20"/>
          <w:lang w:eastAsia="en-AU"/>
        </w:rPr>
        <w:t>.</w:t>
      </w:r>
    </w:p>
    <w:p w14:paraId="15C311C8" w14:textId="37063F3D" w:rsidR="00C233D6" w:rsidRPr="00C2126B" w:rsidRDefault="00C233D6" w:rsidP="00C233D6">
      <w:pPr>
        <w:spacing w:after="240"/>
        <w:rPr>
          <w:rFonts w:ascii="Franklin Gothic Book" w:hAnsi="Franklin Gothic Book"/>
          <w:color w:val="000000"/>
          <w:sz w:val="22"/>
          <w:szCs w:val="20"/>
          <w:lang w:eastAsia="en-AU"/>
        </w:rPr>
      </w:pPr>
      <w:r w:rsidRPr="00C2126B">
        <w:rPr>
          <w:rFonts w:ascii="Franklin Gothic Book" w:hAnsi="Franklin Gothic Book"/>
          <w:color w:val="000000"/>
          <w:sz w:val="22"/>
          <w:szCs w:val="20"/>
          <w:lang w:eastAsia="en-AU"/>
        </w:rPr>
        <w:t>ESC noted additional key concerns with the model</w:t>
      </w:r>
      <w:r>
        <w:rPr>
          <w:rFonts w:ascii="Franklin Gothic Book" w:hAnsi="Franklin Gothic Book"/>
          <w:color w:val="000000"/>
          <w:sz w:val="22"/>
          <w:szCs w:val="20"/>
          <w:lang w:eastAsia="en-AU"/>
        </w:rPr>
        <w:t xml:space="preserve"> and investigated these in additional sensitivity analyses (see Table </w:t>
      </w:r>
      <w:r w:rsidR="00863A9C">
        <w:rPr>
          <w:rFonts w:ascii="Franklin Gothic Book" w:hAnsi="Franklin Gothic Book"/>
          <w:color w:val="000000"/>
          <w:sz w:val="22"/>
          <w:szCs w:val="20"/>
          <w:lang w:eastAsia="en-AU"/>
        </w:rPr>
        <w:t>10</w:t>
      </w:r>
      <w:r>
        <w:rPr>
          <w:rFonts w:ascii="Franklin Gothic Book" w:hAnsi="Franklin Gothic Book"/>
          <w:color w:val="000000"/>
          <w:sz w:val="22"/>
          <w:szCs w:val="20"/>
          <w:lang w:eastAsia="en-AU"/>
        </w:rPr>
        <w:t>)</w:t>
      </w:r>
      <w:r w:rsidRPr="00C2126B">
        <w:rPr>
          <w:rFonts w:ascii="Franklin Gothic Book" w:hAnsi="Franklin Gothic Book"/>
          <w:color w:val="000000"/>
          <w:sz w:val="22"/>
          <w:szCs w:val="20"/>
          <w:lang w:eastAsia="en-AU"/>
        </w:rPr>
        <w:t>. Firstly, it assumes one-off cost of $36,000 for both the administration of a CAR-T therapy and treatment of associated AEs. However, ESC noted that it is clear from the literature that this is likely a significant underestimate of costs</w:t>
      </w:r>
      <w:r>
        <w:rPr>
          <w:rFonts w:ascii="Franklin Gothic Book" w:hAnsi="Franklin Gothic Book"/>
          <w:color w:val="000000"/>
          <w:sz w:val="22"/>
          <w:szCs w:val="20"/>
          <w:lang w:eastAsia="en-AU"/>
        </w:rPr>
        <w:t>, due to factors such as treatment of AEs, intensive care unit stays and IVIG usage, with $46,575 per month cited</w:t>
      </w:r>
      <w:r>
        <w:rPr>
          <w:rStyle w:val="FootnoteReference"/>
          <w:rFonts w:ascii="Franklin Gothic Book" w:hAnsi="Franklin Gothic Book"/>
          <w:color w:val="000000"/>
          <w:sz w:val="22"/>
          <w:szCs w:val="20"/>
          <w:lang w:eastAsia="en-AU"/>
        </w:rPr>
        <w:footnoteReference w:id="3"/>
      </w:r>
      <w:r w:rsidRPr="00C2126B">
        <w:rPr>
          <w:rFonts w:ascii="Franklin Gothic Book" w:hAnsi="Franklin Gothic Book"/>
          <w:color w:val="000000"/>
          <w:sz w:val="22"/>
          <w:szCs w:val="20"/>
          <w:lang w:eastAsia="en-AU"/>
        </w:rPr>
        <w:t xml:space="preserve">. ESC also noted that the model only assumed a </w:t>
      </w:r>
      <w:proofErr w:type="gramStart"/>
      <w:r w:rsidRPr="00C2126B">
        <w:rPr>
          <w:rFonts w:ascii="Franklin Gothic Book" w:hAnsi="Franklin Gothic Book"/>
          <w:color w:val="000000"/>
          <w:sz w:val="22"/>
          <w:szCs w:val="20"/>
          <w:lang w:eastAsia="en-AU"/>
        </w:rPr>
        <w:t>one month</w:t>
      </w:r>
      <w:proofErr w:type="gramEnd"/>
      <w:r w:rsidRPr="00C2126B">
        <w:rPr>
          <w:rFonts w:ascii="Franklin Gothic Book" w:hAnsi="Franklin Gothic Book"/>
          <w:color w:val="000000"/>
          <w:sz w:val="22"/>
          <w:szCs w:val="20"/>
          <w:lang w:eastAsia="en-AU"/>
        </w:rPr>
        <w:t xml:space="preserve"> utility decrement associated with CAR-T administration. ESC considered that based on the evidence presented and the literature highlighting the seriousness of the AE profile and significant burden to patients</w:t>
      </w:r>
      <w:r>
        <w:rPr>
          <w:rStyle w:val="FootnoteReference"/>
          <w:rFonts w:ascii="Franklin Gothic Book" w:hAnsi="Franklin Gothic Book"/>
          <w:color w:val="000000"/>
          <w:sz w:val="22"/>
          <w:szCs w:val="20"/>
          <w:lang w:eastAsia="en-AU"/>
        </w:rPr>
        <w:footnoteReference w:id="4"/>
      </w:r>
      <w:r w:rsidRPr="00C2126B">
        <w:rPr>
          <w:rFonts w:ascii="Franklin Gothic Book" w:hAnsi="Franklin Gothic Book"/>
          <w:color w:val="000000"/>
          <w:sz w:val="22"/>
          <w:szCs w:val="20"/>
          <w:lang w:eastAsia="en-AU"/>
        </w:rPr>
        <w:t>, that this would also be a significant underestimate and would favour AXI.</w:t>
      </w:r>
    </w:p>
    <w:p w14:paraId="778DF3CE" w14:textId="2968CFEF" w:rsidR="00C233D6" w:rsidRPr="00C2126B" w:rsidRDefault="00C233D6" w:rsidP="00C233D6">
      <w:pPr>
        <w:spacing w:after="240"/>
        <w:rPr>
          <w:rFonts w:ascii="Franklin Gothic Book" w:hAnsi="Franklin Gothic Book"/>
          <w:color w:val="000000"/>
          <w:sz w:val="22"/>
          <w:szCs w:val="20"/>
          <w:lang w:eastAsia="en-AU"/>
        </w:rPr>
      </w:pPr>
      <w:r w:rsidRPr="00C2126B">
        <w:rPr>
          <w:rFonts w:ascii="Franklin Gothic Book" w:hAnsi="Franklin Gothic Book"/>
          <w:color w:val="000000"/>
          <w:sz w:val="22"/>
          <w:szCs w:val="20"/>
          <w:lang w:eastAsia="en-AU"/>
        </w:rPr>
        <w:t>ESC noted that incorporating increased hospitalisation costs for the first 3.3 months of $46,575 per month and a utility decrement to account for the 25% of patients who required a stay in the intensive care unit resulted in an ICER of</w:t>
      </w:r>
      <w:r w:rsidR="00706BE3">
        <w:rPr>
          <w:rFonts w:ascii="Franklin Gothic Book" w:hAnsi="Franklin Gothic Book"/>
          <w:color w:val="000000"/>
          <w:sz w:val="22"/>
          <w:szCs w:val="20"/>
          <w:lang w:eastAsia="en-AU"/>
        </w:rPr>
        <w:t xml:space="preserve"> </w:t>
      </w:r>
      <w:r w:rsidRPr="00C663CB">
        <w:rPr>
          <w:rFonts w:ascii="Franklin Gothic Book" w:hAnsi="Franklin Gothic Book"/>
          <w:color w:val="000000"/>
          <w:sz w:val="22"/>
          <w:szCs w:val="20"/>
          <w:lang w:eastAsia="en-AU"/>
        </w:rPr>
        <w:t>$</w:t>
      </w:r>
      <w:r w:rsidR="002610F9" w:rsidRPr="002610F9">
        <w:rPr>
          <w:rFonts w:ascii="Franklin Gothic Book" w:hAnsi="Franklin Gothic Book"/>
          <w:color w:val="000000"/>
          <w:w w:val="66"/>
          <w:sz w:val="22"/>
          <w:szCs w:val="20"/>
          <w:shd w:val="solid" w:color="000000" w:fill="000000"/>
          <w:fitText w:val="440" w:id="-1217620213"/>
          <w:lang w:eastAsia="en-AU"/>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0"/>
          <w:shd w:val="solid" w:color="000000" w:fill="000000"/>
          <w:fitText w:val="440" w:id="-1217620213"/>
          <w:lang w:eastAsia="en-AU"/>
          <w14:textFill>
            <w14:solidFill>
              <w14:srgbClr w14:val="000000">
                <w14:alpha w14:val="100000"/>
              </w14:srgbClr>
            </w14:solidFill>
          </w14:textFill>
        </w:rPr>
        <w:t>|</w:t>
      </w:r>
      <w:r w:rsidRPr="00C2126B">
        <w:rPr>
          <w:rFonts w:ascii="Franklin Gothic Book" w:hAnsi="Franklin Gothic Book"/>
          <w:color w:val="000000"/>
          <w:sz w:val="22"/>
          <w:szCs w:val="20"/>
          <w:lang w:eastAsia="en-AU"/>
        </w:rPr>
        <w:t xml:space="preserve"> per QALY gained.</w:t>
      </w:r>
    </w:p>
    <w:p w14:paraId="1BCF10FC" w14:textId="39BD7312" w:rsidR="00C233D6" w:rsidRPr="00C2126B" w:rsidRDefault="00C233D6" w:rsidP="00C233D6">
      <w:pPr>
        <w:spacing w:after="240"/>
        <w:rPr>
          <w:rFonts w:ascii="Franklin Gothic Book" w:hAnsi="Franklin Gothic Book"/>
          <w:color w:val="000000"/>
          <w:sz w:val="22"/>
          <w:szCs w:val="20"/>
          <w:lang w:eastAsia="en-AU"/>
        </w:rPr>
      </w:pPr>
      <w:r w:rsidRPr="00C2126B">
        <w:rPr>
          <w:rFonts w:ascii="Franklin Gothic Book" w:hAnsi="Franklin Gothic Book"/>
          <w:color w:val="000000"/>
          <w:sz w:val="22"/>
          <w:szCs w:val="20"/>
          <w:lang w:eastAsia="en-AU"/>
        </w:rPr>
        <w:t>ESC noted that there is uncertainty in the uptake of 3L CAR-T in Australia with</w:t>
      </w:r>
      <w:r>
        <w:rPr>
          <w:rFonts w:ascii="Franklin Gothic Book" w:hAnsi="Franklin Gothic Book"/>
          <w:color w:val="000000"/>
          <w:sz w:val="22"/>
          <w:szCs w:val="20"/>
          <w:lang w:eastAsia="en-AU"/>
        </w:rPr>
        <w:t xml:space="preserve"> </w:t>
      </w:r>
      <w:r w:rsidRPr="00C2126B">
        <w:rPr>
          <w:rFonts w:ascii="Franklin Gothic Book" w:hAnsi="Franklin Gothic Book"/>
          <w:color w:val="000000"/>
          <w:sz w:val="22"/>
          <w:szCs w:val="20"/>
          <w:lang w:eastAsia="en-AU"/>
        </w:rPr>
        <w:t>lower uptake</w:t>
      </w:r>
      <w:r>
        <w:rPr>
          <w:rFonts w:ascii="Franklin Gothic Book" w:hAnsi="Franklin Gothic Book"/>
          <w:color w:val="000000"/>
          <w:sz w:val="22"/>
          <w:szCs w:val="20"/>
          <w:lang w:eastAsia="en-AU"/>
        </w:rPr>
        <w:t xml:space="preserve"> </w:t>
      </w:r>
      <w:r w:rsidRPr="00C2126B">
        <w:rPr>
          <w:rFonts w:ascii="Franklin Gothic Book" w:hAnsi="Franklin Gothic Book"/>
          <w:color w:val="000000"/>
          <w:sz w:val="22"/>
          <w:szCs w:val="20"/>
          <w:lang w:eastAsia="en-AU"/>
        </w:rPr>
        <w:t>than was predicted. ESC noted that</w:t>
      </w:r>
      <w:r>
        <w:rPr>
          <w:rFonts w:ascii="Franklin Gothic Book" w:hAnsi="Franklin Gothic Book"/>
          <w:color w:val="000000"/>
          <w:sz w:val="22"/>
          <w:szCs w:val="20"/>
          <w:lang w:eastAsia="en-AU"/>
        </w:rPr>
        <w:t xml:space="preserve"> the</w:t>
      </w:r>
      <w:r w:rsidRPr="00C2126B">
        <w:rPr>
          <w:rFonts w:ascii="Franklin Gothic Book" w:hAnsi="Franklin Gothic Book"/>
          <w:color w:val="000000"/>
          <w:sz w:val="22"/>
          <w:szCs w:val="20"/>
          <w:lang w:eastAsia="en-AU"/>
        </w:rPr>
        <w:t xml:space="preserve"> model assumes an uptake of </w:t>
      </w:r>
      <w:r w:rsidR="002610F9" w:rsidRPr="002610F9">
        <w:rPr>
          <w:rFonts w:ascii="Franklin Gothic Book" w:hAnsi="Franklin Gothic Book"/>
          <w:color w:val="000000"/>
          <w:w w:val="66"/>
          <w:sz w:val="22"/>
          <w:szCs w:val="20"/>
          <w:shd w:val="solid" w:color="000000" w:fill="000000"/>
          <w:fitText w:val="440" w:id="-1217620212"/>
          <w:lang w:eastAsia="en-AU"/>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0"/>
          <w:shd w:val="solid" w:color="000000" w:fill="000000"/>
          <w:fitText w:val="440" w:id="-1217620212"/>
          <w:lang w:eastAsia="en-AU"/>
          <w14:textFill>
            <w14:solidFill>
              <w14:srgbClr w14:val="000000">
                <w14:alpha w14:val="100000"/>
              </w14:srgbClr>
            </w14:solidFill>
          </w14:textFill>
        </w:rPr>
        <w:t>|</w:t>
      </w:r>
      <w:r w:rsidRPr="00C2126B">
        <w:rPr>
          <w:rFonts w:ascii="Franklin Gothic Book" w:hAnsi="Franklin Gothic Book"/>
          <w:color w:val="000000"/>
          <w:sz w:val="22"/>
          <w:szCs w:val="20"/>
          <w:lang w:eastAsia="en-AU"/>
        </w:rPr>
        <w:t xml:space="preserve"> however, </w:t>
      </w:r>
      <w:r>
        <w:rPr>
          <w:rFonts w:ascii="Franklin Gothic Book" w:hAnsi="Franklin Gothic Book"/>
          <w:color w:val="000000"/>
          <w:sz w:val="22"/>
          <w:szCs w:val="20"/>
          <w:lang w:eastAsia="en-AU"/>
        </w:rPr>
        <w:t>the pre-ESC response indicated it is</w:t>
      </w:r>
      <w:r w:rsidRPr="00C2126B">
        <w:rPr>
          <w:rFonts w:ascii="Franklin Gothic Book" w:hAnsi="Franklin Gothic Book"/>
          <w:color w:val="000000"/>
          <w:sz w:val="22"/>
          <w:szCs w:val="20"/>
          <w:lang w:eastAsia="en-AU"/>
        </w:rPr>
        <w:t xml:space="preserve"> approximately </w:t>
      </w:r>
      <w:r w:rsidR="002610F9" w:rsidRPr="002610F9">
        <w:rPr>
          <w:rFonts w:ascii="Franklin Gothic Book" w:hAnsi="Franklin Gothic Book"/>
          <w:color w:val="000000"/>
          <w:w w:val="66"/>
          <w:sz w:val="22"/>
          <w:szCs w:val="20"/>
          <w:shd w:val="solid" w:color="000000" w:fill="000000"/>
          <w:fitText w:val="440" w:id="-1217620211"/>
          <w:lang w:eastAsia="en-AU"/>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0"/>
          <w:shd w:val="solid" w:color="000000" w:fill="000000"/>
          <w:fitText w:val="440" w:id="-1217620211"/>
          <w:lang w:eastAsia="en-AU"/>
          <w14:textFill>
            <w14:solidFill>
              <w14:srgbClr w14:val="000000">
                <w14:alpha w14:val="100000"/>
              </w14:srgbClr>
            </w14:solidFill>
          </w14:textFill>
        </w:rPr>
        <w:t>|</w:t>
      </w:r>
      <w:r w:rsidRPr="00C2126B">
        <w:rPr>
          <w:rFonts w:ascii="Franklin Gothic Book" w:hAnsi="Franklin Gothic Book"/>
          <w:color w:val="000000"/>
          <w:sz w:val="22"/>
          <w:szCs w:val="20"/>
          <w:lang w:eastAsia="en-AU"/>
        </w:rPr>
        <w:t xml:space="preserve"> in the Australian setting. ESC noted that the ICER was sensitive to this estimate, increasing to </w:t>
      </w:r>
      <w:r w:rsidRPr="00C663CB">
        <w:rPr>
          <w:rFonts w:ascii="Franklin Gothic Book" w:hAnsi="Franklin Gothic Book"/>
          <w:color w:val="000000"/>
          <w:sz w:val="22"/>
          <w:szCs w:val="20"/>
          <w:lang w:eastAsia="en-AU"/>
        </w:rPr>
        <w:t>$</w:t>
      </w:r>
      <w:r w:rsidR="002610F9" w:rsidRPr="002610F9">
        <w:rPr>
          <w:rFonts w:ascii="Franklin Gothic Book" w:hAnsi="Franklin Gothic Book"/>
          <w:color w:val="000000"/>
          <w:w w:val="66"/>
          <w:sz w:val="22"/>
          <w:szCs w:val="20"/>
          <w:shd w:val="solid" w:color="000000" w:fill="000000"/>
          <w:fitText w:val="440" w:id="-1217620210"/>
          <w:lang w:eastAsia="en-AU"/>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0"/>
          <w:shd w:val="solid" w:color="000000" w:fill="000000"/>
          <w:fitText w:val="440" w:id="-1217620210"/>
          <w:lang w:eastAsia="en-AU"/>
          <w14:textFill>
            <w14:solidFill>
              <w14:srgbClr w14:val="000000">
                <w14:alpha w14:val="100000"/>
              </w14:srgbClr>
            </w14:solidFill>
          </w14:textFill>
        </w:rPr>
        <w:t>|</w:t>
      </w:r>
      <w:r w:rsidRPr="00C2126B">
        <w:rPr>
          <w:rFonts w:ascii="Franklin Gothic Book" w:hAnsi="Franklin Gothic Book"/>
          <w:color w:val="000000"/>
          <w:sz w:val="22"/>
          <w:szCs w:val="20"/>
          <w:lang w:eastAsia="en-AU"/>
        </w:rPr>
        <w:t xml:space="preserve"> per QALY gained when </w:t>
      </w:r>
      <w:r w:rsidR="002610F9" w:rsidRPr="002610F9">
        <w:rPr>
          <w:rFonts w:ascii="Franklin Gothic Book" w:hAnsi="Franklin Gothic Book"/>
          <w:color w:val="000000"/>
          <w:w w:val="66"/>
          <w:sz w:val="22"/>
          <w:szCs w:val="20"/>
          <w:shd w:val="solid" w:color="000000" w:fill="000000"/>
          <w:fitText w:val="440" w:id="-1217620209"/>
          <w:lang w:eastAsia="en-AU"/>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0"/>
          <w:shd w:val="solid" w:color="000000" w:fill="000000"/>
          <w:fitText w:val="440" w:id="-1217620209"/>
          <w:lang w:eastAsia="en-AU"/>
          <w14:textFill>
            <w14:solidFill>
              <w14:srgbClr w14:val="000000">
                <w14:alpha w14:val="100000"/>
              </w14:srgbClr>
            </w14:solidFill>
          </w14:textFill>
        </w:rPr>
        <w:t>|</w:t>
      </w:r>
      <w:r w:rsidRPr="00C2126B">
        <w:rPr>
          <w:rFonts w:ascii="Franklin Gothic Book" w:hAnsi="Franklin Gothic Book"/>
          <w:color w:val="000000"/>
          <w:sz w:val="22"/>
          <w:szCs w:val="20"/>
          <w:lang w:eastAsia="en-AU"/>
        </w:rPr>
        <w:t xml:space="preserve"> instead of </w:t>
      </w:r>
      <w:r w:rsidR="002610F9" w:rsidRPr="002610F9">
        <w:rPr>
          <w:rFonts w:ascii="Franklin Gothic Book" w:hAnsi="Franklin Gothic Book"/>
          <w:color w:val="000000"/>
          <w:w w:val="66"/>
          <w:sz w:val="22"/>
          <w:szCs w:val="20"/>
          <w:shd w:val="solid" w:color="000000" w:fill="000000"/>
          <w:fitText w:val="440" w:id="-1217620208"/>
          <w:lang w:eastAsia="en-AU"/>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0"/>
          <w:shd w:val="solid" w:color="000000" w:fill="000000"/>
          <w:fitText w:val="440" w:id="-1217620208"/>
          <w:lang w:eastAsia="en-AU"/>
          <w14:textFill>
            <w14:solidFill>
              <w14:srgbClr w14:val="000000">
                <w14:alpha w14:val="100000"/>
              </w14:srgbClr>
            </w14:solidFill>
          </w14:textFill>
        </w:rPr>
        <w:t>|</w:t>
      </w:r>
      <w:r w:rsidRPr="00C2126B">
        <w:rPr>
          <w:rFonts w:ascii="Franklin Gothic Book" w:hAnsi="Franklin Gothic Book"/>
          <w:color w:val="000000"/>
          <w:sz w:val="22"/>
          <w:szCs w:val="20"/>
          <w:lang w:eastAsia="en-AU"/>
        </w:rPr>
        <w:t xml:space="preserve"> of patients receive a 3L CAR-T therapy</w:t>
      </w:r>
      <w:r>
        <w:rPr>
          <w:rFonts w:ascii="Franklin Gothic Book" w:hAnsi="Franklin Gothic Book"/>
          <w:color w:val="000000"/>
          <w:sz w:val="22"/>
          <w:szCs w:val="20"/>
          <w:lang w:eastAsia="en-AU"/>
        </w:rPr>
        <w:t>.</w:t>
      </w:r>
    </w:p>
    <w:p w14:paraId="71CB63CB" w14:textId="6FB2B11D" w:rsidR="00C233D6" w:rsidRPr="00C2126B" w:rsidRDefault="00C233D6" w:rsidP="00C233D6">
      <w:pPr>
        <w:spacing w:after="240"/>
        <w:rPr>
          <w:rFonts w:ascii="Franklin Gothic Book" w:hAnsi="Franklin Gothic Book"/>
          <w:color w:val="000000"/>
          <w:sz w:val="22"/>
          <w:szCs w:val="20"/>
          <w:lang w:eastAsia="en-AU"/>
        </w:rPr>
      </w:pPr>
      <w:r w:rsidRPr="00C2126B">
        <w:rPr>
          <w:rFonts w:ascii="Franklin Gothic Book" w:hAnsi="Franklin Gothic Book"/>
          <w:color w:val="000000"/>
          <w:sz w:val="22"/>
          <w:szCs w:val="20"/>
          <w:lang w:eastAsia="en-AU"/>
        </w:rPr>
        <w:lastRenderedPageBreak/>
        <w:t xml:space="preserve">Regarding the estimates of financial impact, ESC noted that the ADAR presented a financial impact of </w:t>
      </w:r>
      <w:r w:rsidRPr="00C663CB">
        <w:rPr>
          <w:rFonts w:ascii="Franklin Gothic Book" w:hAnsi="Franklin Gothic Book"/>
          <w:color w:val="000000"/>
          <w:sz w:val="22"/>
          <w:szCs w:val="20"/>
          <w:lang w:eastAsia="en-AU"/>
        </w:rPr>
        <w:t>$</w:t>
      </w:r>
      <w:r w:rsidR="002610F9" w:rsidRPr="002610F9">
        <w:rPr>
          <w:rFonts w:ascii="Franklin Gothic Book" w:hAnsi="Franklin Gothic Book"/>
          <w:color w:val="000000"/>
          <w:w w:val="66"/>
          <w:sz w:val="22"/>
          <w:szCs w:val="20"/>
          <w:shd w:val="solid" w:color="000000" w:fill="000000"/>
          <w:fitText w:val="440" w:id="-1217620224"/>
          <w:lang w:eastAsia="en-AU"/>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0"/>
          <w:shd w:val="solid" w:color="000000" w:fill="000000"/>
          <w:fitText w:val="440" w:id="-1217620224"/>
          <w:lang w:eastAsia="en-AU"/>
          <w14:textFill>
            <w14:solidFill>
              <w14:srgbClr w14:val="000000">
                <w14:alpha w14:val="100000"/>
              </w14:srgbClr>
            </w14:solidFill>
          </w14:textFill>
        </w:rPr>
        <w:t>|</w:t>
      </w:r>
      <w:r w:rsidRPr="00C2126B">
        <w:rPr>
          <w:rFonts w:ascii="Franklin Gothic Book" w:hAnsi="Franklin Gothic Book"/>
          <w:color w:val="000000"/>
          <w:sz w:val="22"/>
          <w:szCs w:val="20"/>
          <w:lang w:eastAsia="en-AU"/>
        </w:rPr>
        <w:t xml:space="preserve"> in </w:t>
      </w:r>
      <w:r>
        <w:rPr>
          <w:rFonts w:ascii="Franklin Gothic Book" w:hAnsi="Franklin Gothic Book"/>
          <w:color w:val="000000"/>
          <w:sz w:val="22"/>
          <w:szCs w:val="20"/>
          <w:lang w:eastAsia="en-AU"/>
        </w:rPr>
        <w:t>Y</w:t>
      </w:r>
      <w:r w:rsidRPr="00C2126B">
        <w:rPr>
          <w:rFonts w:ascii="Franklin Gothic Book" w:hAnsi="Franklin Gothic Book"/>
          <w:color w:val="000000"/>
          <w:sz w:val="22"/>
          <w:szCs w:val="20"/>
          <w:lang w:eastAsia="en-AU"/>
        </w:rPr>
        <w:t xml:space="preserve">ear 1 to </w:t>
      </w:r>
      <w:r w:rsidRPr="00C663CB">
        <w:rPr>
          <w:rFonts w:ascii="Franklin Gothic Book" w:hAnsi="Franklin Gothic Book"/>
          <w:color w:val="000000"/>
          <w:sz w:val="22"/>
          <w:szCs w:val="20"/>
          <w:lang w:eastAsia="en-AU"/>
        </w:rPr>
        <w:t>$</w:t>
      </w:r>
      <w:r w:rsidR="002610F9" w:rsidRPr="002610F9">
        <w:rPr>
          <w:rFonts w:ascii="Franklin Gothic Book" w:hAnsi="Franklin Gothic Book"/>
          <w:color w:val="000000"/>
          <w:w w:val="66"/>
          <w:sz w:val="22"/>
          <w:szCs w:val="20"/>
          <w:shd w:val="solid" w:color="000000" w:fill="000000"/>
          <w:fitText w:val="440" w:id="-1217620223"/>
          <w:lang w:eastAsia="en-AU"/>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0"/>
          <w:shd w:val="solid" w:color="000000" w:fill="000000"/>
          <w:fitText w:val="440" w:id="-1217620223"/>
          <w:lang w:eastAsia="en-AU"/>
          <w14:textFill>
            <w14:solidFill>
              <w14:srgbClr w14:val="000000">
                <w14:alpha w14:val="100000"/>
              </w14:srgbClr>
            </w14:solidFill>
          </w14:textFill>
        </w:rPr>
        <w:t>|</w:t>
      </w:r>
      <w:r w:rsidRPr="00C2126B">
        <w:rPr>
          <w:rFonts w:ascii="Franklin Gothic Book" w:hAnsi="Franklin Gothic Book"/>
          <w:color w:val="000000"/>
          <w:sz w:val="22"/>
          <w:szCs w:val="20"/>
          <w:lang w:eastAsia="en-AU"/>
        </w:rPr>
        <w:t xml:space="preserve"> in </w:t>
      </w:r>
      <w:r>
        <w:rPr>
          <w:rFonts w:ascii="Franklin Gothic Book" w:hAnsi="Franklin Gothic Book"/>
          <w:color w:val="000000"/>
          <w:sz w:val="22"/>
          <w:szCs w:val="20"/>
          <w:lang w:eastAsia="en-AU"/>
        </w:rPr>
        <w:t>Y</w:t>
      </w:r>
      <w:r w:rsidRPr="00C2126B">
        <w:rPr>
          <w:rFonts w:ascii="Franklin Gothic Book" w:hAnsi="Franklin Gothic Book"/>
          <w:color w:val="000000"/>
          <w:sz w:val="22"/>
          <w:szCs w:val="20"/>
          <w:lang w:eastAsia="en-AU"/>
        </w:rPr>
        <w:t xml:space="preserve">ear 6. However, ESC noted that many of the concerns identified in the clinical and economic analyses flowed into the financial estimates. When considering increased hospital costs and a </w:t>
      </w:r>
      <w:r w:rsidR="002610F9" w:rsidRPr="002610F9">
        <w:rPr>
          <w:rFonts w:ascii="Franklin Gothic Book" w:hAnsi="Franklin Gothic Book"/>
          <w:color w:val="000000"/>
          <w:w w:val="66"/>
          <w:sz w:val="22"/>
          <w:szCs w:val="20"/>
          <w:shd w:val="solid" w:color="000000" w:fill="000000"/>
          <w:fitText w:val="440" w:id="-1217620222"/>
          <w:lang w:eastAsia="en-AU"/>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0"/>
          <w:shd w:val="solid" w:color="000000" w:fill="000000"/>
          <w:fitText w:val="440" w:id="-1217620222"/>
          <w:lang w:eastAsia="en-AU"/>
          <w14:textFill>
            <w14:solidFill>
              <w14:srgbClr w14:val="000000">
                <w14:alpha w14:val="100000"/>
              </w14:srgbClr>
            </w14:solidFill>
          </w14:textFill>
        </w:rPr>
        <w:t>|</w:t>
      </w:r>
      <w:r w:rsidRPr="00C2126B">
        <w:rPr>
          <w:rFonts w:ascii="Franklin Gothic Book" w:hAnsi="Franklin Gothic Book"/>
          <w:color w:val="000000"/>
          <w:sz w:val="22"/>
          <w:szCs w:val="20"/>
          <w:lang w:eastAsia="en-AU"/>
        </w:rPr>
        <w:t xml:space="preserve"> uptake rate</w:t>
      </w:r>
      <w:r>
        <w:rPr>
          <w:rFonts w:ascii="Franklin Gothic Book" w:hAnsi="Franklin Gothic Book"/>
          <w:color w:val="000000"/>
          <w:sz w:val="22"/>
          <w:szCs w:val="20"/>
          <w:lang w:eastAsia="en-AU"/>
        </w:rPr>
        <w:t xml:space="preserve"> for 3L CAR-T in multivariate sensitivity analyses</w:t>
      </w:r>
      <w:r w:rsidRPr="00C2126B">
        <w:rPr>
          <w:rFonts w:ascii="Franklin Gothic Book" w:hAnsi="Franklin Gothic Book"/>
          <w:color w:val="000000"/>
          <w:sz w:val="22"/>
          <w:szCs w:val="20"/>
          <w:lang w:eastAsia="en-AU"/>
        </w:rPr>
        <w:t xml:space="preserve">, ESC noted this financial impact increased significantly to </w:t>
      </w:r>
      <w:r w:rsidRPr="00C663CB">
        <w:rPr>
          <w:rFonts w:ascii="Franklin Gothic Book" w:hAnsi="Franklin Gothic Book"/>
          <w:color w:val="000000"/>
          <w:sz w:val="22"/>
          <w:szCs w:val="20"/>
          <w:lang w:eastAsia="en-AU"/>
        </w:rPr>
        <w:t>$</w:t>
      </w:r>
      <w:r w:rsidR="002610F9" w:rsidRPr="002610F9">
        <w:rPr>
          <w:rFonts w:ascii="Franklin Gothic Book" w:hAnsi="Franklin Gothic Book"/>
          <w:color w:val="000000"/>
          <w:w w:val="66"/>
          <w:sz w:val="22"/>
          <w:szCs w:val="20"/>
          <w:shd w:val="solid" w:color="000000" w:fill="000000"/>
          <w:fitText w:val="440" w:id="-1217620221"/>
          <w:lang w:eastAsia="en-AU"/>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0"/>
          <w:shd w:val="solid" w:color="000000" w:fill="000000"/>
          <w:fitText w:val="440" w:id="-1217620221"/>
          <w:lang w:eastAsia="en-AU"/>
          <w14:textFill>
            <w14:solidFill>
              <w14:srgbClr w14:val="000000">
                <w14:alpha w14:val="100000"/>
              </w14:srgbClr>
            </w14:solidFill>
          </w14:textFill>
        </w:rPr>
        <w:t>|</w:t>
      </w:r>
      <w:r w:rsidRPr="00C2126B">
        <w:rPr>
          <w:rFonts w:ascii="Franklin Gothic Book" w:hAnsi="Franklin Gothic Book"/>
          <w:color w:val="000000"/>
          <w:sz w:val="22"/>
          <w:szCs w:val="20"/>
          <w:lang w:eastAsia="en-AU"/>
        </w:rPr>
        <w:t xml:space="preserve"> in </w:t>
      </w:r>
      <w:r>
        <w:rPr>
          <w:rFonts w:ascii="Franklin Gothic Book" w:hAnsi="Franklin Gothic Book"/>
          <w:color w:val="000000"/>
          <w:sz w:val="22"/>
          <w:szCs w:val="20"/>
          <w:lang w:eastAsia="en-AU"/>
        </w:rPr>
        <w:t>Y</w:t>
      </w:r>
      <w:r w:rsidRPr="00C2126B">
        <w:rPr>
          <w:rFonts w:ascii="Franklin Gothic Book" w:hAnsi="Franklin Gothic Book"/>
          <w:color w:val="000000"/>
          <w:sz w:val="22"/>
          <w:szCs w:val="20"/>
          <w:lang w:eastAsia="en-AU"/>
        </w:rPr>
        <w:t xml:space="preserve">ear 1 to </w:t>
      </w:r>
      <w:r w:rsidRPr="00C663CB">
        <w:rPr>
          <w:rFonts w:ascii="Franklin Gothic Book" w:hAnsi="Franklin Gothic Book"/>
          <w:color w:val="000000"/>
          <w:sz w:val="22"/>
          <w:szCs w:val="20"/>
          <w:lang w:eastAsia="en-AU"/>
        </w:rPr>
        <w:t>$</w:t>
      </w:r>
      <w:r w:rsidR="002610F9" w:rsidRPr="002610F9">
        <w:rPr>
          <w:rFonts w:ascii="Franklin Gothic Book" w:hAnsi="Franklin Gothic Book"/>
          <w:color w:val="000000"/>
          <w:w w:val="66"/>
          <w:sz w:val="22"/>
          <w:szCs w:val="20"/>
          <w:shd w:val="solid" w:color="000000" w:fill="000000"/>
          <w:fitText w:val="440" w:id="-1217620220"/>
          <w:lang w:eastAsia="en-AU"/>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0"/>
          <w:shd w:val="solid" w:color="000000" w:fill="000000"/>
          <w:fitText w:val="440" w:id="-1217620220"/>
          <w:lang w:eastAsia="en-AU"/>
          <w14:textFill>
            <w14:solidFill>
              <w14:srgbClr w14:val="000000">
                <w14:alpha w14:val="100000"/>
              </w14:srgbClr>
            </w14:solidFill>
          </w14:textFill>
        </w:rPr>
        <w:t>|</w:t>
      </w:r>
      <w:r w:rsidRPr="00C2126B">
        <w:rPr>
          <w:rFonts w:ascii="Arial" w:hAnsi="Arial" w:cs="Arial"/>
          <w:color w:val="000000"/>
          <w:sz w:val="22"/>
          <w:szCs w:val="20"/>
          <w:lang w:eastAsia="en-AU"/>
        </w:rPr>
        <w:t xml:space="preserve">​ </w:t>
      </w:r>
      <w:r w:rsidRPr="00C2126B">
        <w:rPr>
          <w:rFonts w:ascii="Franklin Gothic Book" w:hAnsi="Franklin Gothic Book"/>
          <w:color w:val="000000"/>
          <w:sz w:val="22"/>
          <w:szCs w:val="20"/>
          <w:lang w:eastAsia="en-AU"/>
        </w:rPr>
        <w:t xml:space="preserve">in </w:t>
      </w:r>
      <w:r>
        <w:rPr>
          <w:rFonts w:ascii="Franklin Gothic Book" w:hAnsi="Franklin Gothic Book"/>
          <w:color w:val="000000"/>
          <w:sz w:val="22"/>
          <w:szCs w:val="20"/>
          <w:lang w:eastAsia="en-AU"/>
        </w:rPr>
        <w:t>Y</w:t>
      </w:r>
      <w:r w:rsidRPr="00C2126B">
        <w:rPr>
          <w:rFonts w:ascii="Franklin Gothic Book" w:hAnsi="Franklin Gothic Book"/>
          <w:color w:val="000000"/>
          <w:sz w:val="22"/>
          <w:szCs w:val="20"/>
          <w:lang w:eastAsia="en-AU"/>
        </w:rPr>
        <w:t xml:space="preserve">ear 6. These estimates resulted in a net budget impact to the National Health Reform Agreement of </w:t>
      </w:r>
      <w:r w:rsidRPr="00C663CB">
        <w:rPr>
          <w:rFonts w:ascii="Franklin Gothic Book" w:hAnsi="Franklin Gothic Book"/>
          <w:color w:val="000000"/>
          <w:sz w:val="22"/>
          <w:szCs w:val="20"/>
          <w:lang w:eastAsia="en-AU"/>
        </w:rPr>
        <w:t>$</w:t>
      </w:r>
      <w:r w:rsidR="002610F9" w:rsidRPr="002610F9">
        <w:rPr>
          <w:rFonts w:ascii="Franklin Gothic Book" w:hAnsi="Franklin Gothic Book"/>
          <w:color w:val="000000"/>
          <w:w w:val="66"/>
          <w:sz w:val="22"/>
          <w:szCs w:val="20"/>
          <w:shd w:val="solid" w:color="000000" w:fill="000000"/>
          <w:fitText w:val="440" w:id="-1217620219"/>
          <w:lang w:eastAsia="en-AU"/>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0"/>
          <w:shd w:val="solid" w:color="000000" w:fill="000000"/>
          <w:fitText w:val="440" w:id="-1217620219"/>
          <w:lang w:eastAsia="en-AU"/>
          <w14:textFill>
            <w14:solidFill>
              <w14:srgbClr w14:val="000000">
                <w14:alpha w14:val="100000"/>
              </w14:srgbClr>
            </w14:solidFill>
          </w14:textFill>
        </w:rPr>
        <w:t>|</w:t>
      </w:r>
      <w:r w:rsidRPr="00C2126B">
        <w:rPr>
          <w:rFonts w:ascii="Franklin Gothic Book" w:hAnsi="Franklin Gothic Book"/>
          <w:color w:val="000000"/>
          <w:sz w:val="22"/>
          <w:szCs w:val="20"/>
          <w:lang w:eastAsia="en-AU"/>
        </w:rPr>
        <w:t xml:space="preserve"> in </w:t>
      </w:r>
      <w:r>
        <w:rPr>
          <w:rFonts w:ascii="Franklin Gothic Book" w:hAnsi="Franklin Gothic Book"/>
          <w:color w:val="000000"/>
          <w:sz w:val="22"/>
          <w:szCs w:val="20"/>
          <w:lang w:eastAsia="en-AU"/>
        </w:rPr>
        <w:t>Y</w:t>
      </w:r>
      <w:r w:rsidRPr="00C2126B">
        <w:rPr>
          <w:rFonts w:ascii="Franklin Gothic Book" w:hAnsi="Franklin Gothic Book"/>
          <w:color w:val="000000"/>
          <w:sz w:val="22"/>
          <w:szCs w:val="20"/>
          <w:lang w:eastAsia="en-AU"/>
        </w:rPr>
        <w:t xml:space="preserve">ear 1 and up to </w:t>
      </w:r>
      <w:r w:rsidRPr="00C663CB">
        <w:rPr>
          <w:rFonts w:ascii="Franklin Gothic Book" w:hAnsi="Franklin Gothic Book"/>
          <w:color w:val="000000"/>
          <w:sz w:val="22"/>
          <w:szCs w:val="20"/>
          <w:lang w:eastAsia="en-AU"/>
        </w:rPr>
        <w:t>$</w:t>
      </w:r>
      <w:r w:rsidR="002610F9" w:rsidRPr="002610F9">
        <w:rPr>
          <w:rFonts w:ascii="Franklin Gothic Book" w:hAnsi="Franklin Gothic Book"/>
          <w:color w:val="000000"/>
          <w:w w:val="66"/>
          <w:sz w:val="22"/>
          <w:szCs w:val="20"/>
          <w:shd w:val="solid" w:color="000000" w:fill="000000"/>
          <w:fitText w:val="440" w:id="-1217620218"/>
          <w:lang w:eastAsia="en-AU"/>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0"/>
          <w:shd w:val="solid" w:color="000000" w:fill="000000"/>
          <w:fitText w:val="440" w:id="-1217620218"/>
          <w:lang w:eastAsia="en-AU"/>
          <w14:textFill>
            <w14:solidFill>
              <w14:srgbClr w14:val="000000">
                <w14:alpha w14:val="100000"/>
              </w14:srgbClr>
            </w14:solidFill>
          </w14:textFill>
        </w:rPr>
        <w:t>|</w:t>
      </w:r>
      <w:r w:rsidRPr="00C2126B">
        <w:rPr>
          <w:rFonts w:ascii="Franklin Gothic Book" w:hAnsi="Franklin Gothic Book"/>
          <w:color w:val="000000"/>
          <w:sz w:val="22"/>
          <w:szCs w:val="20"/>
          <w:lang w:eastAsia="en-AU"/>
        </w:rPr>
        <w:t xml:space="preserve"> in </w:t>
      </w:r>
      <w:r>
        <w:rPr>
          <w:rFonts w:ascii="Franklin Gothic Book" w:hAnsi="Franklin Gothic Book"/>
          <w:color w:val="000000"/>
          <w:sz w:val="22"/>
          <w:szCs w:val="20"/>
          <w:lang w:eastAsia="en-AU"/>
        </w:rPr>
        <w:t>Y</w:t>
      </w:r>
      <w:r w:rsidRPr="00C2126B">
        <w:rPr>
          <w:rFonts w:ascii="Franklin Gothic Book" w:hAnsi="Franklin Gothic Book"/>
          <w:color w:val="000000"/>
          <w:sz w:val="22"/>
          <w:szCs w:val="20"/>
          <w:lang w:eastAsia="en-AU"/>
        </w:rPr>
        <w:t>ear 6.</w:t>
      </w:r>
      <w:r>
        <w:rPr>
          <w:rFonts w:ascii="Franklin Gothic Book" w:hAnsi="Franklin Gothic Book"/>
          <w:color w:val="000000"/>
          <w:sz w:val="22"/>
          <w:szCs w:val="20"/>
          <w:lang w:eastAsia="en-AU"/>
        </w:rPr>
        <w:t xml:space="preserve"> However, ESC noted these additional costs appeared to be driven by the increased hospital costs (</w:t>
      </w:r>
      <w:r w:rsidRPr="00C2126B">
        <w:rPr>
          <w:rFonts w:ascii="Franklin Gothic Book" w:hAnsi="Franklin Gothic Book"/>
          <w:color w:val="000000"/>
          <w:sz w:val="22"/>
          <w:szCs w:val="20"/>
          <w:lang w:eastAsia="en-AU"/>
        </w:rPr>
        <w:t>firs</w:t>
      </w:r>
      <w:r>
        <w:rPr>
          <w:rFonts w:ascii="Franklin Gothic Book" w:hAnsi="Franklin Gothic Book"/>
          <w:color w:val="000000"/>
          <w:sz w:val="22"/>
          <w:szCs w:val="20"/>
          <w:lang w:eastAsia="en-AU"/>
        </w:rPr>
        <w:t xml:space="preserve">t </w:t>
      </w:r>
      <w:r w:rsidRPr="00C2126B">
        <w:rPr>
          <w:rFonts w:ascii="Franklin Gothic Book" w:hAnsi="Franklin Gothic Book"/>
          <w:color w:val="000000"/>
          <w:sz w:val="22"/>
          <w:szCs w:val="20"/>
          <w:lang w:eastAsia="en-AU"/>
        </w:rPr>
        <w:t>3.3 months of $46,575 per mont</w:t>
      </w:r>
      <w:r>
        <w:rPr>
          <w:rFonts w:ascii="Franklin Gothic Book" w:hAnsi="Franklin Gothic Book"/>
          <w:color w:val="000000"/>
          <w:sz w:val="22"/>
          <w:szCs w:val="20"/>
          <w:lang w:eastAsia="en-AU"/>
        </w:rPr>
        <w:t xml:space="preserve">h), rather than changing the uptake of 3L CAR-T to </w:t>
      </w:r>
      <w:r w:rsidR="002610F9" w:rsidRPr="002610F9">
        <w:rPr>
          <w:rFonts w:ascii="Franklin Gothic Book" w:hAnsi="Franklin Gothic Book"/>
          <w:color w:val="000000"/>
          <w:w w:val="66"/>
          <w:sz w:val="22"/>
          <w:szCs w:val="20"/>
          <w:shd w:val="solid" w:color="000000" w:fill="000000"/>
          <w:fitText w:val="440" w:id="-1217620217"/>
          <w:lang w:eastAsia="en-AU"/>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0"/>
          <w:shd w:val="solid" w:color="000000" w:fill="000000"/>
          <w:fitText w:val="440" w:id="-1217620217"/>
          <w:lang w:eastAsia="en-AU"/>
          <w14:textFill>
            <w14:solidFill>
              <w14:srgbClr w14:val="000000">
                <w14:alpha w14:val="100000"/>
              </w14:srgbClr>
            </w14:solidFill>
          </w14:textFill>
        </w:rPr>
        <w:t>|</w:t>
      </w:r>
      <w:r w:rsidR="002610F9" w:rsidRPr="002610F9">
        <w:rPr>
          <w:rFonts w:ascii="Franklin Gothic Book" w:hAnsi="Franklin Gothic Book"/>
          <w:color w:val="000000"/>
          <w:sz w:val="22"/>
          <w:szCs w:val="20"/>
          <w:lang w:eastAsia="en-AU"/>
        </w:rPr>
        <w:t xml:space="preserve"> </w:t>
      </w:r>
      <w:r w:rsidR="002610F9" w:rsidRPr="002610F9">
        <w:rPr>
          <w:rFonts w:ascii="Franklin Gothic Book" w:hAnsi="Franklin Gothic Book"/>
          <w:color w:val="000000"/>
          <w:w w:val="66"/>
          <w:sz w:val="22"/>
          <w:szCs w:val="20"/>
          <w:shd w:val="solid" w:color="000000" w:fill="000000"/>
          <w:fitText w:val="440" w:id="-1217620216"/>
          <w:lang w:eastAsia="en-AU"/>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0"/>
          <w:shd w:val="solid" w:color="000000" w:fill="000000"/>
          <w:fitText w:val="440" w:id="-1217620216"/>
          <w:lang w:eastAsia="en-AU"/>
          <w14:textFill>
            <w14:solidFill>
              <w14:srgbClr w14:val="000000">
                <w14:alpha w14:val="100000"/>
              </w14:srgbClr>
            </w14:solidFill>
          </w14:textFill>
        </w:rPr>
        <w:t>|</w:t>
      </w:r>
      <w:r w:rsidR="002610F9" w:rsidRPr="002610F9">
        <w:rPr>
          <w:rFonts w:ascii="Franklin Gothic Book" w:hAnsi="Franklin Gothic Book"/>
          <w:color w:val="000000"/>
          <w:sz w:val="22"/>
          <w:szCs w:val="20"/>
          <w:lang w:eastAsia="en-AU"/>
        </w:rPr>
        <w:t xml:space="preserve"> </w:t>
      </w:r>
      <w:r w:rsidR="002610F9" w:rsidRPr="002610F9">
        <w:rPr>
          <w:rFonts w:ascii="Franklin Gothic Book" w:hAnsi="Franklin Gothic Book"/>
          <w:color w:val="000000"/>
          <w:w w:val="66"/>
          <w:sz w:val="22"/>
          <w:szCs w:val="20"/>
          <w:shd w:val="solid" w:color="000000" w:fill="000000"/>
          <w:fitText w:val="440" w:id="-1217620215"/>
          <w:lang w:eastAsia="en-AU"/>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0"/>
          <w:shd w:val="solid" w:color="000000" w:fill="000000"/>
          <w:fitText w:val="440" w:id="-1217620215"/>
          <w:lang w:eastAsia="en-AU"/>
          <w14:textFill>
            <w14:solidFill>
              <w14:srgbClr w14:val="000000">
                <w14:alpha w14:val="100000"/>
              </w14:srgbClr>
            </w14:solidFill>
          </w14:textFill>
        </w:rPr>
        <w:t>|</w:t>
      </w:r>
    </w:p>
    <w:p w14:paraId="22C05131" w14:textId="10060E9E" w:rsidR="00C233D6" w:rsidRPr="00C2126B" w:rsidRDefault="00C233D6" w:rsidP="00C233D6">
      <w:pPr>
        <w:spacing w:after="240"/>
        <w:rPr>
          <w:rFonts w:ascii="Franklin Gothic Book" w:hAnsi="Franklin Gothic Book"/>
          <w:color w:val="000000"/>
          <w:sz w:val="22"/>
          <w:szCs w:val="20"/>
          <w:lang w:eastAsia="en-AU"/>
        </w:rPr>
      </w:pPr>
      <w:r w:rsidRPr="00C2126B">
        <w:rPr>
          <w:rFonts w:ascii="Franklin Gothic Book" w:hAnsi="Franklin Gothic Book"/>
          <w:color w:val="000000"/>
          <w:sz w:val="22"/>
          <w:szCs w:val="20"/>
          <w:lang w:eastAsia="en-AU"/>
        </w:rPr>
        <w:t xml:space="preserve">ESC noted that while the estimated net budget impact to the NHRA was high, it was also uncertain. </w:t>
      </w:r>
      <w:proofErr w:type="gramStart"/>
      <w:r w:rsidRPr="00C2126B">
        <w:rPr>
          <w:rFonts w:ascii="Franklin Gothic Book" w:hAnsi="Franklin Gothic Book"/>
          <w:color w:val="000000"/>
          <w:sz w:val="22"/>
          <w:szCs w:val="20"/>
          <w:lang w:eastAsia="en-AU"/>
        </w:rPr>
        <w:t>In particular, due</w:t>
      </w:r>
      <w:proofErr w:type="gramEnd"/>
      <w:r w:rsidRPr="00C2126B">
        <w:rPr>
          <w:rFonts w:ascii="Franklin Gothic Book" w:hAnsi="Franklin Gothic Book"/>
          <w:color w:val="000000"/>
          <w:sz w:val="22"/>
          <w:szCs w:val="20"/>
          <w:lang w:eastAsia="en-AU"/>
        </w:rPr>
        <w:t xml:space="preserve"> to the lack of clearly defined eligibility criteria for AXI and lack of clarity around costs of administration and treatment of AEs. ESC considered that the actual budget impact could therefore be higher</w:t>
      </w:r>
      <w:r>
        <w:rPr>
          <w:rFonts w:ascii="Franklin Gothic Book" w:hAnsi="Franklin Gothic Book"/>
          <w:color w:val="000000"/>
          <w:sz w:val="22"/>
          <w:szCs w:val="20"/>
          <w:lang w:eastAsia="en-AU"/>
        </w:rPr>
        <w:t xml:space="preserve"> (</w:t>
      </w:r>
      <w:proofErr w:type="gramStart"/>
      <w:r>
        <w:rPr>
          <w:rFonts w:ascii="Franklin Gothic Book" w:hAnsi="Franklin Gothic Book"/>
          <w:color w:val="000000"/>
          <w:sz w:val="22"/>
          <w:szCs w:val="20"/>
          <w:lang w:eastAsia="en-AU"/>
        </w:rPr>
        <w:t>i.e.</w:t>
      </w:r>
      <w:proofErr w:type="gramEnd"/>
      <w:r>
        <w:rPr>
          <w:rFonts w:ascii="Franklin Gothic Book" w:hAnsi="Franklin Gothic Book"/>
          <w:color w:val="000000"/>
          <w:sz w:val="22"/>
          <w:szCs w:val="20"/>
          <w:lang w:eastAsia="en-AU"/>
        </w:rPr>
        <w:t xml:space="preserve"> underestimated)</w:t>
      </w:r>
      <w:r w:rsidRPr="00C2126B">
        <w:rPr>
          <w:rFonts w:ascii="Franklin Gothic Book" w:hAnsi="Franklin Gothic Book"/>
          <w:color w:val="000000"/>
          <w:sz w:val="22"/>
          <w:szCs w:val="20"/>
          <w:lang w:eastAsia="en-AU"/>
        </w:rPr>
        <w:t>.</w:t>
      </w:r>
    </w:p>
    <w:p w14:paraId="46F794C0" w14:textId="1530E677" w:rsidR="00C233D6" w:rsidRPr="00C2126B" w:rsidRDefault="00C233D6" w:rsidP="00C233D6">
      <w:pPr>
        <w:spacing w:after="240"/>
        <w:rPr>
          <w:rFonts w:ascii="Franklin Gothic Book" w:hAnsi="Franklin Gothic Book"/>
          <w:color w:val="000000"/>
          <w:sz w:val="22"/>
          <w:szCs w:val="20"/>
          <w:lang w:eastAsia="en-AU"/>
        </w:rPr>
      </w:pPr>
      <w:r w:rsidRPr="00C2126B">
        <w:rPr>
          <w:rFonts w:ascii="Franklin Gothic Book" w:hAnsi="Franklin Gothic Book"/>
          <w:color w:val="000000"/>
          <w:sz w:val="22"/>
          <w:szCs w:val="20"/>
          <w:lang w:eastAsia="en-AU"/>
        </w:rPr>
        <w:t xml:space="preserve">ESC noted that MSAC is due to consider a review of the first CAR-T therapy, (tisagenlecleucel for paediatric acute lymphocytic leukemia), at its July 2023 meeting; this will be the first review of any CAR-T therapy that has been recommended for public subsidy in Australia. ESC </w:t>
      </w:r>
      <w:r>
        <w:rPr>
          <w:rFonts w:ascii="Franklin Gothic Book" w:hAnsi="Franklin Gothic Book"/>
          <w:color w:val="000000"/>
          <w:sz w:val="22"/>
          <w:szCs w:val="20"/>
          <w:lang w:eastAsia="en-AU"/>
        </w:rPr>
        <w:t>considered</w:t>
      </w:r>
      <w:r w:rsidRPr="00C2126B">
        <w:rPr>
          <w:rFonts w:ascii="Franklin Gothic Book" w:hAnsi="Franklin Gothic Book"/>
          <w:color w:val="000000"/>
          <w:sz w:val="22"/>
          <w:szCs w:val="20"/>
          <w:lang w:eastAsia="en-AU"/>
        </w:rPr>
        <w:t xml:space="preserve"> that</w:t>
      </w:r>
      <w:r>
        <w:rPr>
          <w:rFonts w:ascii="Franklin Gothic Book" w:hAnsi="Franklin Gothic Book"/>
          <w:color w:val="000000"/>
          <w:sz w:val="22"/>
          <w:szCs w:val="20"/>
          <w:lang w:eastAsia="en-AU"/>
        </w:rPr>
        <w:t>, despite being for a different patient population,</w:t>
      </w:r>
      <w:r w:rsidRPr="00C2126B">
        <w:rPr>
          <w:rFonts w:ascii="Franklin Gothic Book" w:hAnsi="Franklin Gothic Book"/>
          <w:color w:val="000000"/>
          <w:sz w:val="22"/>
          <w:szCs w:val="20"/>
          <w:lang w:eastAsia="en-AU"/>
        </w:rPr>
        <w:t xml:space="preserve"> </w:t>
      </w:r>
      <w:r>
        <w:rPr>
          <w:rFonts w:ascii="Franklin Gothic Book" w:hAnsi="Franklin Gothic Book"/>
          <w:color w:val="000000"/>
          <w:sz w:val="22"/>
          <w:szCs w:val="20"/>
          <w:lang w:eastAsia="en-AU"/>
        </w:rPr>
        <w:t xml:space="preserve">there may be merit to </w:t>
      </w:r>
      <w:r w:rsidRPr="00C2126B">
        <w:rPr>
          <w:rFonts w:ascii="Franklin Gothic Book" w:hAnsi="Franklin Gothic Book"/>
          <w:color w:val="000000"/>
          <w:sz w:val="22"/>
          <w:szCs w:val="20"/>
          <w:lang w:eastAsia="en-AU"/>
        </w:rPr>
        <w:t>this</w:t>
      </w:r>
      <w:r>
        <w:rPr>
          <w:rFonts w:ascii="Franklin Gothic Book" w:hAnsi="Franklin Gothic Book"/>
          <w:color w:val="000000"/>
          <w:sz w:val="22"/>
          <w:szCs w:val="20"/>
          <w:lang w:eastAsia="en-AU"/>
        </w:rPr>
        <w:t xml:space="preserve"> review</w:t>
      </w:r>
      <w:r w:rsidRPr="00C2126B">
        <w:rPr>
          <w:rFonts w:ascii="Franklin Gothic Book" w:hAnsi="Franklin Gothic Book"/>
          <w:color w:val="000000"/>
          <w:sz w:val="22"/>
          <w:szCs w:val="20"/>
          <w:lang w:eastAsia="en-AU"/>
        </w:rPr>
        <w:t xml:space="preserve"> be</w:t>
      </w:r>
      <w:r>
        <w:rPr>
          <w:rFonts w:ascii="Franklin Gothic Book" w:hAnsi="Franklin Gothic Book"/>
          <w:color w:val="000000"/>
          <w:sz w:val="22"/>
          <w:szCs w:val="20"/>
          <w:lang w:eastAsia="en-AU"/>
        </w:rPr>
        <w:t>ing</w:t>
      </w:r>
      <w:r w:rsidRPr="00C2126B">
        <w:rPr>
          <w:rFonts w:ascii="Franklin Gothic Book" w:hAnsi="Franklin Gothic Book"/>
          <w:color w:val="000000"/>
          <w:sz w:val="22"/>
          <w:szCs w:val="20"/>
          <w:lang w:eastAsia="en-AU"/>
        </w:rPr>
        <w:t xml:space="preserve"> completed prior to any recommendations for AXI being made, as key information pertaining to the financial implications of CAR-T therapies would be expected to be informative.</w:t>
      </w:r>
    </w:p>
    <w:p w14:paraId="23125C53" w14:textId="0D7F4BDB" w:rsidR="00C233D6" w:rsidRPr="00C2126B" w:rsidRDefault="00C233D6" w:rsidP="00C233D6">
      <w:pPr>
        <w:spacing w:after="240"/>
        <w:rPr>
          <w:rFonts w:ascii="Franklin Gothic Book" w:hAnsi="Franklin Gothic Book"/>
          <w:color w:val="000000"/>
          <w:sz w:val="22"/>
          <w:szCs w:val="20"/>
          <w:lang w:eastAsia="en-AU"/>
        </w:rPr>
      </w:pPr>
      <w:r w:rsidRPr="00C2126B">
        <w:rPr>
          <w:rFonts w:ascii="Franklin Gothic Book" w:hAnsi="Franklin Gothic Book"/>
          <w:color w:val="000000"/>
          <w:sz w:val="22"/>
          <w:szCs w:val="20"/>
          <w:lang w:eastAsia="en-AU"/>
        </w:rPr>
        <w:t xml:space="preserve">ESC noted that the applicant has proposed that the price for treatment with AXI in the 2L setting is identical to pricing in the 3L setting, where a payment is made upon infusion of the manufactured product and a second payment is payable at an agreed time in the future dependent on the outcomes observed in patients. ESC noted that no justification for this pricing had been presented. Overall, the net effective average price currently paid for AXI in the 3L setting and sought for AXI in the 2L setting is </w:t>
      </w:r>
      <w:r w:rsidRPr="00C663CB">
        <w:rPr>
          <w:rFonts w:ascii="Franklin Gothic Book" w:hAnsi="Franklin Gothic Book"/>
          <w:color w:val="000000"/>
          <w:sz w:val="22"/>
          <w:szCs w:val="20"/>
          <w:lang w:eastAsia="en-AU"/>
        </w:rPr>
        <w:t>$</w:t>
      </w:r>
      <w:r w:rsidR="002610F9" w:rsidRPr="002610F9">
        <w:rPr>
          <w:rFonts w:ascii="Franklin Gothic Book" w:hAnsi="Franklin Gothic Book"/>
          <w:color w:val="000000"/>
          <w:w w:val="66"/>
          <w:sz w:val="22"/>
          <w:szCs w:val="20"/>
          <w:shd w:val="solid" w:color="000000" w:fill="000000"/>
          <w:fitText w:val="440" w:id="-1217620214"/>
          <w:lang w:eastAsia="en-AU"/>
          <w14:textFill>
            <w14:solidFill>
              <w14:srgbClr w14:val="000000">
                <w14:alpha w14:val="100000"/>
              </w14:srgbClr>
            </w14:solidFill>
          </w14:textFill>
        </w:rPr>
        <w:t>|||||</w:t>
      </w:r>
      <w:r w:rsidR="002610F9" w:rsidRPr="002610F9">
        <w:rPr>
          <w:rFonts w:ascii="Franklin Gothic Book" w:hAnsi="Franklin Gothic Book"/>
          <w:color w:val="000000"/>
          <w:spacing w:val="4"/>
          <w:w w:val="66"/>
          <w:sz w:val="22"/>
          <w:szCs w:val="20"/>
          <w:shd w:val="solid" w:color="000000" w:fill="000000"/>
          <w:fitText w:val="440" w:id="-1217620214"/>
          <w:lang w:eastAsia="en-AU"/>
          <w14:textFill>
            <w14:solidFill>
              <w14:srgbClr w14:val="000000">
                <w14:alpha w14:val="100000"/>
              </w14:srgbClr>
            </w14:solidFill>
          </w14:textFill>
        </w:rPr>
        <w:t>|</w:t>
      </w:r>
      <w:r w:rsidRPr="00C2126B">
        <w:rPr>
          <w:rFonts w:ascii="Franklin Gothic Book" w:hAnsi="Franklin Gothic Book"/>
          <w:color w:val="000000"/>
          <w:sz w:val="22"/>
          <w:szCs w:val="20"/>
          <w:lang w:eastAsia="en-AU"/>
        </w:rPr>
        <w:t xml:space="preserve"> per patient infused. ESC noted that the payment schedule of upon infusion and on outcomes was not included in the ADAR, and although the applicant noted that this could be discussed </w:t>
      </w:r>
      <w:proofErr w:type="gramStart"/>
      <w:r w:rsidRPr="00C2126B">
        <w:rPr>
          <w:rFonts w:ascii="Franklin Gothic Book" w:hAnsi="Franklin Gothic Book"/>
          <w:color w:val="000000"/>
          <w:sz w:val="22"/>
          <w:szCs w:val="20"/>
          <w:lang w:eastAsia="en-AU"/>
        </w:rPr>
        <w:t>at a later date</w:t>
      </w:r>
      <w:proofErr w:type="gramEnd"/>
      <w:r w:rsidRPr="00C2126B">
        <w:rPr>
          <w:rFonts w:ascii="Franklin Gothic Book" w:hAnsi="Franklin Gothic Book"/>
          <w:color w:val="000000"/>
          <w:sz w:val="22"/>
          <w:szCs w:val="20"/>
          <w:lang w:eastAsia="en-AU"/>
        </w:rPr>
        <w:t>, details of any arrangements would be essential for MSAC to consider.</w:t>
      </w:r>
    </w:p>
    <w:p w14:paraId="126C9613" w14:textId="77777777" w:rsidR="00C233D6" w:rsidRPr="00C2126B" w:rsidRDefault="00C233D6" w:rsidP="00C233D6">
      <w:pPr>
        <w:spacing w:after="240"/>
        <w:rPr>
          <w:rFonts w:ascii="Franklin Gothic Book" w:hAnsi="Franklin Gothic Book"/>
          <w:color w:val="000000"/>
          <w:sz w:val="22"/>
          <w:szCs w:val="20"/>
          <w:lang w:eastAsia="en-AU"/>
        </w:rPr>
      </w:pPr>
      <w:r w:rsidRPr="00C2126B">
        <w:rPr>
          <w:rFonts w:ascii="Franklin Gothic Book" w:hAnsi="Franklin Gothic Book"/>
          <w:color w:val="000000"/>
          <w:sz w:val="22"/>
          <w:szCs w:val="20"/>
          <w:lang w:eastAsia="en-AU"/>
        </w:rPr>
        <w:t xml:space="preserve">ESC noted that the </w:t>
      </w:r>
      <w:r>
        <w:rPr>
          <w:rFonts w:ascii="Franklin Gothic Book" w:hAnsi="Franklin Gothic Book"/>
          <w:color w:val="000000"/>
          <w:sz w:val="22"/>
          <w:szCs w:val="20"/>
          <w:lang w:eastAsia="en-AU"/>
        </w:rPr>
        <w:t>S</w:t>
      </w:r>
      <w:r w:rsidRPr="00C2126B">
        <w:rPr>
          <w:rFonts w:ascii="Franklin Gothic Book" w:hAnsi="Franklin Gothic Book"/>
          <w:color w:val="000000"/>
          <w:sz w:val="22"/>
          <w:szCs w:val="20"/>
          <w:lang w:eastAsia="en-AU"/>
        </w:rPr>
        <w:t xml:space="preserve">tate and </w:t>
      </w:r>
      <w:r>
        <w:rPr>
          <w:rFonts w:ascii="Franklin Gothic Book" w:hAnsi="Franklin Gothic Book"/>
          <w:color w:val="000000"/>
          <w:sz w:val="22"/>
          <w:szCs w:val="20"/>
          <w:lang w:eastAsia="en-AU"/>
        </w:rPr>
        <w:t>T</w:t>
      </w:r>
      <w:r w:rsidRPr="00C2126B">
        <w:rPr>
          <w:rFonts w:ascii="Franklin Gothic Book" w:hAnsi="Franklin Gothic Book"/>
          <w:color w:val="000000"/>
          <w:sz w:val="22"/>
          <w:szCs w:val="20"/>
          <w:lang w:eastAsia="en-AU"/>
        </w:rPr>
        <w:t xml:space="preserve">erritory government submissions are not supportive of the application. These submissions include concerns around lack of long-term evidence regarding efficacy and safety of AXI, proposed costs not being reflective of the current real cost of service provision of AXI in a public hospital setting, assumptions in the economic analysis not being supported by the clinical evidence, continued uncertainty about the real-world benefits of CAR-T therapy due to the short time since the completion of the initial trials and limited real world experience with lower uptake of currently supported CAR-T therapies than predicted. </w:t>
      </w:r>
    </w:p>
    <w:p w14:paraId="6AC61A09" w14:textId="77777777" w:rsidR="00C233D6" w:rsidRPr="00C2126B" w:rsidRDefault="00C233D6" w:rsidP="00C233D6">
      <w:pPr>
        <w:spacing w:after="240"/>
        <w:rPr>
          <w:rFonts w:ascii="Franklin Gothic Book" w:hAnsi="Franklin Gothic Book"/>
          <w:color w:val="000000"/>
          <w:sz w:val="22"/>
          <w:szCs w:val="20"/>
          <w:lang w:eastAsia="en-AU"/>
        </w:rPr>
      </w:pPr>
      <w:r w:rsidRPr="00C2126B">
        <w:rPr>
          <w:rFonts w:ascii="Franklin Gothic Book" w:hAnsi="Franklin Gothic Book"/>
          <w:color w:val="000000"/>
          <w:sz w:val="22"/>
          <w:szCs w:val="20"/>
          <w:lang w:eastAsia="en-AU"/>
        </w:rPr>
        <w:t>ESC considered that a registry of outcomes is essential. Such a registry could provide data on overall survival, progression-free survival, hospitalisations, AEs, quality of life and costs of delivery.</w:t>
      </w:r>
      <w:r>
        <w:rPr>
          <w:rFonts w:ascii="Franklin Gothic Book" w:hAnsi="Franklin Gothic Book"/>
          <w:color w:val="000000"/>
          <w:sz w:val="22"/>
          <w:szCs w:val="20"/>
          <w:lang w:eastAsia="en-AU"/>
        </w:rPr>
        <w:t xml:space="preserve"> Appropriate arrangements with the applicant need to be made to ensure data access for all stakeholders.</w:t>
      </w:r>
    </w:p>
    <w:p w14:paraId="22962008" w14:textId="23A0A380" w:rsidR="00C233D6" w:rsidRDefault="00C233D6" w:rsidP="00C233D6">
      <w:pPr>
        <w:pStyle w:val="Heading2"/>
        <w:numPr>
          <w:ilvl w:val="0"/>
          <w:numId w:val="0"/>
        </w:numPr>
      </w:pPr>
      <w:r>
        <w:t>17.</w:t>
      </w:r>
      <w:r>
        <w:tab/>
        <w:t>Applicant comments on MSAC’s Public Summary Document</w:t>
      </w:r>
    </w:p>
    <w:p w14:paraId="42E85055" w14:textId="4F4F31C2" w:rsidR="00AE2BC5" w:rsidRPr="00FA1F5D" w:rsidRDefault="00AE2BC5" w:rsidP="00AE2BC5">
      <w:pPr>
        <w:spacing w:after="240"/>
        <w:rPr>
          <w:rFonts w:ascii="Franklin Gothic Book" w:hAnsi="Franklin Gothic Book"/>
          <w:sz w:val="22"/>
          <w:szCs w:val="22"/>
        </w:rPr>
      </w:pPr>
      <w:r w:rsidRPr="00FA1F5D">
        <w:rPr>
          <w:rFonts w:ascii="Franklin Gothic Book" w:hAnsi="Franklin Gothic Book"/>
          <w:sz w:val="22"/>
          <w:szCs w:val="22"/>
        </w:rPr>
        <w:t xml:space="preserve">Gilead is pleased to note that the MSAC recognised the clinical need for axicabtagene ciloleucel in this patient population.  All organisations and the patient community were strongly supportive of this application and making this therapy available to patients at an earlier line in therapy due to the unmet need. They highlighted the poor prognosis of patients with relapsed or refractory LBCL after first line treatment, and the significant benefits this therapy offers to patients. </w:t>
      </w:r>
    </w:p>
    <w:p w14:paraId="655EA884" w14:textId="77777777" w:rsidR="00AE2BC5" w:rsidRPr="00FA1F5D" w:rsidRDefault="00AE2BC5" w:rsidP="00AE2BC5">
      <w:pPr>
        <w:spacing w:after="240"/>
        <w:rPr>
          <w:rFonts w:ascii="Franklin Gothic Book" w:hAnsi="Franklin Gothic Book"/>
          <w:sz w:val="22"/>
          <w:szCs w:val="22"/>
        </w:rPr>
      </w:pPr>
      <w:r w:rsidRPr="00FA1F5D">
        <w:rPr>
          <w:rFonts w:ascii="Franklin Gothic Book" w:hAnsi="Franklin Gothic Book"/>
          <w:sz w:val="22"/>
          <w:szCs w:val="22"/>
        </w:rPr>
        <w:lastRenderedPageBreak/>
        <w:t xml:space="preserve">Given the different patient population, indication and treatment delivery centres, it is unclear how informative or relevant the outcome of the review of tisagenlecleucel would be for this application. </w:t>
      </w:r>
    </w:p>
    <w:p w14:paraId="3C94F355" w14:textId="7B73AF69" w:rsidR="00AE2BC5" w:rsidRPr="00AE2BC5" w:rsidRDefault="00AE2BC5" w:rsidP="00AE2BC5">
      <w:pPr>
        <w:spacing w:after="240"/>
        <w:rPr>
          <w:rFonts w:ascii="Franklin Gothic Book" w:hAnsi="Franklin Gothic Book"/>
          <w:sz w:val="22"/>
          <w:szCs w:val="22"/>
        </w:rPr>
      </w:pPr>
      <w:r w:rsidRPr="00FA1F5D">
        <w:rPr>
          <w:rFonts w:ascii="Franklin Gothic Book" w:hAnsi="Franklin Gothic Book"/>
          <w:sz w:val="22"/>
          <w:szCs w:val="22"/>
        </w:rPr>
        <w:t>The primary OS outcomes from ZUMA-7 strongly support the significant benefits of axicabtagene ciloleucel when used as an earlier line of therapy in this patient population. Gilead will continue to work with MSAC and the Department to secure public funding for axicabtagene ciloleucel.</w:t>
      </w:r>
    </w:p>
    <w:p w14:paraId="74578747" w14:textId="2718AD84" w:rsidR="00C233D6" w:rsidRDefault="00C233D6" w:rsidP="00C233D6">
      <w:pPr>
        <w:pStyle w:val="Heading2"/>
        <w:numPr>
          <w:ilvl w:val="0"/>
          <w:numId w:val="0"/>
        </w:numPr>
      </w:pPr>
      <w:r>
        <w:t>18.</w:t>
      </w:r>
      <w:r>
        <w:tab/>
        <w:t>Further information on MSAC</w:t>
      </w:r>
    </w:p>
    <w:p w14:paraId="1D0A59B6" w14:textId="6B0972E7" w:rsidR="005C726D" w:rsidRPr="00FE0DA6" w:rsidRDefault="00C233D6" w:rsidP="00FE0DA6">
      <w:pPr>
        <w:pStyle w:val="BodyText"/>
        <w:rPr>
          <w:rFonts w:ascii="Franklin Gothic Book" w:hAnsi="Franklin Gothic Book" w:cstheme="minorBidi"/>
          <w:b w:val="0"/>
          <w:bCs/>
          <w:i w:val="0"/>
          <w:iCs/>
          <w:sz w:val="22"/>
        </w:rPr>
      </w:pPr>
      <w:r w:rsidRPr="00F309FA">
        <w:rPr>
          <w:rFonts w:ascii="Franklin Gothic Book" w:hAnsi="Franklin Gothic Book"/>
          <w:b w:val="0"/>
          <w:bCs/>
          <w:i w:val="0"/>
          <w:iCs/>
          <w:sz w:val="22"/>
        </w:rPr>
        <w:t xml:space="preserve">MSAC Terms of Reference and other information are available on the MSAC Website: </w:t>
      </w:r>
      <w:hyperlink r:id="rId22" w:tooltip="Link to the MSAC website" w:history="1">
        <w:r w:rsidRPr="00F309FA">
          <w:rPr>
            <w:rStyle w:val="Hyperlink"/>
            <w:rFonts w:ascii="Franklin Gothic Book" w:hAnsi="Franklin Gothic Book"/>
            <w:b w:val="0"/>
            <w:bCs/>
            <w:i w:val="0"/>
            <w:iCs/>
            <w:sz w:val="22"/>
          </w:rPr>
          <w:t>visit the MSAC website</w:t>
        </w:r>
      </w:hyperlink>
    </w:p>
    <w:sectPr w:rsidR="005C726D" w:rsidRPr="00FE0DA6" w:rsidSect="00972951">
      <w:headerReference w:type="even" r:id="rId23"/>
      <w:headerReference w:type="default" r:id="rId24"/>
      <w:footerReference w:type="even" r:id="rId25"/>
      <w:footerReference w:type="default" r:id="rId26"/>
      <w:headerReference w:type="first" r:id="rId27"/>
      <w:footerReference w:type="first" r:id="rId28"/>
      <w:type w:val="oddPage"/>
      <w:pgSz w:w="11906" w:h="16838"/>
      <w:pgMar w:top="1440" w:right="1440" w:bottom="1440" w:left="1440" w:header="708"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AF168" w14:textId="77777777" w:rsidR="00A541AE" w:rsidRDefault="00A541AE" w:rsidP="00B62DF2">
      <w:r>
        <w:separator/>
      </w:r>
    </w:p>
  </w:endnote>
  <w:endnote w:type="continuationSeparator" w:id="0">
    <w:p w14:paraId="3DC36D9C" w14:textId="77777777" w:rsidR="00A541AE" w:rsidRDefault="00A541AE" w:rsidP="00B62DF2">
      <w:r>
        <w:continuationSeparator/>
      </w:r>
    </w:p>
  </w:endnote>
  <w:endnote w:type="continuationNotice" w:id="1">
    <w:p w14:paraId="72252ADF" w14:textId="77777777" w:rsidR="00A541AE" w:rsidRDefault="00A54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ExtB">
    <w:charset w:val="86"/>
    <w:family w:val="modern"/>
    <w:pitch w:val="fixed"/>
    <w:sig w:usb0="00000003" w:usb1="0A0E0000" w:usb2="00000010" w:usb3="00000000" w:csb0="00040001" w:csb1="00000000"/>
  </w:font>
  <w:font w:name="Proxima Nova">
    <w:panose1 w:val="00000000000000000000"/>
    <w:charset w:val="00"/>
    <w:family w:val="modern"/>
    <w:notTrueType/>
    <w:pitch w:val="variable"/>
    <w:sig w:usb0="20000287" w:usb1="00000001" w:usb2="00000000" w:usb3="00000000" w:csb0="000001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60831"/>
      <w:docPartObj>
        <w:docPartGallery w:val="Page Numbers (Bottom of Page)"/>
        <w:docPartUnique/>
      </w:docPartObj>
    </w:sdtPr>
    <w:sdtEndPr>
      <w:rPr>
        <w:noProof/>
      </w:rPr>
    </w:sdtEndPr>
    <w:sdtContent>
      <w:p w14:paraId="69052563" w14:textId="77777777" w:rsidR="00F51C7B" w:rsidRDefault="00F51C7B" w:rsidP="005C726D">
        <w:pPr>
          <w:pStyle w:val="Footer"/>
          <w:rPr>
            <w:noProof/>
          </w:rPr>
        </w:pPr>
        <w:r>
          <w:fldChar w:fldCharType="begin"/>
        </w:r>
        <w:r>
          <w:instrText xml:space="preserve"> PAGE   \* MERGEFORMAT </w:instrText>
        </w:r>
        <w:r>
          <w:fldChar w:fldCharType="separate"/>
        </w:r>
        <w:r>
          <w:rPr>
            <w:noProof/>
          </w:rPr>
          <w:t>22</w:t>
        </w:r>
        <w:r>
          <w:rPr>
            <w:noProof/>
          </w:rPr>
          <w:fldChar w:fldCharType="end"/>
        </w:r>
        <w:r>
          <w:rPr>
            <w:noProof/>
          </w:rPr>
          <w:tab/>
        </w:r>
      </w:p>
      <w:p w14:paraId="6E76D499" w14:textId="08C097E1" w:rsidR="00F51C7B" w:rsidRDefault="00F51C7B" w:rsidP="005C726D">
        <w:pPr>
          <w:pStyle w:val="Footer"/>
          <w:rPr>
            <w:noProof/>
          </w:rPr>
        </w:pPr>
        <w:r>
          <w:t xml:space="preserve">MSAC </w:t>
        </w:r>
        <w:r w:rsidRPr="00807A3E">
          <w:t xml:space="preserve">assessment report </w:t>
        </w:r>
        <w:r w:rsidRPr="00A56C88">
          <w:t>1722 – Axicabtagene ciloleucel for relapsed or refractory large B-cell lymphoma</w:t>
        </w: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685062CF" w:rsidR="00F51C7B" w:rsidRDefault="00F51C7B" w:rsidP="009B2B03">
        <w:pPr>
          <w:pStyle w:val="a-TEXT"/>
          <w:jc w:val="right"/>
        </w:pPr>
        <w:r>
          <w:fldChar w:fldCharType="begin"/>
        </w:r>
        <w:r>
          <w:instrText xml:space="preserve"> PAGE   \* MERGEFORMAT </w:instrText>
        </w:r>
        <w:r>
          <w:fldChar w:fldCharType="separate"/>
        </w:r>
        <w:r w:rsidR="00634A8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6CD7" w14:textId="77777777" w:rsidR="002610F9" w:rsidRDefault="00261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F731" w14:textId="77777777" w:rsidR="00A541AE" w:rsidRDefault="00A541AE" w:rsidP="00B62DF2">
      <w:r>
        <w:separator/>
      </w:r>
    </w:p>
  </w:footnote>
  <w:footnote w:type="continuationSeparator" w:id="0">
    <w:p w14:paraId="7BD58609" w14:textId="77777777" w:rsidR="00A541AE" w:rsidRDefault="00A541AE" w:rsidP="00B62DF2">
      <w:r>
        <w:continuationSeparator/>
      </w:r>
    </w:p>
  </w:footnote>
  <w:footnote w:type="continuationNotice" w:id="1">
    <w:p w14:paraId="69619BCD" w14:textId="77777777" w:rsidR="00A541AE" w:rsidRDefault="00A541AE"/>
  </w:footnote>
  <w:footnote w:id="2">
    <w:p w14:paraId="4CE1C1E1" w14:textId="77777777" w:rsidR="00F51C7B" w:rsidRDefault="00F51C7B" w:rsidP="00C233D6">
      <w:pPr>
        <w:pStyle w:val="FootnoteText"/>
      </w:pPr>
      <w:r>
        <w:rPr>
          <w:rStyle w:val="FootnoteReference"/>
        </w:rPr>
        <w:footnoteRef/>
      </w:r>
      <w:r>
        <w:t xml:space="preserve"> </w:t>
      </w:r>
      <w:hyperlink r:id="rId1" w:history="1">
        <w:r w:rsidRPr="006147FB">
          <w:rPr>
            <w:rStyle w:val="Hyperlink"/>
          </w:rPr>
          <w:t>FDA (2022)</w:t>
        </w:r>
      </w:hyperlink>
      <w:r w:rsidRPr="006147FB">
        <w:t xml:space="preserve"> listed EFS for LBCL as the following: The agency anticipates that this surrogate endpoint could be appropriate for use as a primary efficacy clinical trial endpoint for drug or biologic approval, although it has not yet been used to support an approved new drug application (NDA) or biologics licence applications (BLA)</w:t>
      </w:r>
    </w:p>
  </w:footnote>
  <w:footnote w:id="3">
    <w:p w14:paraId="0BD7C343" w14:textId="77777777" w:rsidR="00F51C7B" w:rsidRDefault="00F51C7B" w:rsidP="00C233D6">
      <w:pPr>
        <w:pStyle w:val="FootnoteText"/>
      </w:pPr>
      <w:r>
        <w:rPr>
          <w:rStyle w:val="FootnoteReference"/>
        </w:rPr>
        <w:footnoteRef/>
      </w:r>
      <w:r w:rsidRPr="007867F5">
        <w:rPr>
          <w:noProof/>
          <w:lang w:eastAsia="en-AU"/>
        </w:rPr>
        <w:drawing>
          <wp:inline distT="0" distB="0" distL="0" distR="0" wp14:anchorId="7409BC87" wp14:editId="3EA8DF28">
            <wp:extent cx="5731510" cy="427990"/>
            <wp:effectExtent l="0" t="0" r="2540" b="0"/>
            <wp:docPr id="4" name="Picture 4" descr="Reference"/>
            <wp:cNvGraphicFramePr/>
            <a:graphic xmlns:a="http://schemas.openxmlformats.org/drawingml/2006/main">
              <a:graphicData uri="http://schemas.openxmlformats.org/drawingml/2006/picture">
                <pic:pic xmlns:pic="http://schemas.openxmlformats.org/drawingml/2006/picture">
                  <pic:nvPicPr>
                    <pic:cNvPr id="3" name="Picture 3" descr="Reference"/>
                    <pic:cNvPicPr preferRelativeResize="0"/>
                  </pic:nvPicPr>
                  <pic:blipFill>
                    <a:blip r:embed="rId2">
                      <a:alphaModFix/>
                    </a:blip>
                    <a:stretch>
                      <a:fillRect/>
                    </a:stretch>
                  </pic:blipFill>
                  <pic:spPr>
                    <a:xfrm>
                      <a:off x="0" y="0"/>
                      <a:ext cx="5731510" cy="427990"/>
                    </a:xfrm>
                    <a:prstGeom prst="rect">
                      <a:avLst/>
                    </a:prstGeom>
                    <a:noFill/>
                    <a:ln>
                      <a:noFill/>
                    </a:ln>
                  </pic:spPr>
                </pic:pic>
              </a:graphicData>
            </a:graphic>
          </wp:inline>
        </w:drawing>
      </w:r>
    </w:p>
  </w:footnote>
  <w:footnote w:id="4">
    <w:p w14:paraId="66660CE6" w14:textId="24CFA8C6" w:rsidR="00F51C7B" w:rsidRDefault="00F51C7B" w:rsidP="00C233D6">
      <w:pPr>
        <w:pStyle w:val="FootnoteText"/>
      </w:pPr>
      <w:r>
        <w:rPr>
          <w:rStyle w:val="FootnoteReference"/>
        </w:rPr>
        <w:footnoteRef/>
      </w:r>
      <w:r>
        <w:t xml:space="preserve"> </w:t>
      </w:r>
      <w:r w:rsidRPr="007867F5">
        <w:t>Howell, T.A., Matza, L.S., Jun, M.P. </w:t>
      </w:r>
      <w:r w:rsidRPr="007867F5">
        <w:rPr>
          <w:i/>
          <w:iCs/>
        </w:rPr>
        <w:t>et al.</w:t>
      </w:r>
      <w:r w:rsidRPr="007867F5">
        <w:t> Health State Utilities for Adverse Events Associated with Chimeric Antigen Receptor T-Cell Therapy in Large B-Cell Lymphoma.</w:t>
      </w:r>
      <w:r w:rsidRPr="007867F5">
        <w:rPr>
          <w:i/>
          <w:iCs/>
        </w:rPr>
        <w:t>PharmacoEconomics Open</w:t>
      </w:r>
      <w:r w:rsidRPr="007867F5">
        <w:t> </w:t>
      </w:r>
      <w:r w:rsidRPr="007867F5">
        <w:rPr>
          <w:b/>
          <w:bCs/>
        </w:rPr>
        <w:t>6</w:t>
      </w:r>
      <w:r w:rsidRPr="007867F5">
        <w:t>, 367–376 (2022). https://doi.org/10.1007/s41669-021-00316-0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1456" w14:textId="77777777" w:rsidR="002610F9" w:rsidRDefault="00261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C868" w14:textId="77777777" w:rsidR="002610F9" w:rsidRDefault="00261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7BAB" w14:textId="77777777" w:rsidR="002610F9" w:rsidRDefault="00261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D8B"/>
    <w:multiLevelType w:val="hybridMultilevel"/>
    <w:tmpl w:val="3D8A66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527CFB"/>
    <w:multiLevelType w:val="hybridMultilevel"/>
    <w:tmpl w:val="D65ACD9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257E51"/>
    <w:multiLevelType w:val="hybridMultilevel"/>
    <w:tmpl w:val="6AF81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C47953"/>
    <w:multiLevelType w:val="hybridMultilevel"/>
    <w:tmpl w:val="88C2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E37CF"/>
    <w:multiLevelType w:val="hybridMultilevel"/>
    <w:tmpl w:val="60B2F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8"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B3678C8"/>
    <w:multiLevelType w:val="hybridMultilevel"/>
    <w:tmpl w:val="A8AA2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235052"/>
    <w:multiLevelType w:val="hybridMultilevel"/>
    <w:tmpl w:val="200000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095746"/>
    <w:multiLevelType w:val="hybridMultilevel"/>
    <w:tmpl w:val="0C3CDF80"/>
    <w:lvl w:ilvl="0" w:tplc="BC68712A">
      <w:start w:val="1"/>
      <w:numFmt w:val="bullet"/>
      <w:pStyle w:val="Instructionaltext-bullet"/>
      <w:lvlText w:val=""/>
      <w:lvlJc w:val="left"/>
      <w:pPr>
        <w:ind w:left="720" w:hanging="360"/>
      </w:pPr>
      <w:rPr>
        <w:rFonts w:ascii="Symbol" w:hAnsi="Symbol" w:cs="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CD50A0"/>
    <w:multiLevelType w:val="hybridMultilevel"/>
    <w:tmpl w:val="AE56A486"/>
    <w:lvl w:ilvl="0" w:tplc="1A9AFE6A">
      <w:start w:val="1"/>
      <w:numFmt w:val="bullet"/>
      <w:pStyle w:val="A-do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F6716"/>
    <w:multiLevelType w:val="hybridMultilevel"/>
    <w:tmpl w:val="A92A521A"/>
    <w:lvl w:ilvl="0" w:tplc="0809000F">
      <w:start w:val="1"/>
      <w:numFmt w:val="decimal"/>
      <w:lvlText w:val="%1."/>
      <w:lvlJc w:val="left"/>
      <w:pPr>
        <w:ind w:left="720" w:hanging="360"/>
      </w:pPr>
    </w:lvl>
    <w:lvl w:ilvl="1" w:tplc="416C1CC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313912"/>
    <w:multiLevelType w:val="hybridMultilevel"/>
    <w:tmpl w:val="657A93E8"/>
    <w:lvl w:ilvl="0" w:tplc="0B6445E4">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4D033C"/>
    <w:multiLevelType w:val="multilevel"/>
    <w:tmpl w:val="45FC285E"/>
    <w:lvl w:ilvl="0">
      <w:start w:val="1"/>
      <w:numFmt w:val="decimal"/>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283925482">
    <w:abstractNumId w:val="12"/>
  </w:num>
  <w:num w:numId="2" w16cid:durableId="1112169858">
    <w:abstractNumId w:val="20"/>
  </w:num>
  <w:num w:numId="3" w16cid:durableId="788283458">
    <w:abstractNumId w:val="3"/>
  </w:num>
  <w:num w:numId="4" w16cid:durableId="178393234">
    <w:abstractNumId w:val="7"/>
  </w:num>
  <w:num w:numId="5" w16cid:durableId="2084135472">
    <w:abstractNumId w:val="19"/>
  </w:num>
  <w:num w:numId="6" w16cid:durableId="1068722275">
    <w:abstractNumId w:val="8"/>
  </w:num>
  <w:num w:numId="7" w16cid:durableId="869269813">
    <w:abstractNumId w:val="9"/>
  </w:num>
  <w:num w:numId="8" w16cid:durableId="894855452">
    <w:abstractNumId w:val="11"/>
  </w:num>
  <w:num w:numId="9" w16cid:durableId="192111605">
    <w:abstractNumId w:val="14"/>
  </w:num>
  <w:num w:numId="10" w16cid:durableId="561598642">
    <w:abstractNumId w:val="15"/>
  </w:num>
  <w:num w:numId="11" w16cid:durableId="615984704">
    <w:abstractNumId w:val="16"/>
  </w:num>
  <w:num w:numId="12" w16cid:durableId="1193424456">
    <w:abstractNumId w:val="0"/>
  </w:num>
  <w:num w:numId="13" w16cid:durableId="1870412138">
    <w:abstractNumId w:val="13"/>
  </w:num>
  <w:num w:numId="14" w16cid:durableId="1378700201">
    <w:abstractNumId w:val="10"/>
  </w:num>
  <w:num w:numId="15" w16cid:durableId="196435052">
    <w:abstractNumId w:val="18"/>
  </w:num>
  <w:num w:numId="16" w16cid:durableId="156657022">
    <w:abstractNumId w:val="1"/>
  </w:num>
  <w:num w:numId="17" w16cid:durableId="1496607293">
    <w:abstractNumId w:val="17"/>
  </w:num>
  <w:num w:numId="18" w16cid:durableId="1169561033">
    <w:abstractNumId w:val="4"/>
  </w:num>
  <w:num w:numId="19" w16cid:durableId="415789492">
    <w:abstractNumId w:val="2"/>
  </w:num>
  <w:num w:numId="20" w16cid:durableId="1483234495">
    <w:abstractNumId w:val="5"/>
  </w:num>
  <w:num w:numId="21" w16cid:durableId="2048748726">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dz5rt27s29tnepzr95srp02rdre5s0aapt&quot;&gt;Naturopathy&lt;record-ids&gt;&lt;item&gt;15&lt;/item&gt;&lt;/record-ids&gt;&lt;/item&gt;&lt;/Libraries&gt;"/>
  </w:docVars>
  <w:rsids>
    <w:rsidRoot w:val="008157F1"/>
    <w:rsid w:val="0000109A"/>
    <w:rsid w:val="000010A2"/>
    <w:rsid w:val="00001977"/>
    <w:rsid w:val="00001AE6"/>
    <w:rsid w:val="00001D55"/>
    <w:rsid w:val="00002D3A"/>
    <w:rsid w:val="00003087"/>
    <w:rsid w:val="00003211"/>
    <w:rsid w:val="00003933"/>
    <w:rsid w:val="0000393D"/>
    <w:rsid w:val="00003AB6"/>
    <w:rsid w:val="00003E81"/>
    <w:rsid w:val="00004BC1"/>
    <w:rsid w:val="00004D69"/>
    <w:rsid w:val="00004F7F"/>
    <w:rsid w:val="000054C9"/>
    <w:rsid w:val="000076F4"/>
    <w:rsid w:val="00007CD5"/>
    <w:rsid w:val="00011568"/>
    <w:rsid w:val="000122AD"/>
    <w:rsid w:val="00013F61"/>
    <w:rsid w:val="00014974"/>
    <w:rsid w:val="000155A4"/>
    <w:rsid w:val="00016231"/>
    <w:rsid w:val="000164FE"/>
    <w:rsid w:val="00016CA2"/>
    <w:rsid w:val="0001754B"/>
    <w:rsid w:val="00020440"/>
    <w:rsid w:val="00020800"/>
    <w:rsid w:val="00020A43"/>
    <w:rsid w:val="00021081"/>
    <w:rsid w:val="00021215"/>
    <w:rsid w:val="000219B0"/>
    <w:rsid w:val="00021DD4"/>
    <w:rsid w:val="000228B8"/>
    <w:rsid w:val="0002381B"/>
    <w:rsid w:val="00024EA5"/>
    <w:rsid w:val="00025013"/>
    <w:rsid w:val="00025185"/>
    <w:rsid w:val="00025CB1"/>
    <w:rsid w:val="00026E6F"/>
    <w:rsid w:val="00027009"/>
    <w:rsid w:val="000274FF"/>
    <w:rsid w:val="0002755F"/>
    <w:rsid w:val="000278B1"/>
    <w:rsid w:val="00030346"/>
    <w:rsid w:val="00030790"/>
    <w:rsid w:val="00030D0A"/>
    <w:rsid w:val="000316F0"/>
    <w:rsid w:val="000317F1"/>
    <w:rsid w:val="00031CAC"/>
    <w:rsid w:val="00032053"/>
    <w:rsid w:val="00033589"/>
    <w:rsid w:val="00034054"/>
    <w:rsid w:val="0003423A"/>
    <w:rsid w:val="0003477F"/>
    <w:rsid w:val="00034C63"/>
    <w:rsid w:val="00036104"/>
    <w:rsid w:val="00036836"/>
    <w:rsid w:val="00036AD8"/>
    <w:rsid w:val="00037037"/>
    <w:rsid w:val="00037170"/>
    <w:rsid w:val="00037302"/>
    <w:rsid w:val="0003773D"/>
    <w:rsid w:val="00037B69"/>
    <w:rsid w:val="0004005D"/>
    <w:rsid w:val="00040ADF"/>
    <w:rsid w:val="00040B23"/>
    <w:rsid w:val="00040CEE"/>
    <w:rsid w:val="00040FB4"/>
    <w:rsid w:val="0004178C"/>
    <w:rsid w:val="00041F5D"/>
    <w:rsid w:val="000443A6"/>
    <w:rsid w:val="000449D1"/>
    <w:rsid w:val="00045B2E"/>
    <w:rsid w:val="00045B8D"/>
    <w:rsid w:val="00045CC5"/>
    <w:rsid w:val="00046B6A"/>
    <w:rsid w:val="00046FD2"/>
    <w:rsid w:val="000472D4"/>
    <w:rsid w:val="000476FB"/>
    <w:rsid w:val="000478C2"/>
    <w:rsid w:val="00052B5E"/>
    <w:rsid w:val="00052DD3"/>
    <w:rsid w:val="0005326D"/>
    <w:rsid w:val="00053AD6"/>
    <w:rsid w:val="00053BCF"/>
    <w:rsid w:val="00053C30"/>
    <w:rsid w:val="00053ECD"/>
    <w:rsid w:val="00053F6C"/>
    <w:rsid w:val="00054162"/>
    <w:rsid w:val="0005441B"/>
    <w:rsid w:val="00055027"/>
    <w:rsid w:val="0005509D"/>
    <w:rsid w:val="000553B0"/>
    <w:rsid w:val="00055470"/>
    <w:rsid w:val="00055804"/>
    <w:rsid w:val="00055885"/>
    <w:rsid w:val="00055F63"/>
    <w:rsid w:val="0005652C"/>
    <w:rsid w:val="000566DC"/>
    <w:rsid w:val="000576EA"/>
    <w:rsid w:val="00057B78"/>
    <w:rsid w:val="00060C52"/>
    <w:rsid w:val="00061EE0"/>
    <w:rsid w:val="00062290"/>
    <w:rsid w:val="000625DE"/>
    <w:rsid w:val="00062715"/>
    <w:rsid w:val="0006295F"/>
    <w:rsid w:val="0006339C"/>
    <w:rsid w:val="000635EF"/>
    <w:rsid w:val="00063FBE"/>
    <w:rsid w:val="00064783"/>
    <w:rsid w:val="000647C2"/>
    <w:rsid w:val="000648F8"/>
    <w:rsid w:val="00065FEB"/>
    <w:rsid w:val="00066CEB"/>
    <w:rsid w:val="00066CF2"/>
    <w:rsid w:val="00067B3A"/>
    <w:rsid w:val="0007021F"/>
    <w:rsid w:val="000703D9"/>
    <w:rsid w:val="000709A0"/>
    <w:rsid w:val="000722B5"/>
    <w:rsid w:val="000732F4"/>
    <w:rsid w:val="00073445"/>
    <w:rsid w:val="00074199"/>
    <w:rsid w:val="0007444C"/>
    <w:rsid w:val="00074E55"/>
    <w:rsid w:val="00074F13"/>
    <w:rsid w:val="00075417"/>
    <w:rsid w:val="000756FC"/>
    <w:rsid w:val="000758D5"/>
    <w:rsid w:val="000775AE"/>
    <w:rsid w:val="00080241"/>
    <w:rsid w:val="000807C8"/>
    <w:rsid w:val="000808F0"/>
    <w:rsid w:val="0008113C"/>
    <w:rsid w:val="000816A2"/>
    <w:rsid w:val="00081778"/>
    <w:rsid w:val="00083756"/>
    <w:rsid w:val="0008387D"/>
    <w:rsid w:val="00084F30"/>
    <w:rsid w:val="00086019"/>
    <w:rsid w:val="000870B6"/>
    <w:rsid w:val="00087F0A"/>
    <w:rsid w:val="00090119"/>
    <w:rsid w:val="0009057A"/>
    <w:rsid w:val="00090613"/>
    <w:rsid w:val="00090A30"/>
    <w:rsid w:val="00090BD1"/>
    <w:rsid w:val="0009172B"/>
    <w:rsid w:val="00091857"/>
    <w:rsid w:val="000919D4"/>
    <w:rsid w:val="00091C59"/>
    <w:rsid w:val="00092A21"/>
    <w:rsid w:val="0009399C"/>
    <w:rsid w:val="00093D9A"/>
    <w:rsid w:val="00094656"/>
    <w:rsid w:val="00096816"/>
    <w:rsid w:val="00096B52"/>
    <w:rsid w:val="00097067"/>
    <w:rsid w:val="00097BA2"/>
    <w:rsid w:val="00097C8A"/>
    <w:rsid w:val="000A102C"/>
    <w:rsid w:val="000A10BF"/>
    <w:rsid w:val="000A1A95"/>
    <w:rsid w:val="000A2ACD"/>
    <w:rsid w:val="000A2B65"/>
    <w:rsid w:val="000A2DA8"/>
    <w:rsid w:val="000A2FB0"/>
    <w:rsid w:val="000A32B5"/>
    <w:rsid w:val="000A41A9"/>
    <w:rsid w:val="000A4659"/>
    <w:rsid w:val="000A4839"/>
    <w:rsid w:val="000A552D"/>
    <w:rsid w:val="000A5C47"/>
    <w:rsid w:val="000A629E"/>
    <w:rsid w:val="000A68AE"/>
    <w:rsid w:val="000A6916"/>
    <w:rsid w:val="000A6B30"/>
    <w:rsid w:val="000B14BF"/>
    <w:rsid w:val="000B15D1"/>
    <w:rsid w:val="000B18F2"/>
    <w:rsid w:val="000B1A5A"/>
    <w:rsid w:val="000B1AE7"/>
    <w:rsid w:val="000B2488"/>
    <w:rsid w:val="000B2F19"/>
    <w:rsid w:val="000B3330"/>
    <w:rsid w:val="000B4B17"/>
    <w:rsid w:val="000B61BC"/>
    <w:rsid w:val="000B64AB"/>
    <w:rsid w:val="000B6CF0"/>
    <w:rsid w:val="000B720C"/>
    <w:rsid w:val="000B7665"/>
    <w:rsid w:val="000C05C9"/>
    <w:rsid w:val="000C1D35"/>
    <w:rsid w:val="000C3FE6"/>
    <w:rsid w:val="000C4827"/>
    <w:rsid w:val="000C56D7"/>
    <w:rsid w:val="000C5712"/>
    <w:rsid w:val="000C7C46"/>
    <w:rsid w:val="000C7E34"/>
    <w:rsid w:val="000D07CB"/>
    <w:rsid w:val="000D0A7A"/>
    <w:rsid w:val="000D0D72"/>
    <w:rsid w:val="000D1B52"/>
    <w:rsid w:val="000D229B"/>
    <w:rsid w:val="000D2525"/>
    <w:rsid w:val="000D29C6"/>
    <w:rsid w:val="000D2BF5"/>
    <w:rsid w:val="000D30F9"/>
    <w:rsid w:val="000D382E"/>
    <w:rsid w:val="000D3EA3"/>
    <w:rsid w:val="000D4C1B"/>
    <w:rsid w:val="000D5523"/>
    <w:rsid w:val="000D61C4"/>
    <w:rsid w:val="000D6BB5"/>
    <w:rsid w:val="000D7259"/>
    <w:rsid w:val="000D752E"/>
    <w:rsid w:val="000D7924"/>
    <w:rsid w:val="000D79CC"/>
    <w:rsid w:val="000E03DC"/>
    <w:rsid w:val="000E1124"/>
    <w:rsid w:val="000E2BFA"/>
    <w:rsid w:val="000E2C44"/>
    <w:rsid w:val="000E3112"/>
    <w:rsid w:val="000E4148"/>
    <w:rsid w:val="000E5531"/>
    <w:rsid w:val="000E6410"/>
    <w:rsid w:val="000E678B"/>
    <w:rsid w:val="000E7C95"/>
    <w:rsid w:val="000F0647"/>
    <w:rsid w:val="000F0A66"/>
    <w:rsid w:val="000F0AEA"/>
    <w:rsid w:val="000F17DD"/>
    <w:rsid w:val="000F2613"/>
    <w:rsid w:val="000F279B"/>
    <w:rsid w:val="000F2908"/>
    <w:rsid w:val="000F2AB0"/>
    <w:rsid w:val="000F2D96"/>
    <w:rsid w:val="000F2E01"/>
    <w:rsid w:val="000F39BE"/>
    <w:rsid w:val="000F460D"/>
    <w:rsid w:val="000F4BF8"/>
    <w:rsid w:val="000F5157"/>
    <w:rsid w:val="000F5A54"/>
    <w:rsid w:val="000F693C"/>
    <w:rsid w:val="000F7987"/>
    <w:rsid w:val="000F7D40"/>
    <w:rsid w:val="0010051C"/>
    <w:rsid w:val="00100ED7"/>
    <w:rsid w:val="001013A4"/>
    <w:rsid w:val="0010448B"/>
    <w:rsid w:val="00104AD8"/>
    <w:rsid w:val="0010521F"/>
    <w:rsid w:val="0010625A"/>
    <w:rsid w:val="00106573"/>
    <w:rsid w:val="00107524"/>
    <w:rsid w:val="0010790D"/>
    <w:rsid w:val="00107DCD"/>
    <w:rsid w:val="00107EF0"/>
    <w:rsid w:val="001106E4"/>
    <w:rsid w:val="00110C43"/>
    <w:rsid w:val="00110D5F"/>
    <w:rsid w:val="00111417"/>
    <w:rsid w:val="00111779"/>
    <w:rsid w:val="00111C69"/>
    <w:rsid w:val="00111EF2"/>
    <w:rsid w:val="00112030"/>
    <w:rsid w:val="00113C60"/>
    <w:rsid w:val="00114C3B"/>
    <w:rsid w:val="00115050"/>
    <w:rsid w:val="00115181"/>
    <w:rsid w:val="00115691"/>
    <w:rsid w:val="00115CA0"/>
    <w:rsid w:val="00116593"/>
    <w:rsid w:val="001166CA"/>
    <w:rsid w:val="00116BCE"/>
    <w:rsid w:val="00117039"/>
    <w:rsid w:val="001176B0"/>
    <w:rsid w:val="00117E80"/>
    <w:rsid w:val="00117F04"/>
    <w:rsid w:val="001206F9"/>
    <w:rsid w:val="0012070D"/>
    <w:rsid w:val="001207C3"/>
    <w:rsid w:val="00120BD3"/>
    <w:rsid w:val="00120D2C"/>
    <w:rsid w:val="00120FA3"/>
    <w:rsid w:val="00122AE3"/>
    <w:rsid w:val="00122EE1"/>
    <w:rsid w:val="0012302D"/>
    <w:rsid w:val="00123658"/>
    <w:rsid w:val="001237AF"/>
    <w:rsid w:val="001243B6"/>
    <w:rsid w:val="001247EB"/>
    <w:rsid w:val="00124971"/>
    <w:rsid w:val="00124AFA"/>
    <w:rsid w:val="00124F3C"/>
    <w:rsid w:val="00125924"/>
    <w:rsid w:val="00125B61"/>
    <w:rsid w:val="00126122"/>
    <w:rsid w:val="00126D78"/>
    <w:rsid w:val="00131C9B"/>
    <w:rsid w:val="00131D45"/>
    <w:rsid w:val="001320F0"/>
    <w:rsid w:val="00132883"/>
    <w:rsid w:val="0013342C"/>
    <w:rsid w:val="001336E0"/>
    <w:rsid w:val="00133F34"/>
    <w:rsid w:val="0013412C"/>
    <w:rsid w:val="00134A95"/>
    <w:rsid w:val="00134D1D"/>
    <w:rsid w:val="00135273"/>
    <w:rsid w:val="0013541B"/>
    <w:rsid w:val="00135FC9"/>
    <w:rsid w:val="00136B73"/>
    <w:rsid w:val="001377D3"/>
    <w:rsid w:val="00137E73"/>
    <w:rsid w:val="001406AB"/>
    <w:rsid w:val="00141295"/>
    <w:rsid w:val="00142230"/>
    <w:rsid w:val="00142324"/>
    <w:rsid w:val="00142530"/>
    <w:rsid w:val="00142A98"/>
    <w:rsid w:val="00143478"/>
    <w:rsid w:val="00143990"/>
    <w:rsid w:val="00143F2F"/>
    <w:rsid w:val="001443B4"/>
    <w:rsid w:val="0014548C"/>
    <w:rsid w:val="00146624"/>
    <w:rsid w:val="00147705"/>
    <w:rsid w:val="00147C4D"/>
    <w:rsid w:val="00150376"/>
    <w:rsid w:val="001516CD"/>
    <w:rsid w:val="00151DBD"/>
    <w:rsid w:val="0015289A"/>
    <w:rsid w:val="001531D6"/>
    <w:rsid w:val="00153D6B"/>
    <w:rsid w:val="00154EFD"/>
    <w:rsid w:val="00155434"/>
    <w:rsid w:val="00155BDA"/>
    <w:rsid w:val="00156161"/>
    <w:rsid w:val="00156AD2"/>
    <w:rsid w:val="00156FA7"/>
    <w:rsid w:val="00157C11"/>
    <w:rsid w:val="0016023A"/>
    <w:rsid w:val="001605B8"/>
    <w:rsid w:val="00160927"/>
    <w:rsid w:val="0016093A"/>
    <w:rsid w:val="00160C81"/>
    <w:rsid w:val="00160FE0"/>
    <w:rsid w:val="00161221"/>
    <w:rsid w:val="00161237"/>
    <w:rsid w:val="00161AA6"/>
    <w:rsid w:val="00161B69"/>
    <w:rsid w:val="00162DBF"/>
    <w:rsid w:val="0016344F"/>
    <w:rsid w:val="001637D2"/>
    <w:rsid w:val="00163F1A"/>
    <w:rsid w:val="00164CF8"/>
    <w:rsid w:val="001653AE"/>
    <w:rsid w:val="00166D20"/>
    <w:rsid w:val="0017038E"/>
    <w:rsid w:val="0017069D"/>
    <w:rsid w:val="001709F8"/>
    <w:rsid w:val="00170D5B"/>
    <w:rsid w:val="0017174D"/>
    <w:rsid w:val="00171BE3"/>
    <w:rsid w:val="00172B04"/>
    <w:rsid w:val="00172B8F"/>
    <w:rsid w:val="00172D8E"/>
    <w:rsid w:val="001736F8"/>
    <w:rsid w:val="00173D85"/>
    <w:rsid w:val="00174250"/>
    <w:rsid w:val="00174DB4"/>
    <w:rsid w:val="00174FD4"/>
    <w:rsid w:val="00175013"/>
    <w:rsid w:val="00175229"/>
    <w:rsid w:val="001756F3"/>
    <w:rsid w:val="00180864"/>
    <w:rsid w:val="00180F42"/>
    <w:rsid w:val="00181057"/>
    <w:rsid w:val="0018180D"/>
    <w:rsid w:val="00181DB5"/>
    <w:rsid w:val="00183522"/>
    <w:rsid w:val="00184174"/>
    <w:rsid w:val="00184BAE"/>
    <w:rsid w:val="0018679A"/>
    <w:rsid w:val="00186C9B"/>
    <w:rsid w:val="0018737D"/>
    <w:rsid w:val="00187ACB"/>
    <w:rsid w:val="00190619"/>
    <w:rsid w:val="00190B8B"/>
    <w:rsid w:val="00191F30"/>
    <w:rsid w:val="0019362A"/>
    <w:rsid w:val="0019474E"/>
    <w:rsid w:val="00195728"/>
    <w:rsid w:val="00195A7F"/>
    <w:rsid w:val="00195D9C"/>
    <w:rsid w:val="0019679D"/>
    <w:rsid w:val="00196F3D"/>
    <w:rsid w:val="001970C0"/>
    <w:rsid w:val="00197EB5"/>
    <w:rsid w:val="001A08B8"/>
    <w:rsid w:val="001A1CB7"/>
    <w:rsid w:val="001A1D3E"/>
    <w:rsid w:val="001A1EE9"/>
    <w:rsid w:val="001A2A1C"/>
    <w:rsid w:val="001A2C80"/>
    <w:rsid w:val="001A420B"/>
    <w:rsid w:val="001A4352"/>
    <w:rsid w:val="001A47FE"/>
    <w:rsid w:val="001A4816"/>
    <w:rsid w:val="001A4B97"/>
    <w:rsid w:val="001A4F7D"/>
    <w:rsid w:val="001A5419"/>
    <w:rsid w:val="001A59CD"/>
    <w:rsid w:val="001A5D8B"/>
    <w:rsid w:val="001A5E1B"/>
    <w:rsid w:val="001A6871"/>
    <w:rsid w:val="001A71A8"/>
    <w:rsid w:val="001A7266"/>
    <w:rsid w:val="001A7B42"/>
    <w:rsid w:val="001A7D8F"/>
    <w:rsid w:val="001B0D86"/>
    <w:rsid w:val="001B1263"/>
    <w:rsid w:val="001B19FD"/>
    <w:rsid w:val="001B201A"/>
    <w:rsid w:val="001B20AA"/>
    <w:rsid w:val="001B2130"/>
    <w:rsid w:val="001B2A82"/>
    <w:rsid w:val="001B2A97"/>
    <w:rsid w:val="001B2CD4"/>
    <w:rsid w:val="001B3797"/>
    <w:rsid w:val="001B3809"/>
    <w:rsid w:val="001B5CCC"/>
    <w:rsid w:val="001B6B64"/>
    <w:rsid w:val="001B71D3"/>
    <w:rsid w:val="001B7329"/>
    <w:rsid w:val="001B7D65"/>
    <w:rsid w:val="001C154E"/>
    <w:rsid w:val="001C174A"/>
    <w:rsid w:val="001C1D05"/>
    <w:rsid w:val="001C1F97"/>
    <w:rsid w:val="001C2A48"/>
    <w:rsid w:val="001C2CCF"/>
    <w:rsid w:val="001C4975"/>
    <w:rsid w:val="001C504C"/>
    <w:rsid w:val="001C5537"/>
    <w:rsid w:val="001C6294"/>
    <w:rsid w:val="001C698C"/>
    <w:rsid w:val="001C69E3"/>
    <w:rsid w:val="001C6BE8"/>
    <w:rsid w:val="001C6DFD"/>
    <w:rsid w:val="001C75E0"/>
    <w:rsid w:val="001D0039"/>
    <w:rsid w:val="001D2CF9"/>
    <w:rsid w:val="001D32C0"/>
    <w:rsid w:val="001D3A64"/>
    <w:rsid w:val="001D3A73"/>
    <w:rsid w:val="001D4E44"/>
    <w:rsid w:val="001D5793"/>
    <w:rsid w:val="001D6AA5"/>
    <w:rsid w:val="001D7379"/>
    <w:rsid w:val="001D74A7"/>
    <w:rsid w:val="001E0BBE"/>
    <w:rsid w:val="001E15F2"/>
    <w:rsid w:val="001E1FF9"/>
    <w:rsid w:val="001E22F7"/>
    <w:rsid w:val="001E2742"/>
    <w:rsid w:val="001E2771"/>
    <w:rsid w:val="001E3961"/>
    <w:rsid w:val="001E3D32"/>
    <w:rsid w:val="001E42E8"/>
    <w:rsid w:val="001E465F"/>
    <w:rsid w:val="001E503F"/>
    <w:rsid w:val="001E506D"/>
    <w:rsid w:val="001E70B7"/>
    <w:rsid w:val="001E7A8A"/>
    <w:rsid w:val="001E7D5B"/>
    <w:rsid w:val="001F149C"/>
    <w:rsid w:val="001F2902"/>
    <w:rsid w:val="001F39F1"/>
    <w:rsid w:val="001F3B16"/>
    <w:rsid w:val="001F3F36"/>
    <w:rsid w:val="001F4232"/>
    <w:rsid w:val="001F588C"/>
    <w:rsid w:val="001F658C"/>
    <w:rsid w:val="001F675C"/>
    <w:rsid w:val="001F6F44"/>
    <w:rsid w:val="001F7563"/>
    <w:rsid w:val="001F795E"/>
    <w:rsid w:val="001F79B2"/>
    <w:rsid w:val="00200574"/>
    <w:rsid w:val="002019A7"/>
    <w:rsid w:val="002023B1"/>
    <w:rsid w:val="00202B55"/>
    <w:rsid w:val="00202C74"/>
    <w:rsid w:val="00202CBD"/>
    <w:rsid w:val="00203FBD"/>
    <w:rsid w:val="002047BE"/>
    <w:rsid w:val="00204A11"/>
    <w:rsid w:val="002071DF"/>
    <w:rsid w:val="00207F59"/>
    <w:rsid w:val="0021095D"/>
    <w:rsid w:val="00210BA6"/>
    <w:rsid w:val="00210C23"/>
    <w:rsid w:val="00210DD2"/>
    <w:rsid w:val="00210FAB"/>
    <w:rsid w:val="00211DC3"/>
    <w:rsid w:val="00211E7E"/>
    <w:rsid w:val="0021212B"/>
    <w:rsid w:val="002126C3"/>
    <w:rsid w:val="00212B94"/>
    <w:rsid w:val="00213C68"/>
    <w:rsid w:val="002145B3"/>
    <w:rsid w:val="002149A5"/>
    <w:rsid w:val="002149B2"/>
    <w:rsid w:val="002155B6"/>
    <w:rsid w:val="002157E4"/>
    <w:rsid w:val="002158D5"/>
    <w:rsid w:val="00215AFB"/>
    <w:rsid w:val="00215DEA"/>
    <w:rsid w:val="0021665D"/>
    <w:rsid w:val="00216B6C"/>
    <w:rsid w:val="00217581"/>
    <w:rsid w:val="002177E2"/>
    <w:rsid w:val="00217DF8"/>
    <w:rsid w:val="002200D8"/>
    <w:rsid w:val="00221507"/>
    <w:rsid w:val="00221B78"/>
    <w:rsid w:val="00221C3D"/>
    <w:rsid w:val="00223664"/>
    <w:rsid w:val="002237F5"/>
    <w:rsid w:val="00223A56"/>
    <w:rsid w:val="00223B1D"/>
    <w:rsid w:val="00223F5D"/>
    <w:rsid w:val="00225833"/>
    <w:rsid w:val="00225E03"/>
    <w:rsid w:val="00226095"/>
    <w:rsid w:val="00226D5B"/>
    <w:rsid w:val="0022771D"/>
    <w:rsid w:val="00227B89"/>
    <w:rsid w:val="00227F43"/>
    <w:rsid w:val="00230F63"/>
    <w:rsid w:val="00231A9B"/>
    <w:rsid w:val="00233559"/>
    <w:rsid w:val="00233DA1"/>
    <w:rsid w:val="00234640"/>
    <w:rsid w:val="00234BD8"/>
    <w:rsid w:val="00234F40"/>
    <w:rsid w:val="00236491"/>
    <w:rsid w:val="00237B17"/>
    <w:rsid w:val="00240106"/>
    <w:rsid w:val="00240801"/>
    <w:rsid w:val="002411C7"/>
    <w:rsid w:val="002420BF"/>
    <w:rsid w:val="00242F4E"/>
    <w:rsid w:val="00243278"/>
    <w:rsid w:val="00243E25"/>
    <w:rsid w:val="0024494D"/>
    <w:rsid w:val="002452A0"/>
    <w:rsid w:val="0024576A"/>
    <w:rsid w:val="00245837"/>
    <w:rsid w:val="0024583B"/>
    <w:rsid w:val="00245CF9"/>
    <w:rsid w:val="0024622E"/>
    <w:rsid w:val="002463A6"/>
    <w:rsid w:val="00246ADB"/>
    <w:rsid w:val="00246C59"/>
    <w:rsid w:val="00247CB7"/>
    <w:rsid w:val="002517A5"/>
    <w:rsid w:val="002518CA"/>
    <w:rsid w:val="00251B2F"/>
    <w:rsid w:val="00251F6C"/>
    <w:rsid w:val="0025211F"/>
    <w:rsid w:val="0025249C"/>
    <w:rsid w:val="00252E0A"/>
    <w:rsid w:val="00253309"/>
    <w:rsid w:val="002539ED"/>
    <w:rsid w:val="0025440D"/>
    <w:rsid w:val="0025450E"/>
    <w:rsid w:val="00254801"/>
    <w:rsid w:val="0025486E"/>
    <w:rsid w:val="00255152"/>
    <w:rsid w:val="0025554E"/>
    <w:rsid w:val="00255990"/>
    <w:rsid w:val="002560A3"/>
    <w:rsid w:val="00257C4A"/>
    <w:rsid w:val="00257F1F"/>
    <w:rsid w:val="002610F9"/>
    <w:rsid w:val="002613B2"/>
    <w:rsid w:val="002615DA"/>
    <w:rsid w:val="00261B74"/>
    <w:rsid w:val="002622C4"/>
    <w:rsid w:val="002625D5"/>
    <w:rsid w:val="002638F4"/>
    <w:rsid w:val="00264C54"/>
    <w:rsid w:val="002652E5"/>
    <w:rsid w:val="00265644"/>
    <w:rsid w:val="00265C3E"/>
    <w:rsid w:val="00266EB7"/>
    <w:rsid w:val="00266EE8"/>
    <w:rsid w:val="002673AB"/>
    <w:rsid w:val="00267EA9"/>
    <w:rsid w:val="00270501"/>
    <w:rsid w:val="00270AF9"/>
    <w:rsid w:val="00270F90"/>
    <w:rsid w:val="00271252"/>
    <w:rsid w:val="0027160C"/>
    <w:rsid w:val="00271F4E"/>
    <w:rsid w:val="00272553"/>
    <w:rsid w:val="0027274E"/>
    <w:rsid w:val="00272A3F"/>
    <w:rsid w:val="0027306F"/>
    <w:rsid w:val="0027398A"/>
    <w:rsid w:val="002739BF"/>
    <w:rsid w:val="00274165"/>
    <w:rsid w:val="00275023"/>
    <w:rsid w:val="002751CC"/>
    <w:rsid w:val="002751D1"/>
    <w:rsid w:val="00275209"/>
    <w:rsid w:val="00275E00"/>
    <w:rsid w:val="0027612E"/>
    <w:rsid w:val="00277929"/>
    <w:rsid w:val="0027794F"/>
    <w:rsid w:val="0028079C"/>
    <w:rsid w:val="00281B80"/>
    <w:rsid w:val="00282F9A"/>
    <w:rsid w:val="00283026"/>
    <w:rsid w:val="0028337C"/>
    <w:rsid w:val="00283D11"/>
    <w:rsid w:val="00284294"/>
    <w:rsid w:val="00284340"/>
    <w:rsid w:val="00284583"/>
    <w:rsid w:val="002854AF"/>
    <w:rsid w:val="002859DD"/>
    <w:rsid w:val="00285E10"/>
    <w:rsid w:val="00285E68"/>
    <w:rsid w:val="0028655F"/>
    <w:rsid w:val="002868FE"/>
    <w:rsid w:val="00286E48"/>
    <w:rsid w:val="0028795C"/>
    <w:rsid w:val="00287A7B"/>
    <w:rsid w:val="00287E78"/>
    <w:rsid w:val="00290676"/>
    <w:rsid w:val="00291462"/>
    <w:rsid w:val="00291572"/>
    <w:rsid w:val="0029272F"/>
    <w:rsid w:val="00293630"/>
    <w:rsid w:val="002939F4"/>
    <w:rsid w:val="00293C5A"/>
    <w:rsid w:val="00294565"/>
    <w:rsid w:val="00294DB5"/>
    <w:rsid w:val="00295CAC"/>
    <w:rsid w:val="00295D74"/>
    <w:rsid w:val="002972DF"/>
    <w:rsid w:val="002A0288"/>
    <w:rsid w:val="002A04B4"/>
    <w:rsid w:val="002A0516"/>
    <w:rsid w:val="002A05AC"/>
    <w:rsid w:val="002A0939"/>
    <w:rsid w:val="002A12C7"/>
    <w:rsid w:val="002A145B"/>
    <w:rsid w:val="002A18BE"/>
    <w:rsid w:val="002A23AE"/>
    <w:rsid w:val="002A2A26"/>
    <w:rsid w:val="002A36F6"/>
    <w:rsid w:val="002A38EB"/>
    <w:rsid w:val="002A3ED6"/>
    <w:rsid w:val="002A4084"/>
    <w:rsid w:val="002A417A"/>
    <w:rsid w:val="002A4656"/>
    <w:rsid w:val="002A4AD6"/>
    <w:rsid w:val="002A5B90"/>
    <w:rsid w:val="002A7196"/>
    <w:rsid w:val="002A76AE"/>
    <w:rsid w:val="002B0669"/>
    <w:rsid w:val="002B1384"/>
    <w:rsid w:val="002B1705"/>
    <w:rsid w:val="002B203D"/>
    <w:rsid w:val="002B252D"/>
    <w:rsid w:val="002B2EA0"/>
    <w:rsid w:val="002B3681"/>
    <w:rsid w:val="002B3B02"/>
    <w:rsid w:val="002B646F"/>
    <w:rsid w:val="002B667C"/>
    <w:rsid w:val="002B74D8"/>
    <w:rsid w:val="002C049B"/>
    <w:rsid w:val="002C0C80"/>
    <w:rsid w:val="002C11CA"/>
    <w:rsid w:val="002C1314"/>
    <w:rsid w:val="002C1C7F"/>
    <w:rsid w:val="002C21F4"/>
    <w:rsid w:val="002C2632"/>
    <w:rsid w:val="002C2AB0"/>
    <w:rsid w:val="002C370B"/>
    <w:rsid w:val="002C3A3D"/>
    <w:rsid w:val="002C45A2"/>
    <w:rsid w:val="002C45E8"/>
    <w:rsid w:val="002C5A38"/>
    <w:rsid w:val="002C6F33"/>
    <w:rsid w:val="002C70CE"/>
    <w:rsid w:val="002C72D1"/>
    <w:rsid w:val="002D0769"/>
    <w:rsid w:val="002D14A6"/>
    <w:rsid w:val="002D2C08"/>
    <w:rsid w:val="002D312B"/>
    <w:rsid w:val="002D3A6D"/>
    <w:rsid w:val="002D4B33"/>
    <w:rsid w:val="002D508A"/>
    <w:rsid w:val="002D5097"/>
    <w:rsid w:val="002D51B5"/>
    <w:rsid w:val="002D53DA"/>
    <w:rsid w:val="002D55E4"/>
    <w:rsid w:val="002D571C"/>
    <w:rsid w:val="002D58FF"/>
    <w:rsid w:val="002D5EB3"/>
    <w:rsid w:val="002D690D"/>
    <w:rsid w:val="002D6A24"/>
    <w:rsid w:val="002D6BDC"/>
    <w:rsid w:val="002D75CE"/>
    <w:rsid w:val="002E136A"/>
    <w:rsid w:val="002E13D8"/>
    <w:rsid w:val="002E14DA"/>
    <w:rsid w:val="002E1A2E"/>
    <w:rsid w:val="002E27F9"/>
    <w:rsid w:val="002E4550"/>
    <w:rsid w:val="002E46B4"/>
    <w:rsid w:val="002E4BCA"/>
    <w:rsid w:val="002E4ED8"/>
    <w:rsid w:val="002E5917"/>
    <w:rsid w:val="002E63BE"/>
    <w:rsid w:val="002E64B3"/>
    <w:rsid w:val="002E7775"/>
    <w:rsid w:val="002E7AD2"/>
    <w:rsid w:val="002F07FF"/>
    <w:rsid w:val="002F1399"/>
    <w:rsid w:val="002F1492"/>
    <w:rsid w:val="002F1C65"/>
    <w:rsid w:val="002F267B"/>
    <w:rsid w:val="002F32FB"/>
    <w:rsid w:val="002F3994"/>
    <w:rsid w:val="002F3CF8"/>
    <w:rsid w:val="002F3DC7"/>
    <w:rsid w:val="002F3F88"/>
    <w:rsid w:val="002F4B09"/>
    <w:rsid w:val="002F4B49"/>
    <w:rsid w:val="002F5611"/>
    <w:rsid w:val="002F570C"/>
    <w:rsid w:val="002F58FD"/>
    <w:rsid w:val="002F5BB8"/>
    <w:rsid w:val="002F5F5E"/>
    <w:rsid w:val="002F5F85"/>
    <w:rsid w:val="002F693F"/>
    <w:rsid w:val="002F6E4C"/>
    <w:rsid w:val="002F715A"/>
    <w:rsid w:val="002F7225"/>
    <w:rsid w:val="002F765B"/>
    <w:rsid w:val="002F778D"/>
    <w:rsid w:val="003003AE"/>
    <w:rsid w:val="003008CC"/>
    <w:rsid w:val="003009A2"/>
    <w:rsid w:val="00300ECE"/>
    <w:rsid w:val="00301763"/>
    <w:rsid w:val="00302252"/>
    <w:rsid w:val="003022E3"/>
    <w:rsid w:val="003023A8"/>
    <w:rsid w:val="003028F9"/>
    <w:rsid w:val="00303C60"/>
    <w:rsid w:val="00303E34"/>
    <w:rsid w:val="00303F37"/>
    <w:rsid w:val="00304309"/>
    <w:rsid w:val="00304B75"/>
    <w:rsid w:val="00304FB8"/>
    <w:rsid w:val="003059E0"/>
    <w:rsid w:val="00305A69"/>
    <w:rsid w:val="00305C73"/>
    <w:rsid w:val="0030700A"/>
    <w:rsid w:val="00307299"/>
    <w:rsid w:val="00307D28"/>
    <w:rsid w:val="00307E71"/>
    <w:rsid w:val="003107CF"/>
    <w:rsid w:val="00310832"/>
    <w:rsid w:val="00310B9B"/>
    <w:rsid w:val="00310C3F"/>
    <w:rsid w:val="00310C9C"/>
    <w:rsid w:val="00311395"/>
    <w:rsid w:val="00313517"/>
    <w:rsid w:val="00313720"/>
    <w:rsid w:val="00313D23"/>
    <w:rsid w:val="003140D2"/>
    <w:rsid w:val="00314C83"/>
    <w:rsid w:val="00315C3F"/>
    <w:rsid w:val="00315CCA"/>
    <w:rsid w:val="00315F23"/>
    <w:rsid w:val="003175B5"/>
    <w:rsid w:val="00317714"/>
    <w:rsid w:val="00320A17"/>
    <w:rsid w:val="00321747"/>
    <w:rsid w:val="003227E8"/>
    <w:rsid w:val="00322DA9"/>
    <w:rsid w:val="00323AF6"/>
    <w:rsid w:val="00323CC6"/>
    <w:rsid w:val="00323DEB"/>
    <w:rsid w:val="003243C6"/>
    <w:rsid w:val="00324EF6"/>
    <w:rsid w:val="0032514B"/>
    <w:rsid w:val="003251C2"/>
    <w:rsid w:val="00325FA0"/>
    <w:rsid w:val="00326F1C"/>
    <w:rsid w:val="00327162"/>
    <w:rsid w:val="003275E8"/>
    <w:rsid w:val="00327DA1"/>
    <w:rsid w:val="0033023A"/>
    <w:rsid w:val="003309D5"/>
    <w:rsid w:val="00330A0A"/>
    <w:rsid w:val="00331CA7"/>
    <w:rsid w:val="0033259F"/>
    <w:rsid w:val="003328A9"/>
    <w:rsid w:val="00333080"/>
    <w:rsid w:val="00333AB7"/>
    <w:rsid w:val="003342EB"/>
    <w:rsid w:val="00335EF9"/>
    <w:rsid w:val="00336CDC"/>
    <w:rsid w:val="00336D63"/>
    <w:rsid w:val="003371B5"/>
    <w:rsid w:val="003376B8"/>
    <w:rsid w:val="00337852"/>
    <w:rsid w:val="00337BAF"/>
    <w:rsid w:val="003401EE"/>
    <w:rsid w:val="00340341"/>
    <w:rsid w:val="0034131D"/>
    <w:rsid w:val="003417CB"/>
    <w:rsid w:val="003423BB"/>
    <w:rsid w:val="003435A9"/>
    <w:rsid w:val="00344649"/>
    <w:rsid w:val="00345496"/>
    <w:rsid w:val="003455AB"/>
    <w:rsid w:val="003455DE"/>
    <w:rsid w:val="00345BCF"/>
    <w:rsid w:val="003466F9"/>
    <w:rsid w:val="00346ED2"/>
    <w:rsid w:val="00347117"/>
    <w:rsid w:val="003473E1"/>
    <w:rsid w:val="0035001C"/>
    <w:rsid w:val="00350092"/>
    <w:rsid w:val="00350276"/>
    <w:rsid w:val="00350924"/>
    <w:rsid w:val="00350EE3"/>
    <w:rsid w:val="003519AD"/>
    <w:rsid w:val="003519DA"/>
    <w:rsid w:val="00351E0E"/>
    <w:rsid w:val="00353213"/>
    <w:rsid w:val="0035341E"/>
    <w:rsid w:val="003540B2"/>
    <w:rsid w:val="00354322"/>
    <w:rsid w:val="00354DCF"/>
    <w:rsid w:val="00354EB4"/>
    <w:rsid w:val="003550B6"/>
    <w:rsid w:val="00355412"/>
    <w:rsid w:val="00356682"/>
    <w:rsid w:val="00356859"/>
    <w:rsid w:val="0035694F"/>
    <w:rsid w:val="00356D29"/>
    <w:rsid w:val="003571C2"/>
    <w:rsid w:val="003572B8"/>
    <w:rsid w:val="0035737A"/>
    <w:rsid w:val="00357988"/>
    <w:rsid w:val="00360057"/>
    <w:rsid w:val="00360144"/>
    <w:rsid w:val="0036039E"/>
    <w:rsid w:val="00361841"/>
    <w:rsid w:val="00362951"/>
    <w:rsid w:val="00363948"/>
    <w:rsid w:val="003640A7"/>
    <w:rsid w:val="0036496A"/>
    <w:rsid w:val="00365447"/>
    <w:rsid w:val="00366024"/>
    <w:rsid w:val="0036609F"/>
    <w:rsid w:val="00366D32"/>
    <w:rsid w:val="0036794E"/>
    <w:rsid w:val="003709E3"/>
    <w:rsid w:val="00372415"/>
    <w:rsid w:val="00373996"/>
    <w:rsid w:val="00374AE4"/>
    <w:rsid w:val="00375DEF"/>
    <w:rsid w:val="00376B14"/>
    <w:rsid w:val="00376E9C"/>
    <w:rsid w:val="00377132"/>
    <w:rsid w:val="003773BE"/>
    <w:rsid w:val="003775E4"/>
    <w:rsid w:val="00377908"/>
    <w:rsid w:val="00377F0A"/>
    <w:rsid w:val="00380657"/>
    <w:rsid w:val="00380B4F"/>
    <w:rsid w:val="00381024"/>
    <w:rsid w:val="0038146C"/>
    <w:rsid w:val="00381DBD"/>
    <w:rsid w:val="00382609"/>
    <w:rsid w:val="00382CDD"/>
    <w:rsid w:val="003847C0"/>
    <w:rsid w:val="00384D4B"/>
    <w:rsid w:val="00385020"/>
    <w:rsid w:val="00385A8C"/>
    <w:rsid w:val="00386124"/>
    <w:rsid w:val="003864D5"/>
    <w:rsid w:val="00386780"/>
    <w:rsid w:val="003872B4"/>
    <w:rsid w:val="00387A01"/>
    <w:rsid w:val="00387A5A"/>
    <w:rsid w:val="00390567"/>
    <w:rsid w:val="00390927"/>
    <w:rsid w:val="003913D4"/>
    <w:rsid w:val="00391E5A"/>
    <w:rsid w:val="003927FC"/>
    <w:rsid w:val="00392D58"/>
    <w:rsid w:val="00394F02"/>
    <w:rsid w:val="00395922"/>
    <w:rsid w:val="00396133"/>
    <w:rsid w:val="003965C6"/>
    <w:rsid w:val="003966F6"/>
    <w:rsid w:val="0039677D"/>
    <w:rsid w:val="00396C7C"/>
    <w:rsid w:val="003A0312"/>
    <w:rsid w:val="003A0660"/>
    <w:rsid w:val="003A06FC"/>
    <w:rsid w:val="003A078D"/>
    <w:rsid w:val="003A0D52"/>
    <w:rsid w:val="003A0E94"/>
    <w:rsid w:val="003A15FB"/>
    <w:rsid w:val="003A284C"/>
    <w:rsid w:val="003A2E50"/>
    <w:rsid w:val="003A2ED1"/>
    <w:rsid w:val="003A4A06"/>
    <w:rsid w:val="003A4C47"/>
    <w:rsid w:val="003A627E"/>
    <w:rsid w:val="003A62D4"/>
    <w:rsid w:val="003A65DB"/>
    <w:rsid w:val="003A6724"/>
    <w:rsid w:val="003A6E1A"/>
    <w:rsid w:val="003B06B5"/>
    <w:rsid w:val="003B0BA1"/>
    <w:rsid w:val="003B14C2"/>
    <w:rsid w:val="003B15C6"/>
    <w:rsid w:val="003B1742"/>
    <w:rsid w:val="003B1A8F"/>
    <w:rsid w:val="003B1A99"/>
    <w:rsid w:val="003B1B4A"/>
    <w:rsid w:val="003B1CBA"/>
    <w:rsid w:val="003B24A8"/>
    <w:rsid w:val="003B2799"/>
    <w:rsid w:val="003B2AF1"/>
    <w:rsid w:val="003B3014"/>
    <w:rsid w:val="003B32EB"/>
    <w:rsid w:val="003B4599"/>
    <w:rsid w:val="003B4782"/>
    <w:rsid w:val="003B4A47"/>
    <w:rsid w:val="003B4C2F"/>
    <w:rsid w:val="003B4D50"/>
    <w:rsid w:val="003B5513"/>
    <w:rsid w:val="003B5641"/>
    <w:rsid w:val="003B61B7"/>
    <w:rsid w:val="003B715C"/>
    <w:rsid w:val="003B7FC2"/>
    <w:rsid w:val="003C0FD3"/>
    <w:rsid w:val="003C1AE2"/>
    <w:rsid w:val="003C1B73"/>
    <w:rsid w:val="003C1DBD"/>
    <w:rsid w:val="003C2929"/>
    <w:rsid w:val="003C31D1"/>
    <w:rsid w:val="003C366A"/>
    <w:rsid w:val="003C46C9"/>
    <w:rsid w:val="003C4DD8"/>
    <w:rsid w:val="003C4F8F"/>
    <w:rsid w:val="003C585D"/>
    <w:rsid w:val="003C6884"/>
    <w:rsid w:val="003C697B"/>
    <w:rsid w:val="003C6B59"/>
    <w:rsid w:val="003C7573"/>
    <w:rsid w:val="003C764A"/>
    <w:rsid w:val="003C7C95"/>
    <w:rsid w:val="003C7E8B"/>
    <w:rsid w:val="003D02B6"/>
    <w:rsid w:val="003D13E8"/>
    <w:rsid w:val="003D299E"/>
    <w:rsid w:val="003D2C64"/>
    <w:rsid w:val="003D2EA3"/>
    <w:rsid w:val="003D300C"/>
    <w:rsid w:val="003D3174"/>
    <w:rsid w:val="003D3753"/>
    <w:rsid w:val="003D3E9A"/>
    <w:rsid w:val="003D4556"/>
    <w:rsid w:val="003D4EAC"/>
    <w:rsid w:val="003D5061"/>
    <w:rsid w:val="003D552C"/>
    <w:rsid w:val="003D55E1"/>
    <w:rsid w:val="003D56A7"/>
    <w:rsid w:val="003D5BC0"/>
    <w:rsid w:val="003D641A"/>
    <w:rsid w:val="003D71EB"/>
    <w:rsid w:val="003E0971"/>
    <w:rsid w:val="003E0EFD"/>
    <w:rsid w:val="003E1046"/>
    <w:rsid w:val="003E12E2"/>
    <w:rsid w:val="003E1564"/>
    <w:rsid w:val="003E16A3"/>
    <w:rsid w:val="003E1D76"/>
    <w:rsid w:val="003E1FC4"/>
    <w:rsid w:val="003E22CB"/>
    <w:rsid w:val="003E2343"/>
    <w:rsid w:val="003E33FC"/>
    <w:rsid w:val="003E406B"/>
    <w:rsid w:val="003E4F96"/>
    <w:rsid w:val="003E53BF"/>
    <w:rsid w:val="003E58D0"/>
    <w:rsid w:val="003E5999"/>
    <w:rsid w:val="003E5B9F"/>
    <w:rsid w:val="003E5CCA"/>
    <w:rsid w:val="003E6294"/>
    <w:rsid w:val="003E629E"/>
    <w:rsid w:val="003E6AFD"/>
    <w:rsid w:val="003E724E"/>
    <w:rsid w:val="003E745C"/>
    <w:rsid w:val="003E74F2"/>
    <w:rsid w:val="003E7773"/>
    <w:rsid w:val="003E7C0F"/>
    <w:rsid w:val="003E7E59"/>
    <w:rsid w:val="003F104A"/>
    <w:rsid w:val="003F115E"/>
    <w:rsid w:val="003F14C2"/>
    <w:rsid w:val="003F1563"/>
    <w:rsid w:val="003F1F90"/>
    <w:rsid w:val="003F2210"/>
    <w:rsid w:val="003F22B7"/>
    <w:rsid w:val="003F2873"/>
    <w:rsid w:val="003F2C59"/>
    <w:rsid w:val="003F535C"/>
    <w:rsid w:val="003F6A6A"/>
    <w:rsid w:val="003F70ED"/>
    <w:rsid w:val="003F7196"/>
    <w:rsid w:val="003F7C4C"/>
    <w:rsid w:val="004008AF"/>
    <w:rsid w:val="00400B5F"/>
    <w:rsid w:val="00400CBA"/>
    <w:rsid w:val="0040121F"/>
    <w:rsid w:val="00401B96"/>
    <w:rsid w:val="00401D00"/>
    <w:rsid w:val="00401DBF"/>
    <w:rsid w:val="004033D9"/>
    <w:rsid w:val="00403708"/>
    <w:rsid w:val="00403CC5"/>
    <w:rsid w:val="0040418C"/>
    <w:rsid w:val="00404614"/>
    <w:rsid w:val="00404A94"/>
    <w:rsid w:val="00404B3A"/>
    <w:rsid w:val="00404F2F"/>
    <w:rsid w:val="0040551F"/>
    <w:rsid w:val="00406473"/>
    <w:rsid w:val="00406D91"/>
    <w:rsid w:val="004073B7"/>
    <w:rsid w:val="00407688"/>
    <w:rsid w:val="0040771F"/>
    <w:rsid w:val="004079F4"/>
    <w:rsid w:val="004111F7"/>
    <w:rsid w:val="0041135D"/>
    <w:rsid w:val="00411B75"/>
    <w:rsid w:val="0041217D"/>
    <w:rsid w:val="004123CC"/>
    <w:rsid w:val="004125C6"/>
    <w:rsid w:val="004125D4"/>
    <w:rsid w:val="0041275F"/>
    <w:rsid w:val="00413A2F"/>
    <w:rsid w:val="00413B3C"/>
    <w:rsid w:val="0041428B"/>
    <w:rsid w:val="004158CC"/>
    <w:rsid w:val="00417670"/>
    <w:rsid w:val="00420621"/>
    <w:rsid w:val="00421A89"/>
    <w:rsid w:val="00421EBC"/>
    <w:rsid w:val="00421F52"/>
    <w:rsid w:val="00422A71"/>
    <w:rsid w:val="0042304B"/>
    <w:rsid w:val="0042349C"/>
    <w:rsid w:val="004236BF"/>
    <w:rsid w:val="00424084"/>
    <w:rsid w:val="00424CA3"/>
    <w:rsid w:val="00424CAC"/>
    <w:rsid w:val="00424F21"/>
    <w:rsid w:val="00425311"/>
    <w:rsid w:val="004253A9"/>
    <w:rsid w:val="00425C82"/>
    <w:rsid w:val="00425DB6"/>
    <w:rsid w:val="00426AFC"/>
    <w:rsid w:val="004273AD"/>
    <w:rsid w:val="0042764F"/>
    <w:rsid w:val="004305AE"/>
    <w:rsid w:val="00431800"/>
    <w:rsid w:val="00432035"/>
    <w:rsid w:val="0043217E"/>
    <w:rsid w:val="00432AE3"/>
    <w:rsid w:val="00433482"/>
    <w:rsid w:val="00433541"/>
    <w:rsid w:val="004335E7"/>
    <w:rsid w:val="0043399B"/>
    <w:rsid w:val="00433C5E"/>
    <w:rsid w:val="00434403"/>
    <w:rsid w:val="00434700"/>
    <w:rsid w:val="00434C32"/>
    <w:rsid w:val="0043585B"/>
    <w:rsid w:val="00436514"/>
    <w:rsid w:val="00436712"/>
    <w:rsid w:val="00436CC7"/>
    <w:rsid w:val="004374D7"/>
    <w:rsid w:val="00437A37"/>
    <w:rsid w:val="00437FC2"/>
    <w:rsid w:val="004408BF"/>
    <w:rsid w:val="00440DB5"/>
    <w:rsid w:val="004410D9"/>
    <w:rsid w:val="004416CD"/>
    <w:rsid w:val="00441A8F"/>
    <w:rsid w:val="00441F54"/>
    <w:rsid w:val="004422B6"/>
    <w:rsid w:val="004423F7"/>
    <w:rsid w:val="00442A49"/>
    <w:rsid w:val="004434A6"/>
    <w:rsid w:val="004437FE"/>
    <w:rsid w:val="00443C4A"/>
    <w:rsid w:val="00444225"/>
    <w:rsid w:val="004444E6"/>
    <w:rsid w:val="00444573"/>
    <w:rsid w:val="00445DD1"/>
    <w:rsid w:val="0044634C"/>
    <w:rsid w:val="0044690B"/>
    <w:rsid w:val="00446BBE"/>
    <w:rsid w:val="0044718E"/>
    <w:rsid w:val="00447281"/>
    <w:rsid w:val="0044782C"/>
    <w:rsid w:val="0045093D"/>
    <w:rsid w:val="00451645"/>
    <w:rsid w:val="00451B7C"/>
    <w:rsid w:val="00451BBC"/>
    <w:rsid w:val="00452A6C"/>
    <w:rsid w:val="00452F04"/>
    <w:rsid w:val="004535F2"/>
    <w:rsid w:val="0045483A"/>
    <w:rsid w:val="00454F8E"/>
    <w:rsid w:val="004566C6"/>
    <w:rsid w:val="0045725F"/>
    <w:rsid w:val="00457BC4"/>
    <w:rsid w:val="00460221"/>
    <w:rsid w:val="00461150"/>
    <w:rsid w:val="004612BC"/>
    <w:rsid w:val="00461AE2"/>
    <w:rsid w:val="00462778"/>
    <w:rsid w:val="00463221"/>
    <w:rsid w:val="0046373D"/>
    <w:rsid w:val="00463771"/>
    <w:rsid w:val="00463AD3"/>
    <w:rsid w:val="00463B41"/>
    <w:rsid w:val="0046416F"/>
    <w:rsid w:val="00464D00"/>
    <w:rsid w:val="00464F6C"/>
    <w:rsid w:val="00466539"/>
    <w:rsid w:val="00466728"/>
    <w:rsid w:val="004670D8"/>
    <w:rsid w:val="00470BFA"/>
    <w:rsid w:val="00471D0D"/>
    <w:rsid w:val="00474897"/>
    <w:rsid w:val="004748E6"/>
    <w:rsid w:val="00474BF1"/>
    <w:rsid w:val="00474E01"/>
    <w:rsid w:val="0047617E"/>
    <w:rsid w:val="004764EC"/>
    <w:rsid w:val="00477BA5"/>
    <w:rsid w:val="0048054A"/>
    <w:rsid w:val="00480A72"/>
    <w:rsid w:val="0048106F"/>
    <w:rsid w:val="004815AB"/>
    <w:rsid w:val="004817B3"/>
    <w:rsid w:val="00481FCB"/>
    <w:rsid w:val="00482804"/>
    <w:rsid w:val="00482B47"/>
    <w:rsid w:val="0048323E"/>
    <w:rsid w:val="00483C70"/>
    <w:rsid w:val="00484854"/>
    <w:rsid w:val="00484DC5"/>
    <w:rsid w:val="004852FE"/>
    <w:rsid w:val="00485675"/>
    <w:rsid w:val="0048630F"/>
    <w:rsid w:val="00486E13"/>
    <w:rsid w:val="004870B7"/>
    <w:rsid w:val="00487C85"/>
    <w:rsid w:val="0049040C"/>
    <w:rsid w:val="0049047E"/>
    <w:rsid w:val="004908AD"/>
    <w:rsid w:val="004908C0"/>
    <w:rsid w:val="00490DC4"/>
    <w:rsid w:val="00491678"/>
    <w:rsid w:val="004916A1"/>
    <w:rsid w:val="00492475"/>
    <w:rsid w:val="00493A0C"/>
    <w:rsid w:val="00494B5E"/>
    <w:rsid w:val="00494F64"/>
    <w:rsid w:val="004959D6"/>
    <w:rsid w:val="00495B51"/>
    <w:rsid w:val="004960DE"/>
    <w:rsid w:val="004967BC"/>
    <w:rsid w:val="00497B9F"/>
    <w:rsid w:val="00497F53"/>
    <w:rsid w:val="004A05D4"/>
    <w:rsid w:val="004A0C65"/>
    <w:rsid w:val="004A2084"/>
    <w:rsid w:val="004A2E38"/>
    <w:rsid w:val="004A43A1"/>
    <w:rsid w:val="004A4430"/>
    <w:rsid w:val="004A4FDF"/>
    <w:rsid w:val="004A5129"/>
    <w:rsid w:val="004A51B5"/>
    <w:rsid w:val="004A5489"/>
    <w:rsid w:val="004A55CF"/>
    <w:rsid w:val="004A5E73"/>
    <w:rsid w:val="004A5F03"/>
    <w:rsid w:val="004A619D"/>
    <w:rsid w:val="004A6D97"/>
    <w:rsid w:val="004A76AA"/>
    <w:rsid w:val="004A7A52"/>
    <w:rsid w:val="004B001E"/>
    <w:rsid w:val="004B045B"/>
    <w:rsid w:val="004B082E"/>
    <w:rsid w:val="004B19FE"/>
    <w:rsid w:val="004B1A51"/>
    <w:rsid w:val="004B1B5D"/>
    <w:rsid w:val="004B29F8"/>
    <w:rsid w:val="004B2A4D"/>
    <w:rsid w:val="004B2AFC"/>
    <w:rsid w:val="004B2F45"/>
    <w:rsid w:val="004B33C2"/>
    <w:rsid w:val="004B4214"/>
    <w:rsid w:val="004B432F"/>
    <w:rsid w:val="004B44E1"/>
    <w:rsid w:val="004B48FA"/>
    <w:rsid w:val="004B5C90"/>
    <w:rsid w:val="004B65E2"/>
    <w:rsid w:val="004B689D"/>
    <w:rsid w:val="004C0540"/>
    <w:rsid w:val="004C0E97"/>
    <w:rsid w:val="004C103F"/>
    <w:rsid w:val="004C14E7"/>
    <w:rsid w:val="004C233E"/>
    <w:rsid w:val="004C2DAA"/>
    <w:rsid w:val="004C3E58"/>
    <w:rsid w:val="004C3FC1"/>
    <w:rsid w:val="004C46BB"/>
    <w:rsid w:val="004C48C8"/>
    <w:rsid w:val="004C4A5A"/>
    <w:rsid w:val="004C556C"/>
    <w:rsid w:val="004C5656"/>
    <w:rsid w:val="004C598D"/>
    <w:rsid w:val="004C6451"/>
    <w:rsid w:val="004C6F02"/>
    <w:rsid w:val="004C749D"/>
    <w:rsid w:val="004C7CD0"/>
    <w:rsid w:val="004C7E5F"/>
    <w:rsid w:val="004D0589"/>
    <w:rsid w:val="004D148B"/>
    <w:rsid w:val="004D275E"/>
    <w:rsid w:val="004D2D2B"/>
    <w:rsid w:val="004D3260"/>
    <w:rsid w:val="004D3897"/>
    <w:rsid w:val="004D4425"/>
    <w:rsid w:val="004D5AF0"/>
    <w:rsid w:val="004D6474"/>
    <w:rsid w:val="004D69D8"/>
    <w:rsid w:val="004D6E18"/>
    <w:rsid w:val="004D71B5"/>
    <w:rsid w:val="004D772C"/>
    <w:rsid w:val="004D7855"/>
    <w:rsid w:val="004E0785"/>
    <w:rsid w:val="004E0B4B"/>
    <w:rsid w:val="004E0D48"/>
    <w:rsid w:val="004E111A"/>
    <w:rsid w:val="004E1C30"/>
    <w:rsid w:val="004E1F9F"/>
    <w:rsid w:val="004E27EB"/>
    <w:rsid w:val="004E296C"/>
    <w:rsid w:val="004E2BD6"/>
    <w:rsid w:val="004E2BE0"/>
    <w:rsid w:val="004E2D80"/>
    <w:rsid w:val="004E39C6"/>
    <w:rsid w:val="004E587B"/>
    <w:rsid w:val="004E5D47"/>
    <w:rsid w:val="004E7495"/>
    <w:rsid w:val="004F0832"/>
    <w:rsid w:val="004F1AB4"/>
    <w:rsid w:val="004F2E77"/>
    <w:rsid w:val="004F349A"/>
    <w:rsid w:val="004F389C"/>
    <w:rsid w:val="004F393E"/>
    <w:rsid w:val="004F3BC5"/>
    <w:rsid w:val="004F3C77"/>
    <w:rsid w:val="004F3FCA"/>
    <w:rsid w:val="004F4118"/>
    <w:rsid w:val="004F4652"/>
    <w:rsid w:val="004F480A"/>
    <w:rsid w:val="004F530F"/>
    <w:rsid w:val="004F60CF"/>
    <w:rsid w:val="004F6AB6"/>
    <w:rsid w:val="004F6AD3"/>
    <w:rsid w:val="004F7037"/>
    <w:rsid w:val="004F7150"/>
    <w:rsid w:val="004F7B99"/>
    <w:rsid w:val="004F7F94"/>
    <w:rsid w:val="00501386"/>
    <w:rsid w:val="00501969"/>
    <w:rsid w:val="00501BD9"/>
    <w:rsid w:val="00501C25"/>
    <w:rsid w:val="005027A6"/>
    <w:rsid w:val="00502DAE"/>
    <w:rsid w:val="00502F0A"/>
    <w:rsid w:val="00502FFB"/>
    <w:rsid w:val="005038A0"/>
    <w:rsid w:val="005044CD"/>
    <w:rsid w:val="005044F7"/>
    <w:rsid w:val="00504904"/>
    <w:rsid w:val="00504A82"/>
    <w:rsid w:val="00504B61"/>
    <w:rsid w:val="00504D2F"/>
    <w:rsid w:val="00505E19"/>
    <w:rsid w:val="005074EA"/>
    <w:rsid w:val="005079AC"/>
    <w:rsid w:val="00507E2D"/>
    <w:rsid w:val="005103C5"/>
    <w:rsid w:val="00510500"/>
    <w:rsid w:val="00511409"/>
    <w:rsid w:val="00511746"/>
    <w:rsid w:val="00512B05"/>
    <w:rsid w:val="00512ED6"/>
    <w:rsid w:val="005131D3"/>
    <w:rsid w:val="0051352C"/>
    <w:rsid w:val="00514E1E"/>
    <w:rsid w:val="00514FC2"/>
    <w:rsid w:val="00515BFA"/>
    <w:rsid w:val="00515E53"/>
    <w:rsid w:val="00515F05"/>
    <w:rsid w:val="00516C4B"/>
    <w:rsid w:val="00517796"/>
    <w:rsid w:val="00517A86"/>
    <w:rsid w:val="00517C2C"/>
    <w:rsid w:val="00520242"/>
    <w:rsid w:val="00520F0C"/>
    <w:rsid w:val="005214C3"/>
    <w:rsid w:val="00521F77"/>
    <w:rsid w:val="00523424"/>
    <w:rsid w:val="0052349D"/>
    <w:rsid w:val="00524BE8"/>
    <w:rsid w:val="00524E47"/>
    <w:rsid w:val="0052575D"/>
    <w:rsid w:val="005262C3"/>
    <w:rsid w:val="0052688F"/>
    <w:rsid w:val="00526C3E"/>
    <w:rsid w:val="00526C68"/>
    <w:rsid w:val="00526C92"/>
    <w:rsid w:val="005275FC"/>
    <w:rsid w:val="0052768C"/>
    <w:rsid w:val="00527ACC"/>
    <w:rsid w:val="005303C1"/>
    <w:rsid w:val="0053044E"/>
    <w:rsid w:val="005307FE"/>
    <w:rsid w:val="00530896"/>
    <w:rsid w:val="00530ACB"/>
    <w:rsid w:val="005310AF"/>
    <w:rsid w:val="005311D3"/>
    <w:rsid w:val="00531A09"/>
    <w:rsid w:val="00531C18"/>
    <w:rsid w:val="0053209C"/>
    <w:rsid w:val="005320DA"/>
    <w:rsid w:val="005329C5"/>
    <w:rsid w:val="00532F8E"/>
    <w:rsid w:val="00533016"/>
    <w:rsid w:val="00533D6D"/>
    <w:rsid w:val="00534265"/>
    <w:rsid w:val="005342C3"/>
    <w:rsid w:val="00534537"/>
    <w:rsid w:val="00534CF8"/>
    <w:rsid w:val="00535052"/>
    <w:rsid w:val="00535A02"/>
    <w:rsid w:val="005362F5"/>
    <w:rsid w:val="00536D72"/>
    <w:rsid w:val="00536ED2"/>
    <w:rsid w:val="0053725B"/>
    <w:rsid w:val="0053734F"/>
    <w:rsid w:val="0053744F"/>
    <w:rsid w:val="00540348"/>
    <w:rsid w:val="00540BE8"/>
    <w:rsid w:val="00540C57"/>
    <w:rsid w:val="00540DC7"/>
    <w:rsid w:val="00541D2B"/>
    <w:rsid w:val="00542048"/>
    <w:rsid w:val="005424D5"/>
    <w:rsid w:val="00543151"/>
    <w:rsid w:val="005433FB"/>
    <w:rsid w:val="00544AE0"/>
    <w:rsid w:val="00545338"/>
    <w:rsid w:val="00545A06"/>
    <w:rsid w:val="00545C36"/>
    <w:rsid w:val="005463CC"/>
    <w:rsid w:val="005469AE"/>
    <w:rsid w:val="00546A03"/>
    <w:rsid w:val="00546A8A"/>
    <w:rsid w:val="00550249"/>
    <w:rsid w:val="00550A92"/>
    <w:rsid w:val="00550E0D"/>
    <w:rsid w:val="005519A6"/>
    <w:rsid w:val="00552DBA"/>
    <w:rsid w:val="00553115"/>
    <w:rsid w:val="005531BD"/>
    <w:rsid w:val="00553568"/>
    <w:rsid w:val="005536C5"/>
    <w:rsid w:val="005545CB"/>
    <w:rsid w:val="00554D88"/>
    <w:rsid w:val="005557C6"/>
    <w:rsid w:val="0055624C"/>
    <w:rsid w:val="005567B2"/>
    <w:rsid w:val="005568F7"/>
    <w:rsid w:val="00556C8D"/>
    <w:rsid w:val="00556F24"/>
    <w:rsid w:val="00557080"/>
    <w:rsid w:val="00557395"/>
    <w:rsid w:val="005573BE"/>
    <w:rsid w:val="00557870"/>
    <w:rsid w:val="00560277"/>
    <w:rsid w:val="005607AF"/>
    <w:rsid w:val="00560938"/>
    <w:rsid w:val="00560AF1"/>
    <w:rsid w:val="00561216"/>
    <w:rsid w:val="00561562"/>
    <w:rsid w:val="00561ABD"/>
    <w:rsid w:val="00561D27"/>
    <w:rsid w:val="00562815"/>
    <w:rsid w:val="00562B16"/>
    <w:rsid w:val="00563DE6"/>
    <w:rsid w:val="005646D6"/>
    <w:rsid w:val="0056528D"/>
    <w:rsid w:val="005653E2"/>
    <w:rsid w:val="00565AE6"/>
    <w:rsid w:val="0056628B"/>
    <w:rsid w:val="00566298"/>
    <w:rsid w:val="00567A44"/>
    <w:rsid w:val="0057091E"/>
    <w:rsid w:val="00570A6C"/>
    <w:rsid w:val="00570F7B"/>
    <w:rsid w:val="00571299"/>
    <w:rsid w:val="005723D6"/>
    <w:rsid w:val="005724DF"/>
    <w:rsid w:val="00574A6E"/>
    <w:rsid w:val="0057534B"/>
    <w:rsid w:val="0057631D"/>
    <w:rsid w:val="005766DD"/>
    <w:rsid w:val="00577145"/>
    <w:rsid w:val="005773BE"/>
    <w:rsid w:val="0057762C"/>
    <w:rsid w:val="00577A96"/>
    <w:rsid w:val="00577AC4"/>
    <w:rsid w:val="00580846"/>
    <w:rsid w:val="00580CF0"/>
    <w:rsid w:val="005814FF"/>
    <w:rsid w:val="00581EDB"/>
    <w:rsid w:val="00582365"/>
    <w:rsid w:val="00582414"/>
    <w:rsid w:val="00582ADF"/>
    <w:rsid w:val="00582BB1"/>
    <w:rsid w:val="00582C5F"/>
    <w:rsid w:val="00584FA9"/>
    <w:rsid w:val="005852A0"/>
    <w:rsid w:val="00585ACC"/>
    <w:rsid w:val="00585C1B"/>
    <w:rsid w:val="00585E4F"/>
    <w:rsid w:val="0058671B"/>
    <w:rsid w:val="00586AAF"/>
    <w:rsid w:val="00587639"/>
    <w:rsid w:val="00587914"/>
    <w:rsid w:val="00587922"/>
    <w:rsid w:val="00587C75"/>
    <w:rsid w:val="00587E61"/>
    <w:rsid w:val="0059013C"/>
    <w:rsid w:val="00590CB4"/>
    <w:rsid w:val="00590DA1"/>
    <w:rsid w:val="00592638"/>
    <w:rsid w:val="00592C64"/>
    <w:rsid w:val="00593138"/>
    <w:rsid w:val="005932D4"/>
    <w:rsid w:val="00593337"/>
    <w:rsid w:val="00593A33"/>
    <w:rsid w:val="005943FA"/>
    <w:rsid w:val="005947B5"/>
    <w:rsid w:val="00595264"/>
    <w:rsid w:val="005955BF"/>
    <w:rsid w:val="005960BB"/>
    <w:rsid w:val="00596529"/>
    <w:rsid w:val="00596611"/>
    <w:rsid w:val="00596CDF"/>
    <w:rsid w:val="00596FCA"/>
    <w:rsid w:val="005970BA"/>
    <w:rsid w:val="00597407"/>
    <w:rsid w:val="00597917"/>
    <w:rsid w:val="005A0496"/>
    <w:rsid w:val="005A17CE"/>
    <w:rsid w:val="005A1C2B"/>
    <w:rsid w:val="005A1D43"/>
    <w:rsid w:val="005A1E7F"/>
    <w:rsid w:val="005A4047"/>
    <w:rsid w:val="005A4207"/>
    <w:rsid w:val="005A4384"/>
    <w:rsid w:val="005A4867"/>
    <w:rsid w:val="005A514B"/>
    <w:rsid w:val="005A601A"/>
    <w:rsid w:val="005A65D2"/>
    <w:rsid w:val="005A65F4"/>
    <w:rsid w:val="005A6A8E"/>
    <w:rsid w:val="005A6FC0"/>
    <w:rsid w:val="005A7012"/>
    <w:rsid w:val="005A7486"/>
    <w:rsid w:val="005A776E"/>
    <w:rsid w:val="005A7A5E"/>
    <w:rsid w:val="005B1C07"/>
    <w:rsid w:val="005B2386"/>
    <w:rsid w:val="005B3432"/>
    <w:rsid w:val="005B3BD6"/>
    <w:rsid w:val="005B46FD"/>
    <w:rsid w:val="005B4974"/>
    <w:rsid w:val="005B4DC8"/>
    <w:rsid w:val="005B5785"/>
    <w:rsid w:val="005B695D"/>
    <w:rsid w:val="005B6A96"/>
    <w:rsid w:val="005B6BC2"/>
    <w:rsid w:val="005B774A"/>
    <w:rsid w:val="005B7B19"/>
    <w:rsid w:val="005B7CE2"/>
    <w:rsid w:val="005B7D6C"/>
    <w:rsid w:val="005C23FF"/>
    <w:rsid w:val="005C2BD8"/>
    <w:rsid w:val="005C2C4F"/>
    <w:rsid w:val="005C34FB"/>
    <w:rsid w:val="005C381A"/>
    <w:rsid w:val="005C40B4"/>
    <w:rsid w:val="005C5893"/>
    <w:rsid w:val="005C6C1C"/>
    <w:rsid w:val="005C7215"/>
    <w:rsid w:val="005C726D"/>
    <w:rsid w:val="005C73C4"/>
    <w:rsid w:val="005C7489"/>
    <w:rsid w:val="005C7522"/>
    <w:rsid w:val="005C76DB"/>
    <w:rsid w:val="005C7761"/>
    <w:rsid w:val="005D00EA"/>
    <w:rsid w:val="005D023B"/>
    <w:rsid w:val="005D02C4"/>
    <w:rsid w:val="005D1C44"/>
    <w:rsid w:val="005D1D84"/>
    <w:rsid w:val="005D2304"/>
    <w:rsid w:val="005D23D2"/>
    <w:rsid w:val="005D394F"/>
    <w:rsid w:val="005D3A04"/>
    <w:rsid w:val="005D48FE"/>
    <w:rsid w:val="005D4BD0"/>
    <w:rsid w:val="005D50EC"/>
    <w:rsid w:val="005D552C"/>
    <w:rsid w:val="005D7351"/>
    <w:rsid w:val="005D7471"/>
    <w:rsid w:val="005D749D"/>
    <w:rsid w:val="005E060F"/>
    <w:rsid w:val="005E084B"/>
    <w:rsid w:val="005E0A97"/>
    <w:rsid w:val="005E0B10"/>
    <w:rsid w:val="005E17A3"/>
    <w:rsid w:val="005E2647"/>
    <w:rsid w:val="005E2702"/>
    <w:rsid w:val="005E2F40"/>
    <w:rsid w:val="005E30AF"/>
    <w:rsid w:val="005E366E"/>
    <w:rsid w:val="005E36A8"/>
    <w:rsid w:val="005E3979"/>
    <w:rsid w:val="005E52C8"/>
    <w:rsid w:val="005E5683"/>
    <w:rsid w:val="005E5874"/>
    <w:rsid w:val="005E59D4"/>
    <w:rsid w:val="005E6CEF"/>
    <w:rsid w:val="005E75D5"/>
    <w:rsid w:val="005E7C05"/>
    <w:rsid w:val="005E7CA0"/>
    <w:rsid w:val="005F0245"/>
    <w:rsid w:val="005F094A"/>
    <w:rsid w:val="005F0C4E"/>
    <w:rsid w:val="005F1148"/>
    <w:rsid w:val="005F1335"/>
    <w:rsid w:val="005F1555"/>
    <w:rsid w:val="005F2978"/>
    <w:rsid w:val="005F353B"/>
    <w:rsid w:val="005F4721"/>
    <w:rsid w:val="005F47B4"/>
    <w:rsid w:val="005F4B9A"/>
    <w:rsid w:val="005F4D62"/>
    <w:rsid w:val="005F570C"/>
    <w:rsid w:val="005F593F"/>
    <w:rsid w:val="005F59FD"/>
    <w:rsid w:val="005F5F32"/>
    <w:rsid w:val="005F6070"/>
    <w:rsid w:val="005F6295"/>
    <w:rsid w:val="005F643F"/>
    <w:rsid w:val="005F720A"/>
    <w:rsid w:val="005F738C"/>
    <w:rsid w:val="005F75CB"/>
    <w:rsid w:val="00600343"/>
    <w:rsid w:val="00600ED4"/>
    <w:rsid w:val="00601A73"/>
    <w:rsid w:val="00602188"/>
    <w:rsid w:val="0060264E"/>
    <w:rsid w:val="00602B24"/>
    <w:rsid w:val="00602F43"/>
    <w:rsid w:val="0060393E"/>
    <w:rsid w:val="00603B08"/>
    <w:rsid w:val="00603F78"/>
    <w:rsid w:val="00605776"/>
    <w:rsid w:val="00605989"/>
    <w:rsid w:val="00605CF2"/>
    <w:rsid w:val="00605F50"/>
    <w:rsid w:val="006064D8"/>
    <w:rsid w:val="00606F21"/>
    <w:rsid w:val="006071D4"/>
    <w:rsid w:val="0060780B"/>
    <w:rsid w:val="00607CB7"/>
    <w:rsid w:val="0061008B"/>
    <w:rsid w:val="00610162"/>
    <w:rsid w:val="006101CE"/>
    <w:rsid w:val="006106FF"/>
    <w:rsid w:val="0061075D"/>
    <w:rsid w:val="00610A8F"/>
    <w:rsid w:val="00610ABA"/>
    <w:rsid w:val="00610E7D"/>
    <w:rsid w:val="006118C0"/>
    <w:rsid w:val="00611940"/>
    <w:rsid w:val="006126B7"/>
    <w:rsid w:val="00613037"/>
    <w:rsid w:val="006135AB"/>
    <w:rsid w:val="00613757"/>
    <w:rsid w:val="006138E4"/>
    <w:rsid w:val="00613BFB"/>
    <w:rsid w:val="006144F6"/>
    <w:rsid w:val="006147FB"/>
    <w:rsid w:val="00615983"/>
    <w:rsid w:val="00616237"/>
    <w:rsid w:val="00616407"/>
    <w:rsid w:val="00617D08"/>
    <w:rsid w:val="00620E5A"/>
    <w:rsid w:val="00620E91"/>
    <w:rsid w:val="00622228"/>
    <w:rsid w:val="00622FB2"/>
    <w:rsid w:val="00624177"/>
    <w:rsid w:val="00624AEC"/>
    <w:rsid w:val="00624B7C"/>
    <w:rsid w:val="006250E9"/>
    <w:rsid w:val="00625389"/>
    <w:rsid w:val="00626C38"/>
    <w:rsid w:val="00627329"/>
    <w:rsid w:val="00627B07"/>
    <w:rsid w:val="006315C9"/>
    <w:rsid w:val="006326A4"/>
    <w:rsid w:val="00632DD1"/>
    <w:rsid w:val="006332FA"/>
    <w:rsid w:val="006336D2"/>
    <w:rsid w:val="00633B2F"/>
    <w:rsid w:val="00634991"/>
    <w:rsid w:val="00634A89"/>
    <w:rsid w:val="0063686C"/>
    <w:rsid w:val="00636B9A"/>
    <w:rsid w:val="00636FE1"/>
    <w:rsid w:val="006372CF"/>
    <w:rsid w:val="00637FBA"/>
    <w:rsid w:val="0064086E"/>
    <w:rsid w:val="00640C31"/>
    <w:rsid w:val="0064102C"/>
    <w:rsid w:val="0064163B"/>
    <w:rsid w:val="00641C2F"/>
    <w:rsid w:val="0064222F"/>
    <w:rsid w:val="00643226"/>
    <w:rsid w:val="00643C70"/>
    <w:rsid w:val="00644178"/>
    <w:rsid w:val="006459EF"/>
    <w:rsid w:val="00645E84"/>
    <w:rsid w:val="0064621A"/>
    <w:rsid w:val="006465F3"/>
    <w:rsid w:val="00646983"/>
    <w:rsid w:val="006469E2"/>
    <w:rsid w:val="00646AFE"/>
    <w:rsid w:val="00647ABD"/>
    <w:rsid w:val="006504A5"/>
    <w:rsid w:val="00650FFF"/>
    <w:rsid w:val="0065224B"/>
    <w:rsid w:val="00652736"/>
    <w:rsid w:val="00653267"/>
    <w:rsid w:val="006534BF"/>
    <w:rsid w:val="00653639"/>
    <w:rsid w:val="006537D7"/>
    <w:rsid w:val="0065385A"/>
    <w:rsid w:val="0065444A"/>
    <w:rsid w:val="00654517"/>
    <w:rsid w:val="00654610"/>
    <w:rsid w:val="00654C15"/>
    <w:rsid w:val="00654F68"/>
    <w:rsid w:val="006550C5"/>
    <w:rsid w:val="006554AA"/>
    <w:rsid w:val="00655500"/>
    <w:rsid w:val="00655CF9"/>
    <w:rsid w:val="00655D45"/>
    <w:rsid w:val="00655F29"/>
    <w:rsid w:val="00655F89"/>
    <w:rsid w:val="00657130"/>
    <w:rsid w:val="0065714C"/>
    <w:rsid w:val="00657C5F"/>
    <w:rsid w:val="00660380"/>
    <w:rsid w:val="00660A74"/>
    <w:rsid w:val="00661E54"/>
    <w:rsid w:val="006624C1"/>
    <w:rsid w:val="00662E5F"/>
    <w:rsid w:val="006636D7"/>
    <w:rsid w:val="0066413F"/>
    <w:rsid w:val="006643D6"/>
    <w:rsid w:val="00664434"/>
    <w:rsid w:val="0066475A"/>
    <w:rsid w:val="006653D0"/>
    <w:rsid w:val="0066561F"/>
    <w:rsid w:val="006664F8"/>
    <w:rsid w:val="00666A58"/>
    <w:rsid w:val="006678E0"/>
    <w:rsid w:val="00667A1D"/>
    <w:rsid w:val="00670650"/>
    <w:rsid w:val="00670B4E"/>
    <w:rsid w:val="006712C0"/>
    <w:rsid w:val="00671E99"/>
    <w:rsid w:val="00671EEA"/>
    <w:rsid w:val="0067297D"/>
    <w:rsid w:val="00672B39"/>
    <w:rsid w:val="0067311E"/>
    <w:rsid w:val="00673FF7"/>
    <w:rsid w:val="006744AC"/>
    <w:rsid w:val="00674C7D"/>
    <w:rsid w:val="00675BCC"/>
    <w:rsid w:val="00675D20"/>
    <w:rsid w:val="006760F0"/>
    <w:rsid w:val="006766E9"/>
    <w:rsid w:val="006766EF"/>
    <w:rsid w:val="00676FAA"/>
    <w:rsid w:val="00677AC9"/>
    <w:rsid w:val="00677E8F"/>
    <w:rsid w:val="00680B40"/>
    <w:rsid w:val="00680BBF"/>
    <w:rsid w:val="0068124F"/>
    <w:rsid w:val="00681415"/>
    <w:rsid w:val="00681D7E"/>
    <w:rsid w:val="00681EC9"/>
    <w:rsid w:val="0068221D"/>
    <w:rsid w:val="006822FA"/>
    <w:rsid w:val="00682464"/>
    <w:rsid w:val="0068286C"/>
    <w:rsid w:val="0068288C"/>
    <w:rsid w:val="00682B58"/>
    <w:rsid w:val="006835FB"/>
    <w:rsid w:val="00683B19"/>
    <w:rsid w:val="00683F36"/>
    <w:rsid w:val="006850BB"/>
    <w:rsid w:val="00685589"/>
    <w:rsid w:val="0068682C"/>
    <w:rsid w:val="00686A31"/>
    <w:rsid w:val="006875DB"/>
    <w:rsid w:val="00687678"/>
    <w:rsid w:val="006904D9"/>
    <w:rsid w:val="00690946"/>
    <w:rsid w:val="006911D7"/>
    <w:rsid w:val="00691800"/>
    <w:rsid w:val="00691824"/>
    <w:rsid w:val="00691DC4"/>
    <w:rsid w:val="00692134"/>
    <w:rsid w:val="00692F21"/>
    <w:rsid w:val="006938AA"/>
    <w:rsid w:val="0069474B"/>
    <w:rsid w:val="0069475D"/>
    <w:rsid w:val="00695D27"/>
    <w:rsid w:val="00696CAA"/>
    <w:rsid w:val="00697966"/>
    <w:rsid w:val="006A0401"/>
    <w:rsid w:val="006A0A6D"/>
    <w:rsid w:val="006A12CB"/>
    <w:rsid w:val="006A17F4"/>
    <w:rsid w:val="006A1AE1"/>
    <w:rsid w:val="006A1CD1"/>
    <w:rsid w:val="006A230D"/>
    <w:rsid w:val="006A2A1E"/>
    <w:rsid w:val="006A30D5"/>
    <w:rsid w:val="006A3999"/>
    <w:rsid w:val="006A3A2B"/>
    <w:rsid w:val="006A3B12"/>
    <w:rsid w:val="006A555B"/>
    <w:rsid w:val="006A57B0"/>
    <w:rsid w:val="006A6207"/>
    <w:rsid w:val="006A6B86"/>
    <w:rsid w:val="006A6BF1"/>
    <w:rsid w:val="006A75A4"/>
    <w:rsid w:val="006A75E3"/>
    <w:rsid w:val="006B04BA"/>
    <w:rsid w:val="006B0AD7"/>
    <w:rsid w:val="006B0DBA"/>
    <w:rsid w:val="006B1C2E"/>
    <w:rsid w:val="006B23B6"/>
    <w:rsid w:val="006B3032"/>
    <w:rsid w:val="006B3567"/>
    <w:rsid w:val="006B3604"/>
    <w:rsid w:val="006B4B4A"/>
    <w:rsid w:val="006B562F"/>
    <w:rsid w:val="006B5C98"/>
    <w:rsid w:val="006B6814"/>
    <w:rsid w:val="006B6CFC"/>
    <w:rsid w:val="006B6D7C"/>
    <w:rsid w:val="006B75C6"/>
    <w:rsid w:val="006C04B6"/>
    <w:rsid w:val="006C0E54"/>
    <w:rsid w:val="006C3088"/>
    <w:rsid w:val="006C354C"/>
    <w:rsid w:val="006C3B76"/>
    <w:rsid w:val="006C3C50"/>
    <w:rsid w:val="006C3D22"/>
    <w:rsid w:val="006C3E71"/>
    <w:rsid w:val="006C4537"/>
    <w:rsid w:val="006C4572"/>
    <w:rsid w:val="006C4989"/>
    <w:rsid w:val="006C4FA7"/>
    <w:rsid w:val="006C50B0"/>
    <w:rsid w:val="006C5610"/>
    <w:rsid w:val="006C56F3"/>
    <w:rsid w:val="006C6307"/>
    <w:rsid w:val="006C6C8D"/>
    <w:rsid w:val="006C6F70"/>
    <w:rsid w:val="006C7961"/>
    <w:rsid w:val="006C7B03"/>
    <w:rsid w:val="006C7B4F"/>
    <w:rsid w:val="006D00A5"/>
    <w:rsid w:val="006D02CC"/>
    <w:rsid w:val="006D0539"/>
    <w:rsid w:val="006D0708"/>
    <w:rsid w:val="006D0A25"/>
    <w:rsid w:val="006D0EC2"/>
    <w:rsid w:val="006D3AB8"/>
    <w:rsid w:val="006D47A2"/>
    <w:rsid w:val="006D4C72"/>
    <w:rsid w:val="006D4C75"/>
    <w:rsid w:val="006D4E4C"/>
    <w:rsid w:val="006D5327"/>
    <w:rsid w:val="006D5585"/>
    <w:rsid w:val="006D588A"/>
    <w:rsid w:val="006D5CD9"/>
    <w:rsid w:val="006D5F76"/>
    <w:rsid w:val="006D601B"/>
    <w:rsid w:val="006D6D96"/>
    <w:rsid w:val="006D7211"/>
    <w:rsid w:val="006D75C8"/>
    <w:rsid w:val="006E006E"/>
    <w:rsid w:val="006E04C8"/>
    <w:rsid w:val="006E0DAF"/>
    <w:rsid w:val="006E153E"/>
    <w:rsid w:val="006E2F2C"/>
    <w:rsid w:val="006E35C1"/>
    <w:rsid w:val="006E3E4C"/>
    <w:rsid w:val="006E4384"/>
    <w:rsid w:val="006E4524"/>
    <w:rsid w:val="006E46DB"/>
    <w:rsid w:val="006E51AE"/>
    <w:rsid w:val="006E5E48"/>
    <w:rsid w:val="006E6419"/>
    <w:rsid w:val="006E79E6"/>
    <w:rsid w:val="006F0D46"/>
    <w:rsid w:val="006F1363"/>
    <w:rsid w:val="006F23DD"/>
    <w:rsid w:val="006F25B5"/>
    <w:rsid w:val="006F2FFF"/>
    <w:rsid w:val="006F37DE"/>
    <w:rsid w:val="006F38B0"/>
    <w:rsid w:val="006F3940"/>
    <w:rsid w:val="006F3CB8"/>
    <w:rsid w:val="006F3DAD"/>
    <w:rsid w:val="006F3DC5"/>
    <w:rsid w:val="006F5158"/>
    <w:rsid w:val="006F52BB"/>
    <w:rsid w:val="006F58D9"/>
    <w:rsid w:val="006F5D30"/>
    <w:rsid w:val="006F6427"/>
    <w:rsid w:val="006F6508"/>
    <w:rsid w:val="006F704B"/>
    <w:rsid w:val="006F7BA1"/>
    <w:rsid w:val="00700950"/>
    <w:rsid w:val="00700A15"/>
    <w:rsid w:val="00700D32"/>
    <w:rsid w:val="00701136"/>
    <w:rsid w:val="00701890"/>
    <w:rsid w:val="00701F34"/>
    <w:rsid w:val="00702A87"/>
    <w:rsid w:val="00702FC2"/>
    <w:rsid w:val="0070319A"/>
    <w:rsid w:val="0070319C"/>
    <w:rsid w:val="007031DF"/>
    <w:rsid w:val="00703487"/>
    <w:rsid w:val="00703CB4"/>
    <w:rsid w:val="007062ED"/>
    <w:rsid w:val="00706BE3"/>
    <w:rsid w:val="00707C18"/>
    <w:rsid w:val="00710364"/>
    <w:rsid w:val="007103A9"/>
    <w:rsid w:val="00711153"/>
    <w:rsid w:val="00713965"/>
    <w:rsid w:val="00714216"/>
    <w:rsid w:val="00715E9E"/>
    <w:rsid w:val="00716360"/>
    <w:rsid w:val="00716470"/>
    <w:rsid w:val="00716AD2"/>
    <w:rsid w:val="00716DEC"/>
    <w:rsid w:val="007175CA"/>
    <w:rsid w:val="0071789F"/>
    <w:rsid w:val="00717BDA"/>
    <w:rsid w:val="007203CA"/>
    <w:rsid w:val="00720790"/>
    <w:rsid w:val="00720BAF"/>
    <w:rsid w:val="00720E25"/>
    <w:rsid w:val="00720EB6"/>
    <w:rsid w:val="00721AAE"/>
    <w:rsid w:val="00722112"/>
    <w:rsid w:val="007226F5"/>
    <w:rsid w:val="00722E32"/>
    <w:rsid w:val="0072374A"/>
    <w:rsid w:val="00723B2C"/>
    <w:rsid w:val="00723C51"/>
    <w:rsid w:val="00724ED0"/>
    <w:rsid w:val="00724F92"/>
    <w:rsid w:val="00725261"/>
    <w:rsid w:val="007253D6"/>
    <w:rsid w:val="0072578A"/>
    <w:rsid w:val="007258CE"/>
    <w:rsid w:val="0072597A"/>
    <w:rsid w:val="00725BA4"/>
    <w:rsid w:val="007260A4"/>
    <w:rsid w:val="0072663F"/>
    <w:rsid w:val="00726CB0"/>
    <w:rsid w:val="00726E07"/>
    <w:rsid w:val="00726F72"/>
    <w:rsid w:val="00727F01"/>
    <w:rsid w:val="007305BE"/>
    <w:rsid w:val="00732D1D"/>
    <w:rsid w:val="00733DE4"/>
    <w:rsid w:val="007343C9"/>
    <w:rsid w:val="00735DF5"/>
    <w:rsid w:val="00736D76"/>
    <w:rsid w:val="00737883"/>
    <w:rsid w:val="0073792C"/>
    <w:rsid w:val="00737F08"/>
    <w:rsid w:val="00740596"/>
    <w:rsid w:val="007407F9"/>
    <w:rsid w:val="00740A48"/>
    <w:rsid w:val="007418B1"/>
    <w:rsid w:val="00741AC9"/>
    <w:rsid w:val="0074220D"/>
    <w:rsid w:val="0074257A"/>
    <w:rsid w:val="00742AD8"/>
    <w:rsid w:val="0074345D"/>
    <w:rsid w:val="00743B51"/>
    <w:rsid w:val="00744256"/>
    <w:rsid w:val="00744A15"/>
    <w:rsid w:val="00744EB1"/>
    <w:rsid w:val="007455EA"/>
    <w:rsid w:val="0074578C"/>
    <w:rsid w:val="00745CE5"/>
    <w:rsid w:val="00747422"/>
    <w:rsid w:val="00747434"/>
    <w:rsid w:val="0074788B"/>
    <w:rsid w:val="0075119D"/>
    <w:rsid w:val="0075137C"/>
    <w:rsid w:val="007515AA"/>
    <w:rsid w:val="00752075"/>
    <w:rsid w:val="007532C5"/>
    <w:rsid w:val="00753D4E"/>
    <w:rsid w:val="0075418A"/>
    <w:rsid w:val="00754C91"/>
    <w:rsid w:val="007550F7"/>
    <w:rsid w:val="00755401"/>
    <w:rsid w:val="00755C93"/>
    <w:rsid w:val="00756D85"/>
    <w:rsid w:val="00757648"/>
    <w:rsid w:val="007606B3"/>
    <w:rsid w:val="007612D1"/>
    <w:rsid w:val="0076260D"/>
    <w:rsid w:val="007628A4"/>
    <w:rsid w:val="00763B77"/>
    <w:rsid w:val="00763CE6"/>
    <w:rsid w:val="007641B4"/>
    <w:rsid w:val="00764C7D"/>
    <w:rsid w:val="0076549F"/>
    <w:rsid w:val="00765B04"/>
    <w:rsid w:val="00766F26"/>
    <w:rsid w:val="0076702C"/>
    <w:rsid w:val="007671CD"/>
    <w:rsid w:val="00767526"/>
    <w:rsid w:val="00767827"/>
    <w:rsid w:val="00767ABD"/>
    <w:rsid w:val="00767BDF"/>
    <w:rsid w:val="00767F6C"/>
    <w:rsid w:val="00770AEB"/>
    <w:rsid w:val="00770B52"/>
    <w:rsid w:val="00771321"/>
    <w:rsid w:val="00771D96"/>
    <w:rsid w:val="00772458"/>
    <w:rsid w:val="00772829"/>
    <w:rsid w:val="00772A9F"/>
    <w:rsid w:val="007734A8"/>
    <w:rsid w:val="007735BC"/>
    <w:rsid w:val="00774FD8"/>
    <w:rsid w:val="0077591B"/>
    <w:rsid w:val="00776D20"/>
    <w:rsid w:val="007772A1"/>
    <w:rsid w:val="00777635"/>
    <w:rsid w:val="00777848"/>
    <w:rsid w:val="00777893"/>
    <w:rsid w:val="00780675"/>
    <w:rsid w:val="00781071"/>
    <w:rsid w:val="00781120"/>
    <w:rsid w:val="00781451"/>
    <w:rsid w:val="00781C3E"/>
    <w:rsid w:val="00782C3A"/>
    <w:rsid w:val="007834A2"/>
    <w:rsid w:val="00783A27"/>
    <w:rsid w:val="00784341"/>
    <w:rsid w:val="00784C16"/>
    <w:rsid w:val="007852E9"/>
    <w:rsid w:val="00785A7C"/>
    <w:rsid w:val="00785B17"/>
    <w:rsid w:val="00785E0C"/>
    <w:rsid w:val="00786528"/>
    <w:rsid w:val="007867F5"/>
    <w:rsid w:val="00790B15"/>
    <w:rsid w:val="00790F49"/>
    <w:rsid w:val="007916D2"/>
    <w:rsid w:val="00791FD8"/>
    <w:rsid w:val="0079294D"/>
    <w:rsid w:val="00792BA0"/>
    <w:rsid w:val="00792C2A"/>
    <w:rsid w:val="00792FB2"/>
    <w:rsid w:val="007931CB"/>
    <w:rsid w:val="00793C91"/>
    <w:rsid w:val="007951D4"/>
    <w:rsid w:val="00795F28"/>
    <w:rsid w:val="00796459"/>
    <w:rsid w:val="007965E8"/>
    <w:rsid w:val="00796930"/>
    <w:rsid w:val="00796F95"/>
    <w:rsid w:val="00797C46"/>
    <w:rsid w:val="00797D2C"/>
    <w:rsid w:val="00797FA7"/>
    <w:rsid w:val="007A0FE6"/>
    <w:rsid w:val="007A136A"/>
    <w:rsid w:val="007A14DD"/>
    <w:rsid w:val="007A19F6"/>
    <w:rsid w:val="007A1BB5"/>
    <w:rsid w:val="007A2362"/>
    <w:rsid w:val="007A2733"/>
    <w:rsid w:val="007A2B65"/>
    <w:rsid w:val="007A2C34"/>
    <w:rsid w:val="007A359B"/>
    <w:rsid w:val="007A374D"/>
    <w:rsid w:val="007A388C"/>
    <w:rsid w:val="007A462C"/>
    <w:rsid w:val="007A5617"/>
    <w:rsid w:val="007A5BDC"/>
    <w:rsid w:val="007A621C"/>
    <w:rsid w:val="007A725B"/>
    <w:rsid w:val="007B0245"/>
    <w:rsid w:val="007B076E"/>
    <w:rsid w:val="007B083F"/>
    <w:rsid w:val="007B0880"/>
    <w:rsid w:val="007B0D01"/>
    <w:rsid w:val="007B0FAB"/>
    <w:rsid w:val="007B1997"/>
    <w:rsid w:val="007B1CC6"/>
    <w:rsid w:val="007B1FB9"/>
    <w:rsid w:val="007B2085"/>
    <w:rsid w:val="007B2FDC"/>
    <w:rsid w:val="007B38A0"/>
    <w:rsid w:val="007B38B7"/>
    <w:rsid w:val="007B45E1"/>
    <w:rsid w:val="007B4891"/>
    <w:rsid w:val="007B4F7B"/>
    <w:rsid w:val="007B4FF2"/>
    <w:rsid w:val="007B5816"/>
    <w:rsid w:val="007B583D"/>
    <w:rsid w:val="007B6684"/>
    <w:rsid w:val="007B69B0"/>
    <w:rsid w:val="007B6AFC"/>
    <w:rsid w:val="007B6B21"/>
    <w:rsid w:val="007B6E0C"/>
    <w:rsid w:val="007B7024"/>
    <w:rsid w:val="007B7298"/>
    <w:rsid w:val="007C0390"/>
    <w:rsid w:val="007C0B15"/>
    <w:rsid w:val="007C0C87"/>
    <w:rsid w:val="007C10B6"/>
    <w:rsid w:val="007C14A2"/>
    <w:rsid w:val="007C16E1"/>
    <w:rsid w:val="007C1A1D"/>
    <w:rsid w:val="007C1B98"/>
    <w:rsid w:val="007C1C65"/>
    <w:rsid w:val="007C20C2"/>
    <w:rsid w:val="007C2F07"/>
    <w:rsid w:val="007C2F30"/>
    <w:rsid w:val="007C300E"/>
    <w:rsid w:val="007C328D"/>
    <w:rsid w:val="007C336F"/>
    <w:rsid w:val="007C41B1"/>
    <w:rsid w:val="007C4FB9"/>
    <w:rsid w:val="007C5603"/>
    <w:rsid w:val="007C569E"/>
    <w:rsid w:val="007C6840"/>
    <w:rsid w:val="007C7754"/>
    <w:rsid w:val="007C7762"/>
    <w:rsid w:val="007D078B"/>
    <w:rsid w:val="007D1824"/>
    <w:rsid w:val="007D1898"/>
    <w:rsid w:val="007D1F88"/>
    <w:rsid w:val="007D2C20"/>
    <w:rsid w:val="007D2F16"/>
    <w:rsid w:val="007D30B7"/>
    <w:rsid w:val="007D311E"/>
    <w:rsid w:val="007D31D4"/>
    <w:rsid w:val="007D4539"/>
    <w:rsid w:val="007D4C8A"/>
    <w:rsid w:val="007D54A9"/>
    <w:rsid w:val="007D645E"/>
    <w:rsid w:val="007D774E"/>
    <w:rsid w:val="007E0286"/>
    <w:rsid w:val="007E095F"/>
    <w:rsid w:val="007E10AE"/>
    <w:rsid w:val="007E15AD"/>
    <w:rsid w:val="007E25ED"/>
    <w:rsid w:val="007E2BC0"/>
    <w:rsid w:val="007E2D1E"/>
    <w:rsid w:val="007E3508"/>
    <w:rsid w:val="007E3561"/>
    <w:rsid w:val="007E412C"/>
    <w:rsid w:val="007E49DE"/>
    <w:rsid w:val="007E4A09"/>
    <w:rsid w:val="007E5333"/>
    <w:rsid w:val="007E588A"/>
    <w:rsid w:val="007E601B"/>
    <w:rsid w:val="007E620C"/>
    <w:rsid w:val="007E6863"/>
    <w:rsid w:val="007E68A7"/>
    <w:rsid w:val="007F126E"/>
    <w:rsid w:val="007F1E30"/>
    <w:rsid w:val="007F2535"/>
    <w:rsid w:val="007F2F07"/>
    <w:rsid w:val="007F3808"/>
    <w:rsid w:val="007F384A"/>
    <w:rsid w:val="007F5A79"/>
    <w:rsid w:val="007F5FFE"/>
    <w:rsid w:val="007F62E7"/>
    <w:rsid w:val="007F67E9"/>
    <w:rsid w:val="007F68C7"/>
    <w:rsid w:val="007F74FA"/>
    <w:rsid w:val="007F7C7B"/>
    <w:rsid w:val="00800189"/>
    <w:rsid w:val="00801103"/>
    <w:rsid w:val="00801366"/>
    <w:rsid w:val="00803832"/>
    <w:rsid w:val="00803F23"/>
    <w:rsid w:val="008040A2"/>
    <w:rsid w:val="008042AC"/>
    <w:rsid w:val="00804632"/>
    <w:rsid w:val="00804DBC"/>
    <w:rsid w:val="008054D9"/>
    <w:rsid w:val="0080588D"/>
    <w:rsid w:val="00806688"/>
    <w:rsid w:val="00806C5E"/>
    <w:rsid w:val="00806D3A"/>
    <w:rsid w:val="00807385"/>
    <w:rsid w:val="00807A3E"/>
    <w:rsid w:val="00810338"/>
    <w:rsid w:val="00810925"/>
    <w:rsid w:val="00811951"/>
    <w:rsid w:val="00812282"/>
    <w:rsid w:val="00812D45"/>
    <w:rsid w:val="008135E1"/>
    <w:rsid w:val="00813DC4"/>
    <w:rsid w:val="0081466E"/>
    <w:rsid w:val="008147AC"/>
    <w:rsid w:val="008148E4"/>
    <w:rsid w:val="008155A5"/>
    <w:rsid w:val="008157F1"/>
    <w:rsid w:val="0081589B"/>
    <w:rsid w:val="00815B02"/>
    <w:rsid w:val="00815C90"/>
    <w:rsid w:val="0081608B"/>
    <w:rsid w:val="00816338"/>
    <w:rsid w:val="00816EC2"/>
    <w:rsid w:val="008209E7"/>
    <w:rsid w:val="00820AB1"/>
    <w:rsid w:val="00822551"/>
    <w:rsid w:val="008227D1"/>
    <w:rsid w:val="00822926"/>
    <w:rsid w:val="00822A20"/>
    <w:rsid w:val="0082324D"/>
    <w:rsid w:val="008236E1"/>
    <w:rsid w:val="00823B44"/>
    <w:rsid w:val="00823BCF"/>
    <w:rsid w:val="00824458"/>
    <w:rsid w:val="008249F7"/>
    <w:rsid w:val="00824AA2"/>
    <w:rsid w:val="00824B74"/>
    <w:rsid w:val="0082557B"/>
    <w:rsid w:val="008260DC"/>
    <w:rsid w:val="0082658F"/>
    <w:rsid w:val="00827027"/>
    <w:rsid w:val="00830143"/>
    <w:rsid w:val="00830521"/>
    <w:rsid w:val="00832DBC"/>
    <w:rsid w:val="00834392"/>
    <w:rsid w:val="00835BFD"/>
    <w:rsid w:val="00835C61"/>
    <w:rsid w:val="00835EC9"/>
    <w:rsid w:val="00836A6E"/>
    <w:rsid w:val="00836C23"/>
    <w:rsid w:val="00836FF1"/>
    <w:rsid w:val="0083716F"/>
    <w:rsid w:val="00837A81"/>
    <w:rsid w:val="00837D71"/>
    <w:rsid w:val="008400A2"/>
    <w:rsid w:val="00840E9C"/>
    <w:rsid w:val="00841388"/>
    <w:rsid w:val="00841EFB"/>
    <w:rsid w:val="00841F44"/>
    <w:rsid w:val="00842C82"/>
    <w:rsid w:val="00842E53"/>
    <w:rsid w:val="008433BA"/>
    <w:rsid w:val="008436D7"/>
    <w:rsid w:val="008440FE"/>
    <w:rsid w:val="00844BB9"/>
    <w:rsid w:val="00844C58"/>
    <w:rsid w:val="00845350"/>
    <w:rsid w:val="008458FA"/>
    <w:rsid w:val="00846095"/>
    <w:rsid w:val="00846119"/>
    <w:rsid w:val="00846343"/>
    <w:rsid w:val="008474E3"/>
    <w:rsid w:val="00850336"/>
    <w:rsid w:val="008518B0"/>
    <w:rsid w:val="0085252D"/>
    <w:rsid w:val="008527ED"/>
    <w:rsid w:val="008537F7"/>
    <w:rsid w:val="00853B27"/>
    <w:rsid w:val="00854078"/>
    <w:rsid w:val="008546BE"/>
    <w:rsid w:val="00855033"/>
    <w:rsid w:val="00855633"/>
    <w:rsid w:val="00856074"/>
    <w:rsid w:val="00856D1C"/>
    <w:rsid w:val="00857949"/>
    <w:rsid w:val="00857B52"/>
    <w:rsid w:val="0086159D"/>
    <w:rsid w:val="008620D0"/>
    <w:rsid w:val="008633B7"/>
    <w:rsid w:val="00863A9C"/>
    <w:rsid w:val="00863AD8"/>
    <w:rsid w:val="00864348"/>
    <w:rsid w:val="00865FB6"/>
    <w:rsid w:val="008665DB"/>
    <w:rsid w:val="00867B99"/>
    <w:rsid w:val="0087044D"/>
    <w:rsid w:val="0087089D"/>
    <w:rsid w:val="008719C2"/>
    <w:rsid w:val="00871F7B"/>
    <w:rsid w:val="00872477"/>
    <w:rsid w:val="00872531"/>
    <w:rsid w:val="0087277A"/>
    <w:rsid w:val="00872A47"/>
    <w:rsid w:val="0087363E"/>
    <w:rsid w:val="008736E2"/>
    <w:rsid w:val="00873764"/>
    <w:rsid w:val="008740E1"/>
    <w:rsid w:val="00874337"/>
    <w:rsid w:val="00874565"/>
    <w:rsid w:val="00875034"/>
    <w:rsid w:val="008750B7"/>
    <w:rsid w:val="008755C0"/>
    <w:rsid w:val="00877247"/>
    <w:rsid w:val="008801AE"/>
    <w:rsid w:val="00880AA3"/>
    <w:rsid w:val="00881CFA"/>
    <w:rsid w:val="008823B1"/>
    <w:rsid w:val="0088276E"/>
    <w:rsid w:val="00883DE0"/>
    <w:rsid w:val="0088421C"/>
    <w:rsid w:val="0088445B"/>
    <w:rsid w:val="0088522F"/>
    <w:rsid w:val="00885615"/>
    <w:rsid w:val="0088572A"/>
    <w:rsid w:val="0088588B"/>
    <w:rsid w:val="00885FD7"/>
    <w:rsid w:val="00886C5D"/>
    <w:rsid w:val="008871CE"/>
    <w:rsid w:val="00887CC9"/>
    <w:rsid w:val="008902F1"/>
    <w:rsid w:val="00891AF6"/>
    <w:rsid w:val="00891BC3"/>
    <w:rsid w:val="0089240A"/>
    <w:rsid w:val="00892899"/>
    <w:rsid w:val="00892A53"/>
    <w:rsid w:val="008937C8"/>
    <w:rsid w:val="008946A9"/>
    <w:rsid w:val="0089560D"/>
    <w:rsid w:val="008967C4"/>
    <w:rsid w:val="00897E95"/>
    <w:rsid w:val="008A0CC6"/>
    <w:rsid w:val="008A0D2A"/>
    <w:rsid w:val="008A139C"/>
    <w:rsid w:val="008A15D9"/>
    <w:rsid w:val="008A1693"/>
    <w:rsid w:val="008A1C1B"/>
    <w:rsid w:val="008A2329"/>
    <w:rsid w:val="008A2451"/>
    <w:rsid w:val="008A254F"/>
    <w:rsid w:val="008A2630"/>
    <w:rsid w:val="008A3DAB"/>
    <w:rsid w:val="008A4576"/>
    <w:rsid w:val="008A509B"/>
    <w:rsid w:val="008A5218"/>
    <w:rsid w:val="008A5833"/>
    <w:rsid w:val="008A58AD"/>
    <w:rsid w:val="008A5978"/>
    <w:rsid w:val="008A78A0"/>
    <w:rsid w:val="008A796C"/>
    <w:rsid w:val="008B07D4"/>
    <w:rsid w:val="008B07EA"/>
    <w:rsid w:val="008B0E44"/>
    <w:rsid w:val="008B0FA1"/>
    <w:rsid w:val="008B123A"/>
    <w:rsid w:val="008B1C34"/>
    <w:rsid w:val="008B2976"/>
    <w:rsid w:val="008B38E3"/>
    <w:rsid w:val="008B3A88"/>
    <w:rsid w:val="008B3B9F"/>
    <w:rsid w:val="008B449B"/>
    <w:rsid w:val="008B4BFC"/>
    <w:rsid w:val="008B4CDB"/>
    <w:rsid w:val="008B51B4"/>
    <w:rsid w:val="008B5B67"/>
    <w:rsid w:val="008B5D7A"/>
    <w:rsid w:val="008B66E3"/>
    <w:rsid w:val="008B7766"/>
    <w:rsid w:val="008B7848"/>
    <w:rsid w:val="008B7924"/>
    <w:rsid w:val="008B7C47"/>
    <w:rsid w:val="008C02AA"/>
    <w:rsid w:val="008C1708"/>
    <w:rsid w:val="008C1E05"/>
    <w:rsid w:val="008C22CB"/>
    <w:rsid w:val="008C27E1"/>
    <w:rsid w:val="008C34B5"/>
    <w:rsid w:val="008C34BB"/>
    <w:rsid w:val="008C3726"/>
    <w:rsid w:val="008C45E2"/>
    <w:rsid w:val="008C5426"/>
    <w:rsid w:val="008C57FF"/>
    <w:rsid w:val="008C5F1F"/>
    <w:rsid w:val="008C6AC5"/>
    <w:rsid w:val="008C764E"/>
    <w:rsid w:val="008C7670"/>
    <w:rsid w:val="008C79A9"/>
    <w:rsid w:val="008D028D"/>
    <w:rsid w:val="008D059B"/>
    <w:rsid w:val="008D06E9"/>
    <w:rsid w:val="008D0DC5"/>
    <w:rsid w:val="008D2F09"/>
    <w:rsid w:val="008D33FB"/>
    <w:rsid w:val="008D3726"/>
    <w:rsid w:val="008D4876"/>
    <w:rsid w:val="008D4CB0"/>
    <w:rsid w:val="008D4D6A"/>
    <w:rsid w:val="008D4E7F"/>
    <w:rsid w:val="008D4ED4"/>
    <w:rsid w:val="008D53C6"/>
    <w:rsid w:val="008D553F"/>
    <w:rsid w:val="008D6054"/>
    <w:rsid w:val="008D6397"/>
    <w:rsid w:val="008D73C9"/>
    <w:rsid w:val="008D7635"/>
    <w:rsid w:val="008D7F21"/>
    <w:rsid w:val="008E0367"/>
    <w:rsid w:val="008E065A"/>
    <w:rsid w:val="008E16BF"/>
    <w:rsid w:val="008E19AA"/>
    <w:rsid w:val="008E1DA8"/>
    <w:rsid w:val="008E20EC"/>
    <w:rsid w:val="008E3049"/>
    <w:rsid w:val="008E35A3"/>
    <w:rsid w:val="008E3A3C"/>
    <w:rsid w:val="008E3EFD"/>
    <w:rsid w:val="008E5CBA"/>
    <w:rsid w:val="008E5DEE"/>
    <w:rsid w:val="008E5F8C"/>
    <w:rsid w:val="008E6403"/>
    <w:rsid w:val="008E6976"/>
    <w:rsid w:val="008E6A1D"/>
    <w:rsid w:val="008E7274"/>
    <w:rsid w:val="008F0540"/>
    <w:rsid w:val="008F0562"/>
    <w:rsid w:val="008F121E"/>
    <w:rsid w:val="008F17E2"/>
    <w:rsid w:val="008F19FB"/>
    <w:rsid w:val="008F1E22"/>
    <w:rsid w:val="008F260B"/>
    <w:rsid w:val="008F2B0D"/>
    <w:rsid w:val="008F2CEC"/>
    <w:rsid w:val="008F6154"/>
    <w:rsid w:val="008F7FE5"/>
    <w:rsid w:val="0090074C"/>
    <w:rsid w:val="00901250"/>
    <w:rsid w:val="00901263"/>
    <w:rsid w:val="009013E4"/>
    <w:rsid w:val="00901721"/>
    <w:rsid w:val="0090183B"/>
    <w:rsid w:val="009028D5"/>
    <w:rsid w:val="009039CA"/>
    <w:rsid w:val="00903F5F"/>
    <w:rsid w:val="009058CD"/>
    <w:rsid w:val="0090600D"/>
    <w:rsid w:val="00906821"/>
    <w:rsid w:val="00906E65"/>
    <w:rsid w:val="00907B07"/>
    <w:rsid w:val="00907DE2"/>
    <w:rsid w:val="00910870"/>
    <w:rsid w:val="0091107A"/>
    <w:rsid w:val="00911E7A"/>
    <w:rsid w:val="00912154"/>
    <w:rsid w:val="00913AC7"/>
    <w:rsid w:val="009144D5"/>
    <w:rsid w:val="00914A79"/>
    <w:rsid w:val="009152C6"/>
    <w:rsid w:val="0091597C"/>
    <w:rsid w:val="00915F98"/>
    <w:rsid w:val="00915FA3"/>
    <w:rsid w:val="00916036"/>
    <w:rsid w:val="009168FD"/>
    <w:rsid w:val="00916A26"/>
    <w:rsid w:val="0091771A"/>
    <w:rsid w:val="00920047"/>
    <w:rsid w:val="009211F6"/>
    <w:rsid w:val="009217F8"/>
    <w:rsid w:val="0092357D"/>
    <w:rsid w:val="00924281"/>
    <w:rsid w:val="0092470E"/>
    <w:rsid w:val="00924C62"/>
    <w:rsid w:val="00925187"/>
    <w:rsid w:val="0092709C"/>
    <w:rsid w:val="00927149"/>
    <w:rsid w:val="0092717F"/>
    <w:rsid w:val="00927744"/>
    <w:rsid w:val="00927B05"/>
    <w:rsid w:val="00930262"/>
    <w:rsid w:val="00930918"/>
    <w:rsid w:val="00930F4E"/>
    <w:rsid w:val="00931C4E"/>
    <w:rsid w:val="009331C3"/>
    <w:rsid w:val="009334AB"/>
    <w:rsid w:val="00933E2A"/>
    <w:rsid w:val="00934C84"/>
    <w:rsid w:val="00934DF6"/>
    <w:rsid w:val="00935432"/>
    <w:rsid w:val="00935726"/>
    <w:rsid w:val="0093588E"/>
    <w:rsid w:val="00935BCE"/>
    <w:rsid w:val="00935D8C"/>
    <w:rsid w:val="00936062"/>
    <w:rsid w:val="00937CBE"/>
    <w:rsid w:val="00940191"/>
    <w:rsid w:val="00941A87"/>
    <w:rsid w:val="009427A1"/>
    <w:rsid w:val="00943DB7"/>
    <w:rsid w:val="00944087"/>
    <w:rsid w:val="00944E74"/>
    <w:rsid w:val="00945234"/>
    <w:rsid w:val="0094670E"/>
    <w:rsid w:val="009467A1"/>
    <w:rsid w:val="00947084"/>
    <w:rsid w:val="0094786A"/>
    <w:rsid w:val="0094786C"/>
    <w:rsid w:val="0095012E"/>
    <w:rsid w:val="009502A1"/>
    <w:rsid w:val="00950E05"/>
    <w:rsid w:val="00950E28"/>
    <w:rsid w:val="00951934"/>
    <w:rsid w:val="0095207B"/>
    <w:rsid w:val="009523BD"/>
    <w:rsid w:val="009536F8"/>
    <w:rsid w:val="009537B3"/>
    <w:rsid w:val="00953B3D"/>
    <w:rsid w:val="00953CDC"/>
    <w:rsid w:val="00953FB4"/>
    <w:rsid w:val="009545D5"/>
    <w:rsid w:val="00954C8C"/>
    <w:rsid w:val="00955054"/>
    <w:rsid w:val="00955E4E"/>
    <w:rsid w:val="00956ACE"/>
    <w:rsid w:val="009572A0"/>
    <w:rsid w:val="00957D24"/>
    <w:rsid w:val="00960DCF"/>
    <w:rsid w:val="009614F1"/>
    <w:rsid w:val="0096168A"/>
    <w:rsid w:val="00961B53"/>
    <w:rsid w:val="009625FE"/>
    <w:rsid w:val="00963264"/>
    <w:rsid w:val="009636FD"/>
    <w:rsid w:val="0096389D"/>
    <w:rsid w:val="00963DDD"/>
    <w:rsid w:val="00963EA0"/>
    <w:rsid w:val="00965AC5"/>
    <w:rsid w:val="00965E0B"/>
    <w:rsid w:val="00966009"/>
    <w:rsid w:val="009676C0"/>
    <w:rsid w:val="00967A7A"/>
    <w:rsid w:val="009709FB"/>
    <w:rsid w:val="00971853"/>
    <w:rsid w:val="00972217"/>
    <w:rsid w:val="0097239D"/>
    <w:rsid w:val="00972951"/>
    <w:rsid w:val="00972C5C"/>
    <w:rsid w:val="00973BCB"/>
    <w:rsid w:val="009745D6"/>
    <w:rsid w:val="00974DBD"/>
    <w:rsid w:val="009759D1"/>
    <w:rsid w:val="00975B5D"/>
    <w:rsid w:val="00975E6E"/>
    <w:rsid w:val="0097614F"/>
    <w:rsid w:val="00976257"/>
    <w:rsid w:val="009772B6"/>
    <w:rsid w:val="009773A8"/>
    <w:rsid w:val="00977505"/>
    <w:rsid w:val="009777CD"/>
    <w:rsid w:val="00977C88"/>
    <w:rsid w:val="009803A9"/>
    <w:rsid w:val="009803CB"/>
    <w:rsid w:val="009803D4"/>
    <w:rsid w:val="009805CF"/>
    <w:rsid w:val="009807A2"/>
    <w:rsid w:val="0098114F"/>
    <w:rsid w:val="00981443"/>
    <w:rsid w:val="0098199C"/>
    <w:rsid w:val="00983273"/>
    <w:rsid w:val="00983513"/>
    <w:rsid w:val="00984389"/>
    <w:rsid w:val="00984622"/>
    <w:rsid w:val="00984EE2"/>
    <w:rsid w:val="00985DF6"/>
    <w:rsid w:val="0098613F"/>
    <w:rsid w:val="009868E2"/>
    <w:rsid w:val="00986CB5"/>
    <w:rsid w:val="009873F3"/>
    <w:rsid w:val="009907A1"/>
    <w:rsid w:val="0099116E"/>
    <w:rsid w:val="009912D5"/>
    <w:rsid w:val="009923D2"/>
    <w:rsid w:val="00992CD3"/>
    <w:rsid w:val="00992FC1"/>
    <w:rsid w:val="00993F02"/>
    <w:rsid w:val="0099480F"/>
    <w:rsid w:val="00994B25"/>
    <w:rsid w:val="0099571D"/>
    <w:rsid w:val="009959D2"/>
    <w:rsid w:val="00995DE0"/>
    <w:rsid w:val="00995E98"/>
    <w:rsid w:val="00996F15"/>
    <w:rsid w:val="00997BA8"/>
    <w:rsid w:val="009A06F4"/>
    <w:rsid w:val="009A121A"/>
    <w:rsid w:val="009A14B7"/>
    <w:rsid w:val="009A154C"/>
    <w:rsid w:val="009A18F8"/>
    <w:rsid w:val="009A1DD5"/>
    <w:rsid w:val="009A209C"/>
    <w:rsid w:val="009A2578"/>
    <w:rsid w:val="009A32A1"/>
    <w:rsid w:val="009A3374"/>
    <w:rsid w:val="009A3778"/>
    <w:rsid w:val="009A3E2E"/>
    <w:rsid w:val="009A4043"/>
    <w:rsid w:val="009A4891"/>
    <w:rsid w:val="009A5317"/>
    <w:rsid w:val="009A5A70"/>
    <w:rsid w:val="009A7F34"/>
    <w:rsid w:val="009B192D"/>
    <w:rsid w:val="009B1DEE"/>
    <w:rsid w:val="009B2245"/>
    <w:rsid w:val="009B258E"/>
    <w:rsid w:val="009B2A8D"/>
    <w:rsid w:val="009B2B03"/>
    <w:rsid w:val="009B3131"/>
    <w:rsid w:val="009B31C4"/>
    <w:rsid w:val="009B31D0"/>
    <w:rsid w:val="009B37BC"/>
    <w:rsid w:val="009B4002"/>
    <w:rsid w:val="009B4613"/>
    <w:rsid w:val="009B482F"/>
    <w:rsid w:val="009B4DDD"/>
    <w:rsid w:val="009B5997"/>
    <w:rsid w:val="009B6788"/>
    <w:rsid w:val="009B6B23"/>
    <w:rsid w:val="009B7ABD"/>
    <w:rsid w:val="009B7AEF"/>
    <w:rsid w:val="009C085E"/>
    <w:rsid w:val="009C0D08"/>
    <w:rsid w:val="009C1082"/>
    <w:rsid w:val="009C1D27"/>
    <w:rsid w:val="009C2767"/>
    <w:rsid w:val="009C2AA4"/>
    <w:rsid w:val="009C2B63"/>
    <w:rsid w:val="009C3036"/>
    <w:rsid w:val="009C3BD9"/>
    <w:rsid w:val="009C4069"/>
    <w:rsid w:val="009C4844"/>
    <w:rsid w:val="009C5B82"/>
    <w:rsid w:val="009C6086"/>
    <w:rsid w:val="009C7285"/>
    <w:rsid w:val="009C756E"/>
    <w:rsid w:val="009C77A5"/>
    <w:rsid w:val="009D02B0"/>
    <w:rsid w:val="009D1766"/>
    <w:rsid w:val="009D1AC1"/>
    <w:rsid w:val="009D21BE"/>
    <w:rsid w:val="009D34E9"/>
    <w:rsid w:val="009D3B04"/>
    <w:rsid w:val="009D3B89"/>
    <w:rsid w:val="009D3C3D"/>
    <w:rsid w:val="009D5288"/>
    <w:rsid w:val="009D528B"/>
    <w:rsid w:val="009E080E"/>
    <w:rsid w:val="009E0969"/>
    <w:rsid w:val="009E10AE"/>
    <w:rsid w:val="009E26D3"/>
    <w:rsid w:val="009E2AD3"/>
    <w:rsid w:val="009E2BC0"/>
    <w:rsid w:val="009E2CD3"/>
    <w:rsid w:val="009E3095"/>
    <w:rsid w:val="009E45F1"/>
    <w:rsid w:val="009E47E5"/>
    <w:rsid w:val="009E4CCB"/>
    <w:rsid w:val="009E5687"/>
    <w:rsid w:val="009E674E"/>
    <w:rsid w:val="009E74A6"/>
    <w:rsid w:val="009F01EB"/>
    <w:rsid w:val="009F08B4"/>
    <w:rsid w:val="009F08B6"/>
    <w:rsid w:val="009F125F"/>
    <w:rsid w:val="009F13C3"/>
    <w:rsid w:val="009F146F"/>
    <w:rsid w:val="009F181B"/>
    <w:rsid w:val="009F1D41"/>
    <w:rsid w:val="009F1F40"/>
    <w:rsid w:val="009F2190"/>
    <w:rsid w:val="009F2284"/>
    <w:rsid w:val="009F2BA8"/>
    <w:rsid w:val="009F3120"/>
    <w:rsid w:val="009F3C75"/>
    <w:rsid w:val="009F45A8"/>
    <w:rsid w:val="009F46ED"/>
    <w:rsid w:val="009F5853"/>
    <w:rsid w:val="009F62A3"/>
    <w:rsid w:val="009F6A5B"/>
    <w:rsid w:val="009F71C9"/>
    <w:rsid w:val="009F72EE"/>
    <w:rsid w:val="00A001A6"/>
    <w:rsid w:val="00A0037E"/>
    <w:rsid w:val="00A01303"/>
    <w:rsid w:val="00A0151F"/>
    <w:rsid w:val="00A015D7"/>
    <w:rsid w:val="00A01CE7"/>
    <w:rsid w:val="00A0220D"/>
    <w:rsid w:val="00A0256C"/>
    <w:rsid w:val="00A02C4F"/>
    <w:rsid w:val="00A043DE"/>
    <w:rsid w:val="00A04A09"/>
    <w:rsid w:val="00A04BA1"/>
    <w:rsid w:val="00A05821"/>
    <w:rsid w:val="00A05C1E"/>
    <w:rsid w:val="00A05D1D"/>
    <w:rsid w:val="00A05EA2"/>
    <w:rsid w:val="00A06D46"/>
    <w:rsid w:val="00A076CC"/>
    <w:rsid w:val="00A10624"/>
    <w:rsid w:val="00A10A33"/>
    <w:rsid w:val="00A1165C"/>
    <w:rsid w:val="00A12244"/>
    <w:rsid w:val="00A125D6"/>
    <w:rsid w:val="00A135BD"/>
    <w:rsid w:val="00A13BF7"/>
    <w:rsid w:val="00A142F2"/>
    <w:rsid w:val="00A1471A"/>
    <w:rsid w:val="00A14CB5"/>
    <w:rsid w:val="00A14E53"/>
    <w:rsid w:val="00A14EC9"/>
    <w:rsid w:val="00A15580"/>
    <w:rsid w:val="00A16449"/>
    <w:rsid w:val="00A1765F"/>
    <w:rsid w:val="00A178CB"/>
    <w:rsid w:val="00A17D14"/>
    <w:rsid w:val="00A17FBC"/>
    <w:rsid w:val="00A203D6"/>
    <w:rsid w:val="00A20E99"/>
    <w:rsid w:val="00A217FB"/>
    <w:rsid w:val="00A21C4B"/>
    <w:rsid w:val="00A21D3D"/>
    <w:rsid w:val="00A21DFF"/>
    <w:rsid w:val="00A22EFC"/>
    <w:rsid w:val="00A2338F"/>
    <w:rsid w:val="00A24C8C"/>
    <w:rsid w:val="00A25248"/>
    <w:rsid w:val="00A25FBA"/>
    <w:rsid w:val="00A262E3"/>
    <w:rsid w:val="00A26389"/>
    <w:rsid w:val="00A264F8"/>
    <w:rsid w:val="00A2658B"/>
    <w:rsid w:val="00A274BA"/>
    <w:rsid w:val="00A3007D"/>
    <w:rsid w:val="00A303B8"/>
    <w:rsid w:val="00A307E0"/>
    <w:rsid w:val="00A30AB6"/>
    <w:rsid w:val="00A30C49"/>
    <w:rsid w:val="00A310D5"/>
    <w:rsid w:val="00A31A4D"/>
    <w:rsid w:val="00A32091"/>
    <w:rsid w:val="00A33652"/>
    <w:rsid w:val="00A33910"/>
    <w:rsid w:val="00A34735"/>
    <w:rsid w:val="00A35368"/>
    <w:rsid w:val="00A35393"/>
    <w:rsid w:val="00A35779"/>
    <w:rsid w:val="00A361C3"/>
    <w:rsid w:val="00A376C6"/>
    <w:rsid w:val="00A37724"/>
    <w:rsid w:val="00A37FCE"/>
    <w:rsid w:val="00A401B0"/>
    <w:rsid w:val="00A40969"/>
    <w:rsid w:val="00A40CB1"/>
    <w:rsid w:val="00A40E3E"/>
    <w:rsid w:val="00A40EFB"/>
    <w:rsid w:val="00A411FA"/>
    <w:rsid w:val="00A41B62"/>
    <w:rsid w:val="00A41DFA"/>
    <w:rsid w:val="00A42869"/>
    <w:rsid w:val="00A448D1"/>
    <w:rsid w:val="00A44C54"/>
    <w:rsid w:val="00A44EC1"/>
    <w:rsid w:val="00A45498"/>
    <w:rsid w:val="00A454B3"/>
    <w:rsid w:val="00A45E52"/>
    <w:rsid w:val="00A45E73"/>
    <w:rsid w:val="00A46652"/>
    <w:rsid w:val="00A46885"/>
    <w:rsid w:val="00A46D15"/>
    <w:rsid w:val="00A46E18"/>
    <w:rsid w:val="00A4713D"/>
    <w:rsid w:val="00A479EC"/>
    <w:rsid w:val="00A50916"/>
    <w:rsid w:val="00A51B0C"/>
    <w:rsid w:val="00A51C37"/>
    <w:rsid w:val="00A5323B"/>
    <w:rsid w:val="00A53D33"/>
    <w:rsid w:val="00A53E62"/>
    <w:rsid w:val="00A541AE"/>
    <w:rsid w:val="00A54548"/>
    <w:rsid w:val="00A54FB4"/>
    <w:rsid w:val="00A56349"/>
    <w:rsid w:val="00A5658C"/>
    <w:rsid w:val="00A569F0"/>
    <w:rsid w:val="00A56C88"/>
    <w:rsid w:val="00A56DE0"/>
    <w:rsid w:val="00A576F8"/>
    <w:rsid w:val="00A604FC"/>
    <w:rsid w:val="00A63C18"/>
    <w:rsid w:val="00A647EE"/>
    <w:rsid w:val="00A648D4"/>
    <w:rsid w:val="00A64CE9"/>
    <w:rsid w:val="00A65576"/>
    <w:rsid w:val="00A662AF"/>
    <w:rsid w:val="00A662DC"/>
    <w:rsid w:val="00A66AA7"/>
    <w:rsid w:val="00A67057"/>
    <w:rsid w:val="00A671D8"/>
    <w:rsid w:val="00A6741B"/>
    <w:rsid w:val="00A67A66"/>
    <w:rsid w:val="00A67FFC"/>
    <w:rsid w:val="00A70F9C"/>
    <w:rsid w:val="00A71C4A"/>
    <w:rsid w:val="00A71F4A"/>
    <w:rsid w:val="00A72DA7"/>
    <w:rsid w:val="00A7357E"/>
    <w:rsid w:val="00A74177"/>
    <w:rsid w:val="00A74226"/>
    <w:rsid w:val="00A74425"/>
    <w:rsid w:val="00A746E8"/>
    <w:rsid w:val="00A7509E"/>
    <w:rsid w:val="00A757B0"/>
    <w:rsid w:val="00A7623C"/>
    <w:rsid w:val="00A764E4"/>
    <w:rsid w:val="00A76C29"/>
    <w:rsid w:val="00A776A4"/>
    <w:rsid w:val="00A77AF7"/>
    <w:rsid w:val="00A800EB"/>
    <w:rsid w:val="00A8049D"/>
    <w:rsid w:val="00A80AD4"/>
    <w:rsid w:val="00A81A53"/>
    <w:rsid w:val="00A82290"/>
    <w:rsid w:val="00A822C2"/>
    <w:rsid w:val="00A82990"/>
    <w:rsid w:val="00A833AA"/>
    <w:rsid w:val="00A83A0D"/>
    <w:rsid w:val="00A85582"/>
    <w:rsid w:val="00A8569F"/>
    <w:rsid w:val="00A85890"/>
    <w:rsid w:val="00A86288"/>
    <w:rsid w:val="00A86999"/>
    <w:rsid w:val="00A87298"/>
    <w:rsid w:val="00A875AA"/>
    <w:rsid w:val="00A87A1F"/>
    <w:rsid w:val="00A90162"/>
    <w:rsid w:val="00A9036C"/>
    <w:rsid w:val="00A90401"/>
    <w:rsid w:val="00A904F4"/>
    <w:rsid w:val="00A91500"/>
    <w:rsid w:val="00A91897"/>
    <w:rsid w:val="00A91CA6"/>
    <w:rsid w:val="00A921E3"/>
    <w:rsid w:val="00A933A6"/>
    <w:rsid w:val="00A93534"/>
    <w:rsid w:val="00A93938"/>
    <w:rsid w:val="00A93EBB"/>
    <w:rsid w:val="00A94023"/>
    <w:rsid w:val="00A94D20"/>
    <w:rsid w:val="00A96DF1"/>
    <w:rsid w:val="00A9752B"/>
    <w:rsid w:val="00AA0C8E"/>
    <w:rsid w:val="00AA1960"/>
    <w:rsid w:val="00AA1AC7"/>
    <w:rsid w:val="00AA2461"/>
    <w:rsid w:val="00AA2865"/>
    <w:rsid w:val="00AA2C15"/>
    <w:rsid w:val="00AA2C2A"/>
    <w:rsid w:val="00AA2CBE"/>
    <w:rsid w:val="00AA3A9B"/>
    <w:rsid w:val="00AA3BF1"/>
    <w:rsid w:val="00AA45D6"/>
    <w:rsid w:val="00AA47EA"/>
    <w:rsid w:val="00AA5306"/>
    <w:rsid w:val="00AA5410"/>
    <w:rsid w:val="00AA55F6"/>
    <w:rsid w:val="00AA6026"/>
    <w:rsid w:val="00AA6091"/>
    <w:rsid w:val="00AA60A9"/>
    <w:rsid w:val="00AA60E7"/>
    <w:rsid w:val="00AB0270"/>
    <w:rsid w:val="00AB09FE"/>
    <w:rsid w:val="00AB21C6"/>
    <w:rsid w:val="00AB2841"/>
    <w:rsid w:val="00AB504E"/>
    <w:rsid w:val="00AB5829"/>
    <w:rsid w:val="00AB5EA0"/>
    <w:rsid w:val="00AB5F43"/>
    <w:rsid w:val="00AB610D"/>
    <w:rsid w:val="00AB6F0A"/>
    <w:rsid w:val="00AC152D"/>
    <w:rsid w:val="00AC22B7"/>
    <w:rsid w:val="00AC32FD"/>
    <w:rsid w:val="00AC4477"/>
    <w:rsid w:val="00AC4623"/>
    <w:rsid w:val="00AC51FE"/>
    <w:rsid w:val="00AC6F7D"/>
    <w:rsid w:val="00AC720A"/>
    <w:rsid w:val="00AD0601"/>
    <w:rsid w:val="00AD0F94"/>
    <w:rsid w:val="00AD1919"/>
    <w:rsid w:val="00AD1A68"/>
    <w:rsid w:val="00AD25F5"/>
    <w:rsid w:val="00AD2708"/>
    <w:rsid w:val="00AD3762"/>
    <w:rsid w:val="00AD3C75"/>
    <w:rsid w:val="00AD48C2"/>
    <w:rsid w:val="00AD51E5"/>
    <w:rsid w:val="00AD5241"/>
    <w:rsid w:val="00AD60EA"/>
    <w:rsid w:val="00AD6209"/>
    <w:rsid w:val="00AD67D4"/>
    <w:rsid w:val="00AD6988"/>
    <w:rsid w:val="00AD72CD"/>
    <w:rsid w:val="00AE12C0"/>
    <w:rsid w:val="00AE2001"/>
    <w:rsid w:val="00AE29C4"/>
    <w:rsid w:val="00AE2BC5"/>
    <w:rsid w:val="00AE329F"/>
    <w:rsid w:val="00AE3D03"/>
    <w:rsid w:val="00AE3DAF"/>
    <w:rsid w:val="00AE4331"/>
    <w:rsid w:val="00AE504A"/>
    <w:rsid w:val="00AE5126"/>
    <w:rsid w:val="00AE5C88"/>
    <w:rsid w:val="00AE614D"/>
    <w:rsid w:val="00AE65A4"/>
    <w:rsid w:val="00AE65FC"/>
    <w:rsid w:val="00AE6C97"/>
    <w:rsid w:val="00AE7329"/>
    <w:rsid w:val="00AE73D0"/>
    <w:rsid w:val="00AE7849"/>
    <w:rsid w:val="00AE7977"/>
    <w:rsid w:val="00AE7F35"/>
    <w:rsid w:val="00AF0C10"/>
    <w:rsid w:val="00AF0D10"/>
    <w:rsid w:val="00AF14ED"/>
    <w:rsid w:val="00AF1F10"/>
    <w:rsid w:val="00AF25C6"/>
    <w:rsid w:val="00AF3D39"/>
    <w:rsid w:val="00AF3FC8"/>
    <w:rsid w:val="00AF497B"/>
    <w:rsid w:val="00AF52F5"/>
    <w:rsid w:val="00AF542E"/>
    <w:rsid w:val="00AF56E0"/>
    <w:rsid w:val="00AF60B0"/>
    <w:rsid w:val="00AF6743"/>
    <w:rsid w:val="00AF6A4C"/>
    <w:rsid w:val="00AF6E6B"/>
    <w:rsid w:val="00AF7CE7"/>
    <w:rsid w:val="00AF7EB2"/>
    <w:rsid w:val="00AF7ED6"/>
    <w:rsid w:val="00B002A0"/>
    <w:rsid w:val="00B00A60"/>
    <w:rsid w:val="00B00F34"/>
    <w:rsid w:val="00B01225"/>
    <w:rsid w:val="00B012DD"/>
    <w:rsid w:val="00B016B2"/>
    <w:rsid w:val="00B01A98"/>
    <w:rsid w:val="00B02183"/>
    <w:rsid w:val="00B034D8"/>
    <w:rsid w:val="00B047C2"/>
    <w:rsid w:val="00B04B8A"/>
    <w:rsid w:val="00B04CB1"/>
    <w:rsid w:val="00B05635"/>
    <w:rsid w:val="00B059AE"/>
    <w:rsid w:val="00B06546"/>
    <w:rsid w:val="00B07127"/>
    <w:rsid w:val="00B0739A"/>
    <w:rsid w:val="00B07441"/>
    <w:rsid w:val="00B07585"/>
    <w:rsid w:val="00B07620"/>
    <w:rsid w:val="00B0765C"/>
    <w:rsid w:val="00B10338"/>
    <w:rsid w:val="00B10C19"/>
    <w:rsid w:val="00B110FE"/>
    <w:rsid w:val="00B113AA"/>
    <w:rsid w:val="00B118FE"/>
    <w:rsid w:val="00B12706"/>
    <w:rsid w:val="00B128FC"/>
    <w:rsid w:val="00B12965"/>
    <w:rsid w:val="00B1314F"/>
    <w:rsid w:val="00B14418"/>
    <w:rsid w:val="00B1443B"/>
    <w:rsid w:val="00B146DC"/>
    <w:rsid w:val="00B14E55"/>
    <w:rsid w:val="00B151CF"/>
    <w:rsid w:val="00B15781"/>
    <w:rsid w:val="00B1632B"/>
    <w:rsid w:val="00B16F20"/>
    <w:rsid w:val="00B16F66"/>
    <w:rsid w:val="00B17844"/>
    <w:rsid w:val="00B17AC0"/>
    <w:rsid w:val="00B20445"/>
    <w:rsid w:val="00B21AC7"/>
    <w:rsid w:val="00B21D8F"/>
    <w:rsid w:val="00B22824"/>
    <w:rsid w:val="00B228F3"/>
    <w:rsid w:val="00B22E05"/>
    <w:rsid w:val="00B244C2"/>
    <w:rsid w:val="00B247AD"/>
    <w:rsid w:val="00B25D05"/>
    <w:rsid w:val="00B26622"/>
    <w:rsid w:val="00B26669"/>
    <w:rsid w:val="00B276B4"/>
    <w:rsid w:val="00B27C63"/>
    <w:rsid w:val="00B303F6"/>
    <w:rsid w:val="00B30547"/>
    <w:rsid w:val="00B307B7"/>
    <w:rsid w:val="00B31E89"/>
    <w:rsid w:val="00B331E5"/>
    <w:rsid w:val="00B334C4"/>
    <w:rsid w:val="00B3416C"/>
    <w:rsid w:val="00B347FE"/>
    <w:rsid w:val="00B35634"/>
    <w:rsid w:val="00B36028"/>
    <w:rsid w:val="00B36282"/>
    <w:rsid w:val="00B36A58"/>
    <w:rsid w:val="00B37D7D"/>
    <w:rsid w:val="00B37EEC"/>
    <w:rsid w:val="00B40064"/>
    <w:rsid w:val="00B402FA"/>
    <w:rsid w:val="00B41269"/>
    <w:rsid w:val="00B41BD4"/>
    <w:rsid w:val="00B4272C"/>
    <w:rsid w:val="00B427D7"/>
    <w:rsid w:val="00B42A49"/>
    <w:rsid w:val="00B42FD9"/>
    <w:rsid w:val="00B4324D"/>
    <w:rsid w:val="00B43377"/>
    <w:rsid w:val="00B43505"/>
    <w:rsid w:val="00B4381F"/>
    <w:rsid w:val="00B4483C"/>
    <w:rsid w:val="00B45AB2"/>
    <w:rsid w:val="00B472A2"/>
    <w:rsid w:val="00B47EC2"/>
    <w:rsid w:val="00B50A44"/>
    <w:rsid w:val="00B50FB7"/>
    <w:rsid w:val="00B5117E"/>
    <w:rsid w:val="00B52013"/>
    <w:rsid w:val="00B5209F"/>
    <w:rsid w:val="00B53045"/>
    <w:rsid w:val="00B546F6"/>
    <w:rsid w:val="00B55524"/>
    <w:rsid w:val="00B55D98"/>
    <w:rsid w:val="00B55E84"/>
    <w:rsid w:val="00B562EE"/>
    <w:rsid w:val="00B57078"/>
    <w:rsid w:val="00B5717C"/>
    <w:rsid w:val="00B5727B"/>
    <w:rsid w:val="00B575BF"/>
    <w:rsid w:val="00B57CD7"/>
    <w:rsid w:val="00B57E56"/>
    <w:rsid w:val="00B60A0D"/>
    <w:rsid w:val="00B612EA"/>
    <w:rsid w:val="00B61967"/>
    <w:rsid w:val="00B61C66"/>
    <w:rsid w:val="00B62604"/>
    <w:rsid w:val="00B62D2C"/>
    <w:rsid w:val="00B62DF2"/>
    <w:rsid w:val="00B65392"/>
    <w:rsid w:val="00B658FA"/>
    <w:rsid w:val="00B65B14"/>
    <w:rsid w:val="00B66A87"/>
    <w:rsid w:val="00B66B2E"/>
    <w:rsid w:val="00B66BBC"/>
    <w:rsid w:val="00B66CA0"/>
    <w:rsid w:val="00B66EE9"/>
    <w:rsid w:val="00B66F69"/>
    <w:rsid w:val="00B67009"/>
    <w:rsid w:val="00B67C54"/>
    <w:rsid w:val="00B70EA3"/>
    <w:rsid w:val="00B712D0"/>
    <w:rsid w:val="00B71492"/>
    <w:rsid w:val="00B71576"/>
    <w:rsid w:val="00B7324B"/>
    <w:rsid w:val="00B7379A"/>
    <w:rsid w:val="00B74081"/>
    <w:rsid w:val="00B74B2A"/>
    <w:rsid w:val="00B750E5"/>
    <w:rsid w:val="00B751B5"/>
    <w:rsid w:val="00B757E5"/>
    <w:rsid w:val="00B761C3"/>
    <w:rsid w:val="00B76287"/>
    <w:rsid w:val="00B7721E"/>
    <w:rsid w:val="00B772A4"/>
    <w:rsid w:val="00B77620"/>
    <w:rsid w:val="00B77BBD"/>
    <w:rsid w:val="00B77C31"/>
    <w:rsid w:val="00B8032F"/>
    <w:rsid w:val="00B80ACA"/>
    <w:rsid w:val="00B80DA9"/>
    <w:rsid w:val="00B8101A"/>
    <w:rsid w:val="00B8120F"/>
    <w:rsid w:val="00B81F38"/>
    <w:rsid w:val="00B831AB"/>
    <w:rsid w:val="00B83A05"/>
    <w:rsid w:val="00B83A67"/>
    <w:rsid w:val="00B83B62"/>
    <w:rsid w:val="00B8458C"/>
    <w:rsid w:val="00B84DE1"/>
    <w:rsid w:val="00B8535F"/>
    <w:rsid w:val="00B86BB4"/>
    <w:rsid w:val="00B86D03"/>
    <w:rsid w:val="00B878CD"/>
    <w:rsid w:val="00B87A3B"/>
    <w:rsid w:val="00B913C3"/>
    <w:rsid w:val="00B91CB1"/>
    <w:rsid w:val="00B91ECD"/>
    <w:rsid w:val="00B9249B"/>
    <w:rsid w:val="00B937FD"/>
    <w:rsid w:val="00B94348"/>
    <w:rsid w:val="00B94445"/>
    <w:rsid w:val="00B94CE9"/>
    <w:rsid w:val="00B94F5D"/>
    <w:rsid w:val="00B9536C"/>
    <w:rsid w:val="00B95828"/>
    <w:rsid w:val="00B95973"/>
    <w:rsid w:val="00B96120"/>
    <w:rsid w:val="00B972BA"/>
    <w:rsid w:val="00BA1120"/>
    <w:rsid w:val="00BA1DC8"/>
    <w:rsid w:val="00BA1FFB"/>
    <w:rsid w:val="00BA2540"/>
    <w:rsid w:val="00BA2B3F"/>
    <w:rsid w:val="00BA410A"/>
    <w:rsid w:val="00BA43FA"/>
    <w:rsid w:val="00BA4748"/>
    <w:rsid w:val="00BA4E45"/>
    <w:rsid w:val="00BA59FB"/>
    <w:rsid w:val="00BA68E9"/>
    <w:rsid w:val="00BA721E"/>
    <w:rsid w:val="00BB037A"/>
    <w:rsid w:val="00BB052E"/>
    <w:rsid w:val="00BB0E93"/>
    <w:rsid w:val="00BB14A3"/>
    <w:rsid w:val="00BB1D5F"/>
    <w:rsid w:val="00BB1EBB"/>
    <w:rsid w:val="00BB207C"/>
    <w:rsid w:val="00BB2BFF"/>
    <w:rsid w:val="00BB33A1"/>
    <w:rsid w:val="00BB3AD1"/>
    <w:rsid w:val="00BB46B6"/>
    <w:rsid w:val="00BB570C"/>
    <w:rsid w:val="00BB61B9"/>
    <w:rsid w:val="00BB6C04"/>
    <w:rsid w:val="00BB6C5E"/>
    <w:rsid w:val="00BB6EF1"/>
    <w:rsid w:val="00BB766B"/>
    <w:rsid w:val="00BB7B8D"/>
    <w:rsid w:val="00BB7EE9"/>
    <w:rsid w:val="00BC102E"/>
    <w:rsid w:val="00BC1260"/>
    <w:rsid w:val="00BC15DE"/>
    <w:rsid w:val="00BC15E5"/>
    <w:rsid w:val="00BC17C8"/>
    <w:rsid w:val="00BC194C"/>
    <w:rsid w:val="00BC1A60"/>
    <w:rsid w:val="00BC21B5"/>
    <w:rsid w:val="00BC369C"/>
    <w:rsid w:val="00BC36A9"/>
    <w:rsid w:val="00BC37AA"/>
    <w:rsid w:val="00BC3E40"/>
    <w:rsid w:val="00BC44A1"/>
    <w:rsid w:val="00BC4972"/>
    <w:rsid w:val="00BC5424"/>
    <w:rsid w:val="00BC6167"/>
    <w:rsid w:val="00BC64AD"/>
    <w:rsid w:val="00BC6897"/>
    <w:rsid w:val="00BC7152"/>
    <w:rsid w:val="00BC7A5C"/>
    <w:rsid w:val="00BC7CCF"/>
    <w:rsid w:val="00BD04D3"/>
    <w:rsid w:val="00BD0560"/>
    <w:rsid w:val="00BD0D6B"/>
    <w:rsid w:val="00BD0EE1"/>
    <w:rsid w:val="00BD1B8D"/>
    <w:rsid w:val="00BD20F2"/>
    <w:rsid w:val="00BD2D35"/>
    <w:rsid w:val="00BD33D4"/>
    <w:rsid w:val="00BD3B10"/>
    <w:rsid w:val="00BD3F74"/>
    <w:rsid w:val="00BD40B1"/>
    <w:rsid w:val="00BD4730"/>
    <w:rsid w:val="00BD6A19"/>
    <w:rsid w:val="00BD6F1F"/>
    <w:rsid w:val="00BD73AA"/>
    <w:rsid w:val="00BD7B83"/>
    <w:rsid w:val="00BD7D3E"/>
    <w:rsid w:val="00BE0C34"/>
    <w:rsid w:val="00BE2172"/>
    <w:rsid w:val="00BE3ED7"/>
    <w:rsid w:val="00BE47BF"/>
    <w:rsid w:val="00BE4A5B"/>
    <w:rsid w:val="00BE4EB0"/>
    <w:rsid w:val="00BE5374"/>
    <w:rsid w:val="00BE571D"/>
    <w:rsid w:val="00BE627A"/>
    <w:rsid w:val="00BE6CE8"/>
    <w:rsid w:val="00BF021D"/>
    <w:rsid w:val="00BF338E"/>
    <w:rsid w:val="00BF345C"/>
    <w:rsid w:val="00BF35BB"/>
    <w:rsid w:val="00BF35E0"/>
    <w:rsid w:val="00BF4848"/>
    <w:rsid w:val="00BF5A7B"/>
    <w:rsid w:val="00BF647C"/>
    <w:rsid w:val="00BF6826"/>
    <w:rsid w:val="00BF6870"/>
    <w:rsid w:val="00BF70F9"/>
    <w:rsid w:val="00BF780B"/>
    <w:rsid w:val="00BF7BA9"/>
    <w:rsid w:val="00BF7C54"/>
    <w:rsid w:val="00BF7DC4"/>
    <w:rsid w:val="00C002C6"/>
    <w:rsid w:val="00C00D55"/>
    <w:rsid w:val="00C00F5A"/>
    <w:rsid w:val="00C01716"/>
    <w:rsid w:val="00C01D5F"/>
    <w:rsid w:val="00C01F3F"/>
    <w:rsid w:val="00C02DE1"/>
    <w:rsid w:val="00C0345A"/>
    <w:rsid w:val="00C0345D"/>
    <w:rsid w:val="00C03511"/>
    <w:rsid w:val="00C0362A"/>
    <w:rsid w:val="00C03C68"/>
    <w:rsid w:val="00C03EB8"/>
    <w:rsid w:val="00C03FDB"/>
    <w:rsid w:val="00C04C3A"/>
    <w:rsid w:val="00C04F8C"/>
    <w:rsid w:val="00C0544E"/>
    <w:rsid w:val="00C05700"/>
    <w:rsid w:val="00C0665D"/>
    <w:rsid w:val="00C06720"/>
    <w:rsid w:val="00C074CD"/>
    <w:rsid w:val="00C107C3"/>
    <w:rsid w:val="00C1097D"/>
    <w:rsid w:val="00C10B05"/>
    <w:rsid w:val="00C11874"/>
    <w:rsid w:val="00C12529"/>
    <w:rsid w:val="00C1259D"/>
    <w:rsid w:val="00C13520"/>
    <w:rsid w:val="00C13EAC"/>
    <w:rsid w:val="00C14F9B"/>
    <w:rsid w:val="00C14FAB"/>
    <w:rsid w:val="00C151F3"/>
    <w:rsid w:val="00C155C0"/>
    <w:rsid w:val="00C15F42"/>
    <w:rsid w:val="00C1610B"/>
    <w:rsid w:val="00C1611D"/>
    <w:rsid w:val="00C165BE"/>
    <w:rsid w:val="00C16C9A"/>
    <w:rsid w:val="00C1711E"/>
    <w:rsid w:val="00C171B9"/>
    <w:rsid w:val="00C175E4"/>
    <w:rsid w:val="00C17721"/>
    <w:rsid w:val="00C2126B"/>
    <w:rsid w:val="00C21FC3"/>
    <w:rsid w:val="00C22B4B"/>
    <w:rsid w:val="00C232E0"/>
    <w:rsid w:val="00C233D6"/>
    <w:rsid w:val="00C23497"/>
    <w:rsid w:val="00C23B50"/>
    <w:rsid w:val="00C23C6A"/>
    <w:rsid w:val="00C24B5E"/>
    <w:rsid w:val="00C2534F"/>
    <w:rsid w:val="00C2588A"/>
    <w:rsid w:val="00C259CB"/>
    <w:rsid w:val="00C25A63"/>
    <w:rsid w:val="00C25DC9"/>
    <w:rsid w:val="00C265E7"/>
    <w:rsid w:val="00C26FC8"/>
    <w:rsid w:val="00C30058"/>
    <w:rsid w:val="00C300C9"/>
    <w:rsid w:val="00C301C1"/>
    <w:rsid w:val="00C301E5"/>
    <w:rsid w:val="00C30FDD"/>
    <w:rsid w:val="00C317A2"/>
    <w:rsid w:val="00C31807"/>
    <w:rsid w:val="00C324E5"/>
    <w:rsid w:val="00C32779"/>
    <w:rsid w:val="00C328F7"/>
    <w:rsid w:val="00C32D13"/>
    <w:rsid w:val="00C33A05"/>
    <w:rsid w:val="00C34240"/>
    <w:rsid w:val="00C343FC"/>
    <w:rsid w:val="00C35473"/>
    <w:rsid w:val="00C35625"/>
    <w:rsid w:val="00C35D44"/>
    <w:rsid w:val="00C3651F"/>
    <w:rsid w:val="00C36633"/>
    <w:rsid w:val="00C36E9D"/>
    <w:rsid w:val="00C36F89"/>
    <w:rsid w:val="00C37965"/>
    <w:rsid w:val="00C37C86"/>
    <w:rsid w:val="00C37CAB"/>
    <w:rsid w:val="00C4051C"/>
    <w:rsid w:val="00C406D5"/>
    <w:rsid w:val="00C409AF"/>
    <w:rsid w:val="00C412B1"/>
    <w:rsid w:val="00C4197A"/>
    <w:rsid w:val="00C42072"/>
    <w:rsid w:val="00C4226F"/>
    <w:rsid w:val="00C43420"/>
    <w:rsid w:val="00C4436C"/>
    <w:rsid w:val="00C44ACD"/>
    <w:rsid w:val="00C461B2"/>
    <w:rsid w:val="00C465EA"/>
    <w:rsid w:val="00C46F3A"/>
    <w:rsid w:val="00C47431"/>
    <w:rsid w:val="00C47C8E"/>
    <w:rsid w:val="00C503F5"/>
    <w:rsid w:val="00C51BF4"/>
    <w:rsid w:val="00C52685"/>
    <w:rsid w:val="00C52FD1"/>
    <w:rsid w:val="00C5359B"/>
    <w:rsid w:val="00C536E0"/>
    <w:rsid w:val="00C53AF7"/>
    <w:rsid w:val="00C547AE"/>
    <w:rsid w:val="00C54F03"/>
    <w:rsid w:val="00C554B5"/>
    <w:rsid w:val="00C56011"/>
    <w:rsid w:val="00C56EF2"/>
    <w:rsid w:val="00C570A6"/>
    <w:rsid w:val="00C57809"/>
    <w:rsid w:val="00C579F3"/>
    <w:rsid w:val="00C57B2D"/>
    <w:rsid w:val="00C57B3A"/>
    <w:rsid w:val="00C600B3"/>
    <w:rsid w:val="00C60DE1"/>
    <w:rsid w:val="00C60E54"/>
    <w:rsid w:val="00C61464"/>
    <w:rsid w:val="00C62101"/>
    <w:rsid w:val="00C621BB"/>
    <w:rsid w:val="00C62541"/>
    <w:rsid w:val="00C62709"/>
    <w:rsid w:val="00C627FF"/>
    <w:rsid w:val="00C64D9A"/>
    <w:rsid w:val="00C654C2"/>
    <w:rsid w:val="00C65AB1"/>
    <w:rsid w:val="00C663CB"/>
    <w:rsid w:val="00C6757E"/>
    <w:rsid w:val="00C675DC"/>
    <w:rsid w:val="00C67E8E"/>
    <w:rsid w:val="00C70214"/>
    <w:rsid w:val="00C702BA"/>
    <w:rsid w:val="00C70E9E"/>
    <w:rsid w:val="00C7114B"/>
    <w:rsid w:val="00C71DFB"/>
    <w:rsid w:val="00C72177"/>
    <w:rsid w:val="00C72376"/>
    <w:rsid w:val="00C73281"/>
    <w:rsid w:val="00C73666"/>
    <w:rsid w:val="00C738A1"/>
    <w:rsid w:val="00C740B3"/>
    <w:rsid w:val="00C7420F"/>
    <w:rsid w:val="00C74B8C"/>
    <w:rsid w:val="00C74C90"/>
    <w:rsid w:val="00C75BA9"/>
    <w:rsid w:val="00C77401"/>
    <w:rsid w:val="00C776C9"/>
    <w:rsid w:val="00C804F6"/>
    <w:rsid w:val="00C805BD"/>
    <w:rsid w:val="00C8083D"/>
    <w:rsid w:val="00C80F68"/>
    <w:rsid w:val="00C81510"/>
    <w:rsid w:val="00C8268F"/>
    <w:rsid w:val="00C82CD7"/>
    <w:rsid w:val="00C82E9D"/>
    <w:rsid w:val="00C83535"/>
    <w:rsid w:val="00C83574"/>
    <w:rsid w:val="00C83727"/>
    <w:rsid w:val="00C83846"/>
    <w:rsid w:val="00C83BBD"/>
    <w:rsid w:val="00C83D84"/>
    <w:rsid w:val="00C851BE"/>
    <w:rsid w:val="00C854A9"/>
    <w:rsid w:val="00C859E4"/>
    <w:rsid w:val="00C85C0F"/>
    <w:rsid w:val="00C86F7A"/>
    <w:rsid w:val="00C87436"/>
    <w:rsid w:val="00C876FB"/>
    <w:rsid w:val="00C87C89"/>
    <w:rsid w:val="00C904F8"/>
    <w:rsid w:val="00C9055E"/>
    <w:rsid w:val="00C91059"/>
    <w:rsid w:val="00C911FC"/>
    <w:rsid w:val="00C91651"/>
    <w:rsid w:val="00C917A4"/>
    <w:rsid w:val="00C922A2"/>
    <w:rsid w:val="00C9261E"/>
    <w:rsid w:val="00C931AD"/>
    <w:rsid w:val="00C93EC7"/>
    <w:rsid w:val="00C94193"/>
    <w:rsid w:val="00C94599"/>
    <w:rsid w:val="00C9577B"/>
    <w:rsid w:val="00C960E7"/>
    <w:rsid w:val="00C962E0"/>
    <w:rsid w:val="00C96336"/>
    <w:rsid w:val="00C97CEE"/>
    <w:rsid w:val="00C97CF5"/>
    <w:rsid w:val="00CA0AB2"/>
    <w:rsid w:val="00CA15D7"/>
    <w:rsid w:val="00CA1AFB"/>
    <w:rsid w:val="00CA1B2E"/>
    <w:rsid w:val="00CA2434"/>
    <w:rsid w:val="00CA26EA"/>
    <w:rsid w:val="00CA2FB2"/>
    <w:rsid w:val="00CA325A"/>
    <w:rsid w:val="00CA366D"/>
    <w:rsid w:val="00CA3D3A"/>
    <w:rsid w:val="00CA42D6"/>
    <w:rsid w:val="00CA4A34"/>
    <w:rsid w:val="00CA528A"/>
    <w:rsid w:val="00CA6A42"/>
    <w:rsid w:val="00CA7003"/>
    <w:rsid w:val="00CB00E9"/>
    <w:rsid w:val="00CB02AD"/>
    <w:rsid w:val="00CB062A"/>
    <w:rsid w:val="00CB0831"/>
    <w:rsid w:val="00CB0AA1"/>
    <w:rsid w:val="00CB126A"/>
    <w:rsid w:val="00CB1438"/>
    <w:rsid w:val="00CB15E9"/>
    <w:rsid w:val="00CB17EE"/>
    <w:rsid w:val="00CB2898"/>
    <w:rsid w:val="00CB297B"/>
    <w:rsid w:val="00CB2BD5"/>
    <w:rsid w:val="00CB2D5B"/>
    <w:rsid w:val="00CB32BA"/>
    <w:rsid w:val="00CB43C3"/>
    <w:rsid w:val="00CB4999"/>
    <w:rsid w:val="00CB50E5"/>
    <w:rsid w:val="00CB5C55"/>
    <w:rsid w:val="00CB5E94"/>
    <w:rsid w:val="00CB606F"/>
    <w:rsid w:val="00CB6499"/>
    <w:rsid w:val="00CB6AE5"/>
    <w:rsid w:val="00CB6D9A"/>
    <w:rsid w:val="00CB6E1B"/>
    <w:rsid w:val="00CB766D"/>
    <w:rsid w:val="00CB775C"/>
    <w:rsid w:val="00CB7BBE"/>
    <w:rsid w:val="00CB7C2A"/>
    <w:rsid w:val="00CC0775"/>
    <w:rsid w:val="00CC0A7F"/>
    <w:rsid w:val="00CC112D"/>
    <w:rsid w:val="00CC114F"/>
    <w:rsid w:val="00CC1306"/>
    <w:rsid w:val="00CC1D1A"/>
    <w:rsid w:val="00CC1D5D"/>
    <w:rsid w:val="00CC2846"/>
    <w:rsid w:val="00CC294C"/>
    <w:rsid w:val="00CC41CA"/>
    <w:rsid w:val="00CC4805"/>
    <w:rsid w:val="00CC5791"/>
    <w:rsid w:val="00CC5956"/>
    <w:rsid w:val="00CC6260"/>
    <w:rsid w:val="00CC63BE"/>
    <w:rsid w:val="00CC6B73"/>
    <w:rsid w:val="00CC6E03"/>
    <w:rsid w:val="00CC6E62"/>
    <w:rsid w:val="00CC7E30"/>
    <w:rsid w:val="00CD0120"/>
    <w:rsid w:val="00CD0596"/>
    <w:rsid w:val="00CD05BB"/>
    <w:rsid w:val="00CD06DD"/>
    <w:rsid w:val="00CD0EAE"/>
    <w:rsid w:val="00CD111E"/>
    <w:rsid w:val="00CD129D"/>
    <w:rsid w:val="00CD1404"/>
    <w:rsid w:val="00CD1E35"/>
    <w:rsid w:val="00CD2D6D"/>
    <w:rsid w:val="00CD2E73"/>
    <w:rsid w:val="00CD345C"/>
    <w:rsid w:val="00CD3B28"/>
    <w:rsid w:val="00CD582E"/>
    <w:rsid w:val="00CD60CB"/>
    <w:rsid w:val="00CE0FC3"/>
    <w:rsid w:val="00CE11F9"/>
    <w:rsid w:val="00CE123F"/>
    <w:rsid w:val="00CE13C6"/>
    <w:rsid w:val="00CE1544"/>
    <w:rsid w:val="00CE19FA"/>
    <w:rsid w:val="00CE1E3D"/>
    <w:rsid w:val="00CE2224"/>
    <w:rsid w:val="00CE28E3"/>
    <w:rsid w:val="00CE2E8B"/>
    <w:rsid w:val="00CE307E"/>
    <w:rsid w:val="00CE44B6"/>
    <w:rsid w:val="00CE4E5C"/>
    <w:rsid w:val="00CE5FCA"/>
    <w:rsid w:val="00CE6397"/>
    <w:rsid w:val="00CE6E6D"/>
    <w:rsid w:val="00CF00EF"/>
    <w:rsid w:val="00CF14F1"/>
    <w:rsid w:val="00CF1A2D"/>
    <w:rsid w:val="00CF1A76"/>
    <w:rsid w:val="00CF2225"/>
    <w:rsid w:val="00CF2913"/>
    <w:rsid w:val="00CF305B"/>
    <w:rsid w:val="00CF38B5"/>
    <w:rsid w:val="00CF3B45"/>
    <w:rsid w:val="00CF3FE5"/>
    <w:rsid w:val="00CF4255"/>
    <w:rsid w:val="00CF439F"/>
    <w:rsid w:val="00CF4454"/>
    <w:rsid w:val="00CF4B6C"/>
    <w:rsid w:val="00CF4D6E"/>
    <w:rsid w:val="00CF5EEC"/>
    <w:rsid w:val="00CF6830"/>
    <w:rsid w:val="00CF6E03"/>
    <w:rsid w:val="00CF7120"/>
    <w:rsid w:val="00CF724C"/>
    <w:rsid w:val="00D001B4"/>
    <w:rsid w:val="00D003B7"/>
    <w:rsid w:val="00D006A0"/>
    <w:rsid w:val="00D00953"/>
    <w:rsid w:val="00D00A01"/>
    <w:rsid w:val="00D00E36"/>
    <w:rsid w:val="00D01A6B"/>
    <w:rsid w:val="00D01C56"/>
    <w:rsid w:val="00D01D4E"/>
    <w:rsid w:val="00D02B1F"/>
    <w:rsid w:val="00D02C31"/>
    <w:rsid w:val="00D02F4F"/>
    <w:rsid w:val="00D0341C"/>
    <w:rsid w:val="00D03ED6"/>
    <w:rsid w:val="00D03F1A"/>
    <w:rsid w:val="00D04532"/>
    <w:rsid w:val="00D04830"/>
    <w:rsid w:val="00D04CB3"/>
    <w:rsid w:val="00D04E3D"/>
    <w:rsid w:val="00D05C98"/>
    <w:rsid w:val="00D05E1F"/>
    <w:rsid w:val="00D06468"/>
    <w:rsid w:val="00D07245"/>
    <w:rsid w:val="00D07246"/>
    <w:rsid w:val="00D077BF"/>
    <w:rsid w:val="00D104DE"/>
    <w:rsid w:val="00D1096A"/>
    <w:rsid w:val="00D10A72"/>
    <w:rsid w:val="00D11566"/>
    <w:rsid w:val="00D11C2F"/>
    <w:rsid w:val="00D11D09"/>
    <w:rsid w:val="00D11D86"/>
    <w:rsid w:val="00D12C25"/>
    <w:rsid w:val="00D14CA5"/>
    <w:rsid w:val="00D14DA0"/>
    <w:rsid w:val="00D14E59"/>
    <w:rsid w:val="00D15E27"/>
    <w:rsid w:val="00D16078"/>
    <w:rsid w:val="00D16F5D"/>
    <w:rsid w:val="00D172EA"/>
    <w:rsid w:val="00D20031"/>
    <w:rsid w:val="00D20B0B"/>
    <w:rsid w:val="00D20C57"/>
    <w:rsid w:val="00D215F3"/>
    <w:rsid w:val="00D23664"/>
    <w:rsid w:val="00D23E2D"/>
    <w:rsid w:val="00D24020"/>
    <w:rsid w:val="00D24114"/>
    <w:rsid w:val="00D241BE"/>
    <w:rsid w:val="00D24F9A"/>
    <w:rsid w:val="00D267C7"/>
    <w:rsid w:val="00D26CD8"/>
    <w:rsid w:val="00D26EEF"/>
    <w:rsid w:val="00D277BF"/>
    <w:rsid w:val="00D30B7E"/>
    <w:rsid w:val="00D31168"/>
    <w:rsid w:val="00D313B3"/>
    <w:rsid w:val="00D3214A"/>
    <w:rsid w:val="00D3292B"/>
    <w:rsid w:val="00D32B51"/>
    <w:rsid w:val="00D3346C"/>
    <w:rsid w:val="00D33F02"/>
    <w:rsid w:val="00D35131"/>
    <w:rsid w:val="00D35677"/>
    <w:rsid w:val="00D358F7"/>
    <w:rsid w:val="00D35D90"/>
    <w:rsid w:val="00D35EA4"/>
    <w:rsid w:val="00D36376"/>
    <w:rsid w:val="00D369CA"/>
    <w:rsid w:val="00D36E1E"/>
    <w:rsid w:val="00D36E67"/>
    <w:rsid w:val="00D36E70"/>
    <w:rsid w:val="00D3701E"/>
    <w:rsid w:val="00D3766A"/>
    <w:rsid w:val="00D37EF5"/>
    <w:rsid w:val="00D40BD8"/>
    <w:rsid w:val="00D40DB2"/>
    <w:rsid w:val="00D41668"/>
    <w:rsid w:val="00D419C9"/>
    <w:rsid w:val="00D428A5"/>
    <w:rsid w:val="00D428B9"/>
    <w:rsid w:val="00D42BB8"/>
    <w:rsid w:val="00D42E21"/>
    <w:rsid w:val="00D43246"/>
    <w:rsid w:val="00D437AA"/>
    <w:rsid w:val="00D43E51"/>
    <w:rsid w:val="00D4482C"/>
    <w:rsid w:val="00D4554B"/>
    <w:rsid w:val="00D45750"/>
    <w:rsid w:val="00D457EA"/>
    <w:rsid w:val="00D45B97"/>
    <w:rsid w:val="00D45C42"/>
    <w:rsid w:val="00D45E6A"/>
    <w:rsid w:val="00D461EA"/>
    <w:rsid w:val="00D4678C"/>
    <w:rsid w:val="00D47B09"/>
    <w:rsid w:val="00D51751"/>
    <w:rsid w:val="00D51B1C"/>
    <w:rsid w:val="00D52333"/>
    <w:rsid w:val="00D5236A"/>
    <w:rsid w:val="00D52B47"/>
    <w:rsid w:val="00D52C4E"/>
    <w:rsid w:val="00D52E54"/>
    <w:rsid w:val="00D52FF5"/>
    <w:rsid w:val="00D53692"/>
    <w:rsid w:val="00D53D17"/>
    <w:rsid w:val="00D5413F"/>
    <w:rsid w:val="00D5483D"/>
    <w:rsid w:val="00D54ED1"/>
    <w:rsid w:val="00D55204"/>
    <w:rsid w:val="00D56DFA"/>
    <w:rsid w:val="00D576D7"/>
    <w:rsid w:val="00D57F79"/>
    <w:rsid w:val="00D60274"/>
    <w:rsid w:val="00D60E22"/>
    <w:rsid w:val="00D61302"/>
    <w:rsid w:val="00D619EF"/>
    <w:rsid w:val="00D61B08"/>
    <w:rsid w:val="00D621B2"/>
    <w:rsid w:val="00D62427"/>
    <w:rsid w:val="00D62634"/>
    <w:rsid w:val="00D6274A"/>
    <w:rsid w:val="00D62770"/>
    <w:rsid w:val="00D62A1C"/>
    <w:rsid w:val="00D62A77"/>
    <w:rsid w:val="00D62C0D"/>
    <w:rsid w:val="00D62F4D"/>
    <w:rsid w:val="00D62FFA"/>
    <w:rsid w:val="00D632C7"/>
    <w:rsid w:val="00D63C95"/>
    <w:rsid w:val="00D64906"/>
    <w:rsid w:val="00D652D9"/>
    <w:rsid w:val="00D65E3F"/>
    <w:rsid w:val="00D6611F"/>
    <w:rsid w:val="00D66320"/>
    <w:rsid w:val="00D67199"/>
    <w:rsid w:val="00D67357"/>
    <w:rsid w:val="00D67526"/>
    <w:rsid w:val="00D6770A"/>
    <w:rsid w:val="00D67853"/>
    <w:rsid w:val="00D706AD"/>
    <w:rsid w:val="00D70DDA"/>
    <w:rsid w:val="00D72020"/>
    <w:rsid w:val="00D72420"/>
    <w:rsid w:val="00D726D4"/>
    <w:rsid w:val="00D733BB"/>
    <w:rsid w:val="00D73AD9"/>
    <w:rsid w:val="00D74595"/>
    <w:rsid w:val="00D74729"/>
    <w:rsid w:val="00D74DCD"/>
    <w:rsid w:val="00D76DD2"/>
    <w:rsid w:val="00D772DB"/>
    <w:rsid w:val="00D775C8"/>
    <w:rsid w:val="00D800A8"/>
    <w:rsid w:val="00D80C29"/>
    <w:rsid w:val="00D80DDA"/>
    <w:rsid w:val="00D81B5B"/>
    <w:rsid w:val="00D82813"/>
    <w:rsid w:val="00D8316D"/>
    <w:rsid w:val="00D83B2B"/>
    <w:rsid w:val="00D83B51"/>
    <w:rsid w:val="00D84097"/>
    <w:rsid w:val="00D849C5"/>
    <w:rsid w:val="00D84ECA"/>
    <w:rsid w:val="00D8525E"/>
    <w:rsid w:val="00D85D42"/>
    <w:rsid w:val="00D869C0"/>
    <w:rsid w:val="00D86D96"/>
    <w:rsid w:val="00D8746C"/>
    <w:rsid w:val="00D87EB7"/>
    <w:rsid w:val="00D90245"/>
    <w:rsid w:val="00D9041B"/>
    <w:rsid w:val="00D905EB"/>
    <w:rsid w:val="00D90DBB"/>
    <w:rsid w:val="00D9141D"/>
    <w:rsid w:val="00D91D46"/>
    <w:rsid w:val="00D92139"/>
    <w:rsid w:val="00D925EA"/>
    <w:rsid w:val="00D92BAE"/>
    <w:rsid w:val="00D92D34"/>
    <w:rsid w:val="00D92F36"/>
    <w:rsid w:val="00D930BC"/>
    <w:rsid w:val="00D946C9"/>
    <w:rsid w:val="00D94CF3"/>
    <w:rsid w:val="00D962C5"/>
    <w:rsid w:val="00D9664A"/>
    <w:rsid w:val="00D967A8"/>
    <w:rsid w:val="00D97839"/>
    <w:rsid w:val="00D97A57"/>
    <w:rsid w:val="00DA0335"/>
    <w:rsid w:val="00DA058E"/>
    <w:rsid w:val="00DA10CE"/>
    <w:rsid w:val="00DA1E1C"/>
    <w:rsid w:val="00DA2589"/>
    <w:rsid w:val="00DA4326"/>
    <w:rsid w:val="00DA456F"/>
    <w:rsid w:val="00DA4A3A"/>
    <w:rsid w:val="00DA512C"/>
    <w:rsid w:val="00DA56C6"/>
    <w:rsid w:val="00DA618D"/>
    <w:rsid w:val="00DA6765"/>
    <w:rsid w:val="00DA67AA"/>
    <w:rsid w:val="00DA6FD0"/>
    <w:rsid w:val="00DA73A0"/>
    <w:rsid w:val="00DB003C"/>
    <w:rsid w:val="00DB1E91"/>
    <w:rsid w:val="00DB26C9"/>
    <w:rsid w:val="00DB310D"/>
    <w:rsid w:val="00DB4410"/>
    <w:rsid w:val="00DB4BEF"/>
    <w:rsid w:val="00DB5117"/>
    <w:rsid w:val="00DB57A9"/>
    <w:rsid w:val="00DB5D5D"/>
    <w:rsid w:val="00DB5F31"/>
    <w:rsid w:val="00DB6031"/>
    <w:rsid w:val="00DB664A"/>
    <w:rsid w:val="00DB68E1"/>
    <w:rsid w:val="00DB7463"/>
    <w:rsid w:val="00DB7D85"/>
    <w:rsid w:val="00DC0DC3"/>
    <w:rsid w:val="00DC14AF"/>
    <w:rsid w:val="00DC1720"/>
    <w:rsid w:val="00DC17DA"/>
    <w:rsid w:val="00DC24ED"/>
    <w:rsid w:val="00DC30CC"/>
    <w:rsid w:val="00DC34CD"/>
    <w:rsid w:val="00DC3633"/>
    <w:rsid w:val="00DC3C62"/>
    <w:rsid w:val="00DC4049"/>
    <w:rsid w:val="00DC4108"/>
    <w:rsid w:val="00DC4DF8"/>
    <w:rsid w:val="00DC4EC7"/>
    <w:rsid w:val="00DC4F64"/>
    <w:rsid w:val="00DC50C5"/>
    <w:rsid w:val="00DC624B"/>
    <w:rsid w:val="00DC63C1"/>
    <w:rsid w:val="00DC63E9"/>
    <w:rsid w:val="00DC64A7"/>
    <w:rsid w:val="00DC78B3"/>
    <w:rsid w:val="00DD0953"/>
    <w:rsid w:val="00DD0C32"/>
    <w:rsid w:val="00DD0C54"/>
    <w:rsid w:val="00DD1A95"/>
    <w:rsid w:val="00DD1DC8"/>
    <w:rsid w:val="00DD2AB2"/>
    <w:rsid w:val="00DD2B1E"/>
    <w:rsid w:val="00DD2C81"/>
    <w:rsid w:val="00DD58D9"/>
    <w:rsid w:val="00DD5C9B"/>
    <w:rsid w:val="00DD73DD"/>
    <w:rsid w:val="00DD7837"/>
    <w:rsid w:val="00DD7906"/>
    <w:rsid w:val="00DE1BFE"/>
    <w:rsid w:val="00DE2496"/>
    <w:rsid w:val="00DE25D1"/>
    <w:rsid w:val="00DE2C42"/>
    <w:rsid w:val="00DE3066"/>
    <w:rsid w:val="00DE354B"/>
    <w:rsid w:val="00DE37A9"/>
    <w:rsid w:val="00DE385D"/>
    <w:rsid w:val="00DE524A"/>
    <w:rsid w:val="00DE5A77"/>
    <w:rsid w:val="00DE6879"/>
    <w:rsid w:val="00DE7099"/>
    <w:rsid w:val="00DE7ABA"/>
    <w:rsid w:val="00DF0FAA"/>
    <w:rsid w:val="00DF1816"/>
    <w:rsid w:val="00DF1B04"/>
    <w:rsid w:val="00DF225D"/>
    <w:rsid w:val="00DF2464"/>
    <w:rsid w:val="00DF3262"/>
    <w:rsid w:val="00DF341B"/>
    <w:rsid w:val="00DF3598"/>
    <w:rsid w:val="00DF39E9"/>
    <w:rsid w:val="00DF431B"/>
    <w:rsid w:val="00DF438A"/>
    <w:rsid w:val="00DF4C0E"/>
    <w:rsid w:val="00DF5140"/>
    <w:rsid w:val="00DF5956"/>
    <w:rsid w:val="00DF611D"/>
    <w:rsid w:val="00DF6A4A"/>
    <w:rsid w:val="00DF7060"/>
    <w:rsid w:val="00DF74BE"/>
    <w:rsid w:val="00DF74D9"/>
    <w:rsid w:val="00E0018F"/>
    <w:rsid w:val="00E00359"/>
    <w:rsid w:val="00E004A0"/>
    <w:rsid w:val="00E0072A"/>
    <w:rsid w:val="00E0074A"/>
    <w:rsid w:val="00E01195"/>
    <w:rsid w:val="00E013C8"/>
    <w:rsid w:val="00E014E6"/>
    <w:rsid w:val="00E021D6"/>
    <w:rsid w:val="00E035D7"/>
    <w:rsid w:val="00E0360B"/>
    <w:rsid w:val="00E03A06"/>
    <w:rsid w:val="00E03A96"/>
    <w:rsid w:val="00E04603"/>
    <w:rsid w:val="00E0497B"/>
    <w:rsid w:val="00E05307"/>
    <w:rsid w:val="00E0588D"/>
    <w:rsid w:val="00E05C5C"/>
    <w:rsid w:val="00E05D56"/>
    <w:rsid w:val="00E079B8"/>
    <w:rsid w:val="00E07AC5"/>
    <w:rsid w:val="00E07AD7"/>
    <w:rsid w:val="00E105A9"/>
    <w:rsid w:val="00E12488"/>
    <w:rsid w:val="00E12BA4"/>
    <w:rsid w:val="00E15056"/>
    <w:rsid w:val="00E150D2"/>
    <w:rsid w:val="00E152C6"/>
    <w:rsid w:val="00E15DB1"/>
    <w:rsid w:val="00E17552"/>
    <w:rsid w:val="00E201C1"/>
    <w:rsid w:val="00E20383"/>
    <w:rsid w:val="00E209C1"/>
    <w:rsid w:val="00E20E63"/>
    <w:rsid w:val="00E212CE"/>
    <w:rsid w:val="00E21AFB"/>
    <w:rsid w:val="00E21B03"/>
    <w:rsid w:val="00E2242E"/>
    <w:rsid w:val="00E22445"/>
    <w:rsid w:val="00E22468"/>
    <w:rsid w:val="00E22607"/>
    <w:rsid w:val="00E238A3"/>
    <w:rsid w:val="00E24242"/>
    <w:rsid w:val="00E24DC6"/>
    <w:rsid w:val="00E25135"/>
    <w:rsid w:val="00E260A3"/>
    <w:rsid w:val="00E26683"/>
    <w:rsid w:val="00E26D15"/>
    <w:rsid w:val="00E278C6"/>
    <w:rsid w:val="00E27C4E"/>
    <w:rsid w:val="00E27DDB"/>
    <w:rsid w:val="00E27E94"/>
    <w:rsid w:val="00E30DCD"/>
    <w:rsid w:val="00E31702"/>
    <w:rsid w:val="00E31B75"/>
    <w:rsid w:val="00E31E6A"/>
    <w:rsid w:val="00E3242E"/>
    <w:rsid w:val="00E32EAF"/>
    <w:rsid w:val="00E33043"/>
    <w:rsid w:val="00E330C9"/>
    <w:rsid w:val="00E3330E"/>
    <w:rsid w:val="00E334D4"/>
    <w:rsid w:val="00E3351F"/>
    <w:rsid w:val="00E33992"/>
    <w:rsid w:val="00E33AAE"/>
    <w:rsid w:val="00E34D29"/>
    <w:rsid w:val="00E353DA"/>
    <w:rsid w:val="00E363C6"/>
    <w:rsid w:val="00E36539"/>
    <w:rsid w:val="00E36744"/>
    <w:rsid w:val="00E374BA"/>
    <w:rsid w:val="00E37CF3"/>
    <w:rsid w:val="00E4022F"/>
    <w:rsid w:val="00E40AF0"/>
    <w:rsid w:val="00E40D0A"/>
    <w:rsid w:val="00E40DAE"/>
    <w:rsid w:val="00E40F62"/>
    <w:rsid w:val="00E41571"/>
    <w:rsid w:val="00E416A9"/>
    <w:rsid w:val="00E41E3D"/>
    <w:rsid w:val="00E42321"/>
    <w:rsid w:val="00E43249"/>
    <w:rsid w:val="00E4325B"/>
    <w:rsid w:val="00E43407"/>
    <w:rsid w:val="00E43605"/>
    <w:rsid w:val="00E436A2"/>
    <w:rsid w:val="00E44CEF"/>
    <w:rsid w:val="00E44D21"/>
    <w:rsid w:val="00E44DBA"/>
    <w:rsid w:val="00E44E71"/>
    <w:rsid w:val="00E45418"/>
    <w:rsid w:val="00E45442"/>
    <w:rsid w:val="00E458D8"/>
    <w:rsid w:val="00E46DD4"/>
    <w:rsid w:val="00E4717C"/>
    <w:rsid w:val="00E47D6B"/>
    <w:rsid w:val="00E47DDC"/>
    <w:rsid w:val="00E47FD4"/>
    <w:rsid w:val="00E51555"/>
    <w:rsid w:val="00E518A7"/>
    <w:rsid w:val="00E51A4F"/>
    <w:rsid w:val="00E529F5"/>
    <w:rsid w:val="00E52BE6"/>
    <w:rsid w:val="00E5356B"/>
    <w:rsid w:val="00E53E00"/>
    <w:rsid w:val="00E53E55"/>
    <w:rsid w:val="00E54221"/>
    <w:rsid w:val="00E55222"/>
    <w:rsid w:val="00E55B3C"/>
    <w:rsid w:val="00E55C81"/>
    <w:rsid w:val="00E5650A"/>
    <w:rsid w:val="00E570F3"/>
    <w:rsid w:val="00E5712E"/>
    <w:rsid w:val="00E57334"/>
    <w:rsid w:val="00E574EC"/>
    <w:rsid w:val="00E57F9C"/>
    <w:rsid w:val="00E60350"/>
    <w:rsid w:val="00E60419"/>
    <w:rsid w:val="00E61342"/>
    <w:rsid w:val="00E615F9"/>
    <w:rsid w:val="00E617CC"/>
    <w:rsid w:val="00E6193C"/>
    <w:rsid w:val="00E61BB2"/>
    <w:rsid w:val="00E62BC2"/>
    <w:rsid w:val="00E62D94"/>
    <w:rsid w:val="00E62FB9"/>
    <w:rsid w:val="00E63DAA"/>
    <w:rsid w:val="00E643BB"/>
    <w:rsid w:val="00E6617E"/>
    <w:rsid w:val="00E66395"/>
    <w:rsid w:val="00E66C0A"/>
    <w:rsid w:val="00E676B2"/>
    <w:rsid w:val="00E701C9"/>
    <w:rsid w:val="00E7221D"/>
    <w:rsid w:val="00E726C4"/>
    <w:rsid w:val="00E72C60"/>
    <w:rsid w:val="00E73182"/>
    <w:rsid w:val="00E73642"/>
    <w:rsid w:val="00E7434B"/>
    <w:rsid w:val="00E754AA"/>
    <w:rsid w:val="00E7615F"/>
    <w:rsid w:val="00E7642A"/>
    <w:rsid w:val="00E76AE0"/>
    <w:rsid w:val="00E76B83"/>
    <w:rsid w:val="00E76FF6"/>
    <w:rsid w:val="00E77353"/>
    <w:rsid w:val="00E774CF"/>
    <w:rsid w:val="00E80253"/>
    <w:rsid w:val="00E80C59"/>
    <w:rsid w:val="00E81A87"/>
    <w:rsid w:val="00E81B98"/>
    <w:rsid w:val="00E81D69"/>
    <w:rsid w:val="00E83571"/>
    <w:rsid w:val="00E83948"/>
    <w:rsid w:val="00E83CF9"/>
    <w:rsid w:val="00E83EA2"/>
    <w:rsid w:val="00E84733"/>
    <w:rsid w:val="00E8537A"/>
    <w:rsid w:val="00E8561D"/>
    <w:rsid w:val="00E85E4B"/>
    <w:rsid w:val="00E86D1F"/>
    <w:rsid w:val="00E87834"/>
    <w:rsid w:val="00E8784E"/>
    <w:rsid w:val="00E90E2B"/>
    <w:rsid w:val="00E911C2"/>
    <w:rsid w:val="00E91856"/>
    <w:rsid w:val="00E92974"/>
    <w:rsid w:val="00E92F00"/>
    <w:rsid w:val="00E92F98"/>
    <w:rsid w:val="00E9331D"/>
    <w:rsid w:val="00E94A7F"/>
    <w:rsid w:val="00E950CD"/>
    <w:rsid w:val="00E95322"/>
    <w:rsid w:val="00E95490"/>
    <w:rsid w:val="00E95CFD"/>
    <w:rsid w:val="00E963CE"/>
    <w:rsid w:val="00E968C1"/>
    <w:rsid w:val="00E97068"/>
    <w:rsid w:val="00E971F6"/>
    <w:rsid w:val="00E9737A"/>
    <w:rsid w:val="00E97827"/>
    <w:rsid w:val="00EA05C9"/>
    <w:rsid w:val="00EA0E54"/>
    <w:rsid w:val="00EA1769"/>
    <w:rsid w:val="00EA2317"/>
    <w:rsid w:val="00EA2E81"/>
    <w:rsid w:val="00EA3280"/>
    <w:rsid w:val="00EA3671"/>
    <w:rsid w:val="00EA3E1B"/>
    <w:rsid w:val="00EA4450"/>
    <w:rsid w:val="00EA44A2"/>
    <w:rsid w:val="00EA452D"/>
    <w:rsid w:val="00EA47B6"/>
    <w:rsid w:val="00EA5486"/>
    <w:rsid w:val="00EA572D"/>
    <w:rsid w:val="00EA68FC"/>
    <w:rsid w:val="00EB0B11"/>
    <w:rsid w:val="00EB0DEA"/>
    <w:rsid w:val="00EB0E29"/>
    <w:rsid w:val="00EB1F63"/>
    <w:rsid w:val="00EB20F2"/>
    <w:rsid w:val="00EB27BC"/>
    <w:rsid w:val="00EB2AD3"/>
    <w:rsid w:val="00EB3F7D"/>
    <w:rsid w:val="00EB3FCE"/>
    <w:rsid w:val="00EB47E1"/>
    <w:rsid w:val="00EB5822"/>
    <w:rsid w:val="00EB6A32"/>
    <w:rsid w:val="00EB72B9"/>
    <w:rsid w:val="00EC059C"/>
    <w:rsid w:val="00EC14C6"/>
    <w:rsid w:val="00EC1BD0"/>
    <w:rsid w:val="00EC245E"/>
    <w:rsid w:val="00EC33A0"/>
    <w:rsid w:val="00EC3F65"/>
    <w:rsid w:val="00EC4607"/>
    <w:rsid w:val="00EC4836"/>
    <w:rsid w:val="00EC4F30"/>
    <w:rsid w:val="00EC5088"/>
    <w:rsid w:val="00EC59BE"/>
    <w:rsid w:val="00EC59CA"/>
    <w:rsid w:val="00EC6AFB"/>
    <w:rsid w:val="00EC6E82"/>
    <w:rsid w:val="00EC7196"/>
    <w:rsid w:val="00EC71E6"/>
    <w:rsid w:val="00ED0CEC"/>
    <w:rsid w:val="00ED17AD"/>
    <w:rsid w:val="00ED2219"/>
    <w:rsid w:val="00ED2433"/>
    <w:rsid w:val="00ED2F3A"/>
    <w:rsid w:val="00ED3055"/>
    <w:rsid w:val="00ED5E38"/>
    <w:rsid w:val="00ED5FE4"/>
    <w:rsid w:val="00ED61F7"/>
    <w:rsid w:val="00ED64F8"/>
    <w:rsid w:val="00ED6B28"/>
    <w:rsid w:val="00ED70FC"/>
    <w:rsid w:val="00ED72FD"/>
    <w:rsid w:val="00ED78F8"/>
    <w:rsid w:val="00ED7929"/>
    <w:rsid w:val="00ED7A7F"/>
    <w:rsid w:val="00ED7CBA"/>
    <w:rsid w:val="00ED7DD5"/>
    <w:rsid w:val="00EE1207"/>
    <w:rsid w:val="00EE1346"/>
    <w:rsid w:val="00EE1539"/>
    <w:rsid w:val="00EE15D4"/>
    <w:rsid w:val="00EE181B"/>
    <w:rsid w:val="00EE2697"/>
    <w:rsid w:val="00EE273F"/>
    <w:rsid w:val="00EE29E5"/>
    <w:rsid w:val="00EE39E5"/>
    <w:rsid w:val="00EE414D"/>
    <w:rsid w:val="00EE41C0"/>
    <w:rsid w:val="00EE4490"/>
    <w:rsid w:val="00EE4615"/>
    <w:rsid w:val="00EE486B"/>
    <w:rsid w:val="00EE4EC6"/>
    <w:rsid w:val="00EE4EEF"/>
    <w:rsid w:val="00EE57CA"/>
    <w:rsid w:val="00EE5D86"/>
    <w:rsid w:val="00EE5DBB"/>
    <w:rsid w:val="00EE5E61"/>
    <w:rsid w:val="00EE60B5"/>
    <w:rsid w:val="00EE6832"/>
    <w:rsid w:val="00EE6F13"/>
    <w:rsid w:val="00EE76DF"/>
    <w:rsid w:val="00EF07EE"/>
    <w:rsid w:val="00EF0B3D"/>
    <w:rsid w:val="00EF0E04"/>
    <w:rsid w:val="00EF1755"/>
    <w:rsid w:val="00EF1809"/>
    <w:rsid w:val="00EF2A05"/>
    <w:rsid w:val="00EF2A20"/>
    <w:rsid w:val="00EF333F"/>
    <w:rsid w:val="00EF353F"/>
    <w:rsid w:val="00EF3D58"/>
    <w:rsid w:val="00EF7063"/>
    <w:rsid w:val="00EF7084"/>
    <w:rsid w:val="00F01949"/>
    <w:rsid w:val="00F019EE"/>
    <w:rsid w:val="00F020C4"/>
    <w:rsid w:val="00F02594"/>
    <w:rsid w:val="00F027BB"/>
    <w:rsid w:val="00F02C27"/>
    <w:rsid w:val="00F038DF"/>
    <w:rsid w:val="00F03B39"/>
    <w:rsid w:val="00F03CA6"/>
    <w:rsid w:val="00F04052"/>
    <w:rsid w:val="00F04499"/>
    <w:rsid w:val="00F04FED"/>
    <w:rsid w:val="00F05CA8"/>
    <w:rsid w:val="00F06673"/>
    <w:rsid w:val="00F0675B"/>
    <w:rsid w:val="00F06961"/>
    <w:rsid w:val="00F10100"/>
    <w:rsid w:val="00F105A2"/>
    <w:rsid w:val="00F1066F"/>
    <w:rsid w:val="00F10BB2"/>
    <w:rsid w:val="00F11B4C"/>
    <w:rsid w:val="00F1415F"/>
    <w:rsid w:val="00F14201"/>
    <w:rsid w:val="00F145B7"/>
    <w:rsid w:val="00F14A4A"/>
    <w:rsid w:val="00F14C29"/>
    <w:rsid w:val="00F14E45"/>
    <w:rsid w:val="00F1508C"/>
    <w:rsid w:val="00F15693"/>
    <w:rsid w:val="00F1578E"/>
    <w:rsid w:val="00F15AE5"/>
    <w:rsid w:val="00F16000"/>
    <w:rsid w:val="00F1634C"/>
    <w:rsid w:val="00F168DF"/>
    <w:rsid w:val="00F16A03"/>
    <w:rsid w:val="00F20414"/>
    <w:rsid w:val="00F20763"/>
    <w:rsid w:val="00F22559"/>
    <w:rsid w:val="00F227C8"/>
    <w:rsid w:val="00F22C10"/>
    <w:rsid w:val="00F2360F"/>
    <w:rsid w:val="00F2390B"/>
    <w:rsid w:val="00F23CB7"/>
    <w:rsid w:val="00F24D61"/>
    <w:rsid w:val="00F24EB7"/>
    <w:rsid w:val="00F257B5"/>
    <w:rsid w:val="00F257C4"/>
    <w:rsid w:val="00F25D69"/>
    <w:rsid w:val="00F2720E"/>
    <w:rsid w:val="00F27650"/>
    <w:rsid w:val="00F2776D"/>
    <w:rsid w:val="00F27EA7"/>
    <w:rsid w:val="00F302AC"/>
    <w:rsid w:val="00F31ABD"/>
    <w:rsid w:val="00F31EAB"/>
    <w:rsid w:val="00F33A6A"/>
    <w:rsid w:val="00F33E69"/>
    <w:rsid w:val="00F346E6"/>
    <w:rsid w:val="00F347BD"/>
    <w:rsid w:val="00F3567C"/>
    <w:rsid w:val="00F3630B"/>
    <w:rsid w:val="00F36E7E"/>
    <w:rsid w:val="00F373C8"/>
    <w:rsid w:val="00F37B08"/>
    <w:rsid w:val="00F404D3"/>
    <w:rsid w:val="00F40864"/>
    <w:rsid w:val="00F41504"/>
    <w:rsid w:val="00F417A7"/>
    <w:rsid w:val="00F41D2A"/>
    <w:rsid w:val="00F41DD3"/>
    <w:rsid w:val="00F42403"/>
    <w:rsid w:val="00F441A1"/>
    <w:rsid w:val="00F44895"/>
    <w:rsid w:val="00F45FD3"/>
    <w:rsid w:val="00F46866"/>
    <w:rsid w:val="00F46D1A"/>
    <w:rsid w:val="00F47235"/>
    <w:rsid w:val="00F50585"/>
    <w:rsid w:val="00F506BA"/>
    <w:rsid w:val="00F5073C"/>
    <w:rsid w:val="00F516E3"/>
    <w:rsid w:val="00F51999"/>
    <w:rsid w:val="00F51C7B"/>
    <w:rsid w:val="00F524B8"/>
    <w:rsid w:val="00F533A2"/>
    <w:rsid w:val="00F533DE"/>
    <w:rsid w:val="00F53F48"/>
    <w:rsid w:val="00F5448F"/>
    <w:rsid w:val="00F54832"/>
    <w:rsid w:val="00F54C3D"/>
    <w:rsid w:val="00F55001"/>
    <w:rsid w:val="00F55005"/>
    <w:rsid w:val="00F55708"/>
    <w:rsid w:val="00F56188"/>
    <w:rsid w:val="00F5639B"/>
    <w:rsid w:val="00F56B05"/>
    <w:rsid w:val="00F56DE2"/>
    <w:rsid w:val="00F576A5"/>
    <w:rsid w:val="00F576BF"/>
    <w:rsid w:val="00F57885"/>
    <w:rsid w:val="00F5791E"/>
    <w:rsid w:val="00F57F3B"/>
    <w:rsid w:val="00F60783"/>
    <w:rsid w:val="00F6224A"/>
    <w:rsid w:val="00F62ADF"/>
    <w:rsid w:val="00F647E9"/>
    <w:rsid w:val="00F6480D"/>
    <w:rsid w:val="00F65489"/>
    <w:rsid w:val="00F66144"/>
    <w:rsid w:val="00F662F5"/>
    <w:rsid w:val="00F6713F"/>
    <w:rsid w:val="00F67C15"/>
    <w:rsid w:val="00F67C36"/>
    <w:rsid w:val="00F67CA1"/>
    <w:rsid w:val="00F719FF"/>
    <w:rsid w:val="00F721D3"/>
    <w:rsid w:val="00F735EC"/>
    <w:rsid w:val="00F74B51"/>
    <w:rsid w:val="00F758A7"/>
    <w:rsid w:val="00F75ACC"/>
    <w:rsid w:val="00F75DC7"/>
    <w:rsid w:val="00F7610B"/>
    <w:rsid w:val="00F77433"/>
    <w:rsid w:val="00F7757B"/>
    <w:rsid w:val="00F7792C"/>
    <w:rsid w:val="00F77D17"/>
    <w:rsid w:val="00F81362"/>
    <w:rsid w:val="00F818B8"/>
    <w:rsid w:val="00F81CAD"/>
    <w:rsid w:val="00F8248F"/>
    <w:rsid w:val="00F82A0A"/>
    <w:rsid w:val="00F8424B"/>
    <w:rsid w:val="00F848B0"/>
    <w:rsid w:val="00F854EE"/>
    <w:rsid w:val="00F85A10"/>
    <w:rsid w:val="00F86301"/>
    <w:rsid w:val="00F87685"/>
    <w:rsid w:val="00F87915"/>
    <w:rsid w:val="00F87A09"/>
    <w:rsid w:val="00F91353"/>
    <w:rsid w:val="00F9167A"/>
    <w:rsid w:val="00F9208C"/>
    <w:rsid w:val="00F92494"/>
    <w:rsid w:val="00F9261E"/>
    <w:rsid w:val="00F94BD5"/>
    <w:rsid w:val="00F94DD6"/>
    <w:rsid w:val="00F9684A"/>
    <w:rsid w:val="00F96A3E"/>
    <w:rsid w:val="00F97814"/>
    <w:rsid w:val="00F97A5E"/>
    <w:rsid w:val="00F97BB3"/>
    <w:rsid w:val="00F97FCD"/>
    <w:rsid w:val="00F97FE5"/>
    <w:rsid w:val="00FA01C7"/>
    <w:rsid w:val="00FA0825"/>
    <w:rsid w:val="00FA08AD"/>
    <w:rsid w:val="00FA122E"/>
    <w:rsid w:val="00FA14C2"/>
    <w:rsid w:val="00FA1F5D"/>
    <w:rsid w:val="00FA23C7"/>
    <w:rsid w:val="00FA28AF"/>
    <w:rsid w:val="00FA2F27"/>
    <w:rsid w:val="00FA3650"/>
    <w:rsid w:val="00FA4150"/>
    <w:rsid w:val="00FA4C8B"/>
    <w:rsid w:val="00FA5766"/>
    <w:rsid w:val="00FA5F37"/>
    <w:rsid w:val="00FA5F53"/>
    <w:rsid w:val="00FA60C3"/>
    <w:rsid w:val="00FA6479"/>
    <w:rsid w:val="00FA665C"/>
    <w:rsid w:val="00FA6B24"/>
    <w:rsid w:val="00FA7499"/>
    <w:rsid w:val="00FA75F4"/>
    <w:rsid w:val="00FA773F"/>
    <w:rsid w:val="00FA7D7D"/>
    <w:rsid w:val="00FB08A2"/>
    <w:rsid w:val="00FB0D4E"/>
    <w:rsid w:val="00FB0E2E"/>
    <w:rsid w:val="00FB2902"/>
    <w:rsid w:val="00FB36F2"/>
    <w:rsid w:val="00FB39A4"/>
    <w:rsid w:val="00FB5769"/>
    <w:rsid w:val="00FB5923"/>
    <w:rsid w:val="00FB596C"/>
    <w:rsid w:val="00FB5C49"/>
    <w:rsid w:val="00FB620D"/>
    <w:rsid w:val="00FB63D7"/>
    <w:rsid w:val="00FB6707"/>
    <w:rsid w:val="00FB6F67"/>
    <w:rsid w:val="00FB7302"/>
    <w:rsid w:val="00FB79C1"/>
    <w:rsid w:val="00FB7BE8"/>
    <w:rsid w:val="00FC0100"/>
    <w:rsid w:val="00FC0AD7"/>
    <w:rsid w:val="00FC0B0C"/>
    <w:rsid w:val="00FC10DE"/>
    <w:rsid w:val="00FC15C2"/>
    <w:rsid w:val="00FC1D50"/>
    <w:rsid w:val="00FC2D5F"/>
    <w:rsid w:val="00FC32E6"/>
    <w:rsid w:val="00FC331C"/>
    <w:rsid w:val="00FC3905"/>
    <w:rsid w:val="00FC46D1"/>
    <w:rsid w:val="00FC4F50"/>
    <w:rsid w:val="00FC54DC"/>
    <w:rsid w:val="00FC5603"/>
    <w:rsid w:val="00FC606B"/>
    <w:rsid w:val="00FC6B4A"/>
    <w:rsid w:val="00FC6F58"/>
    <w:rsid w:val="00FC7345"/>
    <w:rsid w:val="00FD07FD"/>
    <w:rsid w:val="00FD0B28"/>
    <w:rsid w:val="00FD1388"/>
    <w:rsid w:val="00FD1486"/>
    <w:rsid w:val="00FD17BA"/>
    <w:rsid w:val="00FD1B70"/>
    <w:rsid w:val="00FD2C9D"/>
    <w:rsid w:val="00FD2F74"/>
    <w:rsid w:val="00FD3502"/>
    <w:rsid w:val="00FD3B94"/>
    <w:rsid w:val="00FD3CCD"/>
    <w:rsid w:val="00FD40DD"/>
    <w:rsid w:val="00FD43B3"/>
    <w:rsid w:val="00FD4D73"/>
    <w:rsid w:val="00FD6295"/>
    <w:rsid w:val="00FD652D"/>
    <w:rsid w:val="00FD740A"/>
    <w:rsid w:val="00FD7C5C"/>
    <w:rsid w:val="00FE0DA6"/>
    <w:rsid w:val="00FE1118"/>
    <w:rsid w:val="00FE1943"/>
    <w:rsid w:val="00FE2D9B"/>
    <w:rsid w:val="00FE33A1"/>
    <w:rsid w:val="00FE3C26"/>
    <w:rsid w:val="00FE3DE7"/>
    <w:rsid w:val="00FE40E5"/>
    <w:rsid w:val="00FE4739"/>
    <w:rsid w:val="00FE4DB2"/>
    <w:rsid w:val="00FE532D"/>
    <w:rsid w:val="00FE53EB"/>
    <w:rsid w:val="00FE5404"/>
    <w:rsid w:val="00FE681D"/>
    <w:rsid w:val="00FE6989"/>
    <w:rsid w:val="00FE74DF"/>
    <w:rsid w:val="00FF01F3"/>
    <w:rsid w:val="00FF0496"/>
    <w:rsid w:val="00FF0DBD"/>
    <w:rsid w:val="00FF100D"/>
    <w:rsid w:val="00FF1591"/>
    <w:rsid w:val="00FF19D4"/>
    <w:rsid w:val="00FF2100"/>
    <w:rsid w:val="00FF240A"/>
    <w:rsid w:val="00FF2B84"/>
    <w:rsid w:val="00FF3A07"/>
    <w:rsid w:val="00FF3FEA"/>
    <w:rsid w:val="00FF4C68"/>
    <w:rsid w:val="00FF5A2C"/>
    <w:rsid w:val="00FF6360"/>
    <w:rsid w:val="00FF68EC"/>
    <w:rsid w:val="00FF6905"/>
    <w:rsid w:val="00FF6978"/>
    <w:rsid w:val="00FF6BB8"/>
    <w:rsid w:val="00FF765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7D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B62D2C"/>
    <w:pPr>
      <w:keepNext/>
      <w:keepLines/>
      <w:tabs>
        <w:tab w:val="left" w:pos="851"/>
      </w:tabs>
      <w:spacing w:before="240" w:after="120" w:line="312" w:lineRule="auto"/>
      <w:outlineLvl w:val="2"/>
    </w:pPr>
    <w:rPr>
      <w:rFonts w:ascii="Franklin Gothic Medium" w:eastAsiaTheme="majorEastAsia" w:hAnsi="Franklin Gothic Medium" w:cstheme="majorBidi"/>
      <w:sz w:val="22"/>
      <w:szCs w:val="22"/>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FC606B"/>
    <w:pPr>
      <w:keepNext/>
      <w:keepLines/>
      <w:spacing w:before="40" w:line="259" w:lineRule="auto"/>
      <w:outlineLvl w:val="4"/>
    </w:pPr>
    <w:rPr>
      <w:rFonts w:asciiTheme="majorHAnsi" w:eastAsiaTheme="majorEastAsia" w:hAnsiTheme="majorHAnsi" w:cstheme="majorBidi"/>
      <w:color w:val="2E74B5"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pPr>
    <w:rPr>
      <w:rFonts w:ascii="Arial Narrow" w:hAnsi="Arial Narrow"/>
      <w:sz w:val="20"/>
    </w:rPr>
  </w:style>
  <w:style w:type="paragraph" w:customStyle="1" w:styleId="TableHeading">
    <w:name w:val="TableHeading"/>
    <w:basedOn w:val="Normal"/>
    <w:link w:val="TableHeadingChar"/>
    <w:qFormat/>
    <w:rsid w:val="00B151CF"/>
    <w:pPr>
      <w:keepNext/>
      <w:spacing w:after="60"/>
    </w:pPr>
    <w:rPr>
      <w:rFonts w:ascii="Arial Narrow" w:hAnsi="Arial Narrow"/>
      <w:b/>
      <w:sz w:val="20"/>
    </w:rPr>
  </w:style>
  <w:style w:type="paragraph" w:styleId="CommentText">
    <w:name w:val="annotation text"/>
    <w:basedOn w:val="Normal"/>
    <w:link w:val="CommentTextChar"/>
    <w:uiPriority w:val="99"/>
    <w:unhideWhenUsed/>
    <w:rsid w:val="003E7773"/>
    <w:pPr>
      <w:spacing w:after="240"/>
    </w:pPr>
    <w:rPr>
      <w:rFonts w:ascii="Calibri" w:hAnsi="Calibri"/>
      <w:color w:val="000000"/>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 w:val="24"/>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eastAsia="Times New Roman" w:hAnsi="Arial Narrow" w:cs="Times New Roman"/>
      <w:sz w:val="20"/>
      <w:szCs w:val="24"/>
      <w:lang w:eastAsia="en-GB"/>
    </w:rPr>
  </w:style>
  <w:style w:type="character" w:customStyle="1" w:styleId="TableHeadingChar">
    <w:name w:val="TableHeading Char"/>
    <w:link w:val="TableHeading"/>
    <w:rsid w:val="00B151CF"/>
    <w:rPr>
      <w:rFonts w:ascii="Arial Narrow" w:eastAsia="Times New Roman" w:hAnsi="Arial Narrow" w:cs="Times New Roman"/>
      <w:b/>
      <w:sz w:val="20"/>
      <w:szCs w:val="24"/>
      <w:lang w:eastAsia="en-GB"/>
    </w:rPr>
  </w:style>
  <w:style w:type="paragraph" w:styleId="BalloonText">
    <w:name w:val="Balloon Text"/>
    <w:basedOn w:val="Normal"/>
    <w:link w:val="BalloonTextChar"/>
    <w:uiPriority w:val="99"/>
    <w:semiHidden/>
    <w:unhideWhenUsed/>
    <w:rsid w:val="003E77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lang w:eastAsia="en-GB"/>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lang w:eastAsia="en-GB"/>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lang w:eastAsia="en-GB"/>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H1"/>
    <w:basedOn w:val="Normal"/>
    <w:next w:val="Normal"/>
    <w:link w:val="CaptionChar"/>
    <w:uiPriority w:val="35"/>
    <w:qFormat/>
    <w:rsid w:val="009A06F4"/>
    <w:pPr>
      <w:keepNext/>
      <w:spacing w:before="360" w:after="120"/>
    </w:pPr>
    <w:rPr>
      <w:rFonts w:ascii="Arial Narrow" w:hAnsi="Arial Narrow"/>
      <w:b/>
      <w:bCs/>
      <w:sz w:val="20"/>
      <w:szCs w:val="20"/>
    </w:rPr>
  </w:style>
  <w:style w:type="table" w:customStyle="1" w:styleId="TableGrid1">
    <w:name w:val="Table Grid1"/>
    <w:basedOn w:val="TableNormal"/>
    <w:next w:val="TableGrid"/>
    <w:uiPriority w:val="59"/>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Semibold" w:hAnsi="Yu Gothic UI Semibold"/>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H1 Char"/>
    <w:basedOn w:val="DefaultParagraphFont"/>
    <w:link w:val="Caption"/>
    <w:uiPriority w:val="35"/>
    <w:rsid w:val="009A06F4"/>
    <w:rPr>
      <w:rFonts w:ascii="Arial Narrow" w:eastAsia="Times New Roman" w:hAnsi="Arial Narrow" w:cs="Times New Roman"/>
      <w:b/>
      <w:bCs/>
      <w:sz w:val="20"/>
      <w:szCs w:val="20"/>
      <w:lang w:eastAsia="en-GB"/>
    </w:rPr>
  </w:style>
  <w:style w:type="table" w:styleId="TableGrid">
    <w:name w:val="Table Grid"/>
    <w:aliases w:val="Summary box,Table Gridbeth,RTI AMCP Table,new style,ASD Table,CMA Table Template,HTAtableplain"/>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contextualSpacing/>
    </w:pPr>
    <w:rPr>
      <w:sz w:val="18"/>
    </w:rPr>
  </w:style>
  <w:style w:type="paragraph" w:styleId="ListParagraph">
    <w:name w:val="List Paragraph"/>
    <w:aliases w:val="Styl moj,Akapit z listą1,Akapit z listą11,Bullet 1,BulletPoints,List Paragraph1,Numbered para,Bullet point,List Paragraph11,Recommendation,BULLET,_CC_Bullet,Bullet1,Bullet List,Section 5,Bullets Points,BulletList 1,Bulletlist1,BulletList1"/>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aTableHeading"/>
    <w:qFormat/>
    <w:rsid w:val="00FD17BA"/>
    <w:pPr>
      <w:jc w:val="center"/>
    </w:pPr>
  </w:style>
  <w:style w:type="paragraph" w:customStyle="1" w:styleId="aTableHeading">
    <w:name w:val="aTable Heading"/>
    <w:basedOn w:val="Caption"/>
    <w:qFormat/>
    <w:rsid w:val="00110C43"/>
    <w:pPr>
      <w:ind w:left="851" w:hanging="851"/>
    </w:p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Instructionaltext"/>
    <w:qFormat/>
    <w:rsid w:val="00110C43"/>
    <w:rPr>
      <w:rFonts w:ascii="Franklin Gothic Book" w:hAnsi="Franklin Gothic Book"/>
      <w:sz w:val="22"/>
      <w:szCs w:val="22"/>
    </w:r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pPr>
    <w:rPr>
      <w:rFonts w:asciiTheme="minorHAnsi" w:hAnsiTheme="minorHAnsi"/>
    </w:rPr>
  </w:style>
  <w:style w:type="paragraph" w:styleId="TOC3">
    <w:name w:val="toc 3"/>
    <w:basedOn w:val="Normal"/>
    <w:next w:val="Normal"/>
    <w:autoRedefine/>
    <w:uiPriority w:val="39"/>
    <w:unhideWhenUsed/>
    <w:rsid w:val="0088445B"/>
    <w:pPr>
      <w:spacing w:after="100"/>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hAnsi="Arial" w:cs="Tahoma"/>
      <w:b/>
      <w:i/>
      <w:sz w:val="44"/>
      <w:lang w:eastAsia="en-AU"/>
    </w:rPr>
  </w:style>
  <w:style w:type="paragraph" w:customStyle="1" w:styleId="Sub-title">
    <w:name w:val="Sub-title"/>
    <w:basedOn w:val="Normal"/>
    <w:locked/>
    <w:rsid w:val="00401DBF"/>
    <w:pPr>
      <w:spacing w:before="1701"/>
      <w:ind w:left="4536"/>
    </w:pPr>
    <w:rPr>
      <w:rFonts w:ascii="Arial" w:hAnsi="Arial" w:cs="Tahoma"/>
      <w:b/>
      <w:sz w:val="32"/>
      <w:lang w:eastAsia="en-AU"/>
    </w:rPr>
  </w:style>
  <w:style w:type="paragraph" w:customStyle="1" w:styleId="Nnumberedlist">
    <w:name w:val="Nnumbered list"/>
    <w:basedOn w:val="Normal"/>
    <w:rsid w:val="00AF3D39"/>
    <w:pPr>
      <w:numPr>
        <w:numId w:val="2"/>
      </w:numPr>
      <w:jc w:val="both"/>
    </w:pPr>
    <w:rPr>
      <w:rFonts w:ascii="Calibri"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pPr>
    <w:rPr>
      <w:rFonts w:ascii="Arial Narrow"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szCs w:val="24"/>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pPr>
  </w:style>
  <w:style w:type="character" w:customStyle="1" w:styleId="HeaderChar">
    <w:name w:val="Header Char"/>
    <w:basedOn w:val="DefaultParagraphFont"/>
    <w:link w:val="Header"/>
    <w:uiPriority w:val="99"/>
    <w:rsid w:val="00B62DF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62DF2"/>
    <w:pPr>
      <w:tabs>
        <w:tab w:val="center" w:pos="4513"/>
        <w:tab w:val="right" w:pos="9026"/>
      </w:tabs>
    </w:pPr>
  </w:style>
  <w:style w:type="character" w:customStyle="1" w:styleId="FooterChar">
    <w:name w:val="Footer Char"/>
    <w:basedOn w:val="DefaultParagraphFont"/>
    <w:link w:val="Footer"/>
    <w:uiPriority w:val="99"/>
    <w:rsid w:val="00B62DF2"/>
    <w:rPr>
      <w:rFonts w:ascii="Times New Roman" w:eastAsia="Times New Roman" w:hAnsi="Times New Roman" w:cs="Times New Roman"/>
      <w:sz w:val="24"/>
      <w:szCs w:val="24"/>
      <w:lang w:eastAsia="en-GB"/>
    </w:rPr>
  </w:style>
  <w:style w:type="paragraph" w:customStyle="1" w:styleId="Tablenotes">
    <w:name w:val="Tablenotes"/>
    <w:basedOn w:val="Normal"/>
    <w:link w:val="TablenotesChar"/>
    <w:qFormat/>
    <w:rsid w:val="00242F4E"/>
    <w:pPr>
      <w:widowControl w:val="0"/>
      <w:spacing w:after="120"/>
      <w:contextualSpacing/>
    </w:pPr>
    <w:rPr>
      <w:rFonts w:ascii="Arial Narrow"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lang w:eastAsia="en-GB"/>
    </w:rPr>
  </w:style>
  <w:style w:type="character" w:customStyle="1" w:styleId="ListParagraphChar">
    <w:name w:val="List Paragraph Char"/>
    <w:aliases w:val="Styl moj Char,Akapit z listą1 Char,Akapit z listą11 Char,Bullet 1 Char,BulletPoints Char,List Paragraph1 Char,Numbered para Char,Bullet point Char,List Paragraph11 Char,Recommendation Char,BULLET Char,_CC_Bullet Char,Bullet1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jc w:val="both"/>
    </w:pPr>
    <w:rPr>
      <w:rFonts w:ascii="Arial Narrow"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110C43"/>
    <w:pPr>
      <w:keepNext/>
      <w:spacing w:before="240" w:after="120" w:line="240" w:lineRule="auto"/>
      <w:ind w:left="720" w:hanging="720"/>
      <w:outlineLvl w:val="0"/>
    </w:pPr>
    <w:rPr>
      <w:rFonts w:ascii="Franklin Gothic Book" w:eastAsia="Times New Roman" w:hAnsi="Franklin Gothic Book"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contextualSpacing w:val="0"/>
      <w:jc w:val="both"/>
    </w:pPr>
    <w:rPr>
      <w:rFonts w:asciiTheme="minorHAnsi" w:hAnsiTheme="minorHAnsi" w:cs="Arial"/>
      <w:snapToGrid w:val="0"/>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eastAsia="Times New Roman" w:hAnsi="Calibri" w:cs="Calibri"/>
      <w:color w:val="0070C0"/>
      <w:sz w:val="24"/>
      <w:szCs w:val="24"/>
      <w:lang w:eastAsia="en-GB"/>
    </w:rPr>
  </w:style>
  <w:style w:type="paragraph" w:customStyle="1" w:styleId="InstructionBulletpoint">
    <w:name w:val="Instruction Bullet point"/>
    <w:basedOn w:val="Normal"/>
    <w:link w:val="InstructionBulletpointChar"/>
    <w:uiPriority w:val="3"/>
    <w:qFormat/>
    <w:rsid w:val="00107DCD"/>
    <w:pPr>
      <w:numPr>
        <w:numId w:val="6"/>
      </w:numPr>
      <w:spacing w:after="120"/>
      <w:ind w:left="714" w:hanging="357"/>
    </w:pPr>
    <w:rPr>
      <w:rFonts w:ascii="Calibri" w:hAnsi="Calibri" w:cs="Calibri"/>
      <w:color w:val="0070C0"/>
    </w:rPr>
  </w:style>
  <w:style w:type="character" w:customStyle="1" w:styleId="TableFooterChar">
    <w:name w:val="Table Footer Char"/>
    <w:link w:val="TableFooter"/>
    <w:locked/>
    <w:rsid w:val="007B0880"/>
    <w:rPr>
      <w:rFonts w:ascii="Arial Narrow" w:eastAsia="Times New Roman" w:hAnsi="Arial Narrow" w:cs="Arial"/>
      <w:sz w:val="18"/>
      <w:szCs w:val="20"/>
      <w:lang w:eastAsia="en-GB"/>
    </w:rPr>
  </w:style>
  <w:style w:type="paragraph" w:customStyle="1" w:styleId="TableFooter">
    <w:name w:val="Table Footer"/>
    <w:basedOn w:val="Normal"/>
    <w:link w:val="TableFooterChar"/>
    <w:qFormat/>
    <w:rsid w:val="007B0880"/>
    <w:pPr>
      <w:widowControl w:val="0"/>
      <w:snapToGrid w:val="0"/>
      <w:spacing w:after="240"/>
      <w:contextualSpacing/>
      <w:jc w:val="both"/>
    </w:pPr>
    <w:rPr>
      <w:rFonts w:ascii="Arial Narrow"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SimSun-ExtB" w:hAnsi="@SimSun-ExtB"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SimSun-ExtB" w:hAnsi="@SimSun-ExtB"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SimSun-ExtB" w:hAnsi="@SimSun-ExtB"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rFonts w:eastAsia="Times New Roman" w:cs="Times New Roman"/>
      <w:sz w:val="18"/>
      <w:szCs w:val="20"/>
      <w:lang w:eastAsia="en-GB"/>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hAnsi="Calibri" w:cs="Tahoma"/>
      <w:lang w:eastAsia="en-AU"/>
    </w:rPr>
  </w:style>
  <w:style w:type="paragraph" w:styleId="Title">
    <w:name w:val="Title"/>
    <w:basedOn w:val="Normal"/>
    <w:next w:val="Normal"/>
    <w:link w:val="TitleChar"/>
    <w:qFormat/>
    <w:rsid w:val="00772829"/>
    <w:pPr>
      <w:spacing w:before="480" w:after="240"/>
      <w:jc w:val="center"/>
    </w:pPr>
    <w:rPr>
      <w:rFonts w:ascii="Arial"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jc w:val="center"/>
    </w:pPr>
    <w:rPr>
      <w:rFonts w:ascii="Arial"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972C5C"/>
    <w:pPr>
      <w:spacing w:before="240" w:after="240"/>
    </w:pPr>
    <w:rPr>
      <w:rFonts w:ascii="Franklin Gothic Book" w:hAnsi="Franklin Gothic Book"/>
      <w:b/>
      <w:color w:val="0070C0"/>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customStyle="1" w:styleId="Comments">
    <w:name w:val="Comments"/>
    <w:basedOn w:val="a-TEXT"/>
    <w:qFormat/>
    <w:rsid w:val="00CD0EAE"/>
    <w:rPr>
      <w:i/>
      <w:iCs w:val="0"/>
      <w:color w:val="2B59BE"/>
    </w:rPr>
  </w:style>
  <w:style w:type="paragraph" w:customStyle="1" w:styleId="Table">
    <w:name w:val="Table"/>
    <w:basedOn w:val="Normal"/>
    <w:link w:val="TableChar"/>
    <w:qFormat/>
    <w:rsid w:val="00B17AC0"/>
    <w:pPr>
      <w:spacing w:after="40"/>
    </w:pPr>
    <w:rPr>
      <w:rFonts w:ascii="Arial Narrow" w:hAnsi="Arial Narrow"/>
      <w:sz w:val="18"/>
      <w:szCs w:val="20"/>
    </w:rPr>
  </w:style>
  <w:style w:type="character" w:customStyle="1" w:styleId="TableChar">
    <w:name w:val="Table Char"/>
    <w:basedOn w:val="DefaultParagraphFont"/>
    <w:link w:val="Table"/>
    <w:rsid w:val="00B17AC0"/>
    <w:rPr>
      <w:rFonts w:ascii="Arial Narrow" w:eastAsia="Times New Roman" w:hAnsi="Arial Narrow" w:cs="Times New Roman"/>
      <w:sz w:val="18"/>
      <w:szCs w:val="20"/>
      <w:lang w:eastAsia="en-GB"/>
    </w:rPr>
  </w:style>
  <w:style w:type="character" w:styleId="EndnoteReference">
    <w:name w:val="endnote reference"/>
    <w:basedOn w:val="DefaultParagraphFont"/>
    <w:uiPriority w:val="99"/>
    <w:unhideWhenUsed/>
    <w:rsid w:val="00CE5FCA"/>
    <w:rPr>
      <w:vertAlign w:val="superscript"/>
    </w:rPr>
  </w:style>
  <w:style w:type="table" w:customStyle="1" w:styleId="ASDTable1">
    <w:name w:val="ASD Table1"/>
    <w:basedOn w:val="TableNormal"/>
    <w:next w:val="TableGrid"/>
    <w:uiPriority w:val="59"/>
    <w:rsid w:val="00443C4A"/>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BulletLast">
    <w:name w:val="Bullet Last"/>
    <w:basedOn w:val="Bullet"/>
    <w:qFormat/>
    <w:rsid w:val="00D74729"/>
    <w:pPr>
      <w:numPr>
        <w:numId w:val="10"/>
      </w:numPr>
      <w:spacing w:after="240" w:line="259" w:lineRule="auto"/>
      <w:ind w:left="357" w:hanging="357"/>
    </w:pPr>
    <w:rPr>
      <w:rFonts w:ascii="Proxima Nova" w:hAnsi="Proxima Nova"/>
      <w:sz w:val="20"/>
      <w:szCs w:val="20"/>
    </w:rPr>
  </w:style>
  <w:style w:type="paragraph" w:customStyle="1" w:styleId="a-TEXT">
    <w:name w:val="a-TEXT"/>
    <w:basedOn w:val="Normal"/>
    <w:link w:val="a-TEXTChar"/>
    <w:qFormat/>
    <w:rsid w:val="00B94F5D"/>
    <w:pPr>
      <w:spacing w:before="120" w:after="120" w:line="259" w:lineRule="auto"/>
    </w:pPr>
    <w:rPr>
      <w:rFonts w:ascii="Franklin Gothic Book" w:eastAsiaTheme="minorHAnsi" w:hAnsi="Franklin Gothic Book" w:cstheme="minorBidi"/>
      <w:iCs/>
      <w:sz w:val="22"/>
      <w:szCs w:val="22"/>
      <w:lang w:eastAsia="en-US"/>
    </w:rPr>
  </w:style>
  <w:style w:type="paragraph" w:customStyle="1" w:styleId="A-dot">
    <w:name w:val="A-dot"/>
    <w:basedOn w:val="a-TEXT"/>
    <w:link w:val="A-dotChar"/>
    <w:qFormat/>
    <w:rsid w:val="00EA572D"/>
    <w:pPr>
      <w:numPr>
        <w:numId w:val="11"/>
      </w:numPr>
      <w:spacing w:before="0" w:after="0"/>
    </w:pPr>
  </w:style>
  <w:style w:type="paragraph" w:customStyle="1" w:styleId="a-subHeading">
    <w:name w:val="a-subHeading"/>
    <w:basedOn w:val="Heading3"/>
    <w:qFormat/>
    <w:rsid w:val="00B62D2C"/>
  </w:style>
  <w:style w:type="paragraph" w:customStyle="1" w:styleId="a-TableFOOTER">
    <w:name w:val="a-TableFOOTER"/>
    <w:basedOn w:val="TableFigureFooter"/>
    <w:qFormat/>
    <w:rsid w:val="00EF2A20"/>
    <w:rPr>
      <w:rFonts w:eastAsia="Calibri"/>
      <w:szCs w:val="20"/>
    </w:rPr>
  </w:style>
  <w:style w:type="paragraph" w:customStyle="1" w:styleId="a-COMMENT">
    <w:name w:val="a-COMMENT"/>
    <w:basedOn w:val="a-TEXT"/>
    <w:qFormat/>
    <w:rsid w:val="00770AEB"/>
    <w:rPr>
      <w:i/>
      <w:iCs w:val="0"/>
      <w:color w:val="000000" w:themeColor="text1"/>
    </w:rPr>
  </w:style>
  <w:style w:type="character" w:customStyle="1" w:styleId="Heading5Char">
    <w:name w:val="Heading 5 Char"/>
    <w:basedOn w:val="DefaultParagraphFont"/>
    <w:link w:val="Heading5"/>
    <w:uiPriority w:val="9"/>
    <w:rsid w:val="00FC606B"/>
    <w:rPr>
      <w:rFonts w:asciiTheme="majorHAnsi" w:eastAsiaTheme="majorEastAsia" w:hAnsiTheme="majorHAnsi" w:cstheme="majorBidi"/>
      <w:color w:val="2E74B5" w:themeColor="accent1" w:themeShade="BF"/>
    </w:rPr>
  </w:style>
  <w:style w:type="paragraph" w:customStyle="1" w:styleId="TableLeft">
    <w:name w:val="Table Left"/>
    <w:basedOn w:val="Normal"/>
    <w:link w:val="TableLeftChar"/>
    <w:uiPriority w:val="5"/>
    <w:qFormat/>
    <w:rsid w:val="00F02594"/>
    <w:rPr>
      <w:rFonts w:ascii="Arial Narrow" w:eastAsiaTheme="majorEastAsia" w:hAnsi="Arial Narrow" w:cstheme="majorBidi"/>
      <w:sz w:val="20"/>
      <w:szCs w:val="22"/>
      <w:lang w:eastAsia="en-US" w:bidi="en-US"/>
    </w:rPr>
  </w:style>
  <w:style w:type="character" w:customStyle="1" w:styleId="TableLeftChar">
    <w:name w:val="Table Left Char"/>
    <w:basedOn w:val="DefaultParagraphFont"/>
    <w:link w:val="TableLeft"/>
    <w:uiPriority w:val="5"/>
    <w:locked/>
    <w:rsid w:val="00F02594"/>
    <w:rPr>
      <w:rFonts w:ascii="Arial Narrow" w:eastAsiaTheme="majorEastAsia" w:hAnsi="Arial Narrow" w:cstheme="majorBidi"/>
      <w:sz w:val="20"/>
      <w:lang w:bidi="en-US"/>
    </w:rPr>
  </w:style>
  <w:style w:type="table" w:customStyle="1" w:styleId="ASDTable2">
    <w:name w:val="ASD Table2"/>
    <w:basedOn w:val="TableNormal"/>
    <w:next w:val="TableGrid"/>
    <w:uiPriority w:val="59"/>
    <w:rsid w:val="000C1D35"/>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customStyle="1" w:styleId="EndNoteBibliographyTitle">
    <w:name w:val="EndNote Bibliography Title"/>
    <w:basedOn w:val="Normal"/>
    <w:link w:val="EndNoteBibliographyTitleChar"/>
    <w:rsid w:val="00587922"/>
    <w:pPr>
      <w:jc w:val="center"/>
    </w:pPr>
    <w:rPr>
      <w:lang w:val="en-GB"/>
    </w:rPr>
  </w:style>
  <w:style w:type="character" w:customStyle="1" w:styleId="a-TEXTChar">
    <w:name w:val="a-TEXT Char"/>
    <w:basedOn w:val="DefaultParagraphFont"/>
    <w:link w:val="a-TEXT"/>
    <w:rsid w:val="00587922"/>
    <w:rPr>
      <w:rFonts w:ascii="Franklin Gothic Book" w:hAnsi="Franklin Gothic Book"/>
      <w:iCs/>
    </w:rPr>
  </w:style>
  <w:style w:type="character" w:customStyle="1" w:styleId="A-dotChar">
    <w:name w:val="A-dot Char"/>
    <w:basedOn w:val="a-TEXTChar"/>
    <w:link w:val="A-dot"/>
    <w:rsid w:val="00587922"/>
    <w:rPr>
      <w:rFonts w:ascii="Franklin Gothic Book" w:hAnsi="Franklin Gothic Book"/>
      <w:iCs/>
    </w:rPr>
  </w:style>
  <w:style w:type="character" w:customStyle="1" w:styleId="EndNoteBibliographyTitleChar">
    <w:name w:val="EndNote Bibliography Title Char"/>
    <w:basedOn w:val="A-dotChar"/>
    <w:link w:val="EndNoteBibliographyTitle"/>
    <w:rsid w:val="00587922"/>
    <w:rPr>
      <w:rFonts w:ascii="Times New Roman" w:eastAsia="Times New Roman" w:hAnsi="Times New Roman" w:cs="Times New Roman"/>
      <w:iCs w:val="0"/>
      <w:sz w:val="24"/>
      <w:szCs w:val="24"/>
      <w:lang w:val="en-GB" w:eastAsia="en-GB"/>
    </w:rPr>
  </w:style>
  <w:style w:type="paragraph" w:customStyle="1" w:styleId="EndNoteBibliography">
    <w:name w:val="EndNote Bibliography"/>
    <w:basedOn w:val="Normal"/>
    <w:link w:val="EndNoteBibliographyChar"/>
    <w:rsid w:val="00587922"/>
    <w:rPr>
      <w:lang w:val="en-GB"/>
    </w:rPr>
  </w:style>
  <w:style w:type="character" w:customStyle="1" w:styleId="EndNoteBibliographyChar">
    <w:name w:val="EndNote Bibliography Char"/>
    <w:basedOn w:val="A-dotChar"/>
    <w:link w:val="EndNoteBibliography"/>
    <w:rsid w:val="00587922"/>
    <w:rPr>
      <w:rFonts w:ascii="Times New Roman" w:eastAsia="Times New Roman" w:hAnsi="Times New Roman" w:cs="Times New Roman"/>
      <w:iCs w:val="0"/>
      <w:sz w:val="24"/>
      <w:szCs w:val="24"/>
      <w:lang w:val="en-GB" w:eastAsia="en-GB"/>
    </w:rPr>
  </w:style>
  <w:style w:type="character" w:customStyle="1" w:styleId="UnresolvedMention3">
    <w:name w:val="Unresolved Mention3"/>
    <w:basedOn w:val="DefaultParagraphFont"/>
    <w:uiPriority w:val="99"/>
    <w:unhideWhenUsed/>
    <w:rsid w:val="00587922"/>
    <w:rPr>
      <w:color w:val="605E5C"/>
      <w:shd w:val="clear" w:color="auto" w:fill="E1DFDD"/>
    </w:rPr>
  </w:style>
  <w:style w:type="character" w:customStyle="1" w:styleId="Mention1">
    <w:name w:val="Mention1"/>
    <w:basedOn w:val="DefaultParagraphFont"/>
    <w:uiPriority w:val="99"/>
    <w:unhideWhenUsed/>
    <w:rsid w:val="000B14BF"/>
    <w:rPr>
      <w:color w:val="2B579A"/>
      <w:shd w:val="clear" w:color="auto" w:fill="E1DFDD"/>
    </w:rPr>
  </w:style>
  <w:style w:type="table" w:customStyle="1" w:styleId="newstyle1">
    <w:name w:val="new style1"/>
    <w:basedOn w:val="TableNormal"/>
    <w:next w:val="TableGrid"/>
    <w:uiPriority w:val="59"/>
    <w:rsid w:val="002A0516"/>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Footnotesregular">
    <w:name w:val="Footnotes regular"/>
    <w:basedOn w:val="Footer"/>
    <w:qFormat/>
    <w:rsid w:val="002C72D1"/>
    <w:pPr>
      <w:tabs>
        <w:tab w:val="clear" w:pos="4513"/>
        <w:tab w:val="clear" w:pos="9026"/>
        <w:tab w:val="left" w:pos="567"/>
      </w:tabs>
      <w:spacing w:after="60" w:line="259" w:lineRule="auto"/>
      <w:ind w:left="1004" w:hanging="284"/>
    </w:pPr>
    <w:rPr>
      <w:bCs/>
      <w:color w:val="000000"/>
      <w:sz w:val="18"/>
      <w:szCs w:val="20"/>
      <w:lang w:eastAsia="en-AU"/>
    </w:rPr>
  </w:style>
  <w:style w:type="paragraph" w:styleId="NormalWeb">
    <w:name w:val="Normal (Web)"/>
    <w:basedOn w:val="Normal"/>
    <w:uiPriority w:val="99"/>
    <w:semiHidden/>
    <w:unhideWhenUsed/>
    <w:rsid w:val="00E26683"/>
    <w:pPr>
      <w:spacing w:before="100" w:beforeAutospacing="1" w:after="100" w:afterAutospacing="1"/>
    </w:pPr>
    <w:rPr>
      <w:lang w:eastAsia="en-AU"/>
    </w:rPr>
  </w:style>
  <w:style w:type="paragraph" w:customStyle="1" w:styleId="BoxBullet">
    <w:name w:val="BoxBullet"/>
    <w:basedOn w:val="Normal"/>
    <w:rsid w:val="00400CBA"/>
    <w:pPr>
      <w:numPr>
        <w:numId w:val="18"/>
      </w:numPr>
      <w:pBdr>
        <w:top w:val="single" w:sz="4" w:space="4" w:color="000000"/>
        <w:left w:val="single" w:sz="4" w:space="4" w:color="000000"/>
        <w:bottom w:val="single" w:sz="4" w:space="4" w:color="000000"/>
        <w:right w:val="single" w:sz="4" w:space="4" w:color="000000"/>
      </w:pBdr>
      <w:spacing w:after="120"/>
    </w:pPr>
    <w:rPr>
      <w:rFonts w:ascii="Franklin Gothic Book" w:hAnsi="Franklin Gothic Book"/>
      <w:color w:val="000000"/>
      <w:sz w:val="22"/>
      <w:szCs w:val="20"/>
      <w:lang w:eastAsia="en-AU"/>
    </w:rPr>
  </w:style>
  <w:style w:type="paragraph" w:styleId="EndnoteText">
    <w:name w:val="endnote text"/>
    <w:basedOn w:val="Normal"/>
    <w:link w:val="EndnoteTextChar"/>
    <w:uiPriority w:val="99"/>
    <w:semiHidden/>
    <w:unhideWhenUsed/>
    <w:rsid w:val="00426AFC"/>
    <w:rPr>
      <w:sz w:val="20"/>
      <w:szCs w:val="20"/>
    </w:rPr>
  </w:style>
  <w:style w:type="character" w:customStyle="1" w:styleId="EndnoteTextChar">
    <w:name w:val="Endnote Text Char"/>
    <w:basedOn w:val="DefaultParagraphFont"/>
    <w:link w:val="EndnoteText"/>
    <w:uiPriority w:val="99"/>
    <w:semiHidden/>
    <w:rsid w:val="00426AFC"/>
    <w:rPr>
      <w:rFonts w:ascii="Times New Roman" w:eastAsia="Times New Roman" w:hAnsi="Times New Roman" w:cs="Times New Roman"/>
      <w:sz w:val="20"/>
      <w:szCs w:val="20"/>
      <w:lang w:eastAsia="en-GB"/>
    </w:rPr>
  </w:style>
  <w:style w:type="paragraph" w:styleId="BodyText">
    <w:name w:val="Body Text"/>
    <w:basedOn w:val="Normal"/>
    <w:link w:val="BodyTextChar"/>
    <w:rsid w:val="00C233D6"/>
    <w:pPr>
      <w:spacing w:line="312" w:lineRule="auto"/>
    </w:pPr>
    <w:rPr>
      <w:rFonts w:ascii="Helv" w:hAnsi="Helv" w:cs="Tahoma"/>
      <w:b/>
      <w:i/>
      <w:snapToGrid w:val="0"/>
      <w:color w:val="000000"/>
      <w:sz w:val="28"/>
      <w:szCs w:val="22"/>
      <w:lang w:eastAsia="en-US"/>
    </w:rPr>
  </w:style>
  <w:style w:type="character" w:customStyle="1" w:styleId="BodyTextChar">
    <w:name w:val="Body Text Char"/>
    <w:basedOn w:val="DefaultParagraphFont"/>
    <w:link w:val="BodyText"/>
    <w:rsid w:val="00C233D6"/>
    <w:rPr>
      <w:rFonts w:ascii="Helv" w:eastAsia="Times New Roman" w:hAnsi="Helv" w:cs="Tahoma"/>
      <w:b/>
      <w:i/>
      <w:snapToGrid w:val="0"/>
      <w:color w:val="000000"/>
      <w:sz w:val="28"/>
    </w:rPr>
  </w:style>
  <w:style w:type="character" w:customStyle="1" w:styleId="normaltextrun">
    <w:name w:val="normaltextrun"/>
    <w:basedOn w:val="DefaultParagraphFont"/>
    <w:rsid w:val="00C233D6"/>
  </w:style>
  <w:style w:type="character" w:customStyle="1" w:styleId="eop">
    <w:name w:val="eop"/>
    <w:basedOn w:val="DefaultParagraphFont"/>
    <w:rsid w:val="00541D2B"/>
  </w:style>
  <w:style w:type="table" w:customStyle="1" w:styleId="newstyle2">
    <w:name w:val="new style2"/>
    <w:basedOn w:val="TableNormal"/>
    <w:next w:val="TableGrid"/>
    <w:uiPriority w:val="59"/>
    <w:rsid w:val="00303F37"/>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56361358">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96028534">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4305839">
      <w:bodyDiv w:val="1"/>
      <w:marLeft w:val="0"/>
      <w:marRight w:val="0"/>
      <w:marTop w:val="0"/>
      <w:marBottom w:val="0"/>
      <w:divBdr>
        <w:top w:val="none" w:sz="0" w:space="0" w:color="auto"/>
        <w:left w:val="none" w:sz="0" w:space="0" w:color="auto"/>
        <w:bottom w:val="none" w:sz="0" w:space="0" w:color="auto"/>
        <w:right w:val="none" w:sz="0" w:space="0" w:color="auto"/>
      </w:divBdr>
      <w:divsChild>
        <w:div w:id="954139038">
          <w:marLeft w:val="878"/>
          <w:marRight w:val="0"/>
          <w:marTop w:val="75"/>
          <w:marBottom w:val="0"/>
          <w:divBdr>
            <w:top w:val="none" w:sz="0" w:space="0" w:color="auto"/>
            <w:left w:val="none" w:sz="0" w:space="0" w:color="auto"/>
            <w:bottom w:val="none" w:sz="0" w:space="0" w:color="auto"/>
            <w:right w:val="none" w:sz="0" w:space="0" w:color="auto"/>
          </w:divBdr>
        </w:div>
      </w:divsChild>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48860684">
      <w:bodyDiv w:val="1"/>
      <w:marLeft w:val="0"/>
      <w:marRight w:val="0"/>
      <w:marTop w:val="0"/>
      <w:marBottom w:val="0"/>
      <w:divBdr>
        <w:top w:val="none" w:sz="0" w:space="0" w:color="auto"/>
        <w:left w:val="none" w:sz="0" w:space="0" w:color="auto"/>
        <w:bottom w:val="none" w:sz="0" w:space="0" w:color="auto"/>
        <w:right w:val="none" w:sz="0" w:space="0" w:color="auto"/>
      </w:divBdr>
      <w:divsChild>
        <w:div w:id="819686274">
          <w:marLeft w:val="547"/>
          <w:marRight w:val="0"/>
          <w:marTop w:val="115"/>
          <w:marBottom w:val="0"/>
          <w:divBdr>
            <w:top w:val="none" w:sz="0" w:space="0" w:color="auto"/>
            <w:left w:val="none" w:sz="0" w:space="0" w:color="auto"/>
            <w:bottom w:val="none" w:sz="0" w:space="0" w:color="auto"/>
            <w:right w:val="none" w:sz="0" w:space="0" w:color="auto"/>
          </w:divBdr>
        </w:div>
        <w:div w:id="1250311460">
          <w:marLeft w:val="547"/>
          <w:marRight w:val="0"/>
          <w:marTop w:val="115"/>
          <w:marBottom w:val="0"/>
          <w:divBdr>
            <w:top w:val="none" w:sz="0" w:space="0" w:color="auto"/>
            <w:left w:val="none" w:sz="0" w:space="0" w:color="auto"/>
            <w:bottom w:val="none" w:sz="0" w:space="0" w:color="auto"/>
            <w:right w:val="none" w:sz="0" w:space="0" w:color="auto"/>
          </w:divBdr>
        </w:div>
      </w:divsChild>
    </w:div>
    <w:div w:id="488599628">
      <w:bodyDiv w:val="1"/>
      <w:marLeft w:val="0"/>
      <w:marRight w:val="0"/>
      <w:marTop w:val="0"/>
      <w:marBottom w:val="0"/>
      <w:divBdr>
        <w:top w:val="none" w:sz="0" w:space="0" w:color="auto"/>
        <w:left w:val="none" w:sz="0" w:space="0" w:color="auto"/>
        <w:bottom w:val="none" w:sz="0" w:space="0" w:color="auto"/>
        <w:right w:val="none" w:sz="0" w:space="0" w:color="auto"/>
      </w:divBdr>
    </w:div>
    <w:div w:id="492531010">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19843265">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4812882">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37367197">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55914830">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25389737">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75538164">
      <w:bodyDiv w:val="1"/>
      <w:marLeft w:val="0"/>
      <w:marRight w:val="0"/>
      <w:marTop w:val="0"/>
      <w:marBottom w:val="0"/>
      <w:divBdr>
        <w:top w:val="none" w:sz="0" w:space="0" w:color="auto"/>
        <w:left w:val="none" w:sz="0" w:space="0" w:color="auto"/>
        <w:bottom w:val="none" w:sz="0" w:space="0" w:color="auto"/>
        <w:right w:val="none" w:sz="0" w:space="0" w:color="auto"/>
      </w:divBdr>
    </w:div>
    <w:div w:id="1177303135">
      <w:bodyDiv w:val="1"/>
      <w:marLeft w:val="0"/>
      <w:marRight w:val="0"/>
      <w:marTop w:val="0"/>
      <w:marBottom w:val="0"/>
      <w:divBdr>
        <w:top w:val="none" w:sz="0" w:space="0" w:color="auto"/>
        <w:left w:val="none" w:sz="0" w:space="0" w:color="auto"/>
        <w:bottom w:val="none" w:sz="0" w:space="0" w:color="auto"/>
        <w:right w:val="none" w:sz="0" w:space="0" w:color="auto"/>
      </w:divBdr>
    </w:div>
    <w:div w:id="1207063960">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43658800">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02167038">
      <w:bodyDiv w:val="1"/>
      <w:marLeft w:val="0"/>
      <w:marRight w:val="0"/>
      <w:marTop w:val="0"/>
      <w:marBottom w:val="0"/>
      <w:divBdr>
        <w:top w:val="none" w:sz="0" w:space="0" w:color="auto"/>
        <w:left w:val="none" w:sz="0" w:space="0" w:color="auto"/>
        <w:bottom w:val="none" w:sz="0" w:space="0" w:color="auto"/>
        <w:right w:val="none" w:sz="0" w:space="0" w:color="auto"/>
      </w:divBdr>
    </w:div>
    <w:div w:id="1788234183">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80901660">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www.msac.gov.au/internet/msac/publishing.nsf/Content/1653-public" TargetMode="External"/><Relationship Id="rId18" Type="http://schemas.openxmlformats.org/officeDocument/2006/relationships/image" Target="media/image2.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msac.gov.au/internet/msac/publishing.nsf/Content/1519.1-public" TargetMode="External"/><Relationship Id="rId17" Type="http://schemas.openxmlformats.org/officeDocument/2006/relationships/image" Target="media/image1.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sac.gov.au/internet/msac/publishing.nsf/Content/1722-public"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519-public"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sac.gov.au/internet/msac/publishing.nsf/Content/1587-public"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msac.gov.au/internet/msac/publishing.nsf/Content/A2B10F9A03293BC8CA2583CF001C7A4D/$File/1519.1%20Final%20updated%20PSD%20Nov%2019_redacted.docx"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msac.gov.au/internet/msac/publishing.nsf/Content/B5B780278B3A4B48CA2583C9001B80BB/$File/1587%20Final%20PSD%20Nov%2019_redacted.docx" TargetMode="External"/><Relationship Id="rId14" Type="http://schemas.openxmlformats.org/officeDocument/2006/relationships/hyperlink" Target="http://www.msac.gov.au/internet/msac/publishing.nsf/Content/1676-public" TargetMode="External"/><Relationship Id="rId22" Type="http://schemas.openxmlformats.org/officeDocument/2006/relationships/hyperlink" Target="http://msac.gov.au/internet/msac/publishing.nsf/Content/Home-1"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www.fda.gov/drugs/development-resources/table-surrogate-endpoints-were-basis-drug-approval-or-licen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3474D-8E6D-483E-9EDD-55512532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16206</Words>
  <Characters>92376</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108366</CharactersWithSpaces>
  <SharedDoc>false</SharedDoc>
  <HyperlinkBase/>
  <HLinks>
    <vt:vector size="78" baseType="variant">
      <vt:variant>
        <vt:i4>6684716</vt:i4>
      </vt:variant>
      <vt:variant>
        <vt:i4>90</vt:i4>
      </vt:variant>
      <vt:variant>
        <vt:i4>0</vt:i4>
      </vt:variant>
      <vt:variant>
        <vt:i4>5</vt:i4>
      </vt:variant>
      <vt:variant>
        <vt:lpwstr>http://msac.gov.au/internet/msac/publishing.nsf/Content/Home-1</vt:lpwstr>
      </vt:variant>
      <vt:variant>
        <vt:lpwstr/>
      </vt:variant>
      <vt:variant>
        <vt:i4>2293866</vt:i4>
      </vt:variant>
      <vt:variant>
        <vt:i4>24</vt:i4>
      </vt:variant>
      <vt:variant>
        <vt:i4>0</vt:i4>
      </vt:variant>
      <vt:variant>
        <vt:i4>5</vt:i4>
      </vt:variant>
      <vt:variant>
        <vt:lpwstr>http://www.msac.gov.au/internet/msac/publishing.nsf/Content/1722-public</vt:lpwstr>
      </vt:variant>
      <vt:variant>
        <vt:lpwstr/>
      </vt:variant>
      <vt:variant>
        <vt:i4>2359392</vt:i4>
      </vt:variant>
      <vt:variant>
        <vt:i4>21</vt:i4>
      </vt:variant>
      <vt:variant>
        <vt:i4>0</vt:i4>
      </vt:variant>
      <vt:variant>
        <vt:i4>5</vt:i4>
      </vt:variant>
      <vt:variant>
        <vt:lpwstr>http://www.msac.gov.au/internet/msac/publishing.nsf/Content/1587-public</vt:lpwstr>
      </vt:variant>
      <vt:variant>
        <vt:lpwstr/>
      </vt:variant>
      <vt:variant>
        <vt:i4>2490479</vt:i4>
      </vt:variant>
      <vt:variant>
        <vt:i4>18</vt:i4>
      </vt:variant>
      <vt:variant>
        <vt:i4>0</vt:i4>
      </vt:variant>
      <vt:variant>
        <vt:i4>5</vt:i4>
      </vt:variant>
      <vt:variant>
        <vt:lpwstr>http://www.msac.gov.au/internet/msac/publishing.nsf/Content/1676-public</vt:lpwstr>
      </vt:variant>
      <vt:variant>
        <vt:lpwstr/>
      </vt:variant>
      <vt:variant>
        <vt:i4>2293869</vt:i4>
      </vt:variant>
      <vt:variant>
        <vt:i4>15</vt:i4>
      </vt:variant>
      <vt:variant>
        <vt:i4>0</vt:i4>
      </vt:variant>
      <vt:variant>
        <vt:i4>5</vt:i4>
      </vt:variant>
      <vt:variant>
        <vt:lpwstr>http://www.msac.gov.au/internet/msac/publishing.nsf/Content/1653-public</vt:lpwstr>
      </vt:variant>
      <vt:variant>
        <vt:lpwstr/>
      </vt:variant>
      <vt:variant>
        <vt:i4>1769543</vt:i4>
      </vt:variant>
      <vt:variant>
        <vt:i4>12</vt:i4>
      </vt:variant>
      <vt:variant>
        <vt:i4>0</vt:i4>
      </vt:variant>
      <vt:variant>
        <vt:i4>5</vt:i4>
      </vt:variant>
      <vt:variant>
        <vt:lpwstr>http://www.msac.gov.au/internet/msac/publishing.nsf/Content/1519.1-public</vt:lpwstr>
      </vt:variant>
      <vt:variant>
        <vt:lpwstr/>
      </vt:variant>
      <vt:variant>
        <vt:i4>2752617</vt:i4>
      </vt:variant>
      <vt:variant>
        <vt:i4>9</vt:i4>
      </vt:variant>
      <vt:variant>
        <vt:i4>0</vt:i4>
      </vt:variant>
      <vt:variant>
        <vt:i4>5</vt:i4>
      </vt:variant>
      <vt:variant>
        <vt:lpwstr>http://www.msac.gov.au/internet/msac/publishing.nsf/Content/1519-public</vt:lpwstr>
      </vt:variant>
      <vt:variant>
        <vt:lpwstr/>
      </vt:variant>
      <vt:variant>
        <vt:i4>524334</vt:i4>
      </vt:variant>
      <vt:variant>
        <vt:i4>6</vt:i4>
      </vt:variant>
      <vt:variant>
        <vt:i4>0</vt:i4>
      </vt:variant>
      <vt:variant>
        <vt:i4>5</vt:i4>
      </vt:variant>
      <vt:variant>
        <vt:lpwstr>http://www.msac.gov.au/internet/msac/publishing.nsf/Content/A2B10F9A03293BC8CA2583CF001C7A4D/$File/1519.1 Final updated PSD Nov 19_redacted.docx</vt:lpwstr>
      </vt:variant>
      <vt:variant>
        <vt:lpwstr/>
      </vt:variant>
      <vt:variant>
        <vt:i4>7995408</vt:i4>
      </vt:variant>
      <vt:variant>
        <vt:i4>3</vt:i4>
      </vt:variant>
      <vt:variant>
        <vt:i4>0</vt:i4>
      </vt:variant>
      <vt:variant>
        <vt:i4>5</vt:i4>
      </vt:variant>
      <vt:variant>
        <vt:lpwstr>http://www.msac.gov.au/internet/msac/publishing.nsf/Content/B5B780278B3A4B48CA2583C9001B80BB/$File/1587 Final PSD Nov 19_redacted.docx</vt:lpwstr>
      </vt:variant>
      <vt:variant>
        <vt:lpwstr/>
      </vt:variant>
      <vt:variant>
        <vt:i4>3997744</vt:i4>
      </vt:variant>
      <vt:variant>
        <vt:i4>0</vt:i4>
      </vt:variant>
      <vt:variant>
        <vt:i4>0</vt:i4>
      </vt:variant>
      <vt:variant>
        <vt:i4>5</vt:i4>
      </vt:variant>
      <vt:variant>
        <vt:lpwstr>http://www.msac.gov.au/</vt:lpwstr>
      </vt:variant>
      <vt:variant>
        <vt:lpwstr/>
      </vt:variant>
      <vt:variant>
        <vt:i4>3473513</vt:i4>
      </vt:variant>
      <vt:variant>
        <vt:i4>0</vt:i4>
      </vt:variant>
      <vt:variant>
        <vt:i4>0</vt:i4>
      </vt:variant>
      <vt:variant>
        <vt:i4>5</vt:i4>
      </vt:variant>
      <vt:variant>
        <vt:lpwstr>https://www.fda.gov/drugs/development-resources/table-surrogate-endpoints-were-basis-drug-approval-or-licensure</vt:lpwstr>
      </vt:variant>
      <vt:variant>
        <vt:lpwstr/>
      </vt:variant>
      <vt:variant>
        <vt:i4>8061006</vt:i4>
      </vt:variant>
      <vt:variant>
        <vt:i4>3</vt:i4>
      </vt:variant>
      <vt:variant>
        <vt:i4>0</vt:i4>
      </vt:variant>
      <vt:variant>
        <vt:i4>5</vt:i4>
      </vt:variant>
      <vt:variant>
        <vt:lpwstr>mailto:Katherine.ONG@Health.gov.au</vt:lpwstr>
      </vt:variant>
      <vt:variant>
        <vt:lpwstr/>
      </vt:variant>
      <vt:variant>
        <vt:i4>6291524</vt:i4>
      </vt:variant>
      <vt:variant>
        <vt:i4>0</vt:i4>
      </vt:variant>
      <vt:variant>
        <vt:i4>0</vt:i4>
      </vt:variant>
      <vt:variant>
        <vt:i4>5</vt:i4>
      </vt:variant>
      <vt:variant>
        <vt:lpwstr>mailto:Robbie.James@health.gov.au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2023-10-13T01:50:00Z</dcterms:created>
  <dcterms:modified xsi:type="dcterms:W3CDTF">2023-10-13T01:50:00Z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de74a9-4f8a-4c74-b507-22417e17d25b_Enabled">
    <vt:lpwstr>true</vt:lpwstr>
  </property>
  <property fmtid="{D5CDD505-2E9C-101B-9397-08002B2CF9AE}" pid="3" name="MSIP_Label_16de74a9-4f8a-4c74-b507-22417e17d25b_SetDate">
    <vt:lpwstr>2023-07-05T06:08:57Z</vt:lpwstr>
  </property>
  <property fmtid="{D5CDD505-2E9C-101B-9397-08002B2CF9AE}" pid="4" name="MSIP_Label_16de74a9-4f8a-4c74-b507-22417e17d25b_Method">
    <vt:lpwstr>Privileged</vt:lpwstr>
  </property>
  <property fmtid="{D5CDD505-2E9C-101B-9397-08002B2CF9AE}" pid="5" name="MSIP_Label_16de74a9-4f8a-4c74-b507-22417e17d25b_Name">
    <vt:lpwstr>16de74a9-4f8a-4c74-b507-22417e17d25b</vt:lpwstr>
  </property>
  <property fmtid="{D5CDD505-2E9C-101B-9397-08002B2CF9AE}" pid="6" name="MSIP_Label_16de74a9-4f8a-4c74-b507-22417e17d25b_SiteId">
    <vt:lpwstr>a5a8bcaa-3292-41e6-b735-5e8b21f4dbfd</vt:lpwstr>
  </property>
  <property fmtid="{D5CDD505-2E9C-101B-9397-08002B2CF9AE}" pid="7" name="MSIP_Label_16de74a9-4f8a-4c74-b507-22417e17d25b_ActionId">
    <vt:lpwstr>05eaf314-aafb-49b3-997c-775b896e0d56</vt:lpwstr>
  </property>
  <property fmtid="{D5CDD505-2E9C-101B-9397-08002B2CF9AE}" pid="8" name="MSIP_Label_16de74a9-4f8a-4c74-b507-22417e17d25b_ContentBits">
    <vt:lpwstr>0</vt:lpwstr>
  </property>
</Properties>
</file>