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50BE" w14:textId="4252FF93" w:rsidR="00BC1364" w:rsidRPr="00707064" w:rsidRDefault="00D93EB1" w:rsidP="008E54D4">
      <w:pPr>
        <w:spacing w:before="240"/>
        <w:jc w:val="center"/>
        <w:rPr>
          <w:b/>
          <w:i/>
          <w:szCs w:val="24"/>
          <w:highlight w:val="yellow"/>
        </w:rPr>
      </w:pPr>
      <w:r>
        <w:rPr>
          <w:rFonts w:ascii="Arial" w:hAnsi="Arial" w:cs="Arial"/>
          <w:b/>
          <w:bCs/>
          <w:color w:val="000080"/>
          <w:sz w:val="36"/>
          <w:szCs w:val="36"/>
        </w:rPr>
        <w:t>Medical Services Advisory Committee (MSAC)</w:t>
      </w:r>
    </w:p>
    <w:p w14:paraId="2B0083C2" w14:textId="77777777" w:rsidR="00BC1364" w:rsidRPr="00F715D1" w:rsidRDefault="00BF479B" w:rsidP="00D93EB1">
      <w:pPr>
        <w:pStyle w:val="Title"/>
        <w:tabs>
          <w:tab w:val="left" w:pos="1926"/>
          <w:tab w:val="center" w:pos="4513"/>
        </w:tabs>
        <w:spacing w:before="0" w:after="360"/>
      </w:pPr>
      <w:r w:rsidRPr="00F715D1">
        <w:t>Public Summary Document</w:t>
      </w:r>
    </w:p>
    <w:p w14:paraId="4DCB712F" w14:textId="77777777" w:rsidR="00BC1364" w:rsidRPr="00F715D1" w:rsidRDefault="00BC1364" w:rsidP="00FB3C9A">
      <w:pPr>
        <w:pStyle w:val="Subtitle"/>
      </w:pPr>
      <w:r w:rsidRPr="00F715D1">
        <w:t xml:space="preserve">Application No. </w:t>
      </w:r>
      <w:r w:rsidR="00712B1D">
        <w:t>15</w:t>
      </w:r>
      <w:r w:rsidR="00255E54">
        <w:t>74</w:t>
      </w:r>
      <w:r w:rsidR="00424791">
        <w:t xml:space="preserve"> –</w:t>
      </w:r>
      <w:r w:rsidR="00FB3C9A">
        <w:t xml:space="preserve"> </w:t>
      </w:r>
      <w:r w:rsidR="00FB3C9A" w:rsidRPr="00FB3C9A">
        <w:t xml:space="preserve">Non-Invasive Prenatal Testing </w:t>
      </w:r>
      <w:r w:rsidR="00FB3C9A">
        <w:t>(</w:t>
      </w:r>
      <w:r w:rsidR="00255E54">
        <w:t>NIPT</w:t>
      </w:r>
      <w:r w:rsidR="00FB3C9A">
        <w:t>)</w:t>
      </w:r>
      <w:r w:rsidR="00255E54">
        <w:t xml:space="preserve"> for Fetal Rhesus D Genotype</w:t>
      </w:r>
    </w:p>
    <w:p w14:paraId="10C1EB66"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55E54">
        <w:rPr>
          <w:rFonts w:ascii="Arial" w:hAnsi="Arial" w:cs="Arial"/>
          <w:b/>
          <w:szCs w:val="24"/>
        </w:rPr>
        <w:t>The Royal College of Pathologists of Australasia (RCPA)</w:t>
      </w:r>
    </w:p>
    <w:p w14:paraId="502A95D8" w14:textId="09385BB7" w:rsidR="00B263CE" w:rsidRPr="0096391F" w:rsidRDefault="00BC1364" w:rsidP="00165FD5">
      <w:pPr>
        <w:tabs>
          <w:tab w:val="left" w:pos="3686"/>
        </w:tabs>
        <w:rPr>
          <w:rFonts w:ascii="Arial" w:hAnsi="Arial" w:cs="Arial"/>
          <w:b/>
        </w:rPr>
      </w:pPr>
      <w:r w:rsidRPr="17487074">
        <w:rPr>
          <w:rFonts w:ascii="Arial" w:hAnsi="Arial" w:cs="Arial"/>
          <w:b/>
        </w:rPr>
        <w:t>Date of MSAC consideration:</w:t>
      </w:r>
      <w:r>
        <w:tab/>
      </w:r>
      <w:r w:rsidR="00B263CE" w:rsidRPr="17487074">
        <w:rPr>
          <w:rFonts w:ascii="Arial" w:hAnsi="Arial" w:cs="Arial"/>
          <w:b/>
        </w:rPr>
        <w:t xml:space="preserve">MSAC Executive Meeting, 4 December </w:t>
      </w:r>
      <w:r w:rsidR="00B263CE" w:rsidRPr="17487074">
        <w:rPr>
          <w:rFonts w:ascii="Arial" w:hAnsi="Arial" w:cs="Arial"/>
          <w:b/>
          <w:bCs/>
        </w:rPr>
        <w:t>202</w:t>
      </w:r>
      <w:r w:rsidR="00B85C07" w:rsidRPr="17487074">
        <w:rPr>
          <w:rFonts w:ascii="Arial" w:hAnsi="Arial" w:cs="Arial"/>
          <w:b/>
          <w:bCs/>
        </w:rPr>
        <w:t>3</w:t>
      </w:r>
    </w:p>
    <w:p w14:paraId="7A705AEE" w14:textId="15896779" w:rsidR="00BC1364" w:rsidRPr="0096391F" w:rsidRDefault="00B263CE" w:rsidP="00D64355">
      <w:pPr>
        <w:tabs>
          <w:tab w:val="left" w:pos="3686"/>
        </w:tabs>
        <w:spacing w:after="240"/>
        <w:rPr>
          <w:rFonts w:ascii="Arial" w:hAnsi="Arial" w:cs="Arial"/>
          <w:b/>
          <w:szCs w:val="24"/>
        </w:rPr>
      </w:pPr>
      <w:r w:rsidRPr="0096391F">
        <w:rPr>
          <w:rFonts w:ascii="Arial" w:hAnsi="Arial" w:cs="Arial"/>
          <w:b/>
          <w:szCs w:val="24"/>
        </w:rPr>
        <w:tab/>
      </w:r>
      <w:r w:rsidR="00C67DD2" w:rsidRPr="0096391F">
        <w:rPr>
          <w:rFonts w:ascii="Arial" w:hAnsi="Arial" w:cs="Arial"/>
          <w:b/>
          <w:szCs w:val="24"/>
        </w:rPr>
        <w:t xml:space="preserve">MSAC </w:t>
      </w:r>
      <w:r w:rsidR="00194A71" w:rsidRPr="0096391F">
        <w:rPr>
          <w:rFonts w:ascii="Arial" w:hAnsi="Arial" w:cs="Arial"/>
          <w:b/>
          <w:szCs w:val="24"/>
        </w:rPr>
        <w:t>80</w:t>
      </w:r>
      <w:r w:rsidR="00194A71" w:rsidRPr="0096391F">
        <w:rPr>
          <w:rFonts w:ascii="Arial" w:hAnsi="Arial" w:cs="Arial"/>
          <w:b/>
          <w:szCs w:val="24"/>
          <w:vertAlign w:val="superscript"/>
        </w:rPr>
        <w:t>th</w:t>
      </w:r>
      <w:r w:rsidR="00194A71" w:rsidRPr="0096391F">
        <w:rPr>
          <w:rFonts w:ascii="Arial" w:hAnsi="Arial" w:cs="Arial"/>
          <w:b/>
          <w:szCs w:val="24"/>
        </w:rPr>
        <w:t xml:space="preserve"> </w:t>
      </w:r>
      <w:r w:rsidR="00BC1364" w:rsidRPr="0096391F">
        <w:rPr>
          <w:rFonts w:ascii="Arial" w:hAnsi="Arial" w:cs="Arial"/>
          <w:b/>
          <w:szCs w:val="24"/>
        </w:rPr>
        <w:t xml:space="preserve">Meeting, </w:t>
      </w:r>
      <w:r w:rsidR="00194A71" w:rsidRPr="0096391F">
        <w:rPr>
          <w:rFonts w:ascii="Arial" w:hAnsi="Arial" w:cs="Arial"/>
          <w:b/>
          <w:szCs w:val="24"/>
        </w:rPr>
        <w:t>26-27 November 2020</w:t>
      </w:r>
    </w:p>
    <w:p w14:paraId="435D431D" w14:textId="14432330"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6BE483AD" w14:textId="77777777" w:rsidR="003D7F29" w:rsidRPr="00F715D1" w:rsidRDefault="003D7F29" w:rsidP="00F715D1">
      <w:pPr>
        <w:pStyle w:val="Heading1"/>
      </w:pPr>
      <w:r w:rsidRPr="00F715D1">
        <w:t>Purpose of application</w:t>
      </w:r>
      <w:r w:rsidR="00822C7E" w:rsidRPr="00F715D1">
        <w:t xml:space="preserve"> </w:t>
      </w:r>
    </w:p>
    <w:p w14:paraId="389C8360" w14:textId="63F3981D" w:rsidR="00CA18E2" w:rsidRDefault="00CA18E2" w:rsidP="00CA18E2">
      <w:r>
        <w:t xml:space="preserve">An application </w:t>
      </w:r>
      <w:r w:rsidRPr="00C64049">
        <w:t>requesting M</w:t>
      </w:r>
      <w:r w:rsidR="007A5271">
        <w:t xml:space="preserve">edicare </w:t>
      </w:r>
      <w:r w:rsidRPr="00C64049">
        <w:t>B</w:t>
      </w:r>
      <w:r w:rsidR="007A5271">
        <w:t xml:space="preserve">enefits </w:t>
      </w:r>
      <w:r w:rsidRPr="00C64049">
        <w:t>S</w:t>
      </w:r>
      <w:r w:rsidR="007A5271">
        <w:t>chedule (MBS)</w:t>
      </w:r>
      <w:r w:rsidRPr="00C64049">
        <w:t xml:space="preserve"> listing of</w:t>
      </w:r>
      <w:r>
        <w:t xml:space="preserve"> non-invasive prenatal testing (NIPT) for fetal rhesus (Rh) D genotype in RhD-negative pregnant patients, was received from the Royal College of Pathologists of Australasia (RCPA) by the Department of Health.</w:t>
      </w:r>
    </w:p>
    <w:p w14:paraId="6768D9B5" w14:textId="77777777" w:rsidR="00E977EE" w:rsidRPr="00F715D1" w:rsidRDefault="00E977EE" w:rsidP="00F715D1">
      <w:pPr>
        <w:pStyle w:val="Heading1"/>
      </w:pPr>
      <w:r w:rsidRPr="00F715D1">
        <w:t>MSAC’s advice to the Minister</w:t>
      </w:r>
    </w:p>
    <w:p w14:paraId="2716D2FE" w14:textId="055D6536" w:rsidR="00394A92" w:rsidRPr="00165FD5" w:rsidRDefault="003A49AE" w:rsidP="00165FD5">
      <w:pPr>
        <w:pStyle w:val="Heading2"/>
        <w:rPr>
          <w:i/>
        </w:rPr>
      </w:pPr>
      <w:r w:rsidRPr="00165FD5">
        <w:rPr>
          <w:i/>
        </w:rPr>
        <w:t xml:space="preserve">November 2020 </w:t>
      </w:r>
      <w:r w:rsidR="001C19E9">
        <w:rPr>
          <w:i/>
          <w:iCs/>
        </w:rPr>
        <w:t xml:space="preserve">MSAC </w:t>
      </w:r>
      <w:r w:rsidRPr="00165FD5">
        <w:rPr>
          <w:i/>
        </w:rPr>
        <w:t>consideration</w:t>
      </w:r>
    </w:p>
    <w:p w14:paraId="178A3070" w14:textId="77777777" w:rsidR="001C1FFA" w:rsidDel="008D7312" w:rsidRDefault="00412926" w:rsidP="00121C86">
      <w:pPr>
        <w:pStyle w:val="NormalBeforeBullet"/>
        <w:keepNext w:val="0"/>
        <w:spacing w:after="240"/>
      </w:pPr>
      <w:r w:rsidRPr="001342D1">
        <w:t xml:space="preserve">After considering the strength of the available evidence in relation to comparative safety, </w:t>
      </w:r>
      <w:r>
        <w:t>clinical effectiveness and cost-</w:t>
      </w:r>
      <w:r w:rsidRPr="001342D1">
        <w:t xml:space="preserve">effectiveness, </w:t>
      </w:r>
      <w:r w:rsidRPr="00B4289D">
        <w:t xml:space="preserve">MSAC supported the creation of new </w:t>
      </w:r>
      <w:r>
        <w:t>Medicare Benefits Schedule (</w:t>
      </w:r>
      <w:r w:rsidRPr="00B4289D">
        <w:t>MBS</w:t>
      </w:r>
      <w:r>
        <w:t>)</w:t>
      </w:r>
      <w:r w:rsidRPr="00B4289D">
        <w:t xml:space="preserve"> item</w:t>
      </w:r>
      <w:r w:rsidR="00AB1E71">
        <w:t>s</w:t>
      </w:r>
      <w:r w:rsidRPr="00B4289D">
        <w:t xml:space="preserve"> for non-invasive prenatal testing (NIPT) for fetal </w:t>
      </w:r>
      <w:r>
        <w:t>r</w:t>
      </w:r>
      <w:r w:rsidRPr="00B4289D">
        <w:t>hesus D</w:t>
      </w:r>
      <w:r>
        <w:t xml:space="preserve"> (</w:t>
      </w:r>
      <w:r w:rsidRPr="00CA579A">
        <w:rPr>
          <w:i/>
        </w:rPr>
        <w:t>R</w:t>
      </w:r>
      <w:r w:rsidR="00B05253" w:rsidRPr="00CA579A">
        <w:rPr>
          <w:i/>
        </w:rPr>
        <w:t>H</w:t>
      </w:r>
      <w:r w:rsidRPr="00CA579A">
        <w:rPr>
          <w:i/>
        </w:rPr>
        <w:t>D</w:t>
      </w:r>
      <w:r>
        <w:t>)</w:t>
      </w:r>
      <w:r w:rsidRPr="00B4289D">
        <w:t xml:space="preserve"> genotype in both low-risk women who </w:t>
      </w:r>
      <w:r w:rsidR="004837F3">
        <w:t>have</w:t>
      </w:r>
      <w:r w:rsidR="004837F3" w:rsidRPr="00B4289D">
        <w:t xml:space="preserve"> </w:t>
      </w:r>
      <w:r w:rsidRPr="00B4289D">
        <w:t xml:space="preserve">not </w:t>
      </w:r>
      <w:r w:rsidR="004837F3">
        <w:t xml:space="preserve">been </w:t>
      </w:r>
      <w:r w:rsidRPr="00B4289D">
        <w:t xml:space="preserve">isoimmunised and high-risk women who have been previously isoimmunised. MSAC considered </w:t>
      </w:r>
      <w:r w:rsidR="004837F3">
        <w:t xml:space="preserve">that </w:t>
      </w:r>
      <w:r w:rsidRPr="00B4289D">
        <w:t>testing prevents over-treatment with anti-D immunoglobulin</w:t>
      </w:r>
      <w:r>
        <w:t xml:space="preserve"> (anti-D Ig)</w:t>
      </w:r>
      <w:r w:rsidRPr="00B4289D">
        <w:t>, but may be associated with a very small risk of isoimmunisation events in low-risk pregnancies</w:t>
      </w:r>
      <w:r w:rsidR="006C0435">
        <w:t xml:space="preserve"> in women with a false negative fetal genotype result</w:t>
      </w:r>
      <w:r w:rsidRPr="00B4289D">
        <w:t>.</w:t>
      </w:r>
    </w:p>
    <w:p w14:paraId="477F413A" w14:textId="2A1F8DA8" w:rsidR="00394A92" w:rsidRPr="00165FD5" w:rsidRDefault="00394A92" w:rsidP="001C19E9">
      <w:pPr>
        <w:pStyle w:val="NormalBeforeBullet"/>
        <w:keepNext w:val="0"/>
        <w:spacing w:after="240"/>
        <w:rPr>
          <w:i/>
          <w:szCs w:val="24"/>
        </w:rPr>
      </w:pPr>
      <w:r w:rsidRPr="00165FD5">
        <w:rPr>
          <w:b/>
          <w:i/>
          <w:szCs w:val="24"/>
        </w:rPr>
        <w:t>December 2023</w:t>
      </w:r>
      <w:r w:rsidR="00DF35A8" w:rsidRPr="00165FD5">
        <w:rPr>
          <w:b/>
          <w:i/>
          <w:szCs w:val="24"/>
        </w:rPr>
        <w:t xml:space="preserve"> MSAC Executive consideration</w:t>
      </w:r>
    </w:p>
    <w:p w14:paraId="7BF9044A" w14:textId="5C8A1FCA" w:rsidR="0053461F" w:rsidDel="008D7312" w:rsidRDefault="00B26CE3" w:rsidP="00427A90">
      <w:pPr>
        <w:spacing w:after="240"/>
      </w:pPr>
      <w:r w:rsidRPr="001342D1">
        <w:t xml:space="preserve">After considering the strength of the available evidence in relation to </w:t>
      </w:r>
      <w:r>
        <w:t>cost-</w:t>
      </w:r>
      <w:r w:rsidRPr="001342D1">
        <w:t>effectiveness</w:t>
      </w:r>
      <w:r>
        <w:t xml:space="preserve"> and financial cost</w:t>
      </w:r>
      <w:r w:rsidRPr="001342D1">
        <w:t xml:space="preserve">, </w:t>
      </w:r>
      <w:r w:rsidR="00307B80">
        <w:t xml:space="preserve">the </w:t>
      </w:r>
      <w:r w:rsidRPr="00B4289D">
        <w:t xml:space="preserve">MSAC </w:t>
      </w:r>
      <w:r w:rsidR="00307B80">
        <w:t xml:space="preserve">Executive </w:t>
      </w:r>
      <w:r w:rsidRPr="00B4289D">
        <w:t>supported</w:t>
      </w:r>
      <w:r>
        <w:t xml:space="preserve"> </w:t>
      </w:r>
      <w:r w:rsidR="002C4D9F">
        <w:t xml:space="preserve">increasing the fee for </w:t>
      </w:r>
      <w:r w:rsidR="00DE484B">
        <w:t xml:space="preserve">RhD NIPT </w:t>
      </w:r>
      <w:r w:rsidR="003F7DBA">
        <w:t xml:space="preserve">for non-alloimmunised patients </w:t>
      </w:r>
      <w:r w:rsidR="00763CFA">
        <w:t xml:space="preserve">from $56.00 to $150.40. The MSAC Executive </w:t>
      </w:r>
      <w:r w:rsidR="00E16238">
        <w:t>advised</w:t>
      </w:r>
      <w:r w:rsidR="00763CFA">
        <w:t xml:space="preserve"> </w:t>
      </w:r>
      <w:r w:rsidR="00E26862">
        <w:t>th</w:t>
      </w:r>
      <w:r w:rsidR="007A389E">
        <w:t xml:space="preserve">e fee increase was acceptably cost-effective, </w:t>
      </w:r>
      <w:r w:rsidR="00B3498E">
        <w:t>to ensure improved anti-D I</w:t>
      </w:r>
      <w:r w:rsidR="00573928">
        <w:t>g supply into the future.</w:t>
      </w:r>
    </w:p>
    <w:tbl>
      <w:tblPr>
        <w:tblStyle w:val="TableGrid"/>
        <w:tblW w:w="0" w:type="auto"/>
        <w:tblLook w:val="04A0" w:firstRow="1" w:lastRow="0" w:firstColumn="1" w:lastColumn="0" w:noHBand="0" w:noVBand="1"/>
        <w:tblDescription w:val="Consumer summary of MSAC consideration"/>
      </w:tblPr>
      <w:tblGrid>
        <w:gridCol w:w="9016"/>
      </w:tblGrid>
      <w:tr w:rsidR="00E06381" w14:paraId="674E53C8" w14:textId="77777777" w:rsidTr="00E06381">
        <w:trPr>
          <w:tblHeader/>
        </w:trPr>
        <w:tc>
          <w:tcPr>
            <w:tcW w:w="9016" w:type="dxa"/>
          </w:tcPr>
          <w:p w14:paraId="221A557D" w14:textId="191707AA" w:rsidR="00E06381" w:rsidRPr="00E06381" w:rsidRDefault="00E06381" w:rsidP="00E06381">
            <w:pPr>
              <w:pStyle w:val="NormalBeforeBullet"/>
              <w:keepNext w:val="0"/>
              <w:spacing w:before="120"/>
              <w:rPr>
                <w:b/>
              </w:rPr>
            </w:pPr>
            <w:r w:rsidRPr="00E06381">
              <w:rPr>
                <w:b/>
              </w:rPr>
              <w:t>Consumer summary</w:t>
            </w:r>
          </w:p>
        </w:tc>
      </w:tr>
      <w:tr w:rsidR="00E06381" w14:paraId="32F65F6B" w14:textId="77777777" w:rsidTr="00E06381">
        <w:tc>
          <w:tcPr>
            <w:tcW w:w="9016" w:type="dxa"/>
          </w:tcPr>
          <w:p w14:paraId="094E3CC2" w14:textId="3BAA63B9" w:rsidR="00E06381" w:rsidRDefault="00E06381" w:rsidP="00E06381">
            <w:pPr>
              <w:pStyle w:val="NormalBeforeBullet"/>
              <w:keepNext w:val="0"/>
              <w:spacing w:before="120" w:after="240"/>
            </w:pPr>
            <w:r>
              <w:t xml:space="preserve">The Royal College of Pathologists of Australasia </w:t>
            </w:r>
            <w:r w:rsidR="007F7742">
              <w:t xml:space="preserve">applied </w:t>
            </w:r>
            <w:r>
              <w:t xml:space="preserve">for </w:t>
            </w:r>
            <w:r w:rsidR="007F7742">
              <w:t xml:space="preserve">public funding via the </w:t>
            </w:r>
            <w:r>
              <w:t xml:space="preserve">Medicare Benefits Schedule (MBS) of non-invasive prenatal testing (NIPT) to determine if a fetus is rhesus D </w:t>
            </w:r>
            <w:r w:rsidR="007F7742">
              <w:t xml:space="preserve">antigen </w:t>
            </w:r>
            <w:r>
              <w:t>(RhD) positive or negative in pregnant women who are RhD-negative.</w:t>
            </w:r>
          </w:p>
          <w:p w14:paraId="3B8D732B" w14:textId="7A26C3F5" w:rsidR="007F7742" w:rsidRPr="007F7742" w:rsidRDefault="007F7742" w:rsidP="00E06381">
            <w:pPr>
              <w:pStyle w:val="NormalBeforeBullet"/>
              <w:keepNext w:val="0"/>
              <w:spacing w:after="240"/>
            </w:pPr>
            <w:r>
              <w:t xml:space="preserve">The rhesus D antigen is a protein on the surface of most people’s red blood cells. It </w:t>
            </w:r>
            <w:r w:rsidR="003E3F54">
              <w:t xml:space="preserve">partly </w:t>
            </w:r>
            <w:r>
              <w:t xml:space="preserve">determines whether the mother’s blood and the fetus’s blood are compatible. </w:t>
            </w:r>
            <w:r w:rsidR="003E3F54">
              <w:t>In general</w:t>
            </w:r>
            <w:r w:rsidR="00B33C86">
              <w:t>,</w:t>
            </w:r>
            <w:r w:rsidR="00526D87">
              <w:t xml:space="preserve"> </w:t>
            </w:r>
            <w:r w:rsidR="00526D87">
              <w:lastRenderedPageBreak/>
              <w:t>p</w:t>
            </w:r>
            <w:r>
              <w:t xml:space="preserve">eople who have the </w:t>
            </w:r>
            <w:r>
              <w:rPr>
                <w:i/>
              </w:rPr>
              <w:t>RHD</w:t>
            </w:r>
            <w:r>
              <w:t xml:space="preserve"> gene will have the RhD antigen, and are said to be RhD-positive (‘rhesus positive’). NIPT can identify whether the fetus is RhD-positive or negative, by testing for </w:t>
            </w:r>
            <w:r>
              <w:rPr>
                <w:i/>
              </w:rPr>
              <w:t>RHD</w:t>
            </w:r>
            <w:r>
              <w:t xml:space="preserve"> gene DNA in a sample of the mother’s blood.</w:t>
            </w:r>
          </w:p>
          <w:p w14:paraId="197D86B7" w14:textId="4EB8002B" w:rsidR="00E06381" w:rsidRDefault="00E06381" w:rsidP="00E06381">
            <w:pPr>
              <w:pStyle w:val="NormalBeforeBullet"/>
              <w:keepNext w:val="0"/>
              <w:spacing w:after="240"/>
            </w:pPr>
            <w:r>
              <w:t xml:space="preserve">If </w:t>
            </w:r>
            <w:r w:rsidR="007F7742">
              <w:t>a RhD-negative woman is pregnant with a</w:t>
            </w:r>
            <w:r>
              <w:t xml:space="preserve"> RhD-positive </w:t>
            </w:r>
            <w:r w:rsidR="007F7742">
              <w:t>fetus</w:t>
            </w:r>
            <w:r>
              <w:t xml:space="preserve">, the mother may produce </w:t>
            </w:r>
            <w:r w:rsidR="007F7742">
              <w:t>anti-</w:t>
            </w:r>
            <w:r>
              <w:t>Rh</w:t>
            </w:r>
            <w:r w:rsidR="007F7742">
              <w:t>D</w:t>
            </w:r>
            <w:r>
              <w:t xml:space="preserve"> antibodies during pregnancy. If the mother </w:t>
            </w:r>
            <w:r w:rsidR="007F7742">
              <w:t xml:space="preserve">later </w:t>
            </w:r>
            <w:r>
              <w:t>becomes pregnant with another RhD-positive fetus, these antibodies can cause a serious disease in the fetus called haemolytic disease of the fetus and newborn (HDFN).</w:t>
            </w:r>
            <w:r w:rsidR="007F7742">
              <w:t xml:space="preserve"> This cannot happen in RhD-positive women, so they do not need to be tested.</w:t>
            </w:r>
          </w:p>
          <w:p w14:paraId="19F73DDB" w14:textId="273755A0" w:rsidR="00E06381" w:rsidRDefault="00E06381" w:rsidP="00E06381">
            <w:pPr>
              <w:pStyle w:val="NormalBeforeBullet"/>
              <w:keepNext w:val="0"/>
              <w:spacing w:after="240"/>
            </w:pPr>
            <w:r>
              <w:t xml:space="preserve">If a NIPT test for </w:t>
            </w:r>
            <w:r w:rsidRPr="0099093C">
              <w:rPr>
                <w:i/>
              </w:rPr>
              <w:t>RHD</w:t>
            </w:r>
            <w:r>
              <w:t xml:space="preserve"> is positive, then the mother will receive a treatment called anti-D immunoglobulin </w:t>
            </w:r>
            <w:r w:rsidR="00B33C86">
              <w:t xml:space="preserve">to help prevent her forming anti-RhD antibodies </w:t>
            </w:r>
            <w:r>
              <w:t>so that her future babies won’t be harmed. If the NIPT test is negative, then the mother’s future babies are not at risk of getting HDFN, so she does not need anti</w:t>
            </w:r>
            <w:r w:rsidR="00F010F4">
              <w:noBreakHyphen/>
            </w:r>
            <w:r>
              <w:t>D immunoglobulin.</w:t>
            </w:r>
          </w:p>
          <w:p w14:paraId="2BD6516C" w14:textId="5541DE7D" w:rsidR="00E06381" w:rsidRDefault="00E06381" w:rsidP="00E06381">
            <w:pPr>
              <w:pStyle w:val="NormalBeforeBullet"/>
              <w:keepNext w:val="0"/>
              <w:spacing w:after="240"/>
            </w:pPr>
            <w:r>
              <w:t xml:space="preserve">Right now, almost all </w:t>
            </w:r>
            <w:r w:rsidR="007F7742">
              <w:t xml:space="preserve">RhD-negative </w:t>
            </w:r>
            <w:r>
              <w:t xml:space="preserve">pregnant women receive anti-D immunoglobulin without knowing the babies’ RhD status. This means that many women currently receive a treatment that they do not need. This is also a problem because anti-D immunoglobulin is produced by only a few donors in Australia, and the supply is getting lower. </w:t>
            </w:r>
          </w:p>
          <w:p w14:paraId="5894421B" w14:textId="661843DE" w:rsidR="00E06381" w:rsidRDefault="00E06381" w:rsidP="00E06381">
            <w:pPr>
              <w:pStyle w:val="NormalBeforeBullet"/>
              <w:keepNext w:val="0"/>
              <w:spacing w:after="240"/>
            </w:pPr>
            <w:r>
              <w:t xml:space="preserve">The Medical Services Advisory Committee (MSAC) noted that </w:t>
            </w:r>
            <w:r w:rsidRPr="0099093C">
              <w:rPr>
                <w:i/>
              </w:rPr>
              <w:t>RHD</w:t>
            </w:r>
            <w:r>
              <w:t xml:space="preserve">-NIPT was accurate and cost-effective, and is an important test for all </w:t>
            </w:r>
            <w:r w:rsidR="007F7742">
              <w:t xml:space="preserve">RhD-negative </w:t>
            </w:r>
            <w:r>
              <w:t>pregnant women to have access to.</w:t>
            </w:r>
          </w:p>
          <w:p w14:paraId="4AB8F753" w14:textId="218C0D29" w:rsidR="00E06381" w:rsidRPr="00E06381" w:rsidRDefault="00E06381" w:rsidP="00E06381">
            <w:pPr>
              <w:pStyle w:val="NormalBeforeBullet"/>
              <w:keepNext w:val="0"/>
              <w:rPr>
                <w:b/>
              </w:rPr>
            </w:pPr>
            <w:r w:rsidRPr="00E06381">
              <w:rPr>
                <w:b/>
              </w:rPr>
              <w:t>MSAC’s advice to the Commonwealth Minister for Health</w:t>
            </w:r>
          </w:p>
          <w:p w14:paraId="42F10269" w14:textId="34F50C1C" w:rsidR="00E06381" w:rsidRDefault="00E06381" w:rsidP="00E06381">
            <w:pPr>
              <w:pStyle w:val="NormalBeforeBullet"/>
              <w:keepNext w:val="0"/>
              <w:spacing w:after="240"/>
            </w:pPr>
            <w:r>
              <w:t>MSAC recommended that NIPT testing for RhD be publicly funded on the MBS. This is because MSAC believes this test is effective and cost-effective, and that it is important to keep the national supply of anti-D immunoglobulin for other people who need it.</w:t>
            </w:r>
          </w:p>
        </w:tc>
      </w:tr>
    </w:tbl>
    <w:p w14:paraId="5097FB2E" w14:textId="77777777" w:rsidR="00550354" w:rsidRDefault="00550354" w:rsidP="00F715D1">
      <w:pPr>
        <w:pStyle w:val="Heading1"/>
      </w:pPr>
      <w:r w:rsidRPr="00F715D1">
        <w:lastRenderedPageBreak/>
        <w:t xml:space="preserve">Summary of consideration and rationale for MSAC’s advice </w:t>
      </w:r>
    </w:p>
    <w:p w14:paraId="1469F74F" w14:textId="049CDBF5" w:rsidR="008F5EFD" w:rsidRPr="0053726A" w:rsidRDefault="008D7312" w:rsidP="0053726A">
      <w:pPr>
        <w:tabs>
          <w:tab w:val="left" w:pos="3686"/>
        </w:tabs>
        <w:rPr>
          <w:i/>
        </w:rPr>
      </w:pPr>
      <w:r w:rsidRPr="0053726A">
        <w:rPr>
          <w:b/>
          <w:i/>
          <w:iCs/>
          <w:szCs w:val="24"/>
        </w:rPr>
        <w:t xml:space="preserve">November 2020 </w:t>
      </w:r>
      <w:r w:rsidR="008F5EFD" w:rsidRPr="0053726A">
        <w:rPr>
          <w:b/>
          <w:i/>
          <w:iCs/>
          <w:szCs w:val="24"/>
        </w:rPr>
        <w:t xml:space="preserve">MSAC </w:t>
      </w:r>
      <w:r w:rsidRPr="00D473DD">
        <w:rPr>
          <w:b/>
          <w:i/>
          <w:iCs/>
          <w:szCs w:val="24"/>
        </w:rPr>
        <w:t>consideration</w:t>
      </w:r>
    </w:p>
    <w:p w14:paraId="7D2C36BE" w14:textId="66D919D1" w:rsidR="00950416" w:rsidRDefault="00F532D4" w:rsidP="00F532D4">
      <w:r>
        <w:t xml:space="preserve">MSAC noted that </w:t>
      </w:r>
      <w:r w:rsidR="00D530F2">
        <w:t>a</w:t>
      </w:r>
      <w:r>
        <w:t xml:space="preserve">pplication 1574 was for MBS listing of </w:t>
      </w:r>
      <w:r w:rsidRPr="004B5B45">
        <w:t>NIPT</w:t>
      </w:r>
      <w:r>
        <w:t xml:space="preserve"> </w:t>
      </w:r>
      <w:r w:rsidRPr="004B5B45">
        <w:t xml:space="preserve">to determine </w:t>
      </w:r>
      <w:r w:rsidR="00087D58">
        <w:t xml:space="preserve">the fetal </w:t>
      </w:r>
      <w:r w:rsidRPr="00CA579A">
        <w:rPr>
          <w:i/>
        </w:rPr>
        <w:t>R</w:t>
      </w:r>
      <w:r w:rsidR="00087D58" w:rsidRPr="00CA579A">
        <w:rPr>
          <w:i/>
        </w:rPr>
        <w:t>H</w:t>
      </w:r>
      <w:r w:rsidRPr="00CA579A">
        <w:rPr>
          <w:i/>
        </w:rPr>
        <w:t>D</w:t>
      </w:r>
      <w:r w:rsidRPr="004B5B45">
        <w:t xml:space="preserve"> genotype in RhD</w:t>
      </w:r>
      <w:r>
        <w:t>-</w:t>
      </w:r>
      <w:r w:rsidRPr="004B5B45">
        <w:t xml:space="preserve">negative pregnant </w:t>
      </w:r>
      <w:r>
        <w:t>women</w:t>
      </w:r>
      <w:r w:rsidRPr="00DC3F88">
        <w:t xml:space="preserve">. This determines whether the mother is at risk </w:t>
      </w:r>
      <w:r w:rsidR="00087D58">
        <w:t xml:space="preserve">for </w:t>
      </w:r>
      <w:r w:rsidRPr="00DC3F88">
        <w:t>alloimmuni</w:t>
      </w:r>
      <w:r>
        <w:t>s</w:t>
      </w:r>
      <w:r w:rsidRPr="00DC3F88">
        <w:t>ation</w:t>
      </w:r>
      <w:r w:rsidR="00087D58">
        <w:t xml:space="preserve"> following sensitising events during pregnancy</w:t>
      </w:r>
      <w:r w:rsidRPr="00DC3F88">
        <w:t>, and</w:t>
      </w:r>
      <w:r w:rsidR="00087D58">
        <w:t xml:space="preserve"> directing management to prevent</w:t>
      </w:r>
      <w:r w:rsidRPr="00DC3F88">
        <w:t xml:space="preserve"> a subsequent RhD</w:t>
      </w:r>
      <w:r>
        <w:t>-positi</w:t>
      </w:r>
      <w:r w:rsidRPr="00DC3F88">
        <w:t xml:space="preserve">ve fetus </w:t>
      </w:r>
      <w:r w:rsidR="00087D58">
        <w:t>being</w:t>
      </w:r>
      <w:r w:rsidRPr="00DC3F88">
        <w:t xml:space="preserve"> at risk of developing haemolytic disease of the fetus and newborn (HDFN).</w:t>
      </w:r>
    </w:p>
    <w:p w14:paraId="7B8F215D" w14:textId="26CA25E6" w:rsidR="00950416" w:rsidRDefault="00F532D4" w:rsidP="00E06381">
      <w:pPr>
        <w:spacing w:before="240"/>
      </w:pPr>
      <w:r>
        <w:t>MSAC considered the proposed p</w:t>
      </w:r>
      <w:r w:rsidRPr="00A54B64">
        <w:t>ric</w:t>
      </w:r>
      <w:r>
        <w:t>e</w:t>
      </w:r>
      <w:r w:rsidRPr="00A54B64">
        <w:t xml:space="preserve"> </w:t>
      </w:r>
      <w:r>
        <w:t xml:space="preserve">to be </w:t>
      </w:r>
      <w:r w:rsidRPr="00A54B64">
        <w:t>appropriate.</w:t>
      </w:r>
      <w:r>
        <w:t xml:space="preserve"> MSAC considered that t</w:t>
      </w:r>
      <w:r w:rsidRPr="00A54B64">
        <w:t xml:space="preserve">ransportation costs </w:t>
      </w:r>
      <w:r>
        <w:t xml:space="preserve">for the </w:t>
      </w:r>
      <w:r w:rsidR="006C0435">
        <w:t xml:space="preserve">pathology </w:t>
      </w:r>
      <w:r>
        <w:t xml:space="preserve">sample </w:t>
      </w:r>
      <w:r w:rsidRPr="00A54B64">
        <w:t>should not be included</w:t>
      </w:r>
      <w:r w:rsidR="008C0F5E">
        <w:t xml:space="preserve"> in the proposed test fee</w:t>
      </w:r>
      <w:r>
        <w:t>, and noted that</w:t>
      </w:r>
      <w:r w:rsidRPr="00A54B64">
        <w:t xml:space="preserve"> MBS </w:t>
      </w:r>
      <w:r>
        <w:t xml:space="preserve">items </w:t>
      </w:r>
      <w:r w:rsidRPr="00A54B64">
        <w:t>73929</w:t>
      </w:r>
      <w:r>
        <w:t xml:space="preserve"> or</w:t>
      </w:r>
      <w:r w:rsidRPr="00A54B64">
        <w:t xml:space="preserve"> 73939 should cover </w:t>
      </w:r>
      <w:r>
        <w:t>transport</w:t>
      </w:r>
      <w:r w:rsidR="006C0435">
        <w:t>ation</w:t>
      </w:r>
      <w:r w:rsidRPr="00A54B64">
        <w:t>.</w:t>
      </w:r>
    </w:p>
    <w:p w14:paraId="0225C901" w14:textId="6C3E851F" w:rsidR="00950416" w:rsidRPr="00E06381" w:rsidRDefault="00F532D4" w:rsidP="00E06381">
      <w:pPr>
        <w:spacing w:before="240"/>
        <w:rPr>
          <w:color w:val="000000" w:themeColor="text1"/>
          <w:lang w:val="en-US"/>
        </w:rPr>
      </w:pPr>
      <w:r w:rsidRPr="00B93844">
        <w:rPr>
          <w:color w:val="000000" w:themeColor="text1"/>
        </w:rPr>
        <w:t xml:space="preserve">MSAC noted that, currently, </w:t>
      </w:r>
      <w:r>
        <w:rPr>
          <w:color w:val="000000" w:themeColor="text1"/>
        </w:rPr>
        <w:t>Australian Red Cross Lifeblood (</w:t>
      </w:r>
      <w:r w:rsidR="00255162">
        <w:rPr>
          <w:color w:val="000000" w:themeColor="text1"/>
        </w:rPr>
        <w:t>Lifeblood</w:t>
      </w:r>
      <w:r>
        <w:rPr>
          <w:color w:val="000000" w:themeColor="text1"/>
        </w:rPr>
        <w:t>)</w:t>
      </w:r>
      <w:r w:rsidRPr="00B93844">
        <w:rPr>
          <w:color w:val="000000" w:themeColor="text1"/>
        </w:rPr>
        <w:t xml:space="preserve"> provide</w:t>
      </w:r>
      <w:r>
        <w:rPr>
          <w:color w:val="000000" w:themeColor="text1"/>
        </w:rPr>
        <w:t>s</w:t>
      </w:r>
      <w:r w:rsidRPr="00B93844">
        <w:rPr>
          <w:color w:val="000000" w:themeColor="text1"/>
        </w:rPr>
        <w:t xml:space="preserve"> </w:t>
      </w:r>
      <w:r w:rsidRPr="00CA579A">
        <w:rPr>
          <w:i/>
          <w:color w:val="000000" w:themeColor="text1"/>
        </w:rPr>
        <w:t>R</w:t>
      </w:r>
      <w:r w:rsidR="00087D58" w:rsidRPr="00CA579A">
        <w:rPr>
          <w:i/>
          <w:color w:val="000000" w:themeColor="text1"/>
        </w:rPr>
        <w:t>H</w:t>
      </w:r>
      <w:r w:rsidRPr="00CA579A">
        <w:rPr>
          <w:i/>
          <w:color w:val="000000" w:themeColor="text1"/>
        </w:rPr>
        <w:t>D</w:t>
      </w:r>
      <w:r w:rsidRPr="00B93844">
        <w:rPr>
          <w:color w:val="000000" w:themeColor="text1"/>
        </w:rPr>
        <w:t xml:space="preserve"> NIPT </w:t>
      </w:r>
      <w:r w:rsidR="00087D58" w:rsidRPr="00B93844">
        <w:rPr>
          <w:color w:val="000000" w:themeColor="text1"/>
        </w:rPr>
        <w:t xml:space="preserve">across Australia within </w:t>
      </w:r>
      <w:r w:rsidR="00087D58">
        <w:rPr>
          <w:color w:val="000000" w:themeColor="text1"/>
        </w:rPr>
        <w:t>a temporary funding arrangement</w:t>
      </w:r>
      <w:r w:rsidR="00087D58" w:rsidRPr="00B93844">
        <w:rPr>
          <w:color w:val="000000" w:themeColor="text1"/>
        </w:rPr>
        <w:t xml:space="preserve"> </w:t>
      </w:r>
      <w:r w:rsidRPr="00B93844">
        <w:rPr>
          <w:color w:val="000000" w:themeColor="text1"/>
        </w:rPr>
        <w:t>for high-risk pregnancies</w:t>
      </w:r>
      <w:r w:rsidR="00087D58">
        <w:rPr>
          <w:color w:val="000000" w:themeColor="text1"/>
        </w:rPr>
        <w:t xml:space="preserve"> in women sensitised</w:t>
      </w:r>
      <w:r w:rsidRPr="00B93844">
        <w:rPr>
          <w:color w:val="000000" w:themeColor="text1"/>
        </w:rPr>
        <w:t xml:space="preserve"> </w:t>
      </w:r>
      <w:r w:rsidR="00087D58">
        <w:rPr>
          <w:color w:val="000000" w:themeColor="text1"/>
        </w:rPr>
        <w:t xml:space="preserve">in a previous pregnancy </w:t>
      </w:r>
      <w:r w:rsidRPr="00B93844">
        <w:rPr>
          <w:color w:val="000000" w:themeColor="text1"/>
        </w:rPr>
        <w:t>(population</w:t>
      </w:r>
      <w:r>
        <w:rPr>
          <w:color w:val="000000" w:themeColor="text1"/>
        </w:rPr>
        <w:t> </w:t>
      </w:r>
      <w:r w:rsidRPr="00B93844">
        <w:rPr>
          <w:color w:val="000000" w:themeColor="text1"/>
        </w:rPr>
        <w:t>1). This application was for</w:t>
      </w:r>
      <w:r w:rsidR="002D2090">
        <w:rPr>
          <w:color w:val="000000" w:themeColor="text1"/>
        </w:rPr>
        <w:t xml:space="preserve"> a separate</w:t>
      </w:r>
      <w:r w:rsidRPr="00B93844">
        <w:rPr>
          <w:color w:val="000000" w:themeColor="text1"/>
        </w:rPr>
        <w:t xml:space="preserve"> population </w:t>
      </w:r>
      <w:r w:rsidR="002D2090">
        <w:rPr>
          <w:color w:val="000000" w:themeColor="text1"/>
        </w:rPr>
        <w:t>of women</w:t>
      </w:r>
      <w:r>
        <w:rPr>
          <w:color w:val="000000" w:themeColor="text1"/>
        </w:rPr>
        <w:t xml:space="preserve"> </w:t>
      </w:r>
      <w:r w:rsidR="00526D87" w:rsidRPr="00526D87">
        <w:rPr>
          <w:color w:val="000000" w:themeColor="text1"/>
        </w:rPr>
        <w:t>for whom Lifeblood is not funded to provide the testing</w:t>
      </w:r>
      <w:r w:rsidR="00773FF9" w:rsidRPr="00B93844">
        <w:rPr>
          <w:color w:val="000000" w:themeColor="text1"/>
        </w:rPr>
        <w:t xml:space="preserve"> </w:t>
      </w:r>
      <w:r>
        <w:rPr>
          <w:color w:val="000000" w:themeColor="text1"/>
        </w:rPr>
        <w:t>because they are</w:t>
      </w:r>
      <w:r w:rsidRPr="00B93844">
        <w:rPr>
          <w:color w:val="000000" w:themeColor="text1"/>
        </w:rPr>
        <w:t xml:space="preserve"> RhD</w:t>
      </w:r>
      <w:r w:rsidR="00773FF9">
        <w:rPr>
          <w:color w:val="000000" w:themeColor="text1"/>
        </w:rPr>
        <w:t>-</w:t>
      </w:r>
      <w:r>
        <w:rPr>
          <w:color w:val="000000" w:themeColor="text1"/>
        </w:rPr>
        <w:t>negative</w:t>
      </w:r>
      <w:r w:rsidRPr="00B93844">
        <w:rPr>
          <w:color w:val="000000" w:themeColor="text1"/>
        </w:rPr>
        <w:t xml:space="preserve"> </w:t>
      </w:r>
      <w:r w:rsidR="002D2090">
        <w:rPr>
          <w:color w:val="000000" w:themeColor="text1"/>
        </w:rPr>
        <w:t xml:space="preserve">but </w:t>
      </w:r>
      <w:r w:rsidRPr="00B93844">
        <w:rPr>
          <w:color w:val="000000" w:themeColor="text1"/>
        </w:rPr>
        <w:t>not alloimmunised</w:t>
      </w:r>
      <w:r w:rsidR="002D2090">
        <w:rPr>
          <w:color w:val="000000" w:themeColor="text1"/>
        </w:rPr>
        <w:t xml:space="preserve"> (population 2)</w:t>
      </w:r>
      <w:r>
        <w:rPr>
          <w:color w:val="000000" w:themeColor="text1"/>
        </w:rPr>
        <w:t xml:space="preserve">. </w:t>
      </w:r>
      <w:r w:rsidR="002D2090">
        <w:rPr>
          <w:color w:val="000000" w:themeColor="text1"/>
        </w:rPr>
        <w:t>Currently, p</w:t>
      </w:r>
      <w:r>
        <w:rPr>
          <w:color w:val="000000" w:themeColor="text1"/>
        </w:rPr>
        <w:t xml:space="preserve">opulation 2 is </w:t>
      </w:r>
      <w:r w:rsidRPr="00B93844">
        <w:rPr>
          <w:color w:val="000000" w:themeColor="text1"/>
        </w:rPr>
        <w:t>universally administered antenatal anti</w:t>
      </w:r>
      <w:r>
        <w:rPr>
          <w:color w:val="000000" w:themeColor="text1"/>
        </w:rPr>
        <w:noBreakHyphen/>
      </w:r>
      <w:r w:rsidRPr="00B93844">
        <w:rPr>
          <w:color w:val="000000" w:themeColor="text1"/>
        </w:rPr>
        <w:t xml:space="preserve">D </w:t>
      </w:r>
      <w:r w:rsidR="00255162">
        <w:rPr>
          <w:color w:val="000000" w:themeColor="text1"/>
        </w:rPr>
        <w:t>immunoglobulin (</w:t>
      </w:r>
      <w:r w:rsidRPr="00B93844">
        <w:rPr>
          <w:color w:val="000000" w:themeColor="text1"/>
        </w:rPr>
        <w:t>Ig</w:t>
      </w:r>
      <w:r w:rsidR="00255162">
        <w:rPr>
          <w:color w:val="000000" w:themeColor="text1"/>
        </w:rPr>
        <w:t>)</w:t>
      </w:r>
      <w:r w:rsidRPr="00B93844">
        <w:rPr>
          <w:color w:val="000000" w:themeColor="text1"/>
        </w:rPr>
        <w:t xml:space="preserve"> prophylaxis</w:t>
      </w:r>
      <w:r w:rsidR="002D2090">
        <w:rPr>
          <w:color w:val="000000" w:themeColor="text1"/>
        </w:rPr>
        <w:t xml:space="preserve"> irrespective of fetal Rhesus genotype</w:t>
      </w:r>
      <w:r w:rsidRPr="00B93844">
        <w:rPr>
          <w:color w:val="000000" w:themeColor="text1"/>
        </w:rPr>
        <w:t xml:space="preserve">. MSAC noted that the </w:t>
      </w:r>
      <w:r w:rsidR="00D530F2">
        <w:rPr>
          <w:color w:val="000000" w:themeColor="text1"/>
        </w:rPr>
        <w:t>D</w:t>
      </w:r>
      <w:r w:rsidRPr="00B93844">
        <w:rPr>
          <w:color w:val="000000" w:themeColor="text1"/>
        </w:rPr>
        <w:t xml:space="preserve">epartment-contracted assessment report (DCAR) did not </w:t>
      </w:r>
      <w:r w:rsidR="002D2090">
        <w:rPr>
          <w:color w:val="000000" w:themeColor="text1"/>
        </w:rPr>
        <w:t xml:space="preserve">initially </w:t>
      </w:r>
      <w:r w:rsidRPr="00B93844">
        <w:rPr>
          <w:color w:val="000000" w:themeColor="text1"/>
        </w:rPr>
        <w:t>include population 1 because the tests use different method</w:t>
      </w:r>
      <w:r w:rsidR="00D530F2">
        <w:rPr>
          <w:color w:val="000000" w:themeColor="text1"/>
        </w:rPr>
        <w:t>s</w:t>
      </w:r>
      <w:r w:rsidR="00B33C86">
        <w:rPr>
          <w:color w:val="000000" w:themeColor="text1"/>
        </w:rPr>
        <w:t xml:space="preserve"> that</w:t>
      </w:r>
      <w:r>
        <w:rPr>
          <w:color w:val="000000" w:themeColor="text1"/>
        </w:rPr>
        <w:t xml:space="preserve"> </w:t>
      </w:r>
      <w:r>
        <w:rPr>
          <w:color w:val="000000" w:themeColor="text1"/>
        </w:rPr>
        <w:lastRenderedPageBreak/>
        <w:t>ha</w:t>
      </w:r>
      <w:r w:rsidR="00D530F2">
        <w:rPr>
          <w:color w:val="000000" w:themeColor="text1"/>
        </w:rPr>
        <w:t>ve</w:t>
      </w:r>
      <w:r>
        <w:rPr>
          <w:color w:val="000000" w:themeColor="text1"/>
        </w:rPr>
        <w:t xml:space="preserve"> different laboratory costs</w:t>
      </w:r>
      <w:r w:rsidRPr="00B93844">
        <w:rPr>
          <w:color w:val="000000" w:themeColor="text1"/>
        </w:rPr>
        <w:t>, and the population of alloimmunised patients is quite small (</w:t>
      </w:r>
      <w:r w:rsidR="00D530F2">
        <w:rPr>
          <w:color w:val="000000" w:themeColor="text1"/>
        </w:rPr>
        <w:t xml:space="preserve">approximately </w:t>
      </w:r>
      <w:r w:rsidRPr="00B93844">
        <w:rPr>
          <w:color w:val="000000" w:themeColor="text1"/>
        </w:rPr>
        <w:t xml:space="preserve">six per month nationally). However, MSAC agreed with </w:t>
      </w:r>
      <w:r w:rsidRPr="00B93844">
        <w:rPr>
          <w:color w:val="000000" w:themeColor="text1"/>
          <w:lang w:val="en-US"/>
        </w:rPr>
        <w:t xml:space="preserve">PASC, </w:t>
      </w:r>
      <w:r>
        <w:rPr>
          <w:color w:val="000000" w:themeColor="text1"/>
          <w:lang w:val="en-US"/>
        </w:rPr>
        <w:t xml:space="preserve">the </w:t>
      </w:r>
      <w:r w:rsidRPr="00B93844">
        <w:rPr>
          <w:color w:val="000000" w:themeColor="text1"/>
          <w:lang w:val="en-US"/>
        </w:rPr>
        <w:t>Royal Australian and New Zealand College of Obstetricians and Gynaecologists and the Department</w:t>
      </w:r>
      <w:r>
        <w:rPr>
          <w:color w:val="000000" w:themeColor="text1"/>
          <w:lang w:val="en-US"/>
        </w:rPr>
        <w:t>,</w:t>
      </w:r>
      <w:r w:rsidRPr="00B93844">
        <w:rPr>
          <w:color w:val="000000" w:themeColor="text1"/>
          <w:lang w:val="en-US"/>
        </w:rPr>
        <w:t xml:space="preserve"> </w:t>
      </w:r>
      <w:r>
        <w:rPr>
          <w:color w:val="000000" w:themeColor="text1"/>
          <w:lang w:val="en-US"/>
        </w:rPr>
        <w:t>that</w:t>
      </w:r>
      <w:r w:rsidRPr="00B93844">
        <w:rPr>
          <w:color w:val="000000" w:themeColor="text1"/>
          <w:lang w:val="en-US"/>
        </w:rPr>
        <w:t xml:space="preserve"> a separate item for population 1</w:t>
      </w:r>
      <w:r>
        <w:rPr>
          <w:color w:val="000000" w:themeColor="text1"/>
          <w:lang w:val="en-US"/>
        </w:rPr>
        <w:t xml:space="preserve"> should be included</w:t>
      </w:r>
      <w:r w:rsidR="002D2090">
        <w:rPr>
          <w:color w:val="000000" w:themeColor="text1"/>
          <w:lang w:val="en-US"/>
        </w:rPr>
        <w:t xml:space="preserve"> for reimbursement on the MBS</w:t>
      </w:r>
      <w:r w:rsidRPr="00B93844">
        <w:rPr>
          <w:color w:val="000000" w:themeColor="text1"/>
          <w:lang w:val="en-US"/>
        </w:rPr>
        <w:t>.</w:t>
      </w:r>
      <w:r>
        <w:rPr>
          <w:color w:val="000000" w:themeColor="text1"/>
          <w:lang w:val="en-US"/>
        </w:rPr>
        <w:t xml:space="preserve"> MSAC noted that separate MBS items are necessary to enable quality assurance, particularly for population 1, which should aim to evaluate </w:t>
      </w:r>
      <w:r w:rsidR="002D2090">
        <w:rPr>
          <w:color w:val="000000" w:themeColor="text1"/>
          <w:lang w:val="en-US"/>
        </w:rPr>
        <w:t xml:space="preserve">the proportion of </w:t>
      </w:r>
      <w:r>
        <w:rPr>
          <w:color w:val="000000" w:themeColor="text1"/>
          <w:lang w:val="en-US"/>
        </w:rPr>
        <w:t>false negative results.</w:t>
      </w:r>
    </w:p>
    <w:p w14:paraId="0FA5ADE4" w14:textId="17C3A8FE" w:rsidR="00950416" w:rsidRDefault="00F532D4" w:rsidP="00E06381">
      <w:pPr>
        <w:spacing w:before="240" w:after="240"/>
      </w:pPr>
      <w:r>
        <w:t>MSAC supported the Department’s modification of the MBS descriptors for both item numbers.</w:t>
      </w:r>
    </w:p>
    <w:p w14:paraId="109A58C4" w14:textId="7AC9CC64" w:rsidR="00950416" w:rsidRDefault="00F532D4" w:rsidP="00F532D4">
      <w:r>
        <w:t>MSAC noted the clinical need for</w:t>
      </w:r>
      <w:r w:rsidR="002D2090">
        <w:t xml:space="preserve"> fetal</w:t>
      </w:r>
      <w:r>
        <w:t xml:space="preserve"> </w:t>
      </w:r>
      <w:r w:rsidRPr="00CA579A">
        <w:rPr>
          <w:i/>
        </w:rPr>
        <w:t>R</w:t>
      </w:r>
      <w:r w:rsidR="002D2090" w:rsidRPr="00CA579A">
        <w:rPr>
          <w:i/>
        </w:rPr>
        <w:t>H</w:t>
      </w:r>
      <w:r w:rsidRPr="00CA579A">
        <w:rPr>
          <w:i/>
        </w:rPr>
        <w:t>D</w:t>
      </w:r>
      <w:r>
        <w:t xml:space="preserve"> </w:t>
      </w:r>
      <w:r w:rsidR="002D2090">
        <w:t>genotyping</w:t>
      </w:r>
      <w:r>
        <w:t xml:space="preserve"> as </w:t>
      </w:r>
      <w:r w:rsidRPr="00933B04">
        <w:t xml:space="preserve">current </w:t>
      </w:r>
      <w:r>
        <w:rPr>
          <w:rFonts w:ascii="Cambria Math" w:hAnsi="Cambria Math" w:cs="Cambria Math"/>
        </w:rPr>
        <w:t>anti-</w:t>
      </w:r>
      <w:r w:rsidRPr="00933B04">
        <w:t xml:space="preserve">D </w:t>
      </w:r>
      <w:r>
        <w:t xml:space="preserve">Ig </w:t>
      </w:r>
      <w:r w:rsidRPr="00933B04">
        <w:t>supply</w:t>
      </w:r>
      <w:r w:rsidR="00255162">
        <w:t>, which</w:t>
      </w:r>
      <w:r w:rsidRPr="00933B04">
        <w:t xml:space="preserve"> relies on </w:t>
      </w:r>
      <w:r>
        <w:t>a</w:t>
      </w:r>
      <w:r w:rsidR="002D2090">
        <w:t>pproximately</w:t>
      </w:r>
      <w:r>
        <w:t xml:space="preserve"> </w:t>
      </w:r>
      <w:r w:rsidRPr="00933B04">
        <w:t xml:space="preserve">120 altruistic </w:t>
      </w:r>
      <w:r>
        <w:t xml:space="preserve">and </w:t>
      </w:r>
      <w:r w:rsidRPr="00933B04">
        <w:t xml:space="preserve">ageing </w:t>
      </w:r>
      <w:r w:rsidR="002D2090">
        <w:t xml:space="preserve">blood </w:t>
      </w:r>
      <w:r w:rsidRPr="00933B04">
        <w:t>donors</w:t>
      </w:r>
      <w:r w:rsidR="00255162">
        <w:t>,</w:t>
      </w:r>
      <w:r w:rsidR="002D2090">
        <w:t xml:space="preserve"> is diminishing. Fetal genotyping can direct a targeted </w:t>
      </w:r>
      <w:r>
        <w:t xml:space="preserve">reduction in </w:t>
      </w:r>
      <w:r w:rsidRPr="00933B04">
        <w:t xml:space="preserve">unnecessary </w:t>
      </w:r>
      <w:r>
        <w:rPr>
          <w:rFonts w:ascii="Cambria Math" w:hAnsi="Cambria Math" w:cs="Cambria Math"/>
        </w:rPr>
        <w:t>anti-</w:t>
      </w:r>
      <w:r w:rsidRPr="00933B04">
        <w:t xml:space="preserve">D </w:t>
      </w:r>
      <w:r>
        <w:t xml:space="preserve">Ig prophylaxis </w:t>
      </w:r>
      <w:r w:rsidRPr="00933B04">
        <w:t xml:space="preserve">to </w:t>
      </w:r>
      <w:r>
        <w:t>more than</w:t>
      </w:r>
      <w:r w:rsidRPr="00933B04">
        <w:t xml:space="preserve"> 20,000 women with </w:t>
      </w:r>
      <w:r w:rsidRPr="00CA579A">
        <w:rPr>
          <w:i/>
        </w:rPr>
        <w:t>R</w:t>
      </w:r>
      <w:r w:rsidR="002D2090" w:rsidRPr="00CA579A">
        <w:rPr>
          <w:i/>
        </w:rPr>
        <w:t>H</w:t>
      </w:r>
      <w:r w:rsidRPr="00CA579A">
        <w:rPr>
          <w:i/>
        </w:rPr>
        <w:t>D</w:t>
      </w:r>
      <w:r>
        <w:t>-negati</w:t>
      </w:r>
      <w:r w:rsidRPr="00933B04">
        <w:t xml:space="preserve">ve fetuses </w:t>
      </w:r>
      <w:r>
        <w:t>in Australia each year.</w:t>
      </w:r>
    </w:p>
    <w:p w14:paraId="215A43A1" w14:textId="4E14576F" w:rsidR="00F532D4" w:rsidRDefault="00F532D4" w:rsidP="00E06381">
      <w:pPr>
        <w:pStyle w:val="NormalBeforeBullet"/>
        <w:spacing w:before="240"/>
      </w:pPr>
      <w:r>
        <w:t xml:space="preserve">MSAC noted the small risk of alloimmunisation due to </w:t>
      </w:r>
      <w:r w:rsidR="009623E6">
        <w:t xml:space="preserve">a </w:t>
      </w:r>
      <w:r w:rsidRPr="00372535">
        <w:t>false negative</w:t>
      </w:r>
      <w:r>
        <w:t xml:space="preserve"> </w:t>
      </w:r>
      <w:r w:rsidR="009623E6">
        <w:t>NIPT</w:t>
      </w:r>
      <w:r>
        <w:t xml:space="preserve"> result</w:t>
      </w:r>
      <w:r w:rsidRPr="00372535">
        <w:t xml:space="preserve"> </w:t>
      </w:r>
      <w:r w:rsidR="009623E6">
        <w:t>with</w:t>
      </w:r>
      <w:r>
        <w:t xml:space="preserve"> women </w:t>
      </w:r>
      <w:r w:rsidR="009623E6">
        <w:t xml:space="preserve">consequently </w:t>
      </w:r>
      <w:r>
        <w:t xml:space="preserve">not </w:t>
      </w:r>
      <w:r w:rsidRPr="00372535">
        <w:t>receiv</w:t>
      </w:r>
      <w:r>
        <w:t>ing</w:t>
      </w:r>
      <w:r w:rsidRPr="00372535">
        <w:t xml:space="preserve"> routine antenatal anti-D </w:t>
      </w:r>
      <w:r w:rsidR="008C0F5E">
        <w:t xml:space="preserve">Ig </w:t>
      </w:r>
      <w:r w:rsidRPr="00372535">
        <w:t>prophylaxis</w:t>
      </w:r>
      <w:r>
        <w:t xml:space="preserve">. This could have </w:t>
      </w:r>
      <w:r w:rsidRPr="00372535">
        <w:t xml:space="preserve">possible adverse effects on the </w:t>
      </w:r>
      <w:r w:rsidR="0052723E">
        <w:t xml:space="preserve">current </w:t>
      </w:r>
      <w:r w:rsidRPr="00372535">
        <w:t xml:space="preserve">fetus or </w:t>
      </w:r>
      <w:r w:rsidR="0052723E">
        <w:t xml:space="preserve">in </w:t>
      </w:r>
      <w:r w:rsidRPr="00372535">
        <w:t xml:space="preserve">subsequent pregnancies </w:t>
      </w:r>
      <w:r w:rsidR="0052723E">
        <w:t>with a</w:t>
      </w:r>
      <w:r w:rsidR="0052723E" w:rsidRPr="00372535">
        <w:t xml:space="preserve"> </w:t>
      </w:r>
      <w:r w:rsidRPr="00372535">
        <w:t>RhD</w:t>
      </w:r>
      <w:r>
        <w:t>-positive</w:t>
      </w:r>
      <w:r w:rsidRPr="00372535">
        <w:t xml:space="preserve"> fetus. </w:t>
      </w:r>
      <w:r>
        <w:t>However, MSAC accepted that this risk is low (less than</w:t>
      </w:r>
      <w:r w:rsidRPr="00375126">
        <w:t xml:space="preserve"> 6 additional alloimmunised pregnancies per 100,000</w:t>
      </w:r>
      <w:r>
        <w:t xml:space="preserve"> compared with universal anti-D Ig) due to the high:</w:t>
      </w:r>
    </w:p>
    <w:p w14:paraId="1EE12D37" w14:textId="547AB563" w:rsidR="00F532D4" w:rsidRDefault="00F532D4" w:rsidP="00F532D4">
      <w:pPr>
        <w:pStyle w:val="Bullet"/>
      </w:pPr>
      <w:r>
        <w:t xml:space="preserve">sensitivity – </w:t>
      </w:r>
      <w:r w:rsidRPr="00372535">
        <w:t>95.4% [90.6%, 97.8%] (k</w:t>
      </w:r>
      <w:r>
        <w:t> </w:t>
      </w:r>
      <w:r w:rsidRPr="00372535">
        <w:t>=</w:t>
      </w:r>
      <w:r>
        <w:t> </w:t>
      </w:r>
      <w:r w:rsidRPr="00372535">
        <w:t>37, n</w:t>
      </w:r>
      <w:r>
        <w:t> </w:t>
      </w:r>
      <w:r w:rsidRPr="00372535">
        <w:t>=</w:t>
      </w:r>
      <w:r>
        <w:t> </w:t>
      </w:r>
      <w:r w:rsidRPr="00372535">
        <w:t>3,078) to 99.9% [99.5%, 100%] (k</w:t>
      </w:r>
      <w:r>
        <w:t> </w:t>
      </w:r>
      <w:r w:rsidRPr="00372535">
        <w:t>=</w:t>
      </w:r>
      <w:r>
        <w:t> </w:t>
      </w:r>
      <w:r w:rsidRPr="00372535">
        <w:t>12; n</w:t>
      </w:r>
      <w:r>
        <w:t> </w:t>
      </w:r>
      <w:r w:rsidRPr="00372535">
        <w:t>=</w:t>
      </w:r>
      <w:r>
        <w:t> </w:t>
      </w:r>
      <w:r w:rsidRPr="00372535">
        <w:t>60,396)</w:t>
      </w:r>
      <w:r w:rsidR="00255162">
        <w:t>;</w:t>
      </w:r>
      <w:r>
        <w:t> </w:t>
      </w:r>
    </w:p>
    <w:p w14:paraId="3F905386" w14:textId="0DD1B67F" w:rsidR="00F532D4" w:rsidRDefault="00F532D4" w:rsidP="00F532D4">
      <w:pPr>
        <w:pStyle w:val="Bullet"/>
      </w:pPr>
      <w:r>
        <w:t xml:space="preserve">specificity – </w:t>
      </w:r>
      <w:r w:rsidRPr="00372535">
        <w:t>96.1% [94.2%, 97.5%] (k</w:t>
      </w:r>
      <w:r>
        <w:t> </w:t>
      </w:r>
      <w:r w:rsidRPr="00372535">
        <w:t>=</w:t>
      </w:r>
      <w:r>
        <w:t> </w:t>
      </w:r>
      <w:r w:rsidRPr="00372535">
        <w:t>8; n</w:t>
      </w:r>
      <w:r>
        <w:t> </w:t>
      </w:r>
      <w:r w:rsidRPr="00372535">
        <w:t>=</w:t>
      </w:r>
      <w:r>
        <w:t> </w:t>
      </w:r>
      <w:r w:rsidRPr="00372535">
        <w:t>49,291) to 99.2% [98.5%, 99.5%] (k</w:t>
      </w:r>
      <w:r>
        <w:t> </w:t>
      </w:r>
      <w:r w:rsidRPr="00372535">
        <w:t>=</w:t>
      </w:r>
      <w:r>
        <w:t> </w:t>
      </w:r>
      <w:r w:rsidRPr="00372535">
        <w:t>12; n</w:t>
      </w:r>
      <w:r>
        <w:t> </w:t>
      </w:r>
      <w:r w:rsidRPr="00372535">
        <w:t>=</w:t>
      </w:r>
      <w:r>
        <w:t> </w:t>
      </w:r>
      <w:r w:rsidRPr="00372535">
        <w:t>60,396)</w:t>
      </w:r>
      <w:r w:rsidR="00255162">
        <w:t>;</w:t>
      </w:r>
    </w:p>
    <w:p w14:paraId="1EE10C88" w14:textId="7F657ECA" w:rsidR="00F532D4" w:rsidRDefault="00F532D4" w:rsidP="00F532D4">
      <w:pPr>
        <w:pStyle w:val="Bullet"/>
      </w:pPr>
      <w:r>
        <w:t xml:space="preserve">positive predictive value – </w:t>
      </w:r>
      <w:r w:rsidRPr="00372535">
        <w:t>97.6% [96.2%, 98.5%] to 99.5% [99.1%, 99.7%]</w:t>
      </w:r>
      <w:r w:rsidR="00255162">
        <w:t>;</w:t>
      </w:r>
      <w:r w:rsidRPr="00372535">
        <w:t xml:space="preserve"> </w:t>
      </w:r>
      <w:r w:rsidR="00255162">
        <w:t>and</w:t>
      </w:r>
    </w:p>
    <w:p w14:paraId="3AAA7082" w14:textId="77777777" w:rsidR="00F532D4" w:rsidRDefault="00F532D4" w:rsidP="00F532D4">
      <w:pPr>
        <w:pStyle w:val="BulletLast"/>
      </w:pPr>
      <w:r>
        <w:t xml:space="preserve">negative predictive value – </w:t>
      </w:r>
      <w:r w:rsidRPr="00372535">
        <w:t>92.8% [86.0%, 96.4%] to 99.8% [99.2%, 100%]</w:t>
      </w:r>
      <w:r>
        <w:t>.</w:t>
      </w:r>
    </w:p>
    <w:p w14:paraId="3CD80E3D" w14:textId="72166BCC" w:rsidR="00950416" w:rsidRDefault="00F532D4" w:rsidP="00F532D4">
      <w:r>
        <w:t xml:space="preserve">MSAC noted the application presented a population-based analysis of costs and outcomes, and that using an NIPT-guided anti-D Ig strategy results in cost savings. </w:t>
      </w:r>
      <w:r w:rsidRPr="00A54B64">
        <w:t>In absolute terms, introduc</w:t>
      </w:r>
      <w:r>
        <w:t>ing</w:t>
      </w:r>
      <w:r w:rsidRPr="00A54B64">
        <w:t xml:space="preserve"> </w:t>
      </w:r>
      <w:r w:rsidRPr="00CA579A">
        <w:rPr>
          <w:i/>
        </w:rPr>
        <w:t>R</w:t>
      </w:r>
      <w:r w:rsidR="009623E6" w:rsidRPr="00CA579A">
        <w:rPr>
          <w:i/>
        </w:rPr>
        <w:t>H</w:t>
      </w:r>
      <w:r w:rsidRPr="00CA579A">
        <w:rPr>
          <w:i/>
        </w:rPr>
        <w:t>D</w:t>
      </w:r>
      <w:r w:rsidR="00255162">
        <w:t xml:space="preserve"> </w:t>
      </w:r>
      <w:r w:rsidRPr="00A54B64">
        <w:t xml:space="preserve">NIPT to current practice of universal anti-D </w:t>
      </w:r>
      <w:r>
        <w:t>Ig</w:t>
      </w:r>
      <w:r w:rsidRPr="00A54B64">
        <w:t xml:space="preserve"> prophylaxis resulted in less than two additional alloimmunisations, </w:t>
      </w:r>
      <w:r w:rsidR="009623E6">
        <w:t xml:space="preserve">an </w:t>
      </w:r>
      <w:r w:rsidRPr="00A54B64">
        <w:t xml:space="preserve">additional </w:t>
      </w:r>
      <w:r w:rsidR="009623E6" w:rsidRPr="00A54B64">
        <w:t xml:space="preserve">0.03 </w:t>
      </w:r>
      <w:r w:rsidR="009623E6">
        <w:t xml:space="preserve">cases </w:t>
      </w:r>
      <w:r w:rsidR="009623E6" w:rsidRPr="009623E6">
        <w:t xml:space="preserve">per 100,000 </w:t>
      </w:r>
      <w:r w:rsidR="009623E6">
        <w:t xml:space="preserve">of </w:t>
      </w:r>
      <w:r w:rsidRPr="00A54B64">
        <w:t>severe HDFN and 0.05</w:t>
      </w:r>
      <w:r>
        <w:t> </w:t>
      </w:r>
      <w:r w:rsidRPr="00A54B64">
        <w:t xml:space="preserve">additional </w:t>
      </w:r>
      <w:r w:rsidR="009623E6">
        <w:t xml:space="preserve">fetal </w:t>
      </w:r>
      <w:r w:rsidRPr="00A54B64">
        <w:t xml:space="preserve">deaths </w:t>
      </w:r>
      <w:r>
        <w:t>per</w:t>
      </w:r>
      <w:r w:rsidRPr="00A54B64">
        <w:t xml:space="preserve"> 100,000 Australian RhD</w:t>
      </w:r>
      <w:r>
        <w:t>-</w:t>
      </w:r>
      <w:r w:rsidRPr="00A54B64">
        <w:t>negative wom</w:t>
      </w:r>
      <w:r>
        <w:t>e</w:t>
      </w:r>
      <w:r w:rsidRPr="00A54B64">
        <w:t>n</w:t>
      </w:r>
      <w:r w:rsidRPr="001A04E7">
        <w:t xml:space="preserve"> </w:t>
      </w:r>
      <w:r>
        <w:t>during</w:t>
      </w:r>
      <w:r w:rsidRPr="00A54B64">
        <w:t xml:space="preserve"> </w:t>
      </w:r>
      <w:r w:rsidR="00255162">
        <w:t>t</w:t>
      </w:r>
      <w:r>
        <w:t>he</w:t>
      </w:r>
      <w:r w:rsidR="00255162">
        <w:t>i</w:t>
      </w:r>
      <w:r>
        <w:t>r</w:t>
      </w:r>
      <w:r w:rsidRPr="00A54B64">
        <w:t xml:space="preserve"> child-bearing </w:t>
      </w:r>
      <w:r>
        <w:t>years</w:t>
      </w:r>
      <w:r w:rsidRPr="00A54B64">
        <w:t>.</w:t>
      </w:r>
    </w:p>
    <w:p w14:paraId="6F5DC0BF" w14:textId="0BDBE180" w:rsidR="00950416" w:rsidRDefault="00F532D4" w:rsidP="00E06381">
      <w:pPr>
        <w:spacing w:before="240"/>
      </w:pPr>
      <w:r>
        <w:t>MSAC acknowledged that other</w:t>
      </w:r>
      <w:r w:rsidR="009623E6">
        <w:t xml:space="preserve"> accredited</w:t>
      </w:r>
      <w:r>
        <w:t xml:space="preserve"> laboratories could establish NIPT </w:t>
      </w:r>
      <w:r w:rsidRPr="005B1CF2">
        <w:t xml:space="preserve">using a variety of </w:t>
      </w:r>
      <w:r w:rsidR="009623E6">
        <w:t xml:space="preserve">testing </w:t>
      </w:r>
      <w:r w:rsidRPr="005B1CF2">
        <w:t>techniques</w:t>
      </w:r>
      <w:r>
        <w:t>,</w:t>
      </w:r>
      <w:r w:rsidRPr="005B1CF2">
        <w:t xml:space="preserve"> including quantitative reverse</w:t>
      </w:r>
      <w:r>
        <w:t>-</w:t>
      </w:r>
      <w:r w:rsidRPr="005B1CF2">
        <w:t xml:space="preserve">transcription polymerase chain reaction (qRT-PCR), qRT digital PCR </w:t>
      </w:r>
      <w:r w:rsidR="00255162">
        <w:t xml:space="preserve">and </w:t>
      </w:r>
      <w:r w:rsidRPr="005B1CF2">
        <w:t>array-based platforms</w:t>
      </w:r>
      <w:r>
        <w:t xml:space="preserve">, and that the service provider should not be limited to </w:t>
      </w:r>
      <w:r w:rsidR="0071270C">
        <w:t>Lifeblood</w:t>
      </w:r>
      <w:r w:rsidRPr="005B1CF2">
        <w:t>.</w:t>
      </w:r>
    </w:p>
    <w:p w14:paraId="2BC9E72D" w14:textId="62697928" w:rsidR="001C1FFA" w:rsidRDefault="00F532D4" w:rsidP="00E06381">
      <w:pPr>
        <w:spacing w:before="240"/>
      </w:pPr>
      <w:r>
        <w:t>MSAC noted the pre-MSAC response</w:t>
      </w:r>
      <w:r w:rsidR="00B931BF">
        <w:t xml:space="preserve"> from the applicant.</w:t>
      </w:r>
    </w:p>
    <w:p w14:paraId="4BE04915" w14:textId="08735C66" w:rsidR="00D74190" w:rsidRDefault="001C1FFA" w:rsidP="001C31DE">
      <w:pPr>
        <w:spacing w:before="240" w:after="240"/>
      </w:pPr>
      <w:r>
        <w:t xml:space="preserve">The MBS item descriptor </w:t>
      </w:r>
      <w:r w:rsidR="00773FF9">
        <w:t xml:space="preserve">proposed </w:t>
      </w:r>
      <w:r>
        <w:t xml:space="preserve">for </w:t>
      </w:r>
      <w:r w:rsidR="00773FF9">
        <w:t xml:space="preserve">low-risk </w:t>
      </w:r>
      <w:r>
        <w:t xml:space="preserve">non-alloimmunised patients is below. The item descriptor for </w:t>
      </w:r>
      <w:r w:rsidR="00773FF9">
        <w:t xml:space="preserve">high-risk </w:t>
      </w:r>
      <w:r>
        <w:t>alloimmunised patients is to be developed during implementation.</w:t>
      </w:r>
    </w:p>
    <w:p w14:paraId="48618859" w14:textId="3429D1A7" w:rsidR="00D74190" w:rsidRPr="00C94833" w:rsidRDefault="008D7312" w:rsidP="00F807BC">
      <w:pPr>
        <w:tabs>
          <w:tab w:val="left" w:pos="3686"/>
        </w:tabs>
        <w:rPr>
          <w:b/>
          <w:i/>
          <w:iCs/>
          <w:szCs w:val="24"/>
        </w:rPr>
      </w:pPr>
      <w:r>
        <w:rPr>
          <w:b/>
          <w:i/>
          <w:iCs/>
          <w:szCs w:val="24"/>
        </w:rPr>
        <w:t xml:space="preserve">December 2023 </w:t>
      </w:r>
      <w:r w:rsidR="00D74190" w:rsidRPr="00F807BC">
        <w:rPr>
          <w:b/>
          <w:i/>
          <w:szCs w:val="24"/>
        </w:rPr>
        <w:t xml:space="preserve">MSAC Executive </w:t>
      </w:r>
      <w:r>
        <w:rPr>
          <w:b/>
          <w:i/>
          <w:iCs/>
          <w:szCs w:val="24"/>
        </w:rPr>
        <w:t>consideration</w:t>
      </w:r>
    </w:p>
    <w:p w14:paraId="131BD9F0" w14:textId="296CE435" w:rsidR="00D91BBD" w:rsidRDefault="00D30F46" w:rsidP="008D7312">
      <w:pPr>
        <w:pStyle w:val="Default"/>
        <w:rPr>
          <w:highlight w:val="yellow"/>
        </w:rPr>
      </w:pPr>
      <w:r w:rsidRPr="00282E61">
        <w:t xml:space="preserve">At </w:t>
      </w:r>
      <w:r w:rsidRPr="00F807BC">
        <w:t xml:space="preserve">its December 2023 meeting, </w:t>
      </w:r>
      <w:r w:rsidR="00EB79BA" w:rsidRPr="00F807BC">
        <w:t>t</w:t>
      </w:r>
      <w:r w:rsidR="00282E61" w:rsidRPr="00F807BC">
        <w:t xml:space="preserve">he MSAC Executive noted </w:t>
      </w:r>
      <w:r w:rsidR="002F7797">
        <w:t xml:space="preserve">that following its support for this application in November 2020, RhD NIPT </w:t>
      </w:r>
      <w:r w:rsidR="00282E61" w:rsidRPr="00F807BC">
        <w:t xml:space="preserve">MBS items </w:t>
      </w:r>
      <w:r w:rsidR="003D1E20" w:rsidRPr="00F807BC">
        <w:t xml:space="preserve">73420 (for non-alloimmunised patients) and 73421 (for alloimmunised patients) </w:t>
      </w:r>
      <w:r w:rsidR="002F7797">
        <w:t xml:space="preserve">had </w:t>
      </w:r>
      <w:r w:rsidR="003D1E20" w:rsidRPr="00F807BC">
        <w:t>commenced on the MBS on 1 July 2022, at $56 and $550 respectively.</w:t>
      </w:r>
    </w:p>
    <w:p w14:paraId="44F16579" w14:textId="77777777" w:rsidR="00D43678" w:rsidRPr="004406EF" w:rsidRDefault="00F86DEB" w:rsidP="008D7312">
      <w:pPr>
        <w:pStyle w:val="Default"/>
      </w:pPr>
      <w:r w:rsidRPr="004406EF" w:rsidDel="00F86DEB">
        <w:lastRenderedPageBreak/>
        <w:t>The</w:t>
      </w:r>
      <w:r w:rsidR="00D43678" w:rsidRPr="004406EF">
        <w:t xml:space="preserve"> MSAC Executive noted </w:t>
      </w:r>
      <w:r w:rsidR="002F7797" w:rsidRPr="004406EF">
        <w:t xml:space="preserve">that </w:t>
      </w:r>
      <w:r w:rsidR="00D43678" w:rsidRPr="004406EF">
        <w:t xml:space="preserve">in March 2023 the Royal College of Pathologists of Australasia (RCPA) wrote to the department raising concerns that laboratories are not offering the test for item 73420 as it is not commercially viable at the listed fee, despite growing clinician and public demand, and estimated the fee should be raised to $150.37. The MSAC Executive recalled from its April 2023 meeting that it had considered the requested fee increase for 73420 was reasonable, although would reduce the cost-effectiveness of testing and increase the financial cost. The MSAC Executive recalled it had advised the department should internally revise the 1574 DCAR’s economic and financial analyses to show the effects of the proposed increased fee for NIPT in non-alloimmunised patients and the increase in immunoglobulin prices, and also seek a breakdown of the proposed increased fee from the RCPA, which was all to be returned to the MSAC Executive for further consideration. </w:t>
      </w:r>
    </w:p>
    <w:p w14:paraId="318CE20F" w14:textId="2651D694" w:rsidR="00D43678" w:rsidRPr="004406EF" w:rsidRDefault="00D43678" w:rsidP="001C31DE">
      <w:pPr>
        <w:pStyle w:val="Default"/>
        <w:spacing w:before="240"/>
      </w:pPr>
      <w:r w:rsidRPr="004406EF">
        <w:t>The MSAC Executive noted the September 2023 correspondence from the Australian and New Zealand Society of Blood Transfusion (ANZSBT) project team, which also supported increasing the fee for MBS item 73420. The MSAC Executive also noted that only one 73420 service ha</w:t>
      </w:r>
      <w:r w:rsidR="008C7BE1" w:rsidRPr="004406EF">
        <w:t>d</w:t>
      </w:r>
      <w:r w:rsidRPr="004406EF">
        <w:t xml:space="preserve"> been claimed since listing (as at 30 September 2023), and considered this further supported the current $56 fee not being commercially viable. </w:t>
      </w:r>
    </w:p>
    <w:p w14:paraId="5BDC4C75" w14:textId="31011FF0" w:rsidR="00CF318F" w:rsidRPr="004406EF" w:rsidRDefault="00D43678" w:rsidP="001C31DE">
      <w:pPr>
        <w:tabs>
          <w:tab w:val="left" w:pos="3686"/>
        </w:tabs>
        <w:spacing w:before="240"/>
        <w:rPr>
          <w:szCs w:val="24"/>
        </w:rPr>
      </w:pPr>
      <w:r w:rsidRPr="004406EF">
        <w:rPr>
          <w:szCs w:val="24"/>
        </w:rPr>
        <w:t>The MSAC Executive noted the updated economic analyses, which showed that while the 1574 DCAR had found the testing to be less costly and less effective, under the revised assumptions NIPT-guided anti-D Ig was now more expensive and less effective (i.e. ‘dominated’) than universal anti-D Ig</w:t>
      </w:r>
      <w:r w:rsidR="0076328B" w:rsidRPr="004406EF">
        <w:rPr>
          <w:szCs w:val="24"/>
        </w:rPr>
        <w:t xml:space="preserve"> (</w:t>
      </w:r>
      <w:r w:rsidR="00EE3CDC" w:rsidRPr="004406EF">
        <w:rPr>
          <w:szCs w:val="24"/>
        </w:rPr>
        <w:fldChar w:fldCharType="begin"/>
      </w:r>
      <w:r w:rsidR="00EE3CDC" w:rsidRPr="004406EF">
        <w:rPr>
          <w:szCs w:val="24"/>
        </w:rPr>
        <w:instrText xml:space="preserve"> REF _Ref162029030 \h </w:instrText>
      </w:r>
      <w:r w:rsidR="004406EF">
        <w:rPr>
          <w:szCs w:val="24"/>
        </w:rPr>
        <w:instrText xml:space="preserve"> \* MERGEFORMAT </w:instrText>
      </w:r>
      <w:r w:rsidR="00EE3CDC" w:rsidRPr="004406EF">
        <w:rPr>
          <w:szCs w:val="24"/>
        </w:rPr>
      </w:r>
      <w:r w:rsidR="00EE3CDC" w:rsidRPr="004406EF">
        <w:rPr>
          <w:szCs w:val="24"/>
        </w:rPr>
        <w:fldChar w:fldCharType="separate"/>
      </w:r>
      <w:r w:rsidR="00C751E2" w:rsidRPr="00D906F0">
        <w:t xml:space="preserve">Table </w:t>
      </w:r>
      <w:r w:rsidR="00C751E2">
        <w:rPr>
          <w:noProof/>
        </w:rPr>
        <w:t>1</w:t>
      </w:r>
      <w:r w:rsidR="00EE3CDC" w:rsidRPr="004406EF">
        <w:rPr>
          <w:szCs w:val="24"/>
        </w:rPr>
        <w:fldChar w:fldCharType="end"/>
      </w:r>
      <w:r w:rsidR="00EE3CDC" w:rsidRPr="004406EF">
        <w:rPr>
          <w:szCs w:val="24"/>
        </w:rPr>
        <w:t>)</w:t>
      </w:r>
    </w:p>
    <w:p w14:paraId="09D8B508" w14:textId="2EAB0CE7" w:rsidR="00A33E06" w:rsidRPr="00D906F0" w:rsidRDefault="00A33E06" w:rsidP="001C31DE">
      <w:pPr>
        <w:pStyle w:val="TableHeading"/>
        <w:spacing w:before="240"/>
        <w:ind w:left="0" w:firstLine="0"/>
      </w:pPr>
      <w:bookmarkStart w:id="0" w:name="_Ref162029030"/>
      <w:bookmarkStart w:id="1" w:name="_Ref162029018"/>
      <w:r w:rsidRPr="00D906F0">
        <w:t xml:space="preserve">Table </w:t>
      </w:r>
      <w:r w:rsidRPr="00D906F0">
        <w:fldChar w:fldCharType="begin"/>
      </w:r>
      <w:r w:rsidRPr="00D906F0">
        <w:instrText xml:space="preserve"> SEQ Table \* ARABIC </w:instrText>
      </w:r>
      <w:r w:rsidRPr="00D906F0">
        <w:fldChar w:fldCharType="separate"/>
      </w:r>
      <w:r w:rsidR="00C751E2">
        <w:t>1</w:t>
      </w:r>
      <w:r w:rsidRPr="00D906F0">
        <w:fldChar w:fldCharType="end"/>
      </w:r>
      <w:bookmarkEnd w:id="0"/>
      <w:r w:rsidR="00D906F0" w:rsidRPr="00D906F0">
        <w:t>:</w:t>
      </w:r>
      <w:r w:rsidRPr="00D906F0">
        <w:t xml:space="preserve"> Updated results of the base case CEA in the non-alloimmunised population</w:t>
      </w:r>
      <w:bookmarkEnd w:id="1"/>
    </w:p>
    <w:tbl>
      <w:tblPr>
        <w:tblStyle w:val="TableGrid2"/>
        <w:tblW w:w="9039" w:type="dxa"/>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701"/>
        <w:gridCol w:w="1155"/>
        <w:gridCol w:w="1200"/>
        <w:gridCol w:w="1898"/>
        <w:gridCol w:w="1668"/>
        <w:gridCol w:w="1417"/>
      </w:tblGrid>
      <w:tr w:rsidR="0076328B" w:rsidRPr="005A51F8" w14:paraId="7C5B9FA7" w14:textId="77777777" w:rsidTr="00A33E06">
        <w:trPr>
          <w:cnfStyle w:val="100000000000" w:firstRow="1" w:lastRow="0" w:firstColumn="0" w:lastColumn="0" w:oddVBand="0" w:evenVBand="0" w:oddHBand="0" w:evenHBand="0" w:firstRowFirstColumn="0" w:firstRowLastColumn="0" w:lastRowFirstColumn="0" w:lastRowLastColumn="0"/>
          <w:tblHeader/>
        </w:trPr>
        <w:tc>
          <w:tcPr>
            <w:tcW w:w="1701" w:type="dxa"/>
            <w:tcBorders>
              <w:bottom w:val="single" w:sz="4" w:space="0" w:color="auto"/>
            </w:tcBorders>
          </w:tcPr>
          <w:p w14:paraId="1DC89534" w14:textId="77777777" w:rsidR="0076328B" w:rsidRPr="00F807BC" w:rsidRDefault="0076328B">
            <w:pPr>
              <w:keepNext/>
              <w:jc w:val="both"/>
              <w:rPr>
                <w:rFonts w:ascii="Arial Narrow" w:eastAsia="Arial Nova Cond" w:hAnsi="Arial Narrow" w:cs="Arial Nova Cond"/>
                <w:b/>
                <w:sz w:val="20"/>
              </w:rPr>
            </w:pPr>
          </w:p>
        </w:tc>
        <w:tc>
          <w:tcPr>
            <w:tcW w:w="1155" w:type="dxa"/>
            <w:tcBorders>
              <w:bottom w:val="single" w:sz="4" w:space="0" w:color="auto"/>
            </w:tcBorders>
            <w:vAlign w:val="center"/>
          </w:tcPr>
          <w:p w14:paraId="3310B266" w14:textId="77777777" w:rsidR="0076328B" w:rsidRPr="00F807BC" w:rsidRDefault="0076328B">
            <w:pPr>
              <w:keepNext/>
              <w:spacing w:line="259" w:lineRule="auto"/>
              <w:jc w:val="center"/>
              <w:rPr>
                <w:rFonts w:ascii="Arial Narrow" w:eastAsia="Arial Nova Cond" w:hAnsi="Arial Narrow" w:cs="Arial Nova Cond"/>
                <w:b/>
                <w:sz w:val="20"/>
              </w:rPr>
            </w:pPr>
            <w:r w:rsidRPr="00F807BC">
              <w:rPr>
                <w:rFonts w:ascii="Arial Narrow" w:eastAsia="Arial Nova Cond" w:hAnsi="Arial Narrow" w:cs="Arial Nova Cond"/>
                <w:b/>
                <w:sz w:val="20"/>
              </w:rPr>
              <w:t>Cost ($)</w:t>
            </w:r>
          </w:p>
        </w:tc>
        <w:tc>
          <w:tcPr>
            <w:tcW w:w="1200" w:type="dxa"/>
            <w:tcBorders>
              <w:bottom w:val="single" w:sz="4" w:space="0" w:color="auto"/>
            </w:tcBorders>
            <w:vAlign w:val="center"/>
          </w:tcPr>
          <w:p w14:paraId="2298C9F9" w14:textId="77777777" w:rsidR="0076328B" w:rsidRPr="00F807BC" w:rsidRDefault="0076328B">
            <w:pPr>
              <w:keepNext/>
              <w:spacing w:line="259" w:lineRule="auto"/>
              <w:jc w:val="center"/>
              <w:rPr>
                <w:rFonts w:ascii="Arial Narrow" w:eastAsia="Arial Nova Cond" w:hAnsi="Arial Narrow" w:cs="Arial Nova Cond"/>
                <w:b/>
                <w:sz w:val="20"/>
              </w:rPr>
            </w:pPr>
            <w:r w:rsidRPr="00F807BC">
              <w:rPr>
                <w:rFonts w:ascii="Arial Narrow" w:eastAsia="Arial Nova Cond" w:hAnsi="Arial Narrow" w:cs="Arial Nova Cond"/>
                <w:b/>
                <w:sz w:val="20"/>
              </w:rPr>
              <w:t>Incremental cost ($)</w:t>
            </w:r>
          </w:p>
        </w:tc>
        <w:tc>
          <w:tcPr>
            <w:tcW w:w="1898" w:type="dxa"/>
            <w:tcBorders>
              <w:bottom w:val="single" w:sz="4" w:space="0" w:color="auto"/>
            </w:tcBorders>
            <w:vAlign w:val="center"/>
          </w:tcPr>
          <w:p w14:paraId="5A8923E8" w14:textId="77777777" w:rsidR="0076328B" w:rsidRPr="00F807BC" w:rsidRDefault="0076328B">
            <w:pPr>
              <w:keepNext/>
              <w:spacing w:line="259" w:lineRule="auto"/>
              <w:jc w:val="center"/>
              <w:rPr>
                <w:rFonts w:ascii="Arial Narrow" w:eastAsia="Arial Nova Cond" w:hAnsi="Arial Narrow" w:cs="Arial Nova Cond"/>
                <w:b/>
                <w:sz w:val="20"/>
              </w:rPr>
            </w:pPr>
            <w:r w:rsidRPr="00F807BC">
              <w:rPr>
                <w:rFonts w:ascii="Arial Narrow" w:eastAsia="Arial Nova Cond" w:hAnsi="Arial Narrow" w:cs="Arial Nova Cond"/>
                <w:b/>
                <w:sz w:val="20"/>
              </w:rPr>
              <w:t>‘Effectiveness’</w:t>
            </w:r>
          </w:p>
          <w:p w14:paraId="5A335BF0" w14:textId="77777777" w:rsidR="0076328B" w:rsidRPr="00F807BC" w:rsidRDefault="0076328B">
            <w:pPr>
              <w:keepNext/>
              <w:spacing w:line="259" w:lineRule="auto"/>
              <w:jc w:val="center"/>
              <w:rPr>
                <w:rFonts w:ascii="Arial Narrow" w:eastAsia="Arial Nova Cond" w:hAnsi="Arial Narrow" w:cs="Arial Nova Cond"/>
                <w:b/>
                <w:sz w:val="20"/>
              </w:rPr>
            </w:pPr>
            <w:r w:rsidRPr="00F807BC">
              <w:rPr>
                <w:rFonts w:ascii="Arial Narrow" w:eastAsia="Arial Nova Cond" w:hAnsi="Arial Narrow" w:cs="Arial Nova Cond"/>
                <w:b/>
                <w:sz w:val="20"/>
              </w:rPr>
              <w:t>(alloimmunisations*)</w:t>
            </w:r>
          </w:p>
        </w:tc>
        <w:tc>
          <w:tcPr>
            <w:tcW w:w="1668" w:type="dxa"/>
            <w:tcBorders>
              <w:bottom w:val="single" w:sz="4" w:space="0" w:color="auto"/>
            </w:tcBorders>
            <w:vAlign w:val="center"/>
          </w:tcPr>
          <w:p w14:paraId="7F5AEC29" w14:textId="77777777" w:rsidR="0076328B" w:rsidRPr="00F807BC" w:rsidRDefault="0076328B">
            <w:pPr>
              <w:keepNext/>
              <w:spacing w:line="259" w:lineRule="auto"/>
              <w:jc w:val="center"/>
              <w:rPr>
                <w:rFonts w:ascii="Arial Narrow" w:eastAsia="Arial Nova Cond" w:hAnsi="Arial Narrow" w:cs="Arial Nova Cond"/>
                <w:b/>
                <w:sz w:val="20"/>
              </w:rPr>
            </w:pPr>
            <w:r w:rsidRPr="00F807BC">
              <w:rPr>
                <w:rFonts w:ascii="Arial Narrow" w:eastAsia="Arial Nova Cond" w:hAnsi="Arial Narrow" w:cs="Arial Nova Cond"/>
                <w:b/>
                <w:sz w:val="20"/>
              </w:rPr>
              <w:t>Incremental alloimmunisations</w:t>
            </w:r>
          </w:p>
        </w:tc>
        <w:tc>
          <w:tcPr>
            <w:tcW w:w="1417" w:type="dxa"/>
            <w:tcBorders>
              <w:bottom w:val="single" w:sz="4" w:space="0" w:color="auto"/>
            </w:tcBorders>
            <w:vAlign w:val="center"/>
          </w:tcPr>
          <w:p w14:paraId="5E22E943" w14:textId="77777777" w:rsidR="0076328B" w:rsidRPr="00F807BC" w:rsidRDefault="0076328B">
            <w:pPr>
              <w:keepNext/>
              <w:jc w:val="center"/>
              <w:rPr>
                <w:rFonts w:ascii="Arial Narrow" w:eastAsia="Arial Nova Cond" w:hAnsi="Arial Narrow" w:cs="Arial Nova Cond"/>
                <w:b/>
                <w:sz w:val="20"/>
              </w:rPr>
            </w:pPr>
            <w:r w:rsidRPr="00F807BC">
              <w:rPr>
                <w:rFonts w:ascii="Arial Narrow" w:eastAsia="Arial Nova Cond" w:hAnsi="Arial Narrow" w:cs="Arial Nova Cond"/>
                <w:b/>
                <w:sz w:val="20"/>
              </w:rPr>
              <w:t>ICER</w:t>
            </w:r>
          </w:p>
        </w:tc>
      </w:tr>
      <w:tr w:rsidR="0076328B" w:rsidRPr="005A51F8" w14:paraId="07D04F58" w14:textId="77777777" w:rsidTr="00A33E06">
        <w:trPr>
          <w:cnfStyle w:val="100000000000" w:firstRow="1" w:lastRow="0" w:firstColumn="0" w:lastColumn="0" w:oddVBand="0" w:evenVBand="0" w:oddHBand="0" w:evenHBand="0" w:firstRowFirstColumn="0" w:firstRowLastColumn="0" w:lastRowFirstColumn="0" w:lastRowLastColumn="0"/>
          <w:tblHeader/>
        </w:trPr>
        <w:tc>
          <w:tcPr>
            <w:tcW w:w="9039" w:type="dxa"/>
            <w:gridSpan w:val="6"/>
            <w:tcBorders>
              <w:bottom w:val="single" w:sz="4" w:space="0" w:color="auto"/>
            </w:tcBorders>
          </w:tcPr>
          <w:p w14:paraId="6208D495" w14:textId="77777777" w:rsidR="0076328B" w:rsidRPr="00F807BC" w:rsidRDefault="0076328B">
            <w:pPr>
              <w:keepNext/>
              <w:rPr>
                <w:rFonts w:ascii="Arial Narrow" w:eastAsia="Arial Nova Cond" w:hAnsi="Arial Narrow" w:cs="Arial Nova Cond"/>
                <w:b/>
                <w:sz w:val="20"/>
              </w:rPr>
            </w:pPr>
            <w:r w:rsidRPr="00F807BC">
              <w:rPr>
                <w:rFonts w:ascii="Arial Narrow" w:eastAsia="Arial Nova Cond" w:hAnsi="Arial Narrow" w:cs="Arial Nova Cond"/>
                <w:b/>
                <w:sz w:val="20"/>
              </w:rPr>
              <w:t>DCAR’s results</w:t>
            </w:r>
          </w:p>
        </w:tc>
      </w:tr>
      <w:tr w:rsidR="001E72B8" w:rsidRPr="005A51F8" w14:paraId="632864D1" w14:textId="77777777" w:rsidTr="001E72B8">
        <w:trPr>
          <w:trHeight w:val="330"/>
        </w:trPr>
        <w:tc>
          <w:tcPr>
            <w:tcW w:w="1701" w:type="dxa"/>
          </w:tcPr>
          <w:p w14:paraId="5D809612" w14:textId="77777777" w:rsidR="001E72B8" w:rsidRPr="00FC731B" w:rsidRDefault="001E72B8">
            <w:pPr>
              <w:keepNext/>
              <w:rPr>
                <w:rFonts w:eastAsia="Arial Nova Cond" w:cs="Arial Nova Cond"/>
                <w:sz w:val="20"/>
              </w:rPr>
            </w:pPr>
            <w:r w:rsidRPr="00FC731B">
              <w:rPr>
                <w:rFonts w:eastAsia="Arial Nova Cond" w:cs="Arial Nova Cond"/>
                <w:sz w:val="20"/>
              </w:rPr>
              <w:t>NIPT-guided anti-D immunoglobulin</w:t>
            </w:r>
          </w:p>
        </w:tc>
        <w:tc>
          <w:tcPr>
            <w:tcW w:w="1155" w:type="dxa"/>
            <w:vAlign w:val="center"/>
          </w:tcPr>
          <w:p w14:paraId="290A05BC" w14:textId="77777777" w:rsidR="001E72B8" w:rsidRPr="00FC731B" w:rsidRDefault="001E72B8">
            <w:pPr>
              <w:keepNext/>
              <w:jc w:val="center"/>
              <w:rPr>
                <w:rFonts w:eastAsia="Arial Nova Cond" w:cs="Arial Nova Cond"/>
                <w:sz w:val="20"/>
              </w:rPr>
            </w:pPr>
            <w:r w:rsidRPr="00FC731B">
              <w:rPr>
                <w:rFonts w:eastAsia="Arial Nova Cond" w:cs="Arial Nova Cond"/>
                <w:sz w:val="20"/>
              </w:rPr>
              <w:t>337.88</w:t>
            </w:r>
          </w:p>
        </w:tc>
        <w:tc>
          <w:tcPr>
            <w:tcW w:w="1200" w:type="dxa"/>
            <w:vMerge w:val="restart"/>
            <w:vAlign w:val="center"/>
          </w:tcPr>
          <w:p w14:paraId="008AC4EF" w14:textId="77777777" w:rsidR="001E72B8" w:rsidRPr="00FC731B" w:rsidRDefault="001E72B8">
            <w:pPr>
              <w:keepNext/>
              <w:jc w:val="center"/>
              <w:rPr>
                <w:rFonts w:eastAsia="Arial Nova Cond" w:cs="Arial Nova Cond"/>
                <w:sz w:val="20"/>
              </w:rPr>
            </w:pPr>
            <w:r w:rsidRPr="00FC731B">
              <w:rPr>
                <w:rFonts w:eastAsia="Arial Nova Cond" w:cs="Arial Nova Cond"/>
                <w:sz w:val="20"/>
              </w:rPr>
              <w:t>- 9.17</w:t>
            </w:r>
          </w:p>
        </w:tc>
        <w:tc>
          <w:tcPr>
            <w:tcW w:w="1898" w:type="dxa"/>
            <w:vAlign w:val="center"/>
          </w:tcPr>
          <w:p w14:paraId="66B1AAD0" w14:textId="77777777" w:rsidR="001E72B8" w:rsidRPr="00FC731B" w:rsidRDefault="001E72B8">
            <w:pPr>
              <w:keepNext/>
              <w:jc w:val="center"/>
              <w:rPr>
                <w:rFonts w:eastAsia="Arial Nova Cond" w:cs="Arial Nova Cond"/>
                <w:sz w:val="20"/>
              </w:rPr>
            </w:pPr>
            <w:r w:rsidRPr="00FC731B">
              <w:rPr>
                <w:rFonts w:eastAsia="Arial Nova Cond" w:cs="Arial Nova Cond"/>
                <w:sz w:val="20"/>
              </w:rPr>
              <w:t>0.0017715</w:t>
            </w:r>
          </w:p>
        </w:tc>
        <w:tc>
          <w:tcPr>
            <w:tcW w:w="1668" w:type="dxa"/>
            <w:vMerge w:val="restart"/>
            <w:vAlign w:val="center"/>
          </w:tcPr>
          <w:p w14:paraId="48F2CAED" w14:textId="77777777" w:rsidR="001E72B8" w:rsidRPr="00FC731B" w:rsidRDefault="001E72B8">
            <w:pPr>
              <w:keepNext/>
              <w:jc w:val="center"/>
              <w:rPr>
                <w:rFonts w:eastAsia="Arial Nova Cond" w:cs="Arial Nova Cond"/>
                <w:sz w:val="20"/>
              </w:rPr>
            </w:pPr>
            <w:r w:rsidRPr="00FC731B">
              <w:rPr>
                <w:rFonts w:eastAsia="Arial Nova Cond" w:cs="Arial Nova Cond"/>
                <w:sz w:val="20"/>
              </w:rPr>
              <w:t>0.0000587</w:t>
            </w:r>
          </w:p>
        </w:tc>
        <w:tc>
          <w:tcPr>
            <w:tcW w:w="1417" w:type="dxa"/>
            <w:vMerge w:val="restart"/>
            <w:vAlign w:val="center"/>
          </w:tcPr>
          <w:p w14:paraId="255FB17A" w14:textId="34F200A8" w:rsidR="001E72B8" w:rsidRPr="00FC731B" w:rsidRDefault="001E72B8" w:rsidP="001E72B8">
            <w:pPr>
              <w:keepNext/>
              <w:spacing w:before="0" w:after="0"/>
              <w:rPr>
                <w:rFonts w:eastAsia="Arial Nova Cond" w:cs="Arial Nova Cond"/>
                <w:sz w:val="20"/>
              </w:rPr>
            </w:pPr>
            <w:r w:rsidRPr="00FC731B">
              <w:rPr>
                <w:rFonts w:eastAsia="Arial Nova Cond" w:cs="Arial Nova Cond"/>
                <w:sz w:val="20"/>
              </w:rPr>
              <w:t xml:space="preserve">NIPT-guided anti-D immunoglobulin is </w:t>
            </w:r>
            <w:r w:rsidRPr="00FC731B">
              <w:rPr>
                <w:rFonts w:eastAsia="Arial Nova Cond" w:cs="Arial Nova Cond"/>
                <w:b/>
                <w:sz w:val="20"/>
              </w:rPr>
              <w:t xml:space="preserve">less </w:t>
            </w:r>
            <w:r w:rsidRPr="00FC731B">
              <w:rPr>
                <w:rFonts w:eastAsia="Arial Nova Cond" w:cs="Arial Nova Cond"/>
                <w:sz w:val="20"/>
              </w:rPr>
              <w:t xml:space="preserve">expensive and </w:t>
            </w:r>
            <w:r w:rsidRPr="00FC731B">
              <w:rPr>
                <w:rFonts w:eastAsia="Arial Nova Cond" w:cs="Arial Nova Cond"/>
                <w:b/>
                <w:sz w:val="20"/>
              </w:rPr>
              <w:t xml:space="preserve">less </w:t>
            </w:r>
            <w:r w:rsidRPr="00FC731B">
              <w:rPr>
                <w:rFonts w:eastAsia="Arial Nova Cond" w:cs="Arial Nova Cond"/>
                <w:sz w:val="20"/>
              </w:rPr>
              <w:t>effective</w:t>
            </w:r>
          </w:p>
        </w:tc>
      </w:tr>
      <w:tr w:rsidR="001E72B8" w:rsidRPr="005A51F8" w14:paraId="259BBB62" w14:textId="77777777" w:rsidTr="00410942">
        <w:tc>
          <w:tcPr>
            <w:tcW w:w="1701" w:type="dxa"/>
          </w:tcPr>
          <w:p w14:paraId="1FB09B6A" w14:textId="77777777" w:rsidR="001E72B8" w:rsidRPr="00FC731B" w:rsidRDefault="001E72B8">
            <w:pPr>
              <w:keepNext/>
              <w:rPr>
                <w:rFonts w:eastAsia="Arial Nova Cond" w:cs="Arial Nova Cond"/>
                <w:sz w:val="20"/>
              </w:rPr>
            </w:pPr>
            <w:r w:rsidRPr="00FC731B">
              <w:rPr>
                <w:rFonts w:eastAsia="Arial Nova Cond" w:cs="Arial Nova Cond"/>
                <w:sz w:val="20"/>
              </w:rPr>
              <w:t>Universal anti-D immunoglobulin</w:t>
            </w:r>
          </w:p>
        </w:tc>
        <w:tc>
          <w:tcPr>
            <w:tcW w:w="1155" w:type="dxa"/>
            <w:vAlign w:val="center"/>
          </w:tcPr>
          <w:p w14:paraId="55470427" w14:textId="77777777" w:rsidR="001E72B8" w:rsidRPr="00FC731B" w:rsidRDefault="001E72B8">
            <w:pPr>
              <w:keepNext/>
              <w:jc w:val="center"/>
              <w:rPr>
                <w:rFonts w:eastAsia="Arial Nova Cond" w:cs="Arial Nova Cond"/>
                <w:sz w:val="20"/>
              </w:rPr>
            </w:pPr>
            <w:r w:rsidRPr="00FC731B">
              <w:rPr>
                <w:rFonts w:eastAsia="Arial Nova Cond" w:cs="Arial Nova Cond"/>
                <w:sz w:val="20"/>
              </w:rPr>
              <w:t>347.06</w:t>
            </w:r>
          </w:p>
        </w:tc>
        <w:tc>
          <w:tcPr>
            <w:tcW w:w="1200" w:type="dxa"/>
            <w:vMerge/>
            <w:vAlign w:val="center"/>
          </w:tcPr>
          <w:p w14:paraId="2077336C" w14:textId="77777777" w:rsidR="001E72B8" w:rsidRPr="00FC731B" w:rsidRDefault="001E72B8">
            <w:pPr>
              <w:keepNext/>
              <w:jc w:val="center"/>
              <w:rPr>
                <w:sz w:val="20"/>
              </w:rPr>
            </w:pPr>
          </w:p>
        </w:tc>
        <w:tc>
          <w:tcPr>
            <w:tcW w:w="1898" w:type="dxa"/>
            <w:vAlign w:val="center"/>
          </w:tcPr>
          <w:p w14:paraId="17FC7540" w14:textId="77777777" w:rsidR="001E72B8" w:rsidRPr="00FC731B" w:rsidRDefault="001E72B8">
            <w:pPr>
              <w:keepNext/>
              <w:jc w:val="center"/>
              <w:rPr>
                <w:rFonts w:eastAsia="Arial Nova Cond" w:cs="Arial Nova Cond"/>
                <w:sz w:val="20"/>
              </w:rPr>
            </w:pPr>
            <w:r w:rsidRPr="00FC731B">
              <w:rPr>
                <w:rFonts w:eastAsia="Arial Nova Cond" w:cs="Arial Nova Cond"/>
                <w:sz w:val="20"/>
              </w:rPr>
              <w:t>0.0017129</w:t>
            </w:r>
          </w:p>
        </w:tc>
        <w:tc>
          <w:tcPr>
            <w:tcW w:w="1668" w:type="dxa"/>
            <w:vMerge/>
          </w:tcPr>
          <w:p w14:paraId="4B2AE8DF" w14:textId="77777777" w:rsidR="001E72B8" w:rsidRPr="00FC731B" w:rsidRDefault="001E72B8">
            <w:pPr>
              <w:keepNext/>
              <w:jc w:val="both"/>
              <w:rPr>
                <w:sz w:val="20"/>
              </w:rPr>
            </w:pPr>
          </w:p>
        </w:tc>
        <w:tc>
          <w:tcPr>
            <w:tcW w:w="1417" w:type="dxa"/>
            <w:vMerge/>
          </w:tcPr>
          <w:p w14:paraId="48349DEF" w14:textId="4894B6C3" w:rsidR="001E72B8" w:rsidRPr="00FC731B" w:rsidRDefault="001E72B8">
            <w:pPr>
              <w:keepNext/>
              <w:spacing w:before="0" w:after="0"/>
              <w:rPr>
                <w:rFonts w:eastAsia="Arial Nova Cond" w:cs="Arial Nova Cond"/>
                <w:sz w:val="20"/>
              </w:rPr>
            </w:pPr>
          </w:p>
        </w:tc>
      </w:tr>
      <w:tr w:rsidR="0076328B" w:rsidRPr="005A51F8" w14:paraId="0CE3BA18" w14:textId="77777777" w:rsidTr="00A33E06">
        <w:trPr>
          <w:tblHeader/>
        </w:trPr>
        <w:tc>
          <w:tcPr>
            <w:tcW w:w="9039" w:type="dxa"/>
            <w:gridSpan w:val="6"/>
            <w:tcBorders>
              <w:bottom w:val="single" w:sz="4" w:space="0" w:color="auto"/>
            </w:tcBorders>
          </w:tcPr>
          <w:p w14:paraId="6270651B" w14:textId="77777777" w:rsidR="0076328B" w:rsidRPr="00FC731B" w:rsidRDefault="0076328B">
            <w:pPr>
              <w:keepNext/>
              <w:rPr>
                <w:rFonts w:eastAsia="Arial Nova Cond" w:cs="Arial Nova Cond"/>
                <w:b/>
                <w:i/>
                <w:sz w:val="20"/>
              </w:rPr>
            </w:pPr>
            <w:r w:rsidRPr="00FC731B">
              <w:rPr>
                <w:rFonts w:eastAsia="Arial Nova Cond" w:cs="Arial Nova Cond"/>
                <w:b/>
                <w:i/>
                <w:color w:val="0070C0"/>
                <w:sz w:val="20"/>
              </w:rPr>
              <w:t>Updated results</w:t>
            </w:r>
          </w:p>
        </w:tc>
      </w:tr>
      <w:tr w:rsidR="001E72B8" w:rsidRPr="005A51F8" w14:paraId="3D0F43A7" w14:textId="77777777" w:rsidTr="001E72B8">
        <w:trPr>
          <w:trHeight w:val="330"/>
        </w:trPr>
        <w:tc>
          <w:tcPr>
            <w:tcW w:w="1701" w:type="dxa"/>
          </w:tcPr>
          <w:p w14:paraId="1766D2CF" w14:textId="77777777" w:rsidR="001E72B8" w:rsidRPr="00FC731B" w:rsidRDefault="001E72B8">
            <w:pPr>
              <w:rPr>
                <w:rFonts w:eastAsia="Arial Nova Cond" w:cs="Arial Nova Cond"/>
                <w:sz w:val="20"/>
              </w:rPr>
            </w:pPr>
            <w:r w:rsidRPr="00FC731B">
              <w:rPr>
                <w:rFonts w:eastAsia="Arial Nova Cond" w:cs="Arial Nova Cond"/>
                <w:sz w:val="20"/>
              </w:rPr>
              <w:t>NIPT-guided anti-D immunoglobulin</w:t>
            </w:r>
          </w:p>
        </w:tc>
        <w:tc>
          <w:tcPr>
            <w:tcW w:w="1155" w:type="dxa"/>
            <w:vAlign w:val="center"/>
          </w:tcPr>
          <w:p w14:paraId="5EB2097E" w14:textId="77777777" w:rsidR="001E72B8" w:rsidRPr="00FC731B" w:rsidRDefault="001E72B8">
            <w:pPr>
              <w:jc w:val="center"/>
              <w:rPr>
                <w:rFonts w:eastAsia="Arial Nova Cond" w:cs="Arial Nova Cond"/>
                <w:i/>
                <w:sz w:val="20"/>
              </w:rPr>
            </w:pPr>
            <w:r w:rsidRPr="00FC731B">
              <w:rPr>
                <w:rFonts w:eastAsia="Arial Nova Cond" w:cs="Arial Nova Cond"/>
                <w:i/>
                <w:color w:val="0070C0"/>
                <w:sz w:val="20"/>
              </w:rPr>
              <w:t>439.51</w:t>
            </w:r>
          </w:p>
        </w:tc>
        <w:tc>
          <w:tcPr>
            <w:tcW w:w="1200" w:type="dxa"/>
            <w:vMerge w:val="restart"/>
            <w:vAlign w:val="center"/>
          </w:tcPr>
          <w:p w14:paraId="6F230CC0" w14:textId="77777777" w:rsidR="001E72B8" w:rsidRPr="00FC731B" w:rsidRDefault="001E72B8">
            <w:pPr>
              <w:jc w:val="center"/>
              <w:rPr>
                <w:rFonts w:eastAsia="Arial Nova Cond" w:cs="Arial Nova Cond"/>
                <w:i/>
                <w:sz w:val="20"/>
              </w:rPr>
            </w:pPr>
            <w:r w:rsidRPr="00FC731B">
              <w:rPr>
                <w:rFonts w:eastAsia="Arial Nova Cond" w:cs="Arial Nova Cond"/>
                <w:i/>
                <w:color w:val="0070C0"/>
                <w:sz w:val="20"/>
              </w:rPr>
              <w:t>80.47</w:t>
            </w:r>
          </w:p>
        </w:tc>
        <w:tc>
          <w:tcPr>
            <w:tcW w:w="1898" w:type="dxa"/>
            <w:vAlign w:val="center"/>
          </w:tcPr>
          <w:p w14:paraId="2EAD03C2" w14:textId="77777777" w:rsidR="001E72B8" w:rsidRPr="00FC731B" w:rsidRDefault="001E72B8">
            <w:pPr>
              <w:jc w:val="center"/>
              <w:rPr>
                <w:rFonts w:eastAsia="Arial Nova Cond" w:cs="Arial Nova Cond"/>
                <w:sz w:val="20"/>
              </w:rPr>
            </w:pPr>
            <w:r w:rsidRPr="00FC731B">
              <w:rPr>
                <w:rFonts w:eastAsia="Arial Nova Cond" w:cs="Arial Nova Cond"/>
                <w:sz w:val="20"/>
              </w:rPr>
              <w:t>0.0017715</w:t>
            </w:r>
          </w:p>
        </w:tc>
        <w:tc>
          <w:tcPr>
            <w:tcW w:w="1668" w:type="dxa"/>
            <w:vMerge w:val="restart"/>
            <w:vAlign w:val="center"/>
          </w:tcPr>
          <w:p w14:paraId="3E75F36E" w14:textId="77777777" w:rsidR="001E72B8" w:rsidRPr="00FC731B" w:rsidRDefault="001E72B8">
            <w:pPr>
              <w:jc w:val="center"/>
              <w:rPr>
                <w:rFonts w:eastAsia="Arial Nova Cond" w:cs="Arial Nova Cond"/>
                <w:sz w:val="20"/>
              </w:rPr>
            </w:pPr>
            <w:bookmarkStart w:id="2" w:name="_Hlk135317185"/>
            <w:r w:rsidRPr="00FC731B">
              <w:rPr>
                <w:rFonts w:eastAsia="Arial Nova Cond" w:cs="Arial Nova Cond"/>
                <w:sz w:val="20"/>
              </w:rPr>
              <w:t>0.0000587</w:t>
            </w:r>
            <w:bookmarkEnd w:id="2"/>
          </w:p>
        </w:tc>
        <w:tc>
          <w:tcPr>
            <w:tcW w:w="1417" w:type="dxa"/>
            <w:vMerge w:val="restart"/>
            <w:vAlign w:val="center"/>
          </w:tcPr>
          <w:p w14:paraId="4E08A784" w14:textId="67C55B5B" w:rsidR="001E72B8" w:rsidRPr="00FC731B" w:rsidRDefault="001E72B8" w:rsidP="001E72B8">
            <w:pPr>
              <w:spacing w:before="0" w:after="0"/>
              <w:rPr>
                <w:rFonts w:eastAsia="Arial Nova Cond" w:cs="Arial Nova Cond"/>
                <w:sz w:val="20"/>
              </w:rPr>
            </w:pPr>
            <w:r w:rsidRPr="00FC731B">
              <w:rPr>
                <w:rFonts w:eastAsia="Arial Nova Cond" w:cs="Arial Nova Cond"/>
                <w:sz w:val="20"/>
              </w:rPr>
              <w:t xml:space="preserve">NIPT-guided anti-D immunoglobulin is </w:t>
            </w:r>
            <w:r w:rsidRPr="00FC731B">
              <w:rPr>
                <w:rFonts w:eastAsia="Arial Nova Cond" w:cs="Arial Nova Cond"/>
                <w:b/>
                <w:i/>
                <w:color w:val="0070C0"/>
                <w:sz w:val="20"/>
              </w:rPr>
              <w:t xml:space="preserve">more </w:t>
            </w:r>
            <w:r w:rsidRPr="00FC731B">
              <w:rPr>
                <w:rFonts w:eastAsia="Arial Nova Cond" w:cs="Arial Nova Cond"/>
                <w:sz w:val="20"/>
              </w:rPr>
              <w:t xml:space="preserve">expensive and </w:t>
            </w:r>
            <w:r w:rsidRPr="00FC731B">
              <w:rPr>
                <w:rFonts w:eastAsia="Arial Nova Cond" w:cs="Arial Nova Cond"/>
                <w:b/>
                <w:sz w:val="20"/>
              </w:rPr>
              <w:t xml:space="preserve">less </w:t>
            </w:r>
            <w:r w:rsidRPr="00FC731B">
              <w:rPr>
                <w:rFonts w:eastAsia="Arial Nova Cond" w:cs="Arial Nova Cond"/>
                <w:sz w:val="20"/>
              </w:rPr>
              <w:t>effective</w:t>
            </w:r>
          </w:p>
        </w:tc>
      </w:tr>
      <w:tr w:rsidR="001E72B8" w:rsidRPr="005A51F8" w14:paraId="37EBB671" w14:textId="77777777" w:rsidTr="00C95258">
        <w:tc>
          <w:tcPr>
            <w:tcW w:w="1701" w:type="dxa"/>
          </w:tcPr>
          <w:p w14:paraId="0DA32933" w14:textId="77777777" w:rsidR="001E72B8" w:rsidRPr="00FC731B" w:rsidRDefault="001E72B8">
            <w:pPr>
              <w:rPr>
                <w:rFonts w:eastAsia="Arial Nova Cond" w:cs="Arial Nova Cond"/>
                <w:sz w:val="20"/>
              </w:rPr>
            </w:pPr>
            <w:r w:rsidRPr="00FC731B">
              <w:rPr>
                <w:rFonts w:eastAsia="Arial Nova Cond" w:cs="Arial Nova Cond"/>
                <w:sz w:val="20"/>
              </w:rPr>
              <w:t>Universal anti-D immunoglobulin</w:t>
            </w:r>
          </w:p>
        </w:tc>
        <w:tc>
          <w:tcPr>
            <w:tcW w:w="1155" w:type="dxa"/>
            <w:vAlign w:val="center"/>
          </w:tcPr>
          <w:p w14:paraId="47704099" w14:textId="77777777" w:rsidR="001E72B8" w:rsidRPr="00FC731B" w:rsidRDefault="001E72B8">
            <w:pPr>
              <w:jc w:val="center"/>
              <w:rPr>
                <w:rFonts w:eastAsia="Arial Nova Cond" w:cs="Arial Nova Cond"/>
                <w:i/>
                <w:sz w:val="20"/>
              </w:rPr>
            </w:pPr>
            <w:r w:rsidRPr="00FC731B">
              <w:rPr>
                <w:rFonts w:eastAsia="Arial Nova Cond" w:cs="Arial Nova Cond"/>
                <w:i/>
                <w:color w:val="0070C0"/>
                <w:sz w:val="20"/>
              </w:rPr>
              <w:t>359.04</w:t>
            </w:r>
          </w:p>
        </w:tc>
        <w:tc>
          <w:tcPr>
            <w:tcW w:w="1200" w:type="dxa"/>
            <w:vMerge/>
            <w:vAlign w:val="center"/>
          </w:tcPr>
          <w:p w14:paraId="386B1AD4" w14:textId="77777777" w:rsidR="001E72B8" w:rsidRPr="00FC731B" w:rsidRDefault="001E72B8">
            <w:pPr>
              <w:jc w:val="center"/>
              <w:rPr>
                <w:sz w:val="20"/>
              </w:rPr>
            </w:pPr>
          </w:p>
        </w:tc>
        <w:tc>
          <w:tcPr>
            <w:tcW w:w="1898" w:type="dxa"/>
            <w:vAlign w:val="center"/>
          </w:tcPr>
          <w:p w14:paraId="7FF10A68" w14:textId="77777777" w:rsidR="001E72B8" w:rsidRPr="00FC731B" w:rsidRDefault="001E72B8">
            <w:pPr>
              <w:jc w:val="center"/>
              <w:rPr>
                <w:rFonts w:eastAsia="Arial Nova Cond" w:cs="Arial Nova Cond"/>
                <w:sz w:val="20"/>
              </w:rPr>
            </w:pPr>
            <w:r w:rsidRPr="00FC731B">
              <w:rPr>
                <w:rFonts w:eastAsia="Arial Nova Cond" w:cs="Arial Nova Cond"/>
                <w:sz w:val="20"/>
              </w:rPr>
              <w:t>0.0017129</w:t>
            </w:r>
          </w:p>
        </w:tc>
        <w:tc>
          <w:tcPr>
            <w:tcW w:w="1668" w:type="dxa"/>
            <w:vMerge/>
          </w:tcPr>
          <w:p w14:paraId="5D293E5A" w14:textId="77777777" w:rsidR="001E72B8" w:rsidRPr="00FC731B" w:rsidRDefault="001E72B8">
            <w:pPr>
              <w:jc w:val="both"/>
              <w:rPr>
                <w:sz w:val="20"/>
              </w:rPr>
            </w:pPr>
          </w:p>
        </w:tc>
        <w:tc>
          <w:tcPr>
            <w:tcW w:w="1417" w:type="dxa"/>
            <w:vMerge/>
          </w:tcPr>
          <w:p w14:paraId="1249E53B" w14:textId="3550237C" w:rsidR="001E72B8" w:rsidRPr="00FC731B" w:rsidRDefault="001E72B8">
            <w:pPr>
              <w:spacing w:before="0" w:after="0"/>
              <w:rPr>
                <w:rFonts w:eastAsia="Arial Nova Cond" w:cs="Arial Nova Cond"/>
                <w:sz w:val="20"/>
              </w:rPr>
            </w:pPr>
          </w:p>
        </w:tc>
      </w:tr>
    </w:tbl>
    <w:p w14:paraId="68C2D4C1" w14:textId="77777777" w:rsidR="0076328B" w:rsidRDefault="0076328B" w:rsidP="0076328B">
      <w:pPr>
        <w:jc w:val="both"/>
        <w:rPr>
          <w:rFonts w:ascii="Arial Narrow" w:hAnsi="Arial Narrow"/>
          <w:sz w:val="18"/>
        </w:rPr>
      </w:pPr>
      <w:r>
        <w:rPr>
          <w:rFonts w:ascii="Arial Narrow" w:hAnsi="Arial Narrow"/>
          <w:sz w:val="18"/>
        </w:rPr>
        <w:t xml:space="preserve">CEA = cost-effectiveness analysis; DCAR = Department-contracted assessment report; </w:t>
      </w:r>
      <w:r w:rsidRPr="00822A07">
        <w:rPr>
          <w:rFonts w:ascii="Arial Narrow" w:hAnsi="Arial Narrow"/>
          <w:sz w:val="18"/>
        </w:rPr>
        <w:t>ICER = Incremental Cost Effectiveness Ratio</w:t>
      </w:r>
      <w:r>
        <w:rPr>
          <w:rFonts w:ascii="Arial Narrow" w:hAnsi="Arial Narrow"/>
          <w:sz w:val="18"/>
        </w:rPr>
        <w:t>; NIPT = non-invasive prenatal testing.</w:t>
      </w:r>
    </w:p>
    <w:p w14:paraId="1568E9CD" w14:textId="77777777" w:rsidR="0076328B" w:rsidRDefault="0076328B" w:rsidP="0076328B">
      <w:pPr>
        <w:pStyle w:val="5Bodytext"/>
        <w:spacing w:after="0"/>
        <w:rPr>
          <w:rFonts w:ascii="Arial Narrow" w:hAnsi="Arial Narrow"/>
          <w:sz w:val="18"/>
          <w:szCs w:val="18"/>
        </w:rPr>
      </w:pPr>
      <w:r w:rsidRPr="39941478">
        <w:rPr>
          <w:rFonts w:ascii="Arial Narrow" w:hAnsi="Arial Narrow"/>
          <w:sz w:val="18"/>
          <w:szCs w:val="18"/>
        </w:rPr>
        <w:t>* used in the population-based model</w:t>
      </w:r>
    </w:p>
    <w:p w14:paraId="2C107DEB" w14:textId="341E5ECE" w:rsidR="008C7BE1" w:rsidRDefault="008C7BE1" w:rsidP="0076328B">
      <w:pPr>
        <w:pStyle w:val="5Bodytext"/>
        <w:spacing w:after="0"/>
        <w:rPr>
          <w:rFonts w:ascii="Times New Roman" w:hAnsi="Times New Roman"/>
          <w:highlight w:val="cyan"/>
        </w:rPr>
      </w:pPr>
      <w:r>
        <w:rPr>
          <w:rFonts w:ascii="Arial Narrow" w:hAnsi="Arial Narrow"/>
          <w:sz w:val="18"/>
          <w:szCs w:val="18"/>
        </w:rPr>
        <w:t xml:space="preserve">Blue </w:t>
      </w:r>
      <w:r w:rsidR="005316A4">
        <w:rPr>
          <w:rFonts w:ascii="Arial Narrow" w:hAnsi="Arial Narrow"/>
          <w:sz w:val="18"/>
          <w:szCs w:val="18"/>
        </w:rPr>
        <w:t xml:space="preserve">italicised </w:t>
      </w:r>
      <w:r>
        <w:rPr>
          <w:rFonts w:ascii="Arial Narrow" w:hAnsi="Arial Narrow"/>
          <w:sz w:val="18"/>
          <w:szCs w:val="18"/>
        </w:rPr>
        <w:t>font indicates updates to the DCAR’s results</w:t>
      </w:r>
      <w:r w:rsidR="00FF581E">
        <w:rPr>
          <w:rFonts w:ascii="Arial Narrow" w:hAnsi="Arial Narrow"/>
          <w:sz w:val="18"/>
          <w:szCs w:val="18"/>
        </w:rPr>
        <w:t>, for the RCPA’s proposed fee ($150.37)</w:t>
      </w:r>
      <w:r w:rsidR="001E72B8" w:rsidRPr="00BB74E0">
        <w:rPr>
          <w:rFonts w:ascii="Arial Narrow" w:hAnsi="Arial Narrow"/>
          <w:sz w:val="18"/>
          <w:szCs w:val="18"/>
        </w:rPr>
        <w:t xml:space="preserve"> </w:t>
      </w:r>
      <w:r w:rsidR="001E72B8">
        <w:rPr>
          <w:rFonts w:ascii="Arial Narrow" w:hAnsi="Arial Narrow"/>
          <w:sz w:val="18"/>
          <w:szCs w:val="18"/>
        </w:rPr>
        <w:t>and updated immunoglobulin prices from the National Product Price List (NPPL; accessed 23 May 2023)</w:t>
      </w:r>
      <w:r w:rsidR="005316A4">
        <w:rPr>
          <w:rFonts w:ascii="Arial Narrow" w:hAnsi="Arial Narrow"/>
          <w:sz w:val="18"/>
          <w:szCs w:val="18"/>
        </w:rPr>
        <w:t>.</w:t>
      </w:r>
    </w:p>
    <w:p w14:paraId="35E3EE01" w14:textId="0017F4ED" w:rsidR="00D43678" w:rsidRPr="004406EF" w:rsidRDefault="00D43678" w:rsidP="001C31DE">
      <w:pPr>
        <w:tabs>
          <w:tab w:val="left" w:pos="3686"/>
        </w:tabs>
        <w:spacing w:before="240"/>
        <w:rPr>
          <w:szCs w:val="24"/>
        </w:rPr>
      </w:pPr>
      <w:r w:rsidRPr="004406EF">
        <w:rPr>
          <w:szCs w:val="24"/>
        </w:rPr>
        <w:t>The MSAC Executive considered that the economic model was a cost-effectiveness analysis with effectiveness measured in terms of incremental alloimmunisations avoided, which would not capture all health outcomes from RhD NIPT. The MSAC Executive considered that the supply of anti-D Ig in Australian is small and relies on a diminishing pool of altruistic ageing donors, and foreshadowed that while it may be stable currently, anti-D Ig supply was likely to be less certain in the future. The MSAC Executive noted that genetically modified anti-D Ig may be available in the future, but considered this could not be relied upon to ensure supply. The MSAC Executive therefore advised the fee increase was acceptably cost-effective, and it supported the proposed fee increase to MBS item 73420, to ensure improved anti-D Ig supply into the future.</w:t>
      </w:r>
    </w:p>
    <w:p w14:paraId="6C4FA3A0" w14:textId="1DD9FF69" w:rsidR="00462933" w:rsidRPr="004406EF" w:rsidRDefault="00D43678" w:rsidP="00D43678">
      <w:pPr>
        <w:pStyle w:val="Default"/>
        <w:rPr>
          <w:color w:val="auto"/>
        </w:rPr>
      </w:pPr>
      <w:r w:rsidRPr="004406EF">
        <w:rPr>
          <w:color w:val="auto"/>
        </w:rPr>
        <w:lastRenderedPageBreak/>
        <w:t>The MSAC Executive noted its supported fee increase would have a net financial cost of $6.1-6.2 million per year to the MBS (excluding co-payments), although would reduce spending by the National Blood Authority on anti-D Ig by approximately $1.8 million per year</w:t>
      </w:r>
      <w:r w:rsidR="005316A4" w:rsidRPr="004406EF">
        <w:rPr>
          <w:color w:val="auto"/>
        </w:rPr>
        <w:t xml:space="preserve"> (</w:t>
      </w:r>
      <w:r w:rsidR="00EE3CDC" w:rsidRPr="004406EF">
        <w:fldChar w:fldCharType="begin"/>
      </w:r>
      <w:r w:rsidR="00EE3CDC" w:rsidRPr="004406EF">
        <w:rPr>
          <w:color w:val="auto"/>
        </w:rPr>
        <w:instrText xml:space="preserve"> REF _Ref162029082 \h </w:instrText>
      </w:r>
      <w:r w:rsidR="004406EF">
        <w:instrText xml:space="preserve"> \* MERGEFORMAT </w:instrText>
      </w:r>
      <w:r w:rsidR="00EE3CDC" w:rsidRPr="004406EF">
        <w:fldChar w:fldCharType="separate"/>
      </w:r>
      <w:r w:rsidR="00C751E2">
        <w:t xml:space="preserve">Table </w:t>
      </w:r>
      <w:r w:rsidR="00C751E2">
        <w:rPr>
          <w:noProof/>
        </w:rPr>
        <w:t>2</w:t>
      </w:r>
      <w:r w:rsidR="00EE3CDC" w:rsidRPr="004406EF">
        <w:fldChar w:fldCharType="end"/>
      </w:r>
      <w:r w:rsidR="00EE3CDC" w:rsidRPr="004406EF">
        <w:rPr>
          <w:color w:val="auto"/>
        </w:rPr>
        <w:t>) and</w:t>
      </w:r>
      <w:r w:rsidRPr="004406EF">
        <w:rPr>
          <w:color w:val="auto"/>
        </w:rPr>
        <w:t xml:space="preserve"> advised this was acceptable. </w:t>
      </w:r>
    </w:p>
    <w:p w14:paraId="1CF3DF20" w14:textId="0C1A58B3" w:rsidR="00A33E06" w:rsidRDefault="00A33E06" w:rsidP="001C31DE">
      <w:pPr>
        <w:pStyle w:val="TableHeading"/>
        <w:spacing w:before="240"/>
        <w:ind w:left="0" w:firstLine="0"/>
      </w:pPr>
      <w:bookmarkStart w:id="3" w:name="_Ref162029082"/>
      <w:r>
        <w:t xml:space="preserve">Table </w:t>
      </w:r>
      <w:r>
        <w:fldChar w:fldCharType="begin"/>
      </w:r>
      <w:r>
        <w:instrText xml:space="preserve"> SEQ Table \* ARABIC </w:instrText>
      </w:r>
      <w:r>
        <w:fldChar w:fldCharType="separate"/>
      </w:r>
      <w:r w:rsidR="00C751E2">
        <w:t>2</w:t>
      </w:r>
      <w:r>
        <w:fldChar w:fldCharType="end"/>
      </w:r>
      <w:bookmarkEnd w:id="3"/>
      <w:r w:rsidR="00D906F0">
        <w:t xml:space="preserve">: Updated total </w:t>
      </w:r>
      <w:r w:rsidR="00D906F0" w:rsidRPr="05CBB157">
        <w:rPr>
          <w:color w:val="0070C0"/>
        </w:rPr>
        <w:t xml:space="preserve">change in </w:t>
      </w:r>
      <w:r w:rsidR="00D906F0">
        <w:t xml:space="preserve">costs to the MBS and the </w:t>
      </w:r>
      <w:r w:rsidR="00D906F0" w:rsidRPr="00E96FEC">
        <w:rPr>
          <w:color w:val="0070C0"/>
        </w:rPr>
        <w:t xml:space="preserve">National </w:t>
      </w:r>
      <w:r w:rsidR="00D906F0">
        <w:t>Blood Authority associated with NIPT introduction</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1365"/>
        <w:gridCol w:w="1366"/>
        <w:gridCol w:w="1366"/>
        <w:gridCol w:w="1366"/>
        <w:gridCol w:w="1368"/>
      </w:tblGrid>
      <w:tr w:rsidR="005316A4" w:rsidRPr="004B5852" w14:paraId="6427F7F1" w14:textId="77777777" w:rsidTr="00A33E06">
        <w:trPr>
          <w:trHeight w:val="300"/>
          <w:tblHeader/>
        </w:trPr>
        <w:tc>
          <w:tcPr>
            <w:tcW w:w="1199" w:type="pct"/>
            <w:shd w:val="clear" w:color="auto" w:fill="auto"/>
            <w:vAlign w:val="center"/>
          </w:tcPr>
          <w:p w14:paraId="6F2AFB35" w14:textId="77777777" w:rsidR="005316A4" w:rsidRPr="004B5852" w:rsidRDefault="005316A4" w:rsidP="00EA5E72">
            <w:pPr>
              <w:pStyle w:val="TableHeading"/>
              <w:jc w:val="center"/>
            </w:pPr>
          </w:p>
        </w:tc>
        <w:tc>
          <w:tcPr>
            <w:tcW w:w="760" w:type="pct"/>
            <w:vAlign w:val="center"/>
          </w:tcPr>
          <w:p w14:paraId="5EF41D75" w14:textId="77777777" w:rsidR="005316A4" w:rsidRPr="004B5852" w:rsidRDefault="005316A4" w:rsidP="00EA5E72">
            <w:pPr>
              <w:pStyle w:val="TableHeading"/>
              <w:jc w:val="center"/>
            </w:pPr>
            <w:r w:rsidRPr="004B5852">
              <w:t>2021</w:t>
            </w:r>
          </w:p>
          <w:p w14:paraId="561AFF6C" w14:textId="77777777" w:rsidR="005316A4" w:rsidRPr="004B5852" w:rsidRDefault="005316A4" w:rsidP="00EA5E72">
            <w:pPr>
              <w:pStyle w:val="TableHeading"/>
              <w:jc w:val="center"/>
              <w:rPr>
                <w:bCs/>
              </w:rPr>
            </w:pPr>
            <w:r w:rsidRPr="004B5852">
              <w:t>Yr1</w:t>
            </w:r>
          </w:p>
        </w:tc>
        <w:tc>
          <w:tcPr>
            <w:tcW w:w="760" w:type="pct"/>
            <w:shd w:val="clear" w:color="auto" w:fill="auto"/>
            <w:vAlign w:val="center"/>
          </w:tcPr>
          <w:p w14:paraId="64C5BDFB" w14:textId="77777777" w:rsidR="005316A4" w:rsidRPr="004B5852" w:rsidRDefault="005316A4" w:rsidP="00EA5E72">
            <w:pPr>
              <w:pStyle w:val="TableHeading"/>
              <w:jc w:val="center"/>
            </w:pPr>
            <w:r w:rsidRPr="004B5852">
              <w:t>2022</w:t>
            </w:r>
          </w:p>
          <w:p w14:paraId="111627AB" w14:textId="77777777" w:rsidR="005316A4" w:rsidRPr="004B5852" w:rsidRDefault="005316A4" w:rsidP="00EA5E72">
            <w:pPr>
              <w:pStyle w:val="TableHeading"/>
              <w:jc w:val="center"/>
              <w:rPr>
                <w:bCs/>
              </w:rPr>
            </w:pPr>
            <w:r w:rsidRPr="004B5852">
              <w:t>Yr2</w:t>
            </w:r>
          </w:p>
        </w:tc>
        <w:tc>
          <w:tcPr>
            <w:tcW w:w="760" w:type="pct"/>
            <w:shd w:val="clear" w:color="auto" w:fill="auto"/>
            <w:vAlign w:val="center"/>
          </w:tcPr>
          <w:p w14:paraId="19FC8AAA" w14:textId="77777777" w:rsidR="005316A4" w:rsidRPr="004B5852" w:rsidRDefault="005316A4" w:rsidP="00EA5E72">
            <w:pPr>
              <w:pStyle w:val="TableHeading"/>
              <w:jc w:val="center"/>
            </w:pPr>
            <w:r w:rsidRPr="004B5852">
              <w:t>2023</w:t>
            </w:r>
          </w:p>
          <w:p w14:paraId="08605070" w14:textId="77777777" w:rsidR="005316A4" w:rsidRPr="004B5852" w:rsidRDefault="005316A4" w:rsidP="00EA5E72">
            <w:pPr>
              <w:pStyle w:val="TableHeading"/>
              <w:jc w:val="center"/>
              <w:rPr>
                <w:bCs/>
              </w:rPr>
            </w:pPr>
            <w:r w:rsidRPr="004B5852">
              <w:t>Yr3</w:t>
            </w:r>
          </w:p>
        </w:tc>
        <w:tc>
          <w:tcPr>
            <w:tcW w:w="760" w:type="pct"/>
            <w:shd w:val="clear" w:color="auto" w:fill="auto"/>
            <w:vAlign w:val="center"/>
          </w:tcPr>
          <w:p w14:paraId="71FA8066" w14:textId="77777777" w:rsidR="005316A4" w:rsidRPr="004B5852" w:rsidRDefault="005316A4" w:rsidP="00EA5E72">
            <w:pPr>
              <w:pStyle w:val="TableHeading"/>
              <w:jc w:val="center"/>
            </w:pPr>
            <w:r w:rsidRPr="004B5852">
              <w:t>2024</w:t>
            </w:r>
          </w:p>
          <w:p w14:paraId="321CAD3C" w14:textId="77777777" w:rsidR="005316A4" w:rsidRPr="004B5852" w:rsidRDefault="005316A4" w:rsidP="00EA5E72">
            <w:pPr>
              <w:pStyle w:val="TableHeading"/>
              <w:jc w:val="center"/>
              <w:rPr>
                <w:bCs/>
              </w:rPr>
            </w:pPr>
            <w:r w:rsidRPr="004B5852">
              <w:t>Yr4</w:t>
            </w:r>
          </w:p>
        </w:tc>
        <w:tc>
          <w:tcPr>
            <w:tcW w:w="761" w:type="pct"/>
            <w:shd w:val="clear" w:color="auto" w:fill="auto"/>
            <w:vAlign w:val="center"/>
          </w:tcPr>
          <w:p w14:paraId="112EAB18" w14:textId="77777777" w:rsidR="005316A4" w:rsidRPr="004B5852" w:rsidRDefault="005316A4" w:rsidP="00EA5E72">
            <w:pPr>
              <w:pStyle w:val="TableHeading"/>
              <w:jc w:val="center"/>
            </w:pPr>
            <w:r w:rsidRPr="004B5852">
              <w:t>2025</w:t>
            </w:r>
          </w:p>
          <w:p w14:paraId="46667875" w14:textId="77777777" w:rsidR="005316A4" w:rsidRPr="004B5852" w:rsidRDefault="005316A4" w:rsidP="00EA5E72">
            <w:pPr>
              <w:pStyle w:val="TableHeading"/>
              <w:jc w:val="center"/>
              <w:rPr>
                <w:bCs/>
              </w:rPr>
            </w:pPr>
            <w:r w:rsidRPr="004B5852">
              <w:t>Yr5</w:t>
            </w:r>
          </w:p>
        </w:tc>
      </w:tr>
      <w:tr w:rsidR="005316A4" w:rsidRPr="004B5852" w14:paraId="33E5D778" w14:textId="77777777" w:rsidTr="00A33E06">
        <w:trPr>
          <w:trHeight w:val="300"/>
        </w:trPr>
        <w:tc>
          <w:tcPr>
            <w:tcW w:w="5000" w:type="pct"/>
            <w:gridSpan w:val="6"/>
            <w:shd w:val="clear" w:color="auto" w:fill="auto"/>
          </w:tcPr>
          <w:p w14:paraId="6C5FD7C7" w14:textId="77777777" w:rsidR="005316A4" w:rsidRPr="004B5852" w:rsidRDefault="005316A4" w:rsidP="00EA5E72">
            <w:pPr>
              <w:pStyle w:val="TableHeading"/>
            </w:pPr>
            <w:r>
              <w:t xml:space="preserve">Estimated use and cost of </w:t>
            </w:r>
            <w:r w:rsidRPr="004B5852">
              <w:t>NIPT</w:t>
            </w:r>
          </w:p>
        </w:tc>
      </w:tr>
      <w:tr w:rsidR="005316A4" w:rsidRPr="004B5852" w14:paraId="6DAB0295" w14:textId="77777777" w:rsidTr="00A33E06">
        <w:trPr>
          <w:trHeight w:val="300"/>
        </w:trPr>
        <w:tc>
          <w:tcPr>
            <w:tcW w:w="1199" w:type="pct"/>
            <w:shd w:val="clear" w:color="auto" w:fill="auto"/>
          </w:tcPr>
          <w:p w14:paraId="1387D8E9" w14:textId="77777777" w:rsidR="005316A4" w:rsidRPr="004B5852" w:rsidRDefault="005316A4" w:rsidP="00EA5E72">
            <w:pPr>
              <w:pStyle w:val="Tabletext0"/>
            </w:pPr>
            <w:r w:rsidRPr="004B5852">
              <w:t>Number of services</w:t>
            </w:r>
          </w:p>
        </w:tc>
        <w:tc>
          <w:tcPr>
            <w:tcW w:w="760" w:type="pct"/>
            <w:vAlign w:val="center"/>
          </w:tcPr>
          <w:p w14:paraId="5D990C9A" w14:textId="77777777" w:rsidR="005316A4" w:rsidRPr="004B5852" w:rsidRDefault="005316A4" w:rsidP="00EA5E72">
            <w:pPr>
              <w:pStyle w:val="Tabletext0"/>
              <w:jc w:val="center"/>
            </w:pPr>
            <w:r w:rsidRPr="004B5852">
              <w:t>51,022</w:t>
            </w:r>
          </w:p>
        </w:tc>
        <w:tc>
          <w:tcPr>
            <w:tcW w:w="760" w:type="pct"/>
            <w:shd w:val="clear" w:color="auto" w:fill="auto"/>
            <w:vAlign w:val="center"/>
          </w:tcPr>
          <w:p w14:paraId="5385655B" w14:textId="77777777" w:rsidR="005316A4" w:rsidRPr="004B5852" w:rsidRDefault="005316A4" w:rsidP="00EA5E72">
            <w:pPr>
              <w:pStyle w:val="Tabletext0"/>
              <w:jc w:val="center"/>
            </w:pPr>
            <w:r w:rsidRPr="004B5852">
              <w:t>51,141</w:t>
            </w:r>
          </w:p>
        </w:tc>
        <w:tc>
          <w:tcPr>
            <w:tcW w:w="760" w:type="pct"/>
            <w:shd w:val="clear" w:color="auto" w:fill="auto"/>
            <w:vAlign w:val="center"/>
          </w:tcPr>
          <w:p w14:paraId="3F8E461A" w14:textId="77777777" w:rsidR="005316A4" w:rsidRPr="004B5852" w:rsidRDefault="005316A4" w:rsidP="00EA5E72">
            <w:pPr>
              <w:pStyle w:val="Tabletext0"/>
              <w:jc w:val="center"/>
            </w:pPr>
            <w:r w:rsidRPr="004B5852">
              <w:t>51,261</w:t>
            </w:r>
          </w:p>
        </w:tc>
        <w:tc>
          <w:tcPr>
            <w:tcW w:w="760" w:type="pct"/>
            <w:shd w:val="clear" w:color="auto" w:fill="auto"/>
            <w:vAlign w:val="center"/>
          </w:tcPr>
          <w:p w14:paraId="50241874" w14:textId="77777777" w:rsidR="005316A4" w:rsidRPr="004B5852" w:rsidRDefault="005316A4" w:rsidP="00EA5E72">
            <w:pPr>
              <w:pStyle w:val="Tabletext0"/>
              <w:jc w:val="center"/>
            </w:pPr>
            <w:r w:rsidRPr="004B5852">
              <w:t>51,381</w:t>
            </w:r>
          </w:p>
        </w:tc>
        <w:tc>
          <w:tcPr>
            <w:tcW w:w="761" w:type="pct"/>
            <w:shd w:val="clear" w:color="auto" w:fill="auto"/>
            <w:vAlign w:val="center"/>
          </w:tcPr>
          <w:p w14:paraId="13CAFF26" w14:textId="77777777" w:rsidR="005316A4" w:rsidRPr="004B5852" w:rsidRDefault="005316A4" w:rsidP="00EA5E72">
            <w:pPr>
              <w:pStyle w:val="Tabletext0"/>
              <w:jc w:val="center"/>
            </w:pPr>
            <w:r w:rsidRPr="004B5852">
              <w:t>51,501</w:t>
            </w:r>
          </w:p>
        </w:tc>
      </w:tr>
      <w:tr w:rsidR="005316A4" w:rsidRPr="004B5852" w14:paraId="14AB430C" w14:textId="77777777" w:rsidTr="00A33E06">
        <w:trPr>
          <w:trHeight w:val="300"/>
        </w:trPr>
        <w:tc>
          <w:tcPr>
            <w:tcW w:w="1199" w:type="pct"/>
            <w:shd w:val="clear" w:color="auto" w:fill="auto"/>
          </w:tcPr>
          <w:p w14:paraId="548F0DA8" w14:textId="77777777" w:rsidR="005316A4" w:rsidRPr="004B5852" w:rsidRDefault="005316A4" w:rsidP="00EA5E72">
            <w:pPr>
              <w:pStyle w:val="Tabletext0"/>
            </w:pPr>
            <w:r>
              <w:t>Cost to the MBS (with appropriate co-payments excluded)</w:t>
            </w:r>
          </w:p>
        </w:tc>
        <w:tc>
          <w:tcPr>
            <w:tcW w:w="760" w:type="pct"/>
            <w:vAlign w:val="center"/>
          </w:tcPr>
          <w:p w14:paraId="0F0BC5DE" w14:textId="77777777" w:rsidR="005316A4" w:rsidRPr="004B5852" w:rsidRDefault="005316A4" w:rsidP="00EA5E72">
            <w:pPr>
              <w:pStyle w:val="Tabletext0"/>
              <w:jc w:val="center"/>
            </w:pPr>
            <w:r w:rsidRPr="004B5852">
              <w:t>$2,857,205</w:t>
            </w:r>
          </w:p>
        </w:tc>
        <w:tc>
          <w:tcPr>
            <w:tcW w:w="760" w:type="pct"/>
            <w:shd w:val="clear" w:color="auto" w:fill="auto"/>
            <w:vAlign w:val="center"/>
          </w:tcPr>
          <w:p w14:paraId="51B29556" w14:textId="77777777" w:rsidR="005316A4" w:rsidRPr="004B5852" w:rsidRDefault="005316A4" w:rsidP="00EA5E72">
            <w:pPr>
              <w:pStyle w:val="Tabletext0"/>
              <w:jc w:val="center"/>
            </w:pPr>
            <w:r w:rsidRPr="004B5852">
              <w:t>$2,863,896</w:t>
            </w:r>
          </w:p>
        </w:tc>
        <w:tc>
          <w:tcPr>
            <w:tcW w:w="760" w:type="pct"/>
            <w:shd w:val="clear" w:color="auto" w:fill="auto"/>
            <w:vAlign w:val="center"/>
          </w:tcPr>
          <w:p w14:paraId="4B17ED37" w14:textId="77777777" w:rsidR="005316A4" w:rsidRPr="004B5852" w:rsidRDefault="005316A4" w:rsidP="00EA5E72">
            <w:pPr>
              <w:pStyle w:val="Tabletext0"/>
              <w:jc w:val="center"/>
            </w:pPr>
            <w:r w:rsidRPr="004B5852">
              <w:t>$2,870,603</w:t>
            </w:r>
          </w:p>
        </w:tc>
        <w:tc>
          <w:tcPr>
            <w:tcW w:w="760" w:type="pct"/>
            <w:shd w:val="clear" w:color="auto" w:fill="auto"/>
            <w:vAlign w:val="center"/>
          </w:tcPr>
          <w:p w14:paraId="6FF4432D" w14:textId="77777777" w:rsidR="005316A4" w:rsidRPr="004B5852" w:rsidRDefault="005316A4" w:rsidP="00EA5E72">
            <w:pPr>
              <w:pStyle w:val="Tabletext0"/>
              <w:jc w:val="center"/>
            </w:pPr>
            <w:r w:rsidRPr="004B5852">
              <w:t>$2,877,325</w:t>
            </w:r>
          </w:p>
        </w:tc>
        <w:tc>
          <w:tcPr>
            <w:tcW w:w="761" w:type="pct"/>
            <w:shd w:val="clear" w:color="auto" w:fill="auto"/>
            <w:vAlign w:val="center"/>
          </w:tcPr>
          <w:p w14:paraId="08C1FA48" w14:textId="77777777" w:rsidR="005316A4" w:rsidRPr="004B5852" w:rsidRDefault="005316A4" w:rsidP="00EA5E72">
            <w:pPr>
              <w:pStyle w:val="Tabletext0"/>
              <w:jc w:val="center"/>
            </w:pPr>
            <w:r w:rsidRPr="004B5852">
              <w:t>$2,884,063</w:t>
            </w:r>
          </w:p>
        </w:tc>
      </w:tr>
      <w:tr w:rsidR="005316A4" w:rsidRPr="004B5852" w14:paraId="6A47389C" w14:textId="77777777" w:rsidTr="00A33E06">
        <w:trPr>
          <w:trHeight w:val="300"/>
        </w:trPr>
        <w:tc>
          <w:tcPr>
            <w:tcW w:w="1199" w:type="pct"/>
            <w:shd w:val="clear" w:color="auto" w:fill="auto"/>
          </w:tcPr>
          <w:p w14:paraId="0937E141" w14:textId="77777777" w:rsidR="005316A4" w:rsidRPr="004B5852" w:rsidRDefault="005316A4">
            <w:pPr>
              <w:keepNext/>
              <w:spacing w:before="40" w:after="40"/>
              <w:rPr>
                <w:rFonts w:ascii="Arial Narrow" w:hAnsi="Arial Narrow"/>
                <w:i/>
                <w:iCs/>
                <w:color w:val="0070C0"/>
                <w:sz w:val="20"/>
              </w:rPr>
            </w:pPr>
            <w:r>
              <w:rPr>
                <w:rFonts w:ascii="Arial Narrow" w:hAnsi="Arial Narrow"/>
                <w:i/>
                <w:iCs/>
                <w:color w:val="0070C0"/>
                <w:sz w:val="20"/>
              </w:rPr>
              <w:t>Cost to the MBS (with appropriate co-payments excluded)</w:t>
            </w:r>
          </w:p>
        </w:tc>
        <w:tc>
          <w:tcPr>
            <w:tcW w:w="760" w:type="pct"/>
            <w:vAlign w:val="center"/>
          </w:tcPr>
          <w:p w14:paraId="3FC92F70" w14:textId="77777777" w:rsidR="005316A4" w:rsidRPr="004B5852" w:rsidRDefault="005316A4">
            <w:pPr>
              <w:keepNext/>
              <w:spacing w:before="40" w:after="40"/>
              <w:jc w:val="center"/>
              <w:rPr>
                <w:rFonts w:ascii="Arial Narrow" w:hAnsi="Arial Narrow"/>
                <w:bCs/>
                <w:i/>
                <w:iCs/>
                <w:color w:val="0070C0"/>
                <w:sz w:val="20"/>
              </w:rPr>
            </w:pPr>
            <w:r w:rsidRPr="004B5852">
              <w:rPr>
                <w:rFonts w:ascii="Arial Narrow" w:hAnsi="Arial Narrow"/>
                <w:bCs/>
                <w:i/>
                <w:iCs/>
                <w:color w:val="0070C0"/>
                <w:sz w:val="20"/>
              </w:rPr>
              <w:t>$7,672,105</w:t>
            </w:r>
          </w:p>
        </w:tc>
        <w:tc>
          <w:tcPr>
            <w:tcW w:w="760" w:type="pct"/>
            <w:shd w:val="clear" w:color="auto" w:fill="auto"/>
            <w:vAlign w:val="center"/>
          </w:tcPr>
          <w:p w14:paraId="242DB7B4" w14:textId="77777777" w:rsidR="005316A4" w:rsidRPr="004B5852" w:rsidRDefault="005316A4">
            <w:pPr>
              <w:keepNext/>
              <w:spacing w:before="40" w:after="40"/>
              <w:jc w:val="center"/>
              <w:rPr>
                <w:rFonts w:ascii="Arial Narrow" w:hAnsi="Arial Narrow"/>
                <w:bCs/>
                <w:i/>
                <w:iCs/>
                <w:color w:val="0070C0"/>
                <w:sz w:val="20"/>
              </w:rPr>
            </w:pPr>
            <w:r w:rsidRPr="004B5852">
              <w:rPr>
                <w:rFonts w:ascii="Arial Narrow" w:hAnsi="Arial Narrow"/>
                <w:bCs/>
                <w:i/>
                <w:iCs/>
                <w:color w:val="0070C0"/>
                <w:sz w:val="20"/>
              </w:rPr>
              <w:t>$7,690,072</w:t>
            </w:r>
          </w:p>
        </w:tc>
        <w:tc>
          <w:tcPr>
            <w:tcW w:w="760" w:type="pct"/>
            <w:shd w:val="clear" w:color="auto" w:fill="auto"/>
            <w:vAlign w:val="center"/>
          </w:tcPr>
          <w:p w14:paraId="08ED29F8" w14:textId="77777777" w:rsidR="005316A4" w:rsidRPr="004B5852" w:rsidRDefault="005316A4">
            <w:pPr>
              <w:keepNext/>
              <w:spacing w:before="40" w:after="40"/>
              <w:jc w:val="center"/>
              <w:rPr>
                <w:rFonts w:ascii="Arial Narrow" w:hAnsi="Arial Narrow"/>
                <w:bCs/>
                <w:i/>
                <w:iCs/>
                <w:color w:val="0070C0"/>
                <w:sz w:val="20"/>
              </w:rPr>
            </w:pPr>
            <w:r w:rsidRPr="004B5852">
              <w:rPr>
                <w:rFonts w:ascii="Arial Narrow" w:hAnsi="Arial Narrow"/>
                <w:bCs/>
                <w:i/>
                <w:iCs/>
                <w:color w:val="0070C0"/>
                <w:sz w:val="20"/>
              </w:rPr>
              <w:t>$7,708,081</w:t>
            </w:r>
          </w:p>
        </w:tc>
        <w:tc>
          <w:tcPr>
            <w:tcW w:w="760" w:type="pct"/>
            <w:shd w:val="clear" w:color="auto" w:fill="auto"/>
            <w:vAlign w:val="center"/>
          </w:tcPr>
          <w:p w14:paraId="0D6FBDB4" w14:textId="77777777" w:rsidR="005316A4" w:rsidRPr="004B5852" w:rsidRDefault="005316A4">
            <w:pPr>
              <w:keepNext/>
              <w:spacing w:before="40" w:after="40"/>
              <w:jc w:val="center"/>
              <w:rPr>
                <w:rFonts w:ascii="Arial Narrow" w:hAnsi="Arial Narrow"/>
                <w:bCs/>
                <w:i/>
                <w:iCs/>
                <w:color w:val="0070C0"/>
                <w:sz w:val="20"/>
              </w:rPr>
            </w:pPr>
            <w:r w:rsidRPr="004B5852">
              <w:rPr>
                <w:rFonts w:ascii="Arial Narrow" w:hAnsi="Arial Narrow"/>
                <w:bCs/>
                <w:i/>
                <w:iCs/>
                <w:color w:val="0070C0"/>
                <w:sz w:val="20"/>
              </w:rPr>
              <w:t>$7,726,132</w:t>
            </w:r>
          </w:p>
        </w:tc>
        <w:tc>
          <w:tcPr>
            <w:tcW w:w="761" w:type="pct"/>
            <w:shd w:val="clear" w:color="auto" w:fill="auto"/>
            <w:vAlign w:val="center"/>
          </w:tcPr>
          <w:p w14:paraId="12CD551F" w14:textId="77777777" w:rsidR="005316A4" w:rsidRPr="004B5852" w:rsidRDefault="005316A4">
            <w:pPr>
              <w:keepNext/>
              <w:spacing w:before="40" w:after="40"/>
              <w:jc w:val="center"/>
              <w:rPr>
                <w:rFonts w:ascii="Arial Narrow" w:hAnsi="Arial Narrow"/>
                <w:bCs/>
                <w:i/>
                <w:iCs/>
                <w:color w:val="0070C0"/>
                <w:sz w:val="20"/>
              </w:rPr>
            </w:pPr>
            <w:r w:rsidRPr="004B5852">
              <w:rPr>
                <w:rFonts w:ascii="Arial Narrow" w:hAnsi="Arial Narrow"/>
                <w:bCs/>
                <w:i/>
                <w:iCs/>
                <w:color w:val="0070C0"/>
                <w:sz w:val="20"/>
              </w:rPr>
              <w:t>$7,744,225</w:t>
            </w:r>
          </w:p>
        </w:tc>
      </w:tr>
      <w:tr w:rsidR="005316A4" w:rsidRPr="004B5852" w14:paraId="2C4436E9" w14:textId="77777777" w:rsidTr="00A33E06">
        <w:trPr>
          <w:trHeight w:val="300"/>
        </w:trPr>
        <w:tc>
          <w:tcPr>
            <w:tcW w:w="5000" w:type="pct"/>
            <w:gridSpan w:val="6"/>
            <w:shd w:val="clear" w:color="auto" w:fill="auto"/>
          </w:tcPr>
          <w:p w14:paraId="4953BB46" w14:textId="77777777" w:rsidR="005316A4" w:rsidRPr="004B5852" w:rsidRDefault="005316A4" w:rsidP="00EA5E72">
            <w:pPr>
              <w:pStyle w:val="TableHeading"/>
            </w:pPr>
            <w:r>
              <w:t>Change in use and cost of other health technologies</w:t>
            </w:r>
          </w:p>
        </w:tc>
      </w:tr>
      <w:tr w:rsidR="005316A4" w:rsidRPr="004B5852" w14:paraId="24781309" w14:textId="77777777" w:rsidTr="00A33E06">
        <w:trPr>
          <w:trHeight w:val="300"/>
        </w:trPr>
        <w:tc>
          <w:tcPr>
            <w:tcW w:w="1199" w:type="pct"/>
            <w:shd w:val="clear" w:color="auto" w:fill="auto"/>
          </w:tcPr>
          <w:p w14:paraId="4FFB5140" w14:textId="77777777" w:rsidR="005316A4" w:rsidRPr="004B5852" w:rsidRDefault="005316A4">
            <w:pPr>
              <w:keepNext/>
              <w:spacing w:before="40" w:after="40"/>
              <w:rPr>
                <w:rFonts w:ascii="Arial Narrow" w:hAnsi="Arial Narrow"/>
                <w:sz w:val="20"/>
              </w:rPr>
            </w:pPr>
            <w:r w:rsidRPr="004B5852">
              <w:rPr>
                <w:rFonts w:ascii="Arial Narrow" w:hAnsi="Arial Narrow"/>
                <w:sz w:val="20"/>
              </w:rPr>
              <w:t xml:space="preserve">Number of </w:t>
            </w:r>
            <w:r>
              <w:rPr>
                <w:rFonts w:ascii="Arial Narrow" w:hAnsi="Arial Narrow"/>
                <w:sz w:val="20"/>
              </w:rPr>
              <w:t xml:space="preserve">65096 </w:t>
            </w:r>
            <w:r w:rsidRPr="004B5852">
              <w:rPr>
                <w:rFonts w:ascii="Arial Narrow" w:hAnsi="Arial Narrow"/>
                <w:sz w:val="20"/>
              </w:rPr>
              <w:t>services</w:t>
            </w:r>
          </w:p>
        </w:tc>
        <w:tc>
          <w:tcPr>
            <w:tcW w:w="760" w:type="pct"/>
            <w:vAlign w:val="center"/>
          </w:tcPr>
          <w:p w14:paraId="7768DE76"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-33,354</w:t>
            </w:r>
          </w:p>
        </w:tc>
        <w:tc>
          <w:tcPr>
            <w:tcW w:w="760" w:type="pct"/>
            <w:shd w:val="clear" w:color="auto" w:fill="auto"/>
            <w:vAlign w:val="center"/>
          </w:tcPr>
          <w:p w14:paraId="0D2B4962"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-33,432</w:t>
            </w:r>
          </w:p>
        </w:tc>
        <w:tc>
          <w:tcPr>
            <w:tcW w:w="760" w:type="pct"/>
            <w:tcBorders>
              <w:right w:val="single" w:sz="4" w:space="0" w:color="auto"/>
            </w:tcBorders>
            <w:shd w:val="clear" w:color="auto" w:fill="auto"/>
            <w:vAlign w:val="center"/>
          </w:tcPr>
          <w:p w14:paraId="50AAF976"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-33,510</w:t>
            </w:r>
          </w:p>
        </w:tc>
        <w:tc>
          <w:tcPr>
            <w:tcW w:w="760" w:type="pct"/>
            <w:tcBorders>
              <w:left w:val="single" w:sz="4" w:space="0" w:color="auto"/>
            </w:tcBorders>
            <w:shd w:val="clear" w:color="auto" w:fill="auto"/>
            <w:vAlign w:val="center"/>
          </w:tcPr>
          <w:p w14:paraId="4A30FAEF"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-33,588</w:t>
            </w:r>
          </w:p>
        </w:tc>
        <w:tc>
          <w:tcPr>
            <w:tcW w:w="761" w:type="pct"/>
            <w:shd w:val="clear" w:color="auto" w:fill="auto"/>
            <w:vAlign w:val="center"/>
          </w:tcPr>
          <w:p w14:paraId="54177F36"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-33,667</w:t>
            </w:r>
          </w:p>
        </w:tc>
      </w:tr>
      <w:tr w:rsidR="005316A4" w:rsidRPr="004B5852" w14:paraId="3D05BA6E" w14:textId="77777777" w:rsidTr="00A33E06">
        <w:trPr>
          <w:trHeight w:val="315"/>
        </w:trPr>
        <w:tc>
          <w:tcPr>
            <w:tcW w:w="1199" w:type="pct"/>
            <w:shd w:val="clear" w:color="auto" w:fill="auto"/>
          </w:tcPr>
          <w:p w14:paraId="2D7F00A2" w14:textId="77777777" w:rsidR="005316A4" w:rsidRPr="004B5852" w:rsidRDefault="005316A4">
            <w:pPr>
              <w:keepNext/>
              <w:spacing w:before="40" w:after="40"/>
              <w:rPr>
                <w:rFonts w:ascii="Arial Narrow" w:hAnsi="Arial Narrow"/>
                <w:sz w:val="20"/>
              </w:rPr>
            </w:pPr>
            <w:r>
              <w:rPr>
                <w:rFonts w:ascii="Arial Narrow" w:hAnsi="Arial Narrow"/>
                <w:sz w:val="20"/>
              </w:rPr>
              <w:t>Cost to the MBS (with appropriate co-payments excluded)</w:t>
            </w:r>
          </w:p>
        </w:tc>
        <w:tc>
          <w:tcPr>
            <w:tcW w:w="760" w:type="pct"/>
            <w:shd w:val="clear" w:color="auto" w:fill="auto"/>
          </w:tcPr>
          <w:p w14:paraId="7C4821D0"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 xml:space="preserve"> -$1,480,664 </w:t>
            </w:r>
          </w:p>
        </w:tc>
        <w:tc>
          <w:tcPr>
            <w:tcW w:w="760" w:type="pct"/>
            <w:shd w:val="clear" w:color="auto" w:fill="auto"/>
          </w:tcPr>
          <w:p w14:paraId="76461608"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 xml:space="preserve"> -$1,484,131 </w:t>
            </w:r>
          </w:p>
        </w:tc>
        <w:tc>
          <w:tcPr>
            <w:tcW w:w="760" w:type="pct"/>
            <w:shd w:val="clear" w:color="auto" w:fill="auto"/>
          </w:tcPr>
          <w:p w14:paraId="79C81947"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 xml:space="preserve"> -$1,487,607 </w:t>
            </w:r>
          </w:p>
        </w:tc>
        <w:tc>
          <w:tcPr>
            <w:tcW w:w="760" w:type="pct"/>
            <w:shd w:val="clear" w:color="auto" w:fill="auto"/>
          </w:tcPr>
          <w:p w14:paraId="0C7EBA0C"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 xml:space="preserve"> -$1,491,091 </w:t>
            </w:r>
          </w:p>
        </w:tc>
        <w:tc>
          <w:tcPr>
            <w:tcW w:w="761" w:type="pct"/>
            <w:shd w:val="clear" w:color="auto" w:fill="auto"/>
          </w:tcPr>
          <w:p w14:paraId="74B41E92"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 xml:space="preserve"> -$1,494,583 </w:t>
            </w:r>
          </w:p>
        </w:tc>
      </w:tr>
      <w:tr w:rsidR="005316A4" w:rsidRPr="004B5852" w14:paraId="0D6D25A5" w14:textId="77777777" w:rsidTr="00A33E06">
        <w:trPr>
          <w:trHeight w:val="315"/>
        </w:trPr>
        <w:tc>
          <w:tcPr>
            <w:tcW w:w="1199" w:type="pct"/>
            <w:tcBorders>
              <w:bottom w:val="single" w:sz="4" w:space="0" w:color="auto"/>
            </w:tcBorders>
            <w:shd w:val="clear" w:color="auto" w:fill="auto"/>
          </w:tcPr>
          <w:p w14:paraId="1FCDDD50" w14:textId="77777777" w:rsidR="005316A4" w:rsidRPr="006D3F25" w:rsidDel="00E05A3C" w:rsidRDefault="005316A4">
            <w:pPr>
              <w:keepNext/>
              <w:spacing w:before="40" w:after="40"/>
              <w:rPr>
                <w:rFonts w:ascii="Arial Narrow" w:hAnsi="Arial Narrow"/>
                <w:b/>
                <w:bCs/>
                <w:sz w:val="20"/>
              </w:rPr>
            </w:pPr>
            <w:r w:rsidRPr="006D3F25">
              <w:rPr>
                <w:rFonts w:ascii="Arial Narrow" w:hAnsi="Arial Narrow"/>
                <w:b/>
                <w:bCs/>
                <w:sz w:val="20"/>
              </w:rPr>
              <w:t>Net financial impact to the MBS</w:t>
            </w:r>
          </w:p>
        </w:tc>
        <w:tc>
          <w:tcPr>
            <w:tcW w:w="760" w:type="pct"/>
            <w:tcBorders>
              <w:bottom w:val="single" w:sz="4" w:space="0" w:color="auto"/>
            </w:tcBorders>
            <w:shd w:val="clear" w:color="auto" w:fill="auto"/>
            <w:vAlign w:val="center"/>
          </w:tcPr>
          <w:p w14:paraId="37B00740" w14:textId="77777777" w:rsidR="005316A4" w:rsidRPr="004B5852" w:rsidDel="00E05A3C" w:rsidRDefault="005316A4">
            <w:pPr>
              <w:keepNext/>
              <w:spacing w:before="40" w:after="40"/>
              <w:jc w:val="center"/>
              <w:rPr>
                <w:rFonts w:ascii="Arial Narrow" w:hAnsi="Arial Narrow"/>
                <w:sz w:val="20"/>
              </w:rPr>
            </w:pPr>
            <w:r>
              <w:rPr>
                <w:rFonts w:ascii="Arial Narrow" w:hAnsi="Arial Narrow" w:cs="Calibri"/>
                <w:b/>
                <w:bCs/>
                <w:color w:val="000000"/>
                <w:sz w:val="20"/>
              </w:rPr>
              <w:t>$1,376,541</w:t>
            </w:r>
          </w:p>
        </w:tc>
        <w:tc>
          <w:tcPr>
            <w:tcW w:w="760" w:type="pct"/>
            <w:tcBorders>
              <w:bottom w:val="single" w:sz="4" w:space="0" w:color="auto"/>
            </w:tcBorders>
            <w:shd w:val="clear" w:color="auto" w:fill="auto"/>
            <w:vAlign w:val="center"/>
          </w:tcPr>
          <w:p w14:paraId="7712FD23" w14:textId="77777777" w:rsidR="005316A4" w:rsidRPr="004B5852" w:rsidDel="00E05A3C" w:rsidRDefault="005316A4">
            <w:pPr>
              <w:keepNext/>
              <w:spacing w:before="40" w:after="40"/>
              <w:jc w:val="center"/>
              <w:rPr>
                <w:rFonts w:ascii="Arial Narrow" w:hAnsi="Arial Narrow"/>
                <w:sz w:val="20"/>
              </w:rPr>
            </w:pPr>
            <w:r>
              <w:rPr>
                <w:rFonts w:ascii="Arial Narrow" w:hAnsi="Arial Narrow" w:cs="Calibri"/>
                <w:b/>
                <w:bCs/>
                <w:color w:val="000000"/>
                <w:sz w:val="20"/>
              </w:rPr>
              <w:t>$1,379,765</w:t>
            </w:r>
          </w:p>
        </w:tc>
        <w:tc>
          <w:tcPr>
            <w:tcW w:w="760" w:type="pct"/>
            <w:tcBorders>
              <w:bottom w:val="single" w:sz="4" w:space="0" w:color="auto"/>
            </w:tcBorders>
            <w:shd w:val="clear" w:color="auto" w:fill="auto"/>
            <w:vAlign w:val="center"/>
          </w:tcPr>
          <w:p w14:paraId="2E860E38" w14:textId="77777777" w:rsidR="005316A4" w:rsidRPr="004B5852" w:rsidDel="00E05A3C" w:rsidRDefault="005316A4">
            <w:pPr>
              <w:keepNext/>
              <w:spacing w:before="40" w:after="40"/>
              <w:jc w:val="center"/>
              <w:rPr>
                <w:rFonts w:ascii="Arial Narrow" w:hAnsi="Arial Narrow"/>
                <w:sz w:val="20"/>
              </w:rPr>
            </w:pPr>
            <w:r>
              <w:rPr>
                <w:rFonts w:ascii="Arial Narrow" w:hAnsi="Arial Narrow" w:cs="Calibri"/>
                <w:b/>
                <w:bCs/>
                <w:color w:val="000000"/>
                <w:sz w:val="20"/>
              </w:rPr>
              <w:t>$1,382,996</w:t>
            </w:r>
          </w:p>
        </w:tc>
        <w:tc>
          <w:tcPr>
            <w:tcW w:w="760" w:type="pct"/>
            <w:tcBorders>
              <w:bottom w:val="single" w:sz="4" w:space="0" w:color="auto"/>
            </w:tcBorders>
            <w:shd w:val="clear" w:color="auto" w:fill="auto"/>
            <w:vAlign w:val="center"/>
          </w:tcPr>
          <w:p w14:paraId="67DC4066" w14:textId="77777777" w:rsidR="005316A4" w:rsidRPr="004B5852" w:rsidDel="00E05A3C" w:rsidRDefault="005316A4">
            <w:pPr>
              <w:keepNext/>
              <w:spacing w:before="40" w:after="40"/>
              <w:jc w:val="center"/>
              <w:rPr>
                <w:rFonts w:ascii="Arial Narrow" w:hAnsi="Arial Narrow"/>
                <w:sz w:val="20"/>
              </w:rPr>
            </w:pPr>
            <w:r>
              <w:rPr>
                <w:rFonts w:ascii="Arial Narrow" w:hAnsi="Arial Narrow" w:cs="Calibri"/>
                <w:b/>
                <w:bCs/>
                <w:color w:val="000000"/>
                <w:sz w:val="20"/>
              </w:rPr>
              <w:t>$1,386,234</w:t>
            </w:r>
          </w:p>
        </w:tc>
        <w:tc>
          <w:tcPr>
            <w:tcW w:w="761" w:type="pct"/>
            <w:tcBorders>
              <w:bottom w:val="single" w:sz="4" w:space="0" w:color="auto"/>
            </w:tcBorders>
            <w:shd w:val="clear" w:color="auto" w:fill="auto"/>
            <w:vAlign w:val="center"/>
          </w:tcPr>
          <w:p w14:paraId="079F82E4" w14:textId="77777777" w:rsidR="005316A4" w:rsidRPr="004B5852" w:rsidDel="00E05A3C" w:rsidRDefault="005316A4">
            <w:pPr>
              <w:keepNext/>
              <w:spacing w:before="40" w:after="40"/>
              <w:jc w:val="center"/>
              <w:rPr>
                <w:rFonts w:ascii="Arial Narrow" w:hAnsi="Arial Narrow"/>
                <w:sz w:val="20"/>
              </w:rPr>
            </w:pPr>
            <w:r>
              <w:rPr>
                <w:rFonts w:ascii="Arial Narrow" w:hAnsi="Arial Narrow" w:cs="Calibri"/>
                <w:b/>
                <w:bCs/>
                <w:color w:val="000000"/>
                <w:sz w:val="20"/>
              </w:rPr>
              <w:t>$1,389,480</w:t>
            </w:r>
          </w:p>
        </w:tc>
      </w:tr>
      <w:tr w:rsidR="005316A4" w:rsidRPr="00634EDE" w14:paraId="74497A1D" w14:textId="77777777" w:rsidTr="00A33E06">
        <w:trPr>
          <w:trHeight w:val="315"/>
        </w:trPr>
        <w:tc>
          <w:tcPr>
            <w:tcW w:w="1199" w:type="pct"/>
            <w:tcBorders>
              <w:bottom w:val="double" w:sz="4" w:space="0" w:color="auto"/>
            </w:tcBorders>
            <w:shd w:val="clear" w:color="auto" w:fill="auto"/>
          </w:tcPr>
          <w:p w14:paraId="2F49E2FD" w14:textId="77777777" w:rsidR="005316A4" w:rsidRPr="00165FD5" w:rsidDel="00E05A3C" w:rsidRDefault="005316A4">
            <w:pPr>
              <w:keepNext/>
              <w:spacing w:before="40" w:after="40"/>
              <w:rPr>
                <w:rFonts w:ascii="Arial Narrow" w:hAnsi="Arial Narrow"/>
                <w:b/>
                <w:i/>
                <w:color w:val="0070C0"/>
                <w:sz w:val="20"/>
              </w:rPr>
            </w:pPr>
            <w:r w:rsidRPr="00165FD5">
              <w:rPr>
                <w:rFonts w:ascii="Arial Narrow" w:hAnsi="Arial Narrow"/>
                <w:b/>
                <w:i/>
                <w:color w:val="0070C0"/>
                <w:sz w:val="20"/>
              </w:rPr>
              <w:t>Net financial impact to the MBS</w:t>
            </w:r>
          </w:p>
        </w:tc>
        <w:tc>
          <w:tcPr>
            <w:tcW w:w="760" w:type="pct"/>
            <w:tcBorders>
              <w:bottom w:val="double" w:sz="4" w:space="0" w:color="auto"/>
            </w:tcBorders>
            <w:shd w:val="clear" w:color="auto" w:fill="auto"/>
            <w:vAlign w:val="center"/>
          </w:tcPr>
          <w:p w14:paraId="4095D8A8" w14:textId="77777777" w:rsidR="005316A4" w:rsidRPr="002A68EB" w:rsidDel="00E05A3C" w:rsidRDefault="005316A4">
            <w:pPr>
              <w:keepNext/>
              <w:spacing w:before="40" w:after="40"/>
              <w:jc w:val="center"/>
              <w:rPr>
                <w:rFonts w:ascii="Arial Narrow" w:hAnsi="Arial Narrow"/>
                <w:b/>
                <w:i/>
                <w:iCs/>
                <w:color w:val="0070C0"/>
                <w:sz w:val="20"/>
              </w:rPr>
            </w:pPr>
            <w:r w:rsidRPr="002A68EB">
              <w:rPr>
                <w:rFonts w:ascii="Arial Narrow" w:hAnsi="Arial Narrow" w:cs="Calibri"/>
                <w:b/>
                <w:i/>
                <w:iCs/>
                <w:color w:val="0070C0"/>
                <w:sz w:val="20"/>
              </w:rPr>
              <w:t>$6,191,441</w:t>
            </w:r>
          </w:p>
        </w:tc>
        <w:tc>
          <w:tcPr>
            <w:tcW w:w="760" w:type="pct"/>
            <w:tcBorders>
              <w:bottom w:val="double" w:sz="4" w:space="0" w:color="auto"/>
            </w:tcBorders>
            <w:shd w:val="clear" w:color="auto" w:fill="auto"/>
            <w:vAlign w:val="center"/>
          </w:tcPr>
          <w:p w14:paraId="4FA56937" w14:textId="77777777" w:rsidR="005316A4" w:rsidRPr="002A68EB" w:rsidDel="00E05A3C" w:rsidRDefault="005316A4">
            <w:pPr>
              <w:keepNext/>
              <w:spacing w:before="40" w:after="40"/>
              <w:jc w:val="center"/>
              <w:rPr>
                <w:rFonts w:ascii="Arial Narrow" w:hAnsi="Arial Narrow"/>
                <w:b/>
                <w:i/>
                <w:iCs/>
                <w:color w:val="0070C0"/>
                <w:sz w:val="20"/>
              </w:rPr>
            </w:pPr>
            <w:r w:rsidRPr="002A68EB">
              <w:rPr>
                <w:rFonts w:ascii="Arial Narrow" w:hAnsi="Arial Narrow" w:cs="Calibri"/>
                <w:b/>
                <w:i/>
                <w:iCs/>
                <w:color w:val="0070C0"/>
                <w:sz w:val="20"/>
              </w:rPr>
              <w:t>$6,205,941</w:t>
            </w:r>
          </w:p>
        </w:tc>
        <w:tc>
          <w:tcPr>
            <w:tcW w:w="760" w:type="pct"/>
            <w:tcBorders>
              <w:bottom w:val="double" w:sz="4" w:space="0" w:color="auto"/>
            </w:tcBorders>
            <w:shd w:val="clear" w:color="auto" w:fill="auto"/>
            <w:vAlign w:val="center"/>
          </w:tcPr>
          <w:p w14:paraId="17C24810" w14:textId="77777777" w:rsidR="005316A4" w:rsidRPr="002A68EB" w:rsidDel="00E05A3C" w:rsidRDefault="005316A4">
            <w:pPr>
              <w:keepNext/>
              <w:spacing w:before="40" w:after="40"/>
              <w:jc w:val="center"/>
              <w:rPr>
                <w:rFonts w:ascii="Arial Narrow" w:hAnsi="Arial Narrow"/>
                <w:b/>
                <w:i/>
                <w:iCs/>
                <w:color w:val="0070C0"/>
                <w:sz w:val="20"/>
              </w:rPr>
            </w:pPr>
            <w:r w:rsidRPr="002A68EB">
              <w:rPr>
                <w:rFonts w:ascii="Arial Narrow" w:hAnsi="Arial Narrow" w:cs="Calibri"/>
                <w:b/>
                <w:i/>
                <w:iCs/>
                <w:color w:val="0070C0"/>
                <w:sz w:val="20"/>
              </w:rPr>
              <w:t>$6,220,474</w:t>
            </w:r>
          </w:p>
        </w:tc>
        <w:tc>
          <w:tcPr>
            <w:tcW w:w="760" w:type="pct"/>
            <w:tcBorders>
              <w:bottom w:val="double" w:sz="4" w:space="0" w:color="auto"/>
            </w:tcBorders>
            <w:shd w:val="clear" w:color="auto" w:fill="auto"/>
            <w:vAlign w:val="center"/>
          </w:tcPr>
          <w:p w14:paraId="13534291" w14:textId="77777777" w:rsidR="005316A4" w:rsidRPr="002A68EB" w:rsidDel="00E05A3C" w:rsidRDefault="005316A4">
            <w:pPr>
              <w:keepNext/>
              <w:spacing w:before="40" w:after="40"/>
              <w:jc w:val="center"/>
              <w:rPr>
                <w:rFonts w:ascii="Arial Narrow" w:hAnsi="Arial Narrow"/>
                <w:b/>
                <w:i/>
                <w:iCs/>
                <w:color w:val="0070C0"/>
                <w:sz w:val="20"/>
              </w:rPr>
            </w:pPr>
            <w:r w:rsidRPr="002A68EB">
              <w:rPr>
                <w:rFonts w:ascii="Arial Narrow" w:hAnsi="Arial Narrow" w:cs="Calibri"/>
                <w:b/>
                <w:i/>
                <w:iCs/>
                <w:color w:val="0070C0"/>
                <w:sz w:val="20"/>
              </w:rPr>
              <w:t>$6,235,041</w:t>
            </w:r>
          </w:p>
        </w:tc>
        <w:tc>
          <w:tcPr>
            <w:tcW w:w="761" w:type="pct"/>
            <w:tcBorders>
              <w:bottom w:val="double" w:sz="4" w:space="0" w:color="auto"/>
            </w:tcBorders>
            <w:shd w:val="clear" w:color="auto" w:fill="auto"/>
            <w:vAlign w:val="center"/>
          </w:tcPr>
          <w:p w14:paraId="7C2D635A" w14:textId="77777777" w:rsidR="005316A4" w:rsidRPr="002A68EB" w:rsidDel="00E05A3C" w:rsidRDefault="005316A4">
            <w:pPr>
              <w:keepNext/>
              <w:spacing w:before="40" w:after="40"/>
              <w:jc w:val="center"/>
              <w:rPr>
                <w:rFonts w:ascii="Arial Narrow" w:hAnsi="Arial Narrow"/>
                <w:b/>
                <w:i/>
                <w:iCs/>
                <w:color w:val="0070C0"/>
                <w:sz w:val="20"/>
              </w:rPr>
            </w:pPr>
            <w:r w:rsidRPr="002A68EB">
              <w:rPr>
                <w:rFonts w:ascii="Arial Narrow" w:hAnsi="Arial Narrow" w:cs="Calibri"/>
                <w:b/>
                <w:i/>
                <w:iCs/>
                <w:color w:val="0070C0"/>
                <w:sz w:val="20"/>
              </w:rPr>
              <w:t>$6,249,642</w:t>
            </w:r>
          </w:p>
        </w:tc>
      </w:tr>
      <w:tr w:rsidR="005316A4" w:rsidRPr="004B5852" w14:paraId="15856F34" w14:textId="77777777" w:rsidTr="00A33E06">
        <w:trPr>
          <w:trHeight w:val="70"/>
        </w:trPr>
        <w:tc>
          <w:tcPr>
            <w:tcW w:w="5000" w:type="pct"/>
            <w:gridSpan w:val="6"/>
            <w:tcBorders>
              <w:top w:val="double" w:sz="4" w:space="0" w:color="auto"/>
            </w:tcBorders>
            <w:shd w:val="clear" w:color="auto" w:fill="auto"/>
          </w:tcPr>
          <w:p w14:paraId="41DEA5A4" w14:textId="77777777" w:rsidR="005316A4" w:rsidRPr="004B5852" w:rsidRDefault="005316A4">
            <w:pPr>
              <w:keepNext/>
              <w:spacing w:before="40" w:after="40"/>
              <w:rPr>
                <w:rFonts w:ascii="Arial Narrow" w:hAnsi="Arial Narrow"/>
                <w:sz w:val="20"/>
              </w:rPr>
            </w:pPr>
            <w:r w:rsidRPr="004B5852">
              <w:rPr>
                <w:rFonts w:ascii="Arial Narrow" w:hAnsi="Arial Narrow"/>
                <w:b/>
                <w:bCs/>
                <w:sz w:val="20"/>
              </w:rPr>
              <w:t>Co-administered services Anti-D Ig</w:t>
            </w:r>
          </w:p>
        </w:tc>
      </w:tr>
      <w:tr w:rsidR="005316A4" w:rsidRPr="004B5852" w14:paraId="4C3B4008" w14:textId="77777777" w:rsidTr="00A33E06">
        <w:trPr>
          <w:trHeight w:val="300"/>
        </w:trPr>
        <w:tc>
          <w:tcPr>
            <w:tcW w:w="1199" w:type="pct"/>
            <w:shd w:val="clear" w:color="auto" w:fill="auto"/>
          </w:tcPr>
          <w:p w14:paraId="3B07E393" w14:textId="77777777" w:rsidR="005316A4" w:rsidRPr="004B5852" w:rsidRDefault="005316A4">
            <w:pPr>
              <w:keepNext/>
              <w:spacing w:before="40" w:after="40"/>
              <w:rPr>
                <w:rFonts w:ascii="Arial Narrow" w:hAnsi="Arial Narrow"/>
                <w:sz w:val="20"/>
              </w:rPr>
            </w:pPr>
            <w:r w:rsidRPr="004B5852">
              <w:rPr>
                <w:rFonts w:ascii="Arial Narrow" w:hAnsi="Arial Narrow"/>
                <w:sz w:val="20"/>
              </w:rPr>
              <w:t xml:space="preserve">Number of services </w:t>
            </w:r>
          </w:p>
        </w:tc>
        <w:tc>
          <w:tcPr>
            <w:tcW w:w="760" w:type="pct"/>
            <w:vAlign w:val="center"/>
          </w:tcPr>
          <w:p w14:paraId="38B25565"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-18,865</w:t>
            </w:r>
          </w:p>
        </w:tc>
        <w:tc>
          <w:tcPr>
            <w:tcW w:w="760" w:type="pct"/>
            <w:shd w:val="clear" w:color="auto" w:fill="auto"/>
            <w:vAlign w:val="center"/>
          </w:tcPr>
          <w:p w14:paraId="2C82D91C"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-18,910</w:t>
            </w:r>
          </w:p>
        </w:tc>
        <w:tc>
          <w:tcPr>
            <w:tcW w:w="760" w:type="pct"/>
            <w:shd w:val="clear" w:color="auto" w:fill="auto"/>
            <w:vAlign w:val="center"/>
          </w:tcPr>
          <w:p w14:paraId="32CFE3B6"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-18,954</w:t>
            </w:r>
          </w:p>
        </w:tc>
        <w:tc>
          <w:tcPr>
            <w:tcW w:w="760" w:type="pct"/>
            <w:shd w:val="clear" w:color="auto" w:fill="auto"/>
            <w:vAlign w:val="center"/>
          </w:tcPr>
          <w:p w14:paraId="6C5F7D1B"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-18,998</w:t>
            </w:r>
          </w:p>
        </w:tc>
        <w:tc>
          <w:tcPr>
            <w:tcW w:w="761" w:type="pct"/>
            <w:shd w:val="clear" w:color="auto" w:fill="auto"/>
            <w:vAlign w:val="center"/>
          </w:tcPr>
          <w:p w14:paraId="264F534C"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-19,043</w:t>
            </w:r>
          </w:p>
        </w:tc>
      </w:tr>
      <w:tr w:rsidR="005316A4" w:rsidRPr="004B5852" w14:paraId="138C9F37" w14:textId="77777777" w:rsidTr="00A33E06">
        <w:trPr>
          <w:trHeight w:val="300"/>
        </w:trPr>
        <w:tc>
          <w:tcPr>
            <w:tcW w:w="1199" w:type="pct"/>
            <w:tcBorders>
              <w:bottom w:val="single" w:sz="4" w:space="0" w:color="auto"/>
            </w:tcBorders>
            <w:shd w:val="clear" w:color="auto" w:fill="auto"/>
          </w:tcPr>
          <w:p w14:paraId="1814604E" w14:textId="77777777" w:rsidR="005316A4" w:rsidRPr="004B5852" w:rsidRDefault="005316A4">
            <w:pPr>
              <w:keepNext/>
              <w:spacing w:before="40" w:after="40"/>
              <w:rPr>
                <w:rFonts w:ascii="Arial Narrow" w:hAnsi="Arial Narrow"/>
                <w:sz w:val="20"/>
              </w:rPr>
            </w:pPr>
            <w:r>
              <w:rPr>
                <w:rFonts w:ascii="Arial Narrow" w:hAnsi="Arial Narrow"/>
                <w:sz w:val="20"/>
              </w:rPr>
              <w:t>Cost to the NBA</w:t>
            </w:r>
          </w:p>
        </w:tc>
        <w:tc>
          <w:tcPr>
            <w:tcW w:w="760" w:type="pct"/>
            <w:tcBorders>
              <w:bottom w:val="single" w:sz="4" w:space="0" w:color="auto"/>
            </w:tcBorders>
            <w:vAlign w:val="center"/>
          </w:tcPr>
          <w:p w14:paraId="60BF4B4E"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-$1,628,842</w:t>
            </w:r>
          </w:p>
        </w:tc>
        <w:tc>
          <w:tcPr>
            <w:tcW w:w="760" w:type="pct"/>
            <w:tcBorders>
              <w:bottom w:val="single" w:sz="4" w:space="0" w:color="auto"/>
            </w:tcBorders>
            <w:shd w:val="clear" w:color="auto" w:fill="auto"/>
            <w:vAlign w:val="center"/>
          </w:tcPr>
          <w:p w14:paraId="25B8C74E"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-$1,632,657</w:t>
            </w:r>
          </w:p>
        </w:tc>
        <w:tc>
          <w:tcPr>
            <w:tcW w:w="760" w:type="pct"/>
            <w:tcBorders>
              <w:bottom w:val="single" w:sz="4" w:space="0" w:color="auto"/>
            </w:tcBorders>
            <w:shd w:val="clear" w:color="auto" w:fill="auto"/>
            <w:vAlign w:val="center"/>
          </w:tcPr>
          <w:p w14:paraId="3CC2B841"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-$1,636,480</w:t>
            </w:r>
          </w:p>
        </w:tc>
        <w:tc>
          <w:tcPr>
            <w:tcW w:w="760" w:type="pct"/>
            <w:tcBorders>
              <w:bottom w:val="single" w:sz="4" w:space="0" w:color="auto"/>
            </w:tcBorders>
            <w:shd w:val="clear" w:color="auto" w:fill="auto"/>
            <w:vAlign w:val="center"/>
          </w:tcPr>
          <w:p w14:paraId="152362F1"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-$1,640,312</w:t>
            </w:r>
          </w:p>
        </w:tc>
        <w:tc>
          <w:tcPr>
            <w:tcW w:w="761" w:type="pct"/>
            <w:tcBorders>
              <w:bottom w:val="single" w:sz="4" w:space="0" w:color="auto"/>
            </w:tcBorders>
            <w:shd w:val="clear" w:color="auto" w:fill="auto"/>
            <w:vAlign w:val="center"/>
          </w:tcPr>
          <w:p w14:paraId="09977C6A" w14:textId="77777777" w:rsidR="005316A4" w:rsidRPr="004B5852" w:rsidRDefault="005316A4">
            <w:pPr>
              <w:keepNext/>
              <w:spacing w:before="40" w:after="40"/>
              <w:jc w:val="center"/>
              <w:rPr>
                <w:rFonts w:ascii="Arial Narrow" w:hAnsi="Arial Narrow"/>
                <w:sz w:val="20"/>
              </w:rPr>
            </w:pPr>
            <w:r w:rsidRPr="004B5852">
              <w:rPr>
                <w:rFonts w:ascii="Arial Narrow" w:hAnsi="Arial Narrow"/>
                <w:sz w:val="20"/>
              </w:rPr>
              <w:t>-$1,644,154</w:t>
            </w:r>
          </w:p>
        </w:tc>
      </w:tr>
      <w:tr w:rsidR="005316A4" w:rsidRPr="004B5852" w14:paraId="37BF10B4" w14:textId="77777777" w:rsidTr="00A33E06">
        <w:trPr>
          <w:trHeight w:val="300"/>
        </w:trPr>
        <w:tc>
          <w:tcPr>
            <w:tcW w:w="1199" w:type="pct"/>
            <w:tcBorders>
              <w:bottom w:val="double" w:sz="4" w:space="0" w:color="auto"/>
            </w:tcBorders>
            <w:shd w:val="clear" w:color="auto" w:fill="auto"/>
          </w:tcPr>
          <w:p w14:paraId="14C4B702" w14:textId="77777777" w:rsidR="005316A4" w:rsidRPr="004B5852" w:rsidRDefault="005316A4">
            <w:pPr>
              <w:keepNext/>
              <w:spacing w:before="40" w:after="40"/>
              <w:rPr>
                <w:rFonts w:ascii="Arial Narrow" w:hAnsi="Arial Narrow"/>
                <w:bCs/>
                <w:i/>
                <w:iCs/>
                <w:color w:val="0070C0"/>
                <w:sz w:val="20"/>
              </w:rPr>
            </w:pPr>
            <w:r>
              <w:rPr>
                <w:rFonts w:ascii="Arial Narrow" w:hAnsi="Arial Narrow"/>
                <w:bCs/>
                <w:i/>
                <w:iCs/>
                <w:color w:val="0070C0"/>
                <w:sz w:val="20"/>
              </w:rPr>
              <w:t>Cost to the NBA</w:t>
            </w:r>
          </w:p>
        </w:tc>
        <w:tc>
          <w:tcPr>
            <w:tcW w:w="760" w:type="pct"/>
            <w:tcBorders>
              <w:bottom w:val="double" w:sz="4" w:space="0" w:color="auto"/>
            </w:tcBorders>
          </w:tcPr>
          <w:p w14:paraId="59AD79C7" w14:textId="77777777" w:rsidR="005316A4" w:rsidRDefault="005316A4">
            <w:pPr>
              <w:spacing w:before="40" w:after="40" w:line="259" w:lineRule="auto"/>
              <w:jc w:val="center"/>
              <w:rPr>
                <w:rFonts w:ascii="Arial Narrow" w:hAnsi="Arial Narrow"/>
                <w:i/>
                <w:iCs/>
                <w:color w:val="0070C0"/>
                <w:sz w:val="20"/>
              </w:rPr>
            </w:pPr>
            <w:r w:rsidRPr="05CBB157">
              <w:rPr>
                <w:rFonts w:ascii="Arial Narrow" w:hAnsi="Arial Narrow"/>
                <w:i/>
                <w:iCs/>
                <w:color w:val="0070C0"/>
                <w:sz w:val="20"/>
              </w:rPr>
              <w:t xml:space="preserve">-$1,768,809 </w:t>
            </w:r>
          </w:p>
        </w:tc>
        <w:tc>
          <w:tcPr>
            <w:tcW w:w="760" w:type="pct"/>
            <w:tcBorders>
              <w:bottom w:val="double" w:sz="4" w:space="0" w:color="auto"/>
            </w:tcBorders>
            <w:shd w:val="clear" w:color="auto" w:fill="auto"/>
          </w:tcPr>
          <w:p w14:paraId="6F25AE04" w14:textId="77777777" w:rsidR="005316A4" w:rsidRDefault="005316A4">
            <w:pPr>
              <w:spacing w:before="40" w:after="40" w:line="259" w:lineRule="auto"/>
              <w:jc w:val="center"/>
              <w:rPr>
                <w:rFonts w:ascii="Arial Narrow" w:hAnsi="Arial Narrow"/>
                <w:i/>
                <w:iCs/>
                <w:color w:val="0070C0"/>
                <w:sz w:val="20"/>
              </w:rPr>
            </w:pPr>
            <w:r w:rsidRPr="05CBB157">
              <w:rPr>
                <w:rFonts w:ascii="Arial Narrow" w:hAnsi="Arial Narrow"/>
                <w:i/>
                <w:iCs/>
                <w:color w:val="0070C0"/>
                <w:sz w:val="20"/>
              </w:rPr>
              <w:t xml:space="preserve">-$1,772,951 </w:t>
            </w:r>
          </w:p>
        </w:tc>
        <w:tc>
          <w:tcPr>
            <w:tcW w:w="760" w:type="pct"/>
            <w:tcBorders>
              <w:bottom w:val="double" w:sz="4" w:space="0" w:color="auto"/>
            </w:tcBorders>
            <w:shd w:val="clear" w:color="auto" w:fill="auto"/>
          </w:tcPr>
          <w:p w14:paraId="1391D0C8" w14:textId="77777777" w:rsidR="005316A4" w:rsidRDefault="005316A4">
            <w:pPr>
              <w:spacing w:before="40" w:after="40" w:line="259" w:lineRule="auto"/>
              <w:jc w:val="center"/>
              <w:rPr>
                <w:rFonts w:ascii="Arial Narrow" w:hAnsi="Arial Narrow"/>
                <w:i/>
                <w:iCs/>
                <w:color w:val="0070C0"/>
                <w:sz w:val="20"/>
              </w:rPr>
            </w:pPr>
            <w:r w:rsidRPr="05CBB157">
              <w:rPr>
                <w:rFonts w:ascii="Arial Narrow" w:hAnsi="Arial Narrow"/>
                <w:i/>
                <w:iCs/>
                <w:color w:val="0070C0"/>
                <w:sz w:val="20"/>
              </w:rPr>
              <w:t xml:space="preserve"> -$1,777,103 </w:t>
            </w:r>
          </w:p>
        </w:tc>
        <w:tc>
          <w:tcPr>
            <w:tcW w:w="760" w:type="pct"/>
            <w:tcBorders>
              <w:bottom w:val="double" w:sz="4" w:space="0" w:color="auto"/>
            </w:tcBorders>
            <w:shd w:val="clear" w:color="auto" w:fill="auto"/>
          </w:tcPr>
          <w:p w14:paraId="5C034FE9" w14:textId="77777777" w:rsidR="005316A4" w:rsidRDefault="005316A4">
            <w:pPr>
              <w:spacing w:before="40" w:after="40" w:line="259" w:lineRule="auto"/>
              <w:jc w:val="center"/>
              <w:rPr>
                <w:rFonts w:ascii="Arial Narrow" w:hAnsi="Arial Narrow"/>
                <w:i/>
                <w:iCs/>
                <w:color w:val="0070C0"/>
                <w:sz w:val="20"/>
              </w:rPr>
            </w:pPr>
            <w:r w:rsidRPr="05CBB157">
              <w:rPr>
                <w:rFonts w:ascii="Arial Narrow" w:hAnsi="Arial Narrow"/>
                <w:i/>
                <w:iCs/>
                <w:color w:val="0070C0"/>
                <w:sz w:val="20"/>
              </w:rPr>
              <w:t xml:space="preserve"> -$1,781,265 </w:t>
            </w:r>
          </w:p>
        </w:tc>
        <w:tc>
          <w:tcPr>
            <w:tcW w:w="761" w:type="pct"/>
            <w:tcBorders>
              <w:bottom w:val="double" w:sz="4" w:space="0" w:color="auto"/>
            </w:tcBorders>
            <w:shd w:val="clear" w:color="auto" w:fill="auto"/>
          </w:tcPr>
          <w:p w14:paraId="061D93E3" w14:textId="77777777" w:rsidR="005316A4" w:rsidRDefault="005316A4">
            <w:pPr>
              <w:spacing w:before="40" w:after="40" w:line="259" w:lineRule="auto"/>
              <w:jc w:val="center"/>
              <w:rPr>
                <w:rFonts w:ascii="Arial Narrow" w:hAnsi="Arial Narrow"/>
                <w:i/>
                <w:iCs/>
                <w:color w:val="0070C0"/>
                <w:sz w:val="20"/>
              </w:rPr>
            </w:pPr>
            <w:r w:rsidRPr="05CBB157">
              <w:rPr>
                <w:rFonts w:ascii="Arial Narrow" w:hAnsi="Arial Narrow"/>
                <w:i/>
                <w:iCs/>
                <w:color w:val="0070C0"/>
                <w:sz w:val="20"/>
              </w:rPr>
              <w:t>-$1,785,436</w:t>
            </w:r>
          </w:p>
        </w:tc>
      </w:tr>
      <w:tr w:rsidR="005316A4" w:rsidRPr="004B5852" w14:paraId="4307BEC9" w14:textId="77777777" w:rsidTr="00A33E06">
        <w:trPr>
          <w:trHeight w:val="315"/>
        </w:trPr>
        <w:tc>
          <w:tcPr>
            <w:tcW w:w="1199" w:type="pct"/>
            <w:tcBorders>
              <w:top w:val="single" w:sz="4" w:space="0" w:color="auto"/>
            </w:tcBorders>
            <w:shd w:val="clear" w:color="auto" w:fill="auto"/>
          </w:tcPr>
          <w:p w14:paraId="37F0ADCC" w14:textId="77777777" w:rsidR="005316A4" w:rsidRPr="004B5852" w:rsidRDefault="005316A4">
            <w:pPr>
              <w:keepNext/>
              <w:spacing w:before="40" w:after="40"/>
              <w:rPr>
                <w:rFonts w:ascii="Arial Narrow" w:hAnsi="Arial Narrow"/>
                <w:b/>
                <w:bCs/>
                <w:sz w:val="20"/>
              </w:rPr>
            </w:pPr>
            <w:r w:rsidRPr="00A857D3">
              <w:rPr>
                <w:rFonts w:ascii="Arial Narrow" w:hAnsi="Arial Narrow"/>
                <w:b/>
                <w:sz w:val="20"/>
              </w:rPr>
              <w:t>Net</w:t>
            </w:r>
            <w:r w:rsidRPr="05CBB157">
              <w:rPr>
                <w:rFonts w:ascii="Arial Narrow" w:hAnsi="Arial Narrow"/>
                <w:b/>
                <w:bCs/>
                <w:sz w:val="20"/>
              </w:rPr>
              <w:t xml:space="preserve"> </w:t>
            </w:r>
            <w:r w:rsidRPr="00A857D3">
              <w:rPr>
                <w:rFonts w:ascii="Arial Narrow" w:hAnsi="Arial Narrow"/>
                <w:b/>
                <w:sz w:val="20"/>
              </w:rPr>
              <w:t>change in</w:t>
            </w:r>
            <w:r w:rsidRPr="05CBB157">
              <w:rPr>
                <w:rFonts w:ascii="Arial Narrow" w:hAnsi="Arial Narrow"/>
                <w:b/>
                <w:bCs/>
                <w:sz w:val="20"/>
              </w:rPr>
              <w:t xml:space="preserve"> </w:t>
            </w:r>
            <w:r w:rsidRPr="00A857D3">
              <w:rPr>
                <w:rFonts w:ascii="Arial Narrow" w:hAnsi="Arial Narrow"/>
                <w:b/>
                <w:sz w:val="20"/>
              </w:rPr>
              <w:t>cost</w:t>
            </w:r>
            <w:r w:rsidRPr="05CBB157">
              <w:rPr>
                <w:rFonts w:ascii="Arial Narrow" w:hAnsi="Arial Narrow"/>
                <w:b/>
                <w:bCs/>
                <w:sz w:val="20"/>
              </w:rPr>
              <w:t xml:space="preserve"> </w:t>
            </w:r>
            <w:r w:rsidRPr="00A857D3">
              <w:rPr>
                <w:rFonts w:ascii="Arial Narrow" w:hAnsi="Arial Narrow"/>
                <w:b/>
                <w:sz w:val="20"/>
              </w:rPr>
              <w:t>to MBS &amp; NBA (with appropriate co-payments excluded)</w:t>
            </w:r>
          </w:p>
        </w:tc>
        <w:tc>
          <w:tcPr>
            <w:tcW w:w="760" w:type="pct"/>
            <w:tcBorders>
              <w:top w:val="single" w:sz="4" w:space="0" w:color="auto"/>
            </w:tcBorders>
            <w:vAlign w:val="center"/>
          </w:tcPr>
          <w:p w14:paraId="27482DDF" w14:textId="77777777" w:rsidR="005316A4" w:rsidRPr="004B5852" w:rsidRDefault="005316A4">
            <w:pPr>
              <w:keepNext/>
              <w:spacing w:before="40" w:after="40"/>
              <w:jc w:val="center"/>
              <w:rPr>
                <w:rFonts w:ascii="Arial Narrow" w:hAnsi="Arial Narrow"/>
                <w:b/>
                <w:bCs/>
                <w:sz w:val="20"/>
              </w:rPr>
            </w:pPr>
            <w:r w:rsidRPr="004B5852">
              <w:rPr>
                <w:rFonts w:ascii="Arial Narrow" w:hAnsi="Arial Narrow"/>
                <w:b/>
                <w:bCs/>
                <w:sz w:val="20"/>
              </w:rPr>
              <w:t>-$252,301</w:t>
            </w:r>
          </w:p>
        </w:tc>
        <w:tc>
          <w:tcPr>
            <w:tcW w:w="760" w:type="pct"/>
            <w:tcBorders>
              <w:top w:val="single" w:sz="4" w:space="0" w:color="auto"/>
            </w:tcBorders>
            <w:shd w:val="clear" w:color="auto" w:fill="auto"/>
            <w:vAlign w:val="center"/>
          </w:tcPr>
          <w:p w14:paraId="171497C9" w14:textId="77777777" w:rsidR="005316A4" w:rsidRPr="004B5852" w:rsidRDefault="005316A4">
            <w:pPr>
              <w:keepNext/>
              <w:spacing w:before="40" w:after="40"/>
              <w:jc w:val="center"/>
              <w:rPr>
                <w:rFonts w:ascii="Arial Narrow" w:hAnsi="Arial Narrow"/>
                <w:b/>
                <w:bCs/>
                <w:sz w:val="20"/>
              </w:rPr>
            </w:pPr>
            <w:r w:rsidRPr="004B5852">
              <w:rPr>
                <w:rFonts w:ascii="Arial Narrow" w:hAnsi="Arial Narrow"/>
                <w:b/>
                <w:bCs/>
                <w:sz w:val="20"/>
              </w:rPr>
              <w:t>-$252,892</w:t>
            </w:r>
          </w:p>
        </w:tc>
        <w:tc>
          <w:tcPr>
            <w:tcW w:w="760" w:type="pct"/>
            <w:tcBorders>
              <w:top w:val="single" w:sz="4" w:space="0" w:color="auto"/>
            </w:tcBorders>
            <w:shd w:val="clear" w:color="auto" w:fill="auto"/>
            <w:vAlign w:val="center"/>
          </w:tcPr>
          <w:p w14:paraId="0C0FB059" w14:textId="77777777" w:rsidR="005316A4" w:rsidRPr="004B5852" w:rsidRDefault="005316A4">
            <w:pPr>
              <w:keepNext/>
              <w:spacing w:before="40" w:after="40"/>
              <w:jc w:val="center"/>
              <w:rPr>
                <w:rFonts w:ascii="Arial Narrow" w:hAnsi="Arial Narrow"/>
                <w:b/>
                <w:bCs/>
                <w:sz w:val="20"/>
              </w:rPr>
            </w:pPr>
            <w:r w:rsidRPr="004B5852">
              <w:rPr>
                <w:rFonts w:ascii="Arial Narrow" w:hAnsi="Arial Narrow"/>
                <w:b/>
                <w:bCs/>
                <w:sz w:val="20"/>
              </w:rPr>
              <w:t>-$253,484</w:t>
            </w:r>
          </w:p>
        </w:tc>
        <w:tc>
          <w:tcPr>
            <w:tcW w:w="760" w:type="pct"/>
            <w:tcBorders>
              <w:top w:val="single" w:sz="4" w:space="0" w:color="auto"/>
            </w:tcBorders>
            <w:shd w:val="clear" w:color="auto" w:fill="auto"/>
            <w:vAlign w:val="center"/>
          </w:tcPr>
          <w:p w14:paraId="50ECEDE5" w14:textId="77777777" w:rsidR="005316A4" w:rsidRPr="004B5852" w:rsidRDefault="005316A4">
            <w:pPr>
              <w:keepNext/>
              <w:spacing w:before="40" w:after="40"/>
              <w:jc w:val="center"/>
              <w:rPr>
                <w:rFonts w:ascii="Arial Narrow" w:hAnsi="Arial Narrow"/>
                <w:b/>
                <w:bCs/>
                <w:sz w:val="20"/>
              </w:rPr>
            </w:pPr>
            <w:r w:rsidRPr="004B5852">
              <w:rPr>
                <w:rFonts w:ascii="Arial Narrow" w:hAnsi="Arial Narrow"/>
                <w:b/>
                <w:bCs/>
                <w:sz w:val="20"/>
              </w:rPr>
              <w:t>-$254,078</w:t>
            </w:r>
          </w:p>
        </w:tc>
        <w:tc>
          <w:tcPr>
            <w:tcW w:w="761" w:type="pct"/>
            <w:tcBorders>
              <w:top w:val="single" w:sz="4" w:space="0" w:color="auto"/>
            </w:tcBorders>
            <w:shd w:val="clear" w:color="auto" w:fill="auto"/>
            <w:vAlign w:val="center"/>
          </w:tcPr>
          <w:p w14:paraId="2C6F406F" w14:textId="77777777" w:rsidR="005316A4" w:rsidRPr="004B5852" w:rsidRDefault="005316A4">
            <w:pPr>
              <w:keepNext/>
              <w:spacing w:before="40" w:after="40"/>
              <w:jc w:val="center"/>
              <w:rPr>
                <w:rFonts w:ascii="Arial Narrow" w:hAnsi="Arial Narrow"/>
                <w:b/>
                <w:bCs/>
                <w:sz w:val="20"/>
              </w:rPr>
            </w:pPr>
            <w:r w:rsidRPr="004B5852">
              <w:rPr>
                <w:rFonts w:ascii="Arial Narrow" w:hAnsi="Arial Narrow"/>
                <w:b/>
                <w:bCs/>
                <w:sz w:val="20"/>
              </w:rPr>
              <w:t>-$254,673</w:t>
            </w:r>
          </w:p>
        </w:tc>
      </w:tr>
      <w:tr w:rsidR="005316A4" w:rsidRPr="004B5852" w14:paraId="5214875D" w14:textId="77777777" w:rsidTr="00A33E06">
        <w:trPr>
          <w:trHeight w:val="315"/>
        </w:trPr>
        <w:tc>
          <w:tcPr>
            <w:tcW w:w="1199" w:type="pct"/>
            <w:shd w:val="clear" w:color="auto" w:fill="auto"/>
          </w:tcPr>
          <w:p w14:paraId="1B2F0468" w14:textId="77777777" w:rsidR="005316A4" w:rsidRPr="004B5852" w:rsidRDefault="005316A4">
            <w:pPr>
              <w:keepNext/>
              <w:spacing w:before="40" w:after="40"/>
              <w:rPr>
                <w:rFonts w:ascii="Arial Narrow" w:hAnsi="Arial Narrow"/>
                <w:b/>
                <w:bCs/>
                <w:i/>
                <w:iCs/>
                <w:color w:val="0070C0"/>
                <w:sz w:val="20"/>
              </w:rPr>
            </w:pPr>
            <w:r w:rsidRPr="05CBB157">
              <w:rPr>
                <w:rFonts w:ascii="Arial Narrow" w:hAnsi="Arial Narrow"/>
                <w:b/>
                <w:bCs/>
                <w:i/>
                <w:iCs/>
                <w:color w:val="0070C0"/>
                <w:sz w:val="20"/>
              </w:rPr>
              <w:t xml:space="preserve">Net change in cost to MBS &amp; NBA (with </w:t>
            </w:r>
            <w:r>
              <w:rPr>
                <w:rFonts w:ascii="Arial Narrow" w:hAnsi="Arial Narrow"/>
                <w:b/>
                <w:bCs/>
                <w:i/>
                <w:iCs/>
                <w:color w:val="0070C0"/>
                <w:sz w:val="20"/>
              </w:rPr>
              <w:t xml:space="preserve">appropriate </w:t>
            </w:r>
            <w:r w:rsidRPr="05CBB157">
              <w:rPr>
                <w:rFonts w:ascii="Arial Narrow" w:hAnsi="Arial Narrow"/>
                <w:b/>
                <w:bCs/>
                <w:i/>
                <w:iCs/>
                <w:color w:val="0070C0"/>
                <w:sz w:val="20"/>
              </w:rPr>
              <w:t>co</w:t>
            </w:r>
            <w:r>
              <w:rPr>
                <w:rFonts w:ascii="Arial Narrow" w:hAnsi="Arial Narrow"/>
                <w:b/>
                <w:bCs/>
                <w:i/>
                <w:iCs/>
                <w:color w:val="0070C0"/>
                <w:sz w:val="20"/>
              </w:rPr>
              <w:t>-</w:t>
            </w:r>
            <w:r w:rsidRPr="05CBB157">
              <w:rPr>
                <w:rFonts w:ascii="Arial Narrow" w:hAnsi="Arial Narrow"/>
                <w:b/>
                <w:bCs/>
                <w:i/>
                <w:iCs/>
                <w:color w:val="0070C0"/>
                <w:sz w:val="20"/>
              </w:rPr>
              <w:t>payments excluded)</w:t>
            </w:r>
          </w:p>
        </w:tc>
        <w:tc>
          <w:tcPr>
            <w:tcW w:w="760" w:type="pct"/>
            <w:vAlign w:val="center"/>
          </w:tcPr>
          <w:p w14:paraId="75C8C605" w14:textId="77777777" w:rsidR="005316A4" w:rsidRDefault="005316A4">
            <w:pPr>
              <w:spacing w:before="20" w:after="20" w:line="259" w:lineRule="auto"/>
              <w:jc w:val="center"/>
              <w:rPr>
                <w:rFonts w:ascii="Arial Narrow" w:eastAsia="Calibri" w:hAnsi="Arial Narrow"/>
                <w:b/>
                <w:bCs/>
                <w:i/>
                <w:iCs/>
                <w:color w:val="0070C0"/>
                <w:sz w:val="20"/>
              </w:rPr>
            </w:pPr>
            <w:r w:rsidRPr="05CBB157">
              <w:rPr>
                <w:rFonts w:ascii="Arial Narrow" w:eastAsia="Calibri" w:hAnsi="Arial Narrow"/>
                <w:b/>
                <w:bCs/>
                <w:i/>
                <w:iCs/>
                <w:color w:val="0070C0"/>
                <w:sz w:val="20"/>
              </w:rPr>
              <w:t xml:space="preserve">$4,422,632 </w:t>
            </w:r>
          </w:p>
        </w:tc>
        <w:tc>
          <w:tcPr>
            <w:tcW w:w="760" w:type="pct"/>
            <w:shd w:val="clear" w:color="auto" w:fill="auto"/>
            <w:vAlign w:val="center"/>
          </w:tcPr>
          <w:p w14:paraId="3261AF85" w14:textId="77777777" w:rsidR="005316A4" w:rsidRDefault="005316A4">
            <w:pPr>
              <w:spacing w:before="20" w:after="20" w:line="259" w:lineRule="auto"/>
              <w:jc w:val="center"/>
              <w:rPr>
                <w:rFonts w:ascii="Arial Narrow" w:eastAsia="Calibri" w:hAnsi="Arial Narrow"/>
                <w:b/>
                <w:bCs/>
                <w:i/>
                <w:iCs/>
                <w:color w:val="0070C0"/>
                <w:sz w:val="20"/>
              </w:rPr>
            </w:pPr>
            <w:r w:rsidRPr="05CBB157">
              <w:rPr>
                <w:rFonts w:ascii="Arial Narrow" w:eastAsia="Calibri" w:hAnsi="Arial Narrow"/>
                <w:b/>
                <w:bCs/>
                <w:i/>
                <w:iCs/>
                <w:color w:val="0070C0"/>
                <w:sz w:val="20"/>
              </w:rPr>
              <w:t xml:space="preserve">$4,432,989 </w:t>
            </w:r>
          </w:p>
        </w:tc>
        <w:tc>
          <w:tcPr>
            <w:tcW w:w="760" w:type="pct"/>
            <w:shd w:val="clear" w:color="auto" w:fill="auto"/>
            <w:vAlign w:val="center"/>
          </w:tcPr>
          <w:p w14:paraId="689744F9" w14:textId="77777777" w:rsidR="005316A4" w:rsidRDefault="005316A4">
            <w:pPr>
              <w:spacing w:before="20" w:after="20" w:line="259" w:lineRule="auto"/>
              <w:jc w:val="center"/>
              <w:rPr>
                <w:rFonts w:ascii="Arial Narrow" w:eastAsia="Calibri" w:hAnsi="Arial Narrow"/>
                <w:b/>
                <w:bCs/>
                <w:i/>
                <w:iCs/>
                <w:color w:val="0070C0"/>
                <w:sz w:val="20"/>
              </w:rPr>
            </w:pPr>
            <w:r w:rsidRPr="05CBB157">
              <w:rPr>
                <w:rFonts w:ascii="Arial Narrow" w:eastAsia="Calibri" w:hAnsi="Arial Narrow"/>
                <w:b/>
                <w:bCs/>
                <w:i/>
                <w:iCs/>
                <w:color w:val="0070C0"/>
                <w:sz w:val="20"/>
              </w:rPr>
              <w:t xml:space="preserve">$4,443,371 </w:t>
            </w:r>
          </w:p>
        </w:tc>
        <w:tc>
          <w:tcPr>
            <w:tcW w:w="760" w:type="pct"/>
            <w:shd w:val="clear" w:color="auto" w:fill="auto"/>
            <w:vAlign w:val="center"/>
          </w:tcPr>
          <w:p w14:paraId="0E3E057D" w14:textId="77777777" w:rsidR="005316A4" w:rsidRDefault="005316A4">
            <w:pPr>
              <w:spacing w:before="20" w:after="20" w:line="259" w:lineRule="auto"/>
              <w:jc w:val="center"/>
              <w:rPr>
                <w:rFonts w:ascii="Arial Narrow" w:eastAsia="Calibri" w:hAnsi="Arial Narrow"/>
                <w:b/>
                <w:bCs/>
                <w:i/>
                <w:iCs/>
                <w:color w:val="0070C0"/>
                <w:sz w:val="20"/>
              </w:rPr>
            </w:pPr>
            <w:r w:rsidRPr="05CBB157">
              <w:rPr>
                <w:rFonts w:ascii="Arial Narrow" w:eastAsia="Calibri" w:hAnsi="Arial Narrow"/>
                <w:b/>
                <w:bCs/>
                <w:i/>
                <w:iCs/>
                <w:color w:val="0070C0"/>
                <w:sz w:val="20"/>
              </w:rPr>
              <w:t xml:space="preserve">$4,453,776 </w:t>
            </w:r>
          </w:p>
        </w:tc>
        <w:tc>
          <w:tcPr>
            <w:tcW w:w="761" w:type="pct"/>
            <w:shd w:val="clear" w:color="auto" w:fill="auto"/>
            <w:vAlign w:val="center"/>
          </w:tcPr>
          <w:p w14:paraId="7C6537A4" w14:textId="77777777" w:rsidR="005316A4" w:rsidRDefault="005316A4">
            <w:pPr>
              <w:spacing w:before="20" w:after="20" w:line="259" w:lineRule="auto"/>
              <w:jc w:val="center"/>
              <w:rPr>
                <w:rFonts w:ascii="Arial Narrow" w:eastAsia="Calibri" w:hAnsi="Arial Narrow"/>
                <w:b/>
                <w:bCs/>
                <w:i/>
                <w:iCs/>
                <w:color w:val="0070C0"/>
                <w:sz w:val="20"/>
              </w:rPr>
            </w:pPr>
            <w:r w:rsidRPr="05CBB157">
              <w:rPr>
                <w:rFonts w:ascii="Arial Narrow" w:eastAsia="Calibri" w:hAnsi="Arial Narrow"/>
                <w:b/>
                <w:bCs/>
                <w:i/>
                <w:iCs/>
                <w:color w:val="0070C0"/>
                <w:sz w:val="20"/>
              </w:rPr>
              <w:t>$4,464,206</w:t>
            </w:r>
          </w:p>
        </w:tc>
      </w:tr>
    </w:tbl>
    <w:p w14:paraId="7899CD21" w14:textId="77777777" w:rsidR="005316A4" w:rsidRDefault="005316A4" w:rsidP="005316A4">
      <w:pPr>
        <w:pStyle w:val="Tablenotes"/>
        <w:keepNext/>
        <w:spacing w:after="0"/>
        <w:rPr>
          <w:rStyle w:val="TablenotesChar"/>
        </w:rPr>
      </w:pPr>
      <w:r>
        <w:rPr>
          <w:rStyle w:val="TablenotesChar"/>
        </w:rPr>
        <w:t>MBS = Medicare Benefits Schedule; NBA = National Blood Authority, NIPT = non-invasive prenatal testing.</w:t>
      </w:r>
    </w:p>
    <w:p w14:paraId="3F5F5CBB" w14:textId="77777777" w:rsidR="005316A4" w:rsidRPr="004B5852" w:rsidRDefault="005316A4" w:rsidP="005316A4">
      <w:pPr>
        <w:pStyle w:val="Tablenotes"/>
        <w:keepNext/>
        <w:spacing w:after="0"/>
      </w:pPr>
      <w:r w:rsidRPr="004B5852">
        <w:rPr>
          <w:rStyle w:val="TablenotesChar"/>
        </w:rPr>
        <w:t>Screening</w:t>
      </w:r>
      <w:r w:rsidRPr="004B5852">
        <w:t xml:space="preserve"> tests are associated with co-payment of 15%, FMH quantification and cord blood serology assume co-payment of 0.25. For patients who birth in the public hospital system they are unlikely to incur any MBS costs from being an inpatient. Therefore, the calculations only include co-payments for MBS screening item.</w:t>
      </w:r>
    </w:p>
    <w:p w14:paraId="48754195" w14:textId="77777777" w:rsidR="005316A4" w:rsidRDefault="005316A4" w:rsidP="005316A4">
      <w:pPr>
        <w:pStyle w:val="Tablenotes"/>
        <w:keepNext/>
        <w:spacing w:after="0"/>
      </w:pPr>
      <w:r w:rsidRPr="004B5852">
        <w:t>Savings to the MBS increase after co-payments because the proportion of the sa</w:t>
      </w:r>
      <w:r w:rsidRPr="0018413A">
        <w:t>vings attributable to reduced anti-D Ig use (which does not attract a co-payment) is greater</w:t>
      </w:r>
    </w:p>
    <w:p w14:paraId="7DFE18CD" w14:textId="77B593E4" w:rsidR="00462933" w:rsidRPr="00165FD5" w:rsidRDefault="005316A4" w:rsidP="00165FD5">
      <w:pPr>
        <w:pStyle w:val="Tablenotes"/>
        <w:keepNext/>
        <w:tabs>
          <w:tab w:val="left" w:pos="284"/>
        </w:tabs>
        <w:spacing w:after="0"/>
      </w:pPr>
      <w:r>
        <w:t>*</w:t>
      </w:r>
      <w:r>
        <w:tab/>
        <w:t>total services include the NIPT test, MBS items and anti-D Ig</w:t>
      </w:r>
    </w:p>
    <w:p w14:paraId="3FDFAE98" w14:textId="01410DDE" w:rsidR="005316A4" w:rsidRDefault="005316A4" w:rsidP="005316A4">
      <w:pPr>
        <w:pStyle w:val="5Bodytext"/>
        <w:spacing w:after="0"/>
        <w:rPr>
          <w:rFonts w:ascii="Arial Narrow" w:hAnsi="Arial Narrow"/>
          <w:sz w:val="18"/>
          <w:szCs w:val="18"/>
        </w:rPr>
      </w:pPr>
      <w:r>
        <w:rPr>
          <w:rFonts w:ascii="Arial Narrow" w:hAnsi="Arial Narrow"/>
          <w:sz w:val="18"/>
          <w:szCs w:val="18"/>
        </w:rPr>
        <w:t>Blue italicised font indicates updates to the DCAR’s results</w:t>
      </w:r>
      <w:r w:rsidR="00FF581E">
        <w:rPr>
          <w:rFonts w:ascii="Arial Narrow" w:hAnsi="Arial Narrow"/>
          <w:sz w:val="18"/>
          <w:szCs w:val="18"/>
        </w:rPr>
        <w:t>, for the RCPA’s proposed fee</w:t>
      </w:r>
      <w:r w:rsidR="00FC731B">
        <w:rPr>
          <w:rFonts w:ascii="Arial Narrow" w:hAnsi="Arial Narrow"/>
          <w:sz w:val="18"/>
          <w:szCs w:val="18"/>
        </w:rPr>
        <w:t xml:space="preserve"> ($150.37)</w:t>
      </w:r>
      <w:r w:rsidR="001E72B8">
        <w:rPr>
          <w:rFonts w:ascii="Arial Narrow" w:hAnsi="Arial Narrow"/>
          <w:sz w:val="18"/>
          <w:szCs w:val="18"/>
        </w:rPr>
        <w:t xml:space="preserve"> and updated immunoglobulin prices from the National Product Price List (NPPL; accessed 23 May 2023)</w:t>
      </w:r>
      <w:r>
        <w:rPr>
          <w:rFonts w:ascii="Arial Narrow" w:hAnsi="Arial Narrow"/>
          <w:sz w:val="18"/>
          <w:szCs w:val="18"/>
        </w:rPr>
        <w:t>.</w:t>
      </w:r>
    </w:p>
    <w:p w14:paraId="1DFC3C6A" w14:textId="2CED59BC" w:rsidR="00D43678" w:rsidRPr="004406EF" w:rsidRDefault="00D43678" w:rsidP="001C31DE">
      <w:pPr>
        <w:pStyle w:val="Default"/>
        <w:spacing w:before="240"/>
      </w:pPr>
      <w:r w:rsidRPr="004406EF">
        <w:t xml:space="preserve">The MSAC Executive requested the department consult </w:t>
      </w:r>
      <w:r w:rsidR="00464709" w:rsidRPr="00464709">
        <w:rPr>
          <w:b/>
          <w:bCs/>
        </w:rPr>
        <w:t>REDACTED</w:t>
      </w:r>
      <w:r w:rsidRPr="004406EF">
        <w:t xml:space="preserve"> on the RCPA’s costing breakdown, to confirm that a fee of $150.40 (applying MBS rounding rules to the RCPA’s proposed $150.37) is reasonable for this testing. </w:t>
      </w:r>
    </w:p>
    <w:p w14:paraId="1861EB64" w14:textId="23FE58B2" w:rsidR="00D43678" w:rsidRPr="0063215C" w:rsidRDefault="00D43678" w:rsidP="001C31DE">
      <w:pPr>
        <w:tabs>
          <w:tab w:val="left" w:pos="3686"/>
        </w:tabs>
        <w:spacing w:before="240"/>
        <w:rPr>
          <w:szCs w:val="24"/>
        </w:rPr>
      </w:pPr>
      <w:r w:rsidRPr="004406EF">
        <w:rPr>
          <w:szCs w:val="24"/>
        </w:rPr>
        <w:t xml:space="preserve">The MSAC Executive also noted minor wording updates proposed to these item descriptors, and agreed it was reasonable to align the wording of the two items by removing the requirement that the pregnancy be a singleton pregnancy and rewording the description of alloimmunisation to use conventional terminology. The RCPA had also requested a practice note be added to item 73421 to indicate that a different test method (other than that used for </w:t>
      </w:r>
      <w:r w:rsidRPr="004406EF">
        <w:rPr>
          <w:szCs w:val="24"/>
        </w:rPr>
        <w:lastRenderedPageBreak/>
        <w:t xml:space="preserve">Item 73420) is required to minimise the risk of false negative results (such as confirming the presence of cell-free fetal DNA). </w:t>
      </w:r>
      <w:r w:rsidR="006F671C" w:rsidRPr="004406EF">
        <w:rPr>
          <w:szCs w:val="24"/>
        </w:rPr>
        <w:t>The MSAC Executive recalled that a</w:t>
      </w:r>
      <w:r w:rsidRPr="004406EF">
        <w:rPr>
          <w:szCs w:val="24"/>
        </w:rPr>
        <w:t xml:space="preserve">t its April 2023 consideration, </w:t>
      </w:r>
      <w:r w:rsidR="006F671C" w:rsidRPr="004406EF">
        <w:rPr>
          <w:szCs w:val="24"/>
        </w:rPr>
        <w:t>it had</w:t>
      </w:r>
      <w:r w:rsidRPr="004406EF">
        <w:rPr>
          <w:szCs w:val="24"/>
        </w:rPr>
        <w:t xml:space="preserve"> “</w:t>
      </w:r>
      <w:r w:rsidRPr="004406EF">
        <w:rPr>
          <w:i/>
          <w:szCs w:val="24"/>
        </w:rPr>
        <w:t>noted that the 1574 PSD (pg 17) described the more stringent testing methods used for alloimmunised patients given the higher performance requirements and considered the proposed practice note was reasonable</w:t>
      </w:r>
      <w:r w:rsidRPr="004406EF">
        <w:rPr>
          <w:szCs w:val="24"/>
        </w:rPr>
        <w:t xml:space="preserve">”. </w:t>
      </w:r>
      <w:r w:rsidR="00D473DD" w:rsidRPr="004406EF">
        <w:rPr>
          <w:szCs w:val="24"/>
        </w:rPr>
        <w:t>The MSAC Executive’s supported item descriptors are shown below (</w:t>
      </w:r>
      <w:r w:rsidR="00EE3CDC" w:rsidRPr="004406EF">
        <w:rPr>
          <w:szCs w:val="24"/>
        </w:rPr>
        <w:fldChar w:fldCharType="begin"/>
      </w:r>
      <w:r w:rsidR="00EE3CDC" w:rsidRPr="004406EF">
        <w:rPr>
          <w:szCs w:val="24"/>
        </w:rPr>
        <w:instrText xml:space="preserve"> REF _Ref162029106 \h </w:instrText>
      </w:r>
      <w:r w:rsidR="004406EF">
        <w:rPr>
          <w:szCs w:val="24"/>
        </w:rPr>
        <w:instrText xml:space="preserve"> \* MERGEFORMAT </w:instrText>
      </w:r>
      <w:r w:rsidR="00EE3CDC" w:rsidRPr="004406EF">
        <w:rPr>
          <w:szCs w:val="24"/>
        </w:rPr>
      </w:r>
      <w:r w:rsidR="00EE3CDC" w:rsidRPr="004406EF">
        <w:rPr>
          <w:szCs w:val="24"/>
        </w:rPr>
        <w:fldChar w:fldCharType="separate"/>
      </w:r>
      <w:r w:rsidR="00C751E2" w:rsidRPr="005A4BD9">
        <w:t xml:space="preserve">Table </w:t>
      </w:r>
      <w:r w:rsidR="00C751E2">
        <w:rPr>
          <w:noProof/>
        </w:rPr>
        <w:t>3</w:t>
      </w:r>
      <w:r w:rsidR="00EE3CDC" w:rsidRPr="004406EF">
        <w:rPr>
          <w:szCs w:val="24"/>
        </w:rPr>
        <w:fldChar w:fldCharType="end"/>
      </w:r>
      <w:r w:rsidR="00D473DD" w:rsidRPr="004406EF">
        <w:rPr>
          <w:szCs w:val="24"/>
        </w:rPr>
        <w:t>).</w:t>
      </w:r>
    </w:p>
    <w:p w14:paraId="432F69F9" w14:textId="26B11F79" w:rsidR="00241AC6" w:rsidRPr="005A4BD9" w:rsidRDefault="00241AC6" w:rsidP="001C31DE">
      <w:pPr>
        <w:pStyle w:val="TableHeading"/>
        <w:spacing w:before="240"/>
        <w:ind w:left="0" w:firstLine="0"/>
      </w:pPr>
      <w:bookmarkStart w:id="4" w:name="_Ref162029106"/>
      <w:r w:rsidRPr="005A4BD9">
        <w:t xml:space="preserve">Table </w:t>
      </w:r>
      <w:r w:rsidRPr="005A4BD9">
        <w:fldChar w:fldCharType="begin"/>
      </w:r>
      <w:r w:rsidRPr="005A4BD9">
        <w:instrText xml:space="preserve"> SEQ Table \* ARABIC </w:instrText>
      </w:r>
      <w:r w:rsidRPr="005A4BD9">
        <w:fldChar w:fldCharType="separate"/>
      </w:r>
      <w:r w:rsidR="00C751E2">
        <w:t>3</w:t>
      </w:r>
      <w:r w:rsidRPr="005A4BD9">
        <w:fldChar w:fldCharType="end"/>
      </w:r>
      <w:bookmarkEnd w:id="4"/>
      <w:r w:rsidR="005A4BD9" w:rsidRPr="005A4BD9">
        <w:t xml:space="preserve">: MSAC Executive’s supported revisions to MBS items 73420 and 73421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3576"/>
      </w:tblGrid>
      <w:tr w:rsidR="00D43678" w:rsidRPr="00593BEA" w14:paraId="7F30BE42" w14:textId="77777777" w:rsidTr="00241AC6">
        <w:trPr>
          <w:cantSplit/>
        </w:trPr>
        <w:tc>
          <w:tcPr>
            <w:tcW w:w="3017" w:type="pct"/>
            <w:shd w:val="clear" w:color="auto" w:fill="auto"/>
          </w:tcPr>
          <w:p w14:paraId="22EF3B8A"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 xml:space="preserve">Category 6 – Pathology Services </w:t>
            </w:r>
          </w:p>
        </w:tc>
        <w:tc>
          <w:tcPr>
            <w:tcW w:w="1983" w:type="pct"/>
            <w:shd w:val="clear" w:color="auto" w:fill="auto"/>
          </w:tcPr>
          <w:p w14:paraId="4ECBE583"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Group P7 – Genetics</w:t>
            </w:r>
          </w:p>
        </w:tc>
      </w:tr>
      <w:tr w:rsidR="00D473DD" w:rsidRPr="00593BEA" w14:paraId="4AB99079" w14:textId="77777777" w:rsidTr="00241AC6">
        <w:trPr>
          <w:cantSplit/>
        </w:trPr>
        <w:tc>
          <w:tcPr>
            <w:tcW w:w="5000" w:type="pct"/>
            <w:gridSpan w:val="2"/>
            <w:shd w:val="clear" w:color="auto" w:fill="auto"/>
          </w:tcPr>
          <w:p w14:paraId="0BFFEADB"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MBS item 73420</w:t>
            </w:r>
          </w:p>
          <w:p w14:paraId="73E19737" w14:textId="3DBF860A"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Non</w:t>
            </w:r>
            <w:r w:rsidRPr="00165FD5">
              <w:rPr>
                <w:rFonts w:ascii="Cambria Math" w:eastAsia="Arial" w:hAnsi="Cambria Math" w:cs="Cambria Math"/>
                <w:sz w:val="20"/>
                <w:szCs w:val="20"/>
              </w:rPr>
              <w:t>‑</w:t>
            </w:r>
            <w:r w:rsidRPr="00165FD5">
              <w:rPr>
                <w:rFonts w:ascii="Arial Narrow" w:eastAsia="Arial" w:hAnsi="Arial Narrow" w:cs="Arial"/>
                <w:sz w:val="20"/>
                <w:szCs w:val="20"/>
              </w:rPr>
              <w:t xml:space="preserve">invasive prenatal testing of blood from a RhD negative pregnant patient for the detection of the </w:t>
            </w:r>
            <w:r w:rsidRPr="00165FD5">
              <w:rPr>
                <w:rFonts w:ascii="Arial Narrow" w:eastAsia="Arial" w:hAnsi="Arial Narrow" w:cs="Arial"/>
                <w:i/>
                <w:sz w:val="20"/>
                <w:szCs w:val="20"/>
              </w:rPr>
              <w:t>RHD</w:t>
            </w:r>
            <w:r w:rsidRPr="00165FD5">
              <w:rPr>
                <w:rFonts w:ascii="Arial Narrow" w:eastAsia="Arial" w:hAnsi="Arial Narrow" w:cs="Arial"/>
                <w:sz w:val="20"/>
                <w:szCs w:val="20"/>
              </w:rPr>
              <w:t xml:space="preserve"> gene from fetal DNA circulating in maternal blood, if the patient has not been previously alloimmunised against RhD.</w:t>
            </w:r>
          </w:p>
          <w:p w14:paraId="30731A02" w14:textId="1FC18863"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b/>
                <w:sz w:val="20"/>
                <w:szCs w:val="20"/>
              </w:rPr>
              <w:t>Fee:</w:t>
            </w:r>
            <w:r w:rsidRPr="00165FD5">
              <w:rPr>
                <w:rFonts w:ascii="Arial Narrow" w:eastAsia="Arial" w:hAnsi="Arial Narrow" w:cs="Arial"/>
                <w:sz w:val="20"/>
                <w:szCs w:val="20"/>
              </w:rPr>
              <w:t xml:space="preserve"> $150.40   </w:t>
            </w:r>
            <w:r w:rsidRPr="00165FD5">
              <w:rPr>
                <w:rFonts w:ascii="Arial Narrow" w:eastAsia="Arial" w:hAnsi="Arial Narrow" w:cs="Arial"/>
                <w:b/>
                <w:sz w:val="20"/>
                <w:szCs w:val="20"/>
              </w:rPr>
              <w:t>Benefit:</w:t>
            </w:r>
            <w:r w:rsidRPr="00165FD5">
              <w:rPr>
                <w:rFonts w:ascii="Arial Narrow" w:eastAsia="Arial" w:hAnsi="Arial Narrow" w:cs="Arial"/>
                <w:sz w:val="20"/>
                <w:szCs w:val="20"/>
              </w:rPr>
              <w:t xml:space="preserve"> 75% = $112.80   85% = $127.80</w:t>
            </w:r>
          </w:p>
        </w:tc>
      </w:tr>
      <w:tr w:rsidR="00D473DD" w:rsidRPr="00593BEA" w14:paraId="4FA2756C" w14:textId="77777777" w:rsidTr="00241AC6">
        <w:trPr>
          <w:cantSplit/>
        </w:trPr>
        <w:tc>
          <w:tcPr>
            <w:tcW w:w="5000" w:type="pct"/>
            <w:gridSpan w:val="2"/>
            <w:shd w:val="clear" w:color="auto" w:fill="auto"/>
          </w:tcPr>
          <w:p w14:paraId="4BE85250"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MBS item 73421</w:t>
            </w:r>
          </w:p>
          <w:p w14:paraId="2AAAB788" w14:textId="5FC4D7D9"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Non</w:t>
            </w:r>
            <w:r w:rsidRPr="00165FD5">
              <w:rPr>
                <w:rFonts w:ascii="Arial Narrow" w:eastAsia="Arial" w:hAnsi="Arial Narrow" w:cs="Arial"/>
                <w:sz w:val="20"/>
                <w:szCs w:val="20"/>
              </w:rPr>
              <w:noBreakHyphen/>
              <w:t xml:space="preserve">invasive prenatal testing of blood from a RhD negative pregnant patient for the detection of the </w:t>
            </w:r>
            <w:r w:rsidRPr="00165FD5">
              <w:rPr>
                <w:rFonts w:ascii="Arial Narrow" w:eastAsia="Arial" w:hAnsi="Arial Narrow" w:cs="Arial"/>
                <w:i/>
                <w:sz w:val="20"/>
                <w:szCs w:val="20"/>
              </w:rPr>
              <w:t>RHD</w:t>
            </w:r>
            <w:r w:rsidRPr="00165FD5">
              <w:rPr>
                <w:rFonts w:ascii="Arial Narrow" w:eastAsia="Arial" w:hAnsi="Arial Narrow" w:cs="Arial"/>
                <w:sz w:val="20"/>
                <w:szCs w:val="20"/>
              </w:rPr>
              <w:t xml:space="preserve"> gene from fetal DNA circulating in maternal blood, if the patient has been previously alloimmunised against RhD.</w:t>
            </w:r>
          </w:p>
          <w:p w14:paraId="724FA888"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b/>
                <w:sz w:val="20"/>
                <w:szCs w:val="20"/>
              </w:rPr>
              <w:t>Fee:</w:t>
            </w:r>
            <w:r w:rsidRPr="00165FD5">
              <w:rPr>
                <w:rFonts w:ascii="Arial Narrow" w:eastAsia="Arial" w:hAnsi="Arial Narrow" w:cs="Arial"/>
                <w:sz w:val="20"/>
                <w:szCs w:val="20"/>
              </w:rPr>
              <w:t xml:space="preserve"> $550.00   </w:t>
            </w:r>
            <w:r w:rsidRPr="00165FD5">
              <w:rPr>
                <w:rFonts w:ascii="Arial Narrow" w:eastAsia="Arial" w:hAnsi="Arial Narrow" w:cs="Arial"/>
                <w:b/>
                <w:sz w:val="20"/>
                <w:szCs w:val="20"/>
              </w:rPr>
              <w:t>Benefit:</w:t>
            </w:r>
            <w:r w:rsidRPr="00165FD5">
              <w:rPr>
                <w:rFonts w:ascii="Arial Narrow" w:eastAsia="Arial" w:hAnsi="Arial Narrow" w:cs="Arial"/>
                <w:sz w:val="20"/>
                <w:szCs w:val="20"/>
              </w:rPr>
              <w:t xml:space="preserve"> 75% = $412.50   85% = $467.50</w:t>
            </w:r>
          </w:p>
          <w:p w14:paraId="75015839" w14:textId="77777777" w:rsidR="00D43678" w:rsidRPr="00165FD5" w:rsidRDefault="00D43678">
            <w:pPr>
              <w:pStyle w:val="5Bodytext"/>
              <w:rPr>
                <w:rFonts w:ascii="Arial Narrow" w:eastAsia="Arial" w:hAnsi="Arial Narrow" w:cs="Arial"/>
                <w:sz w:val="20"/>
                <w:szCs w:val="20"/>
              </w:rPr>
            </w:pPr>
            <w:r w:rsidRPr="00165FD5">
              <w:rPr>
                <w:rFonts w:ascii="Arial Narrow" w:eastAsia="Arial" w:hAnsi="Arial Narrow" w:cs="Arial"/>
                <w:sz w:val="20"/>
                <w:szCs w:val="20"/>
              </w:rPr>
              <w:t>(See para PN.X.X of explanatory notes to this Category)</w:t>
            </w:r>
          </w:p>
        </w:tc>
      </w:tr>
      <w:tr w:rsidR="00D43678" w:rsidRPr="00593BEA" w14:paraId="066AC65F" w14:textId="77777777" w:rsidTr="00241AC6">
        <w:trPr>
          <w:cantSplit/>
        </w:trPr>
        <w:tc>
          <w:tcPr>
            <w:tcW w:w="5000" w:type="pct"/>
            <w:gridSpan w:val="2"/>
            <w:shd w:val="clear" w:color="auto" w:fill="auto"/>
          </w:tcPr>
          <w:p w14:paraId="267F8DAC" w14:textId="77777777" w:rsidR="00D43678" w:rsidRPr="00165FD5" w:rsidRDefault="00D43678">
            <w:pPr>
              <w:pStyle w:val="5Bodytext"/>
              <w:rPr>
                <w:rFonts w:ascii="Arial Narrow" w:eastAsia="Arial" w:hAnsi="Arial Narrow" w:cs="Arial"/>
                <w:sz w:val="20"/>
                <w:szCs w:val="20"/>
              </w:rPr>
            </w:pPr>
            <w:r w:rsidRPr="00165FD5">
              <w:rPr>
                <w:rFonts w:ascii="Arial Narrow" w:hAnsi="Arial Narrow"/>
                <w:sz w:val="20"/>
                <w:szCs w:val="20"/>
              </w:rPr>
              <w:t>PN.X.X – an alternative test methodology to that used for Item 73420 is recommended to minimise the risk of false negative results (such as confirming the presence of cell-free fetal DNA).</w:t>
            </w:r>
          </w:p>
        </w:tc>
      </w:tr>
    </w:tbl>
    <w:p w14:paraId="0E443F76" w14:textId="4B4DD980" w:rsidR="001C19E9" w:rsidRPr="001C19E9" w:rsidRDefault="0037497F" w:rsidP="001C31DE">
      <w:pPr>
        <w:spacing w:before="240"/>
      </w:pPr>
      <w:r w:rsidRPr="006F671C">
        <w:rPr>
          <w:szCs w:val="24"/>
        </w:rPr>
        <w:t xml:space="preserve">At its </w:t>
      </w:r>
      <w:r w:rsidR="003F5508" w:rsidRPr="006F671C">
        <w:rPr>
          <w:szCs w:val="24"/>
        </w:rPr>
        <w:t xml:space="preserve">March 2024 meeting, the MSAC Executive </w:t>
      </w:r>
      <w:r w:rsidR="00CD3A12" w:rsidRPr="00CD3A12">
        <w:rPr>
          <w:szCs w:val="24"/>
        </w:rPr>
        <w:t xml:space="preserve">noted that </w:t>
      </w:r>
      <w:r w:rsidR="00464709" w:rsidRPr="00464709">
        <w:rPr>
          <w:b/>
          <w:bCs/>
          <w:szCs w:val="24"/>
        </w:rPr>
        <w:t>REDACTED</w:t>
      </w:r>
      <w:r w:rsidR="00CD3A12" w:rsidRPr="00CD3A12">
        <w:rPr>
          <w:szCs w:val="24"/>
        </w:rPr>
        <w:t xml:space="preserve"> had been contacted and had confirmed the MSAC Executive’s supported fee increase to $150.40 for RhD NIPT for non-alloimmunised patients was reasonable</w:t>
      </w:r>
      <w:r w:rsidR="00CD3A12">
        <w:rPr>
          <w:szCs w:val="24"/>
        </w:rPr>
        <w:t xml:space="preserve">. The MSAC Executive </w:t>
      </w:r>
      <w:r w:rsidR="00BC7B95" w:rsidRPr="006F671C">
        <w:rPr>
          <w:szCs w:val="24"/>
        </w:rPr>
        <w:t xml:space="preserve">considered that there was value in communicating </w:t>
      </w:r>
      <w:r w:rsidR="00F13CD2" w:rsidRPr="006F671C">
        <w:rPr>
          <w:szCs w:val="24"/>
        </w:rPr>
        <w:t>its</w:t>
      </w:r>
      <w:r w:rsidR="00BC7B95" w:rsidRPr="006F671C">
        <w:rPr>
          <w:szCs w:val="24"/>
        </w:rPr>
        <w:t xml:space="preserve"> support for the fee increase ahead of government advice. The MSAC Executive therefore requested </w:t>
      </w:r>
      <w:r w:rsidR="003C6E0C" w:rsidRPr="006F671C">
        <w:rPr>
          <w:szCs w:val="24"/>
        </w:rPr>
        <w:t xml:space="preserve">that </w:t>
      </w:r>
      <w:r w:rsidR="00BC7B95" w:rsidRPr="006F671C">
        <w:rPr>
          <w:szCs w:val="24"/>
        </w:rPr>
        <w:t>the department add its consideration and advice on the fee increase to the 1574 PSD.</w:t>
      </w:r>
    </w:p>
    <w:p w14:paraId="5F0AE2C5" w14:textId="77777777" w:rsidR="00BC1364" w:rsidRPr="00F715D1" w:rsidRDefault="00BC1364" w:rsidP="00F715D1">
      <w:pPr>
        <w:pStyle w:val="Heading1"/>
      </w:pPr>
      <w:r w:rsidRPr="00F715D1">
        <w:t>Background</w:t>
      </w:r>
    </w:p>
    <w:p w14:paraId="3FAA8C5D" w14:textId="77777777" w:rsidR="00CA18E2" w:rsidRPr="00002F2B" w:rsidRDefault="00CA18E2" w:rsidP="00CA18E2">
      <w:r>
        <w:t>MSAC has not previously considered</w:t>
      </w:r>
      <w:r w:rsidRPr="00002F2B">
        <w:t xml:space="preserve"> </w:t>
      </w:r>
      <w:r>
        <w:t>non-invasive prenatal testing for fetal rhesus D genotype.</w:t>
      </w:r>
    </w:p>
    <w:p w14:paraId="0CD79BBD" w14:textId="77777777" w:rsidR="00BC1364" w:rsidRPr="00F715D1" w:rsidRDefault="00BC1364" w:rsidP="00F715D1">
      <w:pPr>
        <w:pStyle w:val="Heading1"/>
      </w:pPr>
      <w:r w:rsidRPr="00F715D1">
        <w:t>Prerequisites to implementation of any funding advice</w:t>
      </w:r>
    </w:p>
    <w:p w14:paraId="767E1DEE" w14:textId="576E6145" w:rsidR="00CA18E2" w:rsidRDefault="00CA18E2" w:rsidP="00CA18E2">
      <w:pPr>
        <w:rPr>
          <w:szCs w:val="24"/>
        </w:rPr>
      </w:pPr>
      <w:r>
        <w:rPr>
          <w:szCs w:val="24"/>
        </w:rPr>
        <w:t>The DCAR stated that a</w:t>
      </w:r>
      <w:r w:rsidRPr="00725B40">
        <w:rPr>
          <w:szCs w:val="24"/>
        </w:rPr>
        <w:t>s noted in the PICO, there are no Therapeutic Goods Administration (TGA) licensed</w:t>
      </w:r>
      <w:r>
        <w:rPr>
          <w:szCs w:val="24"/>
        </w:rPr>
        <w:t xml:space="preserve"> </w:t>
      </w:r>
      <w:r w:rsidRPr="00725B40">
        <w:rPr>
          <w:szCs w:val="24"/>
        </w:rPr>
        <w:t xml:space="preserve">tests currently available, therefore this would require laboratories to validate and register their test as an in-house in-vitro diagnostic (IVD). Platforms used in Australian laboratories would likely vary across laboratories where a variety of techniques could be used including: qRT-PCR, qRT digital PCR, </w:t>
      </w:r>
      <w:r w:rsidR="001166D6">
        <w:rPr>
          <w:szCs w:val="24"/>
        </w:rPr>
        <w:t xml:space="preserve">and </w:t>
      </w:r>
      <w:r w:rsidRPr="00725B40">
        <w:rPr>
          <w:szCs w:val="24"/>
        </w:rPr>
        <w:t>array-based platforms.</w:t>
      </w:r>
    </w:p>
    <w:p w14:paraId="7916D99D" w14:textId="4610D949" w:rsidR="00CA18E2" w:rsidRDefault="00CA18E2" w:rsidP="00E06381">
      <w:pPr>
        <w:spacing w:before="240"/>
        <w:rPr>
          <w:szCs w:val="24"/>
        </w:rPr>
      </w:pPr>
      <w:r>
        <w:rPr>
          <w:szCs w:val="24"/>
        </w:rPr>
        <w:t xml:space="preserve">The </w:t>
      </w:r>
      <w:r w:rsidRPr="00AC1D3B">
        <w:rPr>
          <w:szCs w:val="24"/>
        </w:rPr>
        <w:t xml:space="preserve">National Pathology Accreditation Advisory Council </w:t>
      </w:r>
      <w:r>
        <w:rPr>
          <w:szCs w:val="24"/>
        </w:rPr>
        <w:t>(NPAAC) stated that a</w:t>
      </w:r>
      <w:r w:rsidRPr="00AC1D3B">
        <w:rPr>
          <w:szCs w:val="24"/>
        </w:rPr>
        <w:t xml:space="preserve"> quality framework would need to be established around this test as poor quality would pose a significant risk to a current and future fetus of HDFN</w:t>
      </w:r>
      <w:r>
        <w:rPr>
          <w:szCs w:val="24"/>
        </w:rPr>
        <w:t>,</w:t>
      </w:r>
      <w:r w:rsidRPr="00AC1D3B">
        <w:rPr>
          <w:szCs w:val="24"/>
        </w:rPr>
        <w:t xml:space="preserve"> which can cause death. </w:t>
      </w:r>
      <w:r w:rsidR="00001B31">
        <w:rPr>
          <w:szCs w:val="24"/>
        </w:rPr>
        <w:t>Currently, i</w:t>
      </w:r>
      <w:r w:rsidRPr="00AC1D3B">
        <w:rPr>
          <w:szCs w:val="24"/>
        </w:rPr>
        <w:t xml:space="preserve">t is </w:t>
      </w:r>
      <w:r w:rsidR="00001B31">
        <w:rPr>
          <w:szCs w:val="24"/>
        </w:rPr>
        <w:t xml:space="preserve">provided as </w:t>
      </w:r>
      <w:r w:rsidRPr="00AC1D3B">
        <w:rPr>
          <w:szCs w:val="24"/>
        </w:rPr>
        <w:t>an in</w:t>
      </w:r>
      <w:r>
        <w:rPr>
          <w:szCs w:val="24"/>
        </w:rPr>
        <w:t>-</w:t>
      </w:r>
      <w:r w:rsidRPr="00AC1D3B">
        <w:rPr>
          <w:szCs w:val="24"/>
        </w:rPr>
        <w:t>house test developed and performed by Lifeblood</w:t>
      </w:r>
      <w:r>
        <w:rPr>
          <w:szCs w:val="24"/>
        </w:rPr>
        <w:t>,</w:t>
      </w:r>
      <w:r w:rsidRPr="00AC1D3B">
        <w:rPr>
          <w:szCs w:val="24"/>
        </w:rPr>
        <w:t xml:space="preserve"> and there is no existing </w:t>
      </w:r>
      <w:r>
        <w:rPr>
          <w:szCs w:val="24"/>
        </w:rPr>
        <w:t>Australian external quality assurance (EQA)</w:t>
      </w:r>
      <w:r w:rsidRPr="00AC1D3B">
        <w:rPr>
          <w:szCs w:val="24"/>
        </w:rPr>
        <w:t xml:space="preserve"> program</w:t>
      </w:r>
      <w:r>
        <w:rPr>
          <w:szCs w:val="24"/>
        </w:rPr>
        <w:t>.</w:t>
      </w:r>
      <w:r w:rsidR="00255162" w:rsidRPr="00255162">
        <w:rPr>
          <w:szCs w:val="24"/>
        </w:rPr>
        <w:t xml:space="preserve"> </w:t>
      </w:r>
      <w:r w:rsidR="00255162">
        <w:rPr>
          <w:szCs w:val="24"/>
        </w:rPr>
        <w:t xml:space="preserve">While Lifeblood participates in the International Survey distributed by the Department of Clinical Immunology of Copenhagen </w:t>
      </w:r>
      <w:r w:rsidR="00255162">
        <w:rPr>
          <w:szCs w:val="24"/>
        </w:rPr>
        <w:lastRenderedPageBreak/>
        <w:t xml:space="preserve">University Hospital for EQA of non-invasive fetal </w:t>
      </w:r>
      <w:r w:rsidR="00255162" w:rsidRPr="00D55B0F">
        <w:rPr>
          <w:i/>
          <w:szCs w:val="24"/>
        </w:rPr>
        <w:t>RHD</w:t>
      </w:r>
      <w:r w:rsidR="00255162">
        <w:rPr>
          <w:szCs w:val="24"/>
        </w:rPr>
        <w:t xml:space="preserve"> genotyping, a</w:t>
      </w:r>
      <w:r w:rsidR="00255162" w:rsidRPr="00AC1D3B">
        <w:rPr>
          <w:szCs w:val="24"/>
        </w:rPr>
        <w:t xml:space="preserve">n </w:t>
      </w:r>
      <w:r w:rsidR="00255162">
        <w:rPr>
          <w:szCs w:val="24"/>
        </w:rPr>
        <w:t xml:space="preserve">Australian </w:t>
      </w:r>
      <w:r w:rsidR="00255162" w:rsidRPr="00AC1D3B">
        <w:rPr>
          <w:szCs w:val="24"/>
        </w:rPr>
        <w:t>EQA program would need to be established.</w:t>
      </w:r>
    </w:p>
    <w:p w14:paraId="38E120A2" w14:textId="4A46CCEF" w:rsidR="00CA18E2" w:rsidRDefault="00CA18E2" w:rsidP="00E06381">
      <w:pPr>
        <w:spacing w:before="240"/>
        <w:rPr>
          <w:szCs w:val="24"/>
        </w:rPr>
      </w:pPr>
      <w:r>
        <w:rPr>
          <w:szCs w:val="24"/>
        </w:rPr>
        <w:t>The NPAAC also commented that testing could be high volume (</w:t>
      </w:r>
      <w:r w:rsidRPr="00AC1D3B">
        <w:rPr>
          <w:szCs w:val="24"/>
        </w:rPr>
        <w:t>one in seven pregnancies is 40000/year</w:t>
      </w:r>
      <w:r>
        <w:rPr>
          <w:szCs w:val="24"/>
        </w:rPr>
        <w:t>)</w:t>
      </w:r>
      <w:r w:rsidRPr="00AC1D3B">
        <w:rPr>
          <w:szCs w:val="24"/>
        </w:rPr>
        <w:t xml:space="preserve"> and could be set up by multiple providers, all of whom would need t</w:t>
      </w:r>
      <w:r>
        <w:rPr>
          <w:szCs w:val="24"/>
        </w:rPr>
        <w:t>o validate their own in-</w:t>
      </w:r>
      <w:r w:rsidRPr="00AC1D3B">
        <w:rPr>
          <w:szCs w:val="24"/>
        </w:rPr>
        <w:t>house assays</w:t>
      </w:r>
      <w:r>
        <w:rPr>
          <w:szCs w:val="24"/>
        </w:rPr>
        <w:t xml:space="preserve">, which </w:t>
      </w:r>
      <w:r w:rsidRPr="00AC1D3B">
        <w:rPr>
          <w:szCs w:val="24"/>
        </w:rPr>
        <w:t xml:space="preserve">would require significant </w:t>
      </w:r>
      <w:r>
        <w:rPr>
          <w:szCs w:val="24"/>
        </w:rPr>
        <w:t>expertise. Inaccurate testing (</w:t>
      </w:r>
      <w:r w:rsidRPr="00AC1D3B">
        <w:rPr>
          <w:szCs w:val="24"/>
        </w:rPr>
        <w:t>sensitivity or specificity</w:t>
      </w:r>
      <w:r>
        <w:rPr>
          <w:szCs w:val="24"/>
        </w:rPr>
        <w:t>)</w:t>
      </w:r>
      <w:r w:rsidRPr="00AC1D3B">
        <w:rPr>
          <w:szCs w:val="24"/>
        </w:rPr>
        <w:t xml:space="preserve"> poses a significant risk </w:t>
      </w:r>
      <w:r w:rsidR="00255162" w:rsidRPr="00AC1D3B">
        <w:rPr>
          <w:szCs w:val="24"/>
        </w:rPr>
        <w:t xml:space="preserve">of HDFN </w:t>
      </w:r>
      <w:r w:rsidRPr="00AC1D3B">
        <w:rPr>
          <w:szCs w:val="24"/>
        </w:rPr>
        <w:t>to both a current and future fetus</w:t>
      </w:r>
      <w:r>
        <w:rPr>
          <w:szCs w:val="24"/>
        </w:rPr>
        <w:t>, as the opportunity to immunise the mother with a</w:t>
      </w:r>
      <w:r w:rsidRPr="00AC1D3B">
        <w:rPr>
          <w:szCs w:val="24"/>
        </w:rPr>
        <w:t>nti</w:t>
      </w:r>
      <w:r>
        <w:rPr>
          <w:szCs w:val="24"/>
        </w:rPr>
        <w:t>-</w:t>
      </w:r>
      <w:r w:rsidRPr="00AC1D3B">
        <w:rPr>
          <w:szCs w:val="24"/>
        </w:rPr>
        <w:t xml:space="preserve">D </w:t>
      </w:r>
      <w:r w:rsidR="008C0F5E">
        <w:rPr>
          <w:szCs w:val="24"/>
        </w:rPr>
        <w:t xml:space="preserve">Ig </w:t>
      </w:r>
      <w:r w:rsidR="00E06381">
        <w:rPr>
          <w:szCs w:val="24"/>
        </w:rPr>
        <w:t>might be missed.</w:t>
      </w:r>
    </w:p>
    <w:p w14:paraId="2FADB980" w14:textId="7BB90F3C" w:rsidR="00CA18E2" w:rsidRDefault="00F53931" w:rsidP="00E06381">
      <w:pPr>
        <w:spacing w:before="240"/>
        <w:rPr>
          <w:szCs w:val="24"/>
        </w:rPr>
      </w:pPr>
      <w:r>
        <w:rPr>
          <w:szCs w:val="24"/>
        </w:rPr>
        <w:t>Lifeblood</w:t>
      </w:r>
      <w:r w:rsidR="00CA18E2">
        <w:rPr>
          <w:szCs w:val="24"/>
        </w:rPr>
        <w:t xml:space="preserve"> commented that </w:t>
      </w:r>
      <w:r w:rsidR="00255162">
        <w:rPr>
          <w:szCs w:val="24"/>
        </w:rPr>
        <w:t>they have</w:t>
      </w:r>
      <w:r w:rsidR="00CA18E2">
        <w:rPr>
          <w:szCs w:val="24"/>
        </w:rPr>
        <w:t xml:space="preserve"> been performing NIPT </w:t>
      </w:r>
      <w:r w:rsidR="00D36543">
        <w:rPr>
          <w:szCs w:val="24"/>
        </w:rPr>
        <w:t xml:space="preserve">for </w:t>
      </w:r>
      <w:r w:rsidR="00CA18E2" w:rsidRPr="00CA579A">
        <w:rPr>
          <w:i/>
          <w:szCs w:val="24"/>
        </w:rPr>
        <w:t>R</w:t>
      </w:r>
      <w:r w:rsidR="000D746D" w:rsidRPr="00CA579A">
        <w:rPr>
          <w:i/>
          <w:szCs w:val="24"/>
        </w:rPr>
        <w:t>H</w:t>
      </w:r>
      <w:r w:rsidR="00CA18E2" w:rsidRPr="00CA579A">
        <w:rPr>
          <w:i/>
          <w:szCs w:val="24"/>
        </w:rPr>
        <w:t>D</w:t>
      </w:r>
      <w:r w:rsidR="00CA18E2">
        <w:rPr>
          <w:szCs w:val="24"/>
        </w:rPr>
        <w:t xml:space="preserve"> in alloimmunised </w:t>
      </w:r>
      <w:r w:rsidR="00D36543">
        <w:rPr>
          <w:szCs w:val="24"/>
        </w:rPr>
        <w:t xml:space="preserve">women </w:t>
      </w:r>
      <w:r w:rsidR="00CA18E2">
        <w:rPr>
          <w:szCs w:val="24"/>
        </w:rPr>
        <w:t>for many years, and ha</w:t>
      </w:r>
      <w:r w:rsidR="00255162">
        <w:rPr>
          <w:szCs w:val="24"/>
        </w:rPr>
        <w:t>ve</w:t>
      </w:r>
      <w:r w:rsidR="00CA18E2">
        <w:rPr>
          <w:szCs w:val="24"/>
        </w:rPr>
        <w:t xml:space="preserve"> published their experience</w:t>
      </w:r>
      <w:r w:rsidR="00CA18E2">
        <w:rPr>
          <w:rStyle w:val="FootnoteReference"/>
          <w:szCs w:val="24"/>
        </w:rPr>
        <w:footnoteReference w:id="2"/>
      </w:r>
      <w:r w:rsidR="00CA18E2">
        <w:rPr>
          <w:szCs w:val="24"/>
        </w:rPr>
        <w:t xml:space="preserve">. The test has now transitioned from research into the Lifeblood’s reference laboratory and is NATA-accredited. Lifeblood recently received approval from governments (through the National Blood Authority and the Jurisdictional Blood Committee) to provide </w:t>
      </w:r>
      <w:r w:rsidR="00255162" w:rsidRPr="00861568">
        <w:rPr>
          <w:i/>
          <w:szCs w:val="24"/>
        </w:rPr>
        <w:t>RHD</w:t>
      </w:r>
      <w:r w:rsidR="00145F00">
        <w:rPr>
          <w:szCs w:val="24"/>
        </w:rPr>
        <w:t>-</w:t>
      </w:r>
      <w:r w:rsidR="00CA18E2">
        <w:rPr>
          <w:szCs w:val="24"/>
        </w:rPr>
        <w:t xml:space="preserve">NIPT for </w:t>
      </w:r>
      <w:r w:rsidR="00D36543">
        <w:rPr>
          <w:szCs w:val="24"/>
        </w:rPr>
        <w:t xml:space="preserve">women with </w:t>
      </w:r>
      <w:r w:rsidR="00CA18E2">
        <w:rPr>
          <w:szCs w:val="24"/>
        </w:rPr>
        <w:t xml:space="preserve">high-risk pregnancies within existing </w:t>
      </w:r>
      <w:r w:rsidR="009C7DAE">
        <w:rPr>
          <w:szCs w:val="24"/>
        </w:rPr>
        <w:t xml:space="preserve">Australia-wide </w:t>
      </w:r>
      <w:r w:rsidR="00CA18E2">
        <w:rPr>
          <w:szCs w:val="24"/>
        </w:rPr>
        <w:t xml:space="preserve">funding arrangements. This </w:t>
      </w:r>
      <w:r w:rsidR="009C7DAE">
        <w:rPr>
          <w:szCs w:val="24"/>
        </w:rPr>
        <w:t xml:space="preserve">testing </w:t>
      </w:r>
      <w:r w:rsidR="00CA18E2">
        <w:rPr>
          <w:szCs w:val="24"/>
        </w:rPr>
        <w:t>includes the following clinical indications:</w:t>
      </w:r>
    </w:p>
    <w:p w14:paraId="36B22464" w14:textId="336A6B84" w:rsidR="00CA18E2" w:rsidRDefault="00CA18E2" w:rsidP="00CA18E2">
      <w:pPr>
        <w:pStyle w:val="ListParagraph"/>
        <w:numPr>
          <w:ilvl w:val="0"/>
          <w:numId w:val="28"/>
        </w:numPr>
        <w:rPr>
          <w:szCs w:val="24"/>
        </w:rPr>
      </w:pPr>
      <w:r>
        <w:rPr>
          <w:szCs w:val="24"/>
        </w:rPr>
        <w:t>RhD-negative pregnant women who are Rh(D) alloimmunised</w:t>
      </w:r>
    </w:p>
    <w:p w14:paraId="6B2ACF57" w14:textId="77777777" w:rsidR="00CA18E2" w:rsidRDefault="00CA18E2" w:rsidP="00CA18E2">
      <w:pPr>
        <w:pStyle w:val="ListParagraph"/>
        <w:numPr>
          <w:ilvl w:val="0"/>
          <w:numId w:val="28"/>
        </w:numPr>
        <w:rPr>
          <w:szCs w:val="24"/>
        </w:rPr>
      </w:pPr>
      <w:r>
        <w:rPr>
          <w:szCs w:val="24"/>
        </w:rPr>
        <w:t>RhD-negative pregnant women with obstetric indications such as severe fetomaternal haemorrhage during pregnancy, or intrauterine fetal death</w:t>
      </w:r>
    </w:p>
    <w:p w14:paraId="000512C8" w14:textId="08669847" w:rsidR="00CA18E2" w:rsidRPr="00E06381" w:rsidRDefault="00CA18E2" w:rsidP="00CA18E2">
      <w:pPr>
        <w:pStyle w:val="ListParagraph"/>
        <w:numPr>
          <w:ilvl w:val="0"/>
          <w:numId w:val="28"/>
        </w:numPr>
        <w:rPr>
          <w:szCs w:val="24"/>
        </w:rPr>
      </w:pPr>
      <w:r>
        <w:rPr>
          <w:szCs w:val="24"/>
        </w:rPr>
        <w:t xml:space="preserve">Other scenarios in non-sensitised RhD-negative women with a relative contraindication to routine antenatal </w:t>
      </w:r>
      <w:r w:rsidR="008C0F5E">
        <w:rPr>
          <w:szCs w:val="24"/>
        </w:rPr>
        <w:t>a</w:t>
      </w:r>
      <w:r>
        <w:rPr>
          <w:szCs w:val="24"/>
        </w:rPr>
        <w:t>nt</w:t>
      </w:r>
      <w:r w:rsidR="00D36543">
        <w:rPr>
          <w:szCs w:val="24"/>
        </w:rPr>
        <w:t>i</w:t>
      </w:r>
      <w:r>
        <w:rPr>
          <w:szCs w:val="24"/>
        </w:rPr>
        <w:t xml:space="preserve">-D </w:t>
      </w:r>
      <w:r w:rsidR="008C0F5E">
        <w:rPr>
          <w:szCs w:val="24"/>
        </w:rPr>
        <w:t xml:space="preserve">Ig </w:t>
      </w:r>
      <w:r>
        <w:rPr>
          <w:szCs w:val="24"/>
        </w:rPr>
        <w:t xml:space="preserve">prophylaxis, such that the fetal </w:t>
      </w:r>
      <w:r w:rsidRPr="00CA579A">
        <w:rPr>
          <w:i/>
          <w:szCs w:val="24"/>
        </w:rPr>
        <w:t>R</w:t>
      </w:r>
      <w:r w:rsidR="00D36543" w:rsidRPr="00CA579A">
        <w:rPr>
          <w:i/>
          <w:szCs w:val="24"/>
        </w:rPr>
        <w:t>H</w:t>
      </w:r>
      <w:r w:rsidRPr="00CA579A">
        <w:rPr>
          <w:i/>
          <w:szCs w:val="24"/>
        </w:rPr>
        <w:t>D</w:t>
      </w:r>
      <w:r>
        <w:rPr>
          <w:szCs w:val="24"/>
        </w:rPr>
        <w:t xml:space="preserve"> genotype results in the risk-benefit assessment to guide anti-D </w:t>
      </w:r>
      <w:r w:rsidR="00316A76">
        <w:rPr>
          <w:szCs w:val="24"/>
        </w:rPr>
        <w:t xml:space="preserve">Ig </w:t>
      </w:r>
      <w:r>
        <w:rPr>
          <w:szCs w:val="24"/>
        </w:rPr>
        <w:t xml:space="preserve">management decisions (for example prior allergic reaction to </w:t>
      </w:r>
      <w:r w:rsidR="00590003">
        <w:rPr>
          <w:szCs w:val="24"/>
        </w:rPr>
        <w:t>anti-</w:t>
      </w:r>
      <w:r>
        <w:rPr>
          <w:szCs w:val="24"/>
        </w:rPr>
        <w:t>D</w:t>
      </w:r>
      <w:r w:rsidR="00590003">
        <w:rPr>
          <w:szCs w:val="24"/>
        </w:rPr>
        <w:t xml:space="preserve"> </w:t>
      </w:r>
      <w:r>
        <w:rPr>
          <w:szCs w:val="24"/>
        </w:rPr>
        <w:t>I</w:t>
      </w:r>
      <w:r w:rsidR="00D36543">
        <w:rPr>
          <w:szCs w:val="24"/>
        </w:rPr>
        <w:t>g</w:t>
      </w:r>
      <w:r>
        <w:rPr>
          <w:szCs w:val="24"/>
        </w:rPr>
        <w:t>, or cultural/religious beliefs)</w:t>
      </w:r>
      <w:r w:rsidR="00E06381">
        <w:rPr>
          <w:szCs w:val="24"/>
        </w:rPr>
        <w:t>.</w:t>
      </w:r>
    </w:p>
    <w:p w14:paraId="5DAE3DD9" w14:textId="77777777" w:rsidR="00CA18E2" w:rsidRDefault="00CA18E2" w:rsidP="00E06381">
      <w:pPr>
        <w:pStyle w:val="Heading2"/>
        <w:spacing w:before="240" w:after="120"/>
      </w:pPr>
      <w:r>
        <w:t>Number of service providers</w:t>
      </w:r>
    </w:p>
    <w:p w14:paraId="6D46D02B" w14:textId="6A5018A3" w:rsidR="00CA18E2" w:rsidRDefault="00CA18E2" w:rsidP="00CA18E2">
      <w:r>
        <w:t xml:space="preserve">Lifeblood further commented that it is well placed to provide this testing. Lifeblood reference laboratories already perform this testing on referred samples for high-risk pregnancies, and could rapidly accommodate the increased testing required for routine </w:t>
      </w:r>
      <w:r w:rsidR="00FA21F1" w:rsidRPr="00CA579A">
        <w:rPr>
          <w:i/>
        </w:rPr>
        <w:t>RHD</w:t>
      </w:r>
      <w:r w:rsidR="00145F00">
        <w:t>-</w:t>
      </w:r>
      <w:r>
        <w:t xml:space="preserve">NIPT </w:t>
      </w:r>
      <w:r w:rsidR="00FA21F1">
        <w:t>for</w:t>
      </w:r>
      <w:r>
        <w:t xml:space="preserve"> all RhD</w:t>
      </w:r>
      <w:r w:rsidR="00773FF9">
        <w:t>-</w:t>
      </w:r>
      <w:r>
        <w:t xml:space="preserve">negative pregnant women. In addition, Lifeblood has extensive experience in RhD variants that may complicate the interpretation of NIPT </w:t>
      </w:r>
      <w:r w:rsidR="00590003">
        <w:t xml:space="preserve">for </w:t>
      </w:r>
      <w:r w:rsidRPr="00CA579A">
        <w:rPr>
          <w:i/>
        </w:rPr>
        <w:t>R</w:t>
      </w:r>
      <w:r w:rsidR="00590003" w:rsidRPr="00CA579A">
        <w:rPr>
          <w:i/>
        </w:rPr>
        <w:t>H</w:t>
      </w:r>
      <w:r w:rsidRPr="00CA579A">
        <w:rPr>
          <w:i/>
        </w:rPr>
        <w:t>D</w:t>
      </w:r>
      <w:r>
        <w:t xml:space="preserve">, and has the facilities and expertise to perform additional RhD genotyping to further categorise these maternal or fetal RhD variants and determine the need for </w:t>
      </w:r>
      <w:r w:rsidR="00590003">
        <w:t>anti-</w:t>
      </w:r>
      <w:r>
        <w:t>D</w:t>
      </w:r>
      <w:r w:rsidR="00590003">
        <w:t xml:space="preserve"> </w:t>
      </w:r>
      <w:r>
        <w:t xml:space="preserve">Ig. Furthermore, a single national provider (across multiple centres) of this testing provides efficiencies of scale, consistency of sample requirements and timing and an opportunity to avoid repeat or duplicate testing. It also enables assessment of the overall effectiveness of targeted antenatal </w:t>
      </w:r>
      <w:r w:rsidR="00590003">
        <w:t>anti-</w:t>
      </w:r>
      <w:r>
        <w:t>D</w:t>
      </w:r>
      <w:r w:rsidR="00590003">
        <w:t xml:space="preserve"> </w:t>
      </w:r>
      <w:r>
        <w:t>Ig prophylaxis by aggregated reporting of testing error rates and sensitisations, which could not be monitored easily across multiple testing providers.</w:t>
      </w:r>
    </w:p>
    <w:p w14:paraId="50ACE739" w14:textId="5E6E40AD" w:rsidR="00CA18E2" w:rsidRDefault="00CA18E2" w:rsidP="00E06381">
      <w:pPr>
        <w:spacing w:before="240"/>
      </w:pPr>
      <w:r>
        <w:t xml:space="preserve">The RCPA responded to discussion at PASC’s April 2019 meeting </w:t>
      </w:r>
      <w:r w:rsidR="00590003">
        <w:t>regarding</w:t>
      </w:r>
      <w:r>
        <w:t xml:space="preserve"> Lifeblood potentially being the single provider of this test, that it would not be considered good medical practice to have a single </w:t>
      </w:r>
      <w:r w:rsidR="00590003">
        <w:t xml:space="preserve">provider </w:t>
      </w:r>
      <w:r>
        <w:t xml:space="preserve">perform pathology testing for an entire population. </w:t>
      </w:r>
      <w:r w:rsidRPr="00955EBF">
        <w:t>The</w:t>
      </w:r>
      <w:r w:rsidR="00A50D94">
        <w:t>ir stated position</w:t>
      </w:r>
      <w:r w:rsidRPr="00955EBF">
        <w:t xml:space="preserve"> </w:t>
      </w:r>
      <w:r w:rsidR="00A50D94">
        <w:t xml:space="preserve">on </w:t>
      </w:r>
      <w:r w:rsidRPr="00955EBF">
        <w:t xml:space="preserve">having a single </w:t>
      </w:r>
      <w:r w:rsidR="009C7DAE">
        <w:t>provider</w:t>
      </w:r>
      <w:r w:rsidR="009C7DAE" w:rsidRPr="00955EBF">
        <w:t xml:space="preserve"> </w:t>
      </w:r>
      <w:r w:rsidRPr="00955EBF">
        <w:t>performing the testing is that if something goes wrong with the method</w:t>
      </w:r>
      <w:r w:rsidR="0052723E">
        <w:t>ology</w:t>
      </w:r>
      <w:r w:rsidRPr="00955EBF">
        <w:t xml:space="preserve"> it may go undetected</w:t>
      </w:r>
      <w:r>
        <w:t>,</w:t>
      </w:r>
      <w:r w:rsidRPr="00955EBF">
        <w:t xml:space="preserve"> or if something goes wrong and is detected there is no backup </w:t>
      </w:r>
      <w:r w:rsidR="0052723E">
        <w:t xml:space="preserve">testing </w:t>
      </w:r>
      <w:r w:rsidRPr="00955EBF">
        <w:t>available. In addition, the</w:t>
      </w:r>
      <w:r w:rsidR="00A50D94">
        <w:t>y state that</w:t>
      </w:r>
      <w:r w:rsidRPr="00955EBF">
        <w:t xml:space="preserve"> development of expertise would be restricted thereby limiting the availability of suitable experts for second opini</w:t>
      </w:r>
      <w:r w:rsidR="008027F1">
        <w:t>ons regarding difficult cases. The applicant stated that o</w:t>
      </w:r>
      <w:r w:rsidRPr="00955EBF">
        <w:t xml:space="preserve">ther </w:t>
      </w:r>
      <w:r>
        <w:t>concerns</w:t>
      </w:r>
      <w:r w:rsidRPr="00955EBF">
        <w:t xml:space="preserve"> with single-</w:t>
      </w:r>
      <w:r w:rsidR="009C7DAE">
        <w:t>provider</w:t>
      </w:r>
      <w:r w:rsidRPr="00955EBF">
        <w:t xml:space="preserve"> testing include a lack of </w:t>
      </w:r>
      <w:r w:rsidR="00A50D94">
        <w:t xml:space="preserve">current </w:t>
      </w:r>
      <w:r w:rsidRPr="00955EBF">
        <w:t>availability of regular external quality assurance</w:t>
      </w:r>
      <w:r w:rsidR="00A50D94">
        <w:t>,</w:t>
      </w:r>
      <w:r w:rsidRPr="00955EBF">
        <w:t xml:space="preserve"> and no drive for competitive pricing.</w:t>
      </w:r>
    </w:p>
    <w:p w14:paraId="142F66C7" w14:textId="77777777" w:rsidR="00BC1364" w:rsidRPr="00F715D1" w:rsidRDefault="00BC1364" w:rsidP="00F715D1">
      <w:pPr>
        <w:pStyle w:val="Heading1"/>
      </w:pPr>
      <w:r w:rsidRPr="00F715D1">
        <w:lastRenderedPageBreak/>
        <w:t>Proposal for public funding</w:t>
      </w:r>
    </w:p>
    <w:p w14:paraId="500C4844" w14:textId="37966DB9" w:rsidR="00D55B0F" w:rsidRPr="001C31DE" w:rsidRDefault="00D55B0F" w:rsidP="001C31DE">
      <w:pPr>
        <w:spacing w:after="240"/>
      </w:pPr>
      <w:r>
        <w:t xml:space="preserve">The DCAR proposed the following MBS item descriptor for </w:t>
      </w:r>
      <w:r>
        <w:rPr>
          <w:i/>
        </w:rPr>
        <w:t>RHD</w:t>
      </w:r>
      <w:r>
        <w:t>-NIPT. The DCAR state</w:t>
      </w:r>
      <w:r w:rsidR="007A5271">
        <w:t>d</w:t>
      </w:r>
      <w:r>
        <w:t>that t</w:t>
      </w:r>
      <w:r w:rsidRPr="00206855">
        <w:t>he proposed MBS item descriptor in the PICO</w:t>
      </w:r>
      <w:r>
        <w:t xml:space="preserve"> (</w:t>
      </w:r>
      <w:r w:rsidR="00064A83">
        <w:fldChar w:fldCharType="begin"/>
      </w:r>
      <w:r w:rsidR="00064A83">
        <w:instrText xml:space="preserve"> REF _Ref162029183 \h </w:instrText>
      </w:r>
      <w:r w:rsidR="00064A83">
        <w:fldChar w:fldCharType="separate"/>
      </w:r>
      <w:r w:rsidR="00C751E2">
        <w:t xml:space="preserve">Table </w:t>
      </w:r>
      <w:r w:rsidR="00C751E2">
        <w:rPr>
          <w:noProof/>
        </w:rPr>
        <w:t>4</w:t>
      </w:r>
      <w:r w:rsidR="00064A83">
        <w:fldChar w:fldCharType="end"/>
      </w:r>
      <w:r>
        <w:t>, top</w:t>
      </w:r>
      <w:r w:rsidR="007A5271">
        <w:t xml:space="preserve"> row</w:t>
      </w:r>
      <w:r>
        <w:t>)</w:t>
      </w:r>
      <w:r w:rsidRPr="00206855">
        <w:t xml:space="preserve"> did not specify whether the test was to be performed in RhD-negative women who were alloimmunised or not. </w:t>
      </w:r>
      <w:r w:rsidR="00A50D94">
        <w:t>Women with a</w:t>
      </w:r>
      <w:r w:rsidRPr="00206855">
        <w:t xml:space="preserve">lloimmunised pregnancies are considered to be </w:t>
      </w:r>
      <w:r w:rsidR="00A50D94">
        <w:t xml:space="preserve">at </w:t>
      </w:r>
      <w:r w:rsidRPr="00206855">
        <w:t>high-risk, requiring testing with higher performance standards, therefore the MBS item descriptor has been modified</w:t>
      </w:r>
      <w:r>
        <w:t xml:space="preserve"> by the HTA group (</w:t>
      </w:r>
      <w:r w:rsidR="002928EC">
        <w:fldChar w:fldCharType="begin"/>
      </w:r>
      <w:r w:rsidR="002928EC">
        <w:instrText xml:space="preserve"> REF _Ref162029183 \h </w:instrText>
      </w:r>
      <w:r w:rsidR="002928EC">
        <w:fldChar w:fldCharType="separate"/>
      </w:r>
      <w:r w:rsidR="00C751E2">
        <w:t xml:space="preserve">Table </w:t>
      </w:r>
      <w:r w:rsidR="00C751E2">
        <w:rPr>
          <w:noProof/>
        </w:rPr>
        <w:t>4</w:t>
      </w:r>
      <w:r w:rsidR="002928EC">
        <w:fldChar w:fldCharType="end"/>
      </w:r>
      <w:r>
        <w:t>, bottom)</w:t>
      </w:r>
      <w:r w:rsidRPr="00206855">
        <w:t xml:space="preserve"> to reflect that this test is to be performed only in Rhesus D-negative, non-alloimmunised pregnant patients.</w:t>
      </w:r>
      <w:bookmarkStart w:id="5" w:name="_Toc49819157"/>
      <w:r w:rsidRPr="00053FE0">
        <w:rPr>
          <w:rFonts w:ascii="Arial Narrow" w:hAnsi="Arial Narrow"/>
          <w:b/>
          <w:sz w:val="20"/>
        </w:rPr>
        <w:t xml:space="preserve"> </w:t>
      </w:r>
      <w:bookmarkEnd w:id="5"/>
    </w:p>
    <w:p w14:paraId="768D30E6" w14:textId="5E5E7141" w:rsidR="00A56047" w:rsidRPr="00315CA0" w:rsidRDefault="00A56047" w:rsidP="00D135F2">
      <w:pPr>
        <w:pStyle w:val="TableHeading"/>
      </w:pPr>
      <w:bookmarkStart w:id="6" w:name="_Ref162029183"/>
      <w:r>
        <w:t xml:space="preserve">Table </w:t>
      </w:r>
      <w:r>
        <w:fldChar w:fldCharType="begin"/>
      </w:r>
      <w:r>
        <w:instrText xml:space="preserve"> SEQ Table \* ARABIC </w:instrText>
      </w:r>
      <w:r>
        <w:fldChar w:fldCharType="separate"/>
      </w:r>
      <w:r w:rsidR="00C751E2">
        <w:t>4</w:t>
      </w:r>
      <w:r>
        <w:fldChar w:fldCharType="end"/>
      </w:r>
      <w:bookmarkEnd w:id="6"/>
      <w:r w:rsidR="00315CA0">
        <w:t xml:space="preserve">: </w:t>
      </w:r>
      <w:r w:rsidR="00315CA0" w:rsidRPr="00053FE0">
        <w:t>Proposed MBS item descriptor for NIPT</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D55B0F" w:rsidRPr="00183E4D" w14:paraId="02D6D881" w14:textId="77777777" w:rsidTr="00A56047">
        <w:trPr>
          <w:tblHeader/>
        </w:trPr>
        <w:tc>
          <w:tcPr>
            <w:tcW w:w="9021" w:type="dxa"/>
          </w:tcPr>
          <w:p w14:paraId="023D4042" w14:textId="77777777" w:rsidR="00D55B0F" w:rsidRPr="00183E4D" w:rsidRDefault="00D55B0F" w:rsidP="00F53931">
            <w:pPr>
              <w:pStyle w:val="Tabletext0"/>
            </w:pPr>
            <w:r w:rsidRPr="00183E4D">
              <w:t xml:space="preserve">Category </w:t>
            </w:r>
            <w:r>
              <w:t>6</w:t>
            </w:r>
            <w:r w:rsidRPr="00183E4D">
              <w:t xml:space="preserve"> – </w:t>
            </w:r>
            <w:r>
              <w:t>Pathology Services (Group P7 Genetics)</w:t>
            </w:r>
          </w:p>
        </w:tc>
      </w:tr>
      <w:tr w:rsidR="00D55B0F" w:rsidRPr="00183E4D" w14:paraId="321D5C0C" w14:textId="77777777" w:rsidTr="00A56047">
        <w:tc>
          <w:tcPr>
            <w:tcW w:w="9021" w:type="dxa"/>
          </w:tcPr>
          <w:p w14:paraId="073C8D02" w14:textId="77777777" w:rsidR="00D55B0F" w:rsidRDefault="00D55B0F" w:rsidP="00F53931">
            <w:pPr>
              <w:pStyle w:val="Tabletext0"/>
            </w:pPr>
            <w:r>
              <w:t>MBS item</w:t>
            </w:r>
          </w:p>
          <w:p w14:paraId="72ECBE03" w14:textId="6A785471" w:rsidR="00D55B0F" w:rsidRDefault="00D55B0F" w:rsidP="00F53931">
            <w:pPr>
              <w:pStyle w:val="Tabletext0"/>
            </w:pPr>
            <w:r w:rsidRPr="00EE4822">
              <w:t>Non-invasive prenatal testing of blood from a Rhesus D negative pregnant woman for the detection of Rhesus D fetal DNA circulating in maternal blood.</w:t>
            </w:r>
          </w:p>
          <w:p w14:paraId="7F426B5A" w14:textId="77777777" w:rsidR="00D55B0F" w:rsidRPr="00183E4D" w:rsidRDefault="00D55B0F" w:rsidP="00E06381">
            <w:pPr>
              <w:pStyle w:val="Tabletext0"/>
              <w:spacing w:before="240"/>
            </w:pPr>
            <w:r>
              <w:t>Fee to be determined</w:t>
            </w:r>
          </w:p>
        </w:tc>
      </w:tr>
      <w:tr w:rsidR="00D55B0F" w:rsidRPr="00183E4D" w14:paraId="3069A4EC" w14:textId="77777777" w:rsidTr="00A56047">
        <w:tc>
          <w:tcPr>
            <w:tcW w:w="9021" w:type="dxa"/>
          </w:tcPr>
          <w:p w14:paraId="2B61180B" w14:textId="77777777" w:rsidR="00D55B0F" w:rsidRPr="0098490D" w:rsidRDefault="00D55B0F" w:rsidP="00F53931">
            <w:pPr>
              <w:pStyle w:val="Tabletext0"/>
              <w:rPr>
                <w:i/>
                <w:iCs/>
              </w:rPr>
            </w:pPr>
            <w:r w:rsidRPr="0098490D">
              <w:rPr>
                <w:i/>
                <w:iCs/>
              </w:rPr>
              <w:t xml:space="preserve">MBS item </w:t>
            </w:r>
            <w:r>
              <w:rPr>
                <w:i/>
                <w:iCs/>
              </w:rPr>
              <w:t>(newly proposed)*</w:t>
            </w:r>
          </w:p>
          <w:p w14:paraId="6A93DE69" w14:textId="5BA10062" w:rsidR="00D55B0F" w:rsidRDefault="00D55B0F" w:rsidP="00F53931">
            <w:pPr>
              <w:pStyle w:val="Tabletext0"/>
              <w:rPr>
                <w:i/>
                <w:iCs/>
              </w:rPr>
            </w:pPr>
            <w:r w:rsidRPr="0098490D">
              <w:rPr>
                <w:i/>
                <w:iCs/>
              </w:rPr>
              <w:t xml:space="preserve">Non-invasive prenatal testing of blood from a Rhesus D negative </w:t>
            </w:r>
            <w:r w:rsidRPr="0098490D">
              <w:rPr>
                <w:b/>
                <w:bCs/>
                <w:i/>
                <w:iCs/>
              </w:rPr>
              <w:t>non-alloimmunised</w:t>
            </w:r>
            <w:r w:rsidRPr="0098490D">
              <w:rPr>
                <w:i/>
                <w:iCs/>
              </w:rPr>
              <w:t xml:space="preserve"> pregnant </w:t>
            </w:r>
            <w:r>
              <w:rPr>
                <w:i/>
                <w:iCs/>
              </w:rPr>
              <w:t xml:space="preserve">patient </w:t>
            </w:r>
            <w:r w:rsidRPr="0098490D">
              <w:rPr>
                <w:i/>
                <w:iCs/>
              </w:rPr>
              <w:t xml:space="preserve">for the detection of Rhesus D fetal DNA </w:t>
            </w:r>
            <w:r>
              <w:rPr>
                <w:i/>
                <w:iCs/>
              </w:rPr>
              <w:t xml:space="preserve">(in a singleton pregnancy only) </w:t>
            </w:r>
            <w:r w:rsidRPr="0098490D">
              <w:rPr>
                <w:i/>
                <w:iCs/>
              </w:rPr>
              <w:t>circulating in maternal blood.</w:t>
            </w:r>
          </w:p>
          <w:p w14:paraId="45C84E1E" w14:textId="77777777" w:rsidR="00D55B0F" w:rsidRPr="0098490D" w:rsidRDefault="00D55B0F" w:rsidP="00E06381">
            <w:pPr>
              <w:pStyle w:val="Tabletext0"/>
              <w:spacing w:before="240"/>
              <w:rPr>
                <w:i/>
                <w:iCs/>
              </w:rPr>
            </w:pPr>
            <w:r>
              <w:rPr>
                <w:i/>
                <w:iCs/>
              </w:rPr>
              <w:t>Fee to be determined</w:t>
            </w:r>
          </w:p>
        </w:tc>
      </w:tr>
    </w:tbl>
    <w:p w14:paraId="5FE8CB46" w14:textId="77777777" w:rsidR="00D55B0F" w:rsidRDefault="00D55B0F" w:rsidP="00D55B0F">
      <w:pPr>
        <w:pStyle w:val="Tablenotes1"/>
      </w:pPr>
      <w:r>
        <w:t xml:space="preserve">* </w:t>
      </w:r>
      <w:r w:rsidRPr="004E17AC">
        <w:t>Additional information included in the MBS item descriptor additional to that in the PICO</w:t>
      </w:r>
    </w:p>
    <w:p w14:paraId="00CB1898" w14:textId="77777777" w:rsidR="00D55B0F" w:rsidRPr="004E17AC" w:rsidRDefault="00D55B0F" w:rsidP="00D55B0F">
      <w:pPr>
        <w:pStyle w:val="Tablenotes1"/>
      </w:pPr>
      <w:r>
        <w:t>Source: DCAR, Table 1</w:t>
      </w:r>
    </w:p>
    <w:p w14:paraId="6D1BEE78" w14:textId="04DF4267" w:rsidR="001843E2" w:rsidRDefault="00D55B0F" w:rsidP="00D55B0F">
      <w:r>
        <w:t>The DCAR proposed that t</w:t>
      </w:r>
      <w:r w:rsidRPr="008615B1">
        <w:t xml:space="preserve">esting </w:t>
      </w:r>
      <w:r>
        <w:t xml:space="preserve">also be </w:t>
      </w:r>
      <w:r w:rsidRPr="008615B1">
        <w:t xml:space="preserve">limited to singleton pregnancies due to the inability to ensure that DNA from </w:t>
      </w:r>
      <w:r>
        <w:t>all</w:t>
      </w:r>
      <w:r w:rsidRPr="008615B1">
        <w:t xml:space="preserve"> fetuses in a twin or higher or</w:t>
      </w:r>
      <w:r>
        <w:t xml:space="preserve">der pregnancies </w:t>
      </w:r>
      <w:r w:rsidR="00A50D94">
        <w:t xml:space="preserve">can be satisfactorily </w:t>
      </w:r>
      <w:r w:rsidR="00B05253">
        <w:t>identified</w:t>
      </w:r>
      <w:r>
        <w:t>.</w:t>
      </w:r>
    </w:p>
    <w:p w14:paraId="0F3343C6" w14:textId="4E493CC2" w:rsidR="001843E2" w:rsidRDefault="001843E2" w:rsidP="00E06381">
      <w:pPr>
        <w:spacing w:before="240"/>
      </w:pPr>
      <w:r>
        <w:t xml:space="preserve">MSAC considered that the fees </w:t>
      </w:r>
      <w:r w:rsidR="00257A11">
        <w:t>being discussed for</w:t>
      </w:r>
      <w:r>
        <w:t xml:space="preserve"> the two items </w:t>
      </w:r>
      <w:r w:rsidR="00821815">
        <w:t xml:space="preserve">($56 and $550 respectively) </w:t>
      </w:r>
      <w:r>
        <w:t xml:space="preserve">were </w:t>
      </w:r>
      <w:r w:rsidR="00821815">
        <w:t xml:space="preserve">probably </w:t>
      </w:r>
      <w:r>
        <w:t>insufficient to cover the cost of testing and requested that the Depa</w:t>
      </w:r>
      <w:r w:rsidR="00DC0E8C">
        <w:t xml:space="preserve">rtment investigate what these fees should be. </w:t>
      </w:r>
      <w:r w:rsidR="00821815">
        <w:t>The agreed</w:t>
      </w:r>
      <w:r w:rsidR="00257A11">
        <w:t xml:space="preserve"> fees should then be factored into</w:t>
      </w:r>
      <w:r w:rsidR="00DC0E8C">
        <w:t xml:space="preserve"> the estimated MBS costs</w:t>
      </w:r>
      <w:r w:rsidR="00257A11">
        <w:t>.</w:t>
      </w:r>
    </w:p>
    <w:p w14:paraId="35BBCCAA" w14:textId="77777777" w:rsidR="00BC1364" w:rsidRPr="00F715D1" w:rsidRDefault="00BC1364" w:rsidP="00D55B0F">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BCDA138" w14:textId="04D9EFDE" w:rsidR="008027F1" w:rsidRDefault="008027F1" w:rsidP="00D55B0F">
      <w:pPr>
        <w:rPr>
          <w:szCs w:val="24"/>
        </w:rPr>
      </w:pPr>
      <w:r>
        <w:rPr>
          <w:szCs w:val="24"/>
        </w:rPr>
        <w:t>Targeted consultation feedback was received from Lifeblood, and also from a second clinical organisation.</w:t>
      </w:r>
    </w:p>
    <w:p w14:paraId="2E6A90A8" w14:textId="2AA5C3A1" w:rsidR="00D55B0F" w:rsidRDefault="00D55B0F" w:rsidP="00E06381">
      <w:pPr>
        <w:spacing w:before="240"/>
        <w:rPr>
          <w:szCs w:val="24"/>
        </w:rPr>
      </w:pPr>
      <w:r>
        <w:rPr>
          <w:szCs w:val="24"/>
        </w:rPr>
        <w:t xml:space="preserve">Lifeblood stated that they </w:t>
      </w:r>
      <w:r w:rsidRPr="00AE68A8">
        <w:rPr>
          <w:szCs w:val="24"/>
        </w:rPr>
        <w:t>strongly support the availability o</w:t>
      </w:r>
      <w:r>
        <w:rPr>
          <w:szCs w:val="24"/>
        </w:rPr>
        <w:t xml:space="preserve">f NIPT </w:t>
      </w:r>
      <w:r w:rsidR="00A50D94">
        <w:rPr>
          <w:szCs w:val="24"/>
        </w:rPr>
        <w:t xml:space="preserve">for </w:t>
      </w:r>
      <w:r w:rsidR="00B05253">
        <w:rPr>
          <w:szCs w:val="24"/>
        </w:rPr>
        <w:t xml:space="preserve">fetal </w:t>
      </w:r>
      <w:r w:rsidRPr="00CA579A">
        <w:rPr>
          <w:i/>
          <w:szCs w:val="24"/>
        </w:rPr>
        <w:t>R</w:t>
      </w:r>
      <w:r w:rsidR="00A50D94" w:rsidRPr="00CA579A">
        <w:rPr>
          <w:i/>
          <w:szCs w:val="24"/>
        </w:rPr>
        <w:t>H</w:t>
      </w:r>
      <w:r w:rsidRPr="00CA579A">
        <w:rPr>
          <w:i/>
          <w:szCs w:val="24"/>
        </w:rPr>
        <w:t>D</w:t>
      </w:r>
      <w:r>
        <w:rPr>
          <w:szCs w:val="24"/>
        </w:rPr>
        <w:t xml:space="preserve"> for all pregnant RhD-</w:t>
      </w:r>
      <w:r w:rsidRPr="00AE68A8">
        <w:rPr>
          <w:szCs w:val="24"/>
        </w:rPr>
        <w:t>negative women</w:t>
      </w:r>
      <w:r>
        <w:rPr>
          <w:szCs w:val="24"/>
        </w:rPr>
        <w:t>.</w:t>
      </w:r>
    </w:p>
    <w:p w14:paraId="493C4723" w14:textId="0538DD3A" w:rsidR="00D55B0F" w:rsidRPr="00AE68A8" w:rsidRDefault="00D55B0F" w:rsidP="00E06381">
      <w:pPr>
        <w:spacing w:before="240"/>
        <w:rPr>
          <w:szCs w:val="24"/>
        </w:rPr>
      </w:pPr>
      <w:r>
        <w:rPr>
          <w:szCs w:val="24"/>
        </w:rPr>
        <w:t>Lifeblood</w:t>
      </w:r>
      <w:r w:rsidRPr="00FE5B46">
        <w:rPr>
          <w:szCs w:val="24"/>
        </w:rPr>
        <w:t xml:space="preserve"> commented that </w:t>
      </w:r>
      <w:r>
        <w:rPr>
          <w:szCs w:val="24"/>
        </w:rPr>
        <w:t>anti-D</w:t>
      </w:r>
      <w:r w:rsidRPr="00FE5B46">
        <w:rPr>
          <w:szCs w:val="24"/>
        </w:rPr>
        <w:t xml:space="preserve"> </w:t>
      </w:r>
      <w:r>
        <w:rPr>
          <w:szCs w:val="24"/>
        </w:rPr>
        <w:t>Ig</w:t>
      </w:r>
      <w:r w:rsidRPr="00FE5B46">
        <w:rPr>
          <w:szCs w:val="24"/>
        </w:rPr>
        <w:t xml:space="preserve"> is manufactured from the plasma of voluntary blood donors, and the donor pool has been shrinking in number over the past 3-4 years. While recruitment efforts continue, the trend is not favourable, suggesting there may be future challenges in providing adequate domestically sourced </w:t>
      </w:r>
      <w:r>
        <w:rPr>
          <w:szCs w:val="24"/>
        </w:rPr>
        <w:t>anti-D</w:t>
      </w:r>
      <w:r w:rsidRPr="00FE5B46">
        <w:rPr>
          <w:szCs w:val="24"/>
        </w:rPr>
        <w:t xml:space="preserve"> </w:t>
      </w:r>
      <w:r w:rsidR="00A50D94">
        <w:rPr>
          <w:szCs w:val="24"/>
        </w:rPr>
        <w:t xml:space="preserve">Ig </w:t>
      </w:r>
      <w:r w:rsidRPr="00FE5B46">
        <w:rPr>
          <w:szCs w:val="24"/>
        </w:rPr>
        <w:t xml:space="preserve">for continued universal </w:t>
      </w:r>
      <w:r w:rsidR="00C003C5">
        <w:rPr>
          <w:szCs w:val="24"/>
        </w:rPr>
        <w:t xml:space="preserve">(un-targeted) </w:t>
      </w:r>
      <w:r w:rsidRPr="00FE5B46">
        <w:rPr>
          <w:szCs w:val="24"/>
        </w:rPr>
        <w:t>antenatal prophylaxis.</w:t>
      </w:r>
      <w:r>
        <w:rPr>
          <w:szCs w:val="24"/>
        </w:rPr>
        <w:t xml:space="preserve"> In the pre-ESC response the applicant agreed, noting that Australia’s current anti-D </w:t>
      </w:r>
      <w:r w:rsidR="00C003C5">
        <w:rPr>
          <w:szCs w:val="24"/>
        </w:rPr>
        <w:t xml:space="preserve">Ig </w:t>
      </w:r>
      <w:r>
        <w:rPr>
          <w:szCs w:val="24"/>
        </w:rPr>
        <w:t xml:space="preserve">supply relies on approximately 120 altruistic donors. The donor pool is ageing, and </w:t>
      </w:r>
      <w:r w:rsidRPr="006903E9">
        <w:rPr>
          <w:szCs w:val="24"/>
        </w:rPr>
        <w:t>it has been difficult to</w:t>
      </w:r>
      <w:r>
        <w:rPr>
          <w:szCs w:val="24"/>
        </w:rPr>
        <w:t xml:space="preserve"> </w:t>
      </w:r>
      <w:r w:rsidRPr="006903E9">
        <w:rPr>
          <w:szCs w:val="24"/>
        </w:rPr>
        <w:t>recruit new donors, who are required to be deliberately sensitised to RhD for the purpose of</w:t>
      </w:r>
      <w:r>
        <w:rPr>
          <w:szCs w:val="24"/>
        </w:rPr>
        <w:t xml:space="preserve"> </w:t>
      </w:r>
      <w:r w:rsidRPr="006903E9">
        <w:rPr>
          <w:szCs w:val="24"/>
        </w:rPr>
        <w:t xml:space="preserve">anti-D </w:t>
      </w:r>
      <w:r w:rsidR="00316A76">
        <w:rPr>
          <w:szCs w:val="24"/>
        </w:rPr>
        <w:t xml:space="preserve">Ig </w:t>
      </w:r>
      <w:r w:rsidRPr="006903E9">
        <w:rPr>
          <w:szCs w:val="24"/>
        </w:rPr>
        <w:t>plasma collections</w:t>
      </w:r>
      <w:r>
        <w:rPr>
          <w:szCs w:val="24"/>
        </w:rPr>
        <w:t>.</w:t>
      </w:r>
    </w:p>
    <w:p w14:paraId="60A369A8" w14:textId="52162D3C" w:rsidR="00D55B0F" w:rsidRDefault="008027F1" w:rsidP="00D55B0F">
      <w:pPr>
        <w:rPr>
          <w:szCs w:val="24"/>
        </w:rPr>
      </w:pPr>
      <w:r>
        <w:rPr>
          <w:szCs w:val="24"/>
        </w:rPr>
        <w:t>The clinical organisation</w:t>
      </w:r>
      <w:r w:rsidR="00D55B0F" w:rsidRPr="00955EBF">
        <w:rPr>
          <w:szCs w:val="24"/>
        </w:rPr>
        <w:t xml:space="preserve"> </w:t>
      </w:r>
      <w:r w:rsidR="00D55B0F">
        <w:rPr>
          <w:szCs w:val="24"/>
        </w:rPr>
        <w:t>commented that t</w:t>
      </w:r>
      <w:r w:rsidR="00D55B0F" w:rsidRPr="00C20738">
        <w:rPr>
          <w:szCs w:val="24"/>
        </w:rPr>
        <w:t xml:space="preserve">he proposed item would lead to major change in current clinical </w:t>
      </w:r>
      <w:r w:rsidR="00D55B0F">
        <w:rPr>
          <w:szCs w:val="24"/>
        </w:rPr>
        <w:t>practice, with potential for</w:t>
      </w:r>
      <w:r w:rsidR="00D55B0F" w:rsidRPr="00C20738">
        <w:rPr>
          <w:szCs w:val="24"/>
        </w:rPr>
        <w:t xml:space="preserve"> large </w:t>
      </w:r>
      <w:r w:rsidR="00D55B0F">
        <w:rPr>
          <w:szCs w:val="24"/>
        </w:rPr>
        <w:t xml:space="preserve">cost </w:t>
      </w:r>
      <w:r w:rsidR="00D55B0F" w:rsidRPr="00C20738">
        <w:rPr>
          <w:szCs w:val="24"/>
        </w:rPr>
        <w:t xml:space="preserve">savings by avoiding unnecessary anti-D </w:t>
      </w:r>
      <w:r w:rsidR="00316A76">
        <w:rPr>
          <w:szCs w:val="24"/>
        </w:rPr>
        <w:t xml:space="preserve">Ig </w:t>
      </w:r>
      <w:r w:rsidR="00D55B0F" w:rsidRPr="00C20738">
        <w:rPr>
          <w:szCs w:val="24"/>
        </w:rPr>
        <w:t>administrati</w:t>
      </w:r>
      <w:r w:rsidR="00D55B0F">
        <w:rPr>
          <w:szCs w:val="24"/>
        </w:rPr>
        <w:t>on to over 20,000 women with RhD-</w:t>
      </w:r>
      <w:r w:rsidR="00D55B0F" w:rsidRPr="00C20738">
        <w:rPr>
          <w:szCs w:val="24"/>
        </w:rPr>
        <w:t>negative fetuses annually</w:t>
      </w:r>
      <w:r w:rsidR="00D55B0F">
        <w:rPr>
          <w:szCs w:val="24"/>
        </w:rPr>
        <w:t>, and</w:t>
      </w:r>
      <w:r w:rsidR="00D55B0F" w:rsidRPr="00C20738">
        <w:rPr>
          <w:szCs w:val="24"/>
        </w:rPr>
        <w:t xml:space="preserve"> reducing </w:t>
      </w:r>
      <w:r w:rsidR="00D55B0F" w:rsidRPr="00C20738">
        <w:rPr>
          <w:szCs w:val="24"/>
        </w:rPr>
        <w:lastRenderedPageBreak/>
        <w:t>exposure of pregnant women to a blood product. This approach has precedents in Europe (Denmark, the Netherlands, Finland, and some parts of Sweden, England and France).</w:t>
      </w:r>
    </w:p>
    <w:p w14:paraId="787E3E23" w14:textId="6C186973" w:rsidR="00D55B0F" w:rsidRDefault="008027F1" w:rsidP="00E06381">
      <w:pPr>
        <w:spacing w:before="240"/>
        <w:rPr>
          <w:szCs w:val="24"/>
        </w:rPr>
      </w:pPr>
      <w:r>
        <w:rPr>
          <w:szCs w:val="24"/>
        </w:rPr>
        <w:t>The clinical organisation</w:t>
      </w:r>
      <w:r w:rsidRPr="00955EBF">
        <w:rPr>
          <w:szCs w:val="24"/>
        </w:rPr>
        <w:t xml:space="preserve"> </w:t>
      </w:r>
      <w:r w:rsidR="00D55B0F">
        <w:rPr>
          <w:szCs w:val="24"/>
        </w:rPr>
        <w:t xml:space="preserve">stated that </w:t>
      </w:r>
      <w:r w:rsidR="00D55B0F" w:rsidRPr="00C20738">
        <w:rPr>
          <w:szCs w:val="24"/>
        </w:rPr>
        <w:t xml:space="preserve">false negative </w:t>
      </w:r>
      <w:r w:rsidR="00D55B0F">
        <w:rPr>
          <w:szCs w:val="24"/>
        </w:rPr>
        <w:t>results</w:t>
      </w:r>
      <w:r w:rsidR="00D55B0F" w:rsidRPr="00C20738">
        <w:rPr>
          <w:szCs w:val="24"/>
        </w:rPr>
        <w:t xml:space="preserve"> would be the main risk with this a</w:t>
      </w:r>
      <w:r w:rsidR="00D55B0F">
        <w:rPr>
          <w:szCs w:val="24"/>
        </w:rPr>
        <w:t>pproach (albeit a low risk), and suggested</w:t>
      </w:r>
      <w:r w:rsidR="00D55B0F" w:rsidRPr="00C20738">
        <w:rPr>
          <w:szCs w:val="24"/>
        </w:rPr>
        <w:t xml:space="preserve"> MSAC should consider the estimated rate of false</w:t>
      </w:r>
      <w:r w:rsidR="00D55B0F">
        <w:rPr>
          <w:szCs w:val="24"/>
        </w:rPr>
        <w:t xml:space="preserve"> negative results leading to RhD-</w:t>
      </w:r>
      <w:r w:rsidR="00D55B0F" w:rsidRPr="00C20738">
        <w:rPr>
          <w:szCs w:val="24"/>
        </w:rPr>
        <w:t xml:space="preserve">negative women at risk </w:t>
      </w:r>
      <w:r w:rsidR="00D55B0F">
        <w:rPr>
          <w:szCs w:val="24"/>
        </w:rPr>
        <w:t xml:space="preserve">of </w:t>
      </w:r>
      <w:r w:rsidR="00D55B0F" w:rsidRPr="00C20738">
        <w:rPr>
          <w:szCs w:val="24"/>
        </w:rPr>
        <w:t>missing out on prophylactic anti-D</w:t>
      </w:r>
      <w:r w:rsidR="00316A76">
        <w:rPr>
          <w:szCs w:val="24"/>
        </w:rPr>
        <w:t xml:space="preserve"> Ig</w:t>
      </w:r>
      <w:r w:rsidR="00D55B0F">
        <w:rPr>
          <w:szCs w:val="24"/>
        </w:rPr>
        <w:t xml:space="preserve">, </w:t>
      </w:r>
      <w:r w:rsidR="00C003C5">
        <w:rPr>
          <w:szCs w:val="24"/>
        </w:rPr>
        <w:t xml:space="preserve">as </w:t>
      </w:r>
      <w:r w:rsidR="00D55B0F">
        <w:rPr>
          <w:szCs w:val="24"/>
        </w:rPr>
        <w:t xml:space="preserve">compared to the </w:t>
      </w:r>
      <w:r w:rsidR="00C003C5">
        <w:rPr>
          <w:szCs w:val="24"/>
        </w:rPr>
        <w:t xml:space="preserve">relatively higher </w:t>
      </w:r>
      <w:r w:rsidR="00D55B0F">
        <w:rPr>
          <w:szCs w:val="24"/>
        </w:rPr>
        <w:t>current risk of sensitisation of 0.2% in RhD</w:t>
      </w:r>
      <w:r w:rsidR="00773FF9">
        <w:rPr>
          <w:szCs w:val="24"/>
        </w:rPr>
        <w:t>-</w:t>
      </w:r>
      <w:r w:rsidR="00D55B0F">
        <w:rPr>
          <w:szCs w:val="24"/>
        </w:rPr>
        <w:t>negative women</w:t>
      </w:r>
      <w:r w:rsidR="00D55B0F">
        <w:rPr>
          <w:rStyle w:val="FootnoteReference"/>
          <w:szCs w:val="24"/>
        </w:rPr>
        <w:footnoteReference w:id="3"/>
      </w:r>
      <w:r w:rsidR="00D55B0F" w:rsidRPr="00C20738">
        <w:rPr>
          <w:szCs w:val="24"/>
        </w:rPr>
        <w:t xml:space="preserve">. The Danish national experience was </w:t>
      </w:r>
      <w:r w:rsidR="00D55B0F">
        <w:rPr>
          <w:szCs w:val="24"/>
        </w:rPr>
        <w:t>a false negative rate of 0.087% and false positive rate</w:t>
      </w:r>
      <w:r w:rsidR="00D55B0F" w:rsidRPr="00C20738">
        <w:rPr>
          <w:szCs w:val="24"/>
        </w:rPr>
        <w:t xml:space="preserve"> of 0.32% (1 in 300)</w:t>
      </w:r>
      <w:r w:rsidR="00D55B0F">
        <w:rPr>
          <w:szCs w:val="24"/>
        </w:rPr>
        <w:t>,</w:t>
      </w:r>
      <w:r w:rsidR="00D55B0F" w:rsidRPr="00C20738">
        <w:rPr>
          <w:szCs w:val="24"/>
        </w:rPr>
        <w:t xml:space="preserve"> which they considered acceptable</w:t>
      </w:r>
      <w:r w:rsidR="00D55B0F">
        <w:rPr>
          <w:rStyle w:val="FootnoteReference"/>
          <w:szCs w:val="24"/>
        </w:rPr>
        <w:footnoteReference w:id="4"/>
      </w:r>
      <w:r w:rsidR="00D55B0F" w:rsidRPr="00C20738">
        <w:rPr>
          <w:szCs w:val="24"/>
        </w:rPr>
        <w:t xml:space="preserve">. Other studies observed rates of 0.1-0.2%. This is important to consider, as a recent cost-effectiveness decision-analytic </w:t>
      </w:r>
      <w:r w:rsidR="00D55B0F">
        <w:rPr>
          <w:szCs w:val="24"/>
        </w:rPr>
        <w:t>modelling study concluded that f</w:t>
      </w:r>
      <w:r w:rsidR="00D55B0F" w:rsidRPr="00C20738">
        <w:rPr>
          <w:szCs w:val="24"/>
        </w:rPr>
        <w:t xml:space="preserve">etal </w:t>
      </w:r>
      <w:r w:rsidR="00D55B0F" w:rsidRPr="00CA579A">
        <w:rPr>
          <w:i/>
          <w:szCs w:val="24"/>
        </w:rPr>
        <w:t>R</w:t>
      </w:r>
      <w:r w:rsidR="00C003C5" w:rsidRPr="00CA579A">
        <w:rPr>
          <w:i/>
          <w:szCs w:val="24"/>
        </w:rPr>
        <w:t>H</w:t>
      </w:r>
      <w:r w:rsidR="00D55B0F" w:rsidRPr="00CA579A">
        <w:rPr>
          <w:i/>
          <w:szCs w:val="24"/>
        </w:rPr>
        <w:t>D</w:t>
      </w:r>
      <w:r w:rsidR="00D55B0F" w:rsidRPr="00C20738">
        <w:rPr>
          <w:szCs w:val="24"/>
        </w:rPr>
        <w:t xml:space="preserve"> genotyping is a cost-effective option for supporting targeted anti-D </w:t>
      </w:r>
      <w:r w:rsidR="00C003C5">
        <w:rPr>
          <w:szCs w:val="24"/>
        </w:rPr>
        <w:t xml:space="preserve">Ig </w:t>
      </w:r>
      <w:r w:rsidR="00D55B0F" w:rsidRPr="00C20738">
        <w:rPr>
          <w:szCs w:val="24"/>
        </w:rPr>
        <w:t xml:space="preserve">prophylaxis in </w:t>
      </w:r>
      <w:r w:rsidR="00C003C5">
        <w:rPr>
          <w:szCs w:val="24"/>
        </w:rPr>
        <w:t>women with Rh</w:t>
      </w:r>
      <w:r w:rsidR="00D55B0F" w:rsidRPr="00C20738">
        <w:rPr>
          <w:szCs w:val="24"/>
        </w:rPr>
        <w:t>D-negative pregnancies, but that it “also appears less effective than current practice.”</w:t>
      </w:r>
    </w:p>
    <w:p w14:paraId="37173B0D" w14:textId="089633DB" w:rsidR="00D55B0F" w:rsidRPr="00E06381" w:rsidRDefault="008027F1" w:rsidP="00E06381">
      <w:pPr>
        <w:spacing w:before="240"/>
      </w:pPr>
      <w:r>
        <w:rPr>
          <w:szCs w:val="24"/>
        </w:rPr>
        <w:t>The clinical organisation</w:t>
      </w:r>
      <w:r w:rsidRPr="00955EBF">
        <w:rPr>
          <w:szCs w:val="24"/>
        </w:rPr>
        <w:t xml:space="preserve"> </w:t>
      </w:r>
      <w:r w:rsidR="00D55B0F">
        <w:t>commented that w</w:t>
      </w:r>
      <w:r w:rsidR="00D55B0F" w:rsidRPr="00C20738">
        <w:t>omen who are Rh</w:t>
      </w:r>
      <w:r w:rsidR="00D55B0F">
        <w:t>D-</w:t>
      </w:r>
      <w:r w:rsidR="00D55B0F" w:rsidRPr="00C20738">
        <w:t xml:space="preserve">negative and anti-D antibody positive </w:t>
      </w:r>
      <w:r w:rsidR="00D55B0F">
        <w:t xml:space="preserve">(i.e. alloimmunised) </w:t>
      </w:r>
      <w:r w:rsidR="00D55B0F" w:rsidRPr="00C20738">
        <w:t xml:space="preserve">should also have a clear pathway to </w:t>
      </w:r>
      <w:r w:rsidR="00D55B0F" w:rsidRPr="00CA579A">
        <w:rPr>
          <w:i/>
        </w:rPr>
        <w:t>R</w:t>
      </w:r>
      <w:r w:rsidR="00C003C5" w:rsidRPr="00CA579A">
        <w:rPr>
          <w:i/>
        </w:rPr>
        <w:t>H</w:t>
      </w:r>
      <w:r w:rsidR="00D55B0F" w:rsidRPr="00CA579A">
        <w:rPr>
          <w:i/>
        </w:rPr>
        <w:t>D</w:t>
      </w:r>
      <w:r w:rsidR="00D55B0F" w:rsidRPr="00C20738">
        <w:t xml:space="preserve"> </w:t>
      </w:r>
      <w:r w:rsidR="00D55B0F">
        <w:t>NIPT,</w:t>
      </w:r>
      <w:r w:rsidR="00D55B0F" w:rsidRPr="00C20738">
        <w:t xml:space="preserve"> as this will determine the risk status for that pregnancy and hence the degree of fetal surveillance required, without the </w:t>
      </w:r>
      <w:r w:rsidR="00B44643">
        <w:t xml:space="preserve">increased </w:t>
      </w:r>
      <w:r w:rsidR="00D55B0F" w:rsidRPr="00C20738">
        <w:t>risk of</w:t>
      </w:r>
      <w:r w:rsidR="00B44643">
        <w:t xml:space="preserve"> isoimmunisation</w:t>
      </w:r>
      <w:r w:rsidR="00D55B0F" w:rsidRPr="00C20738">
        <w:t xml:space="preserve"> with an invasive diagnostic procedure</w:t>
      </w:r>
      <w:r w:rsidR="00D55B0F">
        <w:t>.</w:t>
      </w:r>
    </w:p>
    <w:p w14:paraId="11412683" w14:textId="77777777" w:rsidR="00D55B0F" w:rsidRDefault="00D55B0F" w:rsidP="00E06381">
      <w:pPr>
        <w:spacing w:before="240"/>
        <w:rPr>
          <w:szCs w:val="24"/>
        </w:rPr>
      </w:pPr>
      <w:r w:rsidRPr="0080312A">
        <w:rPr>
          <w:szCs w:val="24"/>
        </w:rPr>
        <w:t>No consumer feedback/consumer comments were received for this application</w:t>
      </w:r>
      <w:r>
        <w:rPr>
          <w:szCs w:val="24"/>
        </w:rPr>
        <w:t>.</w:t>
      </w:r>
    </w:p>
    <w:p w14:paraId="0B6F1954" w14:textId="77777777" w:rsidR="00BC1364" w:rsidRDefault="00BC1364" w:rsidP="00F715D1">
      <w:pPr>
        <w:pStyle w:val="Heading1"/>
      </w:pPr>
      <w:r w:rsidRPr="00F715D1">
        <w:t>Proposed intervention’s place in clinical management</w:t>
      </w:r>
    </w:p>
    <w:p w14:paraId="5BE7DC6F" w14:textId="40050E87" w:rsidR="004979D6" w:rsidRDefault="004979D6" w:rsidP="004979D6">
      <w:r>
        <w:t>The DCAR stated that the current clinical management of RhD-negative women (</w:t>
      </w:r>
      <w:r w:rsidR="004247B6">
        <w:fldChar w:fldCharType="begin"/>
      </w:r>
      <w:r w:rsidR="004247B6">
        <w:instrText>REF _Ref48163372  \* MERGEFORMAT</w:instrText>
      </w:r>
      <w:r w:rsidR="004247B6">
        <w:fldChar w:fldCharType="separate"/>
      </w:r>
      <w:r w:rsidR="00C751E2" w:rsidRPr="00C751E2">
        <w:rPr>
          <w:bCs/>
        </w:rPr>
        <w:t>Figure 1</w:t>
      </w:r>
      <w:r w:rsidR="004247B6">
        <w:rPr>
          <w:bCs/>
        </w:rPr>
        <w:fldChar w:fldCharType="end"/>
      </w:r>
      <w:r>
        <w:t xml:space="preserve">, red arrows) is guided by their anti-D antibody status. Initially, clinical </w:t>
      </w:r>
      <w:r w:rsidR="00B44643">
        <w:t xml:space="preserve">assessment </w:t>
      </w:r>
      <w:r>
        <w:t xml:space="preserve">includes an anti-D antibody screen. Non-alloimmunised RhD-negative patients are treated prophylactically with 625 International Units (IU) anti-D </w:t>
      </w:r>
      <w:r w:rsidR="00316A76">
        <w:t>Ig</w:t>
      </w:r>
      <w:r w:rsidR="00B44643">
        <w:t xml:space="preserve">during </w:t>
      </w:r>
      <w:r>
        <w:t xml:space="preserve">their pregnancy at weeks 28 and 34-36, alongside routine D-antibody screens to prevent the development of maternal anti-D. This regimen is currently recommended for all </w:t>
      </w:r>
      <w:r w:rsidR="00C04B34">
        <w:t xml:space="preserve">low-risk </w:t>
      </w:r>
      <w:r w:rsidR="00521D62">
        <w:t xml:space="preserve">non-alloimmunised </w:t>
      </w:r>
      <w:r>
        <w:t>RhD-negative pregnant patients during their pregnancy as the Rh status of their fetus is unknown. At birth, a blood cord sample can be taken to determine the baby’s RhD status, and if the baby is RhD</w:t>
      </w:r>
      <w:r w:rsidR="00773FF9">
        <w:t>-</w:t>
      </w:r>
      <w:r>
        <w:t>positive, the mother will receive an additional dose of 625 IU anti-D Ig. Additional doses of anti-D Ig are also recommended if a sensitising event occurs, such as miscarriage, termination, or chorionic villus sampling. Fetal blood escaping into the maternal system (</w:t>
      </w:r>
      <w:r>
        <w:rPr>
          <w:szCs w:val="24"/>
        </w:rPr>
        <w:t>fetomaternal haemorrhage</w:t>
      </w:r>
      <w:r>
        <w:t xml:space="preserve">) can cause the development of maternal anti-D antibodies. Testing to determine the extent of any </w:t>
      </w:r>
      <w:r>
        <w:rPr>
          <w:szCs w:val="24"/>
        </w:rPr>
        <w:t xml:space="preserve">fetomaternal haemorrhage </w:t>
      </w:r>
      <w:r>
        <w:t>is recommended to the appropriate dose of anti-D Ig can be given.</w:t>
      </w:r>
    </w:p>
    <w:p w14:paraId="69007892" w14:textId="7F924BC5" w:rsidR="004979D6" w:rsidRDefault="004979D6" w:rsidP="00E06381">
      <w:pPr>
        <w:spacing w:before="240"/>
        <w:sectPr w:rsidR="004979D6" w:rsidSect="00271F18">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426" w:left="1440" w:header="708" w:footer="708" w:gutter="0"/>
          <w:cols w:space="708"/>
          <w:docGrid w:linePitch="360"/>
        </w:sectPr>
      </w:pPr>
      <w:r>
        <w:t>The DCAR’s proposed clinical management algorithm (</w:t>
      </w:r>
      <w:r w:rsidR="004247B6">
        <w:fldChar w:fldCharType="begin"/>
      </w:r>
      <w:r w:rsidR="004247B6">
        <w:instrText>REF _Ref48163372  \* MERGEFORMAT</w:instrText>
      </w:r>
      <w:r w:rsidR="004247B6">
        <w:fldChar w:fldCharType="separate"/>
      </w:r>
      <w:r w:rsidR="00C751E2" w:rsidRPr="00C751E2">
        <w:rPr>
          <w:bCs/>
        </w:rPr>
        <w:t>Figure 1</w:t>
      </w:r>
      <w:r w:rsidR="004247B6">
        <w:rPr>
          <w:bCs/>
        </w:rPr>
        <w:fldChar w:fldCharType="end"/>
      </w:r>
      <w:r>
        <w:t xml:space="preserve">, green arrows) requires that all RhD-negative, antibody negative (non-alloimmunised) pregnant patients have a non-invasive prenatal test for fetal </w:t>
      </w:r>
      <w:r w:rsidRPr="00937FBA">
        <w:rPr>
          <w:i/>
        </w:rPr>
        <w:t>RHD</w:t>
      </w:r>
      <w:r>
        <w:t xml:space="preserve"> genotype. If the test is positive (i.e. </w:t>
      </w:r>
      <w:r w:rsidRPr="00937FBA">
        <w:rPr>
          <w:i/>
        </w:rPr>
        <w:t>RHD</w:t>
      </w:r>
      <w:r>
        <w:t xml:space="preserve"> </w:t>
      </w:r>
      <w:r w:rsidR="00F53931">
        <w:t>cell-free fetal DNA [</w:t>
      </w:r>
      <w:r w:rsidRPr="00F53931">
        <w:t>cffDNA</w:t>
      </w:r>
      <w:r w:rsidR="00F53931">
        <w:t>]</w:t>
      </w:r>
      <w:r>
        <w:t xml:space="preserve"> detected or inconclusive), then anti-D Ig is administered as prophylaxis similar to the current clinical pathway. Where the test is negative (i.e. </w:t>
      </w:r>
      <w:r w:rsidRPr="00937FBA">
        <w:rPr>
          <w:i/>
        </w:rPr>
        <w:t>RHD</w:t>
      </w:r>
      <w:r>
        <w:t xml:space="preserve"> </w:t>
      </w:r>
      <w:r w:rsidRPr="00F53931">
        <w:t>cffDNA not detected), then these patients do not receive treatment with anti-D Ig.</w:t>
      </w:r>
      <w:r w:rsidR="00F53931">
        <w:t xml:space="preserve"> In the pre-MSAC response, the applicant noted that where the cord RhD type is discrepant with the NIPT </w:t>
      </w:r>
      <w:r w:rsidR="00F53931" w:rsidRPr="00CA579A">
        <w:rPr>
          <w:i/>
        </w:rPr>
        <w:t>R</w:t>
      </w:r>
      <w:r w:rsidR="00521D62" w:rsidRPr="00CA579A">
        <w:rPr>
          <w:i/>
        </w:rPr>
        <w:t>H</w:t>
      </w:r>
      <w:r w:rsidR="00F53931" w:rsidRPr="00CA579A">
        <w:rPr>
          <w:i/>
        </w:rPr>
        <w:t>D</w:t>
      </w:r>
      <w:r w:rsidR="00F53931">
        <w:t xml:space="preserve"> </w:t>
      </w:r>
      <w:r w:rsidR="00521D62">
        <w:t>geno</w:t>
      </w:r>
      <w:r w:rsidR="00F53931">
        <w:t>typing, then this should be reported to the laboratory.</w:t>
      </w:r>
    </w:p>
    <w:p w14:paraId="521E689B" w14:textId="77777777" w:rsidR="004979D6" w:rsidRPr="004A0D3B" w:rsidRDefault="004979D6" w:rsidP="004979D6">
      <w:pPr>
        <w:jc w:val="center"/>
      </w:pPr>
      <w:r w:rsidRPr="004A0D3B">
        <w:rPr>
          <w:noProof/>
        </w:rPr>
        <w:lastRenderedPageBreak/>
        <w:drawing>
          <wp:inline distT="0" distB="0" distL="0" distR="0" wp14:anchorId="2B129C80" wp14:editId="040AB5FE">
            <wp:extent cx="8321490" cy="5144135"/>
            <wp:effectExtent l="0" t="0" r="3810" b="0"/>
            <wp:docPr id="7" name="Picture 7" descr="Current and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89408" cy="5186120"/>
                    </a:xfrm>
                    <a:prstGeom prst="rect">
                      <a:avLst/>
                    </a:prstGeom>
                  </pic:spPr>
                </pic:pic>
              </a:graphicData>
            </a:graphic>
          </wp:inline>
        </w:drawing>
      </w:r>
    </w:p>
    <w:p w14:paraId="739FEDE7" w14:textId="76E3AE97" w:rsidR="004979D6" w:rsidRPr="00053FE0" w:rsidRDefault="004979D6" w:rsidP="00053FE0">
      <w:pPr>
        <w:rPr>
          <w:rFonts w:ascii="Arial Narrow" w:hAnsi="Arial Narrow"/>
          <w:b/>
          <w:sz w:val="20"/>
        </w:rPr>
      </w:pPr>
      <w:bookmarkStart w:id="7" w:name="_Ref48163372"/>
      <w:bookmarkStart w:id="8" w:name="_Ref46940824"/>
      <w:bookmarkStart w:id="9" w:name="_Toc49819234"/>
      <w:r w:rsidRPr="00053FE0">
        <w:rPr>
          <w:rFonts w:ascii="Arial Narrow" w:hAnsi="Arial Narrow"/>
          <w:b/>
          <w:sz w:val="20"/>
        </w:rPr>
        <w:t xml:space="preserve">Figure </w:t>
      </w:r>
      <w:r w:rsidR="00864C72" w:rsidRPr="00053FE0">
        <w:rPr>
          <w:rFonts w:ascii="Arial Narrow" w:hAnsi="Arial Narrow"/>
          <w:b/>
          <w:sz w:val="20"/>
        </w:rPr>
        <w:fldChar w:fldCharType="begin"/>
      </w:r>
      <w:r w:rsidR="00864C72" w:rsidRPr="00053FE0">
        <w:rPr>
          <w:rFonts w:ascii="Arial Narrow" w:hAnsi="Arial Narrow"/>
          <w:b/>
          <w:sz w:val="20"/>
        </w:rPr>
        <w:instrText xml:space="preserve"> SEQ Figure \* ARABIC </w:instrText>
      </w:r>
      <w:r w:rsidR="00864C72" w:rsidRPr="00053FE0">
        <w:rPr>
          <w:rFonts w:ascii="Arial Narrow" w:hAnsi="Arial Narrow"/>
          <w:b/>
          <w:sz w:val="20"/>
        </w:rPr>
        <w:fldChar w:fldCharType="separate"/>
      </w:r>
      <w:r w:rsidR="00C751E2">
        <w:rPr>
          <w:rFonts w:ascii="Arial Narrow" w:hAnsi="Arial Narrow"/>
          <w:b/>
          <w:noProof/>
          <w:sz w:val="20"/>
        </w:rPr>
        <w:t>1</w:t>
      </w:r>
      <w:r w:rsidR="00864C72" w:rsidRPr="00053FE0">
        <w:rPr>
          <w:rFonts w:ascii="Arial Narrow" w:hAnsi="Arial Narrow"/>
          <w:b/>
          <w:sz w:val="20"/>
        </w:rPr>
        <w:fldChar w:fldCharType="end"/>
      </w:r>
      <w:bookmarkEnd w:id="7"/>
      <w:r w:rsidRPr="00053FE0">
        <w:rPr>
          <w:rFonts w:ascii="Arial Narrow" w:hAnsi="Arial Narrow"/>
          <w:b/>
          <w:sz w:val="20"/>
        </w:rPr>
        <w:tab/>
        <w:t>Current (red) and proposed (green) clinical management algorithm</w:t>
      </w:r>
      <w:bookmarkEnd w:id="8"/>
      <w:bookmarkEnd w:id="9"/>
      <w:r w:rsidRPr="00053FE0">
        <w:rPr>
          <w:rFonts w:ascii="Arial Narrow" w:hAnsi="Arial Narrow"/>
          <w:b/>
          <w:sz w:val="20"/>
        </w:rPr>
        <w:t xml:space="preserve"> </w:t>
      </w:r>
    </w:p>
    <w:p w14:paraId="5976B0D3" w14:textId="77777777" w:rsidR="004979D6" w:rsidRPr="004A0D3B" w:rsidRDefault="004979D6" w:rsidP="004979D6">
      <w:pPr>
        <w:pStyle w:val="Tablenotes1"/>
      </w:pPr>
      <w:r w:rsidRPr="004A0D3B">
        <w:rPr>
          <w:vertAlign w:val="superscript"/>
        </w:rPr>
        <w:t>a</w:t>
      </w:r>
      <w:r>
        <w:t xml:space="preserve"> </w:t>
      </w:r>
      <w:r w:rsidRPr="004A0D3B">
        <w:t>positive D-antibody screen leads to further investigation of red cell antibodies and possible referral to specialist</w:t>
      </w:r>
    </w:p>
    <w:p w14:paraId="396A7CDF" w14:textId="77777777" w:rsidR="004979D6" w:rsidRPr="004A0D3B" w:rsidRDefault="004979D6" w:rsidP="004979D6">
      <w:pPr>
        <w:pStyle w:val="Tablenotes1"/>
      </w:pPr>
      <w:r w:rsidRPr="004A0D3B">
        <w:rPr>
          <w:vertAlign w:val="superscript"/>
        </w:rPr>
        <w:t>b</w:t>
      </w:r>
      <w:r>
        <w:t xml:space="preserve"> </w:t>
      </w:r>
      <w:r w:rsidRPr="004A0D3B">
        <w:t>it is not necessary to wait for the D-antibody screen result to give anti-D immunoglobulin</w:t>
      </w:r>
    </w:p>
    <w:p w14:paraId="45455845" w14:textId="77777777" w:rsidR="004979D6" w:rsidRPr="004979D6" w:rsidRDefault="004979D6" w:rsidP="004979D6">
      <w:pPr>
        <w:pStyle w:val="Tablenotes1"/>
      </w:pPr>
      <w:r w:rsidRPr="004A0D3B">
        <w:rPr>
          <w:vertAlign w:val="superscript"/>
        </w:rPr>
        <w:t>c</w:t>
      </w:r>
      <w:r>
        <w:t xml:space="preserve"> </w:t>
      </w:r>
      <w:r w:rsidRPr="004A0D3B">
        <w:t>new D-antibody screen test is not required prior to the second dose of anti-D immunoglobulin</w:t>
      </w:r>
    </w:p>
    <w:p w14:paraId="10582011" w14:textId="77777777" w:rsidR="004979D6" w:rsidRDefault="004979D6" w:rsidP="00A905FF">
      <w:pPr>
        <w:pStyle w:val="Heading2"/>
        <w:sectPr w:rsidR="004979D6" w:rsidSect="004979D6">
          <w:pgSz w:w="16838" w:h="11906" w:orient="landscape"/>
          <w:pgMar w:top="1440" w:right="1134" w:bottom="1440" w:left="426" w:header="708" w:footer="708" w:gutter="0"/>
          <w:cols w:space="708"/>
          <w:docGrid w:linePitch="360"/>
        </w:sectPr>
      </w:pPr>
    </w:p>
    <w:p w14:paraId="1FD2ED37" w14:textId="77777777" w:rsidR="00CF4E81" w:rsidRDefault="00CF4E81" w:rsidP="00E06381">
      <w:pPr>
        <w:pStyle w:val="Heading2"/>
        <w:spacing w:after="120"/>
      </w:pPr>
      <w:r w:rsidRPr="00A905FF">
        <w:lastRenderedPageBreak/>
        <w:t>Description of Proposed Intervention</w:t>
      </w:r>
    </w:p>
    <w:p w14:paraId="19E65035" w14:textId="0F336186" w:rsidR="004979D6" w:rsidRPr="004979D6" w:rsidRDefault="004979D6" w:rsidP="004979D6">
      <w:r w:rsidRPr="00F53931">
        <w:t>cffDNA</w:t>
      </w:r>
      <w:r w:rsidRPr="00BE51C0">
        <w:t xml:space="preserve"> present in the maternal circulation is detected by high-throughput non-invasive prenatal testing (HT-NIPT), using real-time quantitative polymerase chain reaction (PCR). HT-NIPT is used to determine the </w:t>
      </w:r>
      <w:r w:rsidRPr="00CA579A">
        <w:rPr>
          <w:i/>
        </w:rPr>
        <w:t>R</w:t>
      </w:r>
      <w:r w:rsidR="00B05253" w:rsidRPr="00CA579A">
        <w:rPr>
          <w:i/>
        </w:rPr>
        <w:t>H</w:t>
      </w:r>
      <w:r w:rsidRPr="00CA579A">
        <w:rPr>
          <w:i/>
        </w:rPr>
        <w:t>D</w:t>
      </w:r>
      <w:r w:rsidRPr="00BE51C0">
        <w:t xml:space="preserve"> genotype of a fetus carried by an RhD-negative woman by detecting the presence of cffDNA fragments in the mother’s plasma. The presence of RhD-positive cffDNA would indicate the presence of a </w:t>
      </w:r>
      <w:r w:rsidRPr="00FE5B46">
        <w:rPr>
          <w:i/>
        </w:rPr>
        <w:t>RHD</w:t>
      </w:r>
      <w:r w:rsidRPr="00BE51C0">
        <w:t xml:space="preserve"> gene, which </w:t>
      </w:r>
      <w:r w:rsidR="00521D62">
        <w:t>reflects</w:t>
      </w:r>
      <w:r w:rsidRPr="00BE51C0">
        <w:t xml:space="preserve"> an RhD-positive fetus.</w:t>
      </w:r>
    </w:p>
    <w:p w14:paraId="339FC6B7" w14:textId="77777777" w:rsidR="00CF4E81" w:rsidRDefault="00CF4E81" w:rsidP="00E06381">
      <w:pPr>
        <w:pStyle w:val="Heading2"/>
        <w:spacing w:before="240" w:after="120"/>
      </w:pPr>
      <w:r w:rsidRPr="00CF4E81">
        <w:t>Description of Medical Condition(s)</w:t>
      </w:r>
    </w:p>
    <w:p w14:paraId="272FC876" w14:textId="649EE5B4" w:rsidR="004979D6" w:rsidRDefault="004979D6" w:rsidP="004979D6">
      <w:r w:rsidRPr="00BE51C0">
        <w:t xml:space="preserve">Approximately one in seven women has an </w:t>
      </w:r>
      <w:r>
        <w:t>RhD-negative blood group. RhD-</w:t>
      </w:r>
      <w:r w:rsidRPr="00BE51C0">
        <w:t>negative women carrying an RhD-positive fetus are at risk of becoming sensitised</w:t>
      </w:r>
      <w:r>
        <w:t xml:space="preserve"> (alloimmunised)</w:t>
      </w:r>
      <w:r w:rsidRPr="00BE51C0">
        <w:t xml:space="preserve">, producing </w:t>
      </w:r>
      <w:r>
        <w:t xml:space="preserve">IgG </w:t>
      </w:r>
      <w:r w:rsidRPr="00BE51C0">
        <w:t>antibodies against the RhD antigen if fetal cells enter the maternal circulation</w:t>
      </w:r>
      <w:r>
        <w:t xml:space="preserve"> (fetomaternal haemorrhage)</w:t>
      </w:r>
      <w:r w:rsidRPr="00BE51C0">
        <w:t>.</w:t>
      </w:r>
      <w:r>
        <w:t xml:space="preserve"> Alloimmunisation</w:t>
      </w:r>
      <w:r w:rsidRPr="00BE51C0">
        <w:t xml:space="preserve"> places future RhD-positive </w:t>
      </w:r>
      <w:r w:rsidR="00521D62">
        <w:t xml:space="preserve">fetuses </w:t>
      </w:r>
      <w:r>
        <w:t>(and rarely the RhD-positive fetus of the pregnancy in which alloimmunisation occurs)</w:t>
      </w:r>
      <w:r w:rsidRPr="00BE51C0">
        <w:t xml:space="preserve"> at risk of HDFN. If undiagnosed and/or untreated, HDFN carries significant risk of perinatal morbidity and mortality</w:t>
      </w:r>
      <w:r>
        <w:rPr>
          <w:rStyle w:val="FootnoteReference"/>
        </w:rPr>
        <w:footnoteReference w:id="5"/>
      </w:r>
      <w:r w:rsidRPr="00BE51C0">
        <w:t>.</w:t>
      </w:r>
      <w:r>
        <w:t xml:space="preserve"> Fetal </w:t>
      </w:r>
      <w:r w:rsidRPr="00CA579A">
        <w:rPr>
          <w:i/>
        </w:rPr>
        <w:t>RHD</w:t>
      </w:r>
      <w:r>
        <w:t xml:space="preserve"> status can currently only be determined during pregnancy from chorionic villous sampling, amniocentesis to obtain fetal cells, or amniocentesis with fetal circulation sampling, each of which risks </w:t>
      </w:r>
      <w:r w:rsidR="00521D62">
        <w:t xml:space="preserve">isoimmunisation and/or </w:t>
      </w:r>
      <w:r>
        <w:t>pregnancy loss</w:t>
      </w:r>
      <w:r w:rsidR="00526D87">
        <w:t xml:space="preserve"> </w:t>
      </w:r>
      <w:r w:rsidR="00526D87" w:rsidRPr="00526D87">
        <w:t>and consequently are not performed in the setting of low risk, non-alloimmunised pregnancy, and universal anti-D Ig is administered to all R</w:t>
      </w:r>
      <w:r w:rsidR="00B77124">
        <w:t>h</w:t>
      </w:r>
      <w:r w:rsidR="00526D87" w:rsidRPr="00526D87">
        <w:t>D negative pregnant women</w:t>
      </w:r>
      <w:r>
        <w:t>.</w:t>
      </w:r>
    </w:p>
    <w:p w14:paraId="3B1800ED" w14:textId="4A621621" w:rsidR="00037DFB" w:rsidRDefault="004979D6" w:rsidP="00E06381">
      <w:pPr>
        <w:spacing w:before="240"/>
      </w:pPr>
      <w:r w:rsidRPr="00BE51C0">
        <w:t xml:space="preserve">In Australia, the current standard of care is the routine administration </w:t>
      </w:r>
      <w:r>
        <w:t xml:space="preserve">of </w:t>
      </w:r>
      <w:r w:rsidRPr="00BE51C0">
        <w:t>a</w:t>
      </w:r>
      <w:r>
        <w:t>nti-D Ig to all RhD-</w:t>
      </w:r>
      <w:r w:rsidRPr="00BE51C0">
        <w:t>negative pregnant women at 28 and 34</w:t>
      </w:r>
      <w:r>
        <w:t>-36</w:t>
      </w:r>
      <w:r w:rsidRPr="00BE51C0">
        <w:t xml:space="preserve"> weeks’ gestation, and within 72 hours of delivery of an RhD-positive fetus, or following other obstetric events ass</w:t>
      </w:r>
      <w:r>
        <w:t>ociated with a risk of feto</w:t>
      </w:r>
      <w:r w:rsidRPr="00BE51C0">
        <w:t>maternal haemorrhage.</w:t>
      </w:r>
      <w:r>
        <w:t xml:space="preserve"> Determining the </w:t>
      </w:r>
      <w:r w:rsidRPr="00CA579A">
        <w:rPr>
          <w:i/>
        </w:rPr>
        <w:t>R</w:t>
      </w:r>
      <w:r w:rsidR="00521D62" w:rsidRPr="00CA579A">
        <w:rPr>
          <w:i/>
        </w:rPr>
        <w:t>H</w:t>
      </w:r>
      <w:r w:rsidRPr="00CA579A">
        <w:rPr>
          <w:i/>
        </w:rPr>
        <w:t>D</w:t>
      </w:r>
      <w:r>
        <w:t xml:space="preserve"> genotype of the fetus </w:t>
      </w:r>
      <w:r w:rsidR="00526D87">
        <w:t xml:space="preserve">using non-invasive testing </w:t>
      </w:r>
      <w:r>
        <w:t xml:space="preserve">will mean that declining stocks of anti-D </w:t>
      </w:r>
      <w:r w:rsidR="00521D62">
        <w:t xml:space="preserve">Ig </w:t>
      </w:r>
      <w:r>
        <w:t xml:space="preserve">can be reserved for RhD-negative women found to be carrying an </w:t>
      </w:r>
      <w:r w:rsidRPr="00CA579A">
        <w:rPr>
          <w:i/>
        </w:rPr>
        <w:t>R</w:t>
      </w:r>
      <w:r w:rsidR="00521D62" w:rsidRPr="00CA579A">
        <w:rPr>
          <w:i/>
        </w:rPr>
        <w:t>H</w:t>
      </w:r>
      <w:r w:rsidRPr="00CA579A">
        <w:rPr>
          <w:i/>
        </w:rPr>
        <w:t>D</w:t>
      </w:r>
      <w:r>
        <w:t>-positive fetus.</w:t>
      </w:r>
    </w:p>
    <w:p w14:paraId="22E853C0" w14:textId="77777777" w:rsidR="00037DFB" w:rsidRPr="00037DFB" w:rsidRDefault="00037DFB" w:rsidP="00E06381">
      <w:pPr>
        <w:pStyle w:val="Heading3"/>
        <w:spacing w:before="240" w:after="120"/>
      </w:pPr>
      <w:r w:rsidRPr="00037DFB">
        <w:t>Patient population</w:t>
      </w:r>
    </w:p>
    <w:p w14:paraId="7C483D2E" w14:textId="6289CE2D" w:rsidR="00037DFB" w:rsidRDefault="00037DFB" w:rsidP="00E06381">
      <w:r>
        <w:t xml:space="preserve">The DCAR proposed restricting testing to </w:t>
      </w:r>
      <w:r w:rsidRPr="008615B1">
        <w:t xml:space="preserve">RhD-negative pregnant </w:t>
      </w:r>
      <w:r>
        <w:t>patients</w:t>
      </w:r>
      <w:r w:rsidRPr="008615B1">
        <w:t xml:space="preserve"> who are not alloimmunised</w:t>
      </w:r>
      <w:r>
        <w:t>, because the tests currently used by Lifeblood are different for alloimmunised pregnancies (</w:t>
      </w:r>
      <w:r w:rsidR="002928EC">
        <w:fldChar w:fldCharType="begin"/>
      </w:r>
      <w:r w:rsidR="002928EC">
        <w:instrText xml:space="preserve"> REF _Ref162029225 \h </w:instrText>
      </w:r>
      <w:r w:rsidR="002928EC">
        <w:fldChar w:fldCharType="separate"/>
      </w:r>
      <w:r w:rsidR="00C751E2">
        <w:t xml:space="preserve">Table </w:t>
      </w:r>
      <w:r w:rsidR="00C751E2">
        <w:rPr>
          <w:noProof/>
        </w:rPr>
        <w:t>5</w:t>
      </w:r>
      <w:r w:rsidR="002928EC">
        <w:fldChar w:fldCharType="end"/>
      </w:r>
      <w:r>
        <w:t>)</w:t>
      </w:r>
      <w:r w:rsidRPr="008615B1">
        <w:t xml:space="preserve">. </w:t>
      </w:r>
      <w:r>
        <w:t>The DCAR note</w:t>
      </w:r>
      <w:r w:rsidR="00407870">
        <w:t>d</w:t>
      </w:r>
      <w:r>
        <w:t xml:space="preserve"> that although </w:t>
      </w:r>
      <w:r w:rsidRPr="00D33BCF">
        <w:t>PASC advised “that potential MBS funding should not exclude [alloimmunised patients], as equity must be considered, especially if current funding is time-limited”,</w:t>
      </w:r>
      <w:r>
        <w:t xml:space="preserve"> the DCAR only evaluated </w:t>
      </w:r>
      <w:r w:rsidR="00B05253">
        <w:t xml:space="preserve">fetal </w:t>
      </w:r>
      <w:r>
        <w:rPr>
          <w:i/>
        </w:rPr>
        <w:t>RHD</w:t>
      </w:r>
      <w:r>
        <w:t>-NIPT testing for non-alloimmunised patients because the test is different, and the description of NIPT for alloimmunised patients (with multiple testing of different genes) is not the test as described in the PICO confirmation. In the pre-MSAC response, the applicant noted that if this application is supported, individual pathology providers may choose and validate different assays than those provided by Lifeblood.</w:t>
      </w:r>
    </w:p>
    <w:p w14:paraId="6883DFDC" w14:textId="137A1A66" w:rsidR="00A228A7" w:rsidRPr="00315CA0" w:rsidRDefault="00A228A7" w:rsidP="007634A7">
      <w:pPr>
        <w:pStyle w:val="TableHeading"/>
        <w:spacing w:before="240"/>
        <w:ind w:left="0" w:firstLine="0"/>
      </w:pPr>
      <w:bookmarkStart w:id="10" w:name="_Ref162029225"/>
      <w:r>
        <w:t xml:space="preserve">Table </w:t>
      </w:r>
      <w:r>
        <w:fldChar w:fldCharType="begin"/>
      </w:r>
      <w:r>
        <w:instrText xml:space="preserve"> SEQ Table \* ARABIC </w:instrText>
      </w:r>
      <w:r>
        <w:fldChar w:fldCharType="separate"/>
      </w:r>
      <w:r w:rsidR="00C751E2">
        <w:t>5</w:t>
      </w:r>
      <w:r>
        <w:fldChar w:fldCharType="end"/>
      </w:r>
      <w:bookmarkEnd w:id="10"/>
      <w:r w:rsidR="00315CA0" w:rsidRPr="00053FE0">
        <w:t>: Difference between NIPT tests in non-alloimmunised compared to alloimmunised patients currently provided by Lifeblood</w:t>
      </w:r>
    </w:p>
    <w:tbl>
      <w:tblPr>
        <w:tblStyle w:val="TableGrid1"/>
        <w:tblW w:w="0" w:type="auto"/>
        <w:tblLook w:val="04A0" w:firstRow="1" w:lastRow="0" w:firstColumn="1" w:lastColumn="0" w:noHBand="0" w:noVBand="1"/>
        <w:tblCaption w:val="Difference between the NIPT test in non-alloimmunised compared to alloimmunised patients"/>
        <w:tblDescription w:val="Difference between the NIPT test in non-alloimmunised compared to alloimmunised patients"/>
      </w:tblPr>
      <w:tblGrid>
        <w:gridCol w:w="4507"/>
        <w:gridCol w:w="4509"/>
      </w:tblGrid>
      <w:tr w:rsidR="00037DFB" w:rsidRPr="00811123" w14:paraId="0B83FF8D" w14:textId="77777777" w:rsidTr="00A228A7">
        <w:trPr>
          <w:tblHeader/>
        </w:trPr>
        <w:tc>
          <w:tcPr>
            <w:tcW w:w="4509" w:type="dxa"/>
          </w:tcPr>
          <w:p w14:paraId="4E622574" w14:textId="77777777" w:rsidR="00037DFB" w:rsidRPr="00A40937" w:rsidRDefault="00037DFB" w:rsidP="003855E5">
            <w:pPr>
              <w:pStyle w:val="Tabletext0"/>
              <w:rPr>
                <w:b/>
                <w:bCs/>
              </w:rPr>
            </w:pPr>
            <w:r w:rsidRPr="00A40937">
              <w:rPr>
                <w:b/>
                <w:bCs/>
              </w:rPr>
              <w:t>Test for non-alloimmunised patients</w:t>
            </w:r>
          </w:p>
        </w:tc>
        <w:tc>
          <w:tcPr>
            <w:tcW w:w="4510" w:type="dxa"/>
          </w:tcPr>
          <w:p w14:paraId="2643A0FE" w14:textId="77777777" w:rsidR="00037DFB" w:rsidRPr="00A40937" w:rsidRDefault="00037DFB" w:rsidP="003855E5">
            <w:pPr>
              <w:pStyle w:val="Tabletext0"/>
              <w:rPr>
                <w:b/>
                <w:bCs/>
              </w:rPr>
            </w:pPr>
            <w:r w:rsidRPr="00A40937">
              <w:rPr>
                <w:b/>
                <w:bCs/>
              </w:rPr>
              <w:t>Alloimmunised patients</w:t>
            </w:r>
          </w:p>
        </w:tc>
      </w:tr>
      <w:tr w:rsidR="00037DFB" w14:paraId="0ABB9C59" w14:textId="77777777" w:rsidTr="00A228A7">
        <w:tc>
          <w:tcPr>
            <w:tcW w:w="4509" w:type="dxa"/>
          </w:tcPr>
          <w:p w14:paraId="61EF7E71" w14:textId="6729A7A6" w:rsidR="00037DFB" w:rsidRPr="00864C72" w:rsidRDefault="00F22000" w:rsidP="003855E5">
            <w:pPr>
              <w:pStyle w:val="Tabletext0"/>
              <w:rPr>
                <w:b/>
              </w:rPr>
            </w:pPr>
            <w:r>
              <w:rPr>
                <w:b/>
              </w:rPr>
              <w:t>Redacted</w:t>
            </w:r>
          </w:p>
        </w:tc>
        <w:tc>
          <w:tcPr>
            <w:tcW w:w="4510" w:type="dxa"/>
          </w:tcPr>
          <w:p w14:paraId="1886E994" w14:textId="37D9106F" w:rsidR="00037DFB" w:rsidRPr="00864C72" w:rsidRDefault="00F22000" w:rsidP="003855E5">
            <w:pPr>
              <w:pStyle w:val="Tabletext0"/>
              <w:rPr>
                <w:b/>
              </w:rPr>
            </w:pPr>
            <w:r>
              <w:rPr>
                <w:b/>
              </w:rPr>
              <w:t>Redacted</w:t>
            </w:r>
          </w:p>
        </w:tc>
      </w:tr>
    </w:tbl>
    <w:p w14:paraId="5A69C40B" w14:textId="77777777" w:rsidR="00037DFB" w:rsidRDefault="00037DFB" w:rsidP="00037DFB">
      <w:pPr>
        <w:pStyle w:val="Tablenotes1"/>
      </w:pPr>
      <w:r>
        <w:t>Source: DCAR, Table 15</w:t>
      </w:r>
    </w:p>
    <w:p w14:paraId="66C1B6A0" w14:textId="77777777" w:rsidR="00BC1364" w:rsidRPr="00F715D1" w:rsidRDefault="00BC1364" w:rsidP="00F715D1">
      <w:pPr>
        <w:pStyle w:val="Heading1"/>
      </w:pPr>
      <w:r w:rsidRPr="00F715D1">
        <w:lastRenderedPageBreak/>
        <w:t xml:space="preserve">Comparator </w:t>
      </w:r>
    </w:p>
    <w:p w14:paraId="3088072C" w14:textId="77777777" w:rsidR="008414AB" w:rsidRDefault="008414AB" w:rsidP="008414AB">
      <w:r>
        <w:t>The comparator in RhD-</w:t>
      </w:r>
      <w:r w:rsidRPr="00E50708">
        <w:t xml:space="preserve">negative pregnant </w:t>
      </w:r>
      <w:r>
        <w:t>patients</w:t>
      </w:r>
      <w:r w:rsidRPr="00E50708">
        <w:t xml:space="preserve"> who are non-alloimmunised</w:t>
      </w:r>
      <w:r>
        <w:t>,</w:t>
      </w:r>
      <w:r w:rsidRPr="00E50708">
        <w:t xml:space="preserve"> is no testing for the </w:t>
      </w:r>
      <w:r w:rsidRPr="00F6252E">
        <w:rPr>
          <w:i/>
        </w:rPr>
        <w:t>RHD</w:t>
      </w:r>
      <w:r w:rsidRPr="00E50708">
        <w:t xml:space="preserve"> genotype of the fetus</w:t>
      </w:r>
      <w:r>
        <w:t>.</w:t>
      </w:r>
    </w:p>
    <w:p w14:paraId="6D87DDCD" w14:textId="77777777" w:rsidR="00BC1364" w:rsidRPr="00F715D1" w:rsidRDefault="00BC1364" w:rsidP="00F715D1">
      <w:pPr>
        <w:pStyle w:val="Heading1"/>
      </w:pPr>
      <w:r w:rsidRPr="00F715D1">
        <w:t>Comparative safety</w:t>
      </w:r>
    </w:p>
    <w:p w14:paraId="1054F1DE" w14:textId="77777777" w:rsidR="008414AB" w:rsidRDefault="008414AB" w:rsidP="008414AB">
      <w:r>
        <w:t>The DCAR stated that the test requires a simple venepuncture. Other safety-related outcomes arise from the change in clinical management conditional on the test result, so are discussed in the following section.</w:t>
      </w:r>
    </w:p>
    <w:p w14:paraId="25CF96CF" w14:textId="77777777" w:rsidR="00BC1364" w:rsidRPr="00F715D1" w:rsidRDefault="00BC1364" w:rsidP="00F715D1">
      <w:pPr>
        <w:pStyle w:val="Heading1"/>
      </w:pPr>
      <w:r w:rsidRPr="00F715D1">
        <w:t>Comparative effectiveness</w:t>
      </w:r>
    </w:p>
    <w:p w14:paraId="1A050CB2" w14:textId="77777777" w:rsidR="00F37B9C" w:rsidRDefault="00C06B0B" w:rsidP="00E06381">
      <w:pPr>
        <w:pStyle w:val="Heading2"/>
        <w:spacing w:after="120"/>
      </w:pPr>
      <w:r>
        <w:t>Clinical c</w:t>
      </w:r>
      <w:r w:rsidR="00F37B9C" w:rsidRPr="00F37B9C">
        <w:t>laim</w:t>
      </w:r>
    </w:p>
    <w:p w14:paraId="6EF0A609" w14:textId="3FDB0D4E" w:rsidR="008414AB" w:rsidRDefault="008414AB" w:rsidP="008414AB">
      <w:r w:rsidRPr="00206855">
        <w:t>The</w:t>
      </w:r>
      <w:r>
        <w:t xml:space="preserve"> DCAR stated that the</w:t>
      </w:r>
      <w:r w:rsidRPr="00206855">
        <w:t xml:space="preserve"> clinical claim is superiority of </w:t>
      </w:r>
      <w:r w:rsidRPr="00206855">
        <w:rPr>
          <w:i/>
        </w:rPr>
        <w:t>RHD</w:t>
      </w:r>
      <w:r w:rsidRPr="00206855">
        <w:t xml:space="preserve">-NIPT to </w:t>
      </w:r>
      <w:r w:rsidR="00967327">
        <w:t>determine</w:t>
      </w:r>
      <w:r w:rsidR="00967327" w:rsidRPr="00206855">
        <w:t xml:space="preserve"> </w:t>
      </w:r>
      <w:r w:rsidRPr="00206855">
        <w:t xml:space="preserve">fetal </w:t>
      </w:r>
      <w:r w:rsidRPr="00206855">
        <w:rPr>
          <w:i/>
        </w:rPr>
        <w:t>RHD</w:t>
      </w:r>
      <w:r w:rsidR="00967327">
        <w:rPr>
          <w:i/>
        </w:rPr>
        <w:t xml:space="preserve"> </w:t>
      </w:r>
      <w:r w:rsidR="00967327">
        <w:t>status</w:t>
      </w:r>
      <w:r w:rsidRPr="00D74FA6">
        <w:t>,</w:t>
      </w:r>
      <w:r w:rsidRPr="00206855">
        <w:t xml:space="preserve"> over the comparator (no testing). A clinical claim of safety is not made in </w:t>
      </w:r>
      <w:r>
        <w:t>the PICO.</w:t>
      </w:r>
    </w:p>
    <w:p w14:paraId="30DA9565" w14:textId="3DAD1651" w:rsidR="008414AB" w:rsidRDefault="008414AB" w:rsidP="00E06381">
      <w:pPr>
        <w:spacing w:before="240"/>
      </w:pPr>
      <w:r>
        <w:t>The DCAR added that the main safety issue</w:t>
      </w:r>
      <w:r w:rsidRPr="00206855">
        <w:t xml:space="preserve"> would be </w:t>
      </w:r>
      <w:r>
        <w:t xml:space="preserve">consequences of false negatives (i.e., the fetus is </w:t>
      </w:r>
      <w:r w:rsidR="00B05253">
        <w:t>actually</w:t>
      </w:r>
      <w:r w:rsidR="00967327">
        <w:t xml:space="preserve"> </w:t>
      </w:r>
      <w:r>
        <w:rPr>
          <w:i/>
        </w:rPr>
        <w:t>RHD</w:t>
      </w:r>
      <w:r w:rsidR="00773FF9">
        <w:t>-</w:t>
      </w:r>
      <w:r>
        <w:t xml:space="preserve">positive </w:t>
      </w:r>
      <w:r w:rsidR="00145F00">
        <w:t xml:space="preserve">but </w:t>
      </w:r>
      <w:r w:rsidR="00967327">
        <w:t xml:space="preserve">apparently </w:t>
      </w:r>
      <w:r>
        <w:rPr>
          <w:i/>
        </w:rPr>
        <w:t>RHD</w:t>
      </w:r>
      <w:r>
        <w:t xml:space="preserve"> test negative),</w:t>
      </w:r>
      <w:r w:rsidRPr="00206855">
        <w:t xml:space="preserve"> </w:t>
      </w:r>
      <w:r>
        <w:t xml:space="preserve">which </w:t>
      </w:r>
      <w:r w:rsidRPr="00643DBA">
        <w:t>would result in a small increase in the risk of alloimmunisation due to the lost opportunit</w:t>
      </w:r>
      <w:r>
        <w:t>y to receive routine antenatal a</w:t>
      </w:r>
      <w:r w:rsidRPr="00643DBA">
        <w:t xml:space="preserve">nti-D </w:t>
      </w:r>
      <w:r w:rsidR="00316A76">
        <w:t xml:space="preserve">Ig </w:t>
      </w:r>
      <w:r w:rsidRPr="00643DBA">
        <w:t>prophylaxis and the possible adverse effects on the fetus or subs</w:t>
      </w:r>
      <w:r>
        <w:t xml:space="preserve">equent pregnancies carrying </w:t>
      </w:r>
      <w:r w:rsidR="00967327">
        <w:t xml:space="preserve">a </w:t>
      </w:r>
      <w:r w:rsidRPr="00CA579A">
        <w:rPr>
          <w:i/>
        </w:rPr>
        <w:t>R</w:t>
      </w:r>
      <w:r w:rsidR="00C04B34" w:rsidRPr="00CA579A">
        <w:rPr>
          <w:i/>
        </w:rPr>
        <w:t>H</w:t>
      </w:r>
      <w:r w:rsidRPr="00CA579A">
        <w:rPr>
          <w:i/>
        </w:rPr>
        <w:t>D</w:t>
      </w:r>
      <w:r>
        <w:t>-</w:t>
      </w:r>
      <w:r w:rsidRPr="00643DBA">
        <w:t>positive fetus.</w:t>
      </w:r>
    </w:p>
    <w:p w14:paraId="7F150173" w14:textId="07ADFBF3" w:rsidR="008414AB" w:rsidRDefault="008414AB" w:rsidP="00E06381">
      <w:pPr>
        <w:spacing w:before="240"/>
      </w:pPr>
      <w:r>
        <w:t xml:space="preserve">In the pre-ESC response, the applicant commented that the risk from false negatives is small for the current pregnancy: despite a false negative NIPT result, there is the opportunity to administer post-partum anti-D Ig based on cord blood RhD fetal serotyping. With current universal antenatal anti-D Ig administration the risk of maternal alloimmunisation in women at risk is reduced to approximately 0.2%, </w:t>
      </w:r>
      <w:r w:rsidR="00B05253">
        <w:t xml:space="preserve">compared to </w:t>
      </w:r>
      <w:r>
        <w:t>approximately 2% of women at risk of sensitisation actually becoming sensitised without antenatal anti-D</w:t>
      </w:r>
      <w:r w:rsidR="00967327">
        <w:t xml:space="preserve"> Ig administration</w:t>
      </w:r>
      <w:r>
        <w:t xml:space="preserve">. In addition, not all subsequent pregnancies will be RhD-positive: if the father is heterozygous, then each fetus has a 50% chance of being RhD-negative. The issue of women not receiving appropriate, clinically indicated, anti-D </w:t>
      </w:r>
      <w:r w:rsidR="00316A76">
        <w:t xml:space="preserve">Ig </w:t>
      </w:r>
      <w:r>
        <w:t xml:space="preserve">represents an issue that is an order of magnitude greater than the risk of false-negative NIPT results. In the rejoinder, the HTA group responded that </w:t>
      </w:r>
      <w:r w:rsidRPr="00BE19FD">
        <w:t xml:space="preserve">the probability of alloimmunisation with only post-partum anti-D </w:t>
      </w:r>
      <w:r w:rsidR="00316A76">
        <w:t>Ig</w:t>
      </w:r>
      <w:r w:rsidR="00316A76" w:rsidRPr="00BE19FD">
        <w:t xml:space="preserve"> </w:t>
      </w:r>
      <w:r w:rsidRPr="00BE19FD">
        <w:t xml:space="preserve">is estimated in the literature </w:t>
      </w:r>
      <w:r>
        <w:t>at</w:t>
      </w:r>
      <w:r w:rsidRPr="00BE19FD">
        <w:t xml:space="preserve"> 0.67% to 2%. The value of</w:t>
      </w:r>
      <w:r>
        <w:t xml:space="preserve"> 1.5% as </w:t>
      </w:r>
      <w:r w:rsidRPr="00BE19FD">
        <w:t>recommended by NHMRC was used in the base case and subjected to sensitivity analyses.</w:t>
      </w:r>
    </w:p>
    <w:p w14:paraId="63E59A40" w14:textId="77777777" w:rsidR="008414AB" w:rsidRDefault="008414AB" w:rsidP="00E06381">
      <w:pPr>
        <w:pStyle w:val="Heading2"/>
        <w:spacing w:before="240" w:after="120"/>
      </w:pPr>
      <w:r>
        <w:t>Clinical validity</w:t>
      </w:r>
    </w:p>
    <w:p w14:paraId="23FD0117" w14:textId="387E2B56" w:rsidR="008414AB" w:rsidRDefault="008414AB" w:rsidP="00E06381">
      <w:pPr>
        <w:spacing w:after="240"/>
      </w:pPr>
      <w:r w:rsidRPr="00FE5B46">
        <w:t>The</w:t>
      </w:r>
      <w:r>
        <w:t xml:space="preserve"> DCAR</w:t>
      </w:r>
      <w:r w:rsidRPr="00FE5B46">
        <w:t xml:space="preserve"> assess</w:t>
      </w:r>
      <w:r>
        <w:t>ed</w:t>
      </w:r>
      <w:r w:rsidRPr="00FE5B46">
        <w:t xml:space="preserve"> the diagnostic accuracy of </w:t>
      </w:r>
      <w:r w:rsidRPr="00FE5B46">
        <w:rPr>
          <w:i/>
        </w:rPr>
        <w:t>RHD</w:t>
      </w:r>
      <w:r w:rsidRPr="00FE5B46">
        <w:t xml:space="preserve">-NIPT genotyping </w:t>
      </w:r>
      <w:r>
        <w:t>to be high,</w:t>
      </w:r>
      <w:r w:rsidRPr="00FE5B46">
        <w:t xml:space="preserve"> based on eight published </w:t>
      </w:r>
      <w:r>
        <w:t>meta-analyses (four at low risk of bias), each providing</w:t>
      </w:r>
      <w:r w:rsidRPr="00FE5B46">
        <w:t xml:space="preserve"> a comparison of </w:t>
      </w:r>
      <w:r w:rsidRPr="00FE5B46">
        <w:rPr>
          <w:i/>
        </w:rPr>
        <w:t>RHD</w:t>
      </w:r>
      <w:r w:rsidRPr="00FE5B46">
        <w:t xml:space="preserve">-NIPT to the reference standard (RhD </w:t>
      </w:r>
      <w:r>
        <w:t xml:space="preserve">antigen phenotype on fetal </w:t>
      </w:r>
      <w:r w:rsidRPr="00FE5B46">
        <w:t>blood typing).</w:t>
      </w:r>
      <w:r>
        <w:t xml:space="preserve"> The DCAR summarised the results of their systematic review (</w:t>
      </w:r>
      <w:r w:rsidR="00390CC4">
        <w:fldChar w:fldCharType="begin"/>
      </w:r>
      <w:r w:rsidR="00390CC4">
        <w:instrText xml:space="preserve"> REF _Ref162029260 \h </w:instrText>
      </w:r>
      <w:r w:rsidR="00390CC4">
        <w:fldChar w:fldCharType="separate"/>
      </w:r>
      <w:r w:rsidR="00C751E2">
        <w:t xml:space="preserve">Table </w:t>
      </w:r>
      <w:r w:rsidR="00C751E2">
        <w:rPr>
          <w:noProof/>
        </w:rPr>
        <w:t>6</w:t>
      </w:r>
      <w:r w:rsidR="00390CC4">
        <w:fldChar w:fldCharType="end"/>
      </w:r>
      <w:r>
        <w:t>)</w:t>
      </w:r>
      <w:r w:rsidRPr="00561008">
        <w:t>,</w:t>
      </w:r>
      <w:r>
        <w:t xml:space="preserve"> noting that</w:t>
      </w:r>
      <w:r w:rsidRPr="00561008">
        <w:t xml:space="preserve"> the highest estimates of sensitivity and specificity were both reported in the systematic </w:t>
      </w:r>
      <w:r w:rsidRPr="006B086D">
        <w:t xml:space="preserve">review by Runkel </w:t>
      </w:r>
      <w:r w:rsidRPr="006B086D">
        <w:rPr>
          <w:i/>
        </w:rPr>
        <w:t xml:space="preserve">et al. </w:t>
      </w:r>
      <w:r w:rsidRPr="006B086D">
        <w:t>(2020)</w:t>
      </w:r>
      <w:r w:rsidRPr="006B086D">
        <w:rPr>
          <w:rStyle w:val="FootnoteReference"/>
        </w:rPr>
        <w:footnoteReference w:id="6"/>
      </w:r>
      <w:r w:rsidRPr="006B086D">
        <w:t>, which</w:t>
      </w:r>
      <w:r w:rsidRPr="00561008">
        <w:t xml:space="preserve"> is the most recently published review</w:t>
      </w:r>
      <w:r>
        <w:t>, the study with the</w:t>
      </w:r>
      <w:r w:rsidRPr="00561008">
        <w:t xml:space="preserve"> largest sample size (60,396 RhD-negative patients)</w:t>
      </w:r>
      <w:r>
        <w:t>, and a study considered to have a low risk of bias</w:t>
      </w:r>
      <w:r w:rsidRPr="00561008">
        <w:t>.</w:t>
      </w:r>
    </w:p>
    <w:p w14:paraId="1F3E88A1" w14:textId="7BE4D1AB" w:rsidR="00A228A7" w:rsidRPr="00315CA0" w:rsidRDefault="00A228A7" w:rsidP="00D135F2">
      <w:pPr>
        <w:pStyle w:val="TableHeading"/>
      </w:pPr>
      <w:bookmarkStart w:id="11" w:name="_Ref162029260"/>
      <w:r>
        <w:lastRenderedPageBreak/>
        <w:t xml:space="preserve">Table </w:t>
      </w:r>
      <w:r>
        <w:fldChar w:fldCharType="begin"/>
      </w:r>
      <w:r>
        <w:instrText xml:space="preserve"> SEQ Table \* ARABIC </w:instrText>
      </w:r>
      <w:r>
        <w:fldChar w:fldCharType="separate"/>
      </w:r>
      <w:r w:rsidR="00C751E2">
        <w:t>6</w:t>
      </w:r>
      <w:r>
        <w:fldChar w:fldCharType="end"/>
      </w:r>
      <w:bookmarkEnd w:id="11"/>
      <w:r w:rsidR="00315CA0">
        <w:t xml:space="preserve">: </w:t>
      </w:r>
      <w:r w:rsidR="00315CA0" w:rsidRPr="00053FE0">
        <w:t>Summary statistics for RHD-NIPT from meta-analyses reported in the systematic reviews, against RhD blood typing</w:t>
      </w:r>
    </w:p>
    <w:tbl>
      <w:tblPr>
        <w:tblStyle w:val="TableGrid1"/>
        <w:tblW w:w="5000" w:type="pct"/>
        <w:tblLayout w:type="fixed"/>
        <w:tblLook w:val="04A0" w:firstRow="1" w:lastRow="0" w:firstColumn="1" w:lastColumn="0" w:noHBand="0" w:noVBand="1"/>
        <w:tblDescription w:val="Summary statistics for RHD-NIPT from meta-analyses reported in the systematic reviews, against RhD blood typing"/>
      </w:tblPr>
      <w:tblGrid>
        <w:gridCol w:w="2689"/>
        <w:gridCol w:w="6327"/>
      </w:tblGrid>
      <w:tr w:rsidR="008414AB" w:rsidRPr="00E2560B" w14:paraId="2AEB4BCA" w14:textId="77777777" w:rsidTr="00A228A7">
        <w:trPr>
          <w:trHeight w:val="81"/>
          <w:tblHeader/>
        </w:trPr>
        <w:tc>
          <w:tcPr>
            <w:tcW w:w="1491" w:type="pct"/>
          </w:tcPr>
          <w:p w14:paraId="24E73DA2" w14:textId="77777777" w:rsidR="008414AB" w:rsidRPr="00A435D3" w:rsidRDefault="008414AB" w:rsidP="00053FE0">
            <w:pPr>
              <w:pStyle w:val="TableText1"/>
              <w:keepLines/>
              <w:spacing w:before="0" w:after="0"/>
              <w:rPr>
                <w:rFonts w:cs="Arial"/>
                <w:color w:val="1F497D"/>
                <w:szCs w:val="20"/>
              </w:rPr>
            </w:pPr>
            <w:r>
              <w:rPr>
                <w:b/>
              </w:rPr>
              <w:t>Accuracy</w:t>
            </w:r>
            <w:r w:rsidRPr="00CC54C6">
              <w:rPr>
                <w:b/>
              </w:rPr>
              <w:t xml:space="preserve"> </w:t>
            </w:r>
          </w:p>
        </w:tc>
        <w:tc>
          <w:tcPr>
            <w:tcW w:w="3509" w:type="pct"/>
          </w:tcPr>
          <w:p w14:paraId="56342E91" w14:textId="77777777" w:rsidR="008414AB" w:rsidRPr="00CC54C6" w:rsidRDefault="008414AB" w:rsidP="00053FE0">
            <w:pPr>
              <w:pStyle w:val="TableText1"/>
              <w:keepLines/>
              <w:spacing w:before="0" w:after="0"/>
              <w:jc w:val="center"/>
            </w:pPr>
            <w:r>
              <w:rPr>
                <w:b/>
              </w:rPr>
              <w:t>Index test</w:t>
            </w:r>
          </w:p>
        </w:tc>
      </w:tr>
      <w:tr w:rsidR="008414AB" w:rsidRPr="00E2560B" w14:paraId="51DA23A0" w14:textId="77777777" w:rsidTr="00A228A7">
        <w:trPr>
          <w:trHeight w:val="255"/>
        </w:trPr>
        <w:tc>
          <w:tcPr>
            <w:tcW w:w="1491" w:type="pct"/>
          </w:tcPr>
          <w:p w14:paraId="1FC7596E" w14:textId="77777777" w:rsidR="008414AB" w:rsidRPr="003C6B79" w:rsidRDefault="008414AB" w:rsidP="00053FE0">
            <w:pPr>
              <w:keepNext/>
              <w:keepLines/>
              <w:rPr>
                <w:rFonts w:ascii="Arial Narrow" w:hAnsi="Arial Narrow"/>
                <w:sz w:val="20"/>
                <w:lang w:eastAsia="en-US"/>
              </w:rPr>
            </w:pPr>
            <w:r w:rsidRPr="003C6B79">
              <w:rPr>
                <w:rFonts w:ascii="Arial Narrow" w:hAnsi="Arial Narrow"/>
                <w:sz w:val="20"/>
                <w:lang w:eastAsia="en-US"/>
              </w:rPr>
              <w:t>Sensitivity, % [95% CI]</w:t>
            </w:r>
          </w:p>
        </w:tc>
        <w:tc>
          <w:tcPr>
            <w:tcW w:w="3509" w:type="pct"/>
          </w:tcPr>
          <w:p w14:paraId="3DBE8AA8" w14:textId="77777777" w:rsidR="008414AB" w:rsidRPr="00CC54C6" w:rsidRDefault="008414AB" w:rsidP="00053FE0">
            <w:pPr>
              <w:pStyle w:val="TableText1"/>
              <w:keepLines/>
              <w:spacing w:before="0" w:after="0"/>
              <w:jc w:val="center"/>
            </w:pPr>
            <w:r>
              <w:t>95.4% [90.6%, 97.8%] (k=37, n=3,078) to 99.9% [99.5%, 100%] (k=12; n=60,396)</w:t>
            </w:r>
          </w:p>
        </w:tc>
      </w:tr>
      <w:tr w:rsidR="008414AB" w:rsidRPr="00E2560B" w14:paraId="1C4D51C4" w14:textId="77777777" w:rsidTr="00A228A7">
        <w:trPr>
          <w:trHeight w:val="70"/>
        </w:trPr>
        <w:tc>
          <w:tcPr>
            <w:tcW w:w="1491" w:type="pct"/>
          </w:tcPr>
          <w:p w14:paraId="38958DBD" w14:textId="77777777" w:rsidR="008414AB" w:rsidRPr="00CC54C6" w:rsidRDefault="008414AB" w:rsidP="00053FE0">
            <w:pPr>
              <w:pStyle w:val="TableText1"/>
              <w:keepLines/>
              <w:spacing w:before="0" w:after="0"/>
            </w:pPr>
            <w:r w:rsidRPr="00CC54C6">
              <w:t>Specificity, % [95% CI]</w:t>
            </w:r>
          </w:p>
        </w:tc>
        <w:tc>
          <w:tcPr>
            <w:tcW w:w="3509" w:type="pct"/>
          </w:tcPr>
          <w:p w14:paraId="5C6B529E" w14:textId="77777777" w:rsidR="008414AB" w:rsidRPr="00A435D3" w:rsidRDefault="008414AB" w:rsidP="00053FE0">
            <w:pPr>
              <w:pStyle w:val="TableText1"/>
              <w:keepLines/>
              <w:spacing w:before="0" w:after="0"/>
              <w:jc w:val="center"/>
            </w:pPr>
            <w:r>
              <w:t>96.1% [94.2%, 97.5%] (k=8; n=49,291) to 99.2% [98.5%, 99.5%] (k=12; n=60,396)</w:t>
            </w:r>
          </w:p>
        </w:tc>
      </w:tr>
      <w:tr w:rsidR="008414AB" w:rsidRPr="00E2560B" w14:paraId="3384AB36" w14:textId="77777777" w:rsidTr="00A228A7">
        <w:trPr>
          <w:trHeight w:val="70"/>
        </w:trPr>
        <w:tc>
          <w:tcPr>
            <w:tcW w:w="1491" w:type="pct"/>
          </w:tcPr>
          <w:p w14:paraId="5D4681ED" w14:textId="77777777" w:rsidR="008414AB" w:rsidRPr="00294EDC" w:rsidRDefault="008414AB" w:rsidP="00053FE0">
            <w:pPr>
              <w:pStyle w:val="TableText1"/>
              <w:keepLines/>
              <w:spacing w:before="0" w:after="0"/>
              <w:rPr>
                <w:vertAlign w:val="superscript"/>
              </w:rPr>
            </w:pPr>
            <w:r w:rsidRPr="00CC54C6">
              <w:t>P</w:t>
            </w:r>
            <w:r>
              <w:t>ositive predictive value</w:t>
            </w:r>
            <w:r w:rsidRPr="00CC54C6">
              <w:t>, % [95% CI]</w:t>
            </w:r>
            <w:r>
              <w:rPr>
                <w:vertAlign w:val="superscript"/>
              </w:rPr>
              <w:t>a,b</w:t>
            </w:r>
          </w:p>
        </w:tc>
        <w:tc>
          <w:tcPr>
            <w:tcW w:w="3509" w:type="pct"/>
          </w:tcPr>
          <w:p w14:paraId="74F34400" w14:textId="77777777" w:rsidR="008414AB" w:rsidRPr="00294EDC" w:rsidRDefault="008414AB" w:rsidP="00053FE0">
            <w:pPr>
              <w:pStyle w:val="TableText1"/>
              <w:keepLines/>
              <w:spacing w:before="0" w:after="0"/>
              <w:jc w:val="center"/>
            </w:pPr>
            <w:r w:rsidRPr="00294EDC">
              <w:t>97.6% [96.2%, 98.5%] to 99.5% [99.1%, 99.7%]</w:t>
            </w:r>
          </w:p>
        </w:tc>
      </w:tr>
      <w:tr w:rsidR="008414AB" w:rsidRPr="00E2560B" w14:paraId="5DEA322C" w14:textId="77777777" w:rsidTr="00A228A7">
        <w:trPr>
          <w:trHeight w:val="70"/>
        </w:trPr>
        <w:tc>
          <w:tcPr>
            <w:tcW w:w="1491" w:type="pct"/>
          </w:tcPr>
          <w:p w14:paraId="03A91029" w14:textId="77777777" w:rsidR="008414AB" w:rsidRPr="00294EDC" w:rsidRDefault="008414AB" w:rsidP="00053FE0">
            <w:pPr>
              <w:pStyle w:val="TableText1"/>
              <w:keepLines/>
              <w:spacing w:before="0" w:after="0"/>
              <w:rPr>
                <w:vertAlign w:val="superscript"/>
              </w:rPr>
            </w:pPr>
            <w:r w:rsidRPr="00CC54C6">
              <w:t>N</w:t>
            </w:r>
            <w:r>
              <w:t>egative predictive value</w:t>
            </w:r>
            <w:r w:rsidRPr="00CC54C6">
              <w:t>, % [95% CI]</w:t>
            </w:r>
            <w:r>
              <w:rPr>
                <w:vertAlign w:val="superscript"/>
              </w:rPr>
              <w:t>a,c</w:t>
            </w:r>
          </w:p>
        </w:tc>
        <w:tc>
          <w:tcPr>
            <w:tcW w:w="3509" w:type="pct"/>
          </w:tcPr>
          <w:p w14:paraId="07DDAAB2" w14:textId="77777777" w:rsidR="008414AB" w:rsidRPr="00294EDC" w:rsidRDefault="008414AB" w:rsidP="00053FE0">
            <w:pPr>
              <w:pStyle w:val="TableText1"/>
              <w:keepLines/>
              <w:spacing w:before="0" w:after="0"/>
              <w:jc w:val="center"/>
            </w:pPr>
            <w:r w:rsidRPr="00294EDC">
              <w:t>92.8% [86.0%, 96.4%] to 99.8% [99.2%, 100%]</w:t>
            </w:r>
          </w:p>
        </w:tc>
      </w:tr>
    </w:tbl>
    <w:p w14:paraId="7C93B512" w14:textId="351C7E94" w:rsidR="008414AB" w:rsidRDefault="008414AB" w:rsidP="00053FE0">
      <w:pPr>
        <w:pStyle w:val="Tablenotes1"/>
        <w:keepNext/>
        <w:keepLines/>
      </w:pPr>
      <w:r>
        <w:rPr>
          <w:vertAlign w:val="superscript"/>
        </w:rPr>
        <w:t>a</w:t>
      </w:r>
      <w:r>
        <w:t xml:space="preserve"> based on a prevalence of 62% of fetuses in RhD-negative pregnancies being </w:t>
      </w:r>
      <w:r w:rsidRPr="00294EDC">
        <w:rPr>
          <w:i/>
          <w:iCs/>
        </w:rPr>
        <w:t>RHD</w:t>
      </w:r>
      <w:r w:rsidR="00773FF9">
        <w:t>-</w:t>
      </w:r>
      <w:r>
        <w:t>positive</w:t>
      </w:r>
    </w:p>
    <w:p w14:paraId="499673BE" w14:textId="77777777" w:rsidR="008414AB" w:rsidRDefault="008414AB" w:rsidP="008414AB">
      <w:pPr>
        <w:pStyle w:val="Tablenotes1"/>
      </w:pPr>
      <w:r>
        <w:rPr>
          <w:vertAlign w:val="superscript"/>
        </w:rPr>
        <w:t xml:space="preserve">b </w:t>
      </w:r>
      <w:r>
        <w:t>calculated as (sensitivity * prevalence) / ((sensitivity * prevalence) + ((1 - specificity) * (1 - prevalence)))</w:t>
      </w:r>
    </w:p>
    <w:p w14:paraId="2BE311C6" w14:textId="77777777" w:rsidR="008414AB" w:rsidRDefault="008414AB" w:rsidP="008414AB">
      <w:pPr>
        <w:pStyle w:val="Tablenotes1"/>
      </w:pPr>
      <w:r>
        <w:rPr>
          <w:vertAlign w:val="superscript"/>
        </w:rPr>
        <w:t xml:space="preserve">c </w:t>
      </w:r>
      <w:r>
        <w:t>calculated as (specificity * (1 – prevalence)) / (((1 - sensitivity) * prevalence) + (specificity * (1 – prevalence)))</w:t>
      </w:r>
    </w:p>
    <w:p w14:paraId="412D92ED" w14:textId="77777777" w:rsidR="008414AB" w:rsidRPr="00294EDC" w:rsidRDefault="008414AB" w:rsidP="008414AB">
      <w:pPr>
        <w:pStyle w:val="Tablenotes1"/>
      </w:pPr>
      <w:r>
        <w:t>Source: DCAR, Table 3</w:t>
      </w:r>
    </w:p>
    <w:p w14:paraId="66C68F04" w14:textId="3C289246" w:rsidR="00037DFB" w:rsidRDefault="00037DFB" w:rsidP="008414AB">
      <w:r>
        <w:t xml:space="preserve">In the pre-MSAC response, the applicant noted that while the </w:t>
      </w:r>
      <w:r>
        <w:rPr>
          <w:i/>
        </w:rPr>
        <w:t>RHD</w:t>
      </w:r>
      <w:r>
        <w:t xml:space="preserve"> genotype predicts the phenotype, there are more than a hundred </w:t>
      </w:r>
      <w:r>
        <w:rPr>
          <w:i/>
        </w:rPr>
        <w:t>RHD</w:t>
      </w:r>
      <w:r>
        <w:t xml:space="preserve"> variants described, many of which result in a positive </w:t>
      </w:r>
      <w:r w:rsidRPr="00037DFB">
        <w:rPr>
          <w:i/>
        </w:rPr>
        <w:t>RHD</w:t>
      </w:r>
      <w:r>
        <w:t xml:space="preserve"> genotype but with the phenotype being </w:t>
      </w:r>
      <w:r w:rsidRPr="00037DFB">
        <w:t>R</w:t>
      </w:r>
      <w:r w:rsidR="00B05253">
        <w:t>h</w:t>
      </w:r>
      <w:r w:rsidRPr="00037DFB">
        <w:t>D</w:t>
      </w:r>
      <w:r>
        <w:t>-negative.</w:t>
      </w:r>
    </w:p>
    <w:p w14:paraId="6A697B45" w14:textId="77777777" w:rsidR="008414AB" w:rsidRDefault="008414AB" w:rsidP="00E06381">
      <w:pPr>
        <w:pStyle w:val="Heading2"/>
        <w:spacing w:before="240" w:after="120"/>
      </w:pPr>
      <w:r>
        <w:t>Clinical utility</w:t>
      </w:r>
    </w:p>
    <w:p w14:paraId="19140E26" w14:textId="0CD8AAD8" w:rsidR="008414AB" w:rsidRDefault="008414AB" w:rsidP="008414AB">
      <w:r>
        <w:t>The DCAR examined change in patient management as a result of test outcomes, in terms of avoidance of anti-D Ig administration for pregnancies with an Rh</w:t>
      </w:r>
      <w:r w:rsidRPr="00937FBA">
        <w:t>D</w:t>
      </w:r>
      <w:r>
        <w:t>-negative fetus, and for all pregnancies (</w:t>
      </w:r>
      <w:r w:rsidR="00390CC4">
        <w:fldChar w:fldCharType="begin"/>
      </w:r>
      <w:r w:rsidR="00390CC4">
        <w:instrText xml:space="preserve"> REF _Ref162029281 \h </w:instrText>
      </w:r>
      <w:r w:rsidR="00390CC4">
        <w:fldChar w:fldCharType="separate"/>
      </w:r>
      <w:r w:rsidR="00C751E2">
        <w:t xml:space="preserve">Table </w:t>
      </w:r>
      <w:r w:rsidR="00C751E2">
        <w:rPr>
          <w:noProof/>
        </w:rPr>
        <w:t>7</w:t>
      </w:r>
      <w:r w:rsidR="00390CC4">
        <w:fldChar w:fldCharType="end"/>
      </w:r>
      <w:r>
        <w:t>).</w:t>
      </w:r>
    </w:p>
    <w:p w14:paraId="77199FB0" w14:textId="42D7F0FE" w:rsidR="0010418B" w:rsidRPr="00315CA0" w:rsidRDefault="0010418B" w:rsidP="00D135F2">
      <w:pPr>
        <w:pStyle w:val="TableHeading"/>
      </w:pPr>
      <w:bookmarkStart w:id="12" w:name="_Ref162029281"/>
      <w:r>
        <w:lastRenderedPageBreak/>
        <w:t xml:space="preserve">Table </w:t>
      </w:r>
      <w:r>
        <w:fldChar w:fldCharType="begin"/>
      </w:r>
      <w:r>
        <w:instrText xml:space="preserve"> SEQ Table \* ARABIC </w:instrText>
      </w:r>
      <w:r>
        <w:fldChar w:fldCharType="separate"/>
      </w:r>
      <w:r w:rsidR="00C751E2">
        <w:t>7</w:t>
      </w:r>
      <w:r>
        <w:fldChar w:fldCharType="end"/>
      </w:r>
      <w:bookmarkEnd w:id="12"/>
      <w:r w:rsidR="00315CA0" w:rsidRPr="00053FE0">
        <w:t>: Anti-D administration as a result of RHD-NIPT genotyping</w:t>
      </w:r>
    </w:p>
    <w:tbl>
      <w:tblPr>
        <w:tblStyle w:val="TableGrid"/>
        <w:tblW w:w="0" w:type="auto"/>
        <w:tblCellMar>
          <w:left w:w="28" w:type="dxa"/>
          <w:right w:w="28" w:type="dxa"/>
        </w:tblCellMar>
        <w:tblLook w:val="04A0" w:firstRow="1" w:lastRow="0" w:firstColumn="1" w:lastColumn="0" w:noHBand="0" w:noVBand="1"/>
        <w:tblDescription w:val="Anti-D administration as a result of RHD-NIPT genotyping"/>
      </w:tblPr>
      <w:tblGrid>
        <w:gridCol w:w="1438"/>
        <w:gridCol w:w="2527"/>
        <w:gridCol w:w="2527"/>
        <w:gridCol w:w="2524"/>
      </w:tblGrid>
      <w:tr w:rsidR="008414AB" w14:paraId="5BBDBBA1" w14:textId="77777777" w:rsidTr="0010418B">
        <w:trPr>
          <w:tblHeader/>
        </w:trPr>
        <w:tc>
          <w:tcPr>
            <w:tcW w:w="1446" w:type="dxa"/>
            <w:vAlign w:val="center"/>
          </w:tcPr>
          <w:p w14:paraId="1F576E1F" w14:textId="77777777" w:rsidR="008414AB" w:rsidRPr="00544485" w:rsidRDefault="008414AB" w:rsidP="00053FE0">
            <w:pPr>
              <w:pStyle w:val="TableText1"/>
              <w:keepLines/>
              <w:rPr>
                <w:b/>
              </w:rPr>
            </w:pPr>
            <w:r>
              <w:rPr>
                <w:b/>
              </w:rPr>
              <w:t>Study</w:t>
            </w:r>
          </w:p>
        </w:tc>
        <w:tc>
          <w:tcPr>
            <w:tcW w:w="2545" w:type="dxa"/>
            <w:vAlign w:val="center"/>
          </w:tcPr>
          <w:p w14:paraId="78285421" w14:textId="6561269A" w:rsidR="008414AB" w:rsidRPr="00A46F89" w:rsidRDefault="008414AB" w:rsidP="00053FE0">
            <w:pPr>
              <w:pStyle w:val="TableText1"/>
              <w:keepLines/>
              <w:jc w:val="center"/>
              <w:rPr>
                <w:b/>
              </w:rPr>
            </w:pPr>
            <w:r w:rsidRPr="00A46F89">
              <w:rPr>
                <w:b/>
              </w:rPr>
              <w:t xml:space="preserve">Anti-D </w:t>
            </w:r>
            <w:r>
              <w:rPr>
                <w:b/>
              </w:rPr>
              <w:t xml:space="preserve">immunoglobulin </w:t>
            </w:r>
            <w:r w:rsidRPr="00A46F89">
              <w:rPr>
                <w:b/>
              </w:rPr>
              <w:t xml:space="preserve">avoided with </w:t>
            </w:r>
            <w:r w:rsidRPr="00A46F89">
              <w:rPr>
                <w:b/>
                <w:i/>
              </w:rPr>
              <w:t>RHD</w:t>
            </w:r>
            <w:r w:rsidR="00773FF9">
              <w:rPr>
                <w:b/>
              </w:rPr>
              <w:t>-</w:t>
            </w:r>
            <w:r w:rsidRPr="00A46F89">
              <w:rPr>
                <w:b/>
              </w:rPr>
              <w:t>negative fetus</w:t>
            </w:r>
          </w:p>
        </w:tc>
        <w:tc>
          <w:tcPr>
            <w:tcW w:w="2545" w:type="dxa"/>
            <w:vAlign w:val="center"/>
          </w:tcPr>
          <w:p w14:paraId="3E307105" w14:textId="77777777" w:rsidR="008414AB" w:rsidRPr="00A46F89" w:rsidRDefault="008414AB" w:rsidP="00053FE0">
            <w:pPr>
              <w:pStyle w:val="TableText1"/>
              <w:keepLines/>
              <w:jc w:val="center"/>
              <w:rPr>
                <w:b/>
              </w:rPr>
            </w:pPr>
            <w:r>
              <w:rPr>
                <w:b/>
              </w:rPr>
              <w:t>Anti-D immunoglobulin avoided in all pregnancies</w:t>
            </w:r>
          </w:p>
        </w:tc>
        <w:tc>
          <w:tcPr>
            <w:tcW w:w="2546" w:type="dxa"/>
            <w:vAlign w:val="center"/>
          </w:tcPr>
          <w:p w14:paraId="636CB08B" w14:textId="77777777" w:rsidR="008414AB" w:rsidRPr="00A46F89" w:rsidRDefault="008414AB" w:rsidP="00053FE0">
            <w:pPr>
              <w:pStyle w:val="TableText1"/>
              <w:keepLines/>
              <w:jc w:val="center"/>
              <w:rPr>
                <w:b/>
              </w:rPr>
            </w:pPr>
            <w:r>
              <w:rPr>
                <w:b/>
              </w:rPr>
              <w:t>Other</w:t>
            </w:r>
          </w:p>
        </w:tc>
      </w:tr>
      <w:tr w:rsidR="008414AB" w14:paraId="14D2E30B" w14:textId="77777777" w:rsidTr="0010418B">
        <w:tc>
          <w:tcPr>
            <w:tcW w:w="1446" w:type="dxa"/>
            <w:vAlign w:val="center"/>
          </w:tcPr>
          <w:p w14:paraId="18D4085A" w14:textId="77777777" w:rsidR="008414AB" w:rsidRPr="006B086D" w:rsidRDefault="008414AB" w:rsidP="00053FE0">
            <w:pPr>
              <w:pStyle w:val="TableText1"/>
              <w:keepLines/>
            </w:pPr>
            <w:r w:rsidRPr="006B086D">
              <w:t xml:space="preserve">Damkjaer </w:t>
            </w:r>
            <w:r w:rsidRPr="006B086D">
              <w:rPr>
                <w:i/>
              </w:rPr>
              <w:t>et al.</w:t>
            </w:r>
            <w:r w:rsidRPr="006B086D">
              <w:t>, 2012</w:t>
            </w:r>
            <w:r>
              <w:rPr>
                <w:rStyle w:val="FootnoteReference"/>
              </w:rPr>
              <w:footnoteReference w:id="7"/>
            </w:r>
          </w:p>
        </w:tc>
        <w:tc>
          <w:tcPr>
            <w:tcW w:w="2545" w:type="dxa"/>
            <w:vAlign w:val="center"/>
          </w:tcPr>
          <w:p w14:paraId="195117A6" w14:textId="5B12DF00" w:rsidR="008414AB" w:rsidRDefault="008414AB" w:rsidP="00053FE0">
            <w:pPr>
              <w:pStyle w:val="TableText1"/>
              <w:keepLines/>
              <w:jc w:val="center"/>
            </w:pPr>
            <w:r>
              <w:t xml:space="preserve">68 of 69 </w:t>
            </w:r>
            <w:r>
              <w:rPr>
                <w:i/>
              </w:rPr>
              <w:t>RHD</w:t>
            </w:r>
            <w:r w:rsidR="00773FF9">
              <w:rPr>
                <w:i/>
              </w:rPr>
              <w:t>-</w:t>
            </w:r>
            <w:r>
              <w:t>negative (98.6%)</w:t>
            </w:r>
          </w:p>
        </w:tc>
        <w:tc>
          <w:tcPr>
            <w:tcW w:w="2545" w:type="dxa"/>
            <w:vAlign w:val="center"/>
          </w:tcPr>
          <w:p w14:paraId="5705028F" w14:textId="77777777" w:rsidR="008414AB" w:rsidRDefault="008414AB" w:rsidP="00053FE0">
            <w:pPr>
              <w:pStyle w:val="TableText1"/>
              <w:keepLines/>
              <w:jc w:val="center"/>
            </w:pPr>
            <w:r>
              <w:t>68 of 216 genotyped (31.5%)</w:t>
            </w:r>
          </w:p>
        </w:tc>
        <w:tc>
          <w:tcPr>
            <w:tcW w:w="2546" w:type="dxa"/>
            <w:vAlign w:val="center"/>
          </w:tcPr>
          <w:p w14:paraId="76401E2F" w14:textId="77777777" w:rsidR="008414AB" w:rsidRPr="00D53E6B" w:rsidRDefault="008414AB" w:rsidP="00053FE0">
            <w:pPr>
              <w:pStyle w:val="TableText1"/>
              <w:keepLines/>
              <w:jc w:val="center"/>
            </w:pPr>
            <w:r>
              <w:t xml:space="preserve">1 of 69 (1.2%) received anti-D Ig before </w:t>
            </w:r>
            <w:r>
              <w:rPr>
                <w:i/>
                <w:iCs/>
              </w:rPr>
              <w:t>RHD-</w:t>
            </w:r>
            <w:r>
              <w:t>NIPT screening</w:t>
            </w:r>
          </w:p>
        </w:tc>
      </w:tr>
      <w:tr w:rsidR="008414AB" w14:paraId="5DD586C0" w14:textId="77777777" w:rsidTr="0010418B">
        <w:tc>
          <w:tcPr>
            <w:tcW w:w="1446" w:type="dxa"/>
            <w:vAlign w:val="center"/>
          </w:tcPr>
          <w:p w14:paraId="795CDB1C" w14:textId="77777777" w:rsidR="008414AB" w:rsidRPr="006B086D" w:rsidRDefault="008414AB" w:rsidP="00F53931">
            <w:pPr>
              <w:pStyle w:val="TableText1"/>
            </w:pPr>
            <w:r w:rsidRPr="006B086D">
              <w:t xml:space="preserve">Grande </w:t>
            </w:r>
            <w:r w:rsidRPr="006B086D">
              <w:rPr>
                <w:i/>
              </w:rPr>
              <w:t>et al.</w:t>
            </w:r>
            <w:r w:rsidRPr="006B086D">
              <w:t>, 2013</w:t>
            </w:r>
            <w:r w:rsidRPr="006B086D">
              <w:rPr>
                <w:rStyle w:val="FootnoteReference"/>
              </w:rPr>
              <w:footnoteReference w:id="8"/>
            </w:r>
          </w:p>
        </w:tc>
        <w:tc>
          <w:tcPr>
            <w:tcW w:w="2545" w:type="dxa"/>
            <w:vAlign w:val="center"/>
          </w:tcPr>
          <w:p w14:paraId="7A4EB143" w14:textId="7E01E2E8" w:rsidR="008414AB" w:rsidRPr="00D53E6B" w:rsidRDefault="008414AB" w:rsidP="00F53931">
            <w:pPr>
              <w:pStyle w:val="TableText1"/>
              <w:jc w:val="center"/>
            </w:pPr>
            <w:r>
              <w:t xml:space="preserve">90 of 95 </w:t>
            </w:r>
            <w:r>
              <w:rPr>
                <w:i/>
              </w:rPr>
              <w:t>RHD</w:t>
            </w:r>
            <w:r w:rsidR="00773FF9">
              <w:t>-</w:t>
            </w:r>
            <w:r>
              <w:t>negative (95%)</w:t>
            </w:r>
          </w:p>
        </w:tc>
        <w:tc>
          <w:tcPr>
            <w:tcW w:w="2545" w:type="dxa"/>
            <w:vAlign w:val="center"/>
          </w:tcPr>
          <w:p w14:paraId="37F34D5A" w14:textId="77777777" w:rsidR="008414AB" w:rsidRDefault="008414AB" w:rsidP="00F53931">
            <w:pPr>
              <w:pStyle w:val="TableText1"/>
              <w:jc w:val="center"/>
            </w:pPr>
            <w:r>
              <w:t>90 of 282 genotyped (30.8%)</w:t>
            </w:r>
          </w:p>
        </w:tc>
        <w:tc>
          <w:tcPr>
            <w:tcW w:w="2546" w:type="dxa"/>
            <w:vAlign w:val="center"/>
          </w:tcPr>
          <w:p w14:paraId="0BEB52D6" w14:textId="296ACB4E" w:rsidR="008414AB" w:rsidRPr="00D53E6B" w:rsidRDefault="008414AB" w:rsidP="00F53931">
            <w:pPr>
              <w:pStyle w:val="TableText1"/>
              <w:jc w:val="center"/>
            </w:pPr>
            <w:r>
              <w:t xml:space="preserve">5 of 95 (5%) with </w:t>
            </w:r>
            <w:r>
              <w:rPr>
                <w:i/>
              </w:rPr>
              <w:t>RHD</w:t>
            </w:r>
            <w:r w:rsidR="00773FF9">
              <w:rPr>
                <w:i/>
              </w:rPr>
              <w:t>-</w:t>
            </w:r>
            <w:r>
              <w:t>negative fetus requested anti-D Ig</w:t>
            </w:r>
          </w:p>
        </w:tc>
      </w:tr>
      <w:tr w:rsidR="008414AB" w14:paraId="2C2E034B" w14:textId="77777777" w:rsidTr="0010418B">
        <w:tc>
          <w:tcPr>
            <w:tcW w:w="1446" w:type="dxa"/>
            <w:vAlign w:val="center"/>
          </w:tcPr>
          <w:p w14:paraId="639F57A1" w14:textId="77777777" w:rsidR="008414AB" w:rsidRPr="006B086D" w:rsidRDefault="008414AB" w:rsidP="00F53931">
            <w:pPr>
              <w:pStyle w:val="TableText1"/>
            </w:pPr>
            <w:r w:rsidRPr="006B086D">
              <w:t xml:space="preserve">Tiblad </w:t>
            </w:r>
            <w:r w:rsidRPr="006B086D">
              <w:rPr>
                <w:i/>
              </w:rPr>
              <w:t>et al.</w:t>
            </w:r>
            <w:r w:rsidRPr="006B086D">
              <w:t>, 2013</w:t>
            </w:r>
            <w:r w:rsidRPr="006B086D">
              <w:rPr>
                <w:rStyle w:val="FootnoteReference"/>
              </w:rPr>
              <w:footnoteReference w:id="9"/>
            </w:r>
          </w:p>
        </w:tc>
        <w:tc>
          <w:tcPr>
            <w:tcW w:w="2545" w:type="dxa"/>
            <w:vAlign w:val="center"/>
          </w:tcPr>
          <w:p w14:paraId="72F19A32" w14:textId="77777777" w:rsidR="008414AB" w:rsidRDefault="008414AB" w:rsidP="00F53931">
            <w:pPr>
              <w:pStyle w:val="TableText1"/>
              <w:jc w:val="center"/>
            </w:pPr>
            <w:r>
              <w:t>100%</w:t>
            </w:r>
          </w:p>
        </w:tc>
        <w:tc>
          <w:tcPr>
            <w:tcW w:w="2545" w:type="dxa"/>
            <w:vAlign w:val="center"/>
          </w:tcPr>
          <w:p w14:paraId="39B560C8" w14:textId="77777777" w:rsidR="008414AB" w:rsidRDefault="008414AB" w:rsidP="00F53931">
            <w:pPr>
              <w:pStyle w:val="TableText1"/>
              <w:jc w:val="center"/>
            </w:pPr>
            <w:r>
              <w:t>3,270 of 8,374 genotyped (39%)</w:t>
            </w:r>
          </w:p>
        </w:tc>
        <w:tc>
          <w:tcPr>
            <w:tcW w:w="2546" w:type="dxa"/>
            <w:vAlign w:val="center"/>
          </w:tcPr>
          <w:p w14:paraId="7E4EB2CB" w14:textId="77777777" w:rsidR="008414AB" w:rsidRDefault="008414AB" w:rsidP="00F53931">
            <w:pPr>
              <w:pStyle w:val="TableText1"/>
              <w:jc w:val="center"/>
            </w:pPr>
            <w:r>
              <w:t>-</w:t>
            </w:r>
          </w:p>
        </w:tc>
      </w:tr>
      <w:tr w:rsidR="008414AB" w14:paraId="38A629C9" w14:textId="77777777" w:rsidTr="0010418B">
        <w:tc>
          <w:tcPr>
            <w:tcW w:w="1446" w:type="dxa"/>
            <w:vAlign w:val="center"/>
          </w:tcPr>
          <w:p w14:paraId="7C411D4C" w14:textId="77777777" w:rsidR="008414AB" w:rsidRPr="006B086D" w:rsidRDefault="008414AB" w:rsidP="00F53931">
            <w:pPr>
              <w:pStyle w:val="TableText1"/>
            </w:pPr>
            <w:r w:rsidRPr="006B086D">
              <w:t xml:space="preserve">Clausen </w:t>
            </w:r>
            <w:r w:rsidRPr="006B086D">
              <w:rPr>
                <w:i/>
              </w:rPr>
              <w:t>et al.</w:t>
            </w:r>
            <w:r w:rsidRPr="006B086D">
              <w:t>, 2014</w:t>
            </w:r>
            <w:r>
              <w:rPr>
                <w:rStyle w:val="FootnoteReference"/>
                <w:szCs w:val="24"/>
              </w:rPr>
              <w:footnoteReference w:id="10"/>
            </w:r>
          </w:p>
        </w:tc>
        <w:tc>
          <w:tcPr>
            <w:tcW w:w="2545" w:type="dxa"/>
            <w:vAlign w:val="center"/>
          </w:tcPr>
          <w:p w14:paraId="690DF0A1" w14:textId="77777777" w:rsidR="008414AB" w:rsidRDefault="008414AB" w:rsidP="00F53931">
            <w:pPr>
              <w:pStyle w:val="TableText1"/>
              <w:jc w:val="center"/>
            </w:pPr>
            <w:r>
              <w:t>97.3%</w:t>
            </w:r>
          </w:p>
        </w:tc>
        <w:tc>
          <w:tcPr>
            <w:tcW w:w="2545" w:type="dxa"/>
            <w:vAlign w:val="center"/>
          </w:tcPr>
          <w:p w14:paraId="56D552CA" w14:textId="77777777" w:rsidR="008414AB" w:rsidRDefault="008414AB" w:rsidP="00F53931">
            <w:pPr>
              <w:pStyle w:val="TableText1"/>
              <w:jc w:val="center"/>
            </w:pPr>
            <w:r>
              <w:t>4,706 of 12,668 genotyped (37.1%)</w:t>
            </w:r>
          </w:p>
        </w:tc>
        <w:tc>
          <w:tcPr>
            <w:tcW w:w="2546" w:type="dxa"/>
            <w:vAlign w:val="center"/>
          </w:tcPr>
          <w:p w14:paraId="50D5E45A" w14:textId="77777777" w:rsidR="008414AB" w:rsidRDefault="008414AB" w:rsidP="00F53931">
            <w:pPr>
              <w:pStyle w:val="TableText1"/>
              <w:jc w:val="center"/>
            </w:pPr>
            <w:r>
              <w:t>-</w:t>
            </w:r>
          </w:p>
        </w:tc>
      </w:tr>
      <w:tr w:rsidR="008414AB" w14:paraId="7B814DF7" w14:textId="77777777" w:rsidTr="0010418B">
        <w:tc>
          <w:tcPr>
            <w:tcW w:w="1446" w:type="dxa"/>
            <w:vAlign w:val="center"/>
          </w:tcPr>
          <w:p w14:paraId="599DDCBC" w14:textId="77777777" w:rsidR="008414AB" w:rsidRPr="006B086D" w:rsidRDefault="008414AB" w:rsidP="00F53931">
            <w:pPr>
              <w:pStyle w:val="TableText1"/>
            </w:pPr>
            <w:r w:rsidRPr="006B086D">
              <w:t xml:space="preserve">Soothill </w:t>
            </w:r>
            <w:r w:rsidRPr="006B086D">
              <w:rPr>
                <w:i/>
              </w:rPr>
              <w:t>et al.</w:t>
            </w:r>
            <w:r w:rsidRPr="006B086D">
              <w:t>, 2015</w:t>
            </w:r>
            <w:r w:rsidRPr="006B086D">
              <w:rPr>
                <w:rStyle w:val="FootnoteReference"/>
              </w:rPr>
              <w:footnoteReference w:id="11"/>
            </w:r>
          </w:p>
        </w:tc>
        <w:tc>
          <w:tcPr>
            <w:tcW w:w="2545" w:type="dxa"/>
            <w:vAlign w:val="center"/>
          </w:tcPr>
          <w:p w14:paraId="1829F489" w14:textId="01062DE8" w:rsidR="008414AB" w:rsidRDefault="008414AB" w:rsidP="00F53931">
            <w:pPr>
              <w:pStyle w:val="TableText1"/>
              <w:jc w:val="center"/>
            </w:pPr>
            <w:r>
              <w:t xml:space="preserve">Study: 185 of 185 </w:t>
            </w:r>
            <w:r>
              <w:rPr>
                <w:i/>
              </w:rPr>
              <w:t>RHD</w:t>
            </w:r>
            <w:r w:rsidR="00773FF9">
              <w:t>-</w:t>
            </w:r>
            <w:r>
              <w:t>negative (100%)</w:t>
            </w:r>
          </w:p>
          <w:p w14:paraId="1C96F640" w14:textId="651BC418" w:rsidR="008414AB" w:rsidRDefault="008414AB" w:rsidP="00F53931">
            <w:pPr>
              <w:pStyle w:val="TableText1"/>
              <w:jc w:val="center"/>
            </w:pPr>
            <w:r>
              <w:t xml:space="preserve">Audit: 17 of 18 </w:t>
            </w:r>
            <w:r>
              <w:rPr>
                <w:i/>
              </w:rPr>
              <w:t>RHD</w:t>
            </w:r>
            <w:r w:rsidR="00773FF9">
              <w:rPr>
                <w:i/>
              </w:rPr>
              <w:t>-</w:t>
            </w:r>
            <w:r>
              <w:t>negative (94.4%)</w:t>
            </w:r>
          </w:p>
        </w:tc>
        <w:tc>
          <w:tcPr>
            <w:tcW w:w="2545" w:type="dxa"/>
            <w:vAlign w:val="center"/>
          </w:tcPr>
          <w:p w14:paraId="6671BDDA" w14:textId="77777777" w:rsidR="008414AB" w:rsidRDefault="008414AB" w:rsidP="00F53931">
            <w:pPr>
              <w:pStyle w:val="TableText1"/>
              <w:jc w:val="center"/>
            </w:pPr>
            <w:r>
              <w:t>Study: 185 of 529 genotyped (35.0%)</w:t>
            </w:r>
          </w:p>
          <w:p w14:paraId="348D54C6" w14:textId="77777777" w:rsidR="008414AB" w:rsidRDefault="008414AB" w:rsidP="00F53931">
            <w:pPr>
              <w:pStyle w:val="TableText1"/>
              <w:jc w:val="center"/>
            </w:pPr>
            <w:r>
              <w:t>Audit: 17 of 49 genotyped (34.7%)</w:t>
            </w:r>
          </w:p>
        </w:tc>
        <w:tc>
          <w:tcPr>
            <w:tcW w:w="2546" w:type="dxa"/>
            <w:vAlign w:val="center"/>
          </w:tcPr>
          <w:p w14:paraId="2CF9FE15" w14:textId="4E030B28" w:rsidR="008414AB" w:rsidRDefault="008414AB" w:rsidP="00F53931">
            <w:pPr>
              <w:pStyle w:val="TableText1"/>
              <w:ind w:left="-15"/>
              <w:jc w:val="center"/>
            </w:pPr>
            <w:r>
              <w:t>Poisson regression 6% drop per month (95% CI: 4, 8%) in use of anti-D</w:t>
            </w:r>
            <w:r w:rsidR="00316A76">
              <w:t xml:space="preserve"> Ig</w:t>
            </w:r>
            <w:r>
              <w:t>; P &lt;0.001.</w:t>
            </w:r>
          </w:p>
          <w:p w14:paraId="0D95306B" w14:textId="77777777" w:rsidR="008414AB" w:rsidRDefault="008414AB" w:rsidP="00F53931">
            <w:pPr>
              <w:pStyle w:val="TableText1"/>
              <w:ind w:left="-15"/>
              <w:jc w:val="center"/>
            </w:pPr>
            <w:r w:rsidRPr="00576485">
              <w:rPr>
                <w:u w:val="single"/>
              </w:rPr>
              <w:t>Audit</w:t>
            </w:r>
            <w:r>
              <w:t xml:space="preserve">: </w:t>
            </w:r>
          </w:p>
          <w:p w14:paraId="2F6F229C" w14:textId="753EAA01" w:rsidR="008414AB" w:rsidRPr="009D67B3" w:rsidRDefault="008414AB" w:rsidP="00F53931">
            <w:pPr>
              <w:pStyle w:val="TableText1"/>
              <w:spacing w:after="0"/>
              <w:ind w:left="-17"/>
              <w:jc w:val="center"/>
            </w:pPr>
            <w:r>
              <w:t xml:space="preserve">1 of 18 (5.5%) </w:t>
            </w:r>
            <w:r>
              <w:rPr>
                <w:i/>
              </w:rPr>
              <w:t>RHD</w:t>
            </w:r>
            <w:r w:rsidR="00773FF9">
              <w:rPr>
                <w:i/>
              </w:rPr>
              <w:t>-</w:t>
            </w:r>
            <w:r>
              <w:t>negative received anti-D Ig (reason not provided)</w:t>
            </w:r>
          </w:p>
          <w:p w14:paraId="558F74D1" w14:textId="77777777" w:rsidR="008414AB" w:rsidRDefault="008414AB" w:rsidP="00F53931">
            <w:pPr>
              <w:pStyle w:val="TableText1"/>
              <w:spacing w:before="0"/>
              <w:ind w:left="-17"/>
              <w:jc w:val="center"/>
            </w:pPr>
            <w:r>
              <w:t>5 of 49 (10%) inconclusive results received anti-D Ig</w:t>
            </w:r>
          </w:p>
        </w:tc>
      </w:tr>
      <w:tr w:rsidR="008414AB" w14:paraId="62E1181B" w14:textId="77777777" w:rsidTr="0010418B">
        <w:tc>
          <w:tcPr>
            <w:tcW w:w="1446" w:type="dxa"/>
            <w:vAlign w:val="center"/>
          </w:tcPr>
          <w:p w14:paraId="2A98E6FB" w14:textId="77777777" w:rsidR="008414AB" w:rsidRPr="006B086D" w:rsidRDefault="008414AB" w:rsidP="00F53931">
            <w:pPr>
              <w:pStyle w:val="TableText1"/>
            </w:pPr>
            <w:r w:rsidRPr="006B086D">
              <w:t xml:space="preserve">Papasavva </w:t>
            </w:r>
            <w:r w:rsidRPr="006B086D">
              <w:rPr>
                <w:i/>
              </w:rPr>
              <w:t>et al.</w:t>
            </w:r>
            <w:r w:rsidRPr="006B086D">
              <w:t>, 2016</w:t>
            </w:r>
            <w:r w:rsidRPr="006B086D">
              <w:rPr>
                <w:rStyle w:val="FootnoteReference"/>
              </w:rPr>
              <w:footnoteReference w:id="12"/>
            </w:r>
          </w:p>
        </w:tc>
        <w:tc>
          <w:tcPr>
            <w:tcW w:w="2545" w:type="dxa"/>
            <w:vAlign w:val="center"/>
          </w:tcPr>
          <w:p w14:paraId="46E1F48A" w14:textId="000CD324" w:rsidR="008414AB" w:rsidRDefault="008414AB" w:rsidP="00F53931">
            <w:pPr>
              <w:pStyle w:val="TableText1"/>
              <w:jc w:val="center"/>
            </w:pPr>
            <w:r>
              <w:t xml:space="preserve">18 of 18 </w:t>
            </w:r>
            <w:r>
              <w:rPr>
                <w:i/>
              </w:rPr>
              <w:t>RHD</w:t>
            </w:r>
            <w:r w:rsidR="00773FF9">
              <w:rPr>
                <w:i/>
              </w:rPr>
              <w:t>-</w:t>
            </w:r>
            <w:r>
              <w:t>negative (100%)</w:t>
            </w:r>
          </w:p>
        </w:tc>
        <w:tc>
          <w:tcPr>
            <w:tcW w:w="2545" w:type="dxa"/>
            <w:vAlign w:val="center"/>
          </w:tcPr>
          <w:p w14:paraId="656F254D" w14:textId="77777777" w:rsidR="008414AB" w:rsidRDefault="008414AB" w:rsidP="00F53931">
            <w:pPr>
              <w:pStyle w:val="TableText1"/>
              <w:jc w:val="center"/>
            </w:pPr>
            <w:r>
              <w:t>18 of 71 genotyped (25.3%)</w:t>
            </w:r>
          </w:p>
        </w:tc>
        <w:tc>
          <w:tcPr>
            <w:tcW w:w="2546" w:type="dxa"/>
            <w:vAlign w:val="center"/>
          </w:tcPr>
          <w:p w14:paraId="73F6ECA3" w14:textId="77777777" w:rsidR="008414AB" w:rsidRDefault="008414AB" w:rsidP="00F53931">
            <w:pPr>
              <w:pStyle w:val="TableText1"/>
              <w:jc w:val="center"/>
            </w:pPr>
            <w:r>
              <w:t>-</w:t>
            </w:r>
          </w:p>
        </w:tc>
      </w:tr>
      <w:tr w:rsidR="008414AB" w14:paraId="1C3A5576" w14:textId="77777777" w:rsidTr="0010418B">
        <w:tc>
          <w:tcPr>
            <w:tcW w:w="1446" w:type="dxa"/>
            <w:vAlign w:val="center"/>
          </w:tcPr>
          <w:p w14:paraId="7066BD6A" w14:textId="77777777" w:rsidR="008414AB" w:rsidRPr="006B086D" w:rsidRDefault="008414AB" w:rsidP="00F53931">
            <w:pPr>
              <w:pStyle w:val="TableText1"/>
            </w:pPr>
            <w:r w:rsidRPr="006B086D">
              <w:t xml:space="preserve">Haimila </w:t>
            </w:r>
            <w:r w:rsidRPr="006B086D">
              <w:rPr>
                <w:i/>
              </w:rPr>
              <w:t>et al.</w:t>
            </w:r>
            <w:r w:rsidRPr="006B086D">
              <w:t>, 2017</w:t>
            </w:r>
            <w:r w:rsidRPr="006B086D">
              <w:rPr>
                <w:rStyle w:val="FootnoteReference"/>
              </w:rPr>
              <w:footnoteReference w:id="13"/>
            </w:r>
          </w:p>
        </w:tc>
        <w:tc>
          <w:tcPr>
            <w:tcW w:w="2545" w:type="dxa"/>
            <w:vAlign w:val="center"/>
          </w:tcPr>
          <w:p w14:paraId="307D8425" w14:textId="070CB96A" w:rsidR="008414AB" w:rsidRDefault="008414AB" w:rsidP="00F53931">
            <w:pPr>
              <w:pStyle w:val="TableText1"/>
              <w:jc w:val="center"/>
            </w:pPr>
            <w:r>
              <w:t xml:space="preserve">3,626 of 3,641 </w:t>
            </w:r>
            <w:r>
              <w:rPr>
                <w:i/>
              </w:rPr>
              <w:t>RHD</w:t>
            </w:r>
            <w:r w:rsidR="00773FF9">
              <w:rPr>
                <w:i/>
              </w:rPr>
              <w:t>-</w:t>
            </w:r>
            <w:r>
              <w:t>negative (99.6%)</w:t>
            </w:r>
          </w:p>
        </w:tc>
        <w:tc>
          <w:tcPr>
            <w:tcW w:w="2545" w:type="dxa"/>
            <w:vAlign w:val="center"/>
          </w:tcPr>
          <w:p w14:paraId="5A434400" w14:textId="77777777" w:rsidR="008414AB" w:rsidRDefault="008414AB" w:rsidP="00F53931">
            <w:pPr>
              <w:pStyle w:val="TableText1"/>
              <w:jc w:val="center"/>
            </w:pPr>
            <w:r>
              <w:t>3,626 of 10,814 genotyped (33.7%)</w:t>
            </w:r>
          </w:p>
        </w:tc>
        <w:tc>
          <w:tcPr>
            <w:tcW w:w="2546" w:type="dxa"/>
            <w:vAlign w:val="center"/>
          </w:tcPr>
          <w:p w14:paraId="6194958E" w14:textId="77777777" w:rsidR="008414AB" w:rsidRDefault="008414AB" w:rsidP="00F53931">
            <w:pPr>
              <w:pStyle w:val="TableText1"/>
              <w:jc w:val="center"/>
            </w:pPr>
            <w:r>
              <w:t>39 of 10,814 genotyped (0.4%) received anti-D Ig primarily due to inconclusive results</w:t>
            </w:r>
          </w:p>
        </w:tc>
      </w:tr>
      <w:tr w:rsidR="008414AB" w14:paraId="01CBC68C" w14:textId="77777777" w:rsidTr="0010418B">
        <w:tc>
          <w:tcPr>
            <w:tcW w:w="1446" w:type="dxa"/>
            <w:vAlign w:val="center"/>
          </w:tcPr>
          <w:p w14:paraId="04ED406D" w14:textId="77777777" w:rsidR="008414AB" w:rsidRPr="006B086D" w:rsidRDefault="008414AB" w:rsidP="00F53931">
            <w:pPr>
              <w:pStyle w:val="TableText1"/>
            </w:pPr>
            <w:r w:rsidRPr="006B086D">
              <w:t>Darlington</w:t>
            </w:r>
            <w:r w:rsidRPr="006B086D">
              <w:rPr>
                <w:i/>
              </w:rPr>
              <w:t xml:space="preserve"> et al.</w:t>
            </w:r>
            <w:r w:rsidRPr="006B086D">
              <w:t>,  2018</w:t>
            </w:r>
            <w:r w:rsidRPr="006B086D">
              <w:rPr>
                <w:rStyle w:val="FootnoteReference"/>
              </w:rPr>
              <w:footnoteReference w:id="14"/>
            </w:r>
          </w:p>
        </w:tc>
        <w:tc>
          <w:tcPr>
            <w:tcW w:w="2545" w:type="dxa"/>
            <w:vAlign w:val="center"/>
          </w:tcPr>
          <w:p w14:paraId="1CCD3DB0" w14:textId="0E31C6DE" w:rsidR="008414AB" w:rsidRDefault="008414AB" w:rsidP="00F53931">
            <w:pPr>
              <w:pStyle w:val="TableText1"/>
              <w:jc w:val="center"/>
            </w:pPr>
            <w:r>
              <w:t xml:space="preserve">Using a second genotyping test to control an </w:t>
            </w:r>
            <w:r w:rsidRPr="0083720F">
              <w:rPr>
                <w:i/>
              </w:rPr>
              <w:t>RHD</w:t>
            </w:r>
            <w:r w:rsidR="00773FF9">
              <w:t>-</w:t>
            </w:r>
            <w:r>
              <w:t>negative result</w:t>
            </w:r>
          </w:p>
          <w:p w14:paraId="08C4433C" w14:textId="26A6EBFD" w:rsidR="008414AB" w:rsidRDefault="008414AB" w:rsidP="00F53931">
            <w:pPr>
              <w:pStyle w:val="TableText1"/>
              <w:jc w:val="center"/>
            </w:pPr>
            <w:r>
              <w:t xml:space="preserve">Genotyping: 126 of 136 of </w:t>
            </w:r>
            <w:r w:rsidRPr="009C1EAC">
              <w:rPr>
                <w:i/>
              </w:rPr>
              <w:t>RHD</w:t>
            </w:r>
            <w:r w:rsidR="00773FF9">
              <w:t>-</w:t>
            </w:r>
            <w:r>
              <w:t xml:space="preserve">negative (93%) </w:t>
            </w:r>
          </w:p>
          <w:p w14:paraId="6C541469" w14:textId="77777777" w:rsidR="008414AB" w:rsidRDefault="008414AB" w:rsidP="00F53931">
            <w:pPr>
              <w:pStyle w:val="TableText1"/>
              <w:jc w:val="center"/>
            </w:pPr>
            <w:r>
              <w:t>Control: NR (27%)</w:t>
            </w:r>
          </w:p>
        </w:tc>
        <w:tc>
          <w:tcPr>
            <w:tcW w:w="2545" w:type="dxa"/>
            <w:vAlign w:val="center"/>
          </w:tcPr>
          <w:p w14:paraId="709FE226" w14:textId="77777777" w:rsidR="008414AB" w:rsidRDefault="008414AB" w:rsidP="00F53931">
            <w:pPr>
              <w:pStyle w:val="TableText1"/>
              <w:jc w:val="center"/>
            </w:pPr>
            <w:r>
              <w:t>Genotyping 126 of 515 genotyped (24.5%)</w:t>
            </w:r>
          </w:p>
        </w:tc>
        <w:tc>
          <w:tcPr>
            <w:tcW w:w="2546" w:type="dxa"/>
            <w:vAlign w:val="center"/>
          </w:tcPr>
          <w:p w14:paraId="40B3BC1F" w14:textId="77777777" w:rsidR="008414AB" w:rsidRDefault="008414AB" w:rsidP="00F53931">
            <w:pPr>
              <w:pStyle w:val="TableText1"/>
              <w:jc w:val="center"/>
            </w:pPr>
            <w:r w:rsidRPr="009C1EAC">
              <w:rPr>
                <w:u w:val="single"/>
              </w:rPr>
              <w:t>Treated appropriately</w:t>
            </w:r>
            <w:r>
              <w:t xml:space="preserve">: </w:t>
            </w:r>
          </w:p>
          <w:p w14:paraId="4A44D5E4" w14:textId="77777777" w:rsidR="008414AB" w:rsidRDefault="008414AB" w:rsidP="00F53931">
            <w:pPr>
              <w:pStyle w:val="TableText1"/>
              <w:jc w:val="center"/>
            </w:pPr>
            <w:r>
              <w:t>One test: 85% genotyped versus 62% control (P &lt;0.0001)</w:t>
            </w:r>
          </w:p>
          <w:p w14:paraId="4DCE637E" w14:textId="77777777" w:rsidR="008414AB" w:rsidRDefault="008414AB" w:rsidP="00F53931">
            <w:pPr>
              <w:pStyle w:val="TableText1"/>
              <w:jc w:val="center"/>
            </w:pPr>
            <w:r>
              <w:t xml:space="preserve">Two tests: 88% genotyped versus 63% control </w:t>
            </w:r>
          </w:p>
        </w:tc>
      </w:tr>
    </w:tbl>
    <w:p w14:paraId="018CA04F" w14:textId="77777777" w:rsidR="008414AB" w:rsidRDefault="008414AB" w:rsidP="00E06381">
      <w:pPr>
        <w:pStyle w:val="Tablenotes1"/>
      </w:pPr>
      <w:r>
        <w:t>DCAR’s sources: Figure 1, p147 of Damkjaer 2012; p175 of Grande 2013; p3 of Tiblad 2013; p1002 of Clausen 2014; pp1684-1685 of Soothill 2015; p4 of Papasavva 2016; p1231 of Haimila 2017; p4, Table 2, p5 and p6 of Darlington 2018.</w:t>
      </w:r>
    </w:p>
    <w:p w14:paraId="0AEEBA11" w14:textId="77777777" w:rsidR="008414AB" w:rsidRDefault="008414AB" w:rsidP="00E06381">
      <w:pPr>
        <w:pStyle w:val="Tablenotes1"/>
      </w:pPr>
      <w:r>
        <w:t>Source: DCAR, Table 4</w:t>
      </w:r>
    </w:p>
    <w:p w14:paraId="4D3052D6" w14:textId="60451F67" w:rsidR="008414AB" w:rsidRDefault="008414AB" w:rsidP="008414AB">
      <w:r>
        <w:t xml:space="preserve">The DCAR stated that there are harms associated with false negative results: withholding prophylactic antenatal anti-D Ig treatment in those patients whose fetus is determined to be </w:t>
      </w:r>
      <w:r w:rsidRPr="00CA579A">
        <w:rPr>
          <w:i/>
        </w:rPr>
        <w:t>RHD</w:t>
      </w:r>
      <w:r>
        <w:t xml:space="preserve">-negative when they are in fact </w:t>
      </w:r>
      <w:r w:rsidRPr="00CA579A">
        <w:rPr>
          <w:i/>
        </w:rPr>
        <w:t>RHD</w:t>
      </w:r>
      <w:r>
        <w:t xml:space="preserve">-positive, leading to a small increase in the risk of alloimmunisation (and the possibility of HDFN in each subsequent pregnancy carrying an </w:t>
      </w:r>
      <w:r>
        <w:lastRenderedPageBreak/>
        <w:t xml:space="preserve">RhD-positive fetus). One cost-effectiveness study (cited below in the Economic evaluation) estimated there would be </w:t>
      </w:r>
      <w:r w:rsidRPr="00142806">
        <w:t>three extra sensitisations per 100,000 women</w:t>
      </w:r>
      <w:r>
        <w:t xml:space="preserve"> tested</w:t>
      </w:r>
      <w:r>
        <w:rPr>
          <w:rStyle w:val="FootnoteReference"/>
        </w:rPr>
        <w:footnoteReference w:id="15"/>
      </w:r>
      <w:r w:rsidR="002C6CD4">
        <w:t>.</w:t>
      </w:r>
    </w:p>
    <w:p w14:paraId="18F30453" w14:textId="061559A6" w:rsidR="008414AB" w:rsidRDefault="008414AB" w:rsidP="002C6CD4">
      <w:pPr>
        <w:spacing w:before="240"/>
      </w:pPr>
      <w:r>
        <w:t>The DCAR stated that there are also harms associated with false positive results, arising from the unnecessary administration of anti-D Ig. However, in the pre-ESC response the applicant commented that</w:t>
      </w:r>
      <w:r w:rsidRPr="00D96C1A">
        <w:t xml:space="preserve"> </w:t>
      </w:r>
      <w:r>
        <w:t xml:space="preserve">universal </w:t>
      </w:r>
      <w:r w:rsidRPr="00D96C1A">
        <w:t xml:space="preserve">antenatal administration of anti-D </w:t>
      </w:r>
      <w:r>
        <w:t>Ig</w:t>
      </w:r>
      <w:r w:rsidRPr="00D96C1A">
        <w:t xml:space="preserve"> is the comparator. The NIPT result </w:t>
      </w:r>
      <w:r>
        <w:t>enables the selective removal of</w:t>
      </w:r>
      <w:r w:rsidRPr="00D96C1A">
        <w:t xml:space="preserve"> unnecessary anti-D</w:t>
      </w:r>
      <w:r w:rsidR="00967327">
        <w:t xml:space="preserve"> Ig</w:t>
      </w:r>
      <w:r w:rsidRPr="00D96C1A">
        <w:t xml:space="preserve"> administration </w:t>
      </w:r>
      <w:r>
        <w:t>in the</w:t>
      </w:r>
      <w:r w:rsidRPr="00D96C1A">
        <w:t xml:space="preserve"> approximately 37% of </w:t>
      </w:r>
      <w:r>
        <w:t>RhD-</w:t>
      </w:r>
      <w:r w:rsidRPr="00D96C1A">
        <w:t xml:space="preserve">negative women who are carrying an </w:t>
      </w:r>
      <w:r>
        <w:t>RhD-</w:t>
      </w:r>
      <w:r w:rsidRPr="00D96C1A">
        <w:t>negative fetus.</w:t>
      </w:r>
    </w:p>
    <w:p w14:paraId="3DF99382" w14:textId="77777777" w:rsidR="008414AB" w:rsidRDefault="008414AB" w:rsidP="002C6CD4">
      <w:pPr>
        <w:pStyle w:val="Heading2"/>
        <w:spacing w:before="240" w:after="120"/>
        <w:rPr>
          <w:lang w:eastAsia="en-US"/>
        </w:rPr>
      </w:pPr>
      <w:r>
        <w:rPr>
          <w:lang w:eastAsia="en-US"/>
        </w:rPr>
        <w:t>Translation issues</w:t>
      </w:r>
    </w:p>
    <w:p w14:paraId="58BCB74C" w14:textId="3C26E395" w:rsidR="008414AB" w:rsidRPr="008414AB" w:rsidRDefault="008414AB" w:rsidP="008414AB">
      <w:r>
        <w:t xml:space="preserve">The DCAR stated that resource utilisation remains </w:t>
      </w:r>
      <w:r w:rsidRPr="00D63CD6">
        <w:t xml:space="preserve">associated with a degree of uncertainty. Unit costs used in the modelled economic evaluation were obtained from Australian sources. However, in the alloimmunised population model, liberties were exercised in assembling specific MBS item costs to approximate the resources used in some of the procedures associated with monitoring and treatment of fetuses at risk of HDFN. </w:t>
      </w:r>
      <w:r>
        <w:t>T</w:t>
      </w:r>
      <w:r w:rsidRPr="00D63CD6">
        <w:t>he monetary value of the procedure was cross-validated with corresponding costs reported in the published literature</w:t>
      </w:r>
      <w:r>
        <w:t xml:space="preserve"> whenever possible, ensuring</w:t>
      </w:r>
      <w:r w:rsidRPr="00D63CD6">
        <w:t xml:space="preserve"> that the unit cost estimates were at least of the same order of magnitude as reported in the international literature. This approach guaranteed a more nuanced representation of the current clinical pathway. It also limited costing based on the crude estimates of health care resources captured by the AR-DRG cost weights, although these could not be completely avoided.</w:t>
      </w:r>
    </w:p>
    <w:p w14:paraId="5AD0BE97" w14:textId="77777777" w:rsidR="00BC1364" w:rsidRPr="00F715D1" w:rsidRDefault="00BC1364" w:rsidP="00F715D1">
      <w:pPr>
        <w:pStyle w:val="Heading1"/>
      </w:pPr>
      <w:r w:rsidRPr="00F715D1">
        <w:t>Economic evaluation</w:t>
      </w:r>
    </w:p>
    <w:p w14:paraId="6B3D3133" w14:textId="195C3F6B" w:rsidR="00F53931" w:rsidRPr="00451310" w:rsidRDefault="00F53931" w:rsidP="00F53931">
      <w:r>
        <w:t>C</w:t>
      </w:r>
      <w:r w:rsidRPr="0051011A">
        <w:t>ost-effectiveness</w:t>
      </w:r>
      <w:r>
        <w:t xml:space="preserve"> analyses were</w:t>
      </w:r>
      <w:r w:rsidRPr="0051011A">
        <w:t xml:space="preserve"> presented comparing NIPT</w:t>
      </w:r>
      <w:r>
        <w:t xml:space="preserve">-guided anti-D Ig administration </w:t>
      </w:r>
      <w:r w:rsidRPr="0051011A">
        <w:t xml:space="preserve">with universal </w:t>
      </w:r>
      <w:r>
        <w:t>anti-D</w:t>
      </w:r>
      <w:r w:rsidRPr="0051011A">
        <w:t xml:space="preserve"> </w:t>
      </w:r>
      <w:r>
        <w:t>Ig</w:t>
      </w:r>
      <w:r w:rsidRPr="0051011A">
        <w:t xml:space="preserve"> prophylaxis</w:t>
      </w:r>
      <w:r>
        <w:t xml:space="preserve">, in non-alloimmunised and alloimmunised populations and in a population-based model </w:t>
      </w:r>
      <w:r w:rsidRPr="0051011A">
        <w:t>(</w:t>
      </w:r>
      <w:r w:rsidR="00B97A0C">
        <w:fldChar w:fldCharType="begin"/>
      </w:r>
      <w:r w:rsidR="00B97A0C">
        <w:instrText xml:space="preserve"> REF _Ref162029301 \h </w:instrText>
      </w:r>
      <w:r w:rsidR="00B97A0C">
        <w:fldChar w:fldCharType="separate"/>
      </w:r>
      <w:r w:rsidR="00C751E2" w:rsidRPr="00315CA0">
        <w:t xml:space="preserve">Table </w:t>
      </w:r>
      <w:r w:rsidR="00C751E2">
        <w:rPr>
          <w:noProof/>
        </w:rPr>
        <w:t>8</w:t>
      </w:r>
      <w:r w:rsidR="00B97A0C">
        <w:fldChar w:fldCharType="end"/>
      </w:r>
      <w:r w:rsidRPr="0051011A">
        <w:t>)</w:t>
      </w:r>
      <w:r>
        <w:t>.</w:t>
      </w:r>
      <w:r w:rsidRPr="001726E5">
        <w:t xml:space="preserve"> The population-based model combined costs and the estimated incidence of alloimmunisation after the index pregnancy (the outcomes of the first model) with costs and the expected proportions of deaths and severe HDFN cases (the outcome of the second model) and applied these estimates to the coh</w:t>
      </w:r>
      <w:r w:rsidR="002C6CD4">
        <w:t>ort of primiparous individuals.</w:t>
      </w:r>
    </w:p>
    <w:p w14:paraId="2F322667" w14:textId="2A7E48BB" w:rsidR="00EE2D22" w:rsidRDefault="00F53931" w:rsidP="00D135F2">
      <w:pPr>
        <w:pStyle w:val="TableHeading"/>
      </w:pPr>
      <w:bookmarkStart w:id="13" w:name="_Toc49819161"/>
      <w:r w:rsidRPr="00053FE0">
        <w:lastRenderedPageBreak/>
        <w:t xml:space="preserve"> </w:t>
      </w:r>
      <w:bookmarkStart w:id="14" w:name="_Ref162029301"/>
      <w:bookmarkEnd w:id="13"/>
      <w:r w:rsidR="00EE2D22" w:rsidRPr="00315CA0">
        <w:t xml:space="preserve">Table </w:t>
      </w:r>
      <w:r w:rsidR="00EE2D22" w:rsidRPr="00315CA0">
        <w:rPr>
          <w:b w:val="0"/>
        </w:rPr>
        <w:fldChar w:fldCharType="begin"/>
      </w:r>
      <w:r w:rsidR="00EE2D22" w:rsidRPr="00315CA0">
        <w:instrText xml:space="preserve"> SEQ Table \* ARABIC </w:instrText>
      </w:r>
      <w:r w:rsidR="00EE2D22" w:rsidRPr="00315CA0">
        <w:rPr>
          <w:b w:val="0"/>
        </w:rPr>
        <w:fldChar w:fldCharType="separate"/>
      </w:r>
      <w:r w:rsidR="00C751E2">
        <w:t>8</w:t>
      </w:r>
      <w:r w:rsidR="00EE2D22" w:rsidRPr="00315CA0">
        <w:rPr>
          <w:b w:val="0"/>
        </w:rPr>
        <w:fldChar w:fldCharType="end"/>
      </w:r>
      <w:bookmarkEnd w:id="14"/>
      <w:r w:rsidR="00C24191" w:rsidRPr="00315CA0">
        <w:t>: Summary of the economic evaluation</w:t>
      </w:r>
      <w:r w:rsidR="00C24191" w:rsidRPr="00053FE0">
        <w:t xml:space="preserve"> </w:t>
      </w:r>
    </w:p>
    <w:tbl>
      <w:tblPr>
        <w:tblStyle w:val="TableGrid1"/>
        <w:tblW w:w="9356" w:type="dxa"/>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1737"/>
        <w:gridCol w:w="2582"/>
        <w:gridCol w:w="2457"/>
        <w:gridCol w:w="2580"/>
      </w:tblGrid>
      <w:tr w:rsidR="00F53931" w:rsidRPr="00183E4D" w14:paraId="6B7DCA8F" w14:textId="77777777" w:rsidTr="00EE2D22">
        <w:trPr>
          <w:trHeight w:val="20"/>
          <w:tblHeader/>
        </w:trPr>
        <w:tc>
          <w:tcPr>
            <w:tcW w:w="1737" w:type="dxa"/>
          </w:tcPr>
          <w:p w14:paraId="6E5625FD" w14:textId="77777777" w:rsidR="00F53931" w:rsidRPr="00183E4D" w:rsidRDefault="00F53931" w:rsidP="00053FE0">
            <w:pPr>
              <w:pStyle w:val="Tabletext0"/>
              <w:keepNext/>
              <w:keepLines/>
              <w:spacing w:before="0" w:after="0"/>
              <w:rPr>
                <w:b/>
              </w:rPr>
            </w:pPr>
          </w:p>
        </w:tc>
        <w:tc>
          <w:tcPr>
            <w:tcW w:w="2582" w:type="dxa"/>
          </w:tcPr>
          <w:p w14:paraId="79FC5989" w14:textId="77777777" w:rsidR="00F53931" w:rsidRPr="00822942" w:rsidRDefault="00F53931" w:rsidP="00053FE0">
            <w:pPr>
              <w:pStyle w:val="Tabletext0"/>
              <w:keepNext/>
              <w:keepLines/>
              <w:spacing w:before="0" w:after="0"/>
              <w:jc w:val="center"/>
              <w:rPr>
                <w:b/>
                <w:vanish/>
              </w:rPr>
            </w:pPr>
            <w:r w:rsidRPr="00822942">
              <w:rPr>
                <w:b/>
              </w:rPr>
              <w:t>Non</w:t>
            </w:r>
            <w:r>
              <w:rPr>
                <w:b/>
              </w:rPr>
              <w:t>-</w:t>
            </w:r>
            <w:r w:rsidRPr="00822942">
              <w:rPr>
                <w:b/>
              </w:rPr>
              <w:t>alloimmunised population</w:t>
            </w:r>
          </w:p>
        </w:tc>
        <w:tc>
          <w:tcPr>
            <w:tcW w:w="2457" w:type="dxa"/>
          </w:tcPr>
          <w:p w14:paraId="6103DC12" w14:textId="77777777" w:rsidR="00F53931" w:rsidRPr="00822942" w:rsidRDefault="00F53931" w:rsidP="00053FE0">
            <w:pPr>
              <w:pStyle w:val="Tabletext0"/>
              <w:keepNext/>
              <w:keepLines/>
              <w:spacing w:before="0" w:after="0"/>
              <w:jc w:val="center"/>
              <w:rPr>
                <w:b/>
                <w:vanish/>
              </w:rPr>
            </w:pPr>
            <w:r w:rsidRPr="00822942">
              <w:rPr>
                <w:b/>
              </w:rPr>
              <w:t>Alloimmunised population</w:t>
            </w:r>
          </w:p>
        </w:tc>
        <w:tc>
          <w:tcPr>
            <w:tcW w:w="2580" w:type="dxa"/>
          </w:tcPr>
          <w:p w14:paraId="6C1E8FC1" w14:textId="77777777" w:rsidR="00F53931" w:rsidRPr="00822942" w:rsidRDefault="00F53931" w:rsidP="00053FE0">
            <w:pPr>
              <w:pStyle w:val="Tabletext0"/>
              <w:keepNext/>
              <w:keepLines/>
              <w:spacing w:before="0" w:after="0"/>
              <w:jc w:val="center"/>
              <w:rPr>
                <w:b/>
              </w:rPr>
            </w:pPr>
            <w:r>
              <w:rPr>
                <w:b/>
              </w:rPr>
              <w:t>Population-based model</w:t>
            </w:r>
          </w:p>
        </w:tc>
      </w:tr>
      <w:tr w:rsidR="00F53931" w:rsidRPr="00183E4D" w14:paraId="64D8C8EC" w14:textId="77777777" w:rsidTr="00EE2D22">
        <w:trPr>
          <w:trHeight w:val="20"/>
        </w:trPr>
        <w:tc>
          <w:tcPr>
            <w:tcW w:w="1737" w:type="dxa"/>
          </w:tcPr>
          <w:p w14:paraId="53D0BC12" w14:textId="77777777" w:rsidR="00F53931" w:rsidRPr="00183E4D" w:rsidRDefault="00F53931" w:rsidP="00053FE0">
            <w:pPr>
              <w:pStyle w:val="Tabletext0"/>
              <w:keepNext/>
              <w:keepLines/>
              <w:spacing w:before="0" w:after="0"/>
              <w:rPr>
                <w:b/>
              </w:rPr>
            </w:pPr>
            <w:r w:rsidRPr="00183E4D">
              <w:rPr>
                <w:b/>
              </w:rPr>
              <w:t>Perspective</w:t>
            </w:r>
          </w:p>
        </w:tc>
        <w:tc>
          <w:tcPr>
            <w:tcW w:w="2582" w:type="dxa"/>
          </w:tcPr>
          <w:p w14:paraId="09CBDC94" w14:textId="77777777" w:rsidR="00F53931" w:rsidRPr="00183E4D" w:rsidRDefault="00F53931" w:rsidP="00053FE0">
            <w:pPr>
              <w:pStyle w:val="Tabletext0"/>
              <w:keepNext/>
              <w:keepLines/>
              <w:spacing w:before="0" w:after="0"/>
              <w:rPr>
                <w:vanish/>
                <w:color w:val="C00000"/>
              </w:rPr>
            </w:pPr>
            <w:r w:rsidRPr="00D61F4F">
              <w:t>Australian Health Care System</w:t>
            </w:r>
          </w:p>
        </w:tc>
        <w:tc>
          <w:tcPr>
            <w:tcW w:w="2457" w:type="dxa"/>
          </w:tcPr>
          <w:p w14:paraId="6CD9CBAA" w14:textId="77777777" w:rsidR="00F53931" w:rsidRPr="00183E4D" w:rsidRDefault="00F53931" w:rsidP="00053FE0">
            <w:pPr>
              <w:pStyle w:val="Tabletext0"/>
              <w:keepNext/>
              <w:keepLines/>
              <w:spacing w:before="0" w:after="0"/>
              <w:rPr>
                <w:vanish/>
                <w:color w:val="C00000"/>
              </w:rPr>
            </w:pPr>
            <w:r w:rsidRPr="00D61F4F">
              <w:t>Australian Health Care System</w:t>
            </w:r>
          </w:p>
        </w:tc>
        <w:tc>
          <w:tcPr>
            <w:tcW w:w="2580" w:type="dxa"/>
          </w:tcPr>
          <w:p w14:paraId="7A6737E8" w14:textId="77777777" w:rsidR="00F53931" w:rsidRPr="00D61F4F" w:rsidRDefault="00F53931" w:rsidP="00053FE0">
            <w:pPr>
              <w:pStyle w:val="Tabletext0"/>
              <w:keepNext/>
              <w:keepLines/>
              <w:spacing w:before="0" w:after="0"/>
            </w:pPr>
            <w:r w:rsidRPr="00D61F4F">
              <w:t>Australian Health Care System</w:t>
            </w:r>
          </w:p>
        </w:tc>
      </w:tr>
      <w:tr w:rsidR="00F53931" w:rsidRPr="00183E4D" w14:paraId="31E21062" w14:textId="77777777" w:rsidTr="00EE2D22">
        <w:trPr>
          <w:trHeight w:val="20"/>
        </w:trPr>
        <w:tc>
          <w:tcPr>
            <w:tcW w:w="1737" w:type="dxa"/>
          </w:tcPr>
          <w:p w14:paraId="6BA0F97F" w14:textId="77777777" w:rsidR="00F53931" w:rsidRPr="00183E4D" w:rsidRDefault="00F53931" w:rsidP="00053FE0">
            <w:pPr>
              <w:pStyle w:val="Tabletext0"/>
              <w:keepNext/>
              <w:keepLines/>
              <w:spacing w:before="0" w:after="0"/>
              <w:rPr>
                <w:b/>
              </w:rPr>
            </w:pPr>
            <w:r w:rsidRPr="00183E4D">
              <w:rPr>
                <w:b/>
              </w:rPr>
              <w:t>Comparator</w:t>
            </w:r>
          </w:p>
        </w:tc>
        <w:tc>
          <w:tcPr>
            <w:tcW w:w="2582" w:type="dxa"/>
          </w:tcPr>
          <w:p w14:paraId="19906F55" w14:textId="77777777" w:rsidR="00F53931" w:rsidRPr="00183E4D" w:rsidRDefault="00F53931" w:rsidP="00053FE0">
            <w:pPr>
              <w:pStyle w:val="Tabletext0"/>
              <w:keepNext/>
              <w:keepLines/>
              <w:spacing w:before="0" w:after="0"/>
              <w:rPr>
                <w:vanish/>
                <w:color w:val="C00000"/>
              </w:rPr>
            </w:pPr>
            <w:r>
              <w:t>Universal anti-D Ig prophylaxis offered to all pregnant persons not known to be alloimmunised</w:t>
            </w:r>
          </w:p>
        </w:tc>
        <w:tc>
          <w:tcPr>
            <w:tcW w:w="2457" w:type="dxa"/>
          </w:tcPr>
          <w:p w14:paraId="550BBC76" w14:textId="77777777" w:rsidR="00F53931" w:rsidRPr="00183E4D" w:rsidRDefault="00F53931" w:rsidP="00053FE0">
            <w:pPr>
              <w:pStyle w:val="Tabletext0"/>
              <w:keepNext/>
              <w:keepLines/>
              <w:spacing w:before="0" w:after="0"/>
              <w:rPr>
                <w:vanish/>
                <w:color w:val="C00000"/>
              </w:rPr>
            </w:pPr>
            <w:r>
              <w:t xml:space="preserve">Universal intensive monitoring offered to all alloimmunised pregnant patients </w:t>
            </w:r>
          </w:p>
        </w:tc>
        <w:tc>
          <w:tcPr>
            <w:tcW w:w="2580" w:type="dxa"/>
          </w:tcPr>
          <w:p w14:paraId="3E49D7A1" w14:textId="77777777" w:rsidR="00F53931" w:rsidRDefault="00F53931" w:rsidP="00053FE0">
            <w:pPr>
              <w:pStyle w:val="Tabletext0"/>
              <w:keepNext/>
              <w:keepLines/>
              <w:spacing w:before="0" w:after="0"/>
            </w:pPr>
            <w:r>
              <w:t>Universal anti-D Ig prophylaxis offered to all pregnant patients not known to be alloimmunised</w:t>
            </w:r>
          </w:p>
        </w:tc>
      </w:tr>
      <w:tr w:rsidR="00F53931" w:rsidRPr="00183E4D" w14:paraId="3C0E23F2" w14:textId="77777777" w:rsidTr="00EE2D22">
        <w:trPr>
          <w:trHeight w:val="20"/>
        </w:trPr>
        <w:tc>
          <w:tcPr>
            <w:tcW w:w="1737" w:type="dxa"/>
          </w:tcPr>
          <w:p w14:paraId="489B51B9" w14:textId="77777777" w:rsidR="00F53931" w:rsidRPr="00183E4D" w:rsidRDefault="00F53931" w:rsidP="00053FE0">
            <w:pPr>
              <w:pStyle w:val="Tabletext0"/>
              <w:keepNext/>
              <w:spacing w:before="0" w:after="0"/>
              <w:rPr>
                <w:b/>
              </w:rPr>
            </w:pPr>
            <w:r w:rsidRPr="00183E4D">
              <w:rPr>
                <w:b/>
              </w:rPr>
              <w:t>Type of economic evaluation</w:t>
            </w:r>
          </w:p>
        </w:tc>
        <w:tc>
          <w:tcPr>
            <w:tcW w:w="2582" w:type="dxa"/>
          </w:tcPr>
          <w:p w14:paraId="099B030C" w14:textId="77777777" w:rsidR="00F53931" w:rsidRPr="005928A7" w:rsidRDefault="00F53931" w:rsidP="00053FE0">
            <w:pPr>
              <w:pStyle w:val="Tabletext0"/>
              <w:keepNext/>
              <w:spacing w:before="0" w:after="0"/>
            </w:pPr>
            <w:r>
              <w:t>Cost-effectiveness analysis comparing anti-D Ig prophylaxis guided by results of the high-throughput NIPT with current practice</w:t>
            </w:r>
          </w:p>
        </w:tc>
        <w:tc>
          <w:tcPr>
            <w:tcW w:w="2457" w:type="dxa"/>
          </w:tcPr>
          <w:p w14:paraId="1AD098DC" w14:textId="77777777" w:rsidR="00F53931" w:rsidRPr="005928A7" w:rsidRDefault="00F53931" w:rsidP="00053FE0">
            <w:pPr>
              <w:pStyle w:val="Tabletext0"/>
              <w:keepNext/>
              <w:spacing w:before="0" w:after="0"/>
            </w:pPr>
            <w:r>
              <w:t>One arm model assessing costs and outcomes of intensive monitoring and treatment of HDFN in alloimmunised pregnancies</w:t>
            </w:r>
          </w:p>
        </w:tc>
        <w:tc>
          <w:tcPr>
            <w:tcW w:w="2580" w:type="dxa"/>
          </w:tcPr>
          <w:p w14:paraId="4F84FDEC" w14:textId="77777777" w:rsidR="00F53931" w:rsidRDefault="00F53931" w:rsidP="00053FE0">
            <w:pPr>
              <w:pStyle w:val="Tabletext0"/>
              <w:keepNext/>
              <w:spacing w:before="0" w:after="0"/>
            </w:pPr>
            <w:r>
              <w:t>Cost-effectiveness analysis comparing anti-D Ig prophylaxis guided by results of the high-throughput NIPT with current practice</w:t>
            </w:r>
          </w:p>
        </w:tc>
      </w:tr>
      <w:tr w:rsidR="00F53931" w:rsidRPr="00183E4D" w14:paraId="0742B3C2" w14:textId="77777777" w:rsidTr="00EE2D22">
        <w:trPr>
          <w:trHeight w:val="20"/>
        </w:trPr>
        <w:tc>
          <w:tcPr>
            <w:tcW w:w="1737" w:type="dxa"/>
          </w:tcPr>
          <w:p w14:paraId="0585D342" w14:textId="77777777" w:rsidR="00F53931" w:rsidRPr="00183E4D" w:rsidRDefault="00F53931" w:rsidP="00053FE0">
            <w:pPr>
              <w:pStyle w:val="Tabletext0"/>
              <w:keepNext/>
              <w:spacing w:before="0" w:after="0"/>
              <w:rPr>
                <w:b/>
              </w:rPr>
            </w:pPr>
            <w:r w:rsidRPr="00183E4D">
              <w:rPr>
                <w:b/>
              </w:rPr>
              <w:t>Sources of evidence</w:t>
            </w:r>
          </w:p>
        </w:tc>
        <w:tc>
          <w:tcPr>
            <w:tcW w:w="2582" w:type="dxa"/>
          </w:tcPr>
          <w:p w14:paraId="7A06445E" w14:textId="77777777" w:rsidR="00F53931" w:rsidRPr="005928A7" w:rsidRDefault="00F53931" w:rsidP="00053FE0">
            <w:pPr>
              <w:pStyle w:val="Tabletext0"/>
              <w:keepNext/>
              <w:spacing w:before="0" w:after="0"/>
            </w:pPr>
            <w:r>
              <w:t>Systematic reviews of NIPT accuracy</w:t>
            </w:r>
            <w:r>
              <w:rPr>
                <w:rStyle w:val="FootnoteReference"/>
              </w:rPr>
              <w:footnoteReference w:id="16"/>
            </w:r>
            <w:r>
              <w:rPr>
                <w:vertAlign w:val="superscript"/>
              </w:rPr>
              <w:t>,</w:t>
            </w:r>
            <w:r>
              <w:rPr>
                <w:rStyle w:val="FootnoteReference"/>
              </w:rPr>
              <w:footnoteReference w:id="17"/>
            </w:r>
            <w:r w:rsidRPr="005928A7">
              <w:t xml:space="preserve"> </w:t>
            </w:r>
          </w:p>
        </w:tc>
        <w:tc>
          <w:tcPr>
            <w:tcW w:w="2457" w:type="dxa"/>
          </w:tcPr>
          <w:p w14:paraId="5D79CF98" w14:textId="77777777" w:rsidR="00F53931" w:rsidRPr="005928A7" w:rsidRDefault="00F53931" w:rsidP="00053FE0">
            <w:pPr>
              <w:pStyle w:val="Tabletext0"/>
              <w:keepNext/>
              <w:spacing w:before="0" w:after="0"/>
            </w:pPr>
            <w:r>
              <w:t xml:space="preserve">Literature search for the parameters to differentiate the degrees of HDFN severity by risks and resource use </w:t>
            </w:r>
          </w:p>
        </w:tc>
        <w:tc>
          <w:tcPr>
            <w:tcW w:w="2580" w:type="dxa"/>
          </w:tcPr>
          <w:p w14:paraId="251DE764" w14:textId="77777777" w:rsidR="00F53931" w:rsidRDefault="00F53931" w:rsidP="00053FE0">
            <w:pPr>
              <w:pStyle w:val="Tabletext0"/>
              <w:keepNext/>
              <w:spacing w:before="0" w:after="0"/>
            </w:pPr>
            <w:r>
              <w:t>Australian population statistics (AIHW, ABS)</w:t>
            </w:r>
          </w:p>
        </w:tc>
      </w:tr>
      <w:tr w:rsidR="00F53931" w:rsidRPr="00183E4D" w14:paraId="32BD9590" w14:textId="77777777" w:rsidTr="00EE2D22">
        <w:trPr>
          <w:trHeight w:val="20"/>
        </w:trPr>
        <w:tc>
          <w:tcPr>
            <w:tcW w:w="1737" w:type="dxa"/>
            <w:hideMark/>
          </w:tcPr>
          <w:p w14:paraId="24F6D772" w14:textId="77777777" w:rsidR="00F53931" w:rsidRPr="00183E4D" w:rsidRDefault="00F53931" w:rsidP="00053FE0">
            <w:pPr>
              <w:pStyle w:val="Tabletext0"/>
              <w:keepNext/>
              <w:spacing w:before="0" w:after="0"/>
              <w:rPr>
                <w:b/>
              </w:rPr>
            </w:pPr>
            <w:r w:rsidRPr="00183E4D">
              <w:rPr>
                <w:b/>
              </w:rPr>
              <w:t>Time horizon</w:t>
            </w:r>
          </w:p>
        </w:tc>
        <w:tc>
          <w:tcPr>
            <w:tcW w:w="2582" w:type="dxa"/>
          </w:tcPr>
          <w:p w14:paraId="2CB3EC35" w14:textId="77777777" w:rsidR="00F53931" w:rsidRPr="005928A7" w:rsidRDefault="00F53931" w:rsidP="00053FE0">
            <w:pPr>
              <w:pStyle w:val="Tabletext0"/>
              <w:keepNext/>
              <w:spacing w:before="0" w:after="0"/>
            </w:pPr>
            <w:r>
              <w:t>From the 12 week gestation period to the resolution of pregnancy</w:t>
            </w:r>
          </w:p>
        </w:tc>
        <w:tc>
          <w:tcPr>
            <w:tcW w:w="2457" w:type="dxa"/>
          </w:tcPr>
          <w:p w14:paraId="0D798526" w14:textId="77777777" w:rsidR="00F53931" w:rsidRPr="005928A7" w:rsidRDefault="00F53931" w:rsidP="00053FE0">
            <w:pPr>
              <w:pStyle w:val="Tabletext0"/>
              <w:keepNext/>
              <w:spacing w:before="0" w:after="0"/>
            </w:pPr>
            <w:r>
              <w:t xml:space="preserve">From the first presentation to delivery (typically at 37 weeks) </w:t>
            </w:r>
          </w:p>
        </w:tc>
        <w:tc>
          <w:tcPr>
            <w:tcW w:w="2580" w:type="dxa"/>
          </w:tcPr>
          <w:p w14:paraId="09F5B8C2" w14:textId="77777777" w:rsidR="00F53931" w:rsidRDefault="00F53931" w:rsidP="00053FE0">
            <w:pPr>
              <w:pStyle w:val="Tabletext0"/>
              <w:keepNext/>
              <w:spacing w:before="0" w:after="0"/>
            </w:pPr>
            <w:r>
              <w:t>17 years (up to 4 consecutive pregnancies)</w:t>
            </w:r>
          </w:p>
        </w:tc>
      </w:tr>
      <w:tr w:rsidR="00F53931" w:rsidRPr="00183E4D" w14:paraId="3A011A60" w14:textId="77777777" w:rsidTr="00EE2D22">
        <w:trPr>
          <w:trHeight w:val="20"/>
        </w:trPr>
        <w:tc>
          <w:tcPr>
            <w:tcW w:w="1737" w:type="dxa"/>
            <w:hideMark/>
          </w:tcPr>
          <w:p w14:paraId="2E1F79CC" w14:textId="77777777" w:rsidR="00F53931" w:rsidRPr="00183E4D" w:rsidRDefault="00F53931" w:rsidP="00053FE0">
            <w:pPr>
              <w:pStyle w:val="Tabletext0"/>
              <w:keepNext/>
              <w:spacing w:before="0" w:after="0"/>
              <w:rPr>
                <w:b/>
              </w:rPr>
            </w:pPr>
            <w:r w:rsidRPr="00183E4D">
              <w:rPr>
                <w:b/>
              </w:rPr>
              <w:t>Outcomes</w:t>
            </w:r>
          </w:p>
        </w:tc>
        <w:tc>
          <w:tcPr>
            <w:tcW w:w="2582" w:type="dxa"/>
          </w:tcPr>
          <w:p w14:paraId="089061B4" w14:textId="77777777" w:rsidR="00F53931" w:rsidRPr="00183E4D" w:rsidRDefault="00F53931" w:rsidP="00053FE0">
            <w:pPr>
              <w:pStyle w:val="Tabletext0"/>
              <w:keepNext/>
              <w:spacing w:before="0" w:after="0"/>
            </w:pPr>
            <w:r>
              <w:t>Risk of alloimmunisation</w:t>
            </w:r>
          </w:p>
        </w:tc>
        <w:tc>
          <w:tcPr>
            <w:tcW w:w="2457" w:type="dxa"/>
          </w:tcPr>
          <w:p w14:paraId="2600DAA8" w14:textId="77777777" w:rsidR="00F53931" w:rsidRPr="005928A7" w:rsidRDefault="00F53931" w:rsidP="00053FE0">
            <w:pPr>
              <w:pStyle w:val="Tabletext0"/>
              <w:keepNext/>
              <w:spacing w:before="0" w:after="0"/>
            </w:pPr>
            <w:r>
              <w:t>Severe HDFN cases, mild HDFN cases, fetal and neonatal mortality, unaffected babies</w:t>
            </w:r>
          </w:p>
        </w:tc>
        <w:tc>
          <w:tcPr>
            <w:tcW w:w="2580" w:type="dxa"/>
          </w:tcPr>
          <w:p w14:paraId="09D13594" w14:textId="77777777" w:rsidR="00F53931" w:rsidRDefault="00F53931" w:rsidP="00053FE0">
            <w:pPr>
              <w:pStyle w:val="Tabletext0"/>
              <w:keepNext/>
              <w:spacing w:before="0" w:after="0"/>
            </w:pPr>
            <w:r>
              <w:t>Incremental risk of alloimmunisation, severe HDFN cases, fetal and neonatal mortality</w:t>
            </w:r>
          </w:p>
        </w:tc>
      </w:tr>
      <w:tr w:rsidR="00F53931" w:rsidRPr="00183E4D" w14:paraId="37C0BF3A" w14:textId="77777777" w:rsidTr="00EE2D22">
        <w:trPr>
          <w:trHeight w:val="20"/>
        </w:trPr>
        <w:tc>
          <w:tcPr>
            <w:tcW w:w="1737" w:type="dxa"/>
            <w:hideMark/>
          </w:tcPr>
          <w:p w14:paraId="575DA3C6" w14:textId="77777777" w:rsidR="00F53931" w:rsidRPr="00183E4D" w:rsidRDefault="00F53931" w:rsidP="00053FE0">
            <w:pPr>
              <w:pStyle w:val="Tabletext0"/>
              <w:keepNext/>
              <w:spacing w:before="0" w:after="0"/>
              <w:rPr>
                <w:b/>
              </w:rPr>
            </w:pPr>
            <w:r w:rsidRPr="00183E4D">
              <w:rPr>
                <w:b/>
              </w:rPr>
              <w:t>Methods used to generate results</w:t>
            </w:r>
          </w:p>
        </w:tc>
        <w:tc>
          <w:tcPr>
            <w:tcW w:w="2582" w:type="dxa"/>
          </w:tcPr>
          <w:p w14:paraId="3E60C709" w14:textId="77777777" w:rsidR="00F53931" w:rsidRPr="00183E4D" w:rsidRDefault="00F53931" w:rsidP="00053FE0">
            <w:pPr>
              <w:pStyle w:val="Tabletext0"/>
              <w:keepNext/>
              <w:spacing w:before="0" w:after="0"/>
            </w:pPr>
            <w:r>
              <w:t>Decision tree model</w:t>
            </w:r>
          </w:p>
        </w:tc>
        <w:tc>
          <w:tcPr>
            <w:tcW w:w="2457" w:type="dxa"/>
          </w:tcPr>
          <w:p w14:paraId="21C07186" w14:textId="77777777" w:rsidR="00F53931" w:rsidRPr="005928A7" w:rsidRDefault="00F53931" w:rsidP="00053FE0">
            <w:pPr>
              <w:pStyle w:val="Tabletext0"/>
              <w:keepNext/>
              <w:spacing w:before="0" w:after="0"/>
            </w:pPr>
            <w:r>
              <w:t>Decision tree model</w:t>
            </w:r>
          </w:p>
        </w:tc>
        <w:tc>
          <w:tcPr>
            <w:tcW w:w="2580" w:type="dxa"/>
          </w:tcPr>
          <w:p w14:paraId="6ECFDF91" w14:textId="77777777" w:rsidR="00F53931" w:rsidRDefault="00F53931" w:rsidP="00053FE0">
            <w:pPr>
              <w:pStyle w:val="Tabletext0"/>
              <w:keepNext/>
              <w:spacing w:before="0" w:after="0"/>
            </w:pPr>
            <w:r>
              <w:t>Arithmetic calculations</w:t>
            </w:r>
          </w:p>
        </w:tc>
      </w:tr>
      <w:tr w:rsidR="00F53931" w:rsidRPr="00183E4D" w14:paraId="53FC85FD" w14:textId="77777777" w:rsidTr="00EE2D22">
        <w:trPr>
          <w:trHeight w:val="20"/>
        </w:trPr>
        <w:tc>
          <w:tcPr>
            <w:tcW w:w="1737" w:type="dxa"/>
            <w:hideMark/>
          </w:tcPr>
          <w:p w14:paraId="7874F027" w14:textId="77777777" w:rsidR="00F53931" w:rsidRPr="00183E4D" w:rsidRDefault="00F53931" w:rsidP="00053FE0">
            <w:pPr>
              <w:pStyle w:val="Tabletext0"/>
              <w:keepNext/>
              <w:spacing w:before="0" w:after="0"/>
              <w:rPr>
                <w:b/>
              </w:rPr>
            </w:pPr>
            <w:r w:rsidRPr="00183E4D">
              <w:rPr>
                <w:b/>
              </w:rPr>
              <w:t>Discount rate</w:t>
            </w:r>
          </w:p>
        </w:tc>
        <w:tc>
          <w:tcPr>
            <w:tcW w:w="2582" w:type="dxa"/>
          </w:tcPr>
          <w:p w14:paraId="392E1170" w14:textId="77777777" w:rsidR="00F53931" w:rsidRPr="00183E4D" w:rsidRDefault="00F53931" w:rsidP="00053FE0">
            <w:pPr>
              <w:pStyle w:val="Tabletext0"/>
              <w:keepNext/>
              <w:spacing w:before="0" w:after="0"/>
            </w:pPr>
            <w:r>
              <w:t>0%</w:t>
            </w:r>
          </w:p>
        </w:tc>
        <w:tc>
          <w:tcPr>
            <w:tcW w:w="2457" w:type="dxa"/>
          </w:tcPr>
          <w:p w14:paraId="375FC689" w14:textId="77777777" w:rsidR="00F53931" w:rsidRPr="00183E4D" w:rsidRDefault="00F53931" w:rsidP="00053FE0">
            <w:pPr>
              <w:pStyle w:val="Tabletext0"/>
              <w:keepNext/>
              <w:spacing w:before="0" w:after="0"/>
            </w:pPr>
            <w:r>
              <w:t>0%</w:t>
            </w:r>
          </w:p>
        </w:tc>
        <w:tc>
          <w:tcPr>
            <w:tcW w:w="2580" w:type="dxa"/>
          </w:tcPr>
          <w:p w14:paraId="70504F3B" w14:textId="77777777" w:rsidR="00F53931" w:rsidRDefault="00F53931" w:rsidP="00053FE0">
            <w:pPr>
              <w:pStyle w:val="Tabletext0"/>
              <w:keepNext/>
              <w:spacing w:before="0" w:after="0"/>
            </w:pPr>
            <w:r>
              <w:t>5%</w:t>
            </w:r>
          </w:p>
        </w:tc>
      </w:tr>
      <w:tr w:rsidR="00F53931" w:rsidRPr="00183E4D" w14:paraId="2F9EA514" w14:textId="77777777" w:rsidTr="00EE2D22">
        <w:trPr>
          <w:trHeight w:val="20"/>
        </w:trPr>
        <w:tc>
          <w:tcPr>
            <w:tcW w:w="1737" w:type="dxa"/>
            <w:hideMark/>
          </w:tcPr>
          <w:p w14:paraId="19AD28FC" w14:textId="77777777" w:rsidR="00F53931" w:rsidRPr="00183E4D" w:rsidRDefault="00F53931" w:rsidP="00053FE0">
            <w:pPr>
              <w:pStyle w:val="Tabletext0"/>
              <w:keepNext/>
              <w:spacing w:before="0" w:after="0"/>
              <w:rPr>
                <w:b/>
              </w:rPr>
            </w:pPr>
            <w:r w:rsidRPr="00183E4D">
              <w:rPr>
                <w:b/>
              </w:rPr>
              <w:t>Software packages used</w:t>
            </w:r>
          </w:p>
        </w:tc>
        <w:tc>
          <w:tcPr>
            <w:tcW w:w="2582" w:type="dxa"/>
          </w:tcPr>
          <w:p w14:paraId="2309F882" w14:textId="77777777" w:rsidR="00F53931" w:rsidRPr="00183E4D" w:rsidRDefault="00F53931" w:rsidP="00053FE0">
            <w:pPr>
              <w:pStyle w:val="Tabletext0"/>
              <w:keepNext/>
              <w:spacing w:before="0" w:after="0"/>
            </w:pPr>
            <w:r>
              <w:t>TreeAge Pro 2019 R2.0</w:t>
            </w:r>
          </w:p>
        </w:tc>
        <w:tc>
          <w:tcPr>
            <w:tcW w:w="2457" w:type="dxa"/>
          </w:tcPr>
          <w:p w14:paraId="508F461A" w14:textId="77777777" w:rsidR="00F53931" w:rsidRPr="00183E4D" w:rsidRDefault="00F53931" w:rsidP="00053FE0">
            <w:pPr>
              <w:pStyle w:val="Tabletext0"/>
              <w:keepNext/>
              <w:spacing w:before="0" w:after="0"/>
            </w:pPr>
            <w:r>
              <w:t>TreeAge Pro 2019 R2.0</w:t>
            </w:r>
          </w:p>
        </w:tc>
        <w:tc>
          <w:tcPr>
            <w:tcW w:w="2580" w:type="dxa"/>
          </w:tcPr>
          <w:p w14:paraId="23813A19" w14:textId="77777777" w:rsidR="00F53931" w:rsidRDefault="00F53931" w:rsidP="00053FE0">
            <w:pPr>
              <w:pStyle w:val="Tabletext0"/>
              <w:keepNext/>
              <w:spacing w:before="0" w:after="0"/>
            </w:pPr>
            <w:r>
              <w:t>EXCEL spreadsheet</w:t>
            </w:r>
          </w:p>
        </w:tc>
      </w:tr>
    </w:tbl>
    <w:p w14:paraId="742FBB7E" w14:textId="77777777" w:rsidR="00F53931" w:rsidRDefault="00F53931" w:rsidP="00F53931">
      <w:pPr>
        <w:pStyle w:val="Tablenotes1"/>
      </w:pPr>
      <w:r>
        <w:t>Source: DCAR, Table 5</w:t>
      </w:r>
    </w:p>
    <w:p w14:paraId="29128278" w14:textId="390D52F6" w:rsidR="00F53931" w:rsidRDefault="00F53931" w:rsidP="00F53931">
      <w:r>
        <w:t>The DCAR stated that a k</w:t>
      </w:r>
      <w:r w:rsidRPr="0051011A">
        <w:t>ey structural assumption in the model for the non-alloimmunised population</w:t>
      </w:r>
      <w:r>
        <w:t>,</w:t>
      </w:r>
      <w:r w:rsidRPr="0051011A">
        <w:t xml:space="preserve"> is the natural progression of the index pregnancy with the estimated risk of alloimmunisation associa</w:t>
      </w:r>
      <w:r>
        <w:t>ted with feto</w:t>
      </w:r>
      <w:r w:rsidRPr="0051011A">
        <w:t>maternal haemorrhage. No consequences of alloimmunisation are assumed in the index pregnancy where it occurs. The model for the alloimmunised population depicts the current clinical pathway of intensive monitoring in order to estimate risk of fetal/neonatal deaths, risk of severe and mild HDFN and the probability of having of unaffected baby. The costs were differentiated according to the severity of HDF</w:t>
      </w:r>
      <w:r>
        <w:t>N</w:t>
      </w:r>
      <w:r w:rsidRPr="0051011A">
        <w:t xml:space="preserve">. </w:t>
      </w:r>
      <w:r>
        <w:t>U</w:t>
      </w:r>
      <w:r w:rsidRPr="0051011A">
        <w:t>nit costs were taken from Australian sources but informed and cross-validated with international literature.</w:t>
      </w:r>
    </w:p>
    <w:p w14:paraId="37EE53B3" w14:textId="3F6DD614" w:rsidR="00315CA0" w:rsidRDefault="00F53931" w:rsidP="002C6CD4">
      <w:pPr>
        <w:spacing w:before="240"/>
      </w:pPr>
      <w:r w:rsidRPr="00142806">
        <w:t xml:space="preserve">The overall costs and outcomes, and incremental costs and outcomes as calculated for the </w:t>
      </w:r>
      <w:r w:rsidRPr="00142806">
        <w:rPr>
          <w:i/>
        </w:rPr>
        <w:t>RHD</w:t>
      </w:r>
      <w:r w:rsidRPr="00142806">
        <w:t xml:space="preserve"> genotype testing strategy and the comparative testing strategy in the models, and using the base case assumptions, are shown in </w:t>
      </w:r>
      <w:r w:rsidR="008A406E">
        <w:fldChar w:fldCharType="begin"/>
      </w:r>
      <w:r w:rsidR="008A406E">
        <w:instrText xml:space="preserve"> REF _Ref162029375 \h </w:instrText>
      </w:r>
      <w:r w:rsidR="008A406E">
        <w:fldChar w:fldCharType="separate"/>
      </w:r>
      <w:r w:rsidR="00C751E2">
        <w:t xml:space="preserve">Table </w:t>
      </w:r>
      <w:r w:rsidR="00C751E2">
        <w:rPr>
          <w:noProof/>
        </w:rPr>
        <w:t>9</w:t>
      </w:r>
      <w:r w:rsidR="008A406E">
        <w:fldChar w:fldCharType="end"/>
      </w:r>
      <w:r w:rsidR="003A6C20">
        <w:t xml:space="preserve"> </w:t>
      </w:r>
      <w:r w:rsidRPr="00142806">
        <w:t>and</w:t>
      </w:r>
      <w:r w:rsidR="008A406E">
        <w:t xml:space="preserve"> </w:t>
      </w:r>
      <w:r w:rsidR="007D75A9">
        <w:fldChar w:fldCharType="begin"/>
      </w:r>
      <w:r w:rsidR="007D75A9">
        <w:instrText xml:space="preserve"> REF _Ref162029392 \h </w:instrText>
      </w:r>
      <w:r w:rsidR="007D75A9">
        <w:fldChar w:fldCharType="separate"/>
      </w:r>
      <w:r w:rsidR="00C751E2">
        <w:t xml:space="preserve">Table </w:t>
      </w:r>
      <w:r w:rsidR="00C751E2">
        <w:rPr>
          <w:noProof/>
        </w:rPr>
        <w:t>10</w:t>
      </w:r>
      <w:r w:rsidR="007D75A9">
        <w:fldChar w:fldCharType="end"/>
      </w:r>
      <w:r w:rsidRPr="00142806">
        <w:t>. Results of the population-based model are shown in</w:t>
      </w:r>
      <w:r w:rsidR="008A406E">
        <w:t xml:space="preserve"> </w:t>
      </w:r>
      <w:r w:rsidR="007D75A9">
        <w:fldChar w:fldCharType="begin"/>
      </w:r>
      <w:r w:rsidR="007D75A9">
        <w:instrText xml:space="preserve"> REF _Ref162029404 \h </w:instrText>
      </w:r>
      <w:r w:rsidR="007D75A9">
        <w:fldChar w:fldCharType="separate"/>
      </w:r>
      <w:r w:rsidR="00C751E2">
        <w:t xml:space="preserve">Table </w:t>
      </w:r>
      <w:r w:rsidR="00C751E2">
        <w:rPr>
          <w:noProof/>
        </w:rPr>
        <w:t>11</w:t>
      </w:r>
      <w:r w:rsidR="007D75A9">
        <w:fldChar w:fldCharType="end"/>
      </w:r>
      <w:r w:rsidRPr="00142806">
        <w:t>.</w:t>
      </w:r>
    </w:p>
    <w:p w14:paraId="47B6EA9E" w14:textId="723BE1DE" w:rsidR="009002A3" w:rsidRPr="00315CA0" w:rsidRDefault="009002A3" w:rsidP="00D135F2">
      <w:pPr>
        <w:pStyle w:val="TableHeading"/>
      </w:pPr>
      <w:bookmarkStart w:id="15" w:name="_Ref162029375"/>
      <w:r>
        <w:lastRenderedPageBreak/>
        <w:t xml:space="preserve">Table </w:t>
      </w:r>
      <w:r>
        <w:fldChar w:fldCharType="begin"/>
      </w:r>
      <w:r>
        <w:instrText xml:space="preserve"> SEQ Table \* ARABIC </w:instrText>
      </w:r>
      <w:r>
        <w:fldChar w:fldCharType="separate"/>
      </w:r>
      <w:r w:rsidR="00C751E2">
        <w:t>9</w:t>
      </w:r>
      <w:r>
        <w:fldChar w:fldCharType="end"/>
      </w:r>
      <w:bookmarkEnd w:id="15"/>
      <w:r w:rsidR="00C24191" w:rsidRPr="00C24191">
        <w:t xml:space="preserve"> </w:t>
      </w:r>
      <w:r w:rsidR="00C24191" w:rsidRPr="00053FE0">
        <w:t>: Results of the base case CEA in non-alloimmunised population</w:t>
      </w:r>
    </w:p>
    <w:tbl>
      <w:tblPr>
        <w:tblStyle w:val="TableGrid2"/>
        <w:tblW w:w="0" w:type="auto"/>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701"/>
        <w:gridCol w:w="1325"/>
        <w:gridCol w:w="1325"/>
        <w:gridCol w:w="1603"/>
        <w:gridCol w:w="1326"/>
        <w:gridCol w:w="1645"/>
      </w:tblGrid>
      <w:tr w:rsidR="00F53931" w:rsidRPr="001C1FFA" w14:paraId="4CCCFA45" w14:textId="77777777" w:rsidTr="009002A3">
        <w:trPr>
          <w:cnfStyle w:val="100000000000" w:firstRow="1" w:lastRow="0" w:firstColumn="0" w:lastColumn="0" w:oddVBand="0" w:evenVBand="0" w:oddHBand="0" w:evenHBand="0" w:firstRowFirstColumn="0" w:firstRowLastColumn="0" w:lastRowFirstColumn="0" w:lastRowLastColumn="0"/>
          <w:tblHeader/>
        </w:trPr>
        <w:tc>
          <w:tcPr>
            <w:tcW w:w="1701" w:type="dxa"/>
            <w:tcBorders>
              <w:bottom w:val="single" w:sz="4" w:space="0" w:color="auto"/>
            </w:tcBorders>
          </w:tcPr>
          <w:p w14:paraId="228D2E22" w14:textId="77777777" w:rsidR="00F53931" w:rsidRPr="00567F9E" w:rsidRDefault="00F53931" w:rsidP="00567F9E">
            <w:pPr>
              <w:spacing w:before="0" w:after="0"/>
              <w:jc w:val="center"/>
              <w:rPr>
                <w:rFonts w:ascii="Arial Narrow" w:hAnsi="Arial Narrow"/>
                <w:b/>
                <w:sz w:val="20"/>
              </w:rPr>
            </w:pPr>
          </w:p>
        </w:tc>
        <w:tc>
          <w:tcPr>
            <w:tcW w:w="1325" w:type="dxa"/>
            <w:tcBorders>
              <w:bottom w:val="single" w:sz="4" w:space="0" w:color="auto"/>
            </w:tcBorders>
            <w:vAlign w:val="center"/>
          </w:tcPr>
          <w:p w14:paraId="1D2FA186"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Cost ($)</w:t>
            </w:r>
          </w:p>
        </w:tc>
        <w:tc>
          <w:tcPr>
            <w:tcW w:w="1325" w:type="dxa"/>
            <w:tcBorders>
              <w:bottom w:val="single" w:sz="4" w:space="0" w:color="auto"/>
            </w:tcBorders>
            <w:vAlign w:val="center"/>
          </w:tcPr>
          <w:p w14:paraId="47545CFC"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Incremental cost</w:t>
            </w:r>
          </w:p>
        </w:tc>
        <w:tc>
          <w:tcPr>
            <w:tcW w:w="1603" w:type="dxa"/>
            <w:tcBorders>
              <w:bottom w:val="single" w:sz="4" w:space="0" w:color="auto"/>
            </w:tcBorders>
            <w:vAlign w:val="center"/>
          </w:tcPr>
          <w:p w14:paraId="0A7FF815"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Effectiveness</w:t>
            </w:r>
          </w:p>
          <w:p w14:paraId="6A5CEA82"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Alloimmunisations*</w:t>
            </w:r>
          </w:p>
        </w:tc>
        <w:tc>
          <w:tcPr>
            <w:tcW w:w="1326" w:type="dxa"/>
            <w:tcBorders>
              <w:bottom w:val="single" w:sz="4" w:space="0" w:color="auto"/>
            </w:tcBorders>
            <w:vAlign w:val="center"/>
          </w:tcPr>
          <w:p w14:paraId="099D75DD"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Incremental effectiveness</w:t>
            </w:r>
          </w:p>
        </w:tc>
        <w:tc>
          <w:tcPr>
            <w:tcW w:w="1645" w:type="dxa"/>
            <w:tcBorders>
              <w:bottom w:val="single" w:sz="4" w:space="0" w:color="auto"/>
            </w:tcBorders>
            <w:vAlign w:val="center"/>
          </w:tcPr>
          <w:p w14:paraId="78BF63B1"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ICER</w:t>
            </w:r>
          </w:p>
          <w:p w14:paraId="61607748" w14:textId="77777777" w:rsidR="00F53931" w:rsidRPr="00567F9E" w:rsidRDefault="00F53931" w:rsidP="00567F9E">
            <w:pPr>
              <w:spacing w:before="0" w:after="0"/>
              <w:jc w:val="center"/>
              <w:rPr>
                <w:rFonts w:ascii="Arial Narrow" w:hAnsi="Arial Narrow"/>
                <w:b/>
                <w:sz w:val="20"/>
              </w:rPr>
            </w:pPr>
          </w:p>
        </w:tc>
      </w:tr>
      <w:tr w:rsidR="00F53931" w:rsidRPr="001C1FFA" w14:paraId="76FCC092" w14:textId="77777777" w:rsidTr="009002A3">
        <w:trPr>
          <w:trHeight w:val="330"/>
        </w:trPr>
        <w:tc>
          <w:tcPr>
            <w:tcW w:w="1701" w:type="dxa"/>
          </w:tcPr>
          <w:p w14:paraId="6EA9FF3B" w14:textId="77777777" w:rsidR="00F53931" w:rsidRPr="00CA579A" w:rsidRDefault="00F53931" w:rsidP="00F53931">
            <w:pPr>
              <w:keepNext/>
              <w:rPr>
                <w:sz w:val="20"/>
              </w:rPr>
            </w:pPr>
            <w:r w:rsidRPr="00CA579A">
              <w:rPr>
                <w:sz w:val="20"/>
              </w:rPr>
              <w:t>NIPT-guided anti-D immunoglobulin</w:t>
            </w:r>
          </w:p>
        </w:tc>
        <w:tc>
          <w:tcPr>
            <w:tcW w:w="1325" w:type="dxa"/>
            <w:vAlign w:val="center"/>
          </w:tcPr>
          <w:p w14:paraId="0AB1764B" w14:textId="77777777" w:rsidR="00F53931" w:rsidRPr="00CA579A" w:rsidRDefault="00F53931" w:rsidP="00F53931">
            <w:pPr>
              <w:keepNext/>
              <w:jc w:val="center"/>
              <w:rPr>
                <w:sz w:val="20"/>
              </w:rPr>
            </w:pPr>
            <w:r w:rsidRPr="00CA579A">
              <w:rPr>
                <w:sz w:val="20"/>
              </w:rPr>
              <w:t>337.88</w:t>
            </w:r>
          </w:p>
        </w:tc>
        <w:tc>
          <w:tcPr>
            <w:tcW w:w="1325" w:type="dxa"/>
            <w:tcBorders>
              <w:bottom w:val="nil"/>
            </w:tcBorders>
            <w:vAlign w:val="bottom"/>
          </w:tcPr>
          <w:p w14:paraId="5513D876" w14:textId="77777777" w:rsidR="00F53931" w:rsidRPr="00CA579A" w:rsidRDefault="00F53931" w:rsidP="00F53931">
            <w:pPr>
              <w:keepNext/>
              <w:jc w:val="center"/>
              <w:rPr>
                <w:sz w:val="20"/>
              </w:rPr>
            </w:pPr>
            <w:r w:rsidRPr="00CA579A">
              <w:rPr>
                <w:sz w:val="20"/>
              </w:rPr>
              <w:t>- 9.17</w:t>
            </w:r>
          </w:p>
        </w:tc>
        <w:tc>
          <w:tcPr>
            <w:tcW w:w="1603" w:type="dxa"/>
            <w:vAlign w:val="center"/>
          </w:tcPr>
          <w:p w14:paraId="75641010" w14:textId="77777777" w:rsidR="00F53931" w:rsidRPr="00CA579A" w:rsidRDefault="00F53931" w:rsidP="00F53931">
            <w:pPr>
              <w:keepNext/>
              <w:jc w:val="center"/>
              <w:rPr>
                <w:sz w:val="20"/>
              </w:rPr>
            </w:pPr>
            <w:r w:rsidRPr="00CA579A">
              <w:rPr>
                <w:sz w:val="20"/>
              </w:rPr>
              <w:t>0.0017715</w:t>
            </w:r>
          </w:p>
        </w:tc>
        <w:tc>
          <w:tcPr>
            <w:tcW w:w="1326" w:type="dxa"/>
            <w:tcBorders>
              <w:bottom w:val="nil"/>
            </w:tcBorders>
            <w:vAlign w:val="bottom"/>
          </w:tcPr>
          <w:p w14:paraId="1AC936EB" w14:textId="77777777" w:rsidR="00F53931" w:rsidRPr="00CA579A" w:rsidRDefault="00F53931" w:rsidP="00F53931">
            <w:pPr>
              <w:keepNext/>
              <w:jc w:val="center"/>
              <w:rPr>
                <w:sz w:val="20"/>
              </w:rPr>
            </w:pPr>
            <w:r w:rsidRPr="00CA579A">
              <w:rPr>
                <w:sz w:val="20"/>
              </w:rPr>
              <w:t>0.0000587</w:t>
            </w:r>
          </w:p>
        </w:tc>
        <w:tc>
          <w:tcPr>
            <w:tcW w:w="1645" w:type="dxa"/>
            <w:tcBorders>
              <w:bottom w:val="nil"/>
            </w:tcBorders>
            <w:vAlign w:val="bottom"/>
          </w:tcPr>
          <w:p w14:paraId="344C87A6" w14:textId="77777777" w:rsidR="00F53931" w:rsidRPr="00CA579A" w:rsidRDefault="00F53931" w:rsidP="00F53931">
            <w:pPr>
              <w:keepNext/>
              <w:spacing w:before="0"/>
              <w:rPr>
                <w:sz w:val="20"/>
              </w:rPr>
            </w:pPr>
            <w:r w:rsidRPr="00CA579A">
              <w:rPr>
                <w:sz w:val="20"/>
              </w:rPr>
              <w:t xml:space="preserve">NIPT-guided anti-D immunoglobulin is </w:t>
            </w:r>
          </w:p>
        </w:tc>
      </w:tr>
      <w:tr w:rsidR="00F53931" w:rsidRPr="001C1FFA" w14:paraId="02ACDE82" w14:textId="77777777" w:rsidTr="009002A3">
        <w:tc>
          <w:tcPr>
            <w:tcW w:w="1701" w:type="dxa"/>
          </w:tcPr>
          <w:p w14:paraId="59749600" w14:textId="77777777" w:rsidR="00F53931" w:rsidRPr="00CA579A" w:rsidRDefault="00F53931" w:rsidP="00F53931">
            <w:pPr>
              <w:keepNext/>
              <w:rPr>
                <w:sz w:val="20"/>
              </w:rPr>
            </w:pPr>
            <w:r w:rsidRPr="00CA579A">
              <w:rPr>
                <w:sz w:val="20"/>
              </w:rPr>
              <w:t>Universal anti-D immunoglobulin</w:t>
            </w:r>
          </w:p>
        </w:tc>
        <w:tc>
          <w:tcPr>
            <w:tcW w:w="1325" w:type="dxa"/>
            <w:vAlign w:val="center"/>
          </w:tcPr>
          <w:p w14:paraId="68AB6CAB" w14:textId="77777777" w:rsidR="00F53931" w:rsidRPr="00CA579A" w:rsidRDefault="00F53931" w:rsidP="00F53931">
            <w:pPr>
              <w:keepNext/>
              <w:jc w:val="center"/>
              <w:rPr>
                <w:sz w:val="20"/>
              </w:rPr>
            </w:pPr>
            <w:r w:rsidRPr="00CA579A">
              <w:rPr>
                <w:sz w:val="20"/>
              </w:rPr>
              <w:t>347.06</w:t>
            </w:r>
          </w:p>
        </w:tc>
        <w:tc>
          <w:tcPr>
            <w:tcW w:w="1325" w:type="dxa"/>
            <w:tcBorders>
              <w:top w:val="nil"/>
            </w:tcBorders>
            <w:vAlign w:val="center"/>
          </w:tcPr>
          <w:p w14:paraId="1374C0D4" w14:textId="77777777" w:rsidR="00F53931" w:rsidRPr="00CA579A" w:rsidRDefault="00F53931" w:rsidP="00F53931">
            <w:pPr>
              <w:keepNext/>
              <w:jc w:val="center"/>
              <w:rPr>
                <w:sz w:val="20"/>
              </w:rPr>
            </w:pPr>
          </w:p>
        </w:tc>
        <w:tc>
          <w:tcPr>
            <w:tcW w:w="1603" w:type="dxa"/>
            <w:vAlign w:val="center"/>
          </w:tcPr>
          <w:p w14:paraId="01163D4A" w14:textId="77777777" w:rsidR="00F53931" w:rsidRPr="00CA579A" w:rsidRDefault="00F53931" w:rsidP="00F53931">
            <w:pPr>
              <w:keepNext/>
              <w:jc w:val="center"/>
              <w:rPr>
                <w:sz w:val="20"/>
              </w:rPr>
            </w:pPr>
            <w:r w:rsidRPr="00CA579A">
              <w:rPr>
                <w:sz w:val="20"/>
              </w:rPr>
              <w:t>0.0017129</w:t>
            </w:r>
          </w:p>
        </w:tc>
        <w:tc>
          <w:tcPr>
            <w:tcW w:w="1326" w:type="dxa"/>
            <w:tcBorders>
              <w:top w:val="nil"/>
            </w:tcBorders>
          </w:tcPr>
          <w:p w14:paraId="4D3A032B" w14:textId="77777777" w:rsidR="00F53931" w:rsidRPr="00CA579A" w:rsidRDefault="00F53931" w:rsidP="00F53931">
            <w:pPr>
              <w:keepNext/>
              <w:jc w:val="both"/>
              <w:rPr>
                <w:sz w:val="20"/>
              </w:rPr>
            </w:pPr>
          </w:p>
        </w:tc>
        <w:tc>
          <w:tcPr>
            <w:tcW w:w="1645" w:type="dxa"/>
            <w:tcBorders>
              <w:top w:val="nil"/>
            </w:tcBorders>
          </w:tcPr>
          <w:p w14:paraId="459866CF" w14:textId="77777777" w:rsidR="00F53931" w:rsidRPr="00CA579A" w:rsidRDefault="00F53931" w:rsidP="00F53931">
            <w:pPr>
              <w:keepNext/>
              <w:spacing w:before="0"/>
              <w:rPr>
                <w:sz w:val="20"/>
              </w:rPr>
            </w:pPr>
            <w:r w:rsidRPr="00CA579A">
              <w:rPr>
                <w:sz w:val="20"/>
              </w:rPr>
              <w:t>less expensive and less effective</w:t>
            </w:r>
          </w:p>
        </w:tc>
      </w:tr>
    </w:tbl>
    <w:p w14:paraId="3CE0C365" w14:textId="77777777" w:rsidR="00F53931" w:rsidRDefault="00F53931" w:rsidP="00F53931">
      <w:pPr>
        <w:pStyle w:val="Tablenotes1"/>
      </w:pPr>
      <w:r w:rsidRPr="00822A07">
        <w:t>ICER = Incremental Cost Effectiveness Ratio</w:t>
      </w:r>
    </w:p>
    <w:p w14:paraId="15B4CCF1" w14:textId="77777777" w:rsidR="00F53931" w:rsidRDefault="00F53931" w:rsidP="00F53931">
      <w:pPr>
        <w:pStyle w:val="Tablenotes1"/>
      </w:pPr>
      <w:r>
        <w:t>* used in the population-based model</w:t>
      </w:r>
    </w:p>
    <w:p w14:paraId="5426FC76" w14:textId="77777777" w:rsidR="00F53931" w:rsidRDefault="00F53931" w:rsidP="00F53931">
      <w:pPr>
        <w:pStyle w:val="Tablenotes1"/>
      </w:pPr>
      <w:r>
        <w:t>Source: DCAR, Table 6</w:t>
      </w:r>
    </w:p>
    <w:p w14:paraId="06432448" w14:textId="3318DE51" w:rsidR="009002A3" w:rsidRPr="00526E92" w:rsidRDefault="009002A3" w:rsidP="00D135F2">
      <w:pPr>
        <w:pStyle w:val="TableHeading"/>
      </w:pPr>
      <w:bookmarkStart w:id="16" w:name="_Ref162029392"/>
      <w:r>
        <w:t xml:space="preserve">Table </w:t>
      </w:r>
      <w:r>
        <w:fldChar w:fldCharType="begin"/>
      </w:r>
      <w:r>
        <w:instrText xml:space="preserve"> SEQ Table \* ARABIC </w:instrText>
      </w:r>
      <w:r>
        <w:fldChar w:fldCharType="separate"/>
      </w:r>
      <w:r w:rsidR="00C751E2">
        <w:t>10</w:t>
      </w:r>
      <w:r>
        <w:fldChar w:fldCharType="end"/>
      </w:r>
      <w:bookmarkEnd w:id="16"/>
      <w:r w:rsidR="00526E92" w:rsidRPr="00526E92">
        <w:t xml:space="preserve"> </w:t>
      </w:r>
      <w:r w:rsidR="00526E92" w:rsidRPr="00053FE0">
        <w:t>: Results of the base case analysis in alloimmunised population</w:t>
      </w:r>
    </w:p>
    <w:tbl>
      <w:tblPr>
        <w:tblStyle w:val="TableGrid"/>
        <w:tblW w:w="9039" w:type="dxa"/>
        <w:tblLook w:val="04A0" w:firstRow="1" w:lastRow="0" w:firstColumn="1" w:lastColumn="0" w:noHBand="0" w:noVBand="1"/>
        <w:tblDescription w:val="Results of the base case analysis in alloimmunised population"/>
      </w:tblPr>
      <w:tblGrid>
        <w:gridCol w:w="1668"/>
        <w:gridCol w:w="1134"/>
        <w:gridCol w:w="1418"/>
        <w:gridCol w:w="1417"/>
        <w:gridCol w:w="1701"/>
        <w:gridCol w:w="1701"/>
      </w:tblGrid>
      <w:tr w:rsidR="00F53931" w:rsidRPr="00543713" w14:paraId="75C2574C" w14:textId="77777777" w:rsidTr="009002A3">
        <w:trPr>
          <w:trHeight w:val="597"/>
          <w:tblHeader/>
        </w:trPr>
        <w:tc>
          <w:tcPr>
            <w:tcW w:w="1668" w:type="dxa"/>
          </w:tcPr>
          <w:p w14:paraId="5D4507D8" w14:textId="77777777" w:rsidR="00F53931" w:rsidRPr="00543713" w:rsidRDefault="00F53931" w:rsidP="00F53931">
            <w:pPr>
              <w:rPr>
                <w:rFonts w:ascii="Arial Narrow" w:hAnsi="Arial Narrow"/>
                <w:sz w:val="20"/>
              </w:rPr>
            </w:pPr>
          </w:p>
        </w:tc>
        <w:tc>
          <w:tcPr>
            <w:tcW w:w="1134" w:type="dxa"/>
            <w:vAlign w:val="center"/>
          </w:tcPr>
          <w:p w14:paraId="3C4ADE95" w14:textId="77777777" w:rsidR="00F53931" w:rsidRPr="00543713" w:rsidRDefault="00F53931" w:rsidP="00F53931">
            <w:pPr>
              <w:jc w:val="center"/>
              <w:rPr>
                <w:rFonts w:ascii="Arial Narrow" w:hAnsi="Arial Narrow"/>
                <w:b/>
                <w:sz w:val="20"/>
              </w:rPr>
            </w:pPr>
            <w:r w:rsidRPr="00543713">
              <w:rPr>
                <w:rFonts w:ascii="Arial Narrow" w:hAnsi="Arial Narrow"/>
                <w:b/>
                <w:sz w:val="20"/>
              </w:rPr>
              <w:t>Cost ($)</w:t>
            </w:r>
          </w:p>
        </w:tc>
        <w:tc>
          <w:tcPr>
            <w:tcW w:w="1418" w:type="dxa"/>
            <w:vAlign w:val="center"/>
          </w:tcPr>
          <w:p w14:paraId="1F49D04C" w14:textId="77777777" w:rsidR="00F53931" w:rsidRPr="00543713" w:rsidRDefault="00F53931" w:rsidP="00F53931">
            <w:pPr>
              <w:jc w:val="center"/>
              <w:rPr>
                <w:rFonts w:ascii="Arial Narrow" w:hAnsi="Arial Narrow"/>
                <w:b/>
                <w:sz w:val="20"/>
              </w:rPr>
            </w:pPr>
            <w:r w:rsidRPr="00543713">
              <w:rPr>
                <w:rFonts w:ascii="Arial Narrow" w:hAnsi="Arial Narrow"/>
                <w:b/>
                <w:sz w:val="20"/>
              </w:rPr>
              <w:t>Effectiveness</w:t>
            </w:r>
          </w:p>
          <w:p w14:paraId="6DC8C91A" w14:textId="77777777" w:rsidR="00F53931" w:rsidRPr="00543713" w:rsidRDefault="00F53931" w:rsidP="00F53931">
            <w:pPr>
              <w:jc w:val="center"/>
              <w:rPr>
                <w:rFonts w:ascii="Arial Narrow" w:hAnsi="Arial Narrow"/>
                <w:b/>
                <w:sz w:val="20"/>
              </w:rPr>
            </w:pPr>
            <w:r w:rsidRPr="00543713">
              <w:rPr>
                <w:rFonts w:ascii="Arial Narrow" w:hAnsi="Arial Narrow"/>
                <w:b/>
                <w:sz w:val="20"/>
              </w:rPr>
              <w:t>(Deaths)</w:t>
            </w:r>
            <w:r w:rsidRPr="00543713">
              <w:rPr>
                <w:rFonts w:ascii="Arial Narrow" w:hAnsi="Arial Narrow"/>
                <w:sz w:val="20"/>
              </w:rPr>
              <w:t>*</w:t>
            </w:r>
          </w:p>
        </w:tc>
        <w:tc>
          <w:tcPr>
            <w:tcW w:w="1417" w:type="dxa"/>
            <w:vAlign w:val="center"/>
          </w:tcPr>
          <w:p w14:paraId="4AD7CDF3" w14:textId="77777777" w:rsidR="00F53931" w:rsidRPr="00543713" w:rsidRDefault="00F53931" w:rsidP="00F53931">
            <w:pPr>
              <w:jc w:val="center"/>
              <w:rPr>
                <w:rFonts w:ascii="Arial Narrow" w:hAnsi="Arial Narrow"/>
                <w:b/>
                <w:sz w:val="20"/>
              </w:rPr>
            </w:pPr>
            <w:r w:rsidRPr="00543713">
              <w:rPr>
                <w:rFonts w:ascii="Arial Narrow" w:hAnsi="Arial Narrow"/>
                <w:b/>
                <w:sz w:val="20"/>
              </w:rPr>
              <w:t>Effectiveness</w:t>
            </w:r>
          </w:p>
          <w:p w14:paraId="5404C582" w14:textId="77777777" w:rsidR="00F53931" w:rsidRPr="00543713" w:rsidRDefault="00F53931" w:rsidP="00F53931">
            <w:pPr>
              <w:jc w:val="center"/>
              <w:rPr>
                <w:rFonts w:ascii="Arial Narrow" w:hAnsi="Arial Narrow"/>
                <w:b/>
                <w:sz w:val="20"/>
              </w:rPr>
            </w:pPr>
            <w:r w:rsidRPr="00543713">
              <w:rPr>
                <w:rFonts w:ascii="Arial Narrow" w:hAnsi="Arial Narrow"/>
                <w:b/>
                <w:sz w:val="20"/>
              </w:rPr>
              <w:t>(Mild HDFN)</w:t>
            </w:r>
          </w:p>
        </w:tc>
        <w:tc>
          <w:tcPr>
            <w:tcW w:w="1701" w:type="dxa"/>
            <w:vAlign w:val="center"/>
          </w:tcPr>
          <w:p w14:paraId="5619EB16" w14:textId="77777777" w:rsidR="00F53931" w:rsidRPr="00543713" w:rsidRDefault="00F53931" w:rsidP="00F53931">
            <w:pPr>
              <w:jc w:val="center"/>
              <w:rPr>
                <w:rFonts w:ascii="Arial Narrow" w:hAnsi="Arial Narrow"/>
                <w:b/>
                <w:sz w:val="20"/>
              </w:rPr>
            </w:pPr>
            <w:r w:rsidRPr="00543713">
              <w:rPr>
                <w:rFonts w:ascii="Arial Narrow" w:hAnsi="Arial Narrow"/>
                <w:b/>
                <w:sz w:val="20"/>
              </w:rPr>
              <w:t>Effectiveness</w:t>
            </w:r>
          </w:p>
          <w:p w14:paraId="3B5C832F" w14:textId="77777777" w:rsidR="00F53931" w:rsidRPr="00543713" w:rsidRDefault="00F53931" w:rsidP="00F53931">
            <w:pPr>
              <w:jc w:val="center"/>
              <w:rPr>
                <w:rFonts w:ascii="Arial Narrow" w:hAnsi="Arial Narrow"/>
                <w:b/>
                <w:sz w:val="20"/>
              </w:rPr>
            </w:pPr>
            <w:r w:rsidRPr="00543713">
              <w:rPr>
                <w:rFonts w:ascii="Arial Narrow" w:hAnsi="Arial Narrow"/>
                <w:b/>
                <w:sz w:val="20"/>
              </w:rPr>
              <w:t>(Severe HDFN)</w:t>
            </w:r>
            <w:r w:rsidRPr="00543713">
              <w:rPr>
                <w:rFonts w:ascii="Arial Narrow" w:hAnsi="Arial Narrow"/>
                <w:sz w:val="20"/>
              </w:rPr>
              <w:t>*</w:t>
            </w:r>
          </w:p>
        </w:tc>
        <w:tc>
          <w:tcPr>
            <w:tcW w:w="1701" w:type="dxa"/>
            <w:vAlign w:val="center"/>
          </w:tcPr>
          <w:p w14:paraId="672173E5" w14:textId="77777777" w:rsidR="00F53931" w:rsidRPr="00543713" w:rsidRDefault="00F53931" w:rsidP="00F53931">
            <w:pPr>
              <w:jc w:val="center"/>
              <w:rPr>
                <w:rFonts w:ascii="Arial Narrow" w:hAnsi="Arial Narrow"/>
                <w:b/>
                <w:sz w:val="20"/>
              </w:rPr>
            </w:pPr>
            <w:r w:rsidRPr="00543713">
              <w:rPr>
                <w:rFonts w:ascii="Arial Narrow" w:hAnsi="Arial Narrow"/>
                <w:b/>
                <w:sz w:val="20"/>
              </w:rPr>
              <w:t>Effectiveness</w:t>
            </w:r>
          </w:p>
          <w:p w14:paraId="0967FF85" w14:textId="77777777" w:rsidR="00F53931" w:rsidRPr="00543713" w:rsidRDefault="00F53931" w:rsidP="00F53931">
            <w:pPr>
              <w:jc w:val="center"/>
              <w:rPr>
                <w:rFonts w:ascii="Arial Narrow" w:hAnsi="Arial Narrow"/>
                <w:b/>
                <w:sz w:val="20"/>
              </w:rPr>
            </w:pPr>
            <w:r w:rsidRPr="00543713">
              <w:rPr>
                <w:rFonts w:ascii="Arial Narrow" w:hAnsi="Arial Narrow"/>
                <w:b/>
                <w:sz w:val="20"/>
              </w:rPr>
              <w:t>(Unaffected baby)</w:t>
            </w:r>
          </w:p>
        </w:tc>
      </w:tr>
      <w:tr w:rsidR="00F53931" w:rsidRPr="00543713" w14:paraId="638CC84F" w14:textId="77777777" w:rsidTr="009002A3">
        <w:trPr>
          <w:trHeight w:val="597"/>
        </w:trPr>
        <w:tc>
          <w:tcPr>
            <w:tcW w:w="1668" w:type="dxa"/>
          </w:tcPr>
          <w:p w14:paraId="3B9BF17A" w14:textId="77777777" w:rsidR="00F53931" w:rsidRPr="00543713" w:rsidRDefault="00F53931" w:rsidP="00F53931">
            <w:pPr>
              <w:rPr>
                <w:rFonts w:ascii="Arial Narrow" w:hAnsi="Arial Narrow"/>
                <w:sz w:val="20"/>
              </w:rPr>
            </w:pPr>
            <w:r w:rsidRPr="00543713">
              <w:rPr>
                <w:rFonts w:ascii="Arial Narrow" w:hAnsi="Arial Narrow"/>
                <w:sz w:val="20"/>
              </w:rPr>
              <w:t xml:space="preserve">Universal intensive </w:t>
            </w:r>
          </w:p>
          <w:p w14:paraId="688B9A54" w14:textId="77777777" w:rsidR="00F53931" w:rsidRPr="00543713" w:rsidRDefault="00F53931" w:rsidP="00F53931">
            <w:pPr>
              <w:rPr>
                <w:rFonts w:ascii="Arial Narrow" w:hAnsi="Arial Narrow"/>
                <w:sz w:val="20"/>
              </w:rPr>
            </w:pPr>
            <w:r w:rsidRPr="00543713">
              <w:rPr>
                <w:rFonts w:ascii="Arial Narrow" w:hAnsi="Arial Narrow"/>
                <w:sz w:val="20"/>
              </w:rPr>
              <w:t>monitoring</w:t>
            </w:r>
          </w:p>
        </w:tc>
        <w:tc>
          <w:tcPr>
            <w:tcW w:w="1134" w:type="dxa"/>
            <w:vAlign w:val="center"/>
          </w:tcPr>
          <w:p w14:paraId="4EAC6D85" w14:textId="77777777" w:rsidR="00F53931" w:rsidRPr="00543713" w:rsidRDefault="00F53931" w:rsidP="00F53931">
            <w:pPr>
              <w:jc w:val="center"/>
              <w:rPr>
                <w:rFonts w:ascii="Arial Narrow" w:hAnsi="Arial Narrow"/>
                <w:sz w:val="20"/>
              </w:rPr>
            </w:pPr>
            <w:r w:rsidRPr="00543713">
              <w:rPr>
                <w:rFonts w:ascii="Arial Narrow" w:hAnsi="Arial Narrow"/>
                <w:sz w:val="20"/>
              </w:rPr>
              <w:t>11,726</w:t>
            </w:r>
          </w:p>
        </w:tc>
        <w:tc>
          <w:tcPr>
            <w:tcW w:w="1418" w:type="dxa"/>
            <w:vAlign w:val="center"/>
          </w:tcPr>
          <w:p w14:paraId="47F25B76" w14:textId="77777777" w:rsidR="00F53931" w:rsidRPr="00543713" w:rsidRDefault="00F53931" w:rsidP="00F53931">
            <w:pPr>
              <w:jc w:val="center"/>
              <w:rPr>
                <w:rFonts w:ascii="Arial Narrow" w:hAnsi="Arial Narrow"/>
                <w:sz w:val="20"/>
              </w:rPr>
            </w:pPr>
            <w:r w:rsidRPr="00543713">
              <w:rPr>
                <w:rFonts w:ascii="Arial Narrow" w:hAnsi="Arial Narrow"/>
                <w:sz w:val="20"/>
              </w:rPr>
              <w:t>0.05^</w:t>
            </w:r>
          </w:p>
        </w:tc>
        <w:tc>
          <w:tcPr>
            <w:tcW w:w="1417" w:type="dxa"/>
            <w:vAlign w:val="center"/>
          </w:tcPr>
          <w:p w14:paraId="37AB9708" w14:textId="77777777" w:rsidR="00F53931" w:rsidRPr="00543713" w:rsidRDefault="00F53931" w:rsidP="00F53931">
            <w:pPr>
              <w:jc w:val="center"/>
              <w:rPr>
                <w:rFonts w:ascii="Arial Narrow" w:hAnsi="Arial Narrow"/>
                <w:sz w:val="20"/>
              </w:rPr>
            </w:pPr>
            <w:r w:rsidRPr="00543713">
              <w:rPr>
                <w:rFonts w:ascii="Arial Narrow" w:hAnsi="Arial Narrow"/>
                <w:sz w:val="20"/>
              </w:rPr>
              <w:t>0.24</w:t>
            </w:r>
          </w:p>
        </w:tc>
        <w:tc>
          <w:tcPr>
            <w:tcW w:w="1701" w:type="dxa"/>
            <w:vAlign w:val="center"/>
          </w:tcPr>
          <w:p w14:paraId="4CCDED97" w14:textId="77777777" w:rsidR="00F53931" w:rsidRPr="00543713" w:rsidRDefault="00F53931" w:rsidP="00F53931">
            <w:pPr>
              <w:jc w:val="center"/>
              <w:rPr>
                <w:rFonts w:ascii="Arial Narrow" w:hAnsi="Arial Narrow"/>
                <w:sz w:val="20"/>
              </w:rPr>
            </w:pPr>
            <w:r w:rsidRPr="00543713">
              <w:rPr>
                <w:rFonts w:ascii="Arial Narrow" w:hAnsi="Arial Narrow"/>
                <w:sz w:val="20"/>
              </w:rPr>
              <w:t>0.027</w:t>
            </w:r>
          </w:p>
        </w:tc>
        <w:tc>
          <w:tcPr>
            <w:tcW w:w="1701" w:type="dxa"/>
            <w:vAlign w:val="center"/>
          </w:tcPr>
          <w:p w14:paraId="132091F9" w14:textId="77777777" w:rsidR="00F53931" w:rsidRPr="00543713" w:rsidRDefault="00F53931" w:rsidP="00F53931">
            <w:pPr>
              <w:jc w:val="center"/>
              <w:rPr>
                <w:rFonts w:ascii="Arial Narrow" w:hAnsi="Arial Narrow"/>
                <w:sz w:val="20"/>
              </w:rPr>
            </w:pPr>
            <w:r w:rsidRPr="00543713">
              <w:rPr>
                <w:rFonts w:ascii="Arial Narrow" w:hAnsi="Arial Narrow"/>
                <w:sz w:val="20"/>
              </w:rPr>
              <w:t>0.68</w:t>
            </w:r>
          </w:p>
        </w:tc>
      </w:tr>
    </w:tbl>
    <w:p w14:paraId="2AED6A26" w14:textId="77777777" w:rsidR="00F53931" w:rsidRDefault="00F53931" w:rsidP="00F53931">
      <w:pPr>
        <w:pStyle w:val="Tablenotes1"/>
      </w:pPr>
      <w:r>
        <w:t xml:space="preserve">* used in the population-based model; </w:t>
      </w:r>
    </w:p>
    <w:p w14:paraId="710DF969" w14:textId="77777777" w:rsidR="00F53931" w:rsidRDefault="00F53931" w:rsidP="00F53931">
      <w:pPr>
        <w:pStyle w:val="Tablenotes1"/>
      </w:pPr>
      <w:r>
        <w:t>^ includes miscarriages and terminations</w:t>
      </w:r>
    </w:p>
    <w:p w14:paraId="40262788" w14:textId="77777777" w:rsidR="00F53931" w:rsidRDefault="00F53931" w:rsidP="00F53931">
      <w:pPr>
        <w:pStyle w:val="Tablenotes1"/>
      </w:pPr>
      <w:r>
        <w:t>Source: DCAR, Table 8</w:t>
      </w:r>
    </w:p>
    <w:p w14:paraId="7BAC7413" w14:textId="5EFFE99B" w:rsidR="009002A3" w:rsidRPr="00526E92" w:rsidRDefault="009002A3" w:rsidP="00D135F2">
      <w:pPr>
        <w:pStyle w:val="TableHeading"/>
      </w:pPr>
      <w:bookmarkStart w:id="17" w:name="_Ref162029404"/>
      <w:r>
        <w:t xml:space="preserve">Table </w:t>
      </w:r>
      <w:r>
        <w:fldChar w:fldCharType="begin"/>
      </w:r>
      <w:r>
        <w:instrText xml:space="preserve"> SEQ Table \* ARABIC </w:instrText>
      </w:r>
      <w:r>
        <w:fldChar w:fldCharType="separate"/>
      </w:r>
      <w:r w:rsidR="00C751E2">
        <w:t>11</w:t>
      </w:r>
      <w:r>
        <w:fldChar w:fldCharType="end"/>
      </w:r>
      <w:bookmarkEnd w:id="17"/>
      <w:r w:rsidR="00526E92" w:rsidRPr="00526E92">
        <w:t xml:space="preserve"> </w:t>
      </w:r>
      <w:r w:rsidR="00526E92" w:rsidRPr="00053FE0">
        <w:t xml:space="preserve">: Results of the population-based analysis (no discounting) </w:t>
      </w:r>
    </w:p>
    <w:tbl>
      <w:tblPr>
        <w:tblStyle w:val="TableGrid2"/>
        <w:tblW w:w="0" w:type="auto"/>
        <w:tblInd w:w="28"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701"/>
        <w:gridCol w:w="1527"/>
        <w:gridCol w:w="1701"/>
        <w:gridCol w:w="850"/>
        <w:gridCol w:w="1134"/>
        <w:gridCol w:w="851"/>
        <w:gridCol w:w="1134"/>
      </w:tblGrid>
      <w:tr w:rsidR="00F53931" w:rsidRPr="001B6476" w14:paraId="391D7C14" w14:textId="77777777" w:rsidTr="009002A3">
        <w:trPr>
          <w:cnfStyle w:val="100000000000" w:firstRow="1" w:lastRow="0" w:firstColumn="0" w:lastColumn="0" w:oddVBand="0" w:evenVBand="0" w:oddHBand="0" w:evenHBand="0" w:firstRowFirstColumn="0" w:firstRowLastColumn="0" w:lastRowFirstColumn="0" w:lastRowLastColumn="0"/>
          <w:tblHeader/>
        </w:trPr>
        <w:tc>
          <w:tcPr>
            <w:tcW w:w="1701" w:type="dxa"/>
            <w:tcBorders>
              <w:bottom w:val="single" w:sz="4" w:space="0" w:color="auto"/>
            </w:tcBorders>
            <w:vAlign w:val="center"/>
          </w:tcPr>
          <w:p w14:paraId="069ED114"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Strategy</w:t>
            </w:r>
          </w:p>
        </w:tc>
        <w:tc>
          <w:tcPr>
            <w:tcW w:w="1527" w:type="dxa"/>
            <w:tcBorders>
              <w:bottom w:val="single" w:sz="4" w:space="0" w:color="auto"/>
            </w:tcBorders>
            <w:vAlign w:val="center"/>
          </w:tcPr>
          <w:p w14:paraId="15C7AFC7"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Alloimmunisations</w:t>
            </w:r>
          </w:p>
        </w:tc>
        <w:tc>
          <w:tcPr>
            <w:tcW w:w="1701" w:type="dxa"/>
            <w:tcBorders>
              <w:bottom w:val="single" w:sz="4" w:space="0" w:color="auto"/>
            </w:tcBorders>
            <w:vAlign w:val="center"/>
          </w:tcPr>
          <w:p w14:paraId="28AF3205"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Incremental</w:t>
            </w:r>
          </w:p>
          <w:p w14:paraId="641EC3A7"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alloimmunisations</w:t>
            </w:r>
          </w:p>
        </w:tc>
        <w:tc>
          <w:tcPr>
            <w:tcW w:w="850" w:type="dxa"/>
            <w:tcBorders>
              <w:bottom w:val="single" w:sz="4" w:space="0" w:color="auto"/>
            </w:tcBorders>
            <w:vAlign w:val="center"/>
          </w:tcPr>
          <w:p w14:paraId="0B44D5B5"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Severe HDFN</w:t>
            </w:r>
          </w:p>
        </w:tc>
        <w:tc>
          <w:tcPr>
            <w:tcW w:w="1134" w:type="dxa"/>
            <w:tcBorders>
              <w:bottom w:val="single" w:sz="4" w:space="0" w:color="auto"/>
            </w:tcBorders>
          </w:tcPr>
          <w:p w14:paraId="6AC733C7"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Incremental</w:t>
            </w:r>
          </w:p>
          <w:p w14:paraId="771A4DE1"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severe HDFN</w:t>
            </w:r>
          </w:p>
        </w:tc>
        <w:tc>
          <w:tcPr>
            <w:tcW w:w="851" w:type="dxa"/>
            <w:tcBorders>
              <w:bottom w:val="single" w:sz="4" w:space="0" w:color="auto"/>
            </w:tcBorders>
            <w:vAlign w:val="center"/>
          </w:tcPr>
          <w:p w14:paraId="472AA2DB"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Deaths</w:t>
            </w:r>
          </w:p>
        </w:tc>
        <w:tc>
          <w:tcPr>
            <w:tcW w:w="1134" w:type="dxa"/>
            <w:tcBorders>
              <w:bottom w:val="single" w:sz="4" w:space="0" w:color="auto"/>
            </w:tcBorders>
          </w:tcPr>
          <w:p w14:paraId="49B6779C"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Incremental</w:t>
            </w:r>
          </w:p>
          <w:p w14:paraId="78178385" w14:textId="77777777" w:rsidR="00F53931" w:rsidRPr="00567F9E" w:rsidRDefault="00F53931" w:rsidP="00567F9E">
            <w:pPr>
              <w:spacing w:before="0" w:after="0"/>
              <w:jc w:val="center"/>
              <w:rPr>
                <w:rFonts w:ascii="Arial Narrow" w:hAnsi="Arial Narrow"/>
                <w:b/>
                <w:sz w:val="20"/>
              </w:rPr>
            </w:pPr>
            <w:r w:rsidRPr="00567F9E">
              <w:rPr>
                <w:rFonts w:ascii="Arial Narrow" w:hAnsi="Arial Narrow"/>
                <w:b/>
                <w:sz w:val="20"/>
              </w:rPr>
              <w:t>Deaths</w:t>
            </w:r>
          </w:p>
        </w:tc>
      </w:tr>
      <w:tr w:rsidR="00F53931" w:rsidRPr="001B6476" w14:paraId="15D78778" w14:textId="77777777" w:rsidTr="009002A3">
        <w:tc>
          <w:tcPr>
            <w:tcW w:w="1701" w:type="dxa"/>
          </w:tcPr>
          <w:p w14:paraId="3B2DE15C" w14:textId="77777777" w:rsidR="00F53931" w:rsidRPr="001B6476" w:rsidRDefault="00F53931" w:rsidP="00F53931">
            <w:pPr>
              <w:jc w:val="both"/>
              <w:rPr>
                <w:sz w:val="20"/>
              </w:rPr>
            </w:pPr>
            <w:r w:rsidRPr="001B6476">
              <w:rPr>
                <w:sz w:val="20"/>
              </w:rPr>
              <w:t>NIPT-guided anti-D Ig</w:t>
            </w:r>
          </w:p>
        </w:tc>
        <w:tc>
          <w:tcPr>
            <w:tcW w:w="1527" w:type="dxa"/>
            <w:vAlign w:val="center"/>
          </w:tcPr>
          <w:p w14:paraId="6A2B54F2" w14:textId="77777777" w:rsidR="00F53931" w:rsidRPr="001B6476" w:rsidRDefault="00F53931" w:rsidP="00F53931">
            <w:pPr>
              <w:jc w:val="center"/>
              <w:rPr>
                <w:sz w:val="20"/>
              </w:rPr>
            </w:pPr>
            <w:r w:rsidRPr="001B6476">
              <w:rPr>
                <w:sz w:val="20"/>
              </w:rPr>
              <w:t>56.35</w:t>
            </w:r>
          </w:p>
        </w:tc>
        <w:tc>
          <w:tcPr>
            <w:tcW w:w="1701" w:type="dxa"/>
            <w:tcBorders>
              <w:bottom w:val="nil"/>
            </w:tcBorders>
            <w:vAlign w:val="center"/>
          </w:tcPr>
          <w:p w14:paraId="1B66AF8B" w14:textId="77777777" w:rsidR="00F53931" w:rsidRPr="001B6476" w:rsidRDefault="00F53931" w:rsidP="00F53931">
            <w:pPr>
              <w:jc w:val="center"/>
              <w:rPr>
                <w:sz w:val="20"/>
              </w:rPr>
            </w:pPr>
            <w:r w:rsidRPr="001B6476">
              <w:rPr>
                <w:sz w:val="20"/>
              </w:rPr>
              <w:t>1.87</w:t>
            </w:r>
          </w:p>
        </w:tc>
        <w:tc>
          <w:tcPr>
            <w:tcW w:w="850" w:type="dxa"/>
          </w:tcPr>
          <w:p w14:paraId="4D6922FD" w14:textId="77777777" w:rsidR="00F53931" w:rsidRPr="001B6476" w:rsidRDefault="00F53931" w:rsidP="00F53931">
            <w:pPr>
              <w:jc w:val="center"/>
              <w:rPr>
                <w:sz w:val="20"/>
              </w:rPr>
            </w:pPr>
            <w:r w:rsidRPr="001B6476">
              <w:rPr>
                <w:sz w:val="20"/>
              </w:rPr>
              <w:t>0.86</w:t>
            </w:r>
          </w:p>
        </w:tc>
        <w:tc>
          <w:tcPr>
            <w:tcW w:w="1134" w:type="dxa"/>
            <w:tcBorders>
              <w:bottom w:val="nil"/>
            </w:tcBorders>
            <w:vAlign w:val="center"/>
          </w:tcPr>
          <w:p w14:paraId="5570264A" w14:textId="77777777" w:rsidR="00F53931" w:rsidRPr="001B6476" w:rsidRDefault="00F53931" w:rsidP="00F53931">
            <w:pPr>
              <w:jc w:val="center"/>
              <w:rPr>
                <w:sz w:val="20"/>
              </w:rPr>
            </w:pPr>
            <w:r w:rsidRPr="001B6476">
              <w:rPr>
                <w:sz w:val="20"/>
              </w:rPr>
              <w:t>0.03</w:t>
            </w:r>
          </w:p>
        </w:tc>
        <w:tc>
          <w:tcPr>
            <w:tcW w:w="851" w:type="dxa"/>
          </w:tcPr>
          <w:p w14:paraId="4A79D1AE" w14:textId="77777777" w:rsidR="00F53931" w:rsidRPr="001B6476" w:rsidRDefault="00F53931" w:rsidP="00F53931">
            <w:pPr>
              <w:jc w:val="center"/>
              <w:rPr>
                <w:sz w:val="20"/>
              </w:rPr>
            </w:pPr>
            <w:r w:rsidRPr="001B6476">
              <w:rPr>
                <w:sz w:val="20"/>
              </w:rPr>
              <w:t>1.59</w:t>
            </w:r>
          </w:p>
        </w:tc>
        <w:tc>
          <w:tcPr>
            <w:tcW w:w="1134" w:type="dxa"/>
            <w:tcBorders>
              <w:bottom w:val="nil"/>
            </w:tcBorders>
            <w:vAlign w:val="center"/>
          </w:tcPr>
          <w:p w14:paraId="3E6DD029" w14:textId="77777777" w:rsidR="00F53931" w:rsidRPr="001B6476" w:rsidRDefault="00F53931" w:rsidP="00F53931">
            <w:pPr>
              <w:jc w:val="center"/>
              <w:rPr>
                <w:sz w:val="20"/>
              </w:rPr>
            </w:pPr>
            <w:r w:rsidRPr="001B6476">
              <w:rPr>
                <w:sz w:val="20"/>
              </w:rPr>
              <w:t>0.05</w:t>
            </w:r>
          </w:p>
        </w:tc>
      </w:tr>
      <w:tr w:rsidR="00F53931" w:rsidRPr="001B6476" w14:paraId="2B29BCD1" w14:textId="77777777" w:rsidTr="009002A3">
        <w:tc>
          <w:tcPr>
            <w:tcW w:w="1701" w:type="dxa"/>
          </w:tcPr>
          <w:p w14:paraId="0874C084" w14:textId="77777777" w:rsidR="00F53931" w:rsidRPr="001B6476" w:rsidRDefault="00F53931" w:rsidP="00F53931">
            <w:pPr>
              <w:jc w:val="both"/>
              <w:rPr>
                <w:sz w:val="20"/>
              </w:rPr>
            </w:pPr>
            <w:r w:rsidRPr="001B6476">
              <w:rPr>
                <w:sz w:val="20"/>
              </w:rPr>
              <w:t>Universal anti-D Ig</w:t>
            </w:r>
          </w:p>
        </w:tc>
        <w:tc>
          <w:tcPr>
            <w:tcW w:w="1527" w:type="dxa"/>
            <w:vAlign w:val="center"/>
          </w:tcPr>
          <w:p w14:paraId="020A4B18" w14:textId="77777777" w:rsidR="00F53931" w:rsidRPr="001B6476" w:rsidRDefault="00F53931" w:rsidP="00F53931">
            <w:pPr>
              <w:jc w:val="center"/>
              <w:rPr>
                <w:sz w:val="20"/>
              </w:rPr>
            </w:pPr>
            <w:r w:rsidRPr="001B6476">
              <w:rPr>
                <w:sz w:val="20"/>
              </w:rPr>
              <w:t>54.48</w:t>
            </w:r>
          </w:p>
        </w:tc>
        <w:tc>
          <w:tcPr>
            <w:tcW w:w="1701" w:type="dxa"/>
            <w:tcBorders>
              <w:top w:val="nil"/>
            </w:tcBorders>
            <w:vAlign w:val="center"/>
          </w:tcPr>
          <w:p w14:paraId="5FEF819A" w14:textId="77777777" w:rsidR="00F53931" w:rsidRPr="001B6476" w:rsidRDefault="00F53931" w:rsidP="00F53931">
            <w:pPr>
              <w:jc w:val="center"/>
              <w:rPr>
                <w:sz w:val="20"/>
              </w:rPr>
            </w:pPr>
          </w:p>
        </w:tc>
        <w:tc>
          <w:tcPr>
            <w:tcW w:w="850" w:type="dxa"/>
          </w:tcPr>
          <w:p w14:paraId="024BDF65" w14:textId="77777777" w:rsidR="00F53931" w:rsidRPr="001B6476" w:rsidRDefault="00F53931" w:rsidP="00F53931">
            <w:pPr>
              <w:jc w:val="center"/>
              <w:rPr>
                <w:sz w:val="20"/>
              </w:rPr>
            </w:pPr>
            <w:r w:rsidRPr="001B6476">
              <w:rPr>
                <w:sz w:val="20"/>
              </w:rPr>
              <w:t>0.83</w:t>
            </w:r>
          </w:p>
        </w:tc>
        <w:tc>
          <w:tcPr>
            <w:tcW w:w="1134" w:type="dxa"/>
            <w:tcBorders>
              <w:top w:val="nil"/>
            </w:tcBorders>
          </w:tcPr>
          <w:p w14:paraId="33C5E621" w14:textId="77777777" w:rsidR="00F53931" w:rsidRPr="001B6476" w:rsidRDefault="00F53931" w:rsidP="00F53931">
            <w:pPr>
              <w:jc w:val="center"/>
              <w:rPr>
                <w:sz w:val="20"/>
              </w:rPr>
            </w:pPr>
          </w:p>
        </w:tc>
        <w:tc>
          <w:tcPr>
            <w:tcW w:w="851" w:type="dxa"/>
          </w:tcPr>
          <w:p w14:paraId="4A1A61EC" w14:textId="77777777" w:rsidR="00F53931" w:rsidRPr="001B6476" w:rsidRDefault="00F53931" w:rsidP="00F53931">
            <w:pPr>
              <w:jc w:val="center"/>
              <w:rPr>
                <w:sz w:val="20"/>
              </w:rPr>
            </w:pPr>
            <w:r w:rsidRPr="001B6476">
              <w:rPr>
                <w:sz w:val="20"/>
              </w:rPr>
              <w:t>1.54</w:t>
            </w:r>
          </w:p>
        </w:tc>
        <w:tc>
          <w:tcPr>
            <w:tcW w:w="1134" w:type="dxa"/>
            <w:tcBorders>
              <w:top w:val="nil"/>
            </w:tcBorders>
          </w:tcPr>
          <w:p w14:paraId="712B74B8" w14:textId="77777777" w:rsidR="00F53931" w:rsidRPr="001B6476" w:rsidRDefault="00F53931" w:rsidP="00F53931">
            <w:pPr>
              <w:jc w:val="center"/>
              <w:rPr>
                <w:sz w:val="20"/>
              </w:rPr>
            </w:pPr>
          </w:p>
        </w:tc>
      </w:tr>
    </w:tbl>
    <w:p w14:paraId="7B3D6F12" w14:textId="77777777" w:rsidR="00F53931" w:rsidRDefault="00F53931" w:rsidP="00F53931">
      <w:pPr>
        <w:pStyle w:val="Tablenotes1"/>
      </w:pPr>
      <w:r>
        <w:t>Source: DCAR, Table 10</w:t>
      </w:r>
    </w:p>
    <w:p w14:paraId="31D74E99" w14:textId="6BBE747C" w:rsidR="00F53931" w:rsidRDefault="00F53931" w:rsidP="00F53931">
      <w:r>
        <w:t>The DCAR noted that i</w:t>
      </w:r>
      <w:r w:rsidRPr="00142806">
        <w:t xml:space="preserve">n the base-case analysis, NIPT-guided anti-D </w:t>
      </w:r>
      <w:r>
        <w:t>Ig</w:t>
      </w:r>
      <w:r w:rsidRPr="00142806">
        <w:t xml:space="preserve"> pro</w:t>
      </w:r>
      <w:r>
        <w:t>p</w:t>
      </w:r>
      <w:r w:rsidRPr="00142806">
        <w:t xml:space="preserve">hylaxis is a cost-saving strategy, being less expensive than the comparator universal anti-D </w:t>
      </w:r>
      <w:r>
        <w:t>Ig</w:t>
      </w:r>
      <w:r w:rsidRPr="00142806">
        <w:t xml:space="preserve"> pro</w:t>
      </w:r>
      <w:r>
        <w:t>p</w:t>
      </w:r>
      <w:r w:rsidRPr="00142806">
        <w:t>hylaxis</w:t>
      </w:r>
      <w:r>
        <w:t>,</w:t>
      </w:r>
      <w:r w:rsidRPr="00142806">
        <w:t xml:space="preserve"> by $9.17 per pregnancy. The NIPT</w:t>
      </w:r>
      <w:r>
        <w:t>-guided</w:t>
      </w:r>
      <w:r w:rsidRPr="00142806">
        <w:t xml:space="preserve"> strategy is also associated with a slightly higher risk of alloimmunisation (less than six additional alloimmunised pregnancies per 100,000). This is consistent with the </w:t>
      </w:r>
      <w:r>
        <w:t xml:space="preserve">published </w:t>
      </w:r>
      <w:r w:rsidRPr="00142806">
        <w:t>estimates where the NIPT-guided strategy resulted in about three extra sensitisations per 100,000 women</w:t>
      </w:r>
      <w:r>
        <w:t>,</w:t>
      </w:r>
      <w:r w:rsidRPr="00142806">
        <w:t xml:space="preserve"> compared to the universal anti-D </w:t>
      </w:r>
      <w:r>
        <w:t>Ig</w:t>
      </w:r>
      <w:r w:rsidRPr="00142806">
        <w:t xml:space="preserve"> prophylaxis strategy with a postnatal cord blood test and anti-D </w:t>
      </w:r>
      <w:r>
        <w:t>Ig</w:t>
      </w:r>
      <w:r w:rsidRPr="00142806">
        <w:t>, if required</w:t>
      </w:r>
      <w:r>
        <w:rPr>
          <w:rStyle w:val="FootnoteReference"/>
        </w:rPr>
        <w:footnoteReference w:id="18"/>
      </w:r>
      <w:r w:rsidRPr="00142806">
        <w:t>.</w:t>
      </w:r>
    </w:p>
    <w:p w14:paraId="0EE10E91" w14:textId="429CDF6B" w:rsidR="00F53931" w:rsidRDefault="00F53931" w:rsidP="002C6CD4">
      <w:pPr>
        <w:spacing w:before="240"/>
      </w:pPr>
      <w:r>
        <w:t>The DCAR commented that i</w:t>
      </w:r>
      <w:r w:rsidRPr="00712EBB">
        <w:t xml:space="preserve">n absolute terms, the introduction of </w:t>
      </w:r>
      <w:r w:rsidRPr="00712EBB">
        <w:rPr>
          <w:i/>
        </w:rPr>
        <w:t>RHD</w:t>
      </w:r>
      <w:r w:rsidRPr="00712EBB">
        <w:t xml:space="preserve">-NIPT to </w:t>
      </w:r>
      <w:r>
        <w:t xml:space="preserve">the </w:t>
      </w:r>
      <w:r w:rsidRPr="00712EBB">
        <w:t xml:space="preserve">current practice of universal anti-D </w:t>
      </w:r>
      <w:r>
        <w:t>Ig</w:t>
      </w:r>
      <w:r w:rsidRPr="00712EBB">
        <w:t xml:space="preserve"> prophylaxis resulted in less than two additional alloimmunisations, 0.03 additional severe HDFN cases and 0.05 additional deaths over the child-bearing period of an Australian RhD</w:t>
      </w:r>
      <w:r>
        <w:t>-</w:t>
      </w:r>
      <w:r w:rsidRPr="00712EBB">
        <w:t>negative woman.</w:t>
      </w:r>
      <w:r>
        <w:t xml:space="preserve"> The modelled number of alloimmunisations was found to be consistent with real-world data on alloimmunisation rates in A</w:t>
      </w:r>
      <w:r w:rsidR="002C6CD4">
        <w:t>ustralia provided by LifeBlood.</w:t>
      </w:r>
    </w:p>
    <w:p w14:paraId="5A1DE769" w14:textId="2C768586" w:rsidR="00F53931" w:rsidRDefault="00F53931" w:rsidP="002C6CD4">
      <w:pPr>
        <w:spacing w:before="240"/>
      </w:pPr>
      <w:r>
        <w:t>The DCAR stated that w</w:t>
      </w:r>
      <w:r w:rsidRPr="00F4422F">
        <w:t xml:space="preserve">ith respect to the size of the original cohort of primiparous RhD-negative patients with an </w:t>
      </w:r>
      <w:r w:rsidRPr="00CA579A">
        <w:rPr>
          <w:i/>
        </w:rPr>
        <w:t>RHD</w:t>
      </w:r>
      <w:r w:rsidR="001C1FFA">
        <w:t>-</w:t>
      </w:r>
      <w:r w:rsidRPr="00F4422F">
        <w:t>positive fetus (N=13,280), results indicated that introduction of NIPT would be associated with 0.00013 additional alloimmunisations (1.3 per 10,000), 0.000002 (2 per 1,000,000) additional severe haemolytic disease of the fetus and newborn (HDFN) cases and 0.000004 (4 per 1,000,000) additional deaths.</w:t>
      </w:r>
      <w:r>
        <w:t xml:space="preserve"> In the rejoinder, the HTA group clarified that while this means ‘</w:t>
      </w:r>
      <w:r w:rsidRPr="00F4422F">
        <w:t>six additional sever</w:t>
      </w:r>
      <w:r>
        <w:t>e HDFN cases, four of whom died’</w:t>
      </w:r>
      <w:r w:rsidRPr="00F4422F">
        <w:t>, it would be confusing and suggest that all fetal and neonatal deaths occurred after the diagnosis of HDFN. This is inconsistent with some of the model inputs (</w:t>
      </w:r>
      <w:r>
        <w:t>DCAR, Table 42</w:t>
      </w:r>
      <w:r w:rsidRPr="00F4422F">
        <w:t xml:space="preserve">) where the probability of fetal loss included deaths due to HDFN, due to invasive procedures, </w:t>
      </w:r>
      <w:r w:rsidRPr="00F4422F">
        <w:lastRenderedPageBreak/>
        <w:t>but also</w:t>
      </w:r>
      <w:r>
        <w:t xml:space="preserve"> miscarriages and terminations</w:t>
      </w:r>
      <w:r w:rsidRPr="00F4422F">
        <w:t>. Only late terminations might be associated with the pre-natal diagnosis of HDFN.</w:t>
      </w:r>
    </w:p>
    <w:p w14:paraId="7610E71A" w14:textId="138FF2C3" w:rsidR="00526E92" w:rsidRDefault="00F53931" w:rsidP="00480AB1">
      <w:pPr>
        <w:spacing w:before="240" w:after="240"/>
      </w:pPr>
      <w:r>
        <w:t>The DCAR calculated the i</w:t>
      </w:r>
      <w:r w:rsidRPr="00CA4C2A">
        <w:t>ncremental cost-savings under the assumption of a high-thro</w:t>
      </w:r>
      <w:r>
        <w:t>ughput NIPT being listed on MBS</w:t>
      </w:r>
      <w:r w:rsidRPr="00CA4C2A">
        <w:t xml:space="preserve"> as </w:t>
      </w:r>
      <w:r>
        <w:t>below</w:t>
      </w:r>
      <w:r w:rsidRPr="00CA4C2A">
        <w:t xml:space="preserve"> (</w:t>
      </w:r>
      <w:r w:rsidR="007D75A9">
        <w:fldChar w:fldCharType="begin"/>
      </w:r>
      <w:r w:rsidR="007D75A9">
        <w:instrText xml:space="preserve"> REF _Ref162029446 \h </w:instrText>
      </w:r>
      <w:r w:rsidR="007D75A9">
        <w:fldChar w:fldCharType="separate"/>
      </w:r>
      <w:r w:rsidR="00C751E2">
        <w:t xml:space="preserve">Table </w:t>
      </w:r>
      <w:r w:rsidR="00C751E2">
        <w:rPr>
          <w:noProof/>
        </w:rPr>
        <w:t>12</w:t>
      </w:r>
      <w:r w:rsidR="007D75A9">
        <w:fldChar w:fldCharType="end"/>
      </w:r>
      <w:r>
        <w:t>), based on reducing the $9.17 NIPT-</w:t>
      </w:r>
      <w:r w:rsidRPr="00857D92">
        <w:t>related savings per pregnancy (</w:t>
      </w:r>
      <w:r w:rsidR="00AA1128">
        <w:t>Table 9</w:t>
      </w:r>
      <w:r w:rsidR="00C751E2">
        <w:t>)</w:t>
      </w:r>
      <w:r w:rsidRPr="00857D92">
        <w:t xml:space="preserve"> to account for the larger number of alloimmunised pregnancies associated with introduction of </w:t>
      </w:r>
      <w:r w:rsidRPr="00857D92">
        <w:rPr>
          <w:i/>
          <w:iCs/>
        </w:rPr>
        <w:t>RHD-</w:t>
      </w:r>
      <w:r w:rsidRPr="00857D92">
        <w:t>NIPT. The mean cost of monitoring and treatment per alloimmunised pregnancy was $11,726 (</w:t>
      </w:r>
      <w:r w:rsidR="00AA1128">
        <w:t>Table 10</w:t>
      </w:r>
      <w:r>
        <w:t>)</w:t>
      </w:r>
      <w:r w:rsidRPr="00CA4C2A">
        <w:t>,</w:t>
      </w:r>
      <w:r>
        <w:t xml:space="preserve"> and</w:t>
      </w:r>
      <w:r w:rsidRPr="00CA4C2A">
        <w:t xml:space="preserve"> the incremental cost of monitoring and treatment of alloimmunised pregnancies decreases to $1,521 in the third alloimmunised pregnancy.</w:t>
      </w:r>
      <w:r>
        <w:t xml:space="preserve"> The a</w:t>
      </w:r>
      <w:r w:rsidRPr="00CA4C2A">
        <w:t xml:space="preserve">ggregated incremental costs of monitoring and treatment of HDFN cases across the alloimmunised pregnancies was $14,699. Deducting this amount from the </w:t>
      </w:r>
      <w:r w:rsidRPr="00CA4C2A">
        <w:rPr>
          <w:i/>
          <w:iCs/>
        </w:rPr>
        <w:t>RHD-</w:t>
      </w:r>
      <w:r w:rsidRPr="00CA4C2A">
        <w:t>NIPT-related savings from the index pregnancy produced the final estimate of potential savings of $82,044 or $75,374 when 5% discounting was applied</w:t>
      </w:r>
      <w:r w:rsidR="002C6CD4">
        <w:t>.</w:t>
      </w:r>
    </w:p>
    <w:p w14:paraId="3609A4E5" w14:textId="448A1F5E" w:rsidR="009002A3" w:rsidRPr="00526E92" w:rsidRDefault="009002A3" w:rsidP="00D135F2">
      <w:pPr>
        <w:pStyle w:val="TableHeading"/>
      </w:pPr>
      <w:bookmarkStart w:id="18" w:name="_Ref162029446"/>
      <w:r>
        <w:t xml:space="preserve">Table </w:t>
      </w:r>
      <w:r>
        <w:fldChar w:fldCharType="begin"/>
      </w:r>
      <w:r>
        <w:instrText xml:space="preserve"> SEQ Table \* ARABIC </w:instrText>
      </w:r>
      <w:r>
        <w:fldChar w:fldCharType="separate"/>
      </w:r>
      <w:r w:rsidR="00C751E2">
        <w:t>12</w:t>
      </w:r>
      <w:r>
        <w:fldChar w:fldCharType="end"/>
      </w:r>
      <w:bookmarkEnd w:id="18"/>
      <w:r w:rsidR="00526E92" w:rsidRPr="00526E92">
        <w:t xml:space="preserve"> </w:t>
      </w:r>
      <w:r w:rsidR="00526E92" w:rsidRPr="00053FE0">
        <w:t xml:space="preserve">: Algorithm for calculation of incremental savings if a high-throughput NIPT were listed on MBS </w:t>
      </w:r>
    </w:p>
    <w:tbl>
      <w:tblPr>
        <w:tblStyle w:val="TableGrid"/>
        <w:tblW w:w="9067" w:type="dxa"/>
        <w:tblLook w:val="04A0" w:firstRow="1" w:lastRow="0" w:firstColumn="1" w:lastColumn="0" w:noHBand="0" w:noVBand="1"/>
        <w:tblDescription w:val="Algorithm for calculation of incremental savings if a high-throughput NIPT were listed on MBS "/>
      </w:tblPr>
      <w:tblGrid>
        <w:gridCol w:w="1824"/>
        <w:gridCol w:w="1573"/>
        <w:gridCol w:w="1243"/>
        <w:gridCol w:w="1129"/>
        <w:gridCol w:w="1209"/>
        <w:gridCol w:w="6"/>
        <w:gridCol w:w="2083"/>
      </w:tblGrid>
      <w:tr w:rsidR="00F53931" w:rsidRPr="00EE1852" w14:paraId="624ACA66" w14:textId="77777777" w:rsidTr="009002A3">
        <w:trPr>
          <w:trHeight w:val="597"/>
          <w:tblHeader/>
        </w:trPr>
        <w:tc>
          <w:tcPr>
            <w:tcW w:w="1824" w:type="dxa"/>
            <w:vAlign w:val="center"/>
          </w:tcPr>
          <w:p w14:paraId="326D9A09" w14:textId="77777777" w:rsidR="00F53931" w:rsidRPr="00EE1852" w:rsidRDefault="00F53931" w:rsidP="00F53931">
            <w:pPr>
              <w:jc w:val="center"/>
              <w:rPr>
                <w:rFonts w:ascii="Arial Narrow" w:hAnsi="Arial Narrow"/>
                <w:b/>
                <w:sz w:val="20"/>
              </w:rPr>
            </w:pPr>
            <w:r w:rsidRPr="00EE1852">
              <w:rPr>
                <w:rFonts w:ascii="Arial Narrow" w:hAnsi="Arial Narrow"/>
                <w:b/>
                <w:sz w:val="20"/>
              </w:rPr>
              <w:t>Inputs</w:t>
            </w:r>
          </w:p>
        </w:tc>
        <w:tc>
          <w:tcPr>
            <w:tcW w:w="2816" w:type="dxa"/>
            <w:gridSpan w:val="2"/>
            <w:vAlign w:val="bottom"/>
          </w:tcPr>
          <w:p w14:paraId="31BB14A0" w14:textId="77777777" w:rsidR="00F53931" w:rsidRPr="00EE1852" w:rsidRDefault="00F53931" w:rsidP="00F53931">
            <w:pPr>
              <w:jc w:val="center"/>
              <w:rPr>
                <w:rFonts w:ascii="Arial Narrow" w:hAnsi="Arial Narrow"/>
                <w:b/>
                <w:sz w:val="20"/>
              </w:rPr>
            </w:pPr>
            <w:r w:rsidRPr="00EE1852">
              <w:rPr>
                <w:rFonts w:ascii="Arial Narrow" w:hAnsi="Arial Narrow"/>
                <w:b/>
                <w:sz w:val="20"/>
              </w:rPr>
              <w:t>Size of the original cohort (N)</w:t>
            </w:r>
          </w:p>
          <w:p w14:paraId="7113114B" w14:textId="77777777" w:rsidR="00F53931" w:rsidRPr="00EE1852" w:rsidRDefault="00F53931" w:rsidP="00F53931">
            <w:pPr>
              <w:jc w:val="center"/>
              <w:rPr>
                <w:rFonts w:ascii="Arial Narrow" w:hAnsi="Arial Narrow"/>
                <w:sz w:val="20"/>
              </w:rPr>
            </w:pPr>
            <w:r w:rsidRPr="00EE1852">
              <w:rPr>
                <w:rFonts w:ascii="Arial Narrow" w:hAnsi="Arial Narrow"/>
                <w:b/>
                <w:sz w:val="20"/>
              </w:rPr>
              <w:t xml:space="preserve"> (A)</w:t>
            </w:r>
          </w:p>
        </w:tc>
        <w:tc>
          <w:tcPr>
            <w:tcW w:w="2344" w:type="dxa"/>
            <w:gridSpan w:val="3"/>
            <w:vAlign w:val="bottom"/>
          </w:tcPr>
          <w:p w14:paraId="038B5BEB" w14:textId="77777777" w:rsidR="00F53931" w:rsidRPr="00EE1852" w:rsidRDefault="00F53931" w:rsidP="00F53931">
            <w:pPr>
              <w:jc w:val="center"/>
              <w:rPr>
                <w:rFonts w:ascii="Arial Narrow" w:hAnsi="Arial Narrow"/>
                <w:b/>
                <w:sz w:val="20"/>
              </w:rPr>
            </w:pPr>
            <w:r w:rsidRPr="00EE1852">
              <w:rPr>
                <w:rFonts w:ascii="Arial Narrow" w:hAnsi="Arial Narrow"/>
                <w:b/>
                <w:sz w:val="20"/>
              </w:rPr>
              <w:t>Incremental savings per pregnancy* ($)</w:t>
            </w:r>
          </w:p>
          <w:p w14:paraId="1451E89E" w14:textId="77777777" w:rsidR="00F53931" w:rsidRPr="00EE1852" w:rsidRDefault="00F53931" w:rsidP="00F53931">
            <w:pPr>
              <w:jc w:val="center"/>
              <w:rPr>
                <w:rFonts w:ascii="Arial Narrow" w:hAnsi="Arial Narrow"/>
                <w:b/>
                <w:sz w:val="20"/>
              </w:rPr>
            </w:pPr>
            <w:r w:rsidRPr="00EE1852">
              <w:rPr>
                <w:rFonts w:ascii="Arial Narrow" w:hAnsi="Arial Narrow"/>
                <w:b/>
                <w:sz w:val="20"/>
              </w:rPr>
              <w:t>(B)</w:t>
            </w:r>
          </w:p>
        </w:tc>
        <w:tc>
          <w:tcPr>
            <w:tcW w:w="2083" w:type="dxa"/>
            <w:vAlign w:val="bottom"/>
          </w:tcPr>
          <w:p w14:paraId="2555A940" w14:textId="77777777" w:rsidR="00F53931" w:rsidRPr="00EE1852" w:rsidRDefault="00F53931" w:rsidP="00F53931">
            <w:pPr>
              <w:jc w:val="center"/>
              <w:rPr>
                <w:rFonts w:ascii="Arial Narrow" w:hAnsi="Arial Narrow"/>
                <w:b/>
                <w:sz w:val="20"/>
              </w:rPr>
            </w:pPr>
            <w:r w:rsidRPr="00EE1852">
              <w:rPr>
                <w:rFonts w:ascii="Arial Narrow" w:hAnsi="Arial Narrow"/>
                <w:b/>
                <w:sz w:val="20"/>
              </w:rPr>
              <w:t xml:space="preserve">Total savings in the cohort ($) </w:t>
            </w:r>
            <w:r>
              <w:rPr>
                <w:rFonts w:ascii="Arial Narrow" w:hAnsi="Arial Narrow"/>
                <w:b/>
                <w:sz w:val="20"/>
              </w:rPr>
              <w:br/>
            </w:r>
            <w:r w:rsidRPr="00EE1852">
              <w:rPr>
                <w:rFonts w:ascii="Arial Narrow" w:hAnsi="Arial Narrow"/>
                <w:b/>
                <w:sz w:val="20"/>
              </w:rPr>
              <w:t>(A) * (B)</w:t>
            </w:r>
          </w:p>
        </w:tc>
      </w:tr>
      <w:tr w:rsidR="00F53931" w:rsidRPr="00EE1852" w14:paraId="0E2E46E5" w14:textId="77777777" w:rsidTr="009002A3">
        <w:trPr>
          <w:trHeight w:val="597"/>
        </w:trPr>
        <w:tc>
          <w:tcPr>
            <w:tcW w:w="1824" w:type="dxa"/>
            <w:vAlign w:val="center"/>
          </w:tcPr>
          <w:p w14:paraId="6A439633" w14:textId="77777777" w:rsidR="00F53931" w:rsidRPr="00EE1852" w:rsidRDefault="00F53931" w:rsidP="00F53931">
            <w:pPr>
              <w:jc w:val="center"/>
              <w:rPr>
                <w:rFonts w:ascii="Arial Narrow" w:hAnsi="Arial Narrow"/>
                <w:sz w:val="20"/>
              </w:rPr>
            </w:pPr>
            <w:r w:rsidRPr="00EE1852">
              <w:rPr>
                <w:rFonts w:ascii="Arial Narrow" w:hAnsi="Arial Narrow"/>
                <w:sz w:val="20"/>
              </w:rPr>
              <w:t>Savings in non</w:t>
            </w:r>
            <w:r>
              <w:rPr>
                <w:rFonts w:ascii="Arial Narrow" w:hAnsi="Arial Narrow"/>
                <w:sz w:val="20"/>
              </w:rPr>
              <w:t>-</w:t>
            </w:r>
            <w:r w:rsidRPr="00EE1852">
              <w:rPr>
                <w:rFonts w:ascii="Arial Narrow" w:hAnsi="Arial Narrow"/>
                <w:sz w:val="20"/>
              </w:rPr>
              <w:t>alloimmunised population</w:t>
            </w:r>
          </w:p>
        </w:tc>
        <w:tc>
          <w:tcPr>
            <w:tcW w:w="2816" w:type="dxa"/>
            <w:gridSpan w:val="2"/>
            <w:vAlign w:val="center"/>
          </w:tcPr>
          <w:p w14:paraId="3DE618FD" w14:textId="77777777" w:rsidR="00F53931" w:rsidRPr="00EE1852" w:rsidRDefault="00F53931" w:rsidP="00F53931">
            <w:pPr>
              <w:jc w:val="center"/>
              <w:rPr>
                <w:rFonts w:ascii="Arial Narrow" w:hAnsi="Arial Narrow"/>
                <w:sz w:val="20"/>
              </w:rPr>
            </w:pPr>
            <w:r w:rsidRPr="00EE1852">
              <w:rPr>
                <w:rFonts w:ascii="Arial Narrow" w:hAnsi="Arial Narrow"/>
                <w:sz w:val="20"/>
              </w:rPr>
              <w:t>10,550</w:t>
            </w:r>
          </w:p>
        </w:tc>
        <w:tc>
          <w:tcPr>
            <w:tcW w:w="2344" w:type="dxa"/>
            <w:gridSpan w:val="3"/>
            <w:vAlign w:val="center"/>
          </w:tcPr>
          <w:p w14:paraId="3F59826B" w14:textId="77777777" w:rsidR="00F53931" w:rsidRPr="00EE1852" w:rsidRDefault="00F53931" w:rsidP="00F53931">
            <w:pPr>
              <w:jc w:val="center"/>
              <w:rPr>
                <w:rFonts w:ascii="Arial Narrow" w:hAnsi="Arial Narrow"/>
                <w:sz w:val="20"/>
              </w:rPr>
            </w:pPr>
            <w:r w:rsidRPr="00EE1852">
              <w:rPr>
                <w:rFonts w:ascii="Arial Narrow" w:hAnsi="Arial Narrow"/>
                <w:sz w:val="20"/>
              </w:rPr>
              <w:t>9.17</w:t>
            </w:r>
          </w:p>
        </w:tc>
        <w:tc>
          <w:tcPr>
            <w:tcW w:w="2083" w:type="dxa"/>
            <w:vAlign w:val="center"/>
          </w:tcPr>
          <w:p w14:paraId="67ED1AE9" w14:textId="77777777" w:rsidR="00F53931" w:rsidRPr="00EE1852" w:rsidRDefault="00F53931" w:rsidP="00F53931">
            <w:pPr>
              <w:jc w:val="center"/>
              <w:rPr>
                <w:rFonts w:ascii="Arial Narrow" w:hAnsi="Arial Narrow"/>
                <w:sz w:val="20"/>
              </w:rPr>
            </w:pPr>
            <w:r w:rsidRPr="00EE1852">
              <w:rPr>
                <w:rFonts w:ascii="Arial Narrow" w:hAnsi="Arial Narrow"/>
                <w:sz w:val="20"/>
              </w:rPr>
              <w:t>96,743</w:t>
            </w:r>
          </w:p>
        </w:tc>
      </w:tr>
      <w:tr w:rsidR="00F53931" w:rsidRPr="00EE1852" w14:paraId="49F433DF" w14:textId="77777777" w:rsidTr="009002A3">
        <w:trPr>
          <w:trHeight w:val="597"/>
        </w:trPr>
        <w:tc>
          <w:tcPr>
            <w:tcW w:w="1824" w:type="dxa"/>
            <w:vAlign w:val="center"/>
          </w:tcPr>
          <w:p w14:paraId="20628866" w14:textId="77777777" w:rsidR="00F53931" w:rsidRPr="00EE1852" w:rsidRDefault="00F53931" w:rsidP="00F53931">
            <w:pPr>
              <w:jc w:val="center"/>
              <w:rPr>
                <w:rFonts w:ascii="Arial Narrow" w:hAnsi="Arial Narrow"/>
                <w:sz w:val="20"/>
              </w:rPr>
            </w:pPr>
            <w:r w:rsidRPr="00EE1852">
              <w:rPr>
                <w:rFonts w:ascii="Arial Narrow" w:hAnsi="Arial Narrow"/>
                <w:b/>
                <w:sz w:val="20"/>
              </w:rPr>
              <w:t>Inputs</w:t>
            </w:r>
          </w:p>
        </w:tc>
        <w:tc>
          <w:tcPr>
            <w:tcW w:w="1573" w:type="dxa"/>
            <w:vAlign w:val="center"/>
          </w:tcPr>
          <w:p w14:paraId="7F177649" w14:textId="77777777" w:rsidR="00F53931" w:rsidRPr="00EE1852" w:rsidRDefault="00F53931" w:rsidP="00F53931">
            <w:pPr>
              <w:jc w:val="center"/>
              <w:rPr>
                <w:rFonts w:ascii="Arial Narrow" w:hAnsi="Arial Narrow"/>
                <w:b/>
                <w:sz w:val="20"/>
              </w:rPr>
            </w:pPr>
            <w:r w:rsidRPr="00EE1852">
              <w:rPr>
                <w:rFonts w:ascii="Arial Narrow" w:hAnsi="Arial Narrow"/>
                <w:b/>
                <w:sz w:val="20"/>
              </w:rPr>
              <w:t>Cost per alloimmunised pregnancy** ($)</w:t>
            </w:r>
          </w:p>
          <w:p w14:paraId="4221C86E" w14:textId="77777777" w:rsidR="00F53931" w:rsidRPr="00EE1852" w:rsidRDefault="00F53931" w:rsidP="00F53931">
            <w:pPr>
              <w:jc w:val="center"/>
              <w:rPr>
                <w:rFonts w:ascii="Arial Narrow" w:hAnsi="Arial Narrow"/>
                <w:sz w:val="20"/>
              </w:rPr>
            </w:pPr>
            <w:r w:rsidRPr="00EE1852">
              <w:rPr>
                <w:rFonts w:ascii="Arial Narrow" w:hAnsi="Arial Narrow"/>
                <w:b/>
                <w:sz w:val="20"/>
              </w:rPr>
              <w:t>(C)</w:t>
            </w:r>
          </w:p>
        </w:tc>
        <w:tc>
          <w:tcPr>
            <w:tcW w:w="1243" w:type="dxa"/>
            <w:vAlign w:val="center"/>
          </w:tcPr>
          <w:p w14:paraId="2512EBD2" w14:textId="77777777" w:rsidR="00F53931" w:rsidRPr="00EE1852" w:rsidRDefault="00F53931" w:rsidP="00F53931">
            <w:pPr>
              <w:jc w:val="center"/>
              <w:rPr>
                <w:rFonts w:ascii="Arial Narrow" w:hAnsi="Arial Narrow"/>
                <w:b/>
                <w:sz w:val="20"/>
              </w:rPr>
            </w:pPr>
            <w:r>
              <w:rPr>
                <w:rFonts w:ascii="Arial Narrow" w:hAnsi="Arial Narrow"/>
                <w:b/>
                <w:sz w:val="20"/>
              </w:rPr>
              <w:t xml:space="preserve">2nd </w:t>
            </w:r>
            <w:r w:rsidRPr="00EE1852">
              <w:rPr>
                <w:rFonts w:ascii="Arial Narrow" w:hAnsi="Arial Narrow"/>
                <w:b/>
                <w:sz w:val="20"/>
              </w:rPr>
              <w:t>pregnancy</w:t>
            </w:r>
          </w:p>
          <w:p w14:paraId="61ED922E" w14:textId="77777777" w:rsidR="00F53931" w:rsidRPr="00EE1852" w:rsidRDefault="00F53931" w:rsidP="00F53931">
            <w:pPr>
              <w:jc w:val="center"/>
              <w:rPr>
                <w:rFonts w:ascii="Arial Narrow" w:hAnsi="Arial Narrow"/>
                <w:b/>
                <w:sz w:val="20"/>
              </w:rPr>
            </w:pPr>
            <w:r w:rsidRPr="00EE1852">
              <w:rPr>
                <w:rFonts w:ascii="Arial Narrow" w:hAnsi="Arial Narrow"/>
                <w:b/>
                <w:sz w:val="20"/>
              </w:rPr>
              <w:t>(n)/$</w:t>
            </w:r>
          </w:p>
          <w:p w14:paraId="720DE612" w14:textId="77777777" w:rsidR="00F53931" w:rsidRPr="00EE1852" w:rsidRDefault="00F53931" w:rsidP="00F53931">
            <w:pPr>
              <w:jc w:val="center"/>
              <w:rPr>
                <w:rFonts w:ascii="Arial Narrow" w:hAnsi="Arial Narrow"/>
                <w:sz w:val="20"/>
              </w:rPr>
            </w:pPr>
            <w:r w:rsidRPr="00EE1852">
              <w:rPr>
                <w:rFonts w:ascii="Arial Narrow" w:hAnsi="Arial Narrow"/>
                <w:b/>
                <w:sz w:val="20"/>
              </w:rPr>
              <w:t xml:space="preserve"> (D)</w:t>
            </w:r>
          </w:p>
        </w:tc>
        <w:tc>
          <w:tcPr>
            <w:tcW w:w="1129" w:type="dxa"/>
            <w:vAlign w:val="center"/>
          </w:tcPr>
          <w:p w14:paraId="1A4027F1" w14:textId="77777777" w:rsidR="00F53931" w:rsidRPr="00EE1852" w:rsidRDefault="00F53931" w:rsidP="00F53931">
            <w:pPr>
              <w:jc w:val="center"/>
              <w:rPr>
                <w:rFonts w:ascii="Arial Narrow" w:hAnsi="Arial Narrow"/>
                <w:b/>
                <w:sz w:val="20"/>
              </w:rPr>
            </w:pPr>
            <w:r w:rsidRPr="00EE1852">
              <w:rPr>
                <w:rFonts w:ascii="Arial Narrow" w:hAnsi="Arial Narrow"/>
                <w:b/>
                <w:sz w:val="20"/>
              </w:rPr>
              <w:t>3</w:t>
            </w:r>
            <w:r>
              <w:rPr>
                <w:rFonts w:ascii="Arial Narrow" w:hAnsi="Arial Narrow"/>
                <w:b/>
                <w:sz w:val="20"/>
              </w:rPr>
              <w:t>r</w:t>
            </w:r>
            <w:r w:rsidRPr="00EE1852">
              <w:rPr>
                <w:rFonts w:ascii="Arial Narrow" w:hAnsi="Arial Narrow"/>
                <w:b/>
                <w:sz w:val="20"/>
              </w:rPr>
              <w:t>d pregnancy</w:t>
            </w:r>
          </w:p>
          <w:p w14:paraId="2A491581" w14:textId="77777777" w:rsidR="00F53931" w:rsidRPr="00EE1852" w:rsidRDefault="00F53931" w:rsidP="00F53931">
            <w:pPr>
              <w:jc w:val="center"/>
              <w:rPr>
                <w:rFonts w:ascii="Arial Narrow" w:hAnsi="Arial Narrow"/>
                <w:b/>
                <w:sz w:val="20"/>
              </w:rPr>
            </w:pPr>
            <w:r w:rsidRPr="00EE1852">
              <w:rPr>
                <w:rFonts w:ascii="Arial Narrow" w:hAnsi="Arial Narrow"/>
                <w:b/>
                <w:sz w:val="20"/>
              </w:rPr>
              <w:t>(n)/$</w:t>
            </w:r>
          </w:p>
          <w:p w14:paraId="50CABE3E" w14:textId="77777777" w:rsidR="00F53931" w:rsidRPr="00EE1852" w:rsidRDefault="00F53931" w:rsidP="00F53931">
            <w:pPr>
              <w:jc w:val="center"/>
              <w:rPr>
                <w:rFonts w:ascii="Arial Narrow" w:hAnsi="Arial Narrow"/>
                <w:sz w:val="20"/>
              </w:rPr>
            </w:pPr>
            <w:r w:rsidRPr="00EE1852">
              <w:rPr>
                <w:rFonts w:ascii="Arial Narrow" w:hAnsi="Arial Narrow"/>
                <w:b/>
                <w:sz w:val="20"/>
              </w:rPr>
              <w:t>(E)</w:t>
            </w:r>
          </w:p>
        </w:tc>
        <w:tc>
          <w:tcPr>
            <w:tcW w:w="1209" w:type="dxa"/>
            <w:vAlign w:val="center"/>
          </w:tcPr>
          <w:p w14:paraId="0CF13C33" w14:textId="77777777" w:rsidR="00F53931" w:rsidRPr="00EE1852" w:rsidRDefault="00F53931" w:rsidP="00F53931">
            <w:pPr>
              <w:jc w:val="center"/>
              <w:rPr>
                <w:rFonts w:ascii="Arial Narrow" w:hAnsi="Arial Narrow"/>
                <w:b/>
                <w:sz w:val="20"/>
              </w:rPr>
            </w:pPr>
            <w:r w:rsidRPr="00EE1852">
              <w:rPr>
                <w:rFonts w:ascii="Arial Narrow" w:hAnsi="Arial Narrow"/>
                <w:b/>
                <w:sz w:val="20"/>
              </w:rPr>
              <w:t>4th pregnancy</w:t>
            </w:r>
          </w:p>
          <w:p w14:paraId="1D9F24AE" w14:textId="77777777" w:rsidR="00F53931" w:rsidRPr="00EE1852" w:rsidRDefault="00F53931" w:rsidP="00F53931">
            <w:pPr>
              <w:jc w:val="center"/>
              <w:rPr>
                <w:rFonts w:ascii="Arial Narrow" w:hAnsi="Arial Narrow"/>
                <w:b/>
                <w:sz w:val="20"/>
              </w:rPr>
            </w:pPr>
            <w:r w:rsidRPr="00EE1852">
              <w:rPr>
                <w:rFonts w:ascii="Arial Narrow" w:hAnsi="Arial Narrow"/>
                <w:b/>
                <w:sz w:val="20"/>
              </w:rPr>
              <w:t>(n)/$</w:t>
            </w:r>
          </w:p>
          <w:p w14:paraId="7D4EEADE" w14:textId="77777777" w:rsidR="00F53931" w:rsidRPr="00EE1852" w:rsidRDefault="00F53931" w:rsidP="00F53931">
            <w:pPr>
              <w:jc w:val="center"/>
              <w:rPr>
                <w:rFonts w:ascii="Arial Narrow" w:hAnsi="Arial Narrow"/>
                <w:sz w:val="20"/>
              </w:rPr>
            </w:pPr>
            <w:r w:rsidRPr="00EE1852">
              <w:rPr>
                <w:rFonts w:ascii="Arial Narrow" w:hAnsi="Arial Narrow"/>
                <w:b/>
                <w:sz w:val="20"/>
              </w:rPr>
              <w:t>(F)</w:t>
            </w:r>
          </w:p>
        </w:tc>
        <w:tc>
          <w:tcPr>
            <w:tcW w:w="2089" w:type="dxa"/>
            <w:gridSpan w:val="2"/>
            <w:vAlign w:val="center"/>
          </w:tcPr>
          <w:p w14:paraId="579547AD" w14:textId="77777777" w:rsidR="00F53931" w:rsidRPr="00EE1852" w:rsidRDefault="00F53931" w:rsidP="00F53931">
            <w:pPr>
              <w:jc w:val="center"/>
              <w:rPr>
                <w:rFonts w:ascii="Arial Narrow" w:hAnsi="Arial Narrow"/>
                <w:b/>
                <w:sz w:val="20"/>
              </w:rPr>
            </w:pPr>
            <w:r w:rsidRPr="00EE1852">
              <w:rPr>
                <w:rFonts w:ascii="Arial Narrow" w:hAnsi="Arial Narrow"/>
                <w:b/>
                <w:sz w:val="20"/>
              </w:rPr>
              <w:t xml:space="preserve">Total incremental cost in the cohort </w:t>
            </w:r>
          </w:p>
          <w:p w14:paraId="14EB8999" w14:textId="77777777" w:rsidR="00F53931" w:rsidRPr="00EE1852" w:rsidRDefault="00F53931" w:rsidP="00F53931">
            <w:pPr>
              <w:jc w:val="center"/>
              <w:rPr>
                <w:rFonts w:ascii="Arial Narrow" w:hAnsi="Arial Narrow"/>
                <w:b/>
                <w:sz w:val="20"/>
              </w:rPr>
            </w:pPr>
            <w:r w:rsidRPr="00EE1852">
              <w:rPr>
                <w:rFonts w:ascii="Arial Narrow" w:hAnsi="Arial Narrow"/>
                <w:b/>
                <w:sz w:val="20"/>
              </w:rPr>
              <w:t>($)</w:t>
            </w:r>
          </w:p>
          <w:p w14:paraId="2B0A6C94" w14:textId="77777777" w:rsidR="00F53931" w:rsidRPr="00EE1852" w:rsidRDefault="00F53931" w:rsidP="00F53931">
            <w:pPr>
              <w:jc w:val="center"/>
              <w:rPr>
                <w:rFonts w:ascii="Arial Narrow" w:hAnsi="Arial Narrow"/>
                <w:b/>
                <w:sz w:val="20"/>
              </w:rPr>
            </w:pPr>
            <w:r w:rsidRPr="00EE1852">
              <w:rPr>
                <w:rFonts w:ascii="Arial Narrow" w:hAnsi="Arial Narrow"/>
                <w:b/>
                <w:sz w:val="20"/>
              </w:rPr>
              <w:t>(G)</w:t>
            </w:r>
          </w:p>
        </w:tc>
      </w:tr>
      <w:tr w:rsidR="00F53931" w:rsidRPr="00EE1852" w14:paraId="53628F5C" w14:textId="77777777" w:rsidTr="009002A3">
        <w:trPr>
          <w:trHeight w:val="597"/>
        </w:trPr>
        <w:tc>
          <w:tcPr>
            <w:tcW w:w="1824" w:type="dxa"/>
            <w:vAlign w:val="center"/>
          </w:tcPr>
          <w:p w14:paraId="3876BE24" w14:textId="77777777" w:rsidR="00F53931" w:rsidRPr="00EE1852" w:rsidRDefault="00F53931" w:rsidP="00F53931">
            <w:pPr>
              <w:jc w:val="center"/>
              <w:rPr>
                <w:rFonts w:ascii="Arial Narrow" w:hAnsi="Arial Narrow"/>
                <w:sz w:val="20"/>
              </w:rPr>
            </w:pPr>
            <w:r w:rsidRPr="00EE1852">
              <w:rPr>
                <w:rFonts w:ascii="Arial Narrow" w:hAnsi="Arial Narrow"/>
                <w:sz w:val="20"/>
              </w:rPr>
              <w:t>Incremental alloimmunisations</w:t>
            </w:r>
          </w:p>
          <w:p w14:paraId="3E693389" w14:textId="77777777" w:rsidR="00F53931" w:rsidRPr="00EE1852" w:rsidRDefault="00F53931" w:rsidP="00F53931">
            <w:pPr>
              <w:jc w:val="center"/>
              <w:rPr>
                <w:rFonts w:ascii="Arial Narrow" w:hAnsi="Arial Narrow"/>
                <w:sz w:val="20"/>
              </w:rPr>
            </w:pPr>
          </w:p>
        </w:tc>
        <w:tc>
          <w:tcPr>
            <w:tcW w:w="1573" w:type="dxa"/>
            <w:vMerge w:val="restart"/>
            <w:vAlign w:val="center"/>
          </w:tcPr>
          <w:p w14:paraId="64EADB0B" w14:textId="77777777" w:rsidR="00F53931" w:rsidRPr="00EE1852" w:rsidRDefault="00F53931" w:rsidP="00F53931">
            <w:pPr>
              <w:jc w:val="center"/>
              <w:rPr>
                <w:rFonts w:ascii="Arial Narrow" w:hAnsi="Arial Narrow"/>
                <w:sz w:val="20"/>
              </w:rPr>
            </w:pPr>
            <w:r w:rsidRPr="00EE1852">
              <w:rPr>
                <w:rFonts w:ascii="Arial Narrow" w:hAnsi="Arial Narrow"/>
                <w:sz w:val="20"/>
              </w:rPr>
              <w:t>11,726</w:t>
            </w:r>
          </w:p>
        </w:tc>
        <w:tc>
          <w:tcPr>
            <w:tcW w:w="1243" w:type="dxa"/>
            <w:vAlign w:val="center"/>
          </w:tcPr>
          <w:p w14:paraId="20E231C1" w14:textId="77777777" w:rsidR="00F53931" w:rsidRPr="00EE1852" w:rsidRDefault="00F53931" w:rsidP="00F53931">
            <w:pPr>
              <w:jc w:val="center"/>
              <w:rPr>
                <w:rFonts w:ascii="Arial Narrow" w:hAnsi="Arial Narrow"/>
                <w:sz w:val="20"/>
              </w:rPr>
            </w:pPr>
            <w:r w:rsidRPr="00EE1852">
              <w:rPr>
                <w:rFonts w:ascii="Arial Narrow" w:hAnsi="Arial Narrow"/>
                <w:sz w:val="20"/>
              </w:rPr>
              <w:t>0.85</w:t>
            </w:r>
          </w:p>
        </w:tc>
        <w:tc>
          <w:tcPr>
            <w:tcW w:w="1129" w:type="dxa"/>
            <w:vAlign w:val="center"/>
          </w:tcPr>
          <w:p w14:paraId="209B7D27" w14:textId="77777777" w:rsidR="00F53931" w:rsidRPr="00EE1852" w:rsidRDefault="00F53931" w:rsidP="00F53931">
            <w:pPr>
              <w:jc w:val="center"/>
              <w:rPr>
                <w:rFonts w:ascii="Arial Narrow" w:hAnsi="Arial Narrow"/>
                <w:sz w:val="20"/>
              </w:rPr>
            </w:pPr>
            <w:r w:rsidRPr="00EE1852">
              <w:rPr>
                <w:rFonts w:ascii="Arial Narrow" w:hAnsi="Arial Narrow"/>
                <w:sz w:val="20"/>
              </w:rPr>
              <w:t>0.28</w:t>
            </w:r>
          </w:p>
        </w:tc>
        <w:tc>
          <w:tcPr>
            <w:tcW w:w="1209" w:type="dxa"/>
            <w:vAlign w:val="center"/>
          </w:tcPr>
          <w:p w14:paraId="081CF1F3" w14:textId="77777777" w:rsidR="00F53931" w:rsidRPr="00EE1852" w:rsidRDefault="00F53931" w:rsidP="00F53931">
            <w:pPr>
              <w:jc w:val="center"/>
              <w:rPr>
                <w:rFonts w:ascii="Arial Narrow" w:hAnsi="Arial Narrow"/>
                <w:sz w:val="20"/>
              </w:rPr>
            </w:pPr>
            <w:r w:rsidRPr="00EE1852">
              <w:rPr>
                <w:rFonts w:ascii="Arial Narrow" w:hAnsi="Arial Narrow"/>
                <w:sz w:val="20"/>
              </w:rPr>
              <w:t>0.13</w:t>
            </w:r>
          </w:p>
        </w:tc>
        <w:tc>
          <w:tcPr>
            <w:tcW w:w="2089" w:type="dxa"/>
            <w:gridSpan w:val="2"/>
            <w:vMerge w:val="restart"/>
            <w:vAlign w:val="center"/>
          </w:tcPr>
          <w:p w14:paraId="597AB445" w14:textId="77777777" w:rsidR="00F53931" w:rsidRPr="00EE1852" w:rsidRDefault="00F53931" w:rsidP="00F53931">
            <w:pPr>
              <w:jc w:val="center"/>
              <w:rPr>
                <w:rFonts w:ascii="Arial Narrow" w:hAnsi="Arial Narrow"/>
                <w:sz w:val="20"/>
              </w:rPr>
            </w:pPr>
            <w:r w:rsidRPr="00EE1852">
              <w:rPr>
                <w:rFonts w:ascii="Arial Narrow" w:hAnsi="Arial Narrow"/>
                <w:sz w:val="20"/>
              </w:rPr>
              <w:t>14,699**</w:t>
            </w:r>
          </w:p>
        </w:tc>
      </w:tr>
      <w:tr w:rsidR="00F53931" w:rsidRPr="00EE1852" w14:paraId="06720022" w14:textId="77777777" w:rsidTr="009002A3">
        <w:trPr>
          <w:trHeight w:val="597"/>
        </w:trPr>
        <w:tc>
          <w:tcPr>
            <w:tcW w:w="1824" w:type="dxa"/>
            <w:vAlign w:val="center"/>
          </w:tcPr>
          <w:p w14:paraId="0722A387" w14:textId="77777777" w:rsidR="00F53931" w:rsidRPr="00EE1852" w:rsidRDefault="00F53931" w:rsidP="00F53931">
            <w:pPr>
              <w:jc w:val="center"/>
              <w:rPr>
                <w:rFonts w:ascii="Arial Narrow" w:hAnsi="Arial Narrow"/>
                <w:sz w:val="20"/>
              </w:rPr>
            </w:pPr>
            <w:r w:rsidRPr="00EE1852">
              <w:rPr>
                <w:rFonts w:ascii="Arial Narrow" w:hAnsi="Arial Narrow"/>
                <w:sz w:val="20"/>
              </w:rPr>
              <w:t>Incremental costs of managing alloimmunisations</w:t>
            </w:r>
          </w:p>
        </w:tc>
        <w:tc>
          <w:tcPr>
            <w:tcW w:w="1573" w:type="dxa"/>
            <w:vMerge/>
            <w:vAlign w:val="center"/>
          </w:tcPr>
          <w:p w14:paraId="56E8231F" w14:textId="77777777" w:rsidR="00F53931" w:rsidRPr="00EE1852" w:rsidRDefault="00F53931" w:rsidP="00F53931">
            <w:pPr>
              <w:jc w:val="center"/>
              <w:rPr>
                <w:rFonts w:ascii="Arial Narrow" w:hAnsi="Arial Narrow"/>
                <w:sz w:val="20"/>
              </w:rPr>
            </w:pPr>
          </w:p>
        </w:tc>
        <w:tc>
          <w:tcPr>
            <w:tcW w:w="1243" w:type="dxa"/>
            <w:vAlign w:val="center"/>
          </w:tcPr>
          <w:p w14:paraId="22983521" w14:textId="77777777" w:rsidR="00F53931" w:rsidRPr="00EE1852" w:rsidRDefault="00F53931" w:rsidP="00F53931">
            <w:pPr>
              <w:jc w:val="center"/>
              <w:rPr>
                <w:rFonts w:ascii="Arial Narrow" w:hAnsi="Arial Narrow"/>
                <w:sz w:val="20"/>
              </w:rPr>
            </w:pPr>
            <w:r w:rsidRPr="00EE1852">
              <w:rPr>
                <w:rFonts w:ascii="Arial Narrow" w:hAnsi="Arial Narrow"/>
                <w:sz w:val="20"/>
              </w:rPr>
              <w:t>9,937</w:t>
            </w:r>
          </w:p>
        </w:tc>
        <w:tc>
          <w:tcPr>
            <w:tcW w:w="1129" w:type="dxa"/>
            <w:vAlign w:val="center"/>
          </w:tcPr>
          <w:p w14:paraId="443AF6CC" w14:textId="77777777" w:rsidR="00F53931" w:rsidRPr="00EE1852" w:rsidRDefault="00F53931" w:rsidP="00F53931">
            <w:pPr>
              <w:jc w:val="center"/>
              <w:rPr>
                <w:rFonts w:ascii="Arial Narrow" w:hAnsi="Arial Narrow"/>
                <w:sz w:val="20"/>
              </w:rPr>
            </w:pPr>
            <w:r w:rsidRPr="00EE1852">
              <w:rPr>
                <w:rFonts w:ascii="Arial Narrow" w:hAnsi="Arial Narrow"/>
                <w:sz w:val="20"/>
              </w:rPr>
              <w:t>3,241</w:t>
            </w:r>
          </w:p>
        </w:tc>
        <w:tc>
          <w:tcPr>
            <w:tcW w:w="1209" w:type="dxa"/>
            <w:vAlign w:val="center"/>
          </w:tcPr>
          <w:p w14:paraId="251AD8B6" w14:textId="77777777" w:rsidR="00F53931" w:rsidRPr="00EE1852" w:rsidRDefault="00F53931" w:rsidP="00F53931">
            <w:pPr>
              <w:jc w:val="center"/>
              <w:rPr>
                <w:rFonts w:ascii="Arial Narrow" w:hAnsi="Arial Narrow"/>
                <w:sz w:val="20"/>
              </w:rPr>
            </w:pPr>
            <w:r w:rsidRPr="00EE1852">
              <w:rPr>
                <w:rFonts w:ascii="Arial Narrow" w:hAnsi="Arial Narrow"/>
                <w:sz w:val="20"/>
              </w:rPr>
              <w:t>1,521</w:t>
            </w:r>
          </w:p>
        </w:tc>
        <w:tc>
          <w:tcPr>
            <w:tcW w:w="2089" w:type="dxa"/>
            <w:gridSpan w:val="2"/>
            <w:vMerge/>
            <w:vAlign w:val="center"/>
          </w:tcPr>
          <w:p w14:paraId="11F8877A" w14:textId="77777777" w:rsidR="00F53931" w:rsidRPr="00EE1852" w:rsidRDefault="00F53931" w:rsidP="00F53931">
            <w:pPr>
              <w:jc w:val="center"/>
              <w:rPr>
                <w:rFonts w:ascii="Arial Narrow" w:hAnsi="Arial Narrow"/>
                <w:sz w:val="20"/>
              </w:rPr>
            </w:pPr>
          </w:p>
        </w:tc>
      </w:tr>
      <w:tr w:rsidR="00F53931" w:rsidRPr="00EE1852" w14:paraId="1052DB8B" w14:textId="77777777" w:rsidTr="009002A3">
        <w:trPr>
          <w:trHeight w:val="597"/>
        </w:trPr>
        <w:tc>
          <w:tcPr>
            <w:tcW w:w="6984" w:type="dxa"/>
            <w:gridSpan w:val="6"/>
            <w:vAlign w:val="center"/>
          </w:tcPr>
          <w:p w14:paraId="5E7BBD4A" w14:textId="77777777" w:rsidR="00F53931" w:rsidRPr="00EE1852" w:rsidRDefault="00F53931" w:rsidP="00F53931">
            <w:pPr>
              <w:jc w:val="center"/>
              <w:rPr>
                <w:rFonts w:ascii="Arial Narrow" w:hAnsi="Arial Narrow"/>
                <w:sz w:val="20"/>
              </w:rPr>
            </w:pPr>
            <w:r w:rsidRPr="00EE1852">
              <w:rPr>
                <w:rFonts w:ascii="Arial Narrow" w:hAnsi="Arial Narrow"/>
                <w:sz w:val="20"/>
              </w:rPr>
              <w:t>Balancing the results to estimate the overall incremental savings (A)*(B)-(G)</w:t>
            </w:r>
          </w:p>
        </w:tc>
        <w:tc>
          <w:tcPr>
            <w:tcW w:w="2083" w:type="dxa"/>
            <w:vAlign w:val="center"/>
          </w:tcPr>
          <w:p w14:paraId="4C19AEC7" w14:textId="77777777" w:rsidR="00F53931" w:rsidRPr="00EE1852" w:rsidRDefault="00F53931" w:rsidP="00F53931">
            <w:pPr>
              <w:jc w:val="center"/>
              <w:rPr>
                <w:rFonts w:ascii="Arial Narrow" w:hAnsi="Arial Narrow"/>
                <w:sz w:val="20"/>
              </w:rPr>
            </w:pPr>
            <w:r w:rsidRPr="00EE1852">
              <w:rPr>
                <w:rFonts w:ascii="Arial Narrow" w:hAnsi="Arial Narrow"/>
                <w:sz w:val="20"/>
              </w:rPr>
              <w:t>82,044</w:t>
            </w:r>
          </w:p>
        </w:tc>
      </w:tr>
    </w:tbl>
    <w:p w14:paraId="55BD0F67" w14:textId="77777777" w:rsidR="00F53931" w:rsidRPr="00543713" w:rsidRDefault="00F53931" w:rsidP="00F53931">
      <w:pPr>
        <w:pStyle w:val="Tablenotes1"/>
      </w:pPr>
      <w:r w:rsidRPr="00543713">
        <w:t>*</w:t>
      </w:r>
      <w:r>
        <w:t xml:space="preserve"> </w:t>
      </w:r>
      <w:r w:rsidRPr="00543713">
        <w:t>relates to the first non</w:t>
      </w:r>
      <w:r>
        <w:t>-</w:t>
      </w:r>
      <w:r w:rsidRPr="00543713">
        <w:t>alloimmunised (index) pregnancy, where alloimmunisation occurs</w:t>
      </w:r>
    </w:p>
    <w:p w14:paraId="5104CD31" w14:textId="77777777" w:rsidR="00F53931" w:rsidRDefault="00F53931" w:rsidP="00F53931">
      <w:pPr>
        <w:pStyle w:val="Tablenotes1"/>
      </w:pPr>
      <w:r w:rsidRPr="00543713">
        <w:t>**</w:t>
      </w:r>
      <w:r>
        <w:t xml:space="preserve"> r</w:t>
      </w:r>
      <w:r w:rsidRPr="00543713">
        <w:t>esults are calculated either by applying the unit cost (C) to the alloimmunisation total (D+E+F) or by a simple cost aggregation (D+E+F)</w:t>
      </w:r>
    </w:p>
    <w:p w14:paraId="4040A46C" w14:textId="77777777" w:rsidR="00F53931" w:rsidRPr="00543713" w:rsidRDefault="00F53931" w:rsidP="00F53931">
      <w:pPr>
        <w:pStyle w:val="Tablenotes1"/>
      </w:pPr>
      <w:r>
        <w:t>Source: DCAR, Table 11</w:t>
      </w:r>
    </w:p>
    <w:p w14:paraId="4A1D46B7" w14:textId="0F6FD01A" w:rsidR="00F53931" w:rsidRDefault="00F53931" w:rsidP="00F53931">
      <w:r>
        <w:t>The DCAR’s analysis included conditional probabilities of progressing to the next pregnancy of 91.4%, 40.5%, and 58.3% for progressing to the second, third and fourth pregnancies respectively given the previous pregnancy (DCAR, Table 33)</w:t>
      </w:r>
      <w:r>
        <w:rPr>
          <w:rStyle w:val="FootnoteReference"/>
        </w:rPr>
        <w:footnoteReference w:id="19"/>
      </w:r>
      <w:r>
        <w:t>. In the pre-ESC response, the applicant queried these figures stating that the values seem high for the Australian context where few famili</w:t>
      </w:r>
      <w:r w:rsidR="002C6CD4">
        <w:t>es have three or more children.</w:t>
      </w:r>
    </w:p>
    <w:p w14:paraId="7A21C6F5" w14:textId="089931E4" w:rsidR="00F53931" w:rsidRDefault="00F53931" w:rsidP="002C6CD4">
      <w:pPr>
        <w:spacing w:before="240"/>
      </w:pPr>
      <w:r w:rsidRPr="00D63CD6">
        <w:t>The</w:t>
      </w:r>
      <w:r>
        <w:t xml:space="preserve"> DCAR stated that the</w:t>
      </w:r>
      <w:r w:rsidRPr="00D63CD6">
        <w:t xml:space="preserve"> reviewed economic literature did not unequivocally establish the cost-effectiveness of NIPT for fetal </w:t>
      </w:r>
      <w:r w:rsidRPr="00D63CD6">
        <w:rPr>
          <w:i/>
        </w:rPr>
        <w:t>RHD</w:t>
      </w:r>
      <w:r w:rsidRPr="00D63CD6">
        <w:t xml:space="preserve"> genotyping to guide management of RhD-negative pregnancies.</w:t>
      </w:r>
      <w:r>
        <w:t xml:space="preserve"> </w:t>
      </w:r>
      <w:r w:rsidRPr="00D63CD6">
        <w:t xml:space="preserve">Conflicting results were reported across the identified economic studies. Six </w:t>
      </w:r>
      <w:r w:rsidRPr="00205630">
        <w:lastRenderedPageBreak/>
        <w:t>studies</w:t>
      </w:r>
      <w:r w:rsidRPr="00205630">
        <w:rPr>
          <w:rStyle w:val="FootnoteReference"/>
        </w:rPr>
        <w:footnoteReference w:id="20"/>
      </w:r>
      <w:r w:rsidRPr="00205630">
        <w:rPr>
          <w:vertAlign w:val="superscript"/>
        </w:rPr>
        <w:t>,</w:t>
      </w:r>
      <w:r w:rsidRPr="00205630">
        <w:rPr>
          <w:rStyle w:val="FootnoteReference"/>
        </w:rPr>
        <w:footnoteReference w:id="21"/>
      </w:r>
      <w:r w:rsidRPr="00205630">
        <w:rPr>
          <w:vertAlign w:val="superscript"/>
        </w:rPr>
        <w:t>,</w:t>
      </w:r>
      <w:r w:rsidRPr="00205630">
        <w:rPr>
          <w:rStyle w:val="FootnoteReference"/>
        </w:rPr>
        <w:footnoteReference w:id="22"/>
      </w:r>
      <w:r w:rsidRPr="00205630">
        <w:rPr>
          <w:vertAlign w:val="superscript"/>
        </w:rPr>
        <w:t>,</w:t>
      </w:r>
      <w:r w:rsidRPr="00205630">
        <w:rPr>
          <w:rStyle w:val="FootnoteReference"/>
        </w:rPr>
        <w:footnoteReference w:id="23"/>
      </w:r>
      <w:r w:rsidRPr="00205630">
        <w:rPr>
          <w:vertAlign w:val="superscript"/>
        </w:rPr>
        <w:t>,</w:t>
      </w:r>
      <w:r w:rsidRPr="00205630">
        <w:rPr>
          <w:rStyle w:val="FootnoteReference"/>
        </w:rPr>
        <w:footnoteReference w:id="24"/>
      </w:r>
      <w:r w:rsidRPr="00205630">
        <w:rPr>
          <w:vertAlign w:val="superscript"/>
        </w:rPr>
        <w:t>,</w:t>
      </w:r>
      <w:r w:rsidRPr="00205630">
        <w:rPr>
          <w:rStyle w:val="FootnoteReference"/>
        </w:rPr>
        <w:footnoteReference w:id="25"/>
      </w:r>
      <w:r w:rsidRPr="00205630">
        <w:rPr>
          <w:vertAlign w:val="superscript"/>
        </w:rPr>
        <w:t>,</w:t>
      </w:r>
      <w:r w:rsidRPr="00205630">
        <w:rPr>
          <w:rStyle w:val="FootnoteReference"/>
        </w:rPr>
        <w:footnoteReference w:id="26"/>
      </w:r>
      <w:r w:rsidRPr="00205630">
        <w:t xml:space="preserve"> reported</w:t>
      </w:r>
      <w:r w:rsidRPr="00D63CD6">
        <w:t xml:space="preserve"> </w:t>
      </w:r>
      <w:r w:rsidRPr="004B2F9C">
        <w:rPr>
          <w:i/>
        </w:rPr>
        <w:t>RHD</w:t>
      </w:r>
      <w:r>
        <w:t>-</w:t>
      </w:r>
      <w:r w:rsidRPr="004B2F9C">
        <w:t>NIPT</w:t>
      </w:r>
      <w:r w:rsidRPr="00D63CD6">
        <w:t xml:space="preserve"> not to be cost-effective in comparison to current practice of universal anti-D </w:t>
      </w:r>
      <w:r>
        <w:t>Ig</w:t>
      </w:r>
      <w:r w:rsidRPr="00D63CD6">
        <w:t xml:space="preserve"> prophylaxis. </w:t>
      </w:r>
      <w:r>
        <w:t>Two studies</w:t>
      </w:r>
      <w:r>
        <w:rPr>
          <w:rStyle w:val="FootnoteReference"/>
        </w:rPr>
        <w:footnoteReference w:id="27"/>
      </w:r>
      <w:r>
        <w:rPr>
          <w:vertAlign w:val="superscript"/>
        </w:rPr>
        <w:t>,</w:t>
      </w:r>
      <w:r>
        <w:rPr>
          <w:rStyle w:val="FootnoteReference"/>
        </w:rPr>
        <w:footnoteReference w:id="28"/>
      </w:r>
      <w:r>
        <w:t xml:space="preserve"> </w:t>
      </w:r>
      <w:r w:rsidRPr="00D63CD6">
        <w:t>reported that the main factor driving these results was the cost of the test itself (i.e. the clinical and economic benefits were not sufficient to offset the additional costs of the test). These and other earlier studies</w:t>
      </w:r>
      <w:r>
        <w:rPr>
          <w:rStyle w:val="FootnoteReference"/>
        </w:rPr>
        <w:footnoteReference w:id="29"/>
      </w:r>
      <w:r>
        <w:rPr>
          <w:vertAlign w:val="superscript"/>
        </w:rPr>
        <w:t>,</w:t>
      </w:r>
      <w:r>
        <w:rPr>
          <w:rStyle w:val="FootnoteReference"/>
        </w:rPr>
        <w:footnoteReference w:id="30"/>
      </w:r>
      <w:r>
        <w:rPr>
          <w:vertAlign w:val="superscript"/>
        </w:rPr>
        <w:t>,</w:t>
      </w:r>
      <w:r>
        <w:rPr>
          <w:rStyle w:val="FootnoteReference"/>
        </w:rPr>
        <w:footnoteReference w:id="31"/>
      </w:r>
      <w:r w:rsidRPr="00D63CD6">
        <w:t xml:space="preserve"> found that the cost of </w:t>
      </w:r>
      <w:r w:rsidRPr="00CA4C2A">
        <w:rPr>
          <w:i/>
        </w:rPr>
        <w:t>RHD</w:t>
      </w:r>
      <w:r>
        <w:t>-NIPT</w:t>
      </w:r>
      <w:r w:rsidRPr="00D63CD6">
        <w:t xml:space="preserve"> would need to decrease by approximately three times for the targeted anti-D </w:t>
      </w:r>
      <w:r>
        <w:t>Ig</w:t>
      </w:r>
      <w:r w:rsidRPr="00D63CD6">
        <w:t xml:space="preserve"> prophylaxis in non-alloimmunised pregnancies to become cost neutral compared with universal prophylaxis.</w:t>
      </w:r>
    </w:p>
    <w:p w14:paraId="7CDAAD98" w14:textId="77777777" w:rsidR="00F53931" w:rsidRDefault="00F53931" w:rsidP="002C6CD4">
      <w:pPr>
        <w:pStyle w:val="Heading2"/>
        <w:spacing w:before="240" w:after="120"/>
      </w:pPr>
      <w:r>
        <w:t>Fee and test methodology</w:t>
      </w:r>
    </w:p>
    <w:p w14:paraId="53D49830" w14:textId="4B1900B5" w:rsidR="00F53931" w:rsidRDefault="00F53931" w:rsidP="00F53931">
      <w:r>
        <w:t xml:space="preserve">The DCAR stated that </w:t>
      </w:r>
      <w:r w:rsidRPr="00C54536">
        <w:t xml:space="preserve">Lifeblood </w:t>
      </w:r>
      <w:r>
        <w:t>advised</w:t>
      </w:r>
      <w:r w:rsidRPr="00C54536">
        <w:t xml:space="preserve"> that the Tier 3 application t</w:t>
      </w:r>
      <w:r>
        <w:t xml:space="preserve">o the National Blood Authority </w:t>
      </w:r>
      <w:r w:rsidRPr="00C54536">
        <w:t xml:space="preserve">to provide a national screening service for all RhD-negative pregnant patients proposed a medium throughput assay using only two </w:t>
      </w:r>
      <w:r w:rsidRPr="00C54536">
        <w:rPr>
          <w:i/>
        </w:rPr>
        <w:t>RHD</w:t>
      </w:r>
      <w:r w:rsidRPr="00C54536">
        <w:t xml:space="preserve"> markers (exon</w:t>
      </w:r>
      <w:r>
        <w:t>s</w:t>
      </w:r>
      <w:r w:rsidRPr="00C54536">
        <w:t xml:space="preserve"> 5 and 10), and testing in triplicate with a single </w:t>
      </w:r>
      <w:r w:rsidRPr="00C54536">
        <w:rPr>
          <w:i/>
        </w:rPr>
        <w:t>CCR5</w:t>
      </w:r>
      <w:r w:rsidRPr="00C54536">
        <w:t xml:space="preserve"> gene control and with no additional testing</w:t>
      </w:r>
      <w:r>
        <w:t xml:space="preserve"> for markers of cff</w:t>
      </w:r>
      <w:r w:rsidRPr="00C54536">
        <w:t xml:space="preserve">DNA in negative cases. </w:t>
      </w:r>
      <w:r>
        <w:t>LifeBlood’s proposal costed this</w:t>
      </w:r>
      <w:r w:rsidRPr="00C54536">
        <w:t xml:space="preserve"> testing at $56.00 per test includ</w:t>
      </w:r>
      <w:r>
        <w:t>ing staff time and consumables, which was the fee used in the DCAR’s economic analyses (DCAR Table 37)</w:t>
      </w:r>
      <w:r w:rsidRPr="00C54536">
        <w:t>.</w:t>
      </w:r>
    </w:p>
    <w:p w14:paraId="18615543" w14:textId="336DC0A3" w:rsidR="00F53931" w:rsidRDefault="00F53931" w:rsidP="002C6CD4">
      <w:pPr>
        <w:spacing w:before="240"/>
      </w:pPr>
      <w:r>
        <w:t>In contrast, t</w:t>
      </w:r>
      <w:r w:rsidRPr="00666BB0">
        <w:t xml:space="preserve">he current </w:t>
      </w:r>
      <w:r w:rsidRPr="003B5F2A">
        <w:rPr>
          <w:i/>
        </w:rPr>
        <w:t>RHD</w:t>
      </w:r>
      <w:r>
        <w:t>-</w:t>
      </w:r>
      <w:r w:rsidRPr="003B5F2A">
        <w:t>NIPT</w:t>
      </w:r>
      <w:r>
        <w:t xml:space="preserve"> </w:t>
      </w:r>
      <w:r w:rsidRPr="00666BB0">
        <w:t>performed by Lifeblood for high-risk pregnancies</w:t>
      </w:r>
      <w:r>
        <w:t xml:space="preserve"> is not a high-throughput test – </w:t>
      </w:r>
      <w:r w:rsidRPr="00666BB0">
        <w:t>Lifeblood estimates approximately six tests per month are performed in the alloimmunised population</w:t>
      </w:r>
      <w:r>
        <w:t>, at a cost of $550 per test</w:t>
      </w:r>
      <w:r w:rsidRPr="00666BB0">
        <w:t>.</w:t>
      </w:r>
      <w:r>
        <w:t xml:space="preserve"> Due to </w:t>
      </w:r>
      <w:r w:rsidRPr="00666BB0">
        <w:t xml:space="preserve">low test volumes, a significant part of the cost of this test is staff labour/salary. Also, because of the performance requirements for this test in these high risk pregnancies, the sample is tested for three </w:t>
      </w:r>
      <w:r w:rsidRPr="00666BB0">
        <w:rPr>
          <w:i/>
        </w:rPr>
        <w:t>RHD</w:t>
      </w:r>
      <w:r w:rsidRPr="00666BB0">
        <w:t xml:space="preserve"> markers (exon</w:t>
      </w:r>
      <w:r>
        <w:t>s</w:t>
      </w:r>
      <w:r w:rsidRPr="00666BB0">
        <w:t xml:space="preserve"> 4, 5 and 10) and is run in quadruplicate, with a </w:t>
      </w:r>
      <w:r w:rsidRPr="00666BB0">
        <w:rPr>
          <w:i/>
        </w:rPr>
        <w:t>CCR5</w:t>
      </w:r>
      <w:r w:rsidRPr="00666BB0">
        <w:t xml:space="preserve"> gene control and with additional testing for markers of cell free fetal DNA (</w:t>
      </w:r>
      <w:r w:rsidRPr="00666BB0">
        <w:rPr>
          <w:i/>
        </w:rPr>
        <w:t>SRY</w:t>
      </w:r>
      <w:r w:rsidRPr="00666BB0">
        <w:t xml:space="preserve"> and </w:t>
      </w:r>
      <w:r w:rsidRPr="00666BB0">
        <w:rPr>
          <w:i/>
        </w:rPr>
        <w:t>RASSF1A</w:t>
      </w:r>
      <w:r w:rsidR="002C6CD4">
        <w:t>) in negative samples.</w:t>
      </w:r>
    </w:p>
    <w:p w14:paraId="3F58B633" w14:textId="38A74C14" w:rsidR="00F53931" w:rsidRDefault="00F53931" w:rsidP="002C6CD4">
      <w:pPr>
        <w:spacing w:before="240"/>
      </w:pPr>
      <w:r w:rsidRPr="00C54536">
        <w:t xml:space="preserve">The LifeBlood price of $56 per sample was very close to the break-even cost estimated in some of the published economic evaluations. For example, </w:t>
      </w:r>
      <w:r>
        <w:t>one</w:t>
      </w:r>
      <w:r w:rsidRPr="00C54536">
        <w:t xml:space="preserve"> base case analysis suggested that high throughput </w:t>
      </w:r>
      <w:r w:rsidRPr="003B5F2A">
        <w:rPr>
          <w:i/>
        </w:rPr>
        <w:t>RHD</w:t>
      </w:r>
      <w:r>
        <w:t>-</w:t>
      </w:r>
      <w:r w:rsidRPr="00C54536">
        <w:t>NIPT appeared to be cost saving when the overall test cost</w:t>
      </w:r>
      <w:r w:rsidR="00911B6F">
        <w:br/>
      </w:r>
      <w:r w:rsidRPr="00C54536">
        <w:lastRenderedPageBreak/>
        <w:t>was ≤£26.60 (AU$48)</w:t>
      </w:r>
      <w:r>
        <w:rPr>
          <w:rStyle w:val="FootnoteReference"/>
        </w:rPr>
        <w:footnoteReference w:id="32"/>
      </w:r>
      <w:r w:rsidRPr="00C54536">
        <w:t>. A threshold analysis on the cost of NIPT found that, at a per-sample cost of CAD$88 (AU$91) the intervention strategy would be cost neutral</w:t>
      </w:r>
      <w:r>
        <w:rPr>
          <w:rStyle w:val="FootnoteReference"/>
        </w:rPr>
        <w:footnoteReference w:id="33"/>
      </w:r>
      <w:r w:rsidRPr="00C54536">
        <w:t>.</w:t>
      </w:r>
    </w:p>
    <w:p w14:paraId="008D9C1A" w14:textId="4D9BCF4F" w:rsidR="00F53931" w:rsidRDefault="00F53931" w:rsidP="002C6CD4">
      <w:pPr>
        <w:spacing w:before="240"/>
      </w:pPr>
      <w:r>
        <w:t xml:space="preserve">The DCAR’s literature review found that the reported cost of </w:t>
      </w:r>
      <w:r w:rsidRPr="003B5F2A">
        <w:rPr>
          <w:i/>
        </w:rPr>
        <w:t>RHD</w:t>
      </w:r>
      <w:r>
        <w:t>-</w:t>
      </w:r>
      <w:r w:rsidRPr="003B5F2A">
        <w:t>NIPT</w:t>
      </w:r>
      <w:r>
        <w:t xml:space="preserve"> varied from as little as £17.97 (AU$32.52) for the in-house test including a royalty fee</w:t>
      </w:r>
      <w:r>
        <w:rPr>
          <w:rStyle w:val="FootnoteReference"/>
        </w:rPr>
        <w:footnoteReference w:id="34"/>
      </w:r>
      <w:r>
        <w:t xml:space="preserve"> to as high as US$450 (AU$649) for the commercial kit</w:t>
      </w:r>
      <w:r>
        <w:rPr>
          <w:rStyle w:val="FootnoteReference"/>
        </w:rPr>
        <w:footnoteReference w:id="35"/>
      </w:r>
      <w:r>
        <w:t>. The cost depended on whether the test was developed in</w:t>
      </w:r>
      <w:r w:rsidR="001C1FFA">
        <w:t>-</w:t>
      </w:r>
      <w:r>
        <w:t>house rather than relying on a commercial kit, whether the laboratory had a high annual throughput, and whether a royalty fee was included in the estimate. In Canada the test was not automated, which contributed to its high cost of CAD$471 (AU$499)</w:t>
      </w:r>
      <w:r>
        <w:rPr>
          <w:rStyle w:val="FootnoteReference"/>
        </w:rPr>
        <w:footnoteReference w:id="36"/>
      </w:r>
      <w:r>
        <w:t>, but in Germany the cost of the test after automation was estimated at €26 (AU$43)</w:t>
      </w:r>
      <w:r>
        <w:rPr>
          <w:rStyle w:val="FootnoteReference"/>
        </w:rPr>
        <w:footnoteReference w:id="37"/>
      </w:r>
      <w:r w:rsidR="002C6CD4">
        <w:t>.</w:t>
      </w:r>
    </w:p>
    <w:p w14:paraId="53AA3FAD" w14:textId="77777777" w:rsidR="00F53931" w:rsidRDefault="00F53931" w:rsidP="002C6CD4">
      <w:pPr>
        <w:pStyle w:val="Heading2"/>
        <w:spacing w:before="240" w:after="120"/>
      </w:pPr>
      <w:r>
        <w:t>Sensitivity analyses</w:t>
      </w:r>
    </w:p>
    <w:p w14:paraId="1C39FD4A" w14:textId="5654667F" w:rsidR="00F53931" w:rsidRDefault="00F53931" w:rsidP="00F53931">
      <w:r w:rsidRPr="005050F6">
        <w:t>The</w:t>
      </w:r>
      <w:r>
        <w:t xml:space="preserve"> DCAR stated that in the non-alloimmunised population, the</w:t>
      </w:r>
      <w:r w:rsidRPr="005050F6">
        <w:t xml:space="preserve"> overall conclusion of NIPT-guided strategy of anti-D </w:t>
      </w:r>
      <w:r>
        <w:t>Ig</w:t>
      </w:r>
      <w:r w:rsidRPr="005050F6">
        <w:t xml:space="preserve"> prophylaxis being both less expensive and less effective in comparison to the universal anti-D </w:t>
      </w:r>
      <w:r>
        <w:t>Ig</w:t>
      </w:r>
      <w:r w:rsidRPr="005050F6">
        <w:t xml:space="preserve"> pro</w:t>
      </w:r>
      <w:r>
        <w:t>p</w:t>
      </w:r>
      <w:r w:rsidRPr="005050F6">
        <w:t xml:space="preserve">hylaxis was robust to most parameter variations (e.g. in prevalence of </w:t>
      </w:r>
      <w:r>
        <w:t>Rh</w:t>
      </w:r>
      <w:r w:rsidRPr="003B5F2A">
        <w:t>D</w:t>
      </w:r>
      <w:r>
        <w:t>-positive fetuses, and</w:t>
      </w:r>
      <w:r w:rsidRPr="005050F6">
        <w:t xml:space="preserve"> in probability of alloimmunisation due to incomplete prophylaxis). The modelled results were most sensitive to the proportion of inconclusive tests and the cost of high-throughput NIPT</w:t>
      </w:r>
      <w:r>
        <w:t xml:space="preserve"> </w:t>
      </w:r>
      <w:r w:rsidR="00AF6F71">
        <w:t>(</w:t>
      </w:r>
      <w:r w:rsidR="00AF6F71">
        <w:fldChar w:fldCharType="begin"/>
      </w:r>
      <w:r w:rsidR="00AF6F71">
        <w:instrText xml:space="preserve"> REF _Ref162029521 \h </w:instrText>
      </w:r>
      <w:r w:rsidR="00AF6F71">
        <w:fldChar w:fldCharType="separate"/>
      </w:r>
      <w:r w:rsidR="00C751E2">
        <w:t xml:space="preserve">Table </w:t>
      </w:r>
      <w:r w:rsidR="00C751E2">
        <w:rPr>
          <w:noProof/>
        </w:rPr>
        <w:t>13</w:t>
      </w:r>
      <w:r w:rsidR="00AF6F71">
        <w:fldChar w:fldCharType="end"/>
      </w:r>
      <w:r>
        <w:t>)</w:t>
      </w:r>
      <w:r w:rsidRPr="005050F6">
        <w:t xml:space="preserve">. The current practice of universal anti-D </w:t>
      </w:r>
      <w:r>
        <w:t>Ig</w:t>
      </w:r>
      <w:r w:rsidRPr="005050F6">
        <w:t xml:space="preserve"> pro</w:t>
      </w:r>
      <w:r>
        <w:t>phylaxis became</w:t>
      </w:r>
      <w:r w:rsidRPr="005050F6">
        <w:t xml:space="preserve"> a dominant strategy (marginally less expensive and more effective than NIPT-guided prophylaxis) when the proportio</w:t>
      </w:r>
      <w:r>
        <w:t>n of inconclusive tests increased</w:t>
      </w:r>
      <w:r w:rsidRPr="005050F6">
        <w:t xml:space="preserve"> from 2.6% in the base case to 6.7%; the results became even more pronounced when the proportion</w:t>
      </w:r>
      <w:r>
        <w:t xml:space="preserve"> of inconclusive tests increased</w:t>
      </w:r>
      <w:r w:rsidRPr="005050F6">
        <w:t xml:space="preserve"> to 11.7%.</w:t>
      </w:r>
    </w:p>
    <w:p w14:paraId="429208B4" w14:textId="1821601C" w:rsidR="009002A3" w:rsidRPr="00526E92" w:rsidRDefault="009002A3" w:rsidP="00480AB1">
      <w:pPr>
        <w:pStyle w:val="TableHeading"/>
        <w:spacing w:before="240"/>
        <w:ind w:left="0" w:firstLine="0"/>
      </w:pPr>
      <w:bookmarkStart w:id="19" w:name="_Ref162029521"/>
      <w:r>
        <w:t xml:space="preserve">Table </w:t>
      </w:r>
      <w:r>
        <w:fldChar w:fldCharType="begin"/>
      </w:r>
      <w:r>
        <w:instrText xml:space="preserve"> SEQ Table \* ARABIC </w:instrText>
      </w:r>
      <w:r>
        <w:fldChar w:fldCharType="separate"/>
      </w:r>
      <w:r w:rsidR="00C751E2">
        <w:t>13</w:t>
      </w:r>
      <w:r>
        <w:fldChar w:fldCharType="end"/>
      </w:r>
      <w:bookmarkEnd w:id="19"/>
      <w:r w:rsidR="00526E92" w:rsidRPr="00526E92">
        <w:t xml:space="preserve"> </w:t>
      </w:r>
      <w:r w:rsidR="00526E92" w:rsidRPr="00053FE0">
        <w:t>: Key drivers of the model in the non-alloimmunised population (sensitivity analysis)</w:t>
      </w:r>
    </w:p>
    <w:tbl>
      <w:tblPr>
        <w:tblStyle w:val="TableGrid1"/>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2379"/>
        <w:gridCol w:w="3278"/>
        <w:gridCol w:w="3359"/>
      </w:tblGrid>
      <w:tr w:rsidR="00F53931" w:rsidRPr="00183E4D" w14:paraId="1F8E309E" w14:textId="77777777" w:rsidTr="009002A3">
        <w:trPr>
          <w:tblHeader/>
        </w:trPr>
        <w:tc>
          <w:tcPr>
            <w:tcW w:w="1319" w:type="pct"/>
          </w:tcPr>
          <w:p w14:paraId="3BABECD0" w14:textId="77777777" w:rsidR="00F53931" w:rsidRPr="00183E4D" w:rsidRDefault="00F53931" w:rsidP="00053FE0">
            <w:pPr>
              <w:pStyle w:val="TableHeading"/>
              <w:spacing w:before="0" w:after="0"/>
              <w:rPr>
                <w:snapToGrid w:val="0"/>
                <w:lang w:eastAsia="en-US"/>
              </w:rPr>
            </w:pPr>
            <w:r w:rsidRPr="00183E4D">
              <w:rPr>
                <w:snapToGrid w:val="0"/>
                <w:lang w:eastAsia="en-US"/>
              </w:rPr>
              <w:t>Description</w:t>
            </w:r>
          </w:p>
        </w:tc>
        <w:tc>
          <w:tcPr>
            <w:tcW w:w="1818" w:type="pct"/>
          </w:tcPr>
          <w:p w14:paraId="4DA8B736" w14:textId="77777777" w:rsidR="00F53931" w:rsidRPr="00183E4D" w:rsidRDefault="00F53931" w:rsidP="00053FE0">
            <w:pPr>
              <w:pStyle w:val="TableHeading"/>
              <w:spacing w:before="0" w:after="0"/>
              <w:rPr>
                <w:snapToGrid w:val="0"/>
                <w:lang w:eastAsia="en-US"/>
              </w:rPr>
            </w:pPr>
            <w:r w:rsidRPr="00183E4D">
              <w:rPr>
                <w:snapToGrid w:val="0"/>
                <w:lang w:eastAsia="en-US"/>
              </w:rPr>
              <w:t>Value</w:t>
            </w:r>
          </w:p>
        </w:tc>
        <w:tc>
          <w:tcPr>
            <w:tcW w:w="1863" w:type="pct"/>
          </w:tcPr>
          <w:p w14:paraId="5C896FAD" w14:textId="77777777" w:rsidR="00F53931" w:rsidRPr="00183E4D" w:rsidRDefault="00F53931" w:rsidP="00053FE0">
            <w:pPr>
              <w:pStyle w:val="TableHeading"/>
              <w:spacing w:before="0" w:after="0"/>
              <w:rPr>
                <w:snapToGrid w:val="0"/>
                <w:lang w:eastAsia="en-US"/>
              </w:rPr>
            </w:pPr>
            <w:r w:rsidRPr="00183E4D">
              <w:rPr>
                <w:snapToGrid w:val="0"/>
                <w:lang w:eastAsia="en-US"/>
              </w:rPr>
              <w:t>Impact</w:t>
            </w:r>
          </w:p>
        </w:tc>
      </w:tr>
      <w:tr w:rsidR="00F53931" w:rsidRPr="00183E4D" w14:paraId="09EE8674" w14:textId="77777777" w:rsidTr="009002A3">
        <w:tc>
          <w:tcPr>
            <w:tcW w:w="1319" w:type="pct"/>
          </w:tcPr>
          <w:p w14:paraId="2CEBDF0A" w14:textId="77777777" w:rsidR="00F53931" w:rsidRDefault="00F53931" w:rsidP="00053FE0">
            <w:pPr>
              <w:keepNext/>
              <w:rPr>
                <w:rFonts w:ascii="Arial Narrow" w:hAnsi="Arial Narrow"/>
                <w:sz w:val="20"/>
              </w:rPr>
            </w:pPr>
            <w:r>
              <w:rPr>
                <w:rFonts w:ascii="Arial Narrow" w:hAnsi="Arial Narrow"/>
                <w:sz w:val="20"/>
              </w:rPr>
              <w:t>Assumption about the population prevalence of RhD-positive foetuses</w:t>
            </w:r>
          </w:p>
        </w:tc>
        <w:tc>
          <w:tcPr>
            <w:tcW w:w="1818" w:type="pct"/>
          </w:tcPr>
          <w:p w14:paraId="6FD83A9A" w14:textId="77777777" w:rsidR="00F53931" w:rsidRDefault="00F53931" w:rsidP="00053FE0">
            <w:pPr>
              <w:pStyle w:val="Tabletext0"/>
              <w:keepNext/>
              <w:spacing w:before="0" w:after="0"/>
            </w:pPr>
            <w:r>
              <w:t>Increased from 62% in the base case to 66%</w:t>
            </w:r>
          </w:p>
        </w:tc>
        <w:tc>
          <w:tcPr>
            <w:tcW w:w="1863" w:type="pct"/>
          </w:tcPr>
          <w:p w14:paraId="554D1A15" w14:textId="173197C8" w:rsidR="00F53931" w:rsidRPr="006F5E66" w:rsidRDefault="00F53931" w:rsidP="00053FE0">
            <w:pPr>
              <w:tabs>
                <w:tab w:val="left" w:pos="284"/>
              </w:tabs>
              <w:rPr>
                <w:rFonts w:ascii="Arial Narrow" w:hAnsi="Arial Narrow" w:cs="Arial"/>
                <w:snapToGrid w:val="0"/>
                <w:sz w:val="18"/>
                <w:lang w:eastAsia="en-US"/>
              </w:rPr>
            </w:pPr>
            <w:r>
              <w:rPr>
                <w:rFonts w:ascii="Arial Narrow" w:hAnsi="Arial Narrow"/>
                <w:sz w:val="20"/>
              </w:rPr>
              <w:t>Decreased the amount of savings per pregnancy by 2.3</w:t>
            </w:r>
            <w:r>
              <w:rPr>
                <w:rFonts w:ascii="Arial Narrow" w:hAnsi="Arial Narrow" w:cs="Arial"/>
                <w:snapToGrid w:val="0"/>
                <w:sz w:val="18"/>
                <w:vertAlign w:val="superscript"/>
                <w:lang w:eastAsia="en-US"/>
              </w:rPr>
              <w:t>a</w:t>
            </w:r>
            <w:r>
              <w:rPr>
                <w:rFonts w:ascii="Arial Narrow" w:hAnsi="Arial Narrow" w:cs="Arial"/>
                <w:snapToGrid w:val="0"/>
                <w:sz w:val="18"/>
                <w:lang w:eastAsia="en-US"/>
              </w:rPr>
              <w:t xml:space="preserve"> </w:t>
            </w:r>
            <w:r>
              <w:rPr>
                <w:rFonts w:ascii="Arial Narrow" w:hAnsi="Arial Narrow"/>
                <w:sz w:val="20"/>
              </w:rPr>
              <w:t>to 6.5</w:t>
            </w:r>
            <w:r>
              <w:rPr>
                <w:rFonts w:ascii="Arial Narrow" w:hAnsi="Arial Narrow" w:cs="Arial"/>
                <w:snapToGrid w:val="0"/>
                <w:sz w:val="18"/>
                <w:vertAlign w:val="superscript"/>
                <w:lang w:eastAsia="en-US"/>
              </w:rPr>
              <w:t xml:space="preserve"> a</w:t>
            </w:r>
            <w:r>
              <w:rPr>
                <w:rFonts w:ascii="Arial Narrow" w:hAnsi="Arial Narrow" w:cs="Arial"/>
                <w:snapToGrid w:val="0"/>
                <w:sz w:val="18"/>
                <w:lang w:eastAsia="en-US"/>
              </w:rPr>
              <w:t xml:space="preserve"> </w:t>
            </w:r>
            <w:r>
              <w:rPr>
                <w:rFonts w:ascii="Arial Narrow" w:hAnsi="Arial Narrow"/>
                <w:sz w:val="20"/>
              </w:rPr>
              <w:t>times (</w:t>
            </w:r>
            <w:r w:rsidRPr="006F5E66">
              <w:rPr>
                <w:rFonts w:ascii="Arial Narrow" w:hAnsi="Arial Narrow"/>
                <w:i/>
                <w:sz w:val="20"/>
              </w:rPr>
              <w:t>ceteris paribus</w:t>
            </w:r>
            <w:r w:rsidR="0089172B">
              <w:rPr>
                <w:rFonts w:ascii="Arial Narrow" w:hAnsi="Arial Narrow"/>
                <w:sz w:val="20"/>
              </w:rPr>
              <w:t xml:space="preserve">). </w:t>
            </w:r>
          </w:p>
        </w:tc>
      </w:tr>
      <w:tr w:rsidR="00F53931" w:rsidRPr="00183E4D" w14:paraId="1691C8FD" w14:textId="77777777" w:rsidTr="009002A3">
        <w:tc>
          <w:tcPr>
            <w:tcW w:w="1319" w:type="pct"/>
          </w:tcPr>
          <w:p w14:paraId="1EA8B60F" w14:textId="77777777" w:rsidR="00F53931" w:rsidRPr="007B7C6D" w:rsidRDefault="00F53931" w:rsidP="00053FE0">
            <w:pPr>
              <w:keepNext/>
              <w:rPr>
                <w:rFonts w:ascii="Arial Narrow" w:hAnsi="Arial Narrow"/>
                <w:sz w:val="20"/>
              </w:rPr>
            </w:pPr>
            <w:r>
              <w:rPr>
                <w:rFonts w:ascii="Arial Narrow" w:hAnsi="Arial Narrow"/>
                <w:sz w:val="20"/>
              </w:rPr>
              <w:t>Proportion of inconclusive tests</w:t>
            </w:r>
          </w:p>
        </w:tc>
        <w:tc>
          <w:tcPr>
            <w:tcW w:w="1818" w:type="pct"/>
          </w:tcPr>
          <w:p w14:paraId="495D0D7A" w14:textId="77777777" w:rsidR="00F53931" w:rsidRPr="007B7C6D" w:rsidRDefault="00F53931" w:rsidP="00053FE0">
            <w:pPr>
              <w:pStyle w:val="Tabletext0"/>
              <w:keepNext/>
              <w:spacing w:before="0" w:after="0"/>
            </w:pPr>
            <w:r>
              <w:t>Increased from 2.6% in the base case to 11.7%</w:t>
            </w:r>
          </w:p>
        </w:tc>
        <w:tc>
          <w:tcPr>
            <w:tcW w:w="1863" w:type="pct"/>
          </w:tcPr>
          <w:p w14:paraId="11DAEBB9" w14:textId="77777777" w:rsidR="00F53931" w:rsidRPr="007B7C6D" w:rsidRDefault="00F53931" w:rsidP="00053FE0">
            <w:pPr>
              <w:keepNext/>
              <w:rPr>
                <w:rFonts w:ascii="Arial Narrow" w:hAnsi="Arial Narrow"/>
                <w:sz w:val="20"/>
              </w:rPr>
            </w:pPr>
            <w:r>
              <w:rPr>
                <w:rFonts w:ascii="Arial Narrow" w:hAnsi="Arial Narrow"/>
                <w:sz w:val="20"/>
              </w:rPr>
              <w:t>Incremental risk of alloimmunisation increased by 2.7 times from 5.9 cases per 100,000 to 1.6 cases per 10,000</w:t>
            </w:r>
          </w:p>
        </w:tc>
      </w:tr>
      <w:tr w:rsidR="00F53931" w:rsidRPr="00183E4D" w14:paraId="7D139827" w14:textId="77777777" w:rsidTr="009002A3">
        <w:tc>
          <w:tcPr>
            <w:tcW w:w="1319" w:type="pct"/>
          </w:tcPr>
          <w:p w14:paraId="71D84EE6" w14:textId="77777777" w:rsidR="00F53931" w:rsidRDefault="00F53931" w:rsidP="00053FE0">
            <w:pPr>
              <w:keepNext/>
              <w:rPr>
                <w:rFonts w:ascii="Arial Narrow" w:hAnsi="Arial Narrow"/>
                <w:sz w:val="20"/>
              </w:rPr>
            </w:pPr>
            <w:r>
              <w:rPr>
                <w:rFonts w:ascii="Arial Narrow" w:hAnsi="Arial Narrow"/>
                <w:sz w:val="20"/>
              </w:rPr>
              <w:t>Cost of transportation per vial added to NIPT cost</w:t>
            </w:r>
          </w:p>
        </w:tc>
        <w:tc>
          <w:tcPr>
            <w:tcW w:w="1818" w:type="pct"/>
          </w:tcPr>
          <w:p w14:paraId="1257C837" w14:textId="77777777" w:rsidR="00F53931" w:rsidRDefault="00F53931" w:rsidP="00053FE0">
            <w:pPr>
              <w:pStyle w:val="Tabletext0"/>
              <w:keepNext/>
              <w:spacing w:before="0" w:after="0"/>
            </w:pPr>
            <w:r>
              <w:t>Increased from $0 in the base case to $25</w:t>
            </w:r>
          </w:p>
        </w:tc>
        <w:tc>
          <w:tcPr>
            <w:tcW w:w="1863" w:type="pct"/>
          </w:tcPr>
          <w:p w14:paraId="4CA8A6CB" w14:textId="77777777" w:rsidR="00F53931" w:rsidRDefault="00F53931" w:rsidP="00053FE0">
            <w:pPr>
              <w:keepNext/>
              <w:rPr>
                <w:rFonts w:ascii="Arial Narrow" w:hAnsi="Arial Narrow"/>
                <w:sz w:val="20"/>
              </w:rPr>
            </w:pPr>
            <w:r>
              <w:rPr>
                <w:rFonts w:ascii="Arial Narrow" w:hAnsi="Arial Narrow"/>
                <w:sz w:val="20"/>
              </w:rPr>
              <w:t>NIPT intervention was associated with an additional cost of $15.72 per pregnancy</w:t>
            </w:r>
          </w:p>
        </w:tc>
      </w:tr>
    </w:tbl>
    <w:p w14:paraId="73C10B46" w14:textId="77777777" w:rsidR="00F53931" w:rsidRDefault="00F53931" w:rsidP="00F53931">
      <w:pPr>
        <w:tabs>
          <w:tab w:val="left" w:pos="284"/>
        </w:tabs>
        <w:ind w:left="284" w:hanging="284"/>
        <w:rPr>
          <w:rFonts w:ascii="Arial Narrow" w:hAnsi="Arial Narrow" w:cs="Arial"/>
          <w:snapToGrid w:val="0"/>
          <w:sz w:val="18"/>
          <w:lang w:eastAsia="en-US"/>
        </w:rPr>
      </w:pPr>
      <w:r>
        <w:rPr>
          <w:rFonts w:ascii="Arial Narrow" w:hAnsi="Arial Narrow" w:cs="Arial"/>
          <w:snapToGrid w:val="0"/>
          <w:sz w:val="18"/>
          <w:vertAlign w:val="superscript"/>
          <w:lang w:eastAsia="en-US"/>
        </w:rPr>
        <w:t xml:space="preserve">a </w:t>
      </w:r>
      <w:r>
        <w:rPr>
          <w:rFonts w:ascii="Arial Narrow" w:hAnsi="Arial Narrow" w:cs="Arial"/>
          <w:snapToGrid w:val="0"/>
          <w:sz w:val="18"/>
          <w:vertAlign w:val="superscript"/>
          <w:lang w:eastAsia="en-US"/>
        </w:rPr>
        <w:tab/>
      </w:r>
      <w:r>
        <w:rPr>
          <w:rFonts w:ascii="Arial Narrow" w:hAnsi="Arial Narrow" w:cs="Arial"/>
          <w:snapToGrid w:val="0"/>
          <w:sz w:val="18"/>
          <w:lang w:eastAsia="en-US"/>
        </w:rPr>
        <w:t>Series of three-way sensitivity analyses; the estimate vary with the NIPT diagnostic accuracy; proportion of inconclusive tests; and whether these are treated as positive</w:t>
      </w:r>
    </w:p>
    <w:p w14:paraId="08B049D9" w14:textId="4D1C34F8" w:rsidR="00F53931" w:rsidRPr="002C6CD4" w:rsidRDefault="002C6CD4" w:rsidP="002C6CD4">
      <w:pPr>
        <w:tabs>
          <w:tab w:val="left" w:pos="284"/>
        </w:tabs>
        <w:ind w:left="284" w:hanging="284"/>
        <w:jc w:val="both"/>
        <w:rPr>
          <w:rFonts w:ascii="Arial Narrow" w:hAnsi="Arial Narrow" w:cs="Arial"/>
          <w:snapToGrid w:val="0"/>
          <w:sz w:val="18"/>
          <w:lang w:eastAsia="en-US"/>
        </w:rPr>
      </w:pPr>
      <w:r>
        <w:rPr>
          <w:rFonts w:ascii="Arial Narrow" w:hAnsi="Arial Narrow" w:cs="Arial"/>
          <w:snapToGrid w:val="0"/>
          <w:sz w:val="18"/>
          <w:lang w:eastAsia="en-US"/>
        </w:rPr>
        <w:t>Source: DCAR, Table 7</w:t>
      </w:r>
    </w:p>
    <w:p w14:paraId="20C26A43" w14:textId="5276236B" w:rsidR="00F53931" w:rsidRDefault="00F53931" w:rsidP="002C6CD4">
      <w:pPr>
        <w:spacing w:before="240"/>
      </w:pPr>
      <w:r>
        <w:t xml:space="preserve">In the pre-ESC response, the applicant queried how </w:t>
      </w:r>
      <w:r w:rsidRPr="00D96C1A">
        <w:t xml:space="preserve">increasing the proportion of inconclusive results would increase the risk of alloimmunisation, as current practice dictates that all inconclusive NIPT results be managed as </w:t>
      </w:r>
      <w:r>
        <w:t>RhD-</w:t>
      </w:r>
      <w:r w:rsidRPr="00D96C1A">
        <w:t>positive, followed by the administration of anti-D</w:t>
      </w:r>
      <w:r>
        <w:t xml:space="preserve"> Ig. In the rejoinder, the HTA group responded that this is a difference between c</w:t>
      </w:r>
      <w:r w:rsidRPr="00BE19FD">
        <w:t xml:space="preserve">linical </w:t>
      </w:r>
      <w:r w:rsidRPr="00BE19FD">
        <w:lastRenderedPageBreak/>
        <w:t xml:space="preserve">practice </w:t>
      </w:r>
      <w:r>
        <w:t>and</w:t>
      </w:r>
      <w:r w:rsidRPr="00BE19FD">
        <w:t xml:space="preserve"> how the clinical evidence is presented in the systematic reviews and utilised in mathematical calculations underpinning the decision analytic model.</w:t>
      </w:r>
    </w:p>
    <w:p w14:paraId="29DCC12B" w14:textId="6F02F437" w:rsidR="00F53931" w:rsidRDefault="00F53931" w:rsidP="002C6CD4">
      <w:pPr>
        <w:spacing w:before="240"/>
      </w:pPr>
      <w:r>
        <w:t>In the pre-ESC response, the applicant also queried</w:t>
      </w:r>
      <w:r w:rsidRPr="00D96C1A">
        <w:t xml:space="preserve"> the cost of transportation of the NIPT sample in the sensitivi</w:t>
      </w:r>
      <w:r>
        <w:t>ty analysis increasing to $25, which</w:t>
      </w:r>
      <w:r w:rsidRPr="00D96C1A">
        <w:t xml:space="preserve"> </w:t>
      </w:r>
      <w:r>
        <w:t xml:space="preserve">is </w:t>
      </w:r>
      <w:r w:rsidRPr="00D96C1A">
        <w:t>inordinately high. If MSAC allocates an MBS item number for NIPT, then the MBS item 73929 (fee $5.95) should cover the collection fee, including transportation.</w:t>
      </w:r>
      <w:r>
        <w:t xml:space="preserve"> In the rejoinder, the HTA group responded that the descriptor for</w:t>
      </w:r>
      <w:r w:rsidRPr="00BE19FD">
        <w:t xml:space="preserve"> MBS item 73928 (fee $5.95) is silent about including the cost of transportation.</w:t>
      </w:r>
      <w:r>
        <w:t xml:space="preserve"> </w:t>
      </w:r>
      <w:r w:rsidRPr="00BE19FD">
        <w:t xml:space="preserve">The Australian study by Gordon </w:t>
      </w:r>
      <w:r>
        <w:rPr>
          <w:i/>
        </w:rPr>
        <w:t>et al.</w:t>
      </w:r>
      <w:r>
        <w:t xml:space="preserve"> </w:t>
      </w:r>
      <w:r w:rsidRPr="00BE19FD">
        <w:t>(2017)</w:t>
      </w:r>
      <w:r>
        <w:rPr>
          <w:rStyle w:val="FootnoteReference"/>
        </w:rPr>
        <w:footnoteReference w:id="38"/>
      </w:r>
      <w:r w:rsidRPr="00BE19FD">
        <w:t xml:space="preserve">, which presumably </w:t>
      </w:r>
      <w:r>
        <w:t xml:space="preserve">also </w:t>
      </w:r>
      <w:r w:rsidRPr="00BE19FD">
        <w:t>benefited from the Red Cross</w:t>
      </w:r>
      <w:r>
        <w:t>’</w:t>
      </w:r>
      <w:r w:rsidRPr="00BE19FD">
        <w:t xml:space="preserve"> advice, also used cost of transport as a separated parameter and found </w:t>
      </w:r>
      <w:r>
        <w:t xml:space="preserve">the </w:t>
      </w:r>
      <w:r w:rsidRPr="00BE19FD">
        <w:t xml:space="preserve">results </w:t>
      </w:r>
      <w:r>
        <w:t>were</w:t>
      </w:r>
      <w:r w:rsidRPr="00BE19FD">
        <w:t xml:space="preserve"> sensitive to the cost of transport ($25 per test).</w:t>
      </w:r>
    </w:p>
    <w:p w14:paraId="2310EB33" w14:textId="10D974BE" w:rsidR="00F53931" w:rsidRDefault="00F53931" w:rsidP="002C6CD4">
      <w:pPr>
        <w:spacing w:before="240" w:after="240"/>
      </w:pPr>
      <w:r>
        <w:t>The DCAR stated that in the alloimmunised population, the m</w:t>
      </w:r>
      <w:r w:rsidRPr="001726E5">
        <w:t>ean cost per alloimmunised pregnancy was fairly robust to the probability of crossin</w:t>
      </w:r>
      <w:r>
        <w:t xml:space="preserve">g the threshold (titre &gt;1:16), the </w:t>
      </w:r>
      <w:r w:rsidRPr="001726E5">
        <w:t>probability of having mild rather than severe HDFN</w:t>
      </w:r>
      <w:r>
        <w:t>,</w:t>
      </w:r>
      <w:r w:rsidRPr="001726E5">
        <w:t xml:space="preserve"> </w:t>
      </w:r>
      <w:r>
        <w:t xml:space="preserve">and </w:t>
      </w:r>
      <w:r w:rsidRPr="001726E5">
        <w:t>variations in cost</w:t>
      </w:r>
      <w:r>
        <w:t xml:space="preserve"> of intensive monitoring of low-</w:t>
      </w:r>
      <w:r w:rsidRPr="001726E5">
        <w:t>risk alloimmunised pregnancies</w:t>
      </w:r>
      <w:r>
        <w:t xml:space="preserve"> (</w:t>
      </w:r>
      <w:r>
        <w:fldChar w:fldCharType="begin"/>
      </w:r>
      <w:r>
        <w:instrText>REF _Ref49777285</w:instrText>
      </w:r>
      <w:r>
        <w:fldChar w:fldCharType="separate"/>
      </w:r>
      <w:r w:rsidR="00C751E2" w:rsidRPr="00053FE0">
        <w:rPr>
          <w:b/>
          <w:sz w:val="20"/>
        </w:rPr>
        <w:t xml:space="preserve">Figure </w:t>
      </w:r>
      <w:r w:rsidR="00C751E2">
        <w:rPr>
          <w:b/>
          <w:noProof/>
          <w:sz w:val="20"/>
        </w:rPr>
        <w:t>2</w:t>
      </w:r>
      <w:r>
        <w:fldChar w:fldCharType="end"/>
      </w:r>
      <w:r>
        <w:t>)</w:t>
      </w:r>
      <w:r w:rsidRPr="001726E5">
        <w:t>. The largest difference between the base case cost estimate and the cost associated with the lower probability of having mild HDFN (0.8) did not exceed 13%</w:t>
      </w:r>
      <w:r>
        <w:t xml:space="preserve"> (</w:t>
      </w:r>
      <w:r w:rsidR="00A705CD" w:rsidRPr="00567F9E">
        <w:fldChar w:fldCharType="begin"/>
      </w:r>
      <w:r w:rsidR="00A705CD" w:rsidRPr="00567F9E">
        <w:instrText xml:space="preserve"> REF _Ref162029623 \h </w:instrText>
      </w:r>
      <w:r w:rsidR="00567F9E">
        <w:instrText xml:space="preserve"> \* MERGEFORMAT </w:instrText>
      </w:r>
      <w:r w:rsidR="00A705CD" w:rsidRPr="00567F9E">
        <w:fldChar w:fldCharType="separate"/>
      </w:r>
      <w:r w:rsidR="00C751E2">
        <w:t xml:space="preserve">Table </w:t>
      </w:r>
      <w:r w:rsidR="00C751E2">
        <w:rPr>
          <w:noProof/>
        </w:rPr>
        <w:t>14</w:t>
      </w:r>
      <w:r w:rsidR="00A705CD" w:rsidRPr="00567F9E">
        <w:fldChar w:fldCharType="end"/>
      </w:r>
      <w:r w:rsidRPr="00567F9E">
        <w:t>).</w:t>
      </w:r>
      <w:r w:rsidRPr="001726E5">
        <w:t xml:space="preserve"> Risks of fetal/neonatal death and having severe HDFN were most sensitive to variation in probability of crossing the threshold (titre &gt;1:16) and therefore developing HDFN (either mild or severe). Within the HDFN subgroup</w:t>
      </w:r>
      <w:r>
        <w:t>,</w:t>
      </w:r>
      <w:r w:rsidRPr="001726E5">
        <w:t xml:space="preserve"> risk of severe HDFN was quite naturally sensitive to the probability of having mild rather than severe HDFN.</w:t>
      </w:r>
    </w:p>
    <w:p w14:paraId="5B1BD4D3" w14:textId="77777777" w:rsidR="00F53931" w:rsidRDefault="00F53931" w:rsidP="00F53931">
      <w:pPr>
        <w:jc w:val="center"/>
      </w:pPr>
      <w:r>
        <w:rPr>
          <w:noProof/>
        </w:rPr>
        <w:drawing>
          <wp:inline distT="0" distB="0" distL="0" distR="0" wp14:anchorId="29F47C6F" wp14:editId="235679C7">
            <wp:extent cx="4129158" cy="3326004"/>
            <wp:effectExtent l="0" t="0" r="5080" b="8255"/>
            <wp:docPr id="12" name="Picture 12" descr="One-way sensitivity analyses of mean cost per alloimmunised pregna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5203" t="25067" r="25992" b="40786"/>
                    <a:stretch/>
                  </pic:blipFill>
                  <pic:spPr bwMode="auto">
                    <a:xfrm>
                      <a:off x="0" y="0"/>
                      <a:ext cx="4155322" cy="3347079"/>
                    </a:xfrm>
                    <a:prstGeom prst="rect">
                      <a:avLst/>
                    </a:prstGeom>
                    <a:ln>
                      <a:noFill/>
                    </a:ln>
                    <a:extLst>
                      <a:ext uri="{53640926-AAD7-44D8-BBD7-CCE9431645EC}">
                        <a14:shadowObscured xmlns:a14="http://schemas.microsoft.com/office/drawing/2010/main"/>
                      </a:ext>
                    </a:extLst>
                  </pic:spPr>
                </pic:pic>
              </a:graphicData>
            </a:graphic>
          </wp:inline>
        </w:drawing>
      </w:r>
    </w:p>
    <w:p w14:paraId="55C07F90" w14:textId="070015A8" w:rsidR="00F53931" w:rsidRPr="00053FE0" w:rsidRDefault="00F53931" w:rsidP="00053FE0">
      <w:pPr>
        <w:rPr>
          <w:b/>
          <w:sz w:val="20"/>
        </w:rPr>
      </w:pPr>
      <w:bookmarkStart w:id="20" w:name="_Ref49777285"/>
      <w:bookmarkStart w:id="21" w:name="_Toc49819239"/>
      <w:r w:rsidRPr="00053FE0">
        <w:rPr>
          <w:b/>
          <w:sz w:val="20"/>
        </w:rPr>
        <w:t xml:space="preserve">Figure </w:t>
      </w:r>
      <w:r w:rsidR="00864C72" w:rsidRPr="00053FE0">
        <w:rPr>
          <w:b/>
          <w:sz w:val="20"/>
        </w:rPr>
        <w:fldChar w:fldCharType="begin"/>
      </w:r>
      <w:r w:rsidR="00864C72" w:rsidRPr="00053FE0">
        <w:rPr>
          <w:b/>
          <w:sz w:val="20"/>
        </w:rPr>
        <w:instrText xml:space="preserve"> SEQ Figure \* ARABIC </w:instrText>
      </w:r>
      <w:r w:rsidR="00864C72" w:rsidRPr="00053FE0">
        <w:rPr>
          <w:b/>
          <w:sz w:val="20"/>
        </w:rPr>
        <w:fldChar w:fldCharType="separate"/>
      </w:r>
      <w:r w:rsidR="00C751E2">
        <w:rPr>
          <w:b/>
          <w:noProof/>
          <w:sz w:val="20"/>
        </w:rPr>
        <w:t>2</w:t>
      </w:r>
      <w:r w:rsidR="00864C72" w:rsidRPr="00053FE0">
        <w:rPr>
          <w:b/>
          <w:sz w:val="20"/>
        </w:rPr>
        <w:fldChar w:fldCharType="end"/>
      </w:r>
      <w:bookmarkEnd w:id="20"/>
      <w:r w:rsidRPr="00053FE0">
        <w:rPr>
          <w:b/>
          <w:sz w:val="20"/>
        </w:rPr>
        <w:t>: One-way sensitivity analyses of mean cost per alloimmunised pregnancy</w:t>
      </w:r>
      <w:bookmarkEnd w:id="21"/>
    </w:p>
    <w:p w14:paraId="47284752" w14:textId="0CA5C429" w:rsidR="00F53931" w:rsidRDefault="00F53931" w:rsidP="002C6CD4">
      <w:pPr>
        <w:pStyle w:val="Tablenotes1"/>
      </w:pPr>
      <w:r>
        <w:t>Source: DCAR, Figure 6</w:t>
      </w:r>
      <w:r w:rsidRPr="00356019">
        <w:t xml:space="preserve"> </w:t>
      </w:r>
    </w:p>
    <w:p w14:paraId="572A8D45" w14:textId="2949248C" w:rsidR="009002A3" w:rsidRPr="00526E92" w:rsidRDefault="009002A3" w:rsidP="00D135F2">
      <w:pPr>
        <w:pStyle w:val="TableHeading"/>
      </w:pPr>
      <w:bookmarkStart w:id="22" w:name="_Ref162029623"/>
      <w:r>
        <w:lastRenderedPageBreak/>
        <w:t xml:space="preserve">Table </w:t>
      </w:r>
      <w:r>
        <w:fldChar w:fldCharType="begin"/>
      </w:r>
      <w:r>
        <w:instrText xml:space="preserve"> SEQ Table \* ARABIC </w:instrText>
      </w:r>
      <w:r>
        <w:fldChar w:fldCharType="separate"/>
      </w:r>
      <w:r w:rsidR="00C751E2">
        <w:t>14</w:t>
      </w:r>
      <w:r>
        <w:fldChar w:fldCharType="end"/>
      </w:r>
      <w:bookmarkEnd w:id="22"/>
      <w:r w:rsidR="00526E92" w:rsidRPr="00526E92">
        <w:t xml:space="preserve"> </w:t>
      </w:r>
      <w:r w:rsidR="00526E92" w:rsidRPr="00053FE0">
        <w:t xml:space="preserve">: Key drivers of the model in the alloimmunised population (sensitivity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3540"/>
        <w:gridCol w:w="2809"/>
        <w:gridCol w:w="2667"/>
      </w:tblGrid>
      <w:tr w:rsidR="00F53931" w:rsidRPr="00183E4D" w14:paraId="3BA7F797" w14:textId="77777777" w:rsidTr="009002A3">
        <w:trPr>
          <w:tblHeader/>
        </w:trPr>
        <w:tc>
          <w:tcPr>
            <w:tcW w:w="1963" w:type="pct"/>
            <w:shd w:val="clear" w:color="auto" w:fill="auto"/>
            <w:vAlign w:val="center"/>
          </w:tcPr>
          <w:p w14:paraId="431321B2" w14:textId="77777777" w:rsidR="00F53931" w:rsidRPr="00183E4D" w:rsidRDefault="00F53931" w:rsidP="00053FE0">
            <w:pPr>
              <w:pStyle w:val="TableHeading"/>
              <w:keepLines/>
              <w:rPr>
                <w:snapToGrid w:val="0"/>
                <w:lang w:eastAsia="en-US"/>
              </w:rPr>
            </w:pPr>
            <w:r w:rsidRPr="00183E4D">
              <w:rPr>
                <w:snapToGrid w:val="0"/>
                <w:lang w:eastAsia="en-US"/>
              </w:rPr>
              <w:t>Description</w:t>
            </w:r>
          </w:p>
        </w:tc>
        <w:tc>
          <w:tcPr>
            <w:tcW w:w="1558" w:type="pct"/>
            <w:shd w:val="clear" w:color="auto" w:fill="auto"/>
            <w:vAlign w:val="center"/>
          </w:tcPr>
          <w:p w14:paraId="500074D1" w14:textId="77777777" w:rsidR="00F53931" w:rsidRPr="00183E4D" w:rsidRDefault="00F53931" w:rsidP="00053FE0">
            <w:pPr>
              <w:pStyle w:val="TableHeading"/>
              <w:keepLines/>
              <w:rPr>
                <w:snapToGrid w:val="0"/>
                <w:lang w:eastAsia="en-US"/>
              </w:rPr>
            </w:pPr>
            <w:r w:rsidRPr="00183E4D">
              <w:rPr>
                <w:snapToGrid w:val="0"/>
                <w:lang w:eastAsia="en-US"/>
              </w:rPr>
              <w:t>Value</w:t>
            </w:r>
          </w:p>
        </w:tc>
        <w:tc>
          <w:tcPr>
            <w:tcW w:w="1479" w:type="pct"/>
            <w:shd w:val="clear" w:color="auto" w:fill="auto"/>
            <w:vAlign w:val="center"/>
          </w:tcPr>
          <w:p w14:paraId="3C8E56E2" w14:textId="77777777" w:rsidR="00F53931" w:rsidRPr="00183E4D" w:rsidRDefault="00F53931" w:rsidP="00053FE0">
            <w:pPr>
              <w:pStyle w:val="TableHeading"/>
              <w:keepLines/>
              <w:rPr>
                <w:snapToGrid w:val="0"/>
                <w:lang w:eastAsia="en-US"/>
              </w:rPr>
            </w:pPr>
            <w:r w:rsidRPr="00183E4D">
              <w:rPr>
                <w:snapToGrid w:val="0"/>
                <w:lang w:eastAsia="en-US"/>
              </w:rPr>
              <w:t>Impact</w:t>
            </w:r>
          </w:p>
        </w:tc>
      </w:tr>
      <w:tr w:rsidR="00BD129D" w:rsidRPr="00183E4D" w14:paraId="5D0B772E" w14:textId="77777777" w:rsidTr="009002A3">
        <w:trPr>
          <w:trHeight w:val="503"/>
        </w:trPr>
        <w:tc>
          <w:tcPr>
            <w:tcW w:w="1963" w:type="pct"/>
            <w:vMerge w:val="restart"/>
            <w:shd w:val="clear" w:color="auto" w:fill="auto"/>
            <w:vAlign w:val="center"/>
          </w:tcPr>
          <w:p w14:paraId="35D22D61" w14:textId="77777777" w:rsidR="00BD129D" w:rsidRDefault="00BD129D" w:rsidP="00053FE0">
            <w:pPr>
              <w:pStyle w:val="Tabletext0"/>
              <w:keepNext/>
              <w:keepLines/>
            </w:pPr>
            <w:r>
              <w:t xml:space="preserve">Probability of </w:t>
            </w:r>
            <w:r w:rsidRPr="00870866">
              <w:t xml:space="preserve">crossing the threshold </w:t>
            </w:r>
            <w:r>
              <w:t>(titre &gt;1:16) and therefore developing HDFN (either mild or severe)</w:t>
            </w:r>
          </w:p>
        </w:tc>
        <w:tc>
          <w:tcPr>
            <w:tcW w:w="1558" w:type="pct"/>
            <w:vMerge w:val="restart"/>
            <w:shd w:val="clear" w:color="auto" w:fill="auto"/>
            <w:vAlign w:val="center"/>
          </w:tcPr>
          <w:p w14:paraId="5B23ADB1" w14:textId="416FECE4" w:rsidR="00BD129D" w:rsidRDefault="00BD129D" w:rsidP="00053FE0">
            <w:pPr>
              <w:pStyle w:val="Tabletext0"/>
              <w:keepNext/>
              <w:keepLines/>
            </w:pPr>
            <w:r>
              <w:t>Decrease from 0.43 in the base case to 0.3 in a sensitivity analysis</w:t>
            </w:r>
          </w:p>
          <w:p w14:paraId="02CB35C6" w14:textId="038418B4" w:rsidR="00BD129D" w:rsidRDefault="00BD129D" w:rsidP="00053FE0">
            <w:pPr>
              <w:pStyle w:val="Tabletext0"/>
              <w:keepNext/>
              <w:keepLines/>
            </w:pPr>
          </w:p>
        </w:tc>
        <w:tc>
          <w:tcPr>
            <w:tcW w:w="1479" w:type="pct"/>
            <w:shd w:val="clear" w:color="auto" w:fill="auto"/>
            <w:vAlign w:val="center"/>
          </w:tcPr>
          <w:p w14:paraId="48DA9192" w14:textId="4004E42E" w:rsidR="00BD129D" w:rsidRDefault="00BD129D" w:rsidP="00053FE0">
            <w:pPr>
              <w:keepNext/>
              <w:keepLines/>
              <w:spacing w:after="40"/>
              <w:rPr>
                <w:rFonts w:ascii="Arial Narrow" w:hAnsi="Arial Narrow"/>
                <w:sz w:val="20"/>
              </w:rPr>
            </w:pPr>
            <w:r>
              <w:rPr>
                <w:rFonts w:ascii="Arial Narrow" w:hAnsi="Arial Narrow"/>
                <w:sz w:val="20"/>
              </w:rPr>
              <w:t>Risk of death decreased from 0.05 to 0.04</w:t>
            </w:r>
          </w:p>
          <w:p w14:paraId="040F6111" w14:textId="405480D0" w:rsidR="00BD129D" w:rsidRDefault="00BD129D" w:rsidP="00053FE0">
            <w:pPr>
              <w:keepNext/>
              <w:keepLines/>
              <w:spacing w:after="40"/>
              <w:rPr>
                <w:rFonts w:ascii="Arial Narrow" w:hAnsi="Arial Narrow"/>
                <w:sz w:val="20"/>
              </w:rPr>
            </w:pPr>
          </w:p>
        </w:tc>
      </w:tr>
      <w:tr w:rsidR="00BD129D" w:rsidRPr="00183E4D" w14:paraId="78AE88F1" w14:textId="77777777" w:rsidTr="009002A3">
        <w:trPr>
          <w:trHeight w:val="502"/>
        </w:trPr>
        <w:tc>
          <w:tcPr>
            <w:tcW w:w="1963" w:type="pct"/>
            <w:vMerge/>
            <w:shd w:val="clear" w:color="auto" w:fill="auto"/>
            <w:vAlign w:val="center"/>
          </w:tcPr>
          <w:p w14:paraId="130074BE" w14:textId="77777777" w:rsidR="00BD129D" w:rsidRDefault="00BD129D" w:rsidP="00F53931">
            <w:pPr>
              <w:pStyle w:val="Tabletext0"/>
              <w:keepNext/>
            </w:pPr>
          </w:p>
        </w:tc>
        <w:tc>
          <w:tcPr>
            <w:tcW w:w="1558" w:type="pct"/>
            <w:vMerge/>
            <w:shd w:val="clear" w:color="auto" w:fill="auto"/>
            <w:vAlign w:val="center"/>
          </w:tcPr>
          <w:p w14:paraId="138B4EBE" w14:textId="77777777" w:rsidR="00BD129D" w:rsidRDefault="00BD129D" w:rsidP="00F53931">
            <w:pPr>
              <w:pStyle w:val="Tabletext0"/>
              <w:keepNext/>
            </w:pPr>
          </w:p>
        </w:tc>
        <w:tc>
          <w:tcPr>
            <w:tcW w:w="1479" w:type="pct"/>
            <w:shd w:val="clear" w:color="auto" w:fill="auto"/>
            <w:vAlign w:val="center"/>
          </w:tcPr>
          <w:p w14:paraId="62588336" w14:textId="0BB4D519" w:rsidR="00BD129D" w:rsidRDefault="00BD129D" w:rsidP="00F53931">
            <w:pPr>
              <w:keepNext/>
              <w:spacing w:after="40"/>
              <w:rPr>
                <w:rFonts w:ascii="Arial Narrow" w:hAnsi="Arial Narrow"/>
                <w:sz w:val="20"/>
              </w:rPr>
            </w:pPr>
            <w:r>
              <w:rPr>
                <w:rFonts w:ascii="Arial Narrow" w:hAnsi="Arial Narrow"/>
                <w:sz w:val="20"/>
              </w:rPr>
              <w:t>Risk of severe HDFN decreased from 0.027 to 0.019</w:t>
            </w:r>
          </w:p>
        </w:tc>
      </w:tr>
      <w:tr w:rsidR="00BD129D" w:rsidRPr="00183E4D" w14:paraId="5173A3E9" w14:textId="77777777" w:rsidTr="009002A3">
        <w:trPr>
          <w:trHeight w:val="270"/>
        </w:trPr>
        <w:tc>
          <w:tcPr>
            <w:tcW w:w="1963" w:type="pct"/>
            <w:vMerge/>
            <w:shd w:val="clear" w:color="auto" w:fill="auto"/>
            <w:vAlign w:val="center"/>
          </w:tcPr>
          <w:p w14:paraId="70417F37" w14:textId="77777777" w:rsidR="00BD129D" w:rsidRDefault="00BD129D" w:rsidP="00F53931">
            <w:pPr>
              <w:pStyle w:val="Tabletext0"/>
              <w:keepNext/>
            </w:pPr>
          </w:p>
        </w:tc>
        <w:tc>
          <w:tcPr>
            <w:tcW w:w="1558" w:type="pct"/>
            <w:vMerge w:val="restart"/>
            <w:shd w:val="clear" w:color="auto" w:fill="auto"/>
            <w:vAlign w:val="center"/>
          </w:tcPr>
          <w:p w14:paraId="1BBA58DE" w14:textId="16124CBC" w:rsidR="00BD129D" w:rsidRDefault="00BD129D" w:rsidP="00F53931">
            <w:pPr>
              <w:pStyle w:val="Tabletext0"/>
              <w:keepNext/>
            </w:pPr>
            <w:r>
              <w:t xml:space="preserve">Increase from 0.43 in the base case to 0.6 in a sensitivity analysis </w:t>
            </w:r>
          </w:p>
        </w:tc>
        <w:tc>
          <w:tcPr>
            <w:tcW w:w="1479" w:type="pct"/>
            <w:shd w:val="clear" w:color="auto" w:fill="auto"/>
            <w:vAlign w:val="center"/>
          </w:tcPr>
          <w:p w14:paraId="56F0081A" w14:textId="106BA833" w:rsidR="00BD129D" w:rsidRDefault="00BD129D" w:rsidP="00F53931">
            <w:pPr>
              <w:keepNext/>
              <w:spacing w:after="40"/>
              <w:rPr>
                <w:rFonts w:ascii="Arial Narrow" w:hAnsi="Arial Narrow"/>
                <w:sz w:val="20"/>
              </w:rPr>
            </w:pPr>
            <w:r>
              <w:rPr>
                <w:rFonts w:ascii="Arial Narrow" w:hAnsi="Arial Narrow"/>
                <w:sz w:val="20"/>
              </w:rPr>
              <w:t>Risk of death increased from 0.05 to 0.06</w:t>
            </w:r>
          </w:p>
        </w:tc>
      </w:tr>
      <w:tr w:rsidR="00BD129D" w:rsidRPr="00183E4D" w14:paraId="49EFD9E9" w14:textId="77777777" w:rsidTr="009002A3">
        <w:trPr>
          <w:trHeight w:val="270"/>
        </w:trPr>
        <w:tc>
          <w:tcPr>
            <w:tcW w:w="1963" w:type="pct"/>
            <w:vMerge/>
            <w:shd w:val="clear" w:color="auto" w:fill="auto"/>
            <w:vAlign w:val="center"/>
          </w:tcPr>
          <w:p w14:paraId="6C55D6C0" w14:textId="77777777" w:rsidR="00BD129D" w:rsidRDefault="00BD129D" w:rsidP="00F53931">
            <w:pPr>
              <w:pStyle w:val="Tabletext0"/>
              <w:keepNext/>
            </w:pPr>
          </w:p>
        </w:tc>
        <w:tc>
          <w:tcPr>
            <w:tcW w:w="1558" w:type="pct"/>
            <w:vMerge/>
            <w:shd w:val="clear" w:color="auto" w:fill="auto"/>
            <w:vAlign w:val="center"/>
          </w:tcPr>
          <w:p w14:paraId="341C7737" w14:textId="77777777" w:rsidR="00BD129D" w:rsidRDefault="00BD129D" w:rsidP="00F53931">
            <w:pPr>
              <w:pStyle w:val="Tabletext0"/>
              <w:keepNext/>
            </w:pPr>
          </w:p>
        </w:tc>
        <w:tc>
          <w:tcPr>
            <w:tcW w:w="1479" w:type="pct"/>
            <w:shd w:val="clear" w:color="auto" w:fill="auto"/>
            <w:vAlign w:val="center"/>
          </w:tcPr>
          <w:p w14:paraId="43164F5F" w14:textId="00D273FA" w:rsidR="00BD129D" w:rsidRDefault="00BD129D" w:rsidP="00F53931">
            <w:pPr>
              <w:keepNext/>
              <w:spacing w:after="40"/>
              <w:rPr>
                <w:rFonts w:ascii="Arial Narrow" w:hAnsi="Arial Narrow"/>
                <w:sz w:val="20"/>
              </w:rPr>
            </w:pPr>
            <w:r>
              <w:rPr>
                <w:rFonts w:ascii="Arial Narrow" w:hAnsi="Arial Narrow"/>
                <w:sz w:val="20"/>
              </w:rPr>
              <w:t>Risk of severe HDFN increased from 0.027 to 0.037</w:t>
            </w:r>
          </w:p>
        </w:tc>
      </w:tr>
    </w:tbl>
    <w:p w14:paraId="3260A0B8" w14:textId="6740DAF0" w:rsidR="00F53931" w:rsidRPr="00B86F13" w:rsidRDefault="00F53931" w:rsidP="00F53931">
      <w:pPr>
        <w:pStyle w:val="Tablenotes1"/>
      </w:pPr>
      <w:r>
        <w:t xml:space="preserve">Source: </w:t>
      </w:r>
      <w:r w:rsidR="00BD129D">
        <w:t xml:space="preserve">Based on </w:t>
      </w:r>
      <w:r>
        <w:t>DCAR, Table 9</w:t>
      </w:r>
    </w:p>
    <w:p w14:paraId="242F8EE3" w14:textId="21B3F115" w:rsidR="00F53931" w:rsidRDefault="00F53931" w:rsidP="009301EE">
      <w:r>
        <w:t xml:space="preserve">The DCAR stated that uncertainty remains around </w:t>
      </w:r>
      <w:r w:rsidRPr="00B86F13">
        <w:t>the mismatch between the high-throughput NIP</w:t>
      </w:r>
      <w:r>
        <w:t>T for which the MBS listing is s</w:t>
      </w:r>
      <w:r w:rsidRPr="00B86F13">
        <w:t>ought</w:t>
      </w:r>
      <w:r>
        <w:t>,</w:t>
      </w:r>
      <w:r w:rsidRPr="00B86F13">
        <w:t xml:space="preserve"> and the intended population that was expanded in the ratified PICO to include the alloimmunised population. This in turn raised uncertainty about the comparator and the outcome. Evidently, in this population the outcome is no longer the prevention of alloimmunisation, it is prevention of HDFN</w:t>
      </w:r>
      <w:r>
        <w:t>. T</w:t>
      </w:r>
      <w:r w:rsidRPr="00B86F13">
        <w:t>he risk of HDFN is not exclusively related to anti-D antibodies,</w:t>
      </w:r>
      <w:r>
        <w:t xml:space="preserve"> as</w:t>
      </w:r>
      <w:r w:rsidRPr="00B86F13">
        <w:t xml:space="preserve"> the presence of other antibodies such as anti-K and anti-E </w:t>
      </w:r>
      <w:r>
        <w:t>is</w:t>
      </w:r>
      <w:r w:rsidRPr="00B86F13">
        <w:t xml:space="preserve"> associated with 18.9% and 10.4% risk estimates respectively</w:t>
      </w:r>
      <w:r>
        <w:rPr>
          <w:rStyle w:val="FootnoteReference"/>
        </w:rPr>
        <w:footnoteReference w:id="39"/>
      </w:r>
      <w:r w:rsidR="002C6CD4">
        <w:t>.</w:t>
      </w:r>
    </w:p>
    <w:p w14:paraId="63A7CF64" w14:textId="77777777" w:rsidR="00BC1364" w:rsidRPr="00F715D1" w:rsidRDefault="00BC1364" w:rsidP="00F715D1">
      <w:pPr>
        <w:pStyle w:val="Heading1"/>
      </w:pPr>
      <w:r w:rsidRPr="00F715D1">
        <w:t>Financial/budgetary impacts</w:t>
      </w:r>
    </w:p>
    <w:p w14:paraId="2B9F303D" w14:textId="63557666" w:rsidR="00F53931" w:rsidRDefault="00F53931" w:rsidP="002C6CD4">
      <w:pPr>
        <w:spacing w:after="240"/>
      </w:pPr>
      <w:r>
        <w:t xml:space="preserve">The DCAR used an epidemiological approach to </w:t>
      </w:r>
      <w:r w:rsidRPr="008A666B">
        <w:t xml:space="preserve">estimate the financial implications of the introduction of </w:t>
      </w:r>
      <w:r w:rsidRPr="008A666B">
        <w:rPr>
          <w:i/>
        </w:rPr>
        <w:t>RHD</w:t>
      </w:r>
      <w:r>
        <w:t>-</w:t>
      </w:r>
      <w:r w:rsidRPr="008A666B">
        <w:t>NIPT</w:t>
      </w:r>
      <w:r>
        <w:t>, and a</w:t>
      </w:r>
      <w:r w:rsidRPr="008A666B">
        <w:t xml:space="preserve"> clinical utility approach to estimate the reduction in medically unnecessary use of anti-D Ig </w:t>
      </w:r>
      <w:r>
        <w:t>through</w:t>
      </w:r>
      <w:r w:rsidRPr="008A666B">
        <w:t xml:space="preserve"> the </w:t>
      </w:r>
      <w:r>
        <w:t>introduction</w:t>
      </w:r>
      <w:r w:rsidRPr="008A666B">
        <w:t xml:space="preserve"> of the NIPT test.</w:t>
      </w:r>
      <w:r>
        <w:t xml:space="preserve"> The estimated changes in the numbers of medical services (</w:t>
      </w:r>
      <w:r w:rsidR="00A705CD">
        <w:fldChar w:fldCharType="begin"/>
      </w:r>
      <w:r w:rsidR="00A705CD">
        <w:instrText xml:space="preserve"> REF _Ref162029661 \h </w:instrText>
      </w:r>
      <w:r w:rsidR="00A705CD">
        <w:fldChar w:fldCharType="separate"/>
      </w:r>
      <w:r w:rsidR="00C751E2">
        <w:t xml:space="preserve">Table </w:t>
      </w:r>
      <w:r w:rsidR="00C751E2">
        <w:rPr>
          <w:noProof/>
        </w:rPr>
        <w:t>15</w:t>
      </w:r>
      <w:r w:rsidR="00A705CD">
        <w:fldChar w:fldCharType="end"/>
      </w:r>
      <w:r>
        <w:t>) and financial implications to the MBS and the National Blood Authority (</w:t>
      </w:r>
      <w:r w:rsidR="00A705CD">
        <w:fldChar w:fldCharType="begin"/>
      </w:r>
      <w:r w:rsidR="00A705CD">
        <w:instrText xml:space="preserve"> REF _Ref162029672 \h </w:instrText>
      </w:r>
      <w:r w:rsidR="00A705CD">
        <w:fldChar w:fldCharType="separate"/>
      </w:r>
      <w:r w:rsidR="00C751E2">
        <w:t xml:space="preserve">Table </w:t>
      </w:r>
      <w:r w:rsidR="00C751E2">
        <w:rPr>
          <w:noProof/>
        </w:rPr>
        <w:t>16</w:t>
      </w:r>
      <w:r w:rsidR="00A705CD">
        <w:fldChar w:fldCharType="end"/>
      </w:r>
      <w:r>
        <w:t xml:space="preserve">) resulting from the listing of </w:t>
      </w:r>
      <w:r>
        <w:rPr>
          <w:i/>
        </w:rPr>
        <w:t>RHD</w:t>
      </w:r>
      <w:r>
        <w:t>-NIPT are provided below.</w:t>
      </w:r>
      <w:r w:rsidRPr="003B5F2A">
        <w:t xml:space="preserve"> </w:t>
      </w:r>
      <w:r>
        <w:t>RhD immunoglobulin is supplied through NBA arrangements, hence funding is currently cost-shared between the Commonwealth and the States/Territories.</w:t>
      </w:r>
    </w:p>
    <w:p w14:paraId="2F58A278" w14:textId="4A22A72B" w:rsidR="009002A3" w:rsidRDefault="009002A3" w:rsidP="00D135F2">
      <w:pPr>
        <w:pStyle w:val="TableHeading"/>
      </w:pPr>
      <w:bookmarkStart w:id="23" w:name="_Ref162029661"/>
      <w:r>
        <w:t xml:space="preserve">Table </w:t>
      </w:r>
      <w:r>
        <w:fldChar w:fldCharType="begin"/>
      </w:r>
      <w:r>
        <w:instrText xml:space="preserve"> SEQ Table \* ARABIC </w:instrText>
      </w:r>
      <w:r>
        <w:fldChar w:fldCharType="separate"/>
      </w:r>
      <w:r w:rsidR="00C751E2">
        <w:t>15</w:t>
      </w:r>
      <w:r>
        <w:fldChar w:fldCharType="end"/>
      </w:r>
      <w:bookmarkEnd w:id="23"/>
      <w:r w:rsidR="003646A7">
        <w:t>: Estimated changes in resource use from the introduction of the NIPT test</w:t>
      </w:r>
    </w:p>
    <w:tbl>
      <w:tblPr>
        <w:tblStyle w:val="TableGrid3"/>
        <w:tblW w:w="8959" w:type="dxa"/>
        <w:tblLayout w:type="fixed"/>
        <w:tblCellMar>
          <w:left w:w="28" w:type="dxa"/>
          <w:right w:w="28" w:type="dxa"/>
        </w:tblCellMar>
        <w:tblLook w:val="04A0" w:firstRow="1" w:lastRow="0" w:firstColumn="1" w:lastColumn="0" w:noHBand="0" w:noVBand="1"/>
        <w:tblDescription w:val="Estimated changes in resource use from the introduction of the NIPT test"/>
      </w:tblPr>
      <w:tblGrid>
        <w:gridCol w:w="3147"/>
        <w:gridCol w:w="1162"/>
        <w:gridCol w:w="1162"/>
        <w:gridCol w:w="1163"/>
        <w:gridCol w:w="1162"/>
        <w:gridCol w:w="1163"/>
      </w:tblGrid>
      <w:tr w:rsidR="00F53931" w:rsidRPr="00426346" w14:paraId="28D2F65C" w14:textId="77777777" w:rsidTr="009002A3">
        <w:trPr>
          <w:tblHeader/>
        </w:trPr>
        <w:tc>
          <w:tcPr>
            <w:tcW w:w="3147" w:type="dxa"/>
          </w:tcPr>
          <w:p w14:paraId="4C364727" w14:textId="77777777" w:rsidR="00F53931" w:rsidRPr="00426346" w:rsidRDefault="00F53931" w:rsidP="00F53931">
            <w:pPr>
              <w:keepNext/>
              <w:spacing w:line="259" w:lineRule="auto"/>
              <w:rPr>
                <w:rFonts w:ascii="Arial Narrow" w:hAnsi="Arial Narrow"/>
                <w:bCs/>
                <w:sz w:val="20"/>
              </w:rPr>
            </w:pPr>
          </w:p>
        </w:tc>
        <w:tc>
          <w:tcPr>
            <w:tcW w:w="1162" w:type="dxa"/>
          </w:tcPr>
          <w:p w14:paraId="5954926F" w14:textId="77777777" w:rsidR="00F53931" w:rsidRDefault="00F53931" w:rsidP="00F53931">
            <w:pPr>
              <w:keepNext/>
              <w:spacing w:line="259" w:lineRule="auto"/>
              <w:jc w:val="center"/>
              <w:rPr>
                <w:rFonts w:ascii="Arial Narrow" w:hAnsi="Arial Narrow"/>
                <w:b/>
                <w:sz w:val="20"/>
              </w:rPr>
            </w:pPr>
            <w:r w:rsidRPr="00426346">
              <w:rPr>
                <w:rFonts w:ascii="Arial Narrow" w:hAnsi="Arial Narrow"/>
                <w:b/>
                <w:sz w:val="20"/>
              </w:rPr>
              <w:t>202</w:t>
            </w:r>
            <w:r>
              <w:rPr>
                <w:rFonts w:ascii="Arial Narrow" w:hAnsi="Arial Narrow"/>
                <w:b/>
                <w:sz w:val="20"/>
              </w:rPr>
              <w:t>1</w:t>
            </w:r>
            <w:r w:rsidRPr="00426346">
              <w:rPr>
                <w:rFonts w:ascii="Arial Narrow" w:hAnsi="Arial Narrow"/>
                <w:b/>
                <w:sz w:val="20"/>
              </w:rPr>
              <w:t>*</w:t>
            </w:r>
          </w:p>
          <w:p w14:paraId="1C82A26A" w14:textId="77777777" w:rsidR="00F53931" w:rsidRPr="00426346" w:rsidRDefault="00F53931" w:rsidP="00F53931">
            <w:pPr>
              <w:keepNext/>
              <w:spacing w:line="259" w:lineRule="auto"/>
              <w:jc w:val="center"/>
              <w:rPr>
                <w:rFonts w:ascii="Arial Narrow" w:hAnsi="Arial Narrow"/>
                <w:b/>
                <w:sz w:val="20"/>
              </w:rPr>
            </w:pPr>
            <w:r>
              <w:rPr>
                <w:rFonts w:ascii="Arial Narrow" w:hAnsi="Arial Narrow"/>
                <w:b/>
                <w:sz w:val="20"/>
              </w:rPr>
              <w:t>Yr1</w:t>
            </w:r>
          </w:p>
        </w:tc>
        <w:tc>
          <w:tcPr>
            <w:tcW w:w="1162" w:type="dxa"/>
          </w:tcPr>
          <w:p w14:paraId="5A9D7A2C" w14:textId="77777777" w:rsidR="00F53931" w:rsidRDefault="00F53931" w:rsidP="00F53931">
            <w:pPr>
              <w:keepNext/>
              <w:spacing w:line="259" w:lineRule="auto"/>
              <w:jc w:val="center"/>
              <w:rPr>
                <w:rFonts w:ascii="Arial Narrow" w:hAnsi="Arial Narrow"/>
                <w:b/>
                <w:sz w:val="20"/>
              </w:rPr>
            </w:pPr>
            <w:r w:rsidRPr="00426346">
              <w:rPr>
                <w:rFonts w:ascii="Arial Narrow" w:hAnsi="Arial Narrow"/>
                <w:b/>
                <w:sz w:val="20"/>
              </w:rPr>
              <w:t>202</w:t>
            </w:r>
            <w:r>
              <w:rPr>
                <w:rFonts w:ascii="Arial Narrow" w:hAnsi="Arial Narrow"/>
                <w:b/>
                <w:sz w:val="20"/>
              </w:rPr>
              <w:t>2</w:t>
            </w:r>
            <w:r w:rsidRPr="00426346">
              <w:rPr>
                <w:rFonts w:ascii="Arial Narrow" w:hAnsi="Arial Narrow"/>
                <w:b/>
                <w:sz w:val="20"/>
              </w:rPr>
              <w:t>*</w:t>
            </w:r>
          </w:p>
          <w:p w14:paraId="6664D6A1" w14:textId="77777777" w:rsidR="00F53931" w:rsidRPr="00426346" w:rsidRDefault="00F53931" w:rsidP="00F53931">
            <w:pPr>
              <w:keepNext/>
              <w:spacing w:line="259" w:lineRule="auto"/>
              <w:jc w:val="center"/>
              <w:rPr>
                <w:rFonts w:ascii="Arial Narrow" w:hAnsi="Arial Narrow"/>
                <w:b/>
                <w:sz w:val="20"/>
              </w:rPr>
            </w:pPr>
            <w:r>
              <w:rPr>
                <w:rFonts w:ascii="Arial Narrow" w:hAnsi="Arial Narrow"/>
                <w:b/>
                <w:sz w:val="20"/>
              </w:rPr>
              <w:t>Yr2</w:t>
            </w:r>
          </w:p>
        </w:tc>
        <w:tc>
          <w:tcPr>
            <w:tcW w:w="1163" w:type="dxa"/>
          </w:tcPr>
          <w:p w14:paraId="458AC6DD" w14:textId="77777777" w:rsidR="00F53931" w:rsidRDefault="00F53931" w:rsidP="00F53931">
            <w:pPr>
              <w:keepNext/>
              <w:spacing w:line="259" w:lineRule="auto"/>
              <w:jc w:val="center"/>
              <w:rPr>
                <w:rFonts w:ascii="Arial Narrow" w:hAnsi="Arial Narrow"/>
                <w:b/>
                <w:sz w:val="20"/>
              </w:rPr>
            </w:pPr>
            <w:r w:rsidRPr="00426346">
              <w:rPr>
                <w:rFonts w:ascii="Arial Narrow" w:hAnsi="Arial Narrow"/>
                <w:b/>
                <w:sz w:val="20"/>
              </w:rPr>
              <w:t>202</w:t>
            </w:r>
            <w:r>
              <w:rPr>
                <w:rFonts w:ascii="Arial Narrow" w:hAnsi="Arial Narrow"/>
                <w:b/>
                <w:sz w:val="20"/>
              </w:rPr>
              <w:t>3</w:t>
            </w:r>
            <w:r w:rsidRPr="00426346">
              <w:rPr>
                <w:rFonts w:ascii="Arial Narrow" w:hAnsi="Arial Narrow"/>
                <w:b/>
                <w:sz w:val="20"/>
              </w:rPr>
              <w:t>*</w:t>
            </w:r>
          </w:p>
          <w:p w14:paraId="77FBE718" w14:textId="77777777" w:rsidR="00F53931" w:rsidRPr="00426346" w:rsidRDefault="00F53931" w:rsidP="00F53931">
            <w:pPr>
              <w:keepNext/>
              <w:spacing w:line="259" w:lineRule="auto"/>
              <w:jc w:val="center"/>
              <w:rPr>
                <w:rFonts w:ascii="Arial Narrow" w:hAnsi="Arial Narrow"/>
                <w:b/>
                <w:sz w:val="20"/>
              </w:rPr>
            </w:pPr>
            <w:r>
              <w:rPr>
                <w:rFonts w:ascii="Arial Narrow" w:hAnsi="Arial Narrow"/>
                <w:b/>
                <w:sz w:val="20"/>
              </w:rPr>
              <w:t>Yr3</w:t>
            </w:r>
          </w:p>
        </w:tc>
        <w:tc>
          <w:tcPr>
            <w:tcW w:w="1162" w:type="dxa"/>
          </w:tcPr>
          <w:p w14:paraId="15DD899E" w14:textId="77777777" w:rsidR="00F53931" w:rsidRDefault="00F53931" w:rsidP="00F53931">
            <w:pPr>
              <w:keepNext/>
              <w:spacing w:line="259" w:lineRule="auto"/>
              <w:jc w:val="center"/>
              <w:rPr>
                <w:rFonts w:ascii="Arial Narrow" w:hAnsi="Arial Narrow"/>
                <w:b/>
                <w:sz w:val="20"/>
              </w:rPr>
            </w:pPr>
            <w:r w:rsidRPr="00426346">
              <w:rPr>
                <w:rFonts w:ascii="Arial Narrow" w:hAnsi="Arial Narrow"/>
                <w:b/>
                <w:sz w:val="20"/>
              </w:rPr>
              <w:t>202</w:t>
            </w:r>
            <w:r>
              <w:rPr>
                <w:rFonts w:ascii="Arial Narrow" w:hAnsi="Arial Narrow"/>
                <w:b/>
                <w:sz w:val="20"/>
              </w:rPr>
              <w:t>4</w:t>
            </w:r>
            <w:r w:rsidRPr="00426346">
              <w:rPr>
                <w:rFonts w:ascii="Arial Narrow" w:hAnsi="Arial Narrow"/>
                <w:b/>
                <w:sz w:val="20"/>
              </w:rPr>
              <w:t>*</w:t>
            </w:r>
          </w:p>
          <w:p w14:paraId="6EF53CA6" w14:textId="77777777" w:rsidR="00F53931" w:rsidRPr="00426346" w:rsidRDefault="00F53931" w:rsidP="00F53931">
            <w:pPr>
              <w:keepNext/>
              <w:spacing w:line="259" w:lineRule="auto"/>
              <w:jc w:val="center"/>
              <w:rPr>
                <w:rFonts w:ascii="Arial Narrow" w:hAnsi="Arial Narrow"/>
                <w:b/>
                <w:sz w:val="20"/>
              </w:rPr>
            </w:pPr>
            <w:r>
              <w:rPr>
                <w:rFonts w:ascii="Arial Narrow" w:hAnsi="Arial Narrow"/>
                <w:b/>
                <w:sz w:val="20"/>
              </w:rPr>
              <w:t>Yr4</w:t>
            </w:r>
          </w:p>
        </w:tc>
        <w:tc>
          <w:tcPr>
            <w:tcW w:w="1163" w:type="dxa"/>
          </w:tcPr>
          <w:p w14:paraId="5124ACBB" w14:textId="77777777" w:rsidR="00F53931" w:rsidRDefault="00F53931" w:rsidP="00F53931">
            <w:pPr>
              <w:keepNext/>
              <w:spacing w:line="259" w:lineRule="auto"/>
              <w:jc w:val="center"/>
              <w:rPr>
                <w:rFonts w:ascii="Arial Narrow" w:hAnsi="Arial Narrow"/>
                <w:b/>
                <w:sz w:val="20"/>
              </w:rPr>
            </w:pPr>
            <w:r w:rsidRPr="00426346">
              <w:rPr>
                <w:rFonts w:ascii="Arial Narrow" w:hAnsi="Arial Narrow"/>
                <w:b/>
                <w:sz w:val="20"/>
              </w:rPr>
              <w:t>202</w:t>
            </w:r>
            <w:r>
              <w:rPr>
                <w:rFonts w:ascii="Arial Narrow" w:hAnsi="Arial Narrow"/>
                <w:b/>
                <w:sz w:val="20"/>
              </w:rPr>
              <w:t>5</w:t>
            </w:r>
            <w:r w:rsidRPr="00426346">
              <w:rPr>
                <w:rFonts w:ascii="Arial Narrow" w:hAnsi="Arial Narrow"/>
                <w:b/>
                <w:sz w:val="20"/>
              </w:rPr>
              <w:t>*</w:t>
            </w:r>
          </w:p>
          <w:p w14:paraId="070368AA" w14:textId="77777777" w:rsidR="00F53931" w:rsidRPr="00426346" w:rsidRDefault="00F53931" w:rsidP="00F53931">
            <w:pPr>
              <w:keepNext/>
              <w:spacing w:line="259" w:lineRule="auto"/>
              <w:jc w:val="center"/>
              <w:rPr>
                <w:rFonts w:ascii="Arial Narrow" w:hAnsi="Arial Narrow"/>
                <w:b/>
                <w:sz w:val="20"/>
              </w:rPr>
            </w:pPr>
            <w:r>
              <w:rPr>
                <w:rFonts w:ascii="Arial Narrow" w:hAnsi="Arial Narrow"/>
                <w:b/>
                <w:sz w:val="20"/>
              </w:rPr>
              <w:t>Yr5</w:t>
            </w:r>
          </w:p>
        </w:tc>
      </w:tr>
      <w:tr w:rsidR="00F53931" w:rsidRPr="00426346" w14:paraId="6CD6F12C" w14:textId="77777777" w:rsidTr="009002A3">
        <w:tc>
          <w:tcPr>
            <w:tcW w:w="3147" w:type="dxa"/>
          </w:tcPr>
          <w:p w14:paraId="4041EE87"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Anti D immunoglobulin</w:t>
            </w:r>
          </w:p>
        </w:tc>
        <w:tc>
          <w:tcPr>
            <w:tcW w:w="1162" w:type="dxa"/>
          </w:tcPr>
          <w:p w14:paraId="3C689958" w14:textId="77777777" w:rsidR="00F53931" w:rsidRPr="004E51D5" w:rsidRDefault="00F53931" w:rsidP="00F53931">
            <w:pPr>
              <w:keepNext/>
              <w:spacing w:before="60" w:after="40" w:line="259" w:lineRule="auto"/>
              <w:jc w:val="center"/>
              <w:rPr>
                <w:rFonts w:ascii="Arial Narrow" w:hAnsi="Arial Narrow"/>
                <w:bCs/>
                <w:color w:val="FF0000"/>
                <w:sz w:val="20"/>
              </w:rPr>
            </w:pPr>
            <w:r w:rsidRPr="004E51D5">
              <w:rPr>
                <w:rFonts w:ascii="Arial Narrow" w:hAnsi="Arial Narrow"/>
                <w:bCs/>
                <w:color w:val="FF0000"/>
                <w:sz w:val="20"/>
              </w:rPr>
              <w:t>18</w:t>
            </w:r>
            <w:r>
              <w:rPr>
                <w:rFonts w:ascii="Arial Narrow" w:hAnsi="Arial Narrow"/>
                <w:bCs/>
                <w:color w:val="FF0000"/>
                <w:sz w:val="20"/>
              </w:rPr>
              <w:t>,</w:t>
            </w:r>
            <w:r w:rsidRPr="004E51D5">
              <w:rPr>
                <w:rFonts w:ascii="Arial Narrow" w:hAnsi="Arial Narrow"/>
                <w:bCs/>
                <w:color w:val="FF0000"/>
                <w:sz w:val="20"/>
              </w:rPr>
              <w:t>865</w:t>
            </w:r>
          </w:p>
        </w:tc>
        <w:tc>
          <w:tcPr>
            <w:tcW w:w="1162" w:type="dxa"/>
          </w:tcPr>
          <w:p w14:paraId="13CF98D1" w14:textId="77777777" w:rsidR="00F53931" w:rsidRPr="004E51D5" w:rsidRDefault="00F53931" w:rsidP="00F53931">
            <w:pPr>
              <w:keepNext/>
              <w:spacing w:before="60" w:after="40" w:line="259" w:lineRule="auto"/>
              <w:jc w:val="center"/>
              <w:rPr>
                <w:rFonts w:ascii="Arial Narrow" w:hAnsi="Arial Narrow"/>
                <w:bCs/>
                <w:color w:val="FF0000"/>
                <w:sz w:val="20"/>
              </w:rPr>
            </w:pPr>
            <w:r w:rsidRPr="004E51D5">
              <w:rPr>
                <w:rFonts w:ascii="Arial Narrow" w:hAnsi="Arial Narrow"/>
                <w:bCs/>
                <w:color w:val="FF0000"/>
                <w:sz w:val="20"/>
              </w:rPr>
              <w:t>18</w:t>
            </w:r>
            <w:r>
              <w:rPr>
                <w:rFonts w:ascii="Arial Narrow" w:hAnsi="Arial Narrow"/>
                <w:bCs/>
                <w:color w:val="FF0000"/>
                <w:sz w:val="20"/>
              </w:rPr>
              <w:t>,</w:t>
            </w:r>
            <w:r w:rsidRPr="004E51D5">
              <w:rPr>
                <w:rFonts w:ascii="Arial Narrow" w:hAnsi="Arial Narrow"/>
                <w:bCs/>
                <w:color w:val="FF0000"/>
                <w:sz w:val="20"/>
              </w:rPr>
              <w:t>910</w:t>
            </w:r>
          </w:p>
        </w:tc>
        <w:tc>
          <w:tcPr>
            <w:tcW w:w="1163" w:type="dxa"/>
          </w:tcPr>
          <w:p w14:paraId="1E264738" w14:textId="77777777" w:rsidR="00F53931" w:rsidRPr="004E51D5" w:rsidRDefault="00F53931" w:rsidP="00F53931">
            <w:pPr>
              <w:keepNext/>
              <w:spacing w:before="60" w:after="40" w:line="259" w:lineRule="auto"/>
              <w:jc w:val="center"/>
              <w:rPr>
                <w:rFonts w:ascii="Arial Narrow" w:hAnsi="Arial Narrow"/>
                <w:bCs/>
                <w:color w:val="FF0000"/>
                <w:sz w:val="20"/>
              </w:rPr>
            </w:pPr>
            <w:r w:rsidRPr="004E51D5">
              <w:rPr>
                <w:rFonts w:ascii="Arial Narrow" w:hAnsi="Arial Narrow"/>
                <w:bCs/>
                <w:color w:val="FF0000"/>
                <w:sz w:val="20"/>
              </w:rPr>
              <w:t>18</w:t>
            </w:r>
            <w:r>
              <w:rPr>
                <w:rFonts w:ascii="Arial Narrow" w:hAnsi="Arial Narrow"/>
                <w:bCs/>
                <w:color w:val="FF0000"/>
                <w:sz w:val="20"/>
              </w:rPr>
              <w:t>,</w:t>
            </w:r>
            <w:r w:rsidRPr="004E51D5">
              <w:rPr>
                <w:rFonts w:ascii="Arial Narrow" w:hAnsi="Arial Narrow"/>
                <w:bCs/>
                <w:color w:val="FF0000"/>
                <w:sz w:val="20"/>
              </w:rPr>
              <w:t>954</w:t>
            </w:r>
          </w:p>
        </w:tc>
        <w:tc>
          <w:tcPr>
            <w:tcW w:w="1162" w:type="dxa"/>
          </w:tcPr>
          <w:p w14:paraId="3D86F926" w14:textId="77777777" w:rsidR="00F53931" w:rsidRPr="004E51D5" w:rsidRDefault="00F53931" w:rsidP="00F53931">
            <w:pPr>
              <w:keepNext/>
              <w:spacing w:before="60" w:after="40" w:line="259" w:lineRule="auto"/>
              <w:jc w:val="center"/>
              <w:rPr>
                <w:rFonts w:ascii="Arial Narrow" w:hAnsi="Arial Narrow"/>
                <w:bCs/>
                <w:color w:val="FF0000"/>
                <w:sz w:val="20"/>
              </w:rPr>
            </w:pPr>
            <w:r w:rsidRPr="004E51D5">
              <w:rPr>
                <w:rFonts w:ascii="Arial Narrow" w:hAnsi="Arial Narrow"/>
                <w:bCs/>
                <w:color w:val="FF0000"/>
                <w:sz w:val="20"/>
              </w:rPr>
              <w:t>18</w:t>
            </w:r>
            <w:r>
              <w:rPr>
                <w:rFonts w:ascii="Arial Narrow" w:hAnsi="Arial Narrow"/>
                <w:bCs/>
                <w:color w:val="FF0000"/>
                <w:sz w:val="20"/>
              </w:rPr>
              <w:t>,</w:t>
            </w:r>
            <w:r w:rsidRPr="004E51D5">
              <w:rPr>
                <w:rFonts w:ascii="Arial Narrow" w:hAnsi="Arial Narrow"/>
                <w:bCs/>
                <w:color w:val="FF0000"/>
                <w:sz w:val="20"/>
              </w:rPr>
              <w:t>998</w:t>
            </w:r>
          </w:p>
        </w:tc>
        <w:tc>
          <w:tcPr>
            <w:tcW w:w="1163" w:type="dxa"/>
          </w:tcPr>
          <w:p w14:paraId="7E10FD6B" w14:textId="77777777" w:rsidR="00F53931" w:rsidRPr="004E51D5" w:rsidRDefault="00F53931" w:rsidP="00F53931">
            <w:pPr>
              <w:keepNext/>
              <w:spacing w:before="60" w:after="40" w:line="259" w:lineRule="auto"/>
              <w:jc w:val="center"/>
              <w:rPr>
                <w:rFonts w:ascii="Arial Narrow" w:hAnsi="Arial Narrow"/>
                <w:bCs/>
                <w:color w:val="FF0000"/>
                <w:sz w:val="20"/>
              </w:rPr>
            </w:pPr>
            <w:r w:rsidRPr="004E51D5">
              <w:rPr>
                <w:rFonts w:ascii="Arial Narrow" w:hAnsi="Arial Narrow"/>
                <w:bCs/>
                <w:color w:val="FF0000"/>
                <w:sz w:val="20"/>
              </w:rPr>
              <w:t>19</w:t>
            </w:r>
            <w:r>
              <w:rPr>
                <w:rFonts w:ascii="Arial Narrow" w:hAnsi="Arial Narrow"/>
                <w:bCs/>
                <w:color w:val="FF0000"/>
                <w:sz w:val="20"/>
              </w:rPr>
              <w:t>,</w:t>
            </w:r>
            <w:r w:rsidRPr="004E51D5">
              <w:rPr>
                <w:rFonts w:ascii="Arial Narrow" w:hAnsi="Arial Narrow"/>
                <w:bCs/>
                <w:color w:val="FF0000"/>
                <w:sz w:val="20"/>
              </w:rPr>
              <w:t>043</w:t>
            </w:r>
          </w:p>
        </w:tc>
      </w:tr>
      <w:tr w:rsidR="00F53931" w:rsidRPr="00426346" w14:paraId="6F84CE05" w14:textId="77777777" w:rsidTr="009002A3">
        <w:tc>
          <w:tcPr>
            <w:tcW w:w="3147" w:type="dxa"/>
          </w:tcPr>
          <w:p w14:paraId="0CEF1634"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 xml:space="preserve">MBS Screening Items </w:t>
            </w:r>
          </w:p>
        </w:tc>
        <w:tc>
          <w:tcPr>
            <w:tcW w:w="1162" w:type="dxa"/>
          </w:tcPr>
          <w:p w14:paraId="4B338E0D" w14:textId="77777777" w:rsidR="00F53931" w:rsidRPr="004E51D5" w:rsidRDefault="00F53931" w:rsidP="00F53931">
            <w:pPr>
              <w:keepNext/>
              <w:spacing w:before="60" w:after="40" w:line="259" w:lineRule="auto"/>
              <w:jc w:val="center"/>
              <w:rPr>
                <w:rFonts w:ascii="Arial Narrow" w:hAnsi="Arial Narrow"/>
                <w:bCs/>
                <w:color w:val="FF0000"/>
                <w:sz w:val="20"/>
              </w:rPr>
            </w:pPr>
            <w:r w:rsidRPr="00CC0BCE">
              <w:rPr>
                <w:rFonts w:ascii="Arial Narrow" w:hAnsi="Arial Narrow"/>
                <w:bCs/>
                <w:color w:val="FF0000"/>
                <w:sz w:val="20"/>
              </w:rPr>
              <w:t>33,561</w:t>
            </w:r>
          </w:p>
        </w:tc>
        <w:tc>
          <w:tcPr>
            <w:tcW w:w="1162" w:type="dxa"/>
          </w:tcPr>
          <w:p w14:paraId="13DD554D" w14:textId="77777777" w:rsidR="00F53931" w:rsidRPr="004E51D5" w:rsidRDefault="00F53931" w:rsidP="00F53931">
            <w:pPr>
              <w:keepNext/>
              <w:spacing w:before="60" w:after="40" w:line="259" w:lineRule="auto"/>
              <w:jc w:val="center"/>
              <w:rPr>
                <w:rFonts w:ascii="Arial Narrow" w:hAnsi="Arial Narrow"/>
                <w:bCs/>
                <w:color w:val="FF0000"/>
                <w:sz w:val="20"/>
              </w:rPr>
            </w:pPr>
            <w:r w:rsidRPr="00CC0BCE">
              <w:rPr>
                <w:rFonts w:ascii="Arial Narrow" w:hAnsi="Arial Narrow"/>
                <w:bCs/>
                <w:color w:val="FF0000"/>
                <w:sz w:val="20"/>
              </w:rPr>
              <w:t>33,640</w:t>
            </w:r>
          </w:p>
        </w:tc>
        <w:tc>
          <w:tcPr>
            <w:tcW w:w="1163" w:type="dxa"/>
          </w:tcPr>
          <w:p w14:paraId="2D1E36E0" w14:textId="77777777" w:rsidR="00F53931" w:rsidRPr="004E51D5" w:rsidRDefault="00F53931" w:rsidP="00F53931">
            <w:pPr>
              <w:keepNext/>
              <w:spacing w:before="60" w:after="40" w:line="259" w:lineRule="auto"/>
              <w:jc w:val="center"/>
              <w:rPr>
                <w:rFonts w:ascii="Arial Narrow" w:hAnsi="Arial Narrow"/>
                <w:bCs/>
                <w:color w:val="FF0000"/>
                <w:sz w:val="20"/>
              </w:rPr>
            </w:pPr>
            <w:r w:rsidRPr="00CC0BCE">
              <w:rPr>
                <w:rFonts w:ascii="Arial Narrow" w:hAnsi="Arial Narrow"/>
                <w:bCs/>
                <w:color w:val="FF0000"/>
                <w:sz w:val="20"/>
              </w:rPr>
              <w:t>33,718</w:t>
            </w:r>
          </w:p>
        </w:tc>
        <w:tc>
          <w:tcPr>
            <w:tcW w:w="1162" w:type="dxa"/>
          </w:tcPr>
          <w:p w14:paraId="7B2C0949" w14:textId="77777777" w:rsidR="00F53931" w:rsidRPr="004E51D5" w:rsidRDefault="00F53931" w:rsidP="00F53931">
            <w:pPr>
              <w:keepNext/>
              <w:spacing w:before="60" w:after="40" w:line="259" w:lineRule="auto"/>
              <w:jc w:val="center"/>
              <w:rPr>
                <w:rFonts w:ascii="Arial Narrow" w:hAnsi="Arial Narrow"/>
                <w:bCs/>
                <w:color w:val="FF0000"/>
                <w:sz w:val="20"/>
              </w:rPr>
            </w:pPr>
            <w:r w:rsidRPr="00CC0BCE">
              <w:rPr>
                <w:rFonts w:ascii="Arial Narrow" w:hAnsi="Arial Narrow"/>
                <w:bCs/>
                <w:color w:val="FF0000"/>
                <w:sz w:val="20"/>
              </w:rPr>
              <w:t>33,797</w:t>
            </w:r>
          </w:p>
        </w:tc>
        <w:tc>
          <w:tcPr>
            <w:tcW w:w="1163" w:type="dxa"/>
          </w:tcPr>
          <w:p w14:paraId="636D3485" w14:textId="77777777" w:rsidR="00F53931" w:rsidRPr="004E51D5" w:rsidRDefault="00F53931" w:rsidP="00F53931">
            <w:pPr>
              <w:keepNext/>
              <w:spacing w:before="60" w:after="40" w:line="259" w:lineRule="auto"/>
              <w:jc w:val="center"/>
              <w:rPr>
                <w:rFonts w:ascii="Arial Narrow" w:hAnsi="Arial Narrow"/>
                <w:bCs/>
                <w:color w:val="FF0000"/>
                <w:sz w:val="20"/>
              </w:rPr>
            </w:pPr>
            <w:r w:rsidRPr="00CC0BCE">
              <w:rPr>
                <w:rFonts w:ascii="Arial Narrow" w:hAnsi="Arial Narrow"/>
                <w:bCs/>
                <w:color w:val="FF0000"/>
                <w:sz w:val="20"/>
              </w:rPr>
              <w:t>33,877</w:t>
            </w:r>
          </w:p>
        </w:tc>
      </w:tr>
      <w:tr w:rsidR="00F53931" w:rsidRPr="00426346" w14:paraId="056C7BBF" w14:textId="77777777" w:rsidTr="009002A3">
        <w:tc>
          <w:tcPr>
            <w:tcW w:w="3147" w:type="dxa"/>
          </w:tcPr>
          <w:p w14:paraId="54E091BF"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 xml:space="preserve">MBS Cord blood serology </w:t>
            </w:r>
          </w:p>
        </w:tc>
        <w:tc>
          <w:tcPr>
            <w:tcW w:w="1162" w:type="dxa"/>
          </w:tcPr>
          <w:p w14:paraId="46443702" w14:textId="77777777" w:rsidR="00F53931" w:rsidRPr="004E51D5" w:rsidRDefault="00F53931" w:rsidP="00F53931">
            <w:pPr>
              <w:keepNext/>
              <w:spacing w:before="60" w:after="40" w:line="259" w:lineRule="auto"/>
              <w:jc w:val="center"/>
              <w:rPr>
                <w:rFonts w:ascii="Arial Narrow" w:hAnsi="Arial Narrow"/>
                <w:bCs/>
                <w:sz w:val="20"/>
              </w:rPr>
            </w:pPr>
            <w:r>
              <w:t xml:space="preserve"> </w:t>
            </w:r>
            <w:r w:rsidRPr="00425CC6">
              <w:rPr>
                <w:rFonts w:ascii="Arial Narrow" w:hAnsi="Arial Narrow"/>
                <w:bCs/>
                <w:sz w:val="20"/>
              </w:rPr>
              <w:t>581</w:t>
            </w:r>
          </w:p>
        </w:tc>
        <w:tc>
          <w:tcPr>
            <w:tcW w:w="1162" w:type="dxa"/>
          </w:tcPr>
          <w:p w14:paraId="41FF33C6" w14:textId="77777777" w:rsidR="00F53931" w:rsidRPr="004E51D5" w:rsidRDefault="00F53931" w:rsidP="00F53931">
            <w:pPr>
              <w:keepNext/>
              <w:spacing w:before="60" w:after="40" w:line="259" w:lineRule="auto"/>
              <w:jc w:val="center"/>
              <w:rPr>
                <w:rFonts w:ascii="Arial Narrow" w:hAnsi="Arial Narrow"/>
                <w:bCs/>
                <w:sz w:val="20"/>
              </w:rPr>
            </w:pPr>
            <w:r>
              <w:t xml:space="preserve"> </w:t>
            </w:r>
            <w:r w:rsidRPr="00425CC6">
              <w:rPr>
                <w:rFonts w:ascii="Arial Narrow" w:hAnsi="Arial Narrow"/>
                <w:bCs/>
                <w:sz w:val="20"/>
              </w:rPr>
              <w:t>583</w:t>
            </w:r>
          </w:p>
        </w:tc>
        <w:tc>
          <w:tcPr>
            <w:tcW w:w="1163" w:type="dxa"/>
          </w:tcPr>
          <w:p w14:paraId="767209EB" w14:textId="77777777" w:rsidR="00F53931" w:rsidRPr="004E51D5" w:rsidRDefault="00F53931" w:rsidP="00F53931">
            <w:pPr>
              <w:keepNext/>
              <w:spacing w:before="60" w:after="40" w:line="259" w:lineRule="auto"/>
              <w:jc w:val="center"/>
              <w:rPr>
                <w:rFonts w:ascii="Arial Narrow" w:hAnsi="Arial Narrow"/>
                <w:bCs/>
                <w:sz w:val="20"/>
              </w:rPr>
            </w:pPr>
            <w:r>
              <w:t xml:space="preserve"> </w:t>
            </w:r>
            <w:r w:rsidRPr="00425CC6">
              <w:rPr>
                <w:rFonts w:ascii="Arial Narrow" w:hAnsi="Arial Narrow"/>
                <w:bCs/>
                <w:sz w:val="20"/>
              </w:rPr>
              <w:t>584</w:t>
            </w:r>
          </w:p>
        </w:tc>
        <w:tc>
          <w:tcPr>
            <w:tcW w:w="1162" w:type="dxa"/>
          </w:tcPr>
          <w:p w14:paraId="0FF37828" w14:textId="77777777" w:rsidR="00F53931" w:rsidRPr="004E51D5" w:rsidRDefault="00F53931" w:rsidP="00F53931">
            <w:pPr>
              <w:keepNext/>
              <w:spacing w:before="60" w:after="40" w:line="259" w:lineRule="auto"/>
              <w:jc w:val="center"/>
              <w:rPr>
                <w:rFonts w:ascii="Arial Narrow" w:hAnsi="Arial Narrow"/>
                <w:bCs/>
                <w:sz w:val="20"/>
              </w:rPr>
            </w:pPr>
            <w:r>
              <w:t xml:space="preserve"> </w:t>
            </w:r>
            <w:r w:rsidRPr="00425CC6">
              <w:rPr>
                <w:rFonts w:ascii="Arial Narrow" w:hAnsi="Arial Narrow"/>
                <w:bCs/>
                <w:sz w:val="20"/>
              </w:rPr>
              <w:t>586</w:t>
            </w:r>
          </w:p>
        </w:tc>
        <w:tc>
          <w:tcPr>
            <w:tcW w:w="1163" w:type="dxa"/>
          </w:tcPr>
          <w:p w14:paraId="0A554CB5" w14:textId="77777777" w:rsidR="00F53931" w:rsidRPr="004E51D5" w:rsidRDefault="00F53931" w:rsidP="00F53931">
            <w:pPr>
              <w:keepNext/>
              <w:spacing w:before="60" w:after="40" w:line="259" w:lineRule="auto"/>
              <w:jc w:val="center"/>
              <w:rPr>
                <w:rFonts w:ascii="Arial Narrow" w:hAnsi="Arial Narrow"/>
                <w:bCs/>
                <w:sz w:val="20"/>
              </w:rPr>
            </w:pPr>
            <w:r>
              <w:t xml:space="preserve"> </w:t>
            </w:r>
            <w:r w:rsidRPr="00425CC6">
              <w:rPr>
                <w:rFonts w:ascii="Arial Narrow" w:hAnsi="Arial Narrow"/>
                <w:bCs/>
                <w:sz w:val="20"/>
              </w:rPr>
              <w:t>587</w:t>
            </w:r>
          </w:p>
        </w:tc>
      </w:tr>
      <w:tr w:rsidR="00F53931" w:rsidRPr="00426346" w14:paraId="49E25067" w14:textId="77777777" w:rsidTr="009002A3">
        <w:tc>
          <w:tcPr>
            <w:tcW w:w="3147" w:type="dxa"/>
          </w:tcPr>
          <w:p w14:paraId="2DD40682"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 xml:space="preserve">MBS FMH quantification during pregnancy </w:t>
            </w:r>
          </w:p>
        </w:tc>
        <w:tc>
          <w:tcPr>
            <w:tcW w:w="1162" w:type="dxa"/>
            <w:vAlign w:val="center"/>
          </w:tcPr>
          <w:p w14:paraId="3A0A84F1" w14:textId="77777777" w:rsidR="00F53931" w:rsidRPr="00821A2E" w:rsidRDefault="00F53931" w:rsidP="00F53931">
            <w:pPr>
              <w:keepNext/>
              <w:spacing w:before="60" w:after="40" w:line="259" w:lineRule="auto"/>
              <w:jc w:val="center"/>
              <w:rPr>
                <w:rFonts w:ascii="Arial Narrow" w:hAnsi="Arial Narrow"/>
                <w:bCs/>
                <w:color w:val="FF0000"/>
                <w:sz w:val="20"/>
              </w:rPr>
            </w:pPr>
            <w:r w:rsidRPr="00821A2E">
              <w:rPr>
                <w:rFonts w:ascii="Arial Narrow" w:hAnsi="Arial Narrow"/>
                <w:bCs/>
                <w:color w:val="FF0000"/>
                <w:sz w:val="20"/>
              </w:rPr>
              <w:t>889</w:t>
            </w:r>
          </w:p>
        </w:tc>
        <w:tc>
          <w:tcPr>
            <w:tcW w:w="1162" w:type="dxa"/>
            <w:vAlign w:val="center"/>
          </w:tcPr>
          <w:p w14:paraId="409AD19D" w14:textId="77777777" w:rsidR="00F53931" w:rsidRPr="00821A2E" w:rsidRDefault="00F53931" w:rsidP="00F53931">
            <w:pPr>
              <w:keepNext/>
              <w:spacing w:before="60" w:after="40" w:line="259" w:lineRule="auto"/>
              <w:jc w:val="center"/>
              <w:rPr>
                <w:rFonts w:ascii="Arial Narrow" w:hAnsi="Arial Narrow"/>
                <w:bCs/>
                <w:color w:val="FF0000"/>
                <w:sz w:val="20"/>
              </w:rPr>
            </w:pPr>
            <w:r w:rsidRPr="00821A2E">
              <w:rPr>
                <w:rFonts w:ascii="Arial Narrow" w:hAnsi="Arial Narrow"/>
                <w:bCs/>
                <w:color w:val="FF0000"/>
                <w:sz w:val="20"/>
              </w:rPr>
              <w:t>892</w:t>
            </w:r>
          </w:p>
        </w:tc>
        <w:tc>
          <w:tcPr>
            <w:tcW w:w="1163" w:type="dxa"/>
            <w:vAlign w:val="center"/>
          </w:tcPr>
          <w:p w14:paraId="0E68597E" w14:textId="77777777" w:rsidR="00F53931" w:rsidRPr="00821A2E" w:rsidRDefault="00F53931" w:rsidP="00F53931">
            <w:pPr>
              <w:keepNext/>
              <w:spacing w:before="60" w:after="40" w:line="259" w:lineRule="auto"/>
              <w:jc w:val="center"/>
              <w:rPr>
                <w:rFonts w:ascii="Arial Narrow" w:hAnsi="Arial Narrow"/>
                <w:bCs/>
                <w:color w:val="FF0000"/>
                <w:sz w:val="20"/>
              </w:rPr>
            </w:pPr>
            <w:r w:rsidRPr="00821A2E">
              <w:rPr>
                <w:rFonts w:ascii="Arial Narrow" w:hAnsi="Arial Narrow"/>
                <w:bCs/>
                <w:color w:val="FF0000"/>
                <w:sz w:val="20"/>
              </w:rPr>
              <w:t>894</w:t>
            </w:r>
          </w:p>
        </w:tc>
        <w:tc>
          <w:tcPr>
            <w:tcW w:w="1162" w:type="dxa"/>
            <w:vAlign w:val="center"/>
          </w:tcPr>
          <w:p w14:paraId="543DE800" w14:textId="77777777" w:rsidR="00F53931" w:rsidRPr="00821A2E" w:rsidRDefault="00F53931" w:rsidP="00F53931">
            <w:pPr>
              <w:keepNext/>
              <w:spacing w:before="60" w:after="40" w:line="259" w:lineRule="auto"/>
              <w:jc w:val="center"/>
              <w:rPr>
                <w:rFonts w:ascii="Arial Narrow" w:hAnsi="Arial Narrow"/>
                <w:bCs/>
                <w:color w:val="FF0000"/>
                <w:sz w:val="20"/>
              </w:rPr>
            </w:pPr>
            <w:r w:rsidRPr="00821A2E">
              <w:rPr>
                <w:rFonts w:ascii="Arial Narrow" w:hAnsi="Arial Narrow"/>
                <w:bCs/>
                <w:color w:val="FF0000"/>
                <w:sz w:val="20"/>
              </w:rPr>
              <w:t>896</w:t>
            </w:r>
          </w:p>
        </w:tc>
        <w:tc>
          <w:tcPr>
            <w:tcW w:w="1163" w:type="dxa"/>
            <w:vAlign w:val="center"/>
          </w:tcPr>
          <w:p w14:paraId="65FA2ECD" w14:textId="77777777" w:rsidR="00F53931" w:rsidRPr="00821A2E" w:rsidRDefault="00F53931" w:rsidP="00F53931">
            <w:pPr>
              <w:keepNext/>
              <w:spacing w:before="60" w:after="40" w:line="259" w:lineRule="auto"/>
              <w:jc w:val="center"/>
              <w:rPr>
                <w:rFonts w:ascii="Arial Narrow" w:hAnsi="Arial Narrow"/>
                <w:bCs/>
                <w:color w:val="FF0000"/>
                <w:sz w:val="20"/>
              </w:rPr>
            </w:pPr>
            <w:r w:rsidRPr="00821A2E">
              <w:rPr>
                <w:rFonts w:ascii="Arial Narrow" w:hAnsi="Arial Narrow"/>
                <w:bCs/>
                <w:color w:val="FF0000"/>
                <w:sz w:val="20"/>
              </w:rPr>
              <w:t>898</w:t>
            </w:r>
          </w:p>
        </w:tc>
      </w:tr>
      <w:tr w:rsidR="00F53931" w:rsidRPr="00426346" w14:paraId="60737F7A" w14:textId="77777777" w:rsidTr="009002A3">
        <w:tc>
          <w:tcPr>
            <w:tcW w:w="3147" w:type="dxa"/>
          </w:tcPr>
          <w:p w14:paraId="0A3368C5"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MBS Post-partum FMH</w:t>
            </w:r>
          </w:p>
        </w:tc>
        <w:tc>
          <w:tcPr>
            <w:tcW w:w="1162" w:type="dxa"/>
          </w:tcPr>
          <w:p w14:paraId="71470FE0"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516</w:t>
            </w:r>
          </w:p>
        </w:tc>
        <w:tc>
          <w:tcPr>
            <w:tcW w:w="1162" w:type="dxa"/>
          </w:tcPr>
          <w:p w14:paraId="4E38FB10"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517</w:t>
            </w:r>
          </w:p>
        </w:tc>
        <w:tc>
          <w:tcPr>
            <w:tcW w:w="1163" w:type="dxa"/>
          </w:tcPr>
          <w:p w14:paraId="7B0463DC"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518</w:t>
            </w:r>
          </w:p>
        </w:tc>
        <w:tc>
          <w:tcPr>
            <w:tcW w:w="1162" w:type="dxa"/>
          </w:tcPr>
          <w:p w14:paraId="7277E0F6"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519</w:t>
            </w:r>
          </w:p>
        </w:tc>
        <w:tc>
          <w:tcPr>
            <w:tcW w:w="1163" w:type="dxa"/>
          </w:tcPr>
          <w:p w14:paraId="7BFE28E3"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520</w:t>
            </w:r>
          </w:p>
        </w:tc>
      </w:tr>
      <w:tr w:rsidR="00F53931" w:rsidRPr="00426346" w14:paraId="04A15A20" w14:textId="77777777" w:rsidTr="009002A3">
        <w:tc>
          <w:tcPr>
            <w:tcW w:w="3147" w:type="dxa"/>
          </w:tcPr>
          <w:p w14:paraId="49EE64A1" w14:textId="77777777" w:rsidR="00F53931" w:rsidRPr="00426346" w:rsidRDefault="00F53931" w:rsidP="00F53931">
            <w:pPr>
              <w:keepNext/>
              <w:spacing w:before="60" w:after="40" w:line="259" w:lineRule="auto"/>
              <w:rPr>
                <w:rFonts w:ascii="Arial Narrow" w:hAnsi="Arial Narrow"/>
                <w:bCs/>
                <w:sz w:val="20"/>
              </w:rPr>
            </w:pPr>
            <w:r>
              <w:rPr>
                <w:rFonts w:ascii="Arial Narrow" w:hAnsi="Arial Narrow"/>
                <w:bCs/>
                <w:sz w:val="20"/>
              </w:rPr>
              <w:t>NIPT</w:t>
            </w:r>
          </w:p>
        </w:tc>
        <w:tc>
          <w:tcPr>
            <w:tcW w:w="1162" w:type="dxa"/>
          </w:tcPr>
          <w:p w14:paraId="59975140"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w:t>
            </w:r>
            <w:r>
              <w:rPr>
                <w:rFonts w:ascii="Arial Narrow" w:hAnsi="Arial Narrow"/>
                <w:bCs/>
                <w:sz w:val="20"/>
              </w:rPr>
              <w:t>,</w:t>
            </w:r>
            <w:r w:rsidRPr="00821A2E">
              <w:rPr>
                <w:rFonts w:ascii="Arial Narrow" w:hAnsi="Arial Narrow"/>
                <w:bCs/>
                <w:sz w:val="20"/>
              </w:rPr>
              <w:t>022</w:t>
            </w:r>
          </w:p>
        </w:tc>
        <w:tc>
          <w:tcPr>
            <w:tcW w:w="1162" w:type="dxa"/>
          </w:tcPr>
          <w:p w14:paraId="1D14D925"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w:t>
            </w:r>
            <w:r>
              <w:rPr>
                <w:rFonts w:ascii="Arial Narrow" w:hAnsi="Arial Narrow"/>
                <w:bCs/>
                <w:sz w:val="20"/>
              </w:rPr>
              <w:t>,</w:t>
            </w:r>
            <w:r w:rsidRPr="00821A2E">
              <w:rPr>
                <w:rFonts w:ascii="Arial Narrow" w:hAnsi="Arial Narrow"/>
                <w:bCs/>
                <w:sz w:val="20"/>
              </w:rPr>
              <w:t>141</w:t>
            </w:r>
          </w:p>
        </w:tc>
        <w:tc>
          <w:tcPr>
            <w:tcW w:w="1163" w:type="dxa"/>
          </w:tcPr>
          <w:p w14:paraId="43DB3290"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w:t>
            </w:r>
            <w:r>
              <w:rPr>
                <w:rFonts w:ascii="Arial Narrow" w:hAnsi="Arial Narrow"/>
                <w:bCs/>
                <w:sz w:val="20"/>
              </w:rPr>
              <w:t>,</w:t>
            </w:r>
            <w:r w:rsidRPr="00821A2E">
              <w:rPr>
                <w:rFonts w:ascii="Arial Narrow" w:hAnsi="Arial Narrow"/>
                <w:bCs/>
                <w:sz w:val="20"/>
              </w:rPr>
              <w:t>261</w:t>
            </w:r>
          </w:p>
        </w:tc>
        <w:tc>
          <w:tcPr>
            <w:tcW w:w="1162" w:type="dxa"/>
          </w:tcPr>
          <w:p w14:paraId="4B2F9B26"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w:t>
            </w:r>
            <w:r>
              <w:rPr>
                <w:rFonts w:ascii="Arial Narrow" w:hAnsi="Arial Narrow"/>
                <w:bCs/>
                <w:sz w:val="20"/>
              </w:rPr>
              <w:t>,</w:t>
            </w:r>
            <w:r w:rsidRPr="00821A2E">
              <w:rPr>
                <w:rFonts w:ascii="Arial Narrow" w:hAnsi="Arial Narrow"/>
                <w:bCs/>
                <w:sz w:val="20"/>
              </w:rPr>
              <w:t>381</w:t>
            </w:r>
          </w:p>
        </w:tc>
        <w:tc>
          <w:tcPr>
            <w:tcW w:w="1163" w:type="dxa"/>
          </w:tcPr>
          <w:p w14:paraId="7C5FDCAA" w14:textId="77777777" w:rsidR="00F53931" w:rsidRPr="00821A2E" w:rsidRDefault="00F53931" w:rsidP="00F53931">
            <w:pPr>
              <w:keepNext/>
              <w:spacing w:before="60" w:after="40" w:line="259" w:lineRule="auto"/>
              <w:jc w:val="center"/>
              <w:rPr>
                <w:rFonts w:ascii="Arial Narrow" w:hAnsi="Arial Narrow"/>
                <w:bCs/>
                <w:sz w:val="20"/>
              </w:rPr>
            </w:pPr>
            <w:r w:rsidRPr="00821A2E">
              <w:rPr>
                <w:rFonts w:ascii="Arial Narrow" w:hAnsi="Arial Narrow"/>
                <w:bCs/>
                <w:sz w:val="20"/>
              </w:rPr>
              <w:t>51</w:t>
            </w:r>
            <w:r>
              <w:rPr>
                <w:rFonts w:ascii="Arial Narrow" w:hAnsi="Arial Narrow"/>
                <w:bCs/>
                <w:sz w:val="20"/>
              </w:rPr>
              <w:t>,</w:t>
            </w:r>
            <w:r w:rsidRPr="00821A2E">
              <w:rPr>
                <w:rFonts w:ascii="Arial Narrow" w:hAnsi="Arial Narrow"/>
                <w:bCs/>
                <w:sz w:val="20"/>
              </w:rPr>
              <w:t>501</w:t>
            </w:r>
          </w:p>
        </w:tc>
      </w:tr>
    </w:tbl>
    <w:p w14:paraId="3D0B348C" w14:textId="77777777" w:rsidR="00F53931" w:rsidRDefault="00F53931" w:rsidP="00F53931">
      <w:pPr>
        <w:pStyle w:val="Tablenotes1"/>
      </w:pPr>
      <w:r w:rsidRPr="00821A2E">
        <w:t>Red denotes a reduction of services with the introduction of the proposed intervention</w:t>
      </w:r>
      <w:r>
        <w:t xml:space="preserve"> (savings)</w:t>
      </w:r>
      <w:r w:rsidRPr="00821A2E">
        <w:t>, while black represents an increase in services.</w:t>
      </w:r>
    </w:p>
    <w:p w14:paraId="71EBBE2A" w14:textId="77777777" w:rsidR="00F53931" w:rsidRDefault="00F53931" w:rsidP="00F53931">
      <w:pPr>
        <w:pStyle w:val="Tablenotes1"/>
      </w:pPr>
      <w:r>
        <w:t xml:space="preserve">FMH: </w:t>
      </w:r>
      <w:r w:rsidRPr="00725B40">
        <w:t>fetomaternal haemorrhage</w:t>
      </w:r>
    </w:p>
    <w:p w14:paraId="7BEB5341" w14:textId="77777777" w:rsidR="00F53931" w:rsidRPr="00821A2E" w:rsidRDefault="00F53931" w:rsidP="00F53931">
      <w:pPr>
        <w:pStyle w:val="Tablenotes1"/>
      </w:pPr>
      <w:r>
        <w:t>Source: DCAR, Table 12</w:t>
      </w:r>
    </w:p>
    <w:p w14:paraId="36DDE1EA" w14:textId="384B25D6" w:rsidR="009002A3" w:rsidRDefault="009002A3" w:rsidP="00D135F2">
      <w:pPr>
        <w:pStyle w:val="TableHeading"/>
      </w:pPr>
      <w:bookmarkStart w:id="24" w:name="_Ref162029672"/>
      <w:r>
        <w:lastRenderedPageBreak/>
        <w:t xml:space="preserve">Table </w:t>
      </w:r>
      <w:r>
        <w:fldChar w:fldCharType="begin"/>
      </w:r>
      <w:r>
        <w:instrText xml:space="preserve"> SEQ Table \* ARABIC </w:instrText>
      </w:r>
      <w:r>
        <w:fldChar w:fldCharType="separate"/>
      </w:r>
      <w:r w:rsidR="00C751E2">
        <w:t>16</w:t>
      </w:r>
      <w:r>
        <w:fldChar w:fldCharType="end"/>
      </w:r>
      <w:bookmarkEnd w:id="24"/>
      <w:r w:rsidR="003646A7">
        <w:t>: Total costs to the MBS and the National Blood Authority associated with NIPT introduction</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156"/>
        <w:gridCol w:w="1328"/>
        <w:gridCol w:w="1328"/>
        <w:gridCol w:w="1328"/>
        <w:gridCol w:w="1328"/>
        <w:gridCol w:w="1326"/>
      </w:tblGrid>
      <w:tr w:rsidR="00F53931" w:rsidRPr="00723325" w14:paraId="4BCC05F4" w14:textId="77777777" w:rsidTr="009002A3">
        <w:trPr>
          <w:trHeight w:val="300"/>
          <w:tblHeader/>
        </w:trPr>
        <w:tc>
          <w:tcPr>
            <w:tcW w:w="1226" w:type="pct"/>
            <w:shd w:val="clear" w:color="auto" w:fill="auto"/>
            <w:vAlign w:val="center"/>
          </w:tcPr>
          <w:p w14:paraId="48626DD8" w14:textId="77777777" w:rsidR="00F53931" w:rsidRPr="00723325" w:rsidRDefault="00F53931" w:rsidP="00053FE0">
            <w:pPr>
              <w:keepNext/>
              <w:keepLines/>
              <w:spacing w:before="40" w:after="40"/>
              <w:rPr>
                <w:rFonts w:ascii="Arial Narrow" w:hAnsi="Arial Narrow"/>
                <w:sz w:val="20"/>
              </w:rPr>
            </w:pPr>
            <w:r w:rsidRPr="00723325">
              <w:rPr>
                <w:rFonts w:ascii="Arial Narrow" w:hAnsi="Arial Narrow"/>
                <w:sz w:val="20"/>
              </w:rPr>
              <w:t>-</w:t>
            </w:r>
          </w:p>
        </w:tc>
        <w:tc>
          <w:tcPr>
            <w:tcW w:w="755" w:type="pct"/>
            <w:vAlign w:val="center"/>
          </w:tcPr>
          <w:p w14:paraId="031CD189" w14:textId="77777777" w:rsidR="00F53931" w:rsidRDefault="00F53931" w:rsidP="00053FE0">
            <w:pPr>
              <w:keepNext/>
              <w:keepLines/>
              <w:spacing w:before="40" w:after="40"/>
              <w:jc w:val="center"/>
              <w:rPr>
                <w:rFonts w:ascii="Arial Narrow" w:hAnsi="Arial Narrow"/>
                <w:b/>
                <w:bCs/>
                <w:sz w:val="20"/>
              </w:rPr>
            </w:pPr>
            <w:r>
              <w:rPr>
                <w:rFonts w:ascii="Arial Narrow" w:hAnsi="Arial Narrow"/>
                <w:b/>
                <w:bCs/>
                <w:sz w:val="20"/>
              </w:rPr>
              <w:t>2021</w:t>
            </w:r>
          </w:p>
          <w:p w14:paraId="039F34FD" w14:textId="77777777" w:rsidR="00F53931" w:rsidRPr="000A2049" w:rsidRDefault="00F53931" w:rsidP="00053FE0">
            <w:pPr>
              <w:keepNext/>
              <w:keepLines/>
              <w:spacing w:before="40" w:after="40"/>
              <w:jc w:val="center"/>
              <w:rPr>
                <w:rFonts w:ascii="Arial Narrow" w:hAnsi="Arial Narrow"/>
                <w:b/>
                <w:bCs/>
                <w:sz w:val="20"/>
              </w:rPr>
            </w:pPr>
            <w:r>
              <w:rPr>
                <w:rFonts w:ascii="Arial Narrow" w:hAnsi="Arial Narrow"/>
                <w:b/>
                <w:bCs/>
                <w:sz w:val="20"/>
              </w:rPr>
              <w:t>Yr1</w:t>
            </w:r>
          </w:p>
        </w:tc>
        <w:tc>
          <w:tcPr>
            <w:tcW w:w="755" w:type="pct"/>
            <w:shd w:val="clear" w:color="auto" w:fill="auto"/>
            <w:vAlign w:val="center"/>
          </w:tcPr>
          <w:p w14:paraId="0DC07494" w14:textId="77777777" w:rsidR="00F53931" w:rsidRDefault="00F53931" w:rsidP="00053FE0">
            <w:pPr>
              <w:keepNext/>
              <w:keepLines/>
              <w:spacing w:before="40" w:after="40"/>
              <w:jc w:val="center"/>
              <w:rPr>
                <w:rFonts w:ascii="Arial Narrow" w:hAnsi="Arial Narrow"/>
                <w:b/>
                <w:bCs/>
                <w:sz w:val="20"/>
              </w:rPr>
            </w:pPr>
            <w:r>
              <w:rPr>
                <w:rFonts w:ascii="Arial Narrow" w:hAnsi="Arial Narrow"/>
                <w:b/>
                <w:bCs/>
                <w:sz w:val="20"/>
              </w:rPr>
              <w:t>2022</w:t>
            </w:r>
          </w:p>
          <w:p w14:paraId="2B4511BF" w14:textId="77777777" w:rsidR="00F53931" w:rsidRPr="000A2049" w:rsidRDefault="00F53931" w:rsidP="00053FE0">
            <w:pPr>
              <w:keepNext/>
              <w:keepLines/>
              <w:spacing w:before="40" w:after="40"/>
              <w:jc w:val="center"/>
              <w:rPr>
                <w:rFonts w:ascii="Arial Narrow" w:hAnsi="Arial Narrow"/>
                <w:b/>
                <w:bCs/>
                <w:sz w:val="20"/>
              </w:rPr>
            </w:pPr>
            <w:r>
              <w:rPr>
                <w:rFonts w:ascii="Arial Narrow" w:hAnsi="Arial Narrow"/>
                <w:b/>
                <w:bCs/>
                <w:sz w:val="20"/>
              </w:rPr>
              <w:t>Yr2</w:t>
            </w:r>
          </w:p>
        </w:tc>
        <w:tc>
          <w:tcPr>
            <w:tcW w:w="755" w:type="pct"/>
            <w:shd w:val="clear" w:color="auto" w:fill="auto"/>
            <w:vAlign w:val="center"/>
          </w:tcPr>
          <w:p w14:paraId="13C69BA0" w14:textId="77777777" w:rsidR="00F53931" w:rsidRDefault="00F53931" w:rsidP="00053FE0">
            <w:pPr>
              <w:keepNext/>
              <w:keepLines/>
              <w:spacing w:before="40" w:after="40"/>
              <w:jc w:val="center"/>
              <w:rPr>
                <w:rFonts w:ascii="Arial Narrow" w:hAnsi="Arial Narrow"/>
                <w:b/>
                <w:bCs/>
                <w:sz w:val="20"/>
              </w:rPr>
            </w:pPr>
            <w:r>
              <w:rPr>
                <w:rFonts w:ascii="Arial Narrow" w:hAnsi="Arial Narrow"/>
                <w:b/>
                <w:bCs/>
                <w:sz w:val="20"/>
              </w:rPr>
              <w:t>2023</w:t>
            </w:r>
          </w:p>
          <w:p w14:paraId="454D130B" w14:textId="77777777" w:rsidR="00F53931" w:rsidRPr="000A2049" w:rsidRDefault="00F53931" w:rsidP="00053FE0">
            <w:pPr>
              <w:keepNext/>
              <w:keepLines/>
              <w:spacing w:before="40" w:after="40"/>
              <w:jc w:val="center"/>
              <w:rPr>
                <w:rFonts w:ascii="Arial Narrow" w:hAnsi="Arial Narrow"/>
                <w:b/>
                <w:bCs/>
                <w:sz w:val="20"/>
              </w:rPr>
            </w:pPr>
            <w:r>
              <w:rPr>
                <w:rFonts w:ascii="Arial Narrow" w:hAnsi="Arial Narrow"/>
                <w:b/>
                <w:bCs/>
                <w:sz w:val="20"/>
              </w:rPr>
              <w:t>Yr3</w:t>
            </w:r>
          </w:p>
        </w:tc>
        <w:tc>
          <w:tcPr>
            <w:tcW w:w="755" w:type="pct"/>
            <w:shd w:val="clear" w:color="auto" w:fill="auto"/>
            <w:vAlign w:val="center"/>
          </w:tcPr>
          <w:p w14:paraId="38E05AE3" w14:textId="77777777" w:rsidR="00F53931" w:rsidRDefault="00F53931" w:rsidP="00053FE0">
            <w:pPr>
              <w:keepNext/>
              <w:keepLines/>
              <w:spacing w:before="40" w:after="40"/>
              <w:jc w:val="center"/>
              <w:rPr>
                <w:rFonts w:ascii="Arial Narrow" w:hAnsi="Arial Narrow"/>
                <w:b/>
                <w:bCs/>
                <w:sz w:val="20"/>
              </w:rPr>
            </w:pPr>
            <w:r>
              <w:rPr>
                <w:rFonts w:ascii="Arial Narrow" w:hAnsi="Arial Narrow"/>
                <w:b/>
                <w:bCs/>
                <w:sz w:val="20"/>
              </w:rPr>
              <w:t>2024</w:t>
            </w:r>
          </w:p>
          <w:p w14:paraId="120B7602" w14:textId="77777777" w:rsidR="00F53931" w:rsidRPr="000A2049" w:rsidRDefault="00F53931" w:rsidP="00053FE0">
            <w:pPr>
              <w:keepNext/>
              <w:keepLines/>
              <w:spacing w:before="40" w:after="40"/>
              <w:jc w:val="center"/>
              <w:rPr>
                <w:rFonts w:ascii="Arial Narrow" w:hAnsi="Arial Narrow"/>
                <w:b/>
                <w:bCs/>
                <w:sz w:val="20"/>
              </w:rPr>
            </w:pPr>
            <w:r>
              <w:rPr>
                <w:rFonts w:ascii="Arial Narrow" w:hAnsi="Arial Narrow"/>
                <w:b/>
                <w:bCs/>
                <w:sz w:val="20"/>
              </w:rPr>
              <w:t>Yr4</w:t>
            </w:r>
          </w:p>
        </w:tc>
        <w:tc>
          <w:tcPr>
            <w:tcW w:w="754" w:type="pct"/>
            <w:shd w:val="clear" w:color="auto" w:fill="auto"/>
            <w:vAlign w:val="center"/>
          </w:tcPr>
          <w:p w14:paraId="5CBADF66" w14:textId="77777777" w:rsidR="00F53931" w:rsidRDefault="00F53931" w:rsidP="00053FE0">
            <w:pPr>
              <w:keepNext/>
              <w:keepLines/>
              <w:spacing w:before="40" w:after="40"/>
              <w:jc w:val="center"/>
              <w:rPr>
                <w:rFonts w:ascii="Arial Narrow" w:hAnsi="Arial Narrow"/>
                <w:b/>
                <w:bCs/>
                <w:sz w:val="20"/>
              </w:rPr>
            </w:pPr>
            <w:r>
              <w:rPr>
                <w:rFonts w:ascii="Arial Narrow" w:hAnsi="Arial Narrow"/>
                <w:b/>
                <w:bCs/>
                <w:sz w:val="20"/>
              </w:rPr>
              <w:t>2025</w:t>
            </w:r>
          </w:p>
          <w:p w14:paraId="0819407F" w14:textId="77777777" w:rsidR="00F53931" w:rsidRPr="000A2049" w:rsidRDefault="00F53931" w:rsidP="00053FE0">
            <w:pPr>
              <w:keepNext/>
              <w:keepLines/>
              <w:spacing w:before="40" w:after="40"/>
              <w:jc w:val="center"/>
              <w:rPr>
                <w:rFonts w:ascii="Arial Narrow" w:hAnsi="Arial Narrow"/>
                <w:b/>
                <w:bCs/>
                <w:sz w:val="20"/>
              </w:rPr>
            </w:pPr>
            <w:r>
              <w:rPr>
                <w:rFonts w:ascii="Arial Narrow" w:hAnsi="Arial Narrow"/>
                <w:b/>
                <w:bCs/>
                <w:sz w:val="20"/>
              </w:rPr>
              <w:t>Yr5</w:t>
            </w:r>
          </w:p>
        </w:tc>
      </w:tr>
      <w:tr w:rsidR="00F53931" w:rsidRPr="00723325" w14:paraId="74E5530A" w14:textId="77777777" w:rsidTr="009002A3">
        <w:trPr>
          <w:trHeight w:val="300"/>
        </w:trPr>
        <w:tc>
          <w:tcPr>
            <w:tcW w:w="1226" w:type="pct"/>
            <w:tcBorders>
              <w:right w:val="nil"/>
            </w:tcBorders>
            <w:shd w:val="clear" w:color="auto" w:fill="auto"/>
          </w:tcPr>
          <w:p w14:paraId="6D0D35DC" w14:textId="77777777" w:rsidR="00F53931" w:rsidRPr="00723325" w:rsidRDefault="00F53931" w:rsidP="00053FE0">
            <w:pPr>
              <w:keepNext/>
              <w:keepLines/>
              <w:spacing w:before="40" w:after="40"/>
              <w:rPr>
                <w:rFonts w:ascii="Arial Narrow" w:hAnsi="Arial Narrow"/>
                <w:b/>
                <w:bCs/>
                <w:sz w:val="20"/>
              </w:rPr>
            </w:pPr>
            <w:r w:rsidRPr="00723325">
              <w:rPr>
                <w:rFonts w:ascii="Arial Narrow" w:hAnsi="Arial Narrow"/>
                <w:b/>
                <w:bCs/>
                <w:sz w:val="20"/>
              </w:rPr>
              <w:t>NIPT</w:t>
            </w:r>
          </w:p>
        </w:tc>
        <w:tc>
          <w:tcPr>
            <w:tcW w:w="755" w:type="pct"/>
            <w:tcBorders>
              <w:left w:val="nil"/>
              <w:right w:val="nil"/>
            </w:tcBorders>
          </w:tcPr>
          <w:p w14:paraId="2ED8190E" w14:textId="77777777" w:rsidR="00F53931" w:rsidRPr="00723325" w:rsidRDefault="00F53931" w:rsidP="00053FE0">
            <w:pPr>
              <w:keepNext/>
              <w:keepLines/>
              <w:spacing w:before="40" w:after="40"/>
              <w:jc w:val="center"/>
              <w:rPr>
                <w:rFonts w:ascii="Arial Narrow" w:hAnsi="Arial Narrow"/>
                <w:sz w:val="20"/>
              </w:rPr>
            </w:pPr>
          </w:p>
        </w:tc>
        <w:tc>
          <w:tcPr>
            <w:tcW w:w="755" w:type="pct"/>
            <w:tcBorders>
              <w:left w:val="nil"/>
              <w:right w:val="nil"/>
            </w:tcBorders>
            <w:shd w:val="clear" w:color="auto" w:fill="auto"/>
          </w:tcPr>
          <w:p w14:paraId="334609B9" w14:textId="77777777" w:rsidR="00F53931" w:rsidRPr="00723325" w:rsidRDefault="00F53931" w:rsidP="00053FE0">
            <w:pPr>
              <w:keepNext/>
              <w:keepLines/>
              <w:spacing w:before="40" w:after="40"/>
              <w:jc w:val="center"/>
              <w:rPr>
                <w:rFonts w:ascii="Arial Narrow" w:hAnsi="Arial Narrow"/>
                <w:sz w:val="20"/>
              </w:rPr>
            </w:pPr>
          </w:p>
        </w:tc>
        <w:tc>
          <w:tcPr>
            <w:tcW w:w="755" w:type="pct"/>
            <w:tcBorders>
              <w:left w:val="nil"/>
              <w:right w:val="nil"/>
            </w:tcBorders>
            <w:shd w:val="clear" w:color="auto" w:fill="auto"/>
          </w:tcPr>
          <w:p w14:paraId="20EFDDAB" w14:textId="77777777" w:rsidR="00F53931" w:rsidRPr="00723325" w:rsidRDefault="00F53931" w:rsidP="00053FE0">
            <w:pPr>
              <w:keepNext/>
              <w:keepLines/>
              <w:spacing w:before="40" w:after="40"/>
              <w:jc w:val="center"/>
              <w:rPr>
                <w:rFonts w:ascii="Arial Narrow" w:hAnsi="Arial Narrow"/>
                <w:sz w:val="20"/>
              </w:rPr>
            </w:pPr>
          </w:p>
        </w:tc>
        <w:tc>
          <w:tcPr>
            <w:tcW w:w="755" w:type="pct"/>
            <w:tcBorders>
              <w:left w:val="nil"/>
              <w:right w:val="nil"/>
            </w:tcBorders>
            <w:shd w:val="clear" w:color="auto" w:fill="auto"/>
          </w:tcPr>
          <w:p w14:paraId="2D17AC55" w14:textId="77777777" w:rsidR="00F53931" w:rsidRPr="00723325" w:rsidRDefault="00F53931" w:rsidP="00053FE0">
            <w:pPr>
              <w:keepNext/>
              <w:keepLines/>
              <w:spacing w:before="40" w:after="40"/>
              <w:jc w:val="center"/>
              <w:rPr>
                <w:rFonts w:ascii="Arial Narrow" w:hAnsi="Arial Narrow"/>
                <w:sz w:val="20"/>
              </w:rPr>
            </w:pPr>
          </w:p>
        </w:tc>
        <w:tc>
          <w:tcPr>
            <w:tcW w:w="754" w:type="pct"/>
            <w:tcBorders>
              <w:left w:val="nil"/>
            </w:tcBorders>
            <w:shd w:val="clear" w:color="auto" w:fill="auto"/>
          </w:tcPr>
          <w:p w14:paraId="003B101A" w14:textId="77777777" w:rsidR="00F53931" w:rsidRPr="00723325" w:rsidRDefault="00F53931" w:rsidP="00053FE0">
            <w:pPr>
              <w:keepNext/>
              <w:keepLines/>
              <w:spacing w:before="40" w:after="40"/>
              <w:jc w:val="center"/>
              <w:rPr>
                <w:rFonts w:ascii="Arial Narrow" w:hAnsi="Arial Narrow"/>
                <w:sz w:val="20"/>
              </w:rPr>
            </w:pPr>
          </w:p>
        </w:tc>
      </w:tr>
      <w:tr w:rsidR="00F53931" w:rsidRPr="00723325" w14:paraId="2CF38D42" w14:textId="77777777" w:rsidTr="009002A3">
        <w:trPr>
          <w:trHeight w:val="300"/>
        </w:trPr>
        <w:tc>
          <w:tcPr>
            <w:tcW w:w="1226" w:type="pct"/>
            <w:shd w:val="clear" w:color="auto" w:fill="auto"/>
          </w:tcPr>
          <w:p w14:paraId="1CAF9D2C" w14:textId="77777777" w:rsidR="00F53931" w:rsidRPr="00723325" w:rsidRDefault="00F53931" w:rsidP="00053FE0">
            <w:pPr>
              <w:keepNext/>
              <w:keepLines/>
              <w:spacing w:before="40" w:after="40"/>
              <w:rPr>
                <w:rFonts w:ascii="Arial Narrow" w:hAnsi="Arial Narrow"/>
                <w:sz w:val="20"/>
              </w:rPr>
            </w:pPr>
            <w:r w:rsidRPr="00723325">
              <w:rPr>
                <w:rFonts w:ascii="Arial Narrow" w:hAnsi="Arial Narrow"/>
                <w:sz w:val="20"/>
              </w:rPr>
              <w:t>Number of services</w:t>
            </w:r>
          </w:p>
        </w:tc>
        <w:tc>
          <w:tcPr>
            <w:tcW w:w="755" w:type="pct"/>
          </w:tcPr>
          <w:p w14:paraId="182D707C" w14:textId="77777777" w:rsidR="00F53931" w:rsidRPr="00723325" w:rsidRDefault="00F53931" w:rsidP="00053FE0">
            <w:pPr>
              <w:keepNext/>
              <w:keepLines/>
              <w:spacing w:before="40" w:after="40"/>
              <w:jc w:val="center"/>
              <w:rPr>
                <w:rFonts w:ascii="Arial Narrow" w:hAnsi="Arial Narrow"/>
                <w:sz w:val="20"/>
              </w:rPr>
            </w:pPr>
            <w:r w:rsidRPr="00723325">
              <w:rPr>
                <w:rFonts w:ascii="Arial Narrow" w:hAnsi="Arial Narrow"/>
                <w:sz w:val="20"/>
              </w:rPr>
              <w:t>51</w:t>
            </w:r>
            <w:r>
              <w:rPr>
                <w:rFonts w:ascii="Arial Narrow" w:hAnsi="Arial Narrow"/>
                <w:sz w:val="20"/>
              </w:rPr>
              <w:t>,</w:t>
            </w:r>
            <w:r w:rsidRPr="00723325">
              <w:rPr>
                <w:rFonts w:ascii="Arial Narrow" w:hAnsi="Arial Narrow"/>
                <w:sz w:val="20"/>
              </w:rPr>
              <w:t>022</w:t>
            </w:r>
          </w:p>
        </w:tc>
        <w:tc>
          <w:tcPr>
            <w:tcW w:w="755" w:type="pct"/>
            <w:shd w:val="clear" w:color="auto" w:fill="auto"/>
          </w:tcPr>
          <w:p w14:paraId="2241142C" w14:textId="77777777" w:rsidR="00F53931" w:rsidRPr="00723325" w:rsidRDefault="00F53931" w:rsidP="00053FE0">
            <w:pPr>
              <w:keepNext/>
              <w:keepLines/>
              <w:spacing w:before="40" w:after="40"/>
              <w:jc w:val="center"/>
              <w:rPr>
                <w:rFonts w:ascii="Arial Narrow" w:hAnsi="Arial Narrow"/>
                <w:sz w:val="20"/>
              </w:rPr>
            </w:pPr>
            <w:r w:rsidRPr="00723325">
              <w:rPr>
                <w:rFonts w:ascii="Arial Narrow" w:hAnsi="Arial Narrow"/>
                <w:sz w:val="20"/>
              </w:rPr>
              <w:t>51,141</w:t>
            </w:r>
          </w:p>
        </w:tc>
        <w:tc>
          <w:tcPr>
            <w:tcW w:w="755" w:type="pct"/>
            <w:shd w:val="clear" w:color="auto" w:fill="auto"/>
          </w:tcPr>
          <w:p w14:paraId="35AFAEA2" w14:textId="77777777" w:rsidR="00F53931" w:rsidRPr="00723325" w:rsidRDefault="00F53931" w:rsidP="00053FE0">
            <w:pPr>
              <w:keepNext/>
              <w:keepLines/>
              <w:spacing w:before="40" w:after="40"/>
              <w:jc w:val="center"/>
              <w:rPr>
                <w:rFonts w:ascii="Arial Narrow" w:hAnsi="Arial Narrow"/>
                <w:sz w:val="20"/>
              </w:rPr>
            </w:pPr>
            <w:r w:rsidRPr="00723325">
              <w:rPr>
                <w:rFonts w:ascii="Arial Narrow" w:hAnsi="Arial Narrow"/>
                <w:sz w:val="20"/>
              </w:rPr>
              <w:t>51,261</w:t>
            </w:r>
          </w:p>
        </w:tc>
        <w:tc>
          <w:tcPr>
            <w:tcW w:w="755" w:type="pct"/>
            <w:shd w:val="clear" w:color="auto" w:fill="auto"/>
          </w:tcPr>
          <w:p w14:paraId="2FCB3DBE" w14:textId="77777777" w:rsidR="00F53931" w:rsidRPr="00723325" w:rsidRDefault="00F53931" w:rsidP="00053FE0">
            <w:pPr>
              <w:keepNext/>
              <w:keepLines/>
              <w:spacing w:before="40" w:after="40"/>
              <w:jc w:val="center"/>
              <w:rPr>
                <w:rFonts w:ascii="Arial Narrow" w:hAnsi="Arial Narrow"/>
                <w:sz w:val="20"/>
              </w:rPr>
            </w:pPr>
            <w:r w:rsidRPr="00723325">
              <w:rPr>
                <w:rFonts w:ascii="Arial Narrow" w:hAnsi="Arial Narrow"/>
                <w:sz w:val="20"/>
              </w:rPr>
              <w:t>51,381</w:t>
            </w:r>
          </w:p>
        </w:tc>
        <w:tc>
          <w:tcPr>
            <w:tcW w:w="754" w:type="pct"/>
            <w:shd w:val="clear" w:color="auto" w:fill="auto"/>
          </w:tcPr>
          <w:p w14:paraId="230C610A" w14:textId="77777777" w:rsidR="00F53931" w:rsidRPr="00723325" w:rsidRDefault="00F53931" w:rsidP="00053FE0">
            <w:pPr>
              <w:keepNext/>
              <w:keepLines/>
              <w:spacing w:before="40" w:after="40"/>
              <w:jc w:val="center"/>
              <w:rPr>
                <w:rFonts w:ascii="Arial Narrow" w:hAnsi="Arial Narrow"/>
                <w:sz w:val="20"/>
              </w:rPr>
            </w:pPr>
            <w:r w:rsidRPr="00723325">
              <w:rPr>
                <w:rFonts w:ascii="Arial Narrow" w:hAnsi="Arial Narrow"/>
                <w:sz w:val="20"/>
              </w:rPr>
              <w:t>51,501</w:t>
            </w:r>
          </w:p>
        </w:tc>
      </w:tr>
      <w:tr w:rsidR="00F53931" w:rsidRPr="00723325" w14:paraId="4252C6CA" w14:textId="77777777" w:rsidTr="009002A3">
        <w:trPr>
          <w:trHeight w:val="300"/>
        </w:trPr>
        <w:tc>
          <w:tcPr>
            <w:tcW w:w="1226" w:type="pct"/>
            <w:shd w:val="clear" w:color="auto" w:fill="auto"/>
          </w:tcPr>
          <w:p w14:paraId="167EE18A"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Sub-total cost</w:t>
            </w:r>
          </w:p>
        </w:tc>
        <w:tc>
          <w:tcPr>
            <w:tcW w:w="755" w:type="pct"/>
          </w:tcPr>
          <w:p w14:paraId="1C9F2654" w14:textId="77777777" w:rsidR="00F53931" w:rsidRPr="00723325" w:rsidRDefault="00F53931" w:rsidP="00F53931">
            <w:pPr>
              <w:spacing w:before="40" w:after="40"/>
              <w:jc w:val="center"/>
              <w:rPr>
                <w:rFonts w:ascii="Arial Narrow" w:hAnsi="Arial Narrow"/>
                <w:sz w:val="20"/>
              </w:rPr>
            </w:pPr>
            <w:r w:rsidRPr="00723325">
              <w:rPr>
                <w:rFonts w:ascii="Arial Narrow" w:hAnsi="Arial Narrow"/>
                <w:sz w:val="20"/>
              </w:rPr>
              <w:t>$2,857,205</w:t>
            </w:r>
          </w:p>
        </w:tc>
        <w:tc>
          <w:tcPr>
            <w:tcW w:w="755" w:type="pct"/>
            <w:shd w:val="clear" w:color="auto" w:fill="auto"/>
          </w:tcPr>
          <w:p w14:paraId="208E2B07" w14:textId="77777777" w:rsidR="00F53931" w:rsidRPr="00723325" w:rsidRDefault="00F53931" w:rsidP="00F53931">
            <w:pPr>
              <w:spacing w:before="40" w:after="40"/>
              <w:jc w:val="center"/>
              <w:rPr>
                <w:rFonts w:ascii="Arial Narrow" w:hAnsi="Arial Narrow"/>
                <w:sz w:val="20"/>
              </w:rPr>
            </w:pPr>
            <w:r w:rsidRPr="00723325">
              <w:rPr>
                <w:rFonts w:ascii="Arial Narrow" w:hAnsi="Arial Narrow"/>
                <w:sz w:val="20"/>
              </w:rPr>
              <w:t>$2,863,896</w:t>
            </w:r>
          </w:p>
        </w:tc>
        <w:tc>
          <w:tcPr>
            <w:tcW w:w="755" w:type="pct"/>
            <w:shd w:val="clear" w:color="auto" w:fill="auto"/>
          </w:tcPr>
          <w:p w14:paraId="09155C1A" w14:textId="77777777" w:rsidR="00F53931" w:rsidRPr="00723325" w:rsidRDefault="00F53931" w:rsidP="00F53931">
            <w:pPr>
              <w:spacing w:before="40" w:after="40"/>
              <w:jc w:val="center"/>
              <w:rPr>
                <w:rFonts w:ascii="Arial Narrow" w:hAnsi="Arial Narrow"/>
                <w:sz w:val="20"/>
              </w:rPr>
            </w:pPr>
            <w:r w:rsidRPr="00723325">
              <w:rPr>
                <w:rFonts w:ascii="Arial Narrow" w:hAnsi="Arial Narrow"/>
                <w:sz w:val="20"/>
              </w:rPr>
              <w:t>$2,870,603</w:t>
            </w:r>
          </w:p>
        </w:tc>
        <w:tc>
          <w:tcPr>
            <w:tcW w:w="755" w:type="pct"/>
            <w:shd w:val="clear" w:color="auto" w:fill="auto"/>
          </w:tcPr>
          <w:p w14:paraId="137AF989" w14:textId="77777777" w:rsidR="00F53931" w:rsidRPr="00723325" w:rsidRDefault="00F53931" w:rsidP="00F53931">
            <w:pPr>
              <w:spacing w:before="40" w:after="40"/>
              <w:jc w:val="center"/>
              <w:rPr>
                <w:rFonts w:ascii="Arial Narrow" w:hAnsi="Arial Narrow"/>
                <w:sz w:val="20"/>
              </w:rPr>
            </w:pPr>
            <w:r w:rsidRPr="00723325">
              <w:rPr>
                <w:rFonts w:ascii="Arial Narrow" w:hAnsi="Arial Narrow"/>
                <w:sz w:val="20"/>
              </w:rPr>
              <w:t>$2,877,325</w:t>
            </w:r>
          </w:p>
        </w:tc>
        <w:tc>
          <w:tcPr>
            <w:tcW w:w="754" w:type="pct"/>
            <w:shd w:val="clear" w:color="auto" w:fill="auto"/>
          </w:tcPr>
          <w:p w14:paraId="6FC3B710" w14:textId="77777777" w:rsidR="00F53931" w:rsidRPr="00723325" w:rsidRDefault="00F53931" w:rsidP="00F53931">
            <w:pPr>
              <w:spacing w:before="40" w:after="40"/>
              <w:jc w:val="center"/>
              <w:rPr>
                <w:rFonts w:ascii="Arial Narrow" w:hAnsi="Arial Narrow"/>
                <w:sz w:val="20"/>
              </w:rPr>
            </w:pPr>
            <w:r w:rsidRPr="00723325">
              <w:rPr>
                <w:rFonts w:ascii="Arial Narrow" w:hAnsi="Arial Narrow"/>
                <w:sz w:val="20"/>
              </w:rPr>
              <w:t>$2,884,063</w:t>
            </w:r>
          </w:p>
        </w:tc>
      </w:tr>
      <w:tr w:rsidR="00F53931" w:rsidRPr="00723325" w14:paraId="3C600796" w14:textId="77777777" w:rsidTr="009002A3">
        <w:trPr>
          <w:trHeight w:val="300"/>
        </w:trPr>
        <w:tc>
          <w:tcPr>
            <w:tcW w:w="1226" w:type="pct"/>
            <w:shd w:val="clear" w:color="auto" w:fill="auto"/>
          </w:tcPr>
          <w:p w14:paraId="7CA11576" w14:textId="77777777" w:rsidR="00F53931" w:rsidRPr="00723325" w:rsidRDefault="00F53931" w:rsidP="00F53931">
            <w:pPr>
              <w:spacing w:before="40" w:after="40"/>
              <w:rPr>
                <w:rFonts w:ascii="Arial Narrow" w:hAnsi="Arial Narrow"/>
                <w:sz w:val="20"/>
              </w:rPr>
            </w:pPr>
            <w:r>
              <w:rPr>
                <w:rFonts w:ascii="Arial Narrow" w:hAnsi="Arial Narrow"/>
                <w:sz w:val="20"/>
              </w:rPr>
              <w:t>MBS co-payment</w:t>
            </w:r>
          </w:p>
        </w:tc>
        <w:tc>
          <w:tcPr>
            <w:tcW w:w="755" w:type="pct"/>
          </w:tcPr>
          <w:p w14:paraId="4AC14727" w14:textId="77777777" w:rsidR="00F53931" w:rsidRPr="00723325" w:rsidRDefault="00F53931" w:rsidP="00F53931">
            <w:pPr>
              <w:spacing w:before="40" w:after="40"/>
              <w:jc w:val="center"/>
              <w:rPr>
                <w:rFonts w:ascii="Arial Narrow" w:hAnsi="Arial Narrow"/>
                <w:sz w:val="20"/>
              </w:rPr>
            </w:pPr>
            <w:r w:rsidRPr="00E7481A">
              <w:rPr>
                <w:rFonts w:ascii="Arial Narrow" w:hAnsi="Arial Narrow"/>
                <w:sz w:val="20"/>
              </w:rPr>
              <w:t>$2,428,624</w:t>
            </w:r>
          </w:p>
        </w:tc>
        <w:tc>
          <w:tcPr>
            <w:tcW w:w="755" w:type="pct"/>
            <w:shd w:val="clear" w:color="auto" w:fill="auto"/>
          </w:tcPr>
          <w:p w14:paraId="73D38399" w14:textId="77777777" w:rsidR="00F53931" w:rsidRPr="00723325" w:rsidRDefault="00F53931" w:rsidP="00F53931">
            <w:pPr>
              <w:spacing w:before="40" w:after="40"/>
              <w:jc w:val="center"/>
              <w:rPr>
                <w:rFonts w:ascii="Arial Narrow" w:hAnsi="Arial Narrow"/>
                <w:sz w:val="20"/>
              </w:rPr>
            </w:pPr>
            <w:r w:rsidRPr="00E7481A">
              <w:rPr>
                <w:rFonts w:ascii="Arial Narrow" w:hAnsi="Arial Narrow"/>
                <w:sz w:val="20"/>
              </w:rPr>
              <w:t>$2,434,312</w:t>
            </w:r>
          </w:p>
        </w:tc>
        <w:tc>
          <w:tcPr>
            <w:tcW w:w="755" w:type="pct"/>
            <w:shd w:val="clear" w:color="auto" w:fill="auto"/>
          </w:tcPr>
          <w:p w14:paraId="146C7C05" w14:textId="77777777" w:rsidR="00F53931" w:rsidRPr="00723325" w:rsidRDefault="00F53931" w:rsidP="00F53931">
            <w:pPr>
              <w:spacing w:before="40" w:after="40"/>
              <w:jc w:val="center"/>
              <w:rPr>
                <w:rFonts w:ascii="Arial Narrow" w:hAnsi="Arial Narrow"/>
                <w:sz w:val="20"/>
              </w:rPr>
            </w:pPr>
            <w:r w:rsidRPr="00E7481A">
              <w:rPr>
                <w:rFonts w:ascii="Arial Narrow" w:hAnsi="Arial Narrow"/>
                <w:sz w:val="20"/>
              </w:rPr>
              <w:t>$2,440,012</w:t>
            </w:r>
          </w:p>
        </w:tc>
        <w:tc>
          <w:tcPr>
            <w:tcW w:w="755" w:type="pct"/>
            <w:shd w:val="clear" w:color="auto" w:fill="auto"/>
          </w:tcPr>
          <w:p w14:paraId="20DE93F9" w14:textId="77777777" w:rsidR="00F53931" w:rsidRPr="00723325" w:rsidRDefault="00F53931" w:rsidP="00F53931">
            <w:pPr>
              <w:spacing w:before="40" w:after="40"/>
              <w:jc w:val="center"/>
              <w:rPr>
                <w:rFonts w:ascii="Arial Narrow" w:hAnsi="Arial Narrow"/>
                <w:sz w:val="20"/>
              </w:rPr>
            </w:pPr>
            <w:r w:rsidRPr="00E7481A">
              <w:rPr>
                <w:rFonts w:ascii="Arial Narrow" w:hAnsi="Arial Narrow"/>
                <w:sz w:val="20"/>
              </w:rPr>
              <w:t>$2,445,726</w:t>
            </w:r>
          </w:p>
        </w:tc>
        <w:tc>
          <w:tcPr>
            <w:tcW w:w="754" w:type="pct"/>
            <w:shd w:val="clear" w:color="auto" w:fill="auto"/>
          </w:tcPr>
          <w:p w14:paraId="15DF8E3A" w14:textId="77777777" w:rsidR="00F53931" w:rsidRPr="00723325" w:rsidRDefault="00F53931" w:rsidP="00F53931">
            <w:pPr>
              <w:spacing w:before="40" w:after="40"/>
              <w:jc w:val="center"/>
              <w:rPr>
                <w:rFonts w:ascii="Arial Narrow" w:hAnsi="Arial Narrow"/>
                <w:sz w:val="20"/>
              </w:rPr>
            </w:pPr>
            <w:r w:rsidRPr="00E7481A">
              <w:rPr>
                <w:rFonts w:ascii="Arial Narrow" w:hAnsi="Arial Narrow"/>
                <w:sz w:val="20"/>
              </w:rPr>
              <w:t>$2,451,454</w:t>
            </w:r>
          </w:p>
        </w:tc>
      </w:tr>
      <w:tr w:rsidR="00F53931" w:rsidRPr="00723325" w14:paraId="22C87783" w14:textId="77777777" w:rsidTr="009002A3">
        <w:trPr>
          <w:trHeight w:val="300"/>
        </w:trPr>
        <w:tc>
          <w:tcPr>
            <w:tcW w:w="1226" w:type="pct"/>
            <w:tcBorders>
              <w:right w:val="nil"/>
            </w:tcBorders>
            <w:shd w:val="clear" w:color="auto" w:fill="auto"/>
          </w:tcPr>
          <w:p w14:paraId="4B0FC807" w14:textId="77777777" w:rsidR="00F53931" w:rsidRPr="00723325" w:rsidRDefault="00F53931" w:rsidP="00F53931">
            <w:pPr>
              <w:spacing w:before="40" w:after="40"/>
              <w:rPr>
                <w:rFonts w:ascii="Arial Narrow" w:hAnsi="Arial Narrow"/>
                <w:b/>
                <w:bCs/>
                <w:sz w:val="20"/>
              </w:rPr>
            </w:pPr>
            <w:r w:rsidRPr="00723325">
              <w:rPr>
                <w:rFonts w:ascii="Arial Narrow" w:hAnsi="Arial Narrow"/>
                <w:b/>
                <w:bCs/>
                <w:sz w:val="20"/>
              </w:rPr>
              <w:t>MBS services</w:t>
            </w:r>
          </w:p>
        </w:tc>
        <w:tc>
          <w:tcPr>
            <w:tcW w:w="755" w:type="pct"/>
            <w:tcBorders>
              <w:left w:val="nil"/>
              <w:right w:val="nil"/>
            </w:tcBorders>
          </w:tcPr>
          <w:p w14:paraId="377999C6"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4F0D039E"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41509133"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4ADF3256"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4" w:type="pct"/>
            <w:tcBorders>
              <w:left w:val="nil"/>
            </w:tcBorders>
            <w:shd w:val="clear" w:color="auto" w:fill="auto"/>
          </w:tcPr>
          <w:p w14:paraId="6F9ADACA"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r>
      <w:tr w:rsidR="00F53931" w:rsidRPr="00723325" w14:paraId="1AA7A8B5" w14:textId="77777777" w:rsidTr="009002A3">
        <w:trPr>
          <w:trHeight w:val="300"/>
        </w:trPr>
        <w:tc>
          <w:tcPr>
            <w:tcW w:w="1226" w:type="pct"/>
            <w:shd w:val="clear" w:color="auto" w:fill="auto"/>
          </w:tcPr>
          <w:p w14:paraId="7F9DA771"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Number of services</w:t>
            </w:r>
          </w:p>
        </w:tc>
        <w:tc>
          <w:tcPr>
            <w:tcW w:w="755" w:type="pct"/>
            <w:vAlign w:val="center"/>
          </w:tcPr>
          <w:p w14:paraId="5E2D857F" w14:textId="77777777" w:rsidR="00F53931" w:rsidRPr="00CC3960" w:rsidRDefault="00F53931" w:rsidP="00F53931">
            <w:pPr>
              <w:spacing w:before="40" w:after="40"/>
              <w:jc w:val="center"/>
              <w:rPr>
                <w:rFonts w:ascii="Arial Narrow" w:hAnsi="Arial Narrow"/>
                <w:color w:val="FF0000"/>
                <w:sz w:val="20"/>
              </w:rPr>
            </w:pPr>
            <w:r w:rsidRPr="00425CC6">
              <w:rPr>
                <w:rFonts w:ascii="Arial Narrow" w:hAnsi="Arial Narrow"/>
                <w:color w:val="FF0000"/>
                <w:sz w:val="20"/>
              </w:rPr>
              <w:t>33,354</w:t>
            </w:r>
          </w:p>
        </w:tc>
        <w:tc>
          <w:tcPr>
            <w:tcW w:w="755" w:type="pct"/>
            <w:shd w:val="clear" w:color="auto" w:fill="auto"/>
            <w:vAlign w:val="center"/>
          </w:tcPr>
          <w:p w14:paraId="13674543" w14:textId="77777777" w:rsidR="00F53931" w:rsidRPr="00CC3960" w:rsidRDefault="00F53931" w:rsidP="00F53931">
            <w:pPr>
              <w:spacing w:before="40" w:after="40"/>
              <w:jc w:val="center"/>
              <w:rPr>
                <w:rFonts w:ascii="Arial Narrow" w:hAnsi="Arial Narrow"/>
                <w:color w:val="FF0000"/>
                <w:sz w:val="20"/>
              </w:rPr>
            </w:pPr>
            <w:r w:rsidRPr="00425CC6">
              <w:rPr>
                <w:rFonts w:ascii="Arial Narrow" w:hAnsi="Arial Narrow"/>
                <w:color w:val="FF0000"/>
                <w:sz w:val="20"/>
              </w:rPr>
              <w:t>33,432</w:t>
            </w:r>
          </w:p>
        </w:tc>
        <w:tc>
          <w:tcPr>
            <w:tcW w:w="755" w:type="pct"/>
            <w:shd w:val="clear" w:color="auto" w:fill="auto"/>
            <w:vAlign w:val="center"/>
          </w:tcPr>
          <w:p w14:paraId="7BD8D2EF" w14:textId="77777777" w:rsidR="00F53931" w:rsidRPr="00CC3960" w:rsidRDefault="00F53931" w:rsidP="00F53931">
            <w:pPr>
              <w:spacing w:before="40" w:after="40"/>
              <w:jc w:val="center"/>
              <w:rPr>
                <w:rFonts w:ascii="Arial Narrow" w:hAnsi="Arial Narrow"/>
                <w:color w:val="FF0000"/>
                <w:sz w:val="20"/>
              </w:rPr>
            </w:pPr>
            <w:r w:rsidRPr="00425CC6">
              <w:rPr>
                <w:rFonts w:ascii="Arial Narrow" w:hAnsi="Arial Narrow"/>
                <w:color w:val="FF0000"/>
                <w:sz w:val="20"/>
              </w:rPr>
              <w:t>33,510</w:t>
            </w:r>
          </w:p>
        </w:tc>
        <w:tc>
          <w:tcPr>
            <w:tcW w:w="755" w:type="pct"/>
            <w:shd w:val="clear" w:color="auto" w:fill="auto"/>
            <w:vAlign w:val="center"/>
          </w:tcPr>
          <w:p w14:paraId="4821127C" w14:textId="77777777" w:rsidR="00F53931" w:rsidRPr="00CC3960" w:rsidRDefault="00F53931" w:rsidP="00F53931">
            <w:pPr>
              <w:spacing w:before="40" w:after="40"/>
              <w:jc w:val="center"/>
              <w:rPr>
                <w:rFonts w:ascii="Arial Narrow" w:hAnsi="Arial Narrow"/>
                <w:color w:val="FF0000"/>
                <w:sz w:val="20"/>
              </w:rPr>
            </w:pPr>
            <w:r w:rsidRPr="00425CC6">
              <w:rPr>
                <w:rFonts w:ascii="Arial Narrow" w:hAnsi="Arial Narrow"/>
                <w:color w:val="FF0000"/>
                <w:sz w:val="20"/>
              </w:rPr>
              <w:t>33,588</w:t>
            </w:r>
          </w:p>
        </w:tc>
        <w:tc>
          <w:tcPr>
            <w:tcW w:w="754" w:type="pct"/>
            <w:shd w:val="clear" w:color="auto" w:fill="auto"/>
            <w:vAlign w:val="center"/>
          </w:tcPr>
          <w:p w14:paraId="37CEFC09" w14:textId="77777777" w:rsidR="00F53931" w:rsidRPr="00CC3960" w:rsidRDefault="00F53931" w:rsidP="00F53931">
            <w:pPr>
              <w:spacing w:before="40" w:after="40"/>
              <w:jc w:val="center"/>
              <w:rPr>
                <w:rFonts w:ascii="Arial Narrow" w:hAnsi="Arial Narrow"/>
                <w:color w:val="FF0000"/>
                <w:sz w:val="20"/>
              </w:rPr>
            </w:pPr>
            <w:r w:rsidRPr="00425CC6">
              <w:rPr>
                <w:rFonts w:ascii="Arial Narrow" w:hAnsi="Arial Narrow"/>
                <w:color w:val="FF0000"/>
                <w:sz w:val="20"/>
              </w:rPr>
              <w:t>33,667</w:t>
            </w:r>
          </w:p>
        </w:tc>
      </w:tr>
      <w:tr w:rsidR="00F53931" w:rsidRPr="00723325" w14:paraId="2FA9D6E6" w14:textId="77777777" w:rsidTr="009002A3">
        <w:trPr>
          <w:trHeight w:val="315"/>
        </w:trPr>
        <w:tc>
          <w:tcPr>
            <w:tcW w:w="1226" w:type="pct"/>
            <w:shd w:val="clear" w:color="auto" w:fill="auto"/>
          </w:tcPr>
          <w:p w14:paraId="2CFFED83"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Sub-total cost</w:t>
            </w:r>
          </w:p>
        </w:tc>
        <w:tc>
          <w:tcPr>
            <w:tcW w:w="755" w:type="pct"/>
            <w:shd w:val="clear" w:color="auto" w:fill="auto"/>
            <w:vAlign w:val="center"/>
          </w:tcPr>
          <w:p w14:paraId="7147988C"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F12AF">
              <w:rPr>
                <w:rFonts w:ascii="Arial Narrow" w:hAnsi="Arial Narrow"/>
                <w:color w:val="FF0000"/>
                <w:sz w:val="20"/>
              </w:rPr>
              <w:t>$1,480,664</w:t>
            </w:r>
            <w:r>
              <w:rPr>
                <w:rFonts w:ascii="Arial Narrow" w:hAnsi="Arial Narrow"/>
                <w:color w:val="FF0000"/>
                <w:sz w:val="20"/>
              </w:rPr>
              <w:t>)</w:t>
            </w:r>
          </w:p>
        </w:tc>
        <w:tc>
          <w:tcPr>
            <w:tcW w:w="755" w:type="pct"/>
            <w:shd w:val="clear" w:color="auto" w:fill="auto"/>
            <w:vAlign w:val="center"/>
          </w:tcPr>
          <w:p w14:paraId="62B42A85"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F12AF">
              <w:rPr>
                <w:rFonts w:ascii="Arial Narrow" w:hAnsi="Arial Narrow"/>
                <w:color w:val="FF0000"/>
                <w:sz w:val="20"/>
              </w:rPr>
              <w:t>$1,484,131</w:t>
            </w:r>
            <w:r>
              <w:rPr>
                <w:rFonts w:ascii="Arial Narrow" w:hAnsi="Arial Narrow"/>
                <w:color w:val="FF0000"/>
                <w:sz w:val="20"/>
              </w:rPr>
              <w:t>)</w:t>
            </w:r>
          </w:p>
        </w:tc>
        <w:tc>
          <w:tcPr>
            <w:tcW w:w="755" w:type="pct"/>
            <w:shd w:val="clear" w:color="auto" w:fill="auto"/>
            <w:vAlign w:val="center"/>
          </w:tcPr>
          <w:p w14:paraId="34D00D4E"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F12AF">
              <w:rPr>
                <w:rFonts w:ascii="Arial Narrow" w:hAnsi="Arial Narrow"/>
                <w:color w:val="FF0000"/>
                <w:sz w:val="20"/>
              </w:rPr>
              <w:t>$1,487,607</w:t>
            </w:r>
            <w:r>
              <w:rPr>
                <w:rFonts w:ascii="Arial Narrow" w:hAnsi="Arial Narrow"/>
                <w:color w:val="FF0000"/>
                <w:sz w:val="20"/>
              </w:rPr>
              <w:t>)</w:t>
            </w:r>
          </w:p>
        </w:tc>
        <w:tc>
          <w:tcPr>
            <w:tcW w:w="755" w:type="pct"/>
            <w:shd w:val="clear" w:color="auto" w:fill="auto"/>
            <w:vAlign w:val="center"/>
          </w:tcPr>
          <w:p w14:paraId="2C9B2CC6"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F12AF">
              <w:rPr>
                <w:rFonts w:ascii="Arial Narrow" w:hAnsi="Arial Narrow"/>
                <w:color w:val="FF0000"/>
                <w:sz w:val="20"/>
              </w:rPr>
              <w:t>$1,491,091</w:t>
            </w:r>
            <w:r>
              <w:rPr>
                <w:rFonts w:ascii="Arial Narrow" w:hAnsi="Arial Narrow"/>
                <w:color w:val="FF0000"/>
                <w:sz w:val="20"/>
              </w:rPr>
              <w:t>)</w:t>
            </w:r>
          </w:p>
        </w:tc>
        <w:tc>
          <w:tcPr>
            <w:tcW w:w="754" w:type="pct"/>
            <w:shd w:val="clear" w:color="auto" w:fill="auto"/>
            <w:vAlign w:val="center"/>
          </w:tcPr>
          <w:p w14:paraId="58116DB0"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F12AF">
              <w:rPr>
                <w:rFonts w:ascii="Arial Narrow" w:hAnsi="Arial Narrow"/>
                <w:color w:val="FF0000"/>
                <w:sz w:val="20"/>
              </w:rPr>
              <w:t>$1,494,583</w:t>
            </w:r>
            <w:r>
              <w:rPr>
                <w:rFonts w:ascii="Arial Narrow" w:hAnsi="Arial Narrow"/>
                <w:color w:val="FF0000"/>
                <w:sz w:val="20"/>
              </w:rPr>
              <w:t>)</w:t>
            </w:r>
          </w:p>
        </w:tc>
      </w:tr>
      <w:tr w:rsidR="00F53931" w:rsidRPr="00723325" w14:paraId="111457B5" w14:textId="77777777" w:rsidTr="009002A3">
        <w:trPr>
          <w:trHeight w:val="315"/>
        </w:trPr>
        <w:tc>
          <w:tcPr>
            <w:tcW w:w="1226" w:type="pct"/>
            <w:shd w:val="clear" w:color="auto" w:fill="auto"/>
          </w:tcPr>
          <w:p w14:paraId="21A606DB" w14:textId="77777777" w:rsidR="00F53931" w:rsidRPr="00723325" w:rsidRDefault="00F53931" w:rsidP="00F53931">
            <w:pPr>
              <w:spacing w:before="40" w:after="40"/>
              <w:rPr>
                <w:rFonts w:ascii="Arial Narrow" w:hAnsi="Arial Narrow"/>
                <w:sz w:val="20"/>
              </w:rPr>
            </w:pPr>
            <w:r>
              <w:rPr>
                <w:rFonts w:ascii="Arial Narrow" w:hAnsi="Arial Narrow"/>
                <w:sz w:val="20"/>
              </w:rPr>
              <w:t>MBS co-payments only for screening items</w:t>
            </w:r>
          </w:p>
        </w:tc>
        <w:tc>
          <w:tcPr>
            <w:tcW w:w="755" w:type="pct"/>
            <w:shd w:val="clear" w:color="auto" w:fill="auto"/>
            <w:vAlign w:val="center"/>
          </w:tcPr>
          <w:p w14:paraId="7961B61A"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F664F">
              <w:rPr>
                <w:rFonts w:ascii="Arial Narrow" w:hAnsi="Arial Narrow"/>
                <w:color w:val="FF0000"/>
                <w:sz w:val="20"/>
              </w:rPr>
              <w:t>$1,264,733</w:t>
            </w:r>
            <w:r>
              <w:rPr>
                <w:rFonts w:ascii="Arial Narrow" w:hAnsi="Arial Narrow"/>
                <w:color w:val="FF0000"/>
                <w:sz w:val="20"/>
              </w:rPr>
              <w:t>)</w:t>
            </w:r>
          </w:p>
        </w:tc>
        <w:tc>
          <w:tcPr>
            <w:tcW w:w="755" w:type="pct"/>
            <w:shd w:val="clear" w:color="auto" w:fill="auto"/>
            <w:vAlign w:val="center"/>
          </w:tcPr>
          <w:p w14:paraId="34940CA4"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F664F">
              <w:rPr>
                <w:rFonts w:ascii="Arial Narrow" w:hAnsi="Arial Narrow"/>
                <w:color w:val="FF0000"/>
                <w:sz w:val="20"/>
              </w:rPr>
              <w:t>$1,267,694</w:t>
            </w:r>
            <w:r>
              <w:rPr>
                <w:rFonts w:ascii="Arial Narrow" w:hAnsi="Arial Narrow"/>
                <w:color w:val="FF0000"/>
                <w:sz w:val="20"/>
              </w:rPr>
              <w:t>)</w:t>
            </w:r>
          </w:p>
        </w:tc>
        <w:tc>
          <w:tcPr>
            <w:tcW w:w="755" w:type="pct"/>
            <w:shd w:val="clear" w:color="auto" w:fill="auto"/>
            <w:vAlign w:val="center"/>
          </w:tcPr>
          <w:p w14:paraId="2EB5B989"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F664F">
              <w:rPr>
                <w:rFonts w:ascii="Arial Narrow" w:hAnsi="Arial Narrow"/>
                <w:color w:val="FF0000"/>
                <w:sz w:val="20"/>
              </w:rPr>
              <w:t>$1,270,663</w:t>
            </w:r>
            <w:r>
              <w:rPr>
                <w:rFonts w:ascii="Arial Narrow" w:hAnsi="Arial Narrow"/>
                <w:color w:val="FF0000"/>
                <w:sz w:val="20"/>
              </w:rPr>
              <w:t>)</w:t>
            </w:r>
          </w:p>
        </w:tc>
        <w:tc>
          <w:tcPr>
            <w:tcW w:w="755" w:type="pct"/>
            <w:shd w:val="clear" w:color="auto" w:fill="auto"/>
            <w:vAlign w:val="center"/>
          </w:tcPr>
          <w:p w14:paraId="0C9B7AF7"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F664F">
              <w:rPr>
                <w:rFonts w:ascii="Arial Narrow" w:hAnsi="Arial Narrow"/>
                <w:color w:val="FF0000"/>
                <w:sz w:val="20"/>
              </w:rPr>
              <w:t>$1,273,639</w:t>
            </w:r>
            <w:r>
              <w:rPr>
                <w:rFonts w:ascii="Arial Narrow" w:hAnsi="Arial Narrow"/>
                <w:color w:val="FF0000"/>
                <w:sz w:val="20"/>
              </w:rPr>
              <w:t>)</w:t>
            </w:r>
          </w:p>
        </w:tc>
        <w:tc>
          <w:tcPr>
            <w:tcW w:w="754" w:type="pct"/>
            <w:shd w:val="clear" w:color="auto" w:fill="auto"/>
            <w:vAlign w:val="center"/>
          </w:tcPr>
          <w:p w14:paraId="43C90011" w14:textId="77777777" w:rsidR="00F53931" w:rsidRPr="00CC3960"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F664F">
              <w:rPr>
                <w:rFonts w:ascii="Arial Narrow" w:hAnsi="Arial Narrow"/>
                <w:color w:val="FF0000"/>
                <w:sz w:val="20"/>
              </w:rPr>
              <w:t>$1,276,622</w:t>
            </w:r>
            <w:r>
              <w:rPr>
                <w:rFonts w:ascii="Arial Narrow" w:hAnsi="Arial Narrow"/>
                <w:color w:val="FF0000"/>
                <w:sz w:val="20"/>
              </w:rPr>
              <w:t>)</w:t>
            </w:r>
          </w:p>
        </w:tc>
      </w:tr>
      <w:tr w:rsidR="00F53931" w:rsidRPr="00723325" w14:paraId="16502352" w14:textId="77777777" w:rsidTr="009002A3">
        <w:trPr>
          <w:trHeight w:val="303"/>
        </w:trPr>
        <w:tc>
          <w:tcPr>
            <w:tcW w:w="1226" w:type="pct"/>
            <w:tcBorders>
              <w:right w:val="nil"/>
            </w:tcBorders>
            <w:shd w:val="clear" w:color="auto" w:fill="auto"/>
          </w:tcPr>
          <w:p w14:paraId="547571D3" w14:textId="77777777" w:rsidR="00F53931" w:rsidRPr="00723325" w:rsidRDefault="00F53931" w:rsidP="00F53931">
            <w:pPr>
              <w:spacing w:before="40" w:after="40"/>
              <w:rPr>
                <w:rFonts w:ascii="Arial Narrow" w:hAnsi="Arial Narrow"/>
                <w:b/>
                <w:bCs/>
                <w:sz w:val="20"/>
              </w:rPr>
            </w:pPr>
            <w:r w:rsidRPr="00723325">
              <w:rPr>
                <w:rFonts w:ascii="Arial Narrow" w:hAnsi="Arial Narrow"/>
                <w:b/>
                <w:bCs/>
                <w:sz w:val="20"/>
              </w:rPr>
              <w:t>Co-administered services</w:t>
            </w:r>
          </w:p>
          <w:p w14:paraId="389C98E6" w14:textId="77777777" w:rsidR="00F53931" w:rsidRPr="00723325" w:rsidRDefault="00F53931" w:rsidP="00F53931">
            <w:pPr>
              <w:spacing w:before="40" w:after="40"/>
              <w:rPr>
                <w:rFonts w:ascii="Arial Narrow" w:hAnsi="Arial Narrow"/>
                <w:sz w:val="20"/>
              </w:rPr>
            </w:pPr>
            <w:r w:rsidRPr="00723325">
              <w:rPr>
                <w:rFonts w:ascii="Arial Narrow" w:hAnsi="Arial Narrow"/>
                <w:b/>
                <w:bCs/>
                <w:sz w:val="20"/>
              </w:rPr>
              <w:t>Anti-D</w:t>
            </w:r>
            <w:r>
              <w:rPr>
                <w:rFonts w:ascii="Arial Narrow" w:hAnsi="Arial Narrow"/>
                <w:b/>
                <w:bCs/>
                <w:sz w:val="20"/>
              </w:rPr>
              <w:t xml:space="preserve"> immunoglobulin</w:t>
            </w:r>
          </w:p>
        </w:tc>
        <w:tc>
          <w:tcPr>
            <w:tcW w:w="755" w:type="pct"/>
            <w:tcBorders>
              <w:left w:val="nil"/>
              <w:right w:val="nil"/>
            </w:tcBorders>
          </w:tcPr>
          <w:p w14:paraId="6AA282F3"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7786847B"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7E956B93"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5" w:type="pct"/>
            <w:tcBorders>
              <w:left w:val="nil"/>
              <w:right w:val="nil"/>
            </w:tcBorders>
            <w:shd w:val="clear" w:color="auto" w:fill="auto"/>
          </w:tcPr>
          <w:p w14:paraId="454CE136"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c>
          <w:tcPr>
            <w:tcW w:w="754" w:type="pct"/>
            <w:tcBorders>
              <w:left w:val="nil"/>
            </w:tcBorders>
            <w:shd w:val="clear" w:color="auto" w:fill="auto"/>
          </w:tcPr>
          <w:p w14:paraId="3168A35E" w14:textId="77777777" w:rsidR="00F53931" w:rsidRPr="007F591A" w:rsidRDefault="00F53931" w:rsidP="00F53931">
            <w:pPr>
              <w:spacing w:before="40" w:after="40"/>
              <w:jc w:val="center"/>
              <w:rPr>
                <w:rFonts w:ascii="Arial Narrow" w:hAnsi="Arial Narrow"/>
                <w:color w:val="FFFFFF" w:themeColor="background1"/>
                <w:sz w:val="20"/>
              </w:rPr>
            </w:pPr>
            <w:r w:rsidRPr="007F591A">
              <w:rPr>
                <w:rFonts w:ascii="Arial Narrow" w:hAnsi="Arial Narrow"/>
                <w:color w:val="FFFFFF" w:themeColor="background1"/>
                <w:sz w:val="20"/>
              </w:rPr>
              <w:t>-</w:t>
            </w:r>
          </w:p>
        </w:tc>
      </w:tr>
      <w:tr w:rsidR="00F53931" w:rsidRPr="00723325" w14:paraId="1357AA22" w14:textId="77777777" w:rsidTr="009002A3">
        <w:trPr>
          <w:trHeight w:val="300"/>
        </w:trPr>
        <w:tc>
          <w:tcPr>
            <w:tcW w:w="1226" w:type="pct"/>
            <w:shd w:val="clear" w:color="auto" w:fill="auto"/>
          </w:tcPr>
          <w:p w14:paraId="1B67AFEC"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 xml:space="preserve">Number of services </w:t>
            </w:r>
          </w:p>
        </w:tc>
        <w:tc>
          <w:tcPr>
            <w:tcW w:w="755" w:type="pct"/>
          </w:tcPr>
          <w:p w14:paraId="73D4ADDF"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18,865</w:t>
            </w:r>
          </w:p>
        </w:tc>
        <w:tc>
          <w:tcPr>
            <w:tcW w:w="755" w:type="pct"/>
            <w:shd w:val="clear" w:color="auto" w:fill="auto"/>
          </w:tcPr>
          <w:p w14:paraId="411F4C9B"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18,910</w:t>
            </w:r>
          </w:p>
        </w:tc>
        <w:tc>
          <w:tcPr>
            <w:tcW w:w="755" w:type="pct"/>
            <w:shd w:val="clear" w:color="auto" w:fill="auto"/>
          </w:tcPr>
          <w:p w14:paraId="68CAB53E"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18,954</w:t>
            </w:r>
          </w:p>
        </w:tc>
        <w:tc>
          <w:tcPr>
            <w:tcW w:w="755" w:type="pct"/>
            <w:shd w:val="clear" w:color="auto" w:fill="auto"/>
          </w:tcPr>
          <w:p w14:paraId="4397EAAF"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18,998</w:t>
            </w:r>
          </w:p>
        </w:tc>
        <w:tc>
          <w:tcPr>
            <w:tcW w:w="754" w:type="pct"/>
            <w:shd w:val="clear" w:color="auto" w:fill="auto"/>
          </w:tcPr>
          <w:p w14:paraId="36130947"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19,043</w:t>
            </w:r>
          </w:p>
        </w:tc>
      </w:tr>
      <w:tr w:rsidR="00F53931" w:rsidRPr="00723325" w14:paraId="672D40D7" w14:textId="77777777" w:rsidTr="009002A3">
        <w:trPr>
          <w:trHeight w:val="300"/>
        </w:trPr>
        <w:tc>
          <w:tcPr>
            <w:tcW w:w="1226" w:type="pct"/>
            <w:shd w:val="clear" w:color="auto" w:fill="auto"/>
          </w:tcPr>
          <w:p w14:paraId="25269CD1"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Sub-total cost</w:t>
            </w:r>
          </w:p>
        </w:tc>
        <w:tc>
          <w:tcPr>
            <w:tcW w:w="755" w:type="pct"/>
          </w:tcPr>
          <w:p w14:paraId="555AB5D2"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$1,628,842</w:t>
            </w:r>
          </w:p>
        </w:tc>
        <w:tc>
          <w:tcPr>
            <w:tcW w:w="755" w:type="pct"/>
            <w:shd w:val="clear" w:color="auto" w:fill="auto"/>
          </w:tcPr>
          <w:p w14:paraId="13FE2676"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$1,632,657</w:t>
            </w:r>
          </w:p>
        </w:tc>
        <w:tc>
          <w:tcPr>
            <w:tcW w:w="755" w:type="pct"/>
            <w:shd w:val="clear" w:color="auto" w:fill="auto"/>
          </w:tcPr>
          <w:p w14:paraId="1816494C"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$1,636,480</w:t>
            </w:r>
          </w:p>
        </w:tc>
        <w:tc>
          <w:tcPr>
            <w:tcW w:w="755" w:type="pct"/>
            <w:shd w:val="clear" w:color="auto" w:fill="auto"/>
          </w:tcPr>
          <w:p w14:paraId="2A06A694"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$1,640,312</w:t>
            </w:r>
          </w:p>
        </w:tc>
        <w:tc>
          <w:tcPr>
            <w:tcW w:w="754" w:type="pct"/>
            <w:shd w:val="clear" w:color="auto" w:fill="auto"/>
          </w:tcPr>
          <w:p w14:paraId="5C31378F" w14:textId="77777777" w:rsidR="00F53931" w:rsidRPr="00CC3960" w:rsidRDefault="00F53931" w:rsidP="00F53931">
            <w:pPr>
              <w:spacing w:before="40" w:after="40"/>
              <w:jc w:val="center"/>
              <w:rPr>
                <w:rFonts w:ascii="Arial Narrow" w:hAnsi="Arial Narrow"/>
                <w:color w:val="FF0000"/>
                <w:sz w:val="20"/>
              </w:rPr>
            </w:pPr>
            <w:r w:rsidRPr="00CC3960">
              <w:rPr>
                <w:rFonts w:ascii="Arial Narrow" w:hAnsi="Arial Narrow"/>
                <w:color w:val="FF0000"/>
                <w:sz w:val="20"/>
              </w:rPr>
              <w:t>$1,644,154</w:t>
            </w:r>
          </w:p>
        </w:tc>
      </w:tr>
      <w:tr w:rsidR="00F53931" w:rsidRPr="009539A1" w14:paraId="67AB6E0C" w14:textId="77777777" w:rsidTr="009002A3">
        <w:trPr>
          <w:trHeight w:val="315"/>
        </w:trPr>
        <w:tc>
          <w:tcPr>
            <w:tcW w:w="1226" w:type="pct"/>
            <w:tcBorders>
              <w:right w:val="nil"/>
            </w:tcBorders>
            <w:shd w:val="clear" w:color="auto" w:fill="auto"/>
          </w:tcPr>
          <w:p w14:paraId="4E1D546B" w14:textId="77777777" w:rsidR="00F53931" w:rsidRPr="009539A1" w:rsidRDefault="00F53931" w:rsidP="00F53931">
            <w:pPr>
              <w:spacing w:before="40" w:after="40"/>
              <w:rPr>
                <w:rFonts w:ascii="Arial Narrow" w:hAnsi="Arial Narrow"/>
                <w:b/>
                <w:bCs/>
                <w:sz w:val="20"/>
              </w:rPr>
            </w:pPr>
            <w:r>
              <w:rPr>
                <w:rFonts w:ascii="Arial Narrow" w:hAnsi="Arial Narrow"/>
                <w:b/>
                <w:bCs/>
                <w:sz w:val="20"/>
              </w:rPr>
              <w:t>Total change</w:t>
            </w:r>
          </w:p>
        </w:tc>
        <w:tc>
          <w:tcPr>
            <w:tcW w:w="755" w:type="pct"/>
            <w:tcBorders>
              <w:left w:val="nil"/>
              <w:right w:val="nil"/>
            </w:tcBorders>
          </w:tcPr>
          <w:p w14:paraId="563C5E51" w14:textId="77777777" w:rsidR="00F53931" w:rsidRPr="009539A1" w:rsidRDefault="00F53931" w:rsidP="00F53931">
            <w:pPr>
              <w:spacing w:before="40" w:after="40"/>
              <w:jc w:val="center"/>
              <w:rPr>
                <w:rFonts w:ascii="Arial Narrow" w:hAnsi="Arial Narrow"/>
                <w:b/>
                <w:bCs/>
                <w:color w:val="FF0000"/>
                <w:sz w:val="20"/>
              </w:rPr>
            </w:pPr>
          </w:p>
        </w:tc>
        <w:tc>
          <w:tcPr>
            <w:tcW w:w="755" w:type="pct"/>
            <w:tcBorders>
              <w:left w:val="nil"/>
              <w:right w:val="nil"/>
            </w:tcBorders>
            <w:shd w:val="clear" w:color="auto" w:fill="auto"/>
          </w:tcPr>
          <w:p w14:paraId="64FB3446" w14:textId="77777777" w:rsidR="00F53931" w:rsidRPr="009539A1" w:rsidRDefault="00F53931" w:rsidP="00F53931">
            <w:pPr>
              <w:spacing w:before="40" w:after="40"/>
              <w:jc w:val="center"/>
              <w:rPr>
                <w:rFonts w:ascii="Arial Narrow" w:hAnsi="Arial Narrow"/>
                <w:b/>
                <w:bCs/>
                <w:color w:val="FF0000"/>
                <w:sz w:val="20"/>
              </w:rPr>
            </w:pPr>
          </w:p>
        </w:tc>
        <w:tc>
          <w:tcPr>
            <w:tcW w:w="755" w:type="pct"/>
            <w:tcBorders>
              <w:left w:val="nil"/>
              <w:right w:val="nil"/>
            </w:tcBorders>
            <w:shd w:val="clear" w:color="auto" w:fill="auto"/>
          </w:tcPr>
          <w:p w14:paraId="14113C05" w14:textId="77777777" w:rsidR="00F53931" w:rsidRPr="009539A1" w:rsidRDefault="00F53931" w:rsidP="00F53931">
            <w:pPr>
              <w:spacing w:before="40" w:after="40"/>
              <w:jc w:val="center"/>
              <w:rPr>
                <w:rFonts w:ascii="Arial Narrow" w:hAnsi="Arial Narrow"/>
                <w:b/>
                <w:bCs/>
                <w:color w:val="FF0000"/>
                <w:sz w:val="20"/>
              </w:rPr>
            </w:pPr>
          </w:p>
        </w:tc>
        <w:tc>
          <w:tcPr>
            <w:tcW w:w="755" w:type="pct"/>
            <w:tcBorders>
              <w:left w:val="nil"/>
              <w:right w:val="nil"/>
            </w:tcBorders>
            <w:shd w:val="clear" w:color="auto" w:fill="auto"/>
          </w:tcPr>
          <w:p w14:paraId="74385671" w14:textId="77777777" w:rsidR="00F53931" w:rsidRPr="009539A1" w:rsidRDefault="00F53931" w:rsidP="00F53931">
            <w:pPr>
              <w:spacing w:before="40" w:after="40"/>
              <w:jc w:val="center"/>
              <w:rPr>
                <w:rFonts w:ascii="Arial Narrow" w:hAnsi="Arial Narrow"/>
                <w:b/>
                <w:bCs/>
                <w:color w:val="FF0000"/>
                <w:sz w:val="20"/>
              </w:rPr>
            </w:pPr>
          </w:p>
        </w:tc>
        <w:tc>
          <w:tcPr>
            <w:tcW w:w="754" w:type="pct"/>
            <w:tcBorders>
              <w:left w:val="nil"/>
            </w:tcBorders>
            <w:shd w:val="clear" w:color="auto" w:fill="auto"/>
          </w:tcPr>
          <w:p w14:paraId="305929F5" w14:textId="77777777" w:rsidR="00F53931" w:rsidRPr="009539A1" w:rsidRDefault="00F53931" w:rsidP="00F53931">
            <w:pPr>
              <w:spacing w:before="40" w:after="40"/>
              <w:jc w:val="center"/>
              <w:rPr>
                <w:rFonts w:ascii="Arial Narrow" w:hAnsi="Arial Narrow"/>
                <w:b/>
                <w:bCs/>
                <w:color w:val="FF0000"/>
                <w:sz w:val="20"/>
              </w:rPr>
            </w:pPr>
          </w:p>
        </w:tc>
      </w:tr>
      <w:tr w:rsidR="00F53931" w:rsidRPr="00723325" w14:paraId="4A05FFDD" w14:textId="77777777" w:rsidTr="009002A3">
        <w:trPr>
          <w:trHeight w:val="315"/>
        </w:trPr>
        <w:tc>
          <w:tcPr>
            <w:tcW w:w="1226" w:type="pct"/>
            <w:shd w:val="clear" w:color="auto" w:fill="auto"/>
          </w:tcPr>
          <w:p w14:paraId="36A9BE97"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Total services</w:t>
            </w:r>
          </w:p>
        </w:tc>
        <w:tc>
          <w:tcPr>
            <w:tcW w:w="755" w:type="pct"/>
          </w:tcPr>
          <w:p w14:paraId="290186D7" w14:textId="77777777" w:rsidR="00F53931" w:rsidRPr="00386186" w:rsidRDefault="00F53931" w:rsidP="00F53931">
            <w:pPr>
              <w:spacing w:before="40" w:after="40"/>
              <w:jc w:val="center"/>
              <w:rPr>
                <w:rFonts w:ascii="Arial Narrow" w:hAnsi="Arial Narrow"/>
                <w:color w:val="FF0000"/>
                <w:sz w:val="20"/>
              </w:rPr>
            </w:pPr>
            <w:r w:rsidRPr="00062522">
              <w:rPr>
                <w:rFonts w:ascii="Arial Narrow" w:hAnsi="Arial Narrow"/>
                <w:color w:val="FF0000"/>
                <w:sz w:val="20"/>
              </w:rPr>
              <w:t>1,197</w:t>
            </w:r>
          </w:p>
        </w:tc>
        <w:tc>
          <w:tcPr>
            <w:tcW w:w="755" w:type="pct"/>
            <w:shd w:val="clear" w:color="auto" w:fill="auto"/>
          </w:tcPr>
          <w:p w14:paraId="3A9EB3BB" w14:textId="77777777" w:rsidR="00F53931" w:rsidRPr="00386186" w:rsidRDefault="00F53931" w:rsidP="00F53931">
            <w:pPr>
              <w:spacing w:before="40" w:after="40"/>
              <w:jc w:val="center"/>
              <w:rPr>
                <w:rFonts w:ascii="Arial Narrow" w:hAnsi="Arial Narrow"/>
                <w:color w:val="FF0000"/>
                <w:sz w:val="20"/>
              </w:rPr>
            </w:pPr>
            <w:r w:rsidRPr="00062522">
              <w:rPr>
                <w:rFonts w:ascii="Arial Narrow" w:hAnsi="Arial Narrow"/>
                <w:color w:val="FF0000"/>
                <w:sz w:val="20"/>
              </w:rPr>
              <w:t>1,200</w:t>
            </w:r>
          </w:p>
        </w:tc>
        <w:tc>
          <w:tcPr>
            <w:tcW w:w="755" w:type="pct"/>
            <w:shd w:val="clear" w:color="auto" w:fill="auto"/>
          </w:tcPr>
          <w:p w14:paraId="7561EDAA" w14:textId="77777777" w:rsidR="00F53931" w:rsidRPr="00386186" w:rsidRDefault="00F53931" w:rsidP="00F53931">
            <w:pPr>
              <w:spacing w:before="40" w:after="40"/>
              <w:jc w:val="center"/>
              <w:rPr>
                <w:rFonts w:ascii="Arial Narrow" w:hAnsi="Arial Narrow"/>
                <w:color w:val="FF0000"/>
                <w:sz w:val="20"/>
              </w:rPr>
            </w:pPr>
            <w:r w:rsidRPr="00062522">
              <w:rPr>
                <w:rFonts w:ascii="Arial Narrow" w:hAnsi="Arial Narrow"/>
                <w:color w:val="FF0000"/>
                <w:sz w:val="20"/>
              </w:rPr>
              <w:t>1,203</w:t>
            </w:r>
          </w:p>
        </w:tc>
        <w:tc>
          <w:tcPr>
            <w:tcW w:w="755" w:type="pct"/>
            <w:shd w:val="clear" w:color="auto" w:fill="auto"/>
          </w:tcPr>
          <w:p w14:paraId="48E77FB4" w14:textId="77777777" w:rsidR="00F53931" w:rsidRPr="00386186" w:rsidRDefault="00F53931" w:rsidP="00F53931">
            <w:pPr>
              <w:spacing w:before="40" w:after="40"/>
              <w:jc w:val="center"/>
              <w:rPr>
                <w:rFonts w:ascii="Arial Narrow" w:hAnsi="Arial Narrow"/>
                <w:color w:val="FF0000"/>
                <w:sz w:val="20"/>
              </w:rPr>
            </w:pPr>
            <w:r w:rsidRPr="00062522">
              <w:rPr>
                <w:rFonts w:ascii="Arial Narrow" w:hAnsi="Arial Narrow"/>
                <w:color w:val="FF0000"/>
                <w:sz w:val="20"/>
              </w:rPr>
              <w:t>1,206</w:t>
            </w:r>
          </w:p>
        </w:tc>
        <w:tc>
          <w:tcPr>
            <w:tcW w:w="754" w:type="pct"/>
            <w:shd w:val="clear" w:color="auto" w:fill="auto"/>
          </w:tcPr>
          <w:p w14:paraId="741AFA6C" w14:textId="77777777" w:rsidR="00F53931" w:rsidRPr="00386186" w:rsidRDefault="00F53931" w:rsidP="00F53931">
            <w:pPr>
              <w:spacing w:before="40" w:after="40"/>
              <w:jc w:val="center"/>
              <w:rPr>
                <w:rFonts w:ascii="Arial Narrow" w:hAnsi="Arial Narrow"/>
                <w:color w:val="FF0000"/>
                <w:sz w:val="20"/>
              </w:rPr>
            </w:pPr>
            <w:r w:rsidRPr="00062522">
              <w:rPr>
                <w:rFonts w:ascii="Arial Narrow" w:hAnsi="Arial Narrow"/>
                <w:color w:val="FF0000"/>
                <w:sz w:val="20"/>
              </w:rPr>
              <w:t>1,209</w:t>
            </w:r>
          </w:p>
        </w:tc>
      </w:tr>
      <w:tr w:rsidR="00F53931" w:rsidRPr="00723325" w14:paraId="3ED3F498" w14:textId="77777777" w:rsidTr="009002A3">
        <w:trPr>
          <w:trHeight w:val="315"/>
        </w:trPr>
        <w:tc>
          <w:tcPr>
            <w:tcW w:w="1226" w:type="pct"/>
            <w:shd w:val="clear" w:color="auto" w:fill="auto"/>
          </w:tcPr>
          <w:p w14:paraId="63359A39" w14:textId="77777777" w:rsidR="00F53931" w:rsidRPr="00723325" w:rsidRDefault="00F53931" w:rsidP="00F53931">
            <w:pPr>
              <w:spacing w:before="40" w:after="40"/>
              <w:rPr>
                <w:rFonts w:ascii="Arial Narrow" w:hAnsi="Arial Narrow"/>
                <w:sz w:val="20"/>
              </w:rPr>
            </w:pPr>
            <w:r w:rsidRPr="00723325">
              <w:rPr>
                <w:rFonts w:ascii="Arial Narrow" w:hAnsi="Arial Narrow"/>
                <w:sz w:val="20"/>
              </w:rPr>
              <w:t>Total cost</w:t>
            </w:r>
          </w:p>
        </w:tc>
        <w:tc>
          <w:tcPr>
            <w:tcW w:w="755" w:type="pct"/>
          </w:tcPr>
          <w:p w14:paraId="1A6A6DDA" w14:textId="77777777" w:rsidR="00F53931" w:rsidRPr="000A2049"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062522">
              <w:rPr>
                <w:rFonts w:ascii="Arial Narrow" w:hAnsi="Arial Narrow"/>
                <w:color w:val="FF0000"/>
                <w:sz w:val="20"/>
              </w:rPr>
              <w:t>$252,301</w:t>
            </w:r>
            <w:r>
              <w:rPr>
                <w:rFonts w:ascii="Arial Narrow" w:hAnsi="Arial Narrow"/>
                <w:color w:val="FF0000"/>
                <w:sz w:val="20"/>
              </w:rPr>
              <w:t>)</w:t>
            </w:r>
          </w:p>
        </w:tc>
        <w:tc>
          <w:tcPr>
            <w:tcW w:w="755" w:type="pct"/>
            <w:shd w:val="clear" w:color="auto" w:fill="auto"/>
          </w:tcPr>
          <w:p w14:paraId="00050251" w14:textId="77777777" w:rsidR="00F53931" w:rsidRPr="000A2049"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062522">
              <w:rPr>
                <w:rFonts w:ascii="Arial Narrow" w:hAnsi="Arial Narrow"/>
                <w:color w:val="FF0000"/>
                <w:sz w:val="20"/>
              </w:rPr>
              <w:t>$252,892</w:t>
            </w:r>
            <w:r>
              <w:rPr>
                <w:rFonts w:ascii="Arial Narrow" w:hAnsi="Arial Narrow"/>
                <w:color w:val="FF0000"/>
                <w:sz w:val="20"/>
              </w:rPr>
              <w:t>)</w:t>
            </w:r>
          </w:p>
        </w:tc>
        <w:tc>
          <w:tcPr>
            <w:tcW w:w="755" w:type="pct"/>
            <w:shd w:val="clear" w:color="auto" w:fill="auto"/>
          </w:tcPr>
          <w:p w14:paraId="5B3680CA" w14:textId="77777777" w:rsidR="00F53931" w:rsidRPr="000A2049"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062522">
              <w:rPr>
                <w:rFonts w:ascii="Arial Narrow" w:hAnsi="Arial Narrow"/>
                <w:color w:val="FF0000"/>
                <w:sz w:val="20"/>
              </w:rPr>
              <w:t>$253,484</w:t>
            </w:r>
            <w:r>
              <w:rPr>
                <w:rFonts w:ascii="Arial Narrow" w:hAnsi="Arial Narrow"/>
                <w:color w:val="FF0000"/>
                <w:sz w:val="20"/>
              </w:rPr>
              <w:t>)</w:t>
            </w:r>
          </w:p>
        </w:tc>
        <w:tc>
          <w:tcPr>
            <w:tcW w:w="755" w:type="pct"/>
            <w:shd w:val="clear" w:color="auto" w:fill="auto"/>
          </w:tcPr>
          <w:p w14:paraId="54F7BB65" w14:textId="77777777" w:rsidR="00F53931" w:rsidRPr="000A2049"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E7481A">
              <w:rPr>
                <w:rFonts w:ascii="Arial Narrow" w:hAnsi="Arial Narrow"/>
                <w:color w:val="FF0000"/>
                <w:sz w:val="20"/>
              </w:rPr>
              <w:t>$254,078</w:t>
            </w:r>
            <w:r>
              <w:rPr>
                <w:rFonts w:ascii="Arial Narrow" w:hAnsi="Arial Narrow"/>
                <w:color w:val="FF0000"/>
                <w:sz w:val="20"/>
              </w:rPr>
              <w:t>)</w:t>
            </w:r>
          </w:p>
        </w:tc>
        <w:tc>
          <w:tcPr>
            <w:tcW w:w="754" w:type="pct"/>
            <w:shd w:val="clear" w:color="auto" w:fill="auto"/>
          </w:tcPr>
          <w:p w14:paraId="3EDCFC9D" w14:textId="77777777" w:rsidR="00F53931" w:rsidRPr="000A2049"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E7481A">
              <w:rPr>
                <w:rFonts w:ascii="Arial Narrow" w:hAnsi="Arial Narrow"/>
                <w:color w:val="FF0000"/>
                <w:sz w:val="20"/>
              </w:rPr>
              <w:t>$254,673</w:t>
            </w:r>
            <w:r>
              <w:rPr>
                <w:rFonts w:ascii="Arial Narrow" w:hAnsi="Arial Narrow"/>
                <w:color w:val="FF0000"/>
                <w:sz w:val="20"/>
              </w:rPr>
              <w:t>)</w:t>
            </w:r>
          </w:p>
        </w:tc>
      </w:tr>
      <w:tr w:rsidR="00F53931" w:rsidRPr="00723325" w14:paraId="6ABA4EDC" w14:textId="77777777" w:rsidTr="009002A3">
        <w:trPr>
          <w:trHeight w:val="315"/>
        </w:trPr>
        <w:tc>
          <w:tcPr>
            <w:tcW w:w="1226" w:type="pct"/>
            <w:shd w:val="clear" w:color="auto" w:fill="auto"/>
          </w:tcPr>
          <w:p w14:paraId="645B31B9" w14:textId="77777777" w:rsidR="00F53931" w:rsidRPr="00723325" w:rsidRDefault="00F53931" w:rsidP="00F53931">
            <w:pPr>
              <w:spacing w:before="40" w:after="40"/>
              <w:rPr>
                <w:rFonts w:ascii="Arial Narrow" w:hAnsi="Arial Narrow"/>
                <w:sz w:val="20"/>
              </w:rPr>
            </w:pPr>
            <w:r>
              <w:rPr>
                <w:rFonts w:ascii="Arial Narrow" w:hAnsi="Arial Narrow"/>
                <w:sz w:val="20"/>
              </w:rPr>
              <w:t>After co-pay</w:t>
            </w:r>
          </w:p>
        </w:tc>
        <w:tc>
          <w:tcPr>
            <w:tcW w:w="755" w:type="pct"/>
          </w:tcPr>
          <w:p w14:paraId="198F837D"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977AD">
              <w:rPr>
                <w:rFonts w:ascii="Arial Narrow" w:hAnsi="Arial Narrow"/>
                <w:color w:val="FF0000"/>
                <w:sz w:val="20"/>
              </w:rPr>
              <w:t>$457,694</w:t>
            </w:r>
            <w:r>
              <w:rPr>
                <w:rFonts w:ascii="Arial Narrow" w:hAnsi="Arial Narrow"/>
                <w:color w:val="FF0000"/>
                <w:sz w:val="20"/>
              </w:rPr>
              <w:t>)</w:t>
            </w:r>
          </w:p>
        </w:tc>
        <w:tc>
          <w:tcPr>
            <w:tcW w:w="755" w:type="pct"/>
            <w:shd w:val="clear" w:color="auto" w:fill="auto"/>
          </w:tcPr>
          <w:p w14:paraId="31B420DC"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977AD">
              <w:rPr>
                <w:rFonts w:ascii="Arial Narrow" w:hAnsi="Arial Narrow"/>
                <w:color w:val="FF0000"/>
                <w:sz w:val="20"/>
              </w:rPr>
              <w:t>$458,766</w:t>
            </w:r>
            <w:r>
              <w:rPr>
                <w:rFonts w:ascii="Arial Narrow" w:hAnsi="Arial Narrow"/>
                <w:color w:val="FF0000"/>
                <w:sz w:val="20"/>
              </w:rPr>
              <w:t>)</w:t>
            </w:r>
          </w:p>
        </w:tc>
        <w:tc>
          <w:tcPr>
            <w:tcW w:w="755" w:type="pct"/>
            <w:shd w:val="clear" w:color="auto" w:fill="auto"/>
          </w:tcPr>
          <w:p w14:paraId="665D7894"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977AD">
              <w:rPr>
                <w:rFonts w:ascii="Arial Narrow" w:hAnsi="Arial Narrow"/>
                <w:color w:val="FF0000"/>
                <w:sz w:val="20"/>
              </w:rPr>
              <w:t>$459,840</w:t>
            </w:r>
            <w:r>
              <w:rPr>
                <w:rFonts w:ascii="Arial Narrow" w:hAnsi="Arial Narrow"/>
                <w:color w:val="FF0000"/>
                <w:sz w:val="20"/>
              </w:rPr>
              <w:t>)</w:t>
            </w:r>
          </w:p>
        </w:tc>
        <w:tc>
          <w:tcPr>
            <w:tcW w:w="755" w:type="pct"/>
            <w:shd w:val="clear" w:color="auto" w:fill="auto"/>
          </w:tcPr>
          <w:p w14:paraId="2AE7ABBF"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977AD">
              <w:rPr>
                <w:rFonts w:ascii="Arial Narrow" w:hAnsi="Arial Narrow"/>
                <w:color w:val="FF0000"/>
                <w:sz w:val="20"/>
              </w:rPr>
              <w:t>$460,917</w:t>
            </w:r>
            <w:r>
              <w:rPr>
                <w:rFonts w:ascii="Arial Narrow" w:hAnsi="Arial Narrow"/>
                <w:color w:val="FF0000"/>
                <w:sz w:val="20"/>
              </w:rPr>
              <w:t>)</w:t>
            </w:r>
          </w:p>
        </w:tc>
        <w:tc>
          <w:tcPr>
            <w:tcW w:w="754" w:type="pct"/>
            <w:shd w:val="clear" w:color="auto" w:fill="auto"/>
          </w:tcPr>
          <w:p w14:paraId="14B47A08"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9977AD">
              <w:rPr>
                <w:rFonts w:ascii="Arial Narrow" w:hAnsi="Arial Narrow"/>
                <w:color w:val="FF0000"/>
                <w:sz w:val="20"/>
              </w:rPr>
              <w:t>$461,996</w:t>
            </w:r>
            <w:r>
              <w:rPr>
                <w:rFonts w:ascii="Arial Narrow" w:hAnsi="Arial Narrow"/>
                <w:color w:val="FF0000"/>
                <w:sz w:val="20"/>
              </w:rPr>
              <w:t>)</w:t>
            </w:r>
          </w:p>
        </w:tc>
      </w:tr>
    </w:tbl>
    <w:p w14:paraId="0870327B" w14:textId="77777777" w:rsidR="00F53931" w:rsidRDefault="00F53931" w:rsidP="00F53931">
      <w:pPr>
        <w:pStyle w:val="Tablenotes1"/>
      </w:pPr>
      <w:r w:rsidRPr="00821A2E">
        <w:t>Red denotes a reduction of services</w:t>
      </w:r>
      <w:r>
        <w:t>/cost</w:t>
      </w:r>
      <w:r w:rsidRPr="00821A2E">
        <w:t xml:space="preserve"> with the introduction of the proposed intervention</w:t>
      </w:r>
      <w:r>
        <w:t xml:space="preserve"> (savings)</w:t>
      </w:r>
      <w:r w:rsidRPr="00821A2E">
        <w:t>, while black represents an increase in services</w:t>
      </w:r>
      <w:r>
        <w:t>/cost</w:t>
      </w:r>
      <w:r w:rsidRPr="00821A2E">
        <w:t>.</w:t>
      </w:r>
    </w:p>
    <w:p w14:paraId="534D4304" w14:textId="77777777" w:rsidR="00F53931" w:rsidRDefault="00F53931" w:rsidP="00F53931">
      <w:pPr>
        <w:pStyle w:val="Tablenotes1"/>
      </w:pPr>
      <w:r>
        <w:t xml:space="preserve">Screening tests are associated with co-payment of 15%, </w:t>
      </w:r>
      <w:r w:rsidRPr="00725B40">
        <w:t xml:space="preserve">fetomaternal haemorrhage </w:t>
      </w:r>
      <w:r>
        <w:t>quantification and cord blood serology assume co-payment of 0.25. For women who birth in the public hospital system they are unlikely to incur any MBS costs from being an inpatient. Therefore, the calculations only include co-payments for MBS screening item</w:t>
      </w:r>
    </w:p>
    <w:p w14:paraId="5610E258" w14:textId="77777777" w:rsidR="00F53931" w:rsidRDefault="00F53931" w:rsidP="00F53931">
      <w:pPr>
        <w:pStyle w:val="Tablenotes1"/>
      </w:pPr>
      <w:r>
        <w:t>* Savings to the MBS increase after co-payments because the proportion of the savings attributable to reduced anti-D Ig use (which does not attract a co-payment) is greater</w:t>
      </w:r>
    </w:p>
    <w:p w14:paraId="60C82767" w14:textId="77777777" w:rsidR="00F53931" w:rsidRPr="00183E4D" w:rsidRDefault="00F53931" w:rsidP="00F53931">
      <w:pPr>
        <w:pStyle w:val="Tablenotes1"/>
      </w:pPr>
      <w:r>
        <w:t>Source: DCAR, Table 13</w:t>
      </w:r>
    </w:p>
    <w:p w14:paraId="050D5828" w14:textId="3EDD8FAE" w:rsidR="00F53931" w:rsidRDefault="00F53931" w:rsidP="002C6CD4">
      <w:pPr>
        <w:spacing w:after="240"/>
      </w:pPr>
      <w:r>
        <w:t xml:space="preserve">In the pre-ESC response, the applicant </w:t>
      </w:r>
      <w:r w:rsidRPr="00643DBA">
        <w:t>emphasised that it is recommended the current practice of performing cord blood se</w:t>
      </w:r>
      <w:r>
        <w:t>rology on all babies born to RhD-</w:t>
      </w:r>
      <w:r w:rsidRPr="00643DBA">
        <w:t xml:space="preserve">negative women will continue even with the introduction of </w:t>
      </w:r>
      <w:r w:rsidRPr="00643DBA">
        <w:rPr>
          <w:i/>
        </w:rPr>
        <w:t>RHD</w:t>
      </w:r>
      <w:r>
        <w:t>-</w:t>
      </w:r>
      <w:r w:rsidRPr="00643DBA">
        <w:t>NIPT</w:t>
      </w:r>
      <w:r>
        <w:t>, therefore the number of cord blood serology services (</w:t>
      </w:r>
      <w:r w:rsidR="009271FA">
        <w:fldChar w:fldCharType="begin"/>
      </w:r>
      <w:r w:rsidR="009271FA">
        <w:instrText xml:space="preserve"> REF _Ref162029661 \h </w:instrText>
      </w:r>
      <w:r w:rsidR="009271FA">
        <w:fldChar w:fldCharType="separate"/>
      </w:r>
      <w:r w:rsidR="00C751E2">
        <w:t xml:space="preserve">Table </w:t>
      </w:r>
      <w:r w:rsidR="00C751E2">
        <w:rPr>
          <w:noProof/>
        </w:rPr>
        <w:t>15</w:t>
      </w:r>
      <w:r w:rsidR="009271FA">
        <w:fldChar w:fldCharType="end"/>
      </w:r>
      <w:r>
        <w:t>) should remain the same</w:t>
      </w:r>
      <w:r w:rsidRPr="00643DBA">
        <w:t>.</w:t>
      </w:r>
      <w:r>
        <w:t xml:space="preserve"> </w:t>
      </w:r>
      <w:r w:rsidRPr="00643DBA">
        <w:t>Whilst in the Netherlands cord blood serology typing was omitted as routine testing several years after the int</w:t>
      </w:r>
      <w:r>
        <w:t>roduction of NIPT, this policy i</w:t>
      </w:r>
      <w:r w:rsidRPr="00643DBA">
        <w:t>s not recommended in Australia at this point.</w:t>
      </w:r>
    </w:p>
    <w:p w14:paraId="31AD1547" w14:textId="54DDD901" w:rsidR="00F53931" w:rsidRDefault="00F53931" w:rsidP="00F53931">
      <w:r>
        <w:t>In the pre-ESC response, the applicant disputed the DCAR’s proposal for co-payments (</w:t>
      </w:r>
      <w:r w:rsidR="009271FA">
        <w:fldChar w:fldCharType="begin"/>
      </w:r>
      <w:r w:rsidR="009271FA">
        <w:instrText xml:space="preserve"> REF _Ref162029672 \h </w:instrText>
      </w:r>
      <w:r w:rsidR="009271FA">
        <w:fldChar w:fldCharType="separate"/>
      </w:r>
      <w:r w:rsidR="00C751E2">
        <w:t xml:space="preserve">Table </w:t>
      </w:r>
      <w:r w:rsidR="00C751E2">
        <w:rPr>
          <w:noProof/>
        </w:rPr>
        <w:t>16</w:t>
      </w:r>
      <w:r w:rsidR="009271FA">
        <w:fldChar w:fldCharType="end"/>
      </w:r>
      <w:r>
        <w:t>), stating that t</w:t>
      </w:r>
      <w:r w:rsidRPr="009D5788">
        <w:t xml:space="preserve">he Anti-D </w:t>
      </w:r>
      <w:r w:rsidR="00316A76">
        <w:t xml:space="preserve">Ig </w:t>
      </w:r>
      <w:r w:rsidRPr="009D5788">
        <w:t xml:space="preserve">expert reference group advised that for successful </w:t>
      </w:r>
      <w:r w:rsidRPr="009D5788">
        <w:rPr>
          <w:i/>
        </w:rPr>
        <w:t>RHD</w:t>
      </w:r>
      <w:r>
        <w:t>-</w:t>
      </w:r>
      <w:r w:rsidRPr="009D5788">
        <w:t>NIPT national screening that there should be no additional co-payment for individual women, either in the private or public sector. A co-payment would be associated with inequity of access to NIPT, and the associated management of their pregnancy based on its result, for socially disadvantaged individuals.</w:t>
      </w:r>
      <w:r>
        <w:t xml:space="preserve"> In the rejoinder, the HTA group noted that b</w:t>
      </w:r>
      <w:r w:rsidRPr="00F4422F">
        <w:t xml:space="preserve">udgetary impacts of any new intervention require the evaluators to present the calculation with and without co-payment. </w:t>
      </w:r>
      <w:r>
        <w:t>This</w:t>
      </w:r>
      <w:r w:rsidRPr="00F4422F">
        <w:t xml:space="preserve"> does not reflect a recommendation by the evaluators.</w:t>
      </w:r>
    </w:p>
    <w:p w14:paraId="59710581" w14:textId="5796FA63" w:rsidR="009301EE" w:rsidRPr="009301EE" w:rsidRDefault="00F53931" w:rsidP="009301EE">
      <w:pPr>
        <w:spacing w:before="240"/>
      </w:pPr>
      <w:r>
        <w:t>The DCAR note</w:t>
      </w:r>
      <w:r w:rsidR="00911B6F">
        <w:t>d</w:t>
      </w:r>
      <w:r>
        <w:t xml:space="preserve"> that the population in the population-based model differs between the economic and financial modelling, because </w:t>
      </w:r>
      <w:r w:rsidRPr="00712EBB">
        <w:t>the same pa</w:t>
      </w:r>
      <w:r>
        <w:t>tients would present up to four</w:t>
      </w:r>
      <w:r w:rsidRPr="00712EBB">
        <w:t xml:space="preserve"> times for anti-D antibody scr</w:t>
      </w:r>
      <w:r>
        <w:t>eening, and if the fetus is RhD-</w:t>
      </w:r>
      <w:r w:rsidRPr="00712EBB">
        <w:t>positive, intensive monitoring and HDFN treatment would be required on more than one occasion.</w:t>
      </w:r>
      <w:r w:rsidR="009301EE">
        <w:br w:type="page"/>
      </w:r>
    </w:p>
    <w:p w14:paraId="35794211" w14:textId="5F263FF8" w:rsidR="00F53931" w:rsidRDefault="00F53931" w:rsidP="002C6CD4">
      <w:pPr>
        <w:pStyle w:val="Heading2"/>
        <w:spacing w:before="240" w:after="120"/>
      </w:pPr>
      <w:r>
        <w:lastRenderedPageBreak/>
        <w:t>Sensitivity analyses</w:t>
      </w:r>
    </w:p>
    <w:p w14:paraId="6627BAF8" w14:textId="5DDAF08D" w:rsidR="00526E92" w:rsidRDefault="00F53931" w:rsidP="00F53931">
      <w:r w:rsidRPr="00E11E7C">
        <w:t xml:space="preserve">The </w:t>
      </w:r>
      <w:r>
        <w:t>DCAR’s sensitivity analysis (</w:t>
      </w:r>
      <w:r w:rsidR="00FC7177">
        <w:t>Table 17</w:t>
      </w:r>
      <w:r>
        <w:t>) showed</w:t>
      </w:r>
      <w:r w:rsidRPr="00E11E7C">
        <w:t xml:space="preserve"> that the financia</w:t>
      </w:r>
      <w:r>
        <w:t>l estimates are most sensitive</w:t>
      </w:r>
      <w:r w:rsidRPr="00E11E7C">
        <w:t xml:space="preserve"> to the cost of the test. Increasing the cost of the NIPT by $10 per test will have financial implications for the MBS by incurring additional costs. The other sensitivity analyses indicate that the introduction of </w:t>
      </w:r>
      <w:r w:rsidRPr="00E11E7C">
        <w:rPr>
          <w:i/>
        </w:rPr>
        <w:t>RHD</w:t>
      </w:r>
      <w:r w:rsidRPr="00E11E7C">
        <w:t>-NIPT is likely to result in cost savings for the MBS.</w:t>
      </w:r>
    </w:p>
    <w:p w14:paraId="101DF58A" w14:textId="1573F1FA" w:rsidR="009002A3" w:rsidRDefault="009002A3" w:rsidP="00F91F6C">
      <w:pPr>
        <w:pStyle w:val="TableHeading"/>
        <w:spacing w:before="240"/>
        <w:ind w:left="0" w:firstLine="0"/>
      </w:pPr>
      <w:bookmarkStart w:id="25" w:name="_Ref162029749"/>
      <w:r>
        <w:t xml:space="preserve">Table </w:t>
      </w:r>
      <w:r>
        <w:fldChar w:fldCharType="begin"/>
      </w:r>
      <w:r>
        <w:instrText xml:space="preserve"> SEQ Table \* ARABIC </w:instrText>
      </w:r>
      <w:r>
        <w:fldChar w:fldCharType="separate"/>
      </w:r>
      <w:r w:rsidR="00C751E2">
        <w:t>17</w:t>
      </w:r>
      <w:r>
        <w:fldChar w:fldCharType="end"/>
      </w:r>
      <w:bookmarkEnd w:id="25"/>
      <w:r w:rsidR="003646A7">
        <w:t xml:space="preserve">: </w:t>
      </w:r>
      <w:r w:rsidR="003646A7" w:rsidRPr="00053FE0">
        <w:t>Sensitivity analyses for the financial estimates</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679"/>
        <w:gridCol w:w="850"/>
        <w:gridCol w:w="373"/>
        <w:gridCol w:w="944"/>
        <w:gridCol w:w="278"/>
        <w:gridCol w:w="1039"/>
        <w:gridCol w:w="183"/>
        <w:gridCol w:w="1134"/>
        <w:gridCol w:w="88"/>
        <w:gridCol w:w="1226"/>
      </w:tblGrid>
      <w:tr w:rsidR="00F53931" w:rsidRPr="00723325" w14:paraId="6CA71199" w14:textId="77777777" w:rsidTr="009002A3">
        <w:trPr>
          <w:trHeight w:val="300"/>
          <w:tblHeader/>
        </w:trPr>
        <w:tc>
          <w:tcPr>
            <w:tcW w:w="1523" w:type="pct"/>
            <w:shd w:val="clear" w:color="auto" w:fill="auto"/>
            <w:vAlign w:val="center"/>
          </w:tcPr>
          <w:p w14:paraId="36A99272" w14:textId="77777777" w:rsidR="00F53931" w:rsidRPr="00723325" w:rsidRDefault="00F53931" w:rsidP="00F53931">
            <w:pPr>
              <w:keepNext/>
              <w:spacing w:before="40" w:after="40"/>
              <w:rPr>
                <w:rFonts w:ascii="Arial Narrow" w:hAnsi="Arial Narrow"/>
                <w:sz w:val="20"/>
              </w:rPr>
            </w:pPr>
          </w:p>
        </w:tc>
        <w:tc>
          <w:tcPr>
            <w:tcW w:w="695" w:type="pct"/>
            <w:gridSpan w:val="2"/>
            <w:vAlign w:val="center"/>
          </w:tcPr>
          <w:p w14:paraId="2263F848" w14:textId="77777777" w:rsidR="00F53931" w:rsidRDefault="00F53931" w:rsidP="00F53931">
            <w:pPr>
              <w:keepNext/>
              <w:spacing w:before="40" w:after="40"/>
              <w:jc w:val="center"/>
              <w:rPr>
                <w:rFonts w:ascii="Arial Narrow" w:hAnsi="Arial Narrow"/>
                <w:b/>
                <w:bCs/>
                <w:sz w:val="20"/>
              </w:rPr>
            </w:pPr>
            <w:r w:rsidRPr="000A2049">
              <w:rPr>
                <w:rFonts w:ascii="Arial Narrow" w:hAnsi="Arial Narrow"/>
                <w:b/>
                <w:bCs/>
                <w:sz w:val="20"/>
              </w:rPr>
              <w:t>2</w:t>
            </w:r>
            <w:r>
              <w:rPr>
                <w:rFonts w:ascii="Arial Narrow" w:hAnsi="Arial Narrow"/>
                <w:b/>
                <w:bCs/>
                <w:sz w:val="20"/>
              </w:rPr>
              <w:t>021</w:t>
            </w:r>
          </w:p>
          <w:p w14:paraId="7038A5F7" w14:textId="77777777" w:rsidR="00F53931" w:rsidRPr="000A2049" w:rsidRDefault="00F53931" w:rsidP="00F53931">
            <w:pPr>
              <w:keepNext/>
              <w:spacing w:before="40" w:after="40"/>
              <w:jc w:val="center"/>
              <w:rPr>
                <w:rFonts w:ascii="Arial Narrow" w:hAnsi="Arial Narrow"/>
                <w:b/>
                <w:bCs/>
                <w:sz w:val="20"/>
              </w:rPr>
            </w:pPr>
            <w:r>
              <w:rPr>
                <w:rFonts w:ascii="Arial Narrow" w:hAnsi="Arial Narrow"/>
                <w:b/>
                <w:bCs/>
                <w:sz w:val="20"/>
              </w:rPr>
              <w:t>Yr1</w:t>
            </w:r>
          </w:p>
        </w:tc>
        <w:tc>
          <w:tcPr>
            <w:tcW w:w="695" w:type="pct"/>
            <w:gridSpan w:val="2"/>
            <w:shd w:val="clear" w:color="auto" w:fill="auto"/>
            <w:vAlign w:val="center"/>
          </w:tcPr>
          <w:p w14:paraId="4843DD55" w14:textId="77777777" w:rsidR="00F53931" w:rsidRDefault="00F53931" w:rsidP="00F53931">
            <w:pPr>
              <w:keepNext/>
              <w:spacing w:before="40" w:after="40"/>
              <w:jc w:val="center"/>
              <w:rPr>
                <w:rFonts w:ascii="Arial Narrow" w:hAnsi="Arial Narrow"/>
                <w:b/>
                <w:bCs/>
                <w:sz w:val="20"/>
              </w:rPr>
            </w:pPr>
            <w:r w:rsidRPr="000A2049">
              <w:rPr>
                <w:rFonts w:ascii="Arial Narrow" w:hAnsi="Arial Narrow"/>
                <w:b/>
                <w:bCs/>
                <w:sz w:val="20"/>
              </w:rPr>
              <w:t>20</w:t>
            </w:r>
            <w:r>
              <w:rPr>
                <w:rFonts w:ascii="Arial Narrow" w:hAnsi="Arial Narrow"/>
                <w:b/>
                <w:bCs/>
                <w:sz w:val="20"/>
              </w:rPr>
              <w:t>22</w:t>
            </w:r>
          </w:p>
          <w:p w14:paraId="6E8ECF3B" w14:textId="77777777" w:rsidR="00F53931" w:rsidRPr="000A2049" w:rsidRDefault="00F53931" w:rsidP="00F53931">
            <w:pPr>
              <w:keepNext/>
              <w:spacing w:before="40" w:after="40"/>
              <w:jc w:val="center"/>
              <w:rPr>
                <w:rFonts w:ascii="Arial Narrow" w:hAnsi="Arial Narrow"/>
                <w:b/>
                <w:bCs/>
                <w:sz w:val="20"/>
              </w:rPr>
            </w:pPr>
            <w:r>
              <w:rPr>
                <w:rFonts w:ascii="Arial Narrow" w:hAnsi="Arial Narrow"/>
                <w:b/>
                <w:bCs/>
                <w:sz w:val="20"/>
              </w:rPr>
              <w:t>Yr2</w:t>
            </w:r>
          </w:p>
        </w:tc>
        <w:tc>
          <w:tcPr>
            <w:tcW w:w="695" w:type="pct"/>
            <w:gridSpan w:val="2"/>
            <w:shd w:val="clear" w:color="auto" w:fill="auto"/>
            <w:vAlign w:val="center"/>
          </w:tcPr>
          <w:p w14:paraId="77B103F7" w14:textId="77777777" w:rsidR="00F53931" w:rsidRDefault="00F53931" w:rsidP="00F53931">
            <w:pPr>
              <w:keepNext/>
              <w:spacing w:before="40" w:after="40"/>
              <w:jc w:val="center"/>
              <w:rPr>
                <w:rFonts w:ascii="Arial Narrow" w:hAnsi="Arial Narrow"/>
                <w:b/>
                <w:bCs/>
                <w:sz w:val="20"/>
              </w:rPr>
            </w:pPr>
            <w:r w:rsidRPr="000A2049">
              <w:rPr>
                <w:rFonts w:ascii="Arial Narrow" w:hAnsi="Arial Narrow"/>
                <w:b/>
                <w:bCs/>
                <w:sz w:val="20"/>
              </w:rPr>
              <w:t>20</w:t>
            </w:r>
            <w:r>
              <w:rPr>
                <w:rFonts w:ascii="Arial Narrow" w:hAnsi="Arial Narrow"/>
                <w:b/>
                <w:bCs/>
                <w:sz w:val="20"/>
              </w:rPr>
              <w:t>23</w:t>
            </w:r>
          </w:p>
          <w:p w14:paraId="5CF20C8C" w14:textId="77777777" w:rsidR="00F53931" w:rsidRPr="000A2049" w:rsidRDefault="00F53931" w:rsidP="00F53931">
            <w:pPr>
              <w:keepNext/>
              <w:spacing w:before="40" w:after="40"/>
              <w:jc w:val="center"/>
              <w:rPr>
                <w:rFonts w:ascii="Arial Narrow" w:hAnsi="Arial Narrow"/>
                <w:b/>
                <w:bCs/>
                <w:sz w:val="20"/>
              </w:rPr>
            </w:pPr>
            <w:r>
              <w:rPr>
                <w:rFonts w:ascii="Arial Narrow" w:hAnsi="Arial Narrow"/>
                <w:b/>
                <w:bCs/>
                <w:sz w:val="20"/>
              </w:rPr>
              <w:t>Yr3</w:t>
            </w:r>
          </w:p>
        </w:tc>
        <w:tc>
          <w:tcPr>
            <w:tcW w:w="695" w:type="pct"/>
            <w:gridSpan w:val="2"/>
            <w:shd w:val="clear" w:color="auto" w:fill="auto"/>
            <w:vAlign w:val="center"/>
          </w:tcPr>
          <w:p w14:paraId="4CD82D67" w14:textId="77777777" w:rsidR="00F53931" w:rsidRDefault="00F53931" w:rsidP="00F53931">
            <w:pPr>
              <w:keepNext/>
              <w:spacing w:before="40" w:after="40"/>
              <w:jc w:val="center"/>
              <w:rPr>
                <w:rFonts w:ascii="Arial Narrow" w:hAnsi="Arial Narrow"/>
                <w:b/>
                <w:bCs/>
                <w:sz w:val="20"/>
              </w:rPr>
            </w:pPr>
            <w:r w:rsidRPr="000A2049">
              <w:rPr>
                <w:rFonts w:ascii="Arial Narrow" w:hAnsi="Arial Narrow"/>
                <w:b/>
                <w:bCs/>
                <w:sz w:val="20"/>
              </w:rPr>
              <w:t>20</w:t>
            </w:r>
            <w:r>
              <w:rPr>
                <w:rFonts w:ascii="Arial Narrow" w:hAnsi="Arial Narrow"/>
                <w:b/>
                <w:bCs/>
                <w:sz w:val="20"/>
              </w:rPr>
              <w:t>24</w:t>
            </w:r>
          </w:p>
          <w:p w14:paraId="1C529A64" w14:textId="77777777" w:rsidR="00F53931" w:rsidRPr="000A2049" w:rsidRDefault="00F53931" w:rsidP="00F53931">
            <w:pPr>
              <w:keepNext/>
              <w:spacing w:before="40" w:after="40"/>
              <w:jc w:val="center"/>
              <w:rPr>
                <w:rFonts w:ascii="Arial Narrow" w:hAnsi="Arial Narrow"/>
                <w:b/>
                <w:bCs/>
                <w:sz w:val="20"/>
              </w:rPr>
            </w:pPr>
            <w:r>
              <w:rPr>
                <w:rFonts w:ascii="Arial Narrow" w:hAnsi="Arial Narrow"/>
                <w:b/>
                <w:bCs/>
                <w:sz w:val="20"/>
              </w:rPr>
              <w:t>Yr4</w:t>
            </w:r>
          </w:p>
        </w:tc>
        <w:tc>
          <w:tcPr>
            <w:tcW w:w="697" w:type="pct"/>
            <w:shd w:val="clear" w:color="auto" w:fill="auto"/>
            <w:vAlign w:val="center"/>
          </w:tcPr>
          <w:p w14:paraId="27F9BD3B" w14:textId="77777777" w:rsidR="00F53931" w:rsidRDefault="00F53931" w:rsidP="00F53931">
            <w:pPr>
              <w:keepNext/>
              <w:spacing w:before="40" w:after="40"/>
              <w:jc w:val="center"/>
              <w:rPr>
                <w:rFonts w:ascii="Arial Narrow" w:hAnsi="Arial Narrow"/>
                <w:b/>
                <w:bCs/>
                <w:sz w:val="20"/>
              </w:rPr>
            </w:pPr>
            <w:r w:rsidRPr="000A2049">
              <w:rPr>
                <w:rFonts w:ascii="Arial Narrow" w:hAnsi="Arial Narrow"/>
                <w:b/>
                <w:bCs/>
                <w:sz w:val="20"/>
              </w:rPr>
              <w:t>20</w:t>
            </w:r>
            <w:r>
              <w:rPr>
                <w:rFonts w:ascii="Arial Narrow" w:hAnsi="Arial Narrow"/>
                <w:b/>
                <w:bCs/>
                <w:sz w:val="20"/>
              </w:rPr>
              <w:t>25</w:t>
            </w:r>
          </w:p>
          <w:p w14:paraId="32DD3E2D" w14:textId="77777777" w:rsidR="00F53931" w:rsidRPr="000A2049" w:rsidRDefault="00F53931" w:rsidP="00F53931">
            <w:pPr>
              <w:keepNext/>
              <w:spacing w:before="40" w:after="40"/>
              <w:jc w:val="center"/>
              <w:rPr>
                <w:rFonts w:ascii="Arial Narrow" w:hAnsi="Arial Narrow"/>
                <w:b/>
                <w:bCs/>
                <w:sz w:val="20"/>
              </w:rPr>
            </w:pPr>
            <w:r>
              <w:rPr>
                <w:rFonts w:ascii="Arial Narrow" w:hAnsi="Arial Narrow"/>
                <w:b/>
                <w:bCs/>
                <w:sz w:val="20"/>
              </w:rPr>
              <w:t>Yr5</w:t>
            </w:r>
          </w:p>
        </w:tc>
      </w:tr>
      <w:tr w:rsidR="00F53931" w:rsidRPr="00723325" w14:paraId="5AC2CBD6" w14:textId="77777777" w:rsidTr="009002A3">
        <w:trPr>
          <w:trHeight w:val="300"/>
        </w:trPr>
        <w:tc>
          <w:tcPr>
            <w:tcW w:w="1523" w:type="pct"/>
            <w:tcBorders>
              <w:right w:val="nil"/>
            </w:tcBorders>
            <w:shd w:val="clear" w:color="auto" w:fill="auto"/>
          </w:tcPr>
          <w:p w14:paraId="605AFED6" w14:textId="77777777" w:rsidR="00F53931" w:rsidRPr="00723325" w:rsidRDefault="00F53931" w:rsidP="00F53931">
            <w:pPr>
              <w:keepNext/>
              <w:spacing w:before="40" w:after="40"/>
              <w:rPr>
                <w:rFonts w:ascii="Arial Narrow" w:hAnsi="Arial Narrow"/>
                <w:b/>
                <w:bCs/>
                <w:sz w:val="20"/>
              </w:rPr>
            </w:pPr>
            <w:r w:rsidRPr="00723325">
              <w:rPr>
                <w:rFonts w:ascii="Arial Narrow" w:hAnsi="Arial Narrow"/>
                <w:b/>
                <w:bCs/>
                <w:sz w:val="20"/>
              </w:rPr>
              <w:t>NIPT</w:t>
            </w:r>
          </w:p>
        </w:tc>
        <w:tc>
          <w:tcPr>
            <w:tcW w:w="483" w:type="pct"/>
            <w:tcBorders>
              <w:left w:val="nil"/>
              <w:right w:val="nil"/>
            </w:tcBorders>
            <w:vAlign w:val="center"/>
          </w:tcPr>
          <w:p w14:paraId="1DEF3315" w14:textId="77777777" w:rsidR="00F53931" w:rsidRPr="006B459E" w:rsidRDefault="00F53931" w:rsidP="00F53931">
            <w:pPr>
              <w:keepNext/>
              <w:spacing w:before="40" w:after="40"/>
              <w:jc w:val="center"/>
              <w:rPr>
                <w:rFonts w:ascii="Arial Narrow" w:hAnsi="Arial Narrow"/>
                <w:sz w:val="20"/>
              </w:rPr>
            </w:pPr>
            <w:r w:rsidRPr="006B459E">
              <w:rPr>
                <w:rFonts w:ascii="Arial Narrow" w:hAnsi="Arial Narrow"/>
                <w:color w:val="FFFFFF" w:themeColor="background1"/>
                <w:sz w:val="20"/>
              </w:rPr>
              <w:t>-</w:t>
            </w:r>
          </w:p>
        </w:tc>
        <w:tc>
          <w:tcPr>
            <w:tcW w:w="749" w:type="pct"/>
            <w:gridSpan w:val="2"/>
            <w:tcBorders>
              <w:left w:val="nil"/>
              <w:right w:val="nil"/>
            </w:tcBorders>
            <w:shd w:val="clear" w:color="auto" w:fill="auto"/>
            <w:vAlign w:val="center"/>
          </w:tcPr>
          <w:p w14:paraId="7C877036" w14:textId="77777777" w:rsidR="00F53931" w:rsidRPr="006B459E" w:rsidRDefault="00F53931" w:rsidP="00F53931">
            <w:pPr>
              <w:keepNext/>
              <w:spacing w:before="40" w:after="40"/>
              <w:jc w:val="center"/>
              <w:rPr>
                <w:rFonts w:ascii="Arial Narrow" w:hAnsi="Arial Narrow"/>
                <w:sz w:val="20"/>
              </w:rPr>
            </w:pPr>
            <w:r w:rsidRPr="006B459E">
              <w:rPr>
                <w:rFonts w:ascii="Arial Narrow" w:hAnsi="Arial Narrow"/>
                <w:color w:val="FFFFFF" w:themeColor="background1"/>
                <w:sz w:val="20"/>
              </w:rPr>
              <w:t>-</w:t>
            </w:r>
          </w:p>
        </w:tc>
        <w:tc>
          <w:tcPr>
            <w:tcW w:w="749" w:type="pct"/>
            <w:gridSpan w:val="2"/>
            <w:tcBorders>
              <w:left w:val="nil"/>
              <w:right w:val="nil"/>
            </w:tcBorders>
            <w:shd w:val="clear" w:color="auto" w:fill="auto"/>
            <w:vAlign w:val="center"/>
          </w:tcPr>
          <w:p w14:paraId="72E8C1AC" w14:textId="77777777" w:rsidR="00F53931" w:rsidRPr="006B459E" w:rsidRDefault="00F53931" w:rsidP="00F53931">
            <w:pPr>
              <w:keepNext/>
              <w:spacing w:before="40" w:after="40"/>
              <w:jc w:val="center"/>
              <w:rPr>
                <w:rFonts w:ascii="Arial Narrow" w:hAnsi="Arial Narrow"/>
                <w:sz w:val="20"/>
              </w:rPr>
            </w:pPr>
            <w:r w:rsidRPr="006B459E">
              <w:rPr>
                <w:rFonts w:ascii="Arial Narrow" w:hAnsi="Arial Narrow"/>
                <w:color w:val="FFFFFF" w:themeColor="background1"/>
                <w:sz w:val="20"/>
              </w:rPr>
              <w:t>-</w:t>
            </w:r>
          </w:p>
        </w:tc>
        <w:tc>
          <w:tcPr>
            <w:tcW w:w="749" w:type="pct"/>
            <w:gridSpan w:val="2"/>
            <w:tcBorders>
              <w:left w:val="nil"/>
              <w:right w:val="nil"/>
            </w:tcBorders>
            <w:shd w:val="clear" w:color="auto" w:fill="auto"/>
            <w:vAlign w:val="center"/>
          </w:tcPr>
          <w:p w14:paraId="665ADFA3" w14:textId="77777777" w:rsidR="00F53931" w:rsidRPr="006B459E" w:rsidRDefault="00F53931" w:rsidP="00F53931">
            <w:pPr>
              <w:keepNext/>
              <w:spacing w:before="40" w:after="40"/>
              <w:jc w:val="center"/>
              <w:rPr>
                <w:rFonts w:ascii="Arial Narrow" w:hAnsi="Arial Narrow"/>
                <w:sz w:val="20"/>
              </w:rPr>
            </w:pPr>
            <w:r w:rsidRPr="006B459E">
              <w:rPr>
                <w:rFonts w:ascii="Arial Narrow" w:hAnsi="Arial Narrow"/>
                <w:color w:val="FFFFFF" w:themeColor="background1"/>
                <w:sz w:val="20"/>
              </w:rPr>
              <w:t>-</w:t>
            </w:r>
          </w:p>
        </w:tc>
        <w:tc>
          <w:tcPr>
            <w:tcW w:w="747" w:type="pct"/>
            <w:gridSpan w:val="2"/>
            <w:tcBorders>
              <w:left w:val="nil"/>
            </w:tcBorders>
            <w:shd w:val="clear" w:color="auto" w:fill="auto"/>
            <w:vAlign w:val="center"/>
          </w:tcPr>
          <w:p w14:paraId="47426FAB" w14:textId="77777777" w:rsidR="00F53931" w:rsidRPr="006B459E" w:rsidRDefault="00F53931" w:rsidP="00F53931">
            <w:pPr>
              <w:keepNext/>
              <w:spacing w:before="40" w:after="40"/>
              <w:jc w:val="center"/>
              <w:rPr>
                <w:rFonts w:ascii="Arial Narrow" w:hAnsi="Arial Narrow"/>
                <w:sz w:val="20"/>
              </w:rPr>
            </w:pPr>
            <w:r w:rsidRPr="006B459E">
              <w:rPr>
                <w:rFonts w:ascii="Arial Narrow" w:hAnsi="Arial Narrow"/>
                <w:color w:val="FFFFFF" w:themeColor="background1"/>
                <w:sz w:val="20"/>
              </w:rPr>
              <w:t>-</w:t>
            </w:r>
          </w:p>
        </w:tc>
      </w:tr>
      <w:tr w:rsidR="00F53931" w:rsidRPr="00723325" w14:paraId="23904A5C" w14:textId="77777777" w:rsidTr="009002A3">
        <w:trPr>
          <w:trHeight w:val="300"/>
        </w:trPr>
        <w:tc>
          <w:tcPr>
            <w:tcW w:w="2006" w:type="pct"/>
            <w:gridSpan w:val="2"/>
            <w:tcBorders>
              <w:right w:val="nil"/>
            </w:tcBorders>
            <w:shd w:val="clear" w:color="auto" w:fill="auto"/>
          </w:tcPr>
          <w:p w14:paraId="7E12ACFA" w14:textId="77777777" w:rsidR="00F53931" w:rsidRPr="006B459E" w:rsidRDefault="00F53931" w:rsidP="00F53931">
            <w:pPr>
              <w:keepNext/>
              <w:spacing w:before="40" w:after="40"/>
              <w:rPr>
                <w:rFonts w:ascii="Arial Narrow" w:hAnsi="Arial Narrow"/>
                <w:color w:val="FFFFFF" w:themeColor="background1"/>
                <w:sz w:val="20"/>
              </w:rPr>
            </w:pPr>
            <w:r w:rsidRPr="00A40937">
              <w:rPr>
                <w:rFonts w:ascii="Arial Narrow" w:hAnsi="Arial Narrow"/>
                <w:sz w:val="20"/>
              </w:rPr>
              <w:t xml:space="preserve">Phlebotomy charge </w:t>
            </w:r>
            <w:r>
              <w:rPr>
                <w:rFonts w:ascii="Arial Narrow" w:hAnsi="Arial Narrow"/>
                <w:sz w:val="20"/>
              </w:rPr>
              <w:t>added ($3.33)</w:t>
            </w:r>
          </w:p>
        </w:tc>
        <w:tc>
          <w:tcPr>
            <w:tcW w:w="749" w:type="pct"/>
            <w:gridSpan w:val="2"/>
            <w:tcBorders>
              <w:left w:val="nil"/>
              <w:right w:val="nil"/>
            </w:tcBorders>
            <w:shd w:val="clear" w:color="auto" w:fill="auto"/>
            <w:vAlign w:val="center"/>
          </w:tcPr>
          <w:p w14:paraId="2D82E3AA" w14:textId="77777777" w:rsidR="00F53931" w:rsidRPr="006B459E" w:rsidRDefault="00F53931" w:rsidP="00F53931">
            <w:pPr>
              <w:keepNext/>
              <w:spacing w:before="40" w:after="40"/>
              <w:jc w:val="center"/>
              <w:rPr>
                <w:rFonts w:ascii="Arial Narrow" w:hAnsi="Arial Narrow"/>
                <w:color w:val="FFFFFF" w:themeColor="background1"/>
                <w:sz w:val="20"/>
              </w:rPr>
            </w:pPr>
          </w:p>
        </w:tc>
        <w:tc>
          <w:tcPr>
            <w:tcW w:w="749" w:type="pct"/>
            <w:gridSpan w:val="2"/>
            <w:tcBorders>
              <w:left w:val="nil"/>
              <w:right w:val="nil"/>
            </w:tcBorders>
            <w:shd w:val="clear" w:color="auto" w:fill="auto"/>
            <w:vAlign w:val="center"/>
          </w:tcPr>
          <w:p w14:paraId="1164B984" w14:textId="77777777" w:rsidR="00F53931" w:rsidRPr="006B459E" w:rsidRDefault="00F53931" w:rsidP="00F53931">
            <w:pPr>
              <w:keepNext/>
              <w:spacing w:before="40" w:after="40"/>
              <w:jc w:val="center"/>
              <w:rPr>
                <w:rFonts w:ascii="Arial Narrow" w:hAnsi="Arial Narrow"/>
                <w:color w:val="FFFFFF" w:themeColor="background1"/>
                <w:sz w:val="20"/>
              </w:rPr>
            </w:pPr>
          </w:p>
        </w:tc>
        <w:tc>
          <w:tcPr>
            <w:tcW w:w="749" w:type="pct"/>
            <w:gridSpan w:val="2"/>
            <w:tcBorders>
              <w:left w:val="nil"/>
              <w:right w:val="nil"/>
            </w:tcBorders>
            <w:shd w:val="clear" w:color="auto" w:fill="auto"/>
            <w:vAlign w:val="center"/>
          </w:tcPr>
          <w:p w14:paraId="602DBEBD" w14:textId="77777777" w:rsidR="00F53931" w:rsidRPr="006B459E" w:rsidRDefault="00F53931" w:rsidP="00F53931">
            <w:pPr>
              <w:keepNext/>
              <w:spacing w:before="40" w:after="40"/>
              <w:jc w:val="center"/>
              <w:rPr>
                <w:rFonts w:ascii="Arial Narrow" w:hAnsi="Arial Narrow"/>
                <w:color w:val="FFFFFF" w:themeColor="background1"/>
                <w:sz w:val="20"/>
              </w:rPr>
            </w:pPr>
          </w:p>
        </w:tc>
        <w:tc>
          <w:tcPr>
            <w:tcW w:w="747" w:type="pct"/>
            <w:gridSpan w:val="2"/>
            <w:tcBorders>
              <w:left w:val="nil"/>
            </w:tcBorders>
            <w:shd w:val="clear" w:color="auto" w:fill="auto"/>
            <w:vAlign w:val="center"/>
          </w:tcPr>
          <w:p w14:paraId="55FB44EE" w14:textId="77777777" w:rsidR="00F53931" w:rsidRPr="006B459E" w:rsidRDefault="00F53931" w:rsidP="00F53931">
            <w:pPr>
              <w:keepNext/>
              <w:spacing w:before="40" w:after="40"/>
              <w:jc w:val="center"/>
              <w:rPr>
                <w:rFonts w:ascii="Arial Narrow" w:hAnsi="Arial Narrow"/>
                <w:color w:val="FFFFFF" w:themeColor="background1"/>
                <w:sz w:val="20"/>
              </w:rPr>
            </w:pPr>
          </w:p>
        </w:tc>
      </w:tr>
      <w:tr w:rsidR="00F53931" w:rsidRPr="00723325" w14:paraId="78A807ED" w14:textId="77777777" w:rsidTr="00D135F2">
        <w:trPr>
          <w:trHeight w:val="70"/>
        </w:trPr>
        <w:tc>
          <w:tcPr>
            <w:tcW w:w="1523" w:type="pct"/>
            <w:shd w:val="clear" w:color="auto" w:fill="auto"/>
          </w:tcPr>
          <w:p w14:paraId="71817479" w14:textId="77777777" w:rsidR="00F53931" w:rsidRPr="00A40937" w:rsidRDefault="00F53931" w:rsidP="00F53931">
            <w:pPr>
              <w:keepNext/>
              <w:spacing w:before="40" w:after="40"/>
              <w:rPr>
                <w:rFonts w:ascii="Arial Narrow" w:hAnsi="Arial Narrow"/>
                <w:sz w:val="20"/>
              </w:rPr>
            </w:pPr>
            <w:r w:rsidRPr="00A40937">
              <w:rPr>
                <w:rFonts w:ascii="Arial Narrow" w:hAnsi="Arial Narrow"/>
                <w:sz w:val="20"/>
              </w:rPr>
              <w:t xml:space="preserve">Change in total cost </w:t>
            </w:r>
          </w:p>
        </w:tc>
        <w:tc>
          <w:tcPr>
            <w:tcW w:w="695" w:type="pct"/>
            <w:gridSpan w:val="2"/>
            <w:vAlign w:val="center"/>
          </w:tcPr>
          <w:p w14:paraId="0E5E49FC"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DD518C">
              <w:rPr>
                <w:rFonts w:ascii="Arial Narrow" w:hAnsi="Arial Narrow"/>
                <w:color w:val="FF0000"/>
                <w:sz w:val="20"/>
              </w:rPr>
              <w:t>$82,400</w:t>
            </w:r>
            <w:r>
              <w:rPr>
                <w:rFonts w:ascii="Arial Narrow" w:hAnsi="Arial Narrow"/>
                <w:color w:val="FF0000"/>
                <w:sz w:val="20"/>
              </w:rPr>
              <w:t>)</w:t>
            </w:r>
          </w:p>
        </w:tc>
        <w:tc>
          <w:tcPr>
            <w:tcW w:w="695" w:type="pct"/>
            <w:gridSpan w:val="2"/>
            <w:shd w:val="clear" w:color="auto" w:fill="auto"/>
            <w:vAlign w:val="center"/>
          </w:tcPr>
          <w:p w14:paraId="5248FE1F"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DD518C">
              <w:rPr>
                <w:rFonts w:ascii="Arial Narrow" w:hAnsi="Arial Narrow"/>
                <w:color w:val="FF0000"/>
                <w:sz w:val="20"/>
              </w:rPr>
              <w:t>$82,593</w:t>
            </w:r>
            <w:r>
              <w:rPr>
                <w:rFonts w:ascii="Arial Narrow" w:hAnsi="Arial Narrow"/>
                <w:color w:val="FF0000"/>
                <w:sz w:val="20"/>
              </w:rPr>
              <w:t>)</w:t>
            </w:r>
          </w:p>
        </w:tc>
        <w:tc>
          <w:tcPr>
            <w:tcW w:w="695" w:type="pct"/>
            <w:gridSpan w:val="2"/>
            <w:shd w:val="clear" w:color="auto" w:fill="auto"/>
            <w:vAlign w:val="center"/>
          </w:tcPr>
          <w:p w14:paraId="5549C03B"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C9609A">
              <w:rPr>
                <w:rFonts w:ascii="Arial Narrow" w:hAnsi="Arial Narrow"/>
                <w:color w:val="FF0000"/>
                <w:sz w:val="20"/>
              </w:rPr>
              <w:t>$82,786</w:t>
            </w:r>
            <w:r>
              <w:rPr>
                <w:rFonts w:ascii="Arial Narrow" w:hAnsi="Arial Narrow"/>
                <w:color w:val="FF0000"/>
                <w:sz w:val="20"/>
              </w:rPr>
              <w:t>)</w:t>
            </w:r>
          </w:p>
        </w:tc>
        <w:tc>
          <w:tcPr>
            <w:tcW w:w="695" w:type="pct"/>
            <w:gridSpan w:val="2"/>
            <w:shd w:val="clear" w:color="auto" w:fill="auto"/>
            <w:vAlign w:val="center"/>
          </w:tcPr>
          <w:p w14:paraId="09607087"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C9609A">
              <w:rPr>
                <w:rFonts w:ascii="Arial Narrow" w:hAnsi="Arial Narrow"/>
                <w:color w:val="FF0000"/>
                <w:sz w:val="20"/>
              </w:rPr>
              <w:t>$82,980</w:t>
            </w:r>
            <w:r>
              <w:rPr>
                <w:rFonts w:ascii="Arial Narrow" w:hAnsi="Arial Narrow"/>
                <w:color w:val="FF0000"/>
                <w:sz w:val="20"/>
              </w:rPr>
              <w:t>)</w:t>
            </w:r>
          </w:p>
        </w:tc>
        <w:tc>
          <w:tcPr>
            <w:tcW w:w="697" w:type="pct"/>
            <w:shd w:val="clear" w:color="auto" w:fill="auto"/>
            <w:vAlign w:val="center"/>
          </w:tcPr>
          <w:p w14:paraId="53C99D65"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C9609A">
              <w:rPr>
                <w:rFonts w:ascii="Arial Narrow" w:hAnsi="Arial Narrow"/>
                <w:color w:val="FF0000"/>
                <w:sz w:val="20"/>
              </w:rPr>
              <w:t>$83,174</w:t>
            </w:r>
            <w:r>
              <w:rPr>
                <w:rFonts w:ascii="Arial Narrow" w:hAnsi="Arial Narrow"/>
                <w:color w:val="FF0000"/>
                <w:sz w:val="20"/>
              </w:rPr>
              <w:t>)</w:t>
            </w:r>
          </w:p>
        </w:tc>
      </w:tr>
      <w:tr w:rsidR="00F53931" w:rsidRPr="00723325" w14:paraId="182FBCEB" w14:textId="77777777" w:rsidTr="00D135F2">
        <w:trPr>
          <w:trHeight w:val="300"/>
        </w:trPr>
        <w:tc>
          <w:tcPr>
            <w:tcW w:w="1523" w:type="pct"/>
            <w:shd w:val="clear" w:color="auto" w:fill="auto"/>
          </w:tcPr>
          <w:p w14:paraId="6144FFF0" w14:textId="77777777" w:rsidR="00F53931" w:rsidRPr="00A40937" w:rsidRDefault="00F53931" w:rsidP="00F53931">
            <w:pPr>
              <w:keepNext/>
              <w:spacing w:before="40" w:after="40"/>
              <w:rPr>
                <w:rFonts w:ascii="Arial Narrow" w:hAnsi="Arial Narrow"/>
                <w:sz w:val="20"/>
              </w:rPr>
            </w:pPr>
            <w:r w:rsidRPr="00A40937">
              <w:rPr>
                <w:rFonts w:ascii="Arial Narrow" w:hAnsi="Arial Narrow"/>
                <w:sz w:val="20"/>
              </w:rPr>
              <w:t>Increase</w:t>
            </w:r>
            <w:r>
              <w:rPr>
                <w:rFonts w:ascii="Arial Narrow" w:hAnsi="Arial Narrow"/>
                <w:sz w:val="20"/>
              </w:rPr>
              <w:t xml:space="preserve"> in</w:t>
            </w:r>
            <w:r w:rsidRPr="00A40937">
              <w:rPr>
                <w:rFonts w:ascii="Arial Narrow" w:hAnsi="Arial Narrow"/>
                <w:sz w:val="20"/>
              </w:rPr>
              <w:t xml:space="preserve"> cost of test </w:t>
            </w:r>
            <w:r>
              <w:rPr>
                <w:rFonts w:ascii="Arial Narrow" w:hAnsi="Arial Narrow"/>
                <w:sz w:val="20"/>
              </w:rPr>
              <w:t>(from $56 to $66)</w:t>
            </w:r>
          </w:p>
        </w:tc>
        <w:tc>
          <w:tcPr>
            <w:tcW w:w="695" w:type="pct"/>
            <w:gridSpan w:val="2"/>
            <w:vAlign w:val="center"/>
          </w:tcPr>
          <w:p w14:paraId="2F1B894F" w14:textId="77777777" w:rsidR="00F53931" w:rsidRPr="00A40937" w:rsidRDefault="00F53931" w:rsidP="00F53931">
            <w:pPr>
              <w:spacing w:before="40" w:after="40"/>
              <w:jc w:val="center"/>
              <w:rPr>
                <w:rFonts w:ascii="Arial Narrow" w:hAnsi="Arial Narrow"/>
                <w:sz w:val="20"/>
              </w:rPr>
            </w:pPr>
            <w:r w:rsidRPr="00A40937">
              <w:rPr>
                <w:rFonts w:ascii="Arial Narrow" w:hAnsi="Arial Narrow"/>
                <w:sz w:val="20"/>
              </w:rPr>
              <w:t>$257,914</w:t>
            </w:r>
          </w:p>
        </w:tc>
        <w:tc>
          <w:tcPr>
            <w:tcW w:w="695" w:type="pct"/>
            <w:gridSpan w:val="2"/>
            <w:shd w:val="clear" w:color="auto" w:fill="auto"/>
            <w:vAlign w:val="center"/>
          </w:tcPr>
          <w:p w14:paraId="4E6F5D7C" w14:textId="77777777" w:rsidR="00F53931" w:rsidRPr="00A40937" w:rsidRDefault="00F53931" w:rsidP="00F53931">
            <w:pPr>
              <w:spacing w:before="40" w:after="40"/>
              <w:jc w:val="center"/>
              <w:rPr>
                <w:rFonts w:ascii="Arial Narrow" w:hAnsi="Arial Narrow"/>
                <w:sz w:val="20"/>
              </w:rPr>
            </w:pPr>
            <w:r w:rsidRPr="00C9609A">
              <w:rPr>
                <w:rFonts w:ascii="Arial Narrow" w:hAnsi="Arial Narrow"/>
                <w:sz w:val="20"/>
              </w:rPr>
              <w:t>$258,518</w:t>
            </w:r>
          </w:p>
        </w:tc>
        <w:tc>
          <w:tcPr>
            <w:tcW w:w="695" w:type="pct"/>
            <w:gridSpan w:val="2"/>
            <w:shd w:val="clear" w:color="auto" w:fill="auto"/>
            <w:vAlign w:val="center"/>
          </w:tcPr>
          <w:p w14:paraId="21624A52" w14:textId="77777777" w:rsidR="00F53931" w:rsidRPr="00A40937" w:rsidRDefault="00F53931" w:rsidP="00F53931">
            <w:pPr>
              <w:spacing w:before="40" w:after="40"/>
              <w:jc w:val="center"/>
              <w:rPr>
                <w:rFonts w:ascii="Arial Narrow" w:hAnsi="Arial Narrow"/>
                <w:sz w:val="20"/>
              </w:rPr>
            </w:pPr>
            <w:r w:rsidRPr="00C9609A">
              <w:rPr>
                <w:rFonts w:ascii="Arial Narrow" w:hAnsi="Arial Narrow"/>
                <w:sz w:val="20"/>
              </w:rPr>
              <w:t>$259,123</w:t>
            </w:r>
          </w:p>
        </w:tc>
        <w:tc>
          <w:tcPr>
            <w:tcW w:w="695" w:type="pct"/>
            <w:gridSpan w:val="2"/>
            <w:shd w:val="clear" w:color="auto" w:fill="auto"/>
            <w:vAlign w:val="center"/>
          </w:tcPr>
          <w:p w14:paraId="52C9F152" w14:textId="77777777" w:rsidR="00F53931" w:rsidRPr="00A40937" w:rsidRDefault="00F53931" w:rsidP="00F53931">
            <w:pPr>
              <w:spacing w:before="40" w:after="40"/>
              <w:jc w:val="center"/>
              <w:rPr>
                <w:rFonts w:ascii="Arial Narrow" w:hAnsi="Arial Narrow"/>
                <w:sz w:val="20"/>
              </w:rPr>
            </w:pPr>
            <w:r w:rsidRPr="00C9609A">
              <w:rPr>
                <w:rFonts w:ascii="Arial Narrow" w:hAnsi="Arial Narrow"/>
                <w:sz w:val="20"/>
              </w:rPr>
              <w:t>$259,730</w:t>
            </w:r>
          </w:p>
        </w:tc>
        <w:tc>
          <w:tcPr>
            <w:tcW w:w="697" w:type="pct"/>
            <w:shd w:val="clear" w:color="auto" w:fill="auto"/>
            <w:vAlign w:val="center"/>
          </w:tcPr>
          <w:p w14:paraId="283BC636" w14:textId="77777777" w:rsidR="00F53931" w:rsidRPr="00A40937" w:rsidRDefault="00F53931" w:rsidP="00F53931">
            <w:pPr>
              <w:spacing w:before="40" w:after="40"/>
              <w:jc w:val="center"/>
              <w:rPr>
                <w:rFonts w:ascii="Arial Narrow" w:hAnsi="Arial Narrow"/>
                <w:sz w:val="20"/>
              </w:rPr>
            </w:pPr>
            <w:r w:rsidRPr="00C9609A">
              <w:rPr>
                <w:rFonts w:ascii="Arial Narrow" w:hAnsi="Arial Narrow"/>
                <w:sz w:val="20"/>
              </w:rPr>
              <w:t>$260,338</w:t>
            </w:r>
          </w:p>
        </w:tc>
      </w:tr>
      <w:tr w:rsidR="00F53931" w:rsidRPr="00723325" w14:paraId="44A50B3C" w14:textId="77777777" w:rsidTr="00D135F2">
        <w:trPr>
          <w:trHeight w:val="300"/>
        </w:trPr>
        <w:tc>
          <w:tcPr>
            <w:tcW w:w="1523" w:type="pct"/>
            <w:shd w:val="clear" w:color="auto" w:fill="auto"/>
          </w:tcPr>
          <w:p w14:paraId="7A6F38CB" w14:textId="77777777" w:rsidR="00F53931" w:rsidRPr="00A40937" w:rsidRDefault="00F53931" w:rsidP="00F53931">
            <w:pPr>
              <w:keepNext/>
              <w:spacing w:before="40" w:after="40"/>
              <w:rPr>
                <w:rFonts w:ascii="Arial Narrow" w:hAnsi="Arial Narrow"/>
                <w:sz w:val="20"/>
              </w:rPr>
            </w:pPr>
            <w:r>
              <w:rPr>
                <w:rFonts w:ascii="Arial Narrow" w:hAnsi="Arial Narrow"/>
                <w:sz w:val="20"/>
              </w:rPr>
              <w:t>Reduced prevalence of RhD-</w:t>
            </w:r>
            <w:r w:rsidRPr="00A40937">
              <w:rPr>
                <w:rFonts w:ascii="Arial Narrow" w:hAnsi="Arial Narrow"/>
                <w:sz w:val="20"/>
              </w:rPr>
              <w:t>neg</w:t>
            </w:r>
            <w:r>
              <w:rPr>
                <w:rFonts w:ascii="Arial Narrow" w:hAnsi="Arial Narrow"/>
                <w:sz w:val="20"/>
              </w:rPr>
              <w:t>ative</w:t>
            </w:r>
            <w:r w:rsidRPr="00A40937">
              <w:rPr>
                <w:rFonts w:ascii="Arial Narrow" w:hAnsi="Arial Narrow"/>
                <w:sz w:val="20"/>
              </w:rPr>
              <w:t xml:space="preserve"> </w:t>
            </w:r>
            <w:r>
              <w:rPr>
                <w:rFonts w:ascii="Arial Narrow" w:hAnsi="Arial Narrow"/>
                <w:sz w:val="20"/>
              </w:rPr>
              <w:t>pregnancies $ (based on ethnicity estimates)</w:t>
            </w:r>
          </w:p>
        </w:tc>
        <w:tc>
          <w:tcPr>
            <w:tcW w:w="695" w:type="pct"/>
            <w:gridSpan w:val="2"/>
            <w:vAlign w:val="center"/>
          </w:tcPr>
          <w:p w14:paraId="17E2B125"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669A0">
              <w:rPr>
                <w:rFonts w:ascii="Arial Narrow" w:hAnsi="Arial Narrow"/>
                <w:color w:val="FF0000"/>
                <w:sz w:val="20"/>
              </w:rPr>
              <w:t>$203,325</w:t>
            </w:r>
            <w:r>
              <w:rPr>
                <w:rFonts w:ascii="Arial Narrow" w:hAnsi="Arial Narrow"/>
                <w:color w:val="FF0000"/>
                <w:sz w:val="20"/>
              </w:rPr>
              <w:t>)</w:t>
            </w:r>
          </w:p>
        </w:tc>
        <w:tc>
          <w:tcPr>
            <w:tcW w:w="695" w:type="pct"/>
            <w:gridSpan w:val="2"/>
            <w:shd w:val="clear" w:color="auto" w:fill="auto"/>
            <w:vAlign w:val="center"/>
          </w:tcPr>
          <w:p w14:paraId="6EB29368"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669A0">
              <w:rPr>
                <w:rFonts w:ascii="Arial Narrow" w:hAnsi="Arial Narrow"/>
                <w:color w:val="FF0000"/>
                <w:sz w:val="20"/>
              </w:rPr>
              <w:t>$203,801</w:t>
            </w:r>
            <w:r>
              <w:rPr>
                <w:rFonts w:ascii="Arial Narrow" w:hAnsi="Arial Narrow"/>
                <w:color w:val="FF0000"/>
                <w:sz w:val="20"/>
              </w:rPr>
              <w:t>)</w:t>
            </w:r>
          </w:p>
        </w:tc>
        <w:tc>
          <w:tcPr>
            <w:tcW w:w="695" w:type="pct"/>
            <w:gridSpan w:val="2"/>
            <w:shd w:val="clear" w:color="auto" w:fill="auto"/>
            <w:vAlign w:val="center"/>
          </w:tcPr>
          <w:p w14:paraId="53CDFB1C"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669A0">
              <w:rPr>
                <w:rFonts w:ascii="Arial Narrow" w:hAnsi="Arial Narrow"/>
                <w:color w:val="FF0000"/>
                <w:sz w:val="20"/>
              </w:rPr>
              <w:t>$204,279</w:t>
            </w:r>
            <w:r>
              <w:rPr>
                <w:rFonts w:ascii="Arial Narrow" w:hAnsi="Arial Narrow"/>
                <w:color w:val="FF0000"/>
                <w:sz w:val="20"/>
              </w:rPr>
              <w:t>)</w:t>
            </w:r>
          </w:p>
        </w:tc>
        <w:tc>
          <w:tcPr>
            <w:tcW w:w="695" w:type="pct"/>
            <w:gridSpan w:val="2"/>
            <w:shd w:val="clear" w:color="auto" w:fill="auto"/>
            <w:vAlign w:val="center"/>
          </w:tcPr>
          <w:p w14:paraId="2027449B"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669A0">
              <w:rPr>
                <w:rFonts w:ascii="Arial Narrow" w:hAnsi="Arial Narrow"/>
                <w:color w:val="FF0000"/>
                <w:sz w:val="20"/>
              </w:rPr>
              <w:t>$204,757</w:t>
            </w:r>
            <w:r>
              <w:rPr>
                <w:rFonts w:ascii="Arial Narrow" w:hAnsi="Arial Narrow"/>
                <w:color w:val="FF0000"/>
                <w:sz w:val="20"/>
              </w:rPr>
              <w:t>)</w:t>
            </w:r>
          </w:p>
        </w:tc>
        <w:tc>
          <w:tcPr>
            <w:tcW w:w="697" w:type="pct"/>
            <w:shd w:val="clear" w:color="auto" w:fill="auto"/>
            <w:vAlign w:val="center"/>
          </w:tcPr>
          <w:p w14:paraId="1D7FA336" w14:textId="77777777" w:rsidR="00F53931" w:rsidRPr="00A40937"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5669A0">
              <w:rPr>
                <w:rFonts w:ascii="Arial Narrow" w:hAnsi="Arial Narrow"/>
                <w:color w:val="FF0000"/>
                <w:sz w:val="20"/>
              </w:rPr>
              <w:t>$205,237</w:t>
            </w:r>
            <w:r>
              <w:rPr>
                <w:rFonts w:ascii="Arial Narrow" w:hAnsi="Arial Narrow"/>
                <w:color w:val="FF0000"/>
                <w:sz w:val="20"/>
              </w:rPr>
              <w:t>)</w:t>
            </w:r>
          </w:p>
        </w:tc>
      </w:tr>
      <w:tr w:rsidR="00F53931" w:rsidRPr="00723325" w14:paraId="1409A24B" w14:textId="77777777" w:rsidTr="00D135F2">
        <w:trPr>
          <w:trHeight w:val="300"/>
        </w:trPr>
        <w:tc>
          <w:tcPr>
            <w:tcW w:w="1523" w:type="pct"/>
            <w:shd w:val="clear" w:color="auto" w:fill="auto"/>
          </w:tcPr>
          <w:p w14:paraId="0AACD49E" w14:textId="77777777" w:rsidR="00F53931" w:rsidRPr="00A40937" w:rsidRDefault="00F53931" w:rsidP="00F53931">
            <w:pPr>
              <w:keepNext/>
              <w:spacing w:before="40" w:after="40"/>
              <w:rPr>
                <w:rFonts w:ascii="Arial Narrow" w:hAnsi="Arial Narrow"/>
                <w:sz w:val="20"/>
              </w:rPr>
            </w:pPr>
            <w:r w:rsidRPr="00A40937">
              <w:rPr>
                <w:rFonts w:ascii="Arial Narrow" w:hAnsi="Arial Narrow"/>
                <w:sz w:val="20"/>
              </w:rPr>
              <w:t xml:space="preserve">Reduced prevalence of </w:t>
            </w:r>
            <w:r>
              <w:rPr>
                <w:rFonts w:ascii="Arial Narrow" w:hAnsi="Arial Narrow"/>
                <w:sz w:val="20"/>
              </w:rPr>
              <w:t>RhD-</w:t>
            </w:r>
            <w:r w:rsidRPr="00A40937">
              <w:rPr>
                <w:rFonts w:ascii="Arial Narrow" w:hAnsi="Arial Narrow"/>
                <w:sz w:val="20"/>
              </w:rPr>
              <w:t>neg</w:t>
            </w:r>
            <w:r>
              <w:rPr>
                <w:rFonts w:ascii="Arial Narrow" w:hAnsi="Arial Narrow"/>
                <w:sz w:val="20"/>
              </w:rPr>
              <w:t>ative</w:t>
            </w:r>
            <w:r w:rsidRPr="00A40937">
              <w:rPr>
                <w:rFonts w:ascii="Arial Narrow" w:hAnsi="Arial Narrow"/>
                <w:sz w:val="20"/>
              </w:rPr>
              <w:t xml:space="preserve"> pregnancies services </w:t>
            </w:r>
            <w:r>
              <w:rPr>
                <w:rFonts w:ascii="Arial Narrow" w:hAnsi="Arial Narrow"/>
                <w:sz w:val="20"/>
              </w:rPr>
              <w:t>(based on ethnicity estimates)</w:t>
            </w:r>
          </w:p>
        </w:tc>
        <w:tc>
          <w:tcPr>
            <w:tcW w:w="695" w:type="pct"/>
            <w:gridSpan w:val="2"/>
            <w:vAlign w:val="center"/>
          </w:tcPr>
          <w:p w14:paraId="23656061" w14:textId="77777777" w:rsidR="00F53931" w:rsidRPr="00A40937" w:rsidRDefault="00F53931" w:rsidP="00F53931">
            <w:pPr>
              <w:spacing w:before="40" w:after="40"/>
              <w:jc w:val="center"/>
              <w:rPr>
                <w:rFonts w:ascii="Arial Narrow" w:hAnsi="Arial Narrow"/>
                <w:color w:val="FF0000"/>
                <w:sz w:val="20"/>
              </w:rPr>
            </w:pPr>
            <w:r w:rsidRPr="00A40937">
              <w:rPr>
                <w:rFonts w:ascii="Arial Narrow" w:hAnsi="Arial Narrow"/>
                <w:color w:val="FF0000"/>
                <w:sz w:val="20"/>
              </w:rPr>
              <w:t>965</w:t>
            </w:r>
          </w:p>
        </w:tc>
        <w:tc>
          <w:tcPr>
            <w:tcW w:w="695" w:type="pct"/>
            <w:gridSpan w:val="2"/>
            <w:shd w:val="clear" w:color="auto" w:fill="auto"/>
            <w:vAlign w:val="center"/>
          </w:tcPr>
          <w:p w14:paraId="032F3ECF" w14:textId="77777777" w:rsidR="00F53931" w:rsidRPr="00A40937" w:rsidRDefault="00F53931" w:rsidP="00F53931">
            <w:pPr>
              <w:spacing w:before="40" w:after="40"/>
              <w:jc w:val="center"/>
              <w:rPr>
                <w:rFonts w:ascii="Arial Narrow" w:hAnsi="Arial Narrow"/>
                <w:color w:val="FF0000"/>
                <w:sz w:val="20"/>
              </w:rPr>
            </w:pPr>
            <w:r w:rsidRPr="00A40937">
              <w:rPr>
                <w:rFonts w:ascii="Arial Narrow" w:hAnsi="Arial Narrow"/>
                <w:color w:val="FF0000"/>
                <w:sz w:val="20"/>
              </w:rPr>
              <w:t>967</w:t>
            </w:r>
          </w:p>
        </w:tc>
        <w:tc>
          <w:tcPr>
            <w:tcW w:w="695" w:type="pct"/>
            <w:gridSpan w:val="2"/>
            <w:shd w:val="clear" w:color="auto" w:fill="auto"/>
            <w:vAlign w:val="center"/>
          </w:tcPr>
          <w:p w14:paraId="46894F4F" w14:textId="77777777" w:rsidR="00F53931" w:rsidRPr="00A40937" w:rsidRDefault="00F53931" w:rsidP="00F53931">
            <w:pPr>
              <w:spacing w:before="40" w:after="40"/>
              <w:jc w:val="center"/>
              <w:rPr>
                <w:rFonts w:ascii="Arial Narrow" w:hAnsi="Arial Narrow"/>
                <w:color w:val="FF0000"/>
                <w:sz w:val="20"/>
              </w:rPr>
            </w:pPr>
            <w:r w:rsidRPr="00A40937">
              <w:rPr>
                <w:rFonts w:ascii="Arial Narrow" w:hAnsi="Arial Narrow"/>
                <w:color w:val="FF0000"/>
                <w:sz w:val="20"/>
              </w:rPr>
              <w:t>969</w:t>
            </w:r>
          </w:p>
        </w:tc>
        <w:tc>
          <w:tcPr>
            <w:tcW w:w="695" w:type="pct"/>
            <w:gridSpan w:val="2"/>
            <w:shd w:val="clear" w:color="auto" w:fill="auto"/>
            <w:vAlign w:val="center"/>
          </w:tcPr>
          <w:p w14:paraId="1CB467D0" w14:textId="77777777" w:rsidR="00F53931" w:rsidRPr="00A40937" w:rsidRDefault="00F53931" w:rsidP="00F53931">
            <w:pPr>
              <w:spacing w:before="40" w:after="40"/>
              <w:jc w:val="center"/>
              <w:rPr>
                <w:rFonts w:ascii="Arial Narrow" w:hAnsi="Arial Narrow"/>
                <w:color w:val="FF0000"/>
                <w:sz w:val="20"/>
              </w:rPr>
            </w:pPr>
            <w:r w:rsidRPr="00A40937">
              <w:rPr>
                <w:rFonts w:ascii="Arial Narrow" w:hAnsi="Arial Narrow"/>
                <w:color w:val="FF0000"/>
                <w:sz w:val="20"/>
              </w:rPr>
              <w:t>971</w:t>
            </w:r>
          </w:p>
        </w:tc>
        <w:tc>
          <w:tcPr>
            <w:tcW w:w="697" w:type="pct"/>
            <w:shd w:val="clear" w:color="auto" w:fill="auto"/>
            <w:vAlign w:val="center"/>
          </w:tcPr>
          <w:p w14:paraId="4FFF666F" w14:textId="77777777" w:rsidR="00F53931" w:rsidRPr="00A40937" w:rsidRDefault="00F53931" w:rsidP="00F53931">
            <w:pPr>
              <w:spacing w:before="40" w:after="40"/>
              <w:jc w:val="center"/>
              <w:rPr>
                <w:rFonts w:ascii="Arial Narrow" w:hAnsi="Arial Narrow"/>
                <w:color w:val="FF0000"/>
                <w:sz w:val="20"/>
              </w:rPr>
            </w:pPr>
            <w:r w:rsidRPr="00A40937">
              <w:rPr>
                <w:rFonts w:ascii="Arial Narrow" w:hAnsi="Arial Narrow"/>
                <w:color w:val="FF0000"/>
                <w:sz w:val="20"/>
              </w:rPr>
              <w:t>974</w:t>
            </w:r>
          </w:p>
        </w:tc>
      </w:tr>
      <w:tr w:rsidR="00F53931" w:rsidRPr="00723325" w14:paraId="2912FA18" w14:textId="77777777" w:rsidTr="00D135F2">
        <w:trPr>
          <w:trHeight w:val="300"/>
        </w:trPr>
        <w:tc>
          <w:tcPr>
            <w:tcW w:w="1523" w:type="pct"/>
            <w:shd w:val="clear" w:color="auto" w:fill="auto"/>
          </w:tcPr>
          <w:p w14:paraId="50A3D549" w14:textId="77777777" w:rsidR="00F53931" w:rsidRPr="00A40937" w:rsidRDefault="00F53931" w:rsidP="00F53931">
            <w:pPr>
              <w:keepNext/>
              <w:spacing w:before="40" w:after="40"/>
              <w:rPr>
                <w:rFonts w:ascii="Arial Narrow" w:hAnsi="Arial Narrow"/>
                <w:sz w:val="20"/>
              </w:rPr>
            </w:pPr>
            <w:r w:rsidRPr="00A40937">
              <w:rPr>
                <w:rFonts w:ascii="Arial Narrow" w:hAnsi="Arial Narrow"/>
                <w:sz w:val="20"/>
              </w:rPr>
              <w:t>Removal of cord blood serology test after two years</w:t>
            </w:r>
            <w:r>
              <w:rPr>
                <w:rFonts w:ascii="Arial Narrow" w:hAnsi="Arial Narrow"/>
                <w:sz w:val="20"/>
              </w:rPr>
              <w:t xml:space="preserve"> (as occurred in the Netherlands)</w:t>
            </w:r>
            <w:r w:rsidRPr="00A40937">
              <w:rPr>
                <w:rFonts w:ascii="Arial Narrow" w:hAnsi="Arial Narrow"/>
                <w:sz w:val="20"/>
              </w:rPr>
              <w:t xml:space="preserve"> </w:t>
            </w:r>
          </w:p>
        </w:tc>
        <w:tc>
          <w:tcPr>
            <w:tcW w:w="695" w:type="pct"/>
            <w:gridSpan w:val="2"/>
            <w:vAlign w:val="center"/>
          </w:tcPr>
          <w:p w14:paraId="383A3AA5" w14:textId="77777777" w:rsidR="00F53931" w:rsidRPr="006B459E"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$262,156</w:t>
            </w:r>
            <w:r>
              <w:rPr>
                <w:rFonts w:ascii="Arial Narrow" w:hAnsi="Arial Narrow"/>
                <w:color w:val="FF0000"/>
                <w:sz w:val="20"/>
              </w:rPr>
              <w:t>)</w:t>
            </w:r>
          </w:p>
        </w:tc>
        <w:tc>
          <w:tcPr>
            <w:tcW w:w="695" w:type="pct"/>
            <w:gridSpan w:val="2"/>
            <w:shd w:val="clear" w:color="auto" w:fill="auto"/>
            <w:vAlign w:val="center"/>
          </w:tcPr>
          <w:p w14:paraId="2CE89FB6" w14:textId="77777777" w:rsidR="00F53931" w:rsidRPr="006B459E"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$262,770</w:t>
            </w:r>
            <w:r>
              <w:rPr>
                <w:rFonts w:ascii="Arial Narrow" w:hAnsi="Arial Narrow"/>
                <w:color w:val="FF0000"/>
                <w:sz w:val="20"/>
              </w:rPr>
              <w:t>)</w:t>
            </w:r>
          </w:p>
        </w:tc>
        <w:tc>
          <w:tcPr>
            <w:tcW w:w="695" w:type="pct"/>
            <w:gridSpan w:val="2"/>
            <w:shd w:val="clear" w:color="auto" w:fill="auto"/>
            <w:vAlign w:val="center"/>
          </w:tcPr>
          <w:p w14:paraId="7343E5CD" w14:textId="77777777" w:rsidR="00F53931" w:rsidRPr="006B459E"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$263,385</w:t>
            </w:r>
            <w:r>
              <w:rPr>
                <w:rFonts w:ascii="Arial Narrow" w:hAnsi="Arial Narrow"/>
                <w:color w:val="FF0000"/>
                <w:sz w:val="20"/>
              </w:rPr>
              <w:t>)</w:t>
            </w:r>
          </w:p>
        </w:tc>
        <w:tc>
          <w:tcPr>
            <w:tcW w:w="695" w:type="pct"/>
            <w:gridSpan w:val="2"/>
            <w:shd w:val="clear" w:color="auto" w:fill="auto"/>
            <w:vAlign w:val="center"/>
          </w:tcPr>
          <w:p w14:paraId="0ED3DDC4" w14:textId="77777777" w:rsidR="00F53931" w:rsidRPr="006B459E"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$264,002</w:t>
            </w:r>
            <w:r>
              <w:rPr>
                <w:rFonts w:ascii="Arial Narrow" w:hAnsi="Arial Narrow"/>
                <w:color w:val="FF0000"/>
                <w:sz w:val="20"/>
              </w:rPr>
              <w:t>)</w:t>
            </w:r>
          </w:p>
        </w:tc>
        <w:tc>
          <w:tcPr>
            <w:tcW w:w="697" w:type="pct"/>
            <w:shd w:val="clear" w:color="auto" w:fill="auto"/>
            <w:vAlign w:val="center"/>
          </w:tcPr>
          <w:p w14:paraId="70EF5814" w14:textId="77777777" w:rsidR="00F53931" w:rsidRPr="006B459E"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$264,621</w:t>
            </w:r>
            <w:r>
              <w:rPr>
                <w:rFonts w:ascii="Arial Narrow" w:hAnsi="Arial Narrow"/>
                <w:color w:val="FF0000"/>
                <w:sz w:val="20"/>
              </w:rPr>
              <w:t>)</w:t>
            </w:r>
          </w:p>
        </w:tc>
      </w:tr>
      <w:tr w:rsidR="00F53931" w:rsidRPr="00723325" w14:paraId="402AA704" w14:textId="77777777" w:rsidTr="00D135F2">
        <w:trPr>
          <w:trHeight w:val="300"/>
        </w:trPr>
        <w:tc>
          <w:tcPr>
            <w:tcW w:w="1523" w:type="pct"/>
            <w:shd w:val="clear" w:color="auto" w:fill="auto"/>
          </w:tcPr>
          <w:p w14:paraId="581123E3" w14:textId="77777777" w:rsidR="00F53931" w:rsidRPr="00DD518C" w:rsidRDefault="00F53931" w:rsidP="00F53931">
            <w:pPr>
              <w:keepNext/>
              <w:spacing w:before="40" w:after="40"/>
              <w:rPr>
                <w:rFonts w:ascii="Arial Narrow" w:hAnsi="Arial Narrow"/>
                <w:sz w:val="20"/>
              </w:rPr>
            </w:pPr>
            <w:r>
              <w:rPr>
                <w:rFonts w:ascii="Arial Narrow" w:hAnsi="Arial Narrow"/>
                <w:sz w:val="20"/>
              </w:rPr>
              <w:t>Dose of post-partum anti-D Ig (increase from 61% to 74%)</w:t>
            </w:r>
          </w:p>
        </w:tc>
        <w:tc>
          <w:tcPr>
            <w:tcW w:w="695" w:type="pct"/>
            <w:gridSpan w:val="2"/>
            <w:vAlign w:val="center"/>
          </w:tcPr>
          <w:p w14:paraId="249AAC02"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DD518C">
              <w:rPr>
                <w:rFonts w:ascii="Arial Narrow" w:hAnsi="Arial Narrow"/>
                <w:color w:val="FF0000"/>
                <w:sz w:val="20"/>
              </w:rPr>
              <w:t>$624,290</w:t>
            </w:r>
            <w:r>
              <w:rPr>
                <w:rFonts w:ascii="Arial Narrow" w:hAnsi="Arial Narrow"/>
                <w:color w:val="FF0000"/>
                <w:sz w:val="20"/>
              </w:rPr>
              <w:t>)</w:t>
            </w:r>
          </w:p>
        </w:tc>
        <w:tc>
          <w:tcPr>
            <w:tcW w:w="695" w:type="pct"/>
            <w:gridSpan w:val="2"/>
            <w:shd w:val="clear" w:color="auto" w:fill="auto"/>
            <w:vAlign w:val="center"/>
          </w:tcPr>
          <w:p w14:paraId="5CC59BD2"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$625,752</w:t>
            </w:r>
            <w:r>
              <w:rPr>
                <w:rFonts w:ascii="Arial Narrow" w:hAnsi="Arial Narrow"/>
                <w:color w:val="FF0000"/>
                <w:sz w:val="20"/>
              </w:rPr>
              <w:t>)</w:t>
            </w:r>
          </w:p>
        </w:tc>
        <w:tc>
          <w:tcPr>
            <w:tcW w:w="695" w:type="pct"/>
            <w:gridSpan w:val="2"/>
            <w:shd w:val="clear" w:color="auto" w:fill="auto"/>
            <w:vAlign w:val="center"/>
          </w:tcPr>
          <w:p w14:paraId="23F7B1FD"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$627,218</w:t>
            </w:r>
            <w:r>
              <w:rPr>
                <w:rFonts w:ascii="Arial Narrow" w:hAnsi="Arial Narrow"/>
                <w:color w:val="FF0000"/>
                <w:sz w:val="20"/>
              </w:rPr>
              <w:t>)</w:t>
            </w:r>
          </w:p>
        </w:tc>
        <w:tc>
          <w:tcPr>
            <w:tcW w:w="695" w:type="pct"/>
            <w:gridSpan w:val="2"/>
            <w:shd w:val="clear" w:color="auto" w:fill="auto"/>
            <w:vAlign w:val="center"/>
          </w:tcPr>
          <w:p w14:paraId="7074038F"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$628,687</w:t>
            </w:r>
            <w:r>
              <w:rPr>
                <w:rFonts w:ascii="Arial Narrow" w:hAnsi="Arial Narrow"/>
                <w:color w:val="FF0000"/>
                <w:sz w:val="20"/>
              </w:rPr>
              <w:t>)</w:t>
            </w:r>
          </w:p>
        </w:tc>
        <w:tc>
          <w:tcPr>
            <w:tcW w:w="697" w:type="pct"/>
            <w:shd w:val="clear" w:color="auto" w:fill="auto"/>
            <w:vAlign w:val="center"/>
          </w:tcPr>
          <w:p w14:paraId="2DB97E2F" w14:textId="77777777" w:rsidR="00F53931" w:rsidRDefault="00F53931" w:rsidP="00F53931">
            <w:pPr>
              <w:spacing w:before="40" w:after="40"/>
              <w:jc w:val="center"/>
              <w:rPr>
                <w:rFonts w:ascii="Arial Narrow" w:hAnsi="Arial Narrow"/>
                <w:color w:val="FF0000"/>
                <w:sz w:val="20"/>
              </w:rPr>
            </w:pPr>
            <w:r>
              <w:rPr>
                <w:rFonts w:ascii="Arial Narrow" w:hAnsi="Arial Narrow"/>
                <w:color w:val="FF0000"/>
                <w:sz w:val="20"/>
              </w:rPr>
              <w:t>(</w:t>
            </w:r>
            <w:r w:rsidRPr="00B75CA2">
              <w:rPr>
                <w:rFonts w:ascii="Arial Narrow" w:hAnsi="Arial Narrow"/>
                <w:color w:val="FF0000"/>
                <w:sz w:val="20"/>
              </w:rPr>
              <w:t>$630,159</w:t>
            </w:r>
            <w:r>
              <w:rPr>
                <w:rFonts w:ascii="Arial Narrow" w:hAnsi="Arial Narrow"/>
                <w:color w:val="FF0000"/>
                <w:sz w:val="20"/>
              </w:rPr>
              <w:t>)</w:t>
            </w:r>
          </w:p>
        </w:tc>
      </w:tr>
    </w:tbl>
    <w:p w14:paraId="3F562B68" w14:textId="77777777" w:rsidR="00F53931" w:rsidRDefault="00F53931" w:rsidP="00F53931">
      <w:pPr>
        <w:pStyle w:val="Tablenotes1"/>
      </w:pPr>
      <w:r w:rsidRPr="00821A2E">
        <w:t>Red denotes a reduction of services</w:t>
      </w:r>
      <w:r>
        <w:t>/cost</w:t>
      </w:r>
      <w:r w:rsidRPr="00821A2E">
        <w:t xml:space="preserve"> with the introduction of the proposed intervention</w:t>
      </w:r>
      <w:r>
        <w:t xml:space="preserve"> (savings)</w:t>
      </w:r>
      <w:r w:rsidRPr="00821A2E">
        <w:t>, while black represents an increase in services</w:t>
      </w:r>
      <w:r>
        <w:t>/cost</w:t>
      </w:r>
      <w:r w:rsidRPr="00821A2E">
        <w:t>.</w:t>
      </w:r>
    </w:p>
    <w:p w14:paraId="67CBFE49" w14:textId="77777777" w:rsidR="00F53931" w:rsidRDefault="00F53931" w:rsidP="00F53931">
      <w:pPr>
        <w:pStyle w:val="Tablenotes1"/>
      </w:pPr>
      <w:r>
        <w:t>Source: DCAR, Table 62</w:t>
      </w:r>
    </w:p>
    <w:p w14:paraId="17E717A1"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Key issues from ESC for MSAC consideration"/>
      </w:tblPr>
      <w:tblGrid>
        <w:gridCol w:w="2235"/>
        <w:gridCol w:w="6781"/>
      </w:tblGrid>
      <w:tr w:rsidR="00A905FF" w:rsidRPr="00A905FF" w14:paraId="5E36D110" w14:textId="77777777" w:rsidTr="0089172B">
        <w:trPr>
          <w:tblHeader/>
        </w:trPr>
        <w:tc>
          <w:tcPr>
            <w:tcW w:w="2235" w:type="dxa"/>
          </w:tcPr>
          <w:p w14:paraId="17823E8D" w14:textId="77777777" w:rsidR="00A905FF" w:rsidRPr="00A905FF" w:rsidRDefault="00A905FF" w:rsidP="00F53931">
            <w:pPr>
              <w:pStyle w:val="TableHeading"/>
              <w:spacing w:before="0" w:after="0"/>
              <w:jc w:val="left"/>
              <w:rPr>
                <w:rFonts w:ascii="Times New Roman" w:hAnsi="Times New Roman" w:cs="Times New Roman"/>
                <w:sz w:val="22"/>
                <w:szCs w:val="22"/>
              </w:rPr>
            </w:pPr>
            <w:r w:rsidRPr="00A905FF">
              <w:rPr>
                <w:rFonts w:ascii="Times New Roman" w:hAnsi="Times New Roman" w:cs="Times New Roman"/>
                <w:sz w:val="22"/>
                <w:szCs w:val="22"/>
              </w:rPr>
              <w:t>ESC key issue</w:t>
            </w:r>
          </w:p>
        </w:tc>
        <w:tc>
          <w:tcPr>
            <w:tcW w:w="6781" w:type="dxa"/>
          </w:tcPr>
          <w:p w14:paraId="7AA67080" w14:textId="77777777" w:rsidR="00A905FF" w:rsidRPr="00A905FF" w:rsidRDefault="00A905FF" w:rsidP="00F53931">
            <w:pPr>
              <w:pStyle w:val="TableHeading"/>
              <w:spacing w:before="0" w:after="0"/>
              <w:jc w:val="left"/>
              <w:rPr>
                <w:rFonts w:ascii="Times New Roman" w:hAnsi="Times New Roman" w:cs="Times New Roman"/>
                <w:sz w:val="22"/>
                <w:szCs w:val="22"/>
              </w:rPr>
            </w:pPr>
            <w:r w:rsidRPr="00A905FF">
              <w:rPr>
                <w:rFonts w:ascii="Times New Roman" w:hAnsi="Times New Roman" w:cs="Times New Roman"/>
                <w:sz w:val="22"/>
                <w:szCs w:val="22"/>
              </w:rPr>
              <w:t>ESC advice to MSAC</w:t>
            </w:r>
          </w:p>
        </w:tc>
      </w:tr>
      <w:tr w:rsidR="00A905FF" w:rsidRPr="00A905FF" w14:paraId="1F9D9A1B" w14:textId="77777777" w:rsidTr="00F53931">
        <w:tc>
          <w:tcPr>
            <w:tcW w:w="2235" w:type="dxa"/>
          </w:tcPr>
          <w:p w14:paraId="77FF48AC" w14:textId="77777777" w:rsidR="00A905FF" w:rsidRPr="00A905FF" w:rsidRDefault="00A905FF" w:rsidP="00F53931">
            <w:pPr>
              <w:pStyle w:val="TableText"/>
              <w:spacing w:before="0" w:after="0"/>
              <w:rPr>
                <w:sz w:val="22"/>
                <w:szCs w:val="22"/>
              </w:rPr>
            </w:pPr>
            <w:r w:rsidRPr="00A905FF">
              <w:rPr>
                <w:sz w:val="22"/>
                <w:szCs w:val="22"/>
              </w:rPr>
              <w:t>Test provider</w:t>
            </w:r>
          </w:p>
        </w:tc>
        <w:tc>
          <w:tcPr>
            <w:tcW w:w="6781" w:type="dxa"/>
          </w:tcPr>
          <w:p w14:paraId="1793E3FA" w14:textId="77777777" w:rsidR="00A905FF" w:rsidRPr="00A905FF" w:rsidRDefault="00A905FF" w:rsidP="00F53931">
            <w:pPr>
              <w:pStyle w:val="TableText"/>
              <w:spacing w:before="0" w:after="0"/>
              <w:rPr>
                <w:sz w:val="22"/>
                <w:szCs w:val="22"/>
              </w:rPr>
            </w:pPr>
            <w:r w:rsidRPr="00A905FF">
              <w:rPr>
                <w:sz w:val="22"/>
                <w:szCs w:val="22"/>
              </w:rPr>
              <w:t>Ensure an external quality assurance program and robust evaluation program to monitor false negatives are in place.</w:t>
            </w:r>
          </w:p>
        </w:tc>
      </w:tr>
      <w:tr w:rsidR="00A905FF" w:rsidRPr="00A905FF" w14:paraId="5F4AAEB1" w14:textId="77777777" w:rsidTr="00F53931">
        <w:tc>
          <w:tcPr>
            <w:tcW w:w="2235" w:type="dxa"/>
          </w:tcPr>
          <w:p w14:paraId="7C2DBEB1" w14:textId="77777777" w:rsidR="00A905FF" w:rsidRPr="00A905FF" w:rsidRDefault="00A905FF" w:rsidP="00F53931">
            <w:pPr>
              <w:pStyle w:val="TableText"/>
              <w:spacing w:before="0" w:after="0"/>
              <w:rPr>
                <w:sz w:val="22"/>
                <w:szCs w:val="22"/>
              </w:rPr>
            </w:pPr>
            <w:r w:rsidRPr="00A905FF">
              <w:rPr>
                <w:sz w:val="22"/>
                <w:szCs w:val="22"/>
              </w:rPr>
              <w:t>Clinical population</w:t>
            </w:r>
          </w:p>
        </w:tc>
        <w:tc>
          <w:tcPr>
            <w:tcW w:w="6781" w:type="dxa"/>
          </w:tcPr>
          <w:p w14:paraId="01F9980C" w14:textId="5724FC6A" w:rsidR="00A905FF" w:rsidRPr="00A905FF" w:rsidRDefault="00A905FF" w:rsidP="00F53931">
            <w:pPr>
              <w:pStyle w:val="TableText"/>
              <w:spacing w:before="0" w:after="0"/>
              <w:rPr>
                <w:sz w:val="22"/>
                <w:szCs w:val="22"/>
              </w:rPr>
            </w:pPr>
            <w:r w:rsidRPr="00A905FF">
              <w:rPr>
                <w:sz w:val="22"/>
                <w:szCs w:val="22"/>
              </w:rPr>
              <w:t xml:space="preserve">Consider whether women with previously sensitised to </w:t>
            </w:r>
            <w:r w:rsidR="00316A76">
              <w:rPr>
                <w:sz w:val="22"/>
                <w:szCs w:val="22"/>
              </w:rPr>
              <w:t xml:space="preserve">the </w:t>
            </w:r>
            <w:r w:rsidRPr="00A905FF">
              <w:rPr>
                <w:sz w:val="22"/>
                <w:szCs w:val="22"/>
              </w:rPr>
              <w:t>anti-D</w:t>
            </w:r>
            <w:r w:rsidR="00316A76">
              <w:rPr>
                <w:sz w:val="22"/>
                <w:szCs w:val="22"/>
              </w:rPr>
              <w:t xml:space="preserve"> antigen</w:t>
            </w:r>
            <w:r w:rsidRPr="00A905FF">
              <w:rPr>
                <w:sz w:val="22"/>
                <w:szCs w:val="22"/>
              </w:rPr>
              <w:t xml:space="preserve"> (population 1) should be included in the application.</w:t>
            </w:r>
          </w:p>
        </w:tc>
      </w:tr>
      <w:tr w:rsidR="00A905FF" w:rsidRPr="00A905FF" w14:paraId="07D5D7D4" w14:textId="77777777" w:rsidTr="00F53931">
        <w:tc>
          <w:tcPr>
            <w:tcW w:w="2235" w:type="dxa"/>
          </w:tcPr>
          <w:p w14:paraId="4F1CAE32" w14:textId="77777777" w:rsidR="00A905FF" w:rsidRPr="00A905FF" w:rsidRDefault="00A905FF" w:rsidP="00F53931">
            <w:pPr>
              <w:pStyle w:val="TableText"/>
              <w:spacing w:before="0" w:after="0"/>
              <w:rPr>
                <w:sz w:val="22"/>
                <w:szCs w:val="22"/>
              </w:rPr>
            </w:pPr>
            <w:r w:rsidRPr="00A905FF">
              <w:rPr>
                <w:sz w:val="22"/>
                <w:szCs w:val="22"/>
              </w:rPr>
              <w:t>Safety</w:t>
            </w:r>
          </w:p>
        </w:tc>
        <w:tc>
          <w:tcPr>
            <w:tcW w:w="6781" w:type="dxa"/>
          </w:tcPr>
          <w:p w14:paraId="1A53823E" w14:textId="77777777" w:rsidR="00A905FF" w:rsidRPr="00A905FF" w:rsidRDefault="00A905FF" w:rsidP="00F53931">
            <w:pPr>
              <w:rPr>
                <w:sz w:val="22"/>
                <w:szCs w:val="22"/>
              </w:rPr>
            </w:pPr>
            <w:r w:rsidRPr="00A905FF">
              <w:rPr>
                <w:sz w:val="22"/>
                <w:szCs w:val="22"/>
              </w:rPr>
              <w:t>ESC considered NIPT testing to be safe</w:t>
            </w:r>
          </w:p>
          <w:p w14:paraId="10B84258" w14:textId="77777777" w:rsidR="00A905FF" w:rsidRPr="00A905FF" w:rsidRDefault="00A905FF" w:rsidP="00F53931">
            <w:pPr>
              <w:rPr>
                <w:sz w:val="22"/>
                <w:szCs w:val="22"/>
              </w:rPr>
            </w:pPr>
          </w:p>
        </w:tc>
      </w:tr>
      <w:tr w:rsidR="00A905FF" w:rsidRPr="00A905FF" w14:paraId="77F61F9E" w14:textId="77777777" w:rsidTr="00F53931">
        <w:tc>
          <w:tcPr>
            <w:tcW w:w="2235" w:type="dxa"/>
          </w:tcPr>
          <w:p w14:paraId="31C599C9" w14:textId="77777777" w:rsidR="00A905FF" w:rsidRPr="00A905FF" w:rsidRDefault="00A905FF" w:rsidP="00F53931">
            <w:pPr>
              <w:pStyle w:val="TableText"/>
              <w:spacing w:before="0" w:after="0"/>
              <w:rPr>
                <w:sz w:val="22"/>
                <w:szCs w:val="22"/>
              </w:rPr>
            </w:pPr>
            <w:r w:rsidRPr="00A905FF">
              <w:rPr>
                <w:sz w:val="22"/>
                <w:szCs w:val="22"/>
              </w:rPr>
              <w:t>Effectiveness</w:t>
            </w:r>
          </w:p>
        </w:tc>
        <w:tc>
          <w:tcPr>
            <w:tcW w:w="6781" w:type="dxa"/>
          </w:tcPr>
          <w:p w14:paraId="04A98F96" w14:textId="77777777" w:rsidR="00A905FF" w:rsidRPr="00A905FF" w:rsidRDefault="00A905FF" w:rsidP="00F53931">
            <w:pPr>
              <w:rPr>
                <w:sz w:val="22"/>
                <w:szCs w:val="22"/>
              </w:rPr>
            </w:pPr>
            <w:r w:rsidRPr="00A905FF">
              <w:rPr>
                <w:sz w:val="22"/>
                <w:szCs w:val="22"/>
              </w:rPr>
              <w:t xml:space="preserve">To note the inferior effectiveness due to false negative results from </w:t>
            </w:r>
            <w:r w:rsidRPr="00A905FF">
              <w:rPr>
                <w:i/>
                <w:iCs/>
                <w:sz w:val="22"/>
                <w:szCs w:val="22"/>
              </w:rPr>
              <w:t>RHD</w:t>
            </w:r>
            <w:r w:rsidRPr="00A905FF">
              <w:rPr>
                <w:sz w:val="22"/>
                <w:szCs w:val="22"/>
              </w:rPr>
              <w:t>-NIPT, leading to a potential increase in the proportion of patients who become alloimmunised. ESC considered the very high sensitivity of NIPT (reported to be 99.7%</w:t>
            </w:r>
            <w:r w:rsidRPr="00A905FF">
              <w:rPr>
                <w:rStyle w:val="FootnoteReference"/>
                <w:sz w:val="22"/>
                <w:szCs w:val="22"/>
              </w:rPr>
              <w:footnoteReference w:id="40"/>
            </w:r>
            <w:r w:rsidRPr="00A905FF">
              <w:rPr>
                <w:sz w:val="22"/>
                <w:szCs w:val="22"/>
              </w:rPr>
              <w:t xml:space="preserve"> and 99.9%</w:t>
            </w:r>
            <w:r w:rsidRPr="00A905FF">
              <w:rPr>
                <w:rStyle w:val="FootnoteReference"/>
                <w:sz w:val="22"/>
                <w:szCs w:val="22"/>
              </w:rPr>
              <w:footnoteReference w:id="41"/>
            </w:r>
            <w:r w:rsidRPr="00A905FF">
              <w:rPr>
                <w:sz w:val="22"/>
                <w:szCs w:val="22"/>
              </w:rPr>
              <w:t>) and the high clinical utility.</w:t>
            </w:r>
          </w:p>
        </w:tc>
      </w:tr>
      <w:tr w:rsidR="00A905FF" w:rsidRPr="00A905FF" w14:paraId="08C7FCCC" w14:textId="77777777" w:rsidTr="00F53931">
        <w:tc>
          <w:tcPr>
            <w:tcW w:w="2235" w:type="dxa"/>
          </w:tcPr>
          <w:p w14:paraId="3827DE18" w14:textId="77777777" w:rsidR="00A905FF" w:rsidRPr="00A905FF" w:rsidRDefault="00A905FF" w:rsidP="00F53931">
            <w:pPr>
              <w:pStyle w:val="TableText"/>
              <w:spacing w:before="0" w:after="0"/>
              <w:rPr>
                <w:sz w:val="22"/>
                <w:szCs w:val="22"/>
              </w:rPr>
            </w:pPr>
            <w:r w:rsidRPr="00A905FF">
              <w:rPr>
                <w:sz w:val="22"/>
                <w:szCs w:val="22"/>
              </w:rPr>
              <w:t xml:space="preserve">Economic modelling </w:t>
            </w:r>
          </w:p>
        </w:tc>
        <w:tc>
          <w:tcPr>
            <w:tcW w:w="6781" w:type="dxa"/>
          </w:tcPr>
          <w:p w14:paraId="6C80158F" w14:textId="77777777" w:rsidR="00A905FF" w:rsidRPr="00A905FF" w:rsidRDefault="00A905FF" w:rsidP="00F53931">
            <w:pPr>
              <w:pStyle w:val="TableText"/>
              <w:spacing w:before="0" w:after="0"/>
              <w:rPr>
                <w:sz w:val="22"/>
                <w:szCs w:val="22"/>
              </w:rPr>
            </w:pPr>
            <w:r w:rsidRPr="00A905FF">
              <w:rPr>
                <w:sz w:val="22"/>
                <w:szCs w:val="22"/>
              </w:rPr>
              <w:t>Ensure the economic modelling (i.e. health states/events included) reflect the current NBA guidelines.</w:t>
            </w:r>
          </w:p>
        </w:tc>
      </w:tr>
      <w:tr w:rsidR="00A905FF" w:rsidRPr="00A905FF" w14:paraId="18D1A15C" w14:textId="77777777" w:rsidTr="00F53931">
        <w:tc>
          <w:tcPr>
            <w:tcW w:w="2235" w:type="dxa"/>
          </w:tcPr>
          <w:p w14:paraId="7B39DCAC" w14:textId="77777777" w:rsidR="00A905FF" w:rsidRPr="00A905FF" w:rsidRDefault="00A905FF" w:rsidP="00F53931">
            <w:pPr>
              <w:pStyle w:val="TableText"/>
              <w:spacing w:before="0" w:after="0"/>
              <w:rPr>
                <w:sz w:val="22"/>
                <w:szCs w:val="22"/>
              </w:rPr>
            </w:pPr>
            <w:r w:rsidRPr="00A905FF">
              <w:rPr>
                <w:sz w:val="22"/>
                <w:szCs w:val="22"/>
              </w:rPr>
              <w:t>Threshold analysis to identify an acceptable fee, given other values of inconclusive reports and probability of mild HDFN (reduced fee)</w:t>
            </w:r>
          </w:p>
        </w:tc>
        <w:tc>
          <w:tcPr>
            <w:tcW w:w="6781" w:type="dxa"/>
          </w:tcPr>
          <w:p w14:paraId="75D3A605" w14:textId="77777777" w:rsidR="00A905FF" w:rsidRPr="00A905FF" w:rsidRDefault="00A905FF" w:rsidP="00F53931">
            <w:pPr>
              <w:pStyle w:val="TableText"/>
              <w:spacing w:before="0" w:after="0"/>
              <w:rPr>
                <w:sz w:val="22"/>
                <w:szCs w:val="22"/>
              </w:rPr>
            </w:pPr>
            <w:r w:rsidRPr="00A905FF">
              <w:rPr>
                <w:sz w:val="22"/>
                <w:szCs w:val="22"/>
              </w:rPr>
              <w:t xml:space="preserve">Overseas interannual cost of NIPT varied from as little as £17.97 (AU$32.52) to as high as US$450 (AU$649) for the commercial kit. </w:t>
            </w:r>
          </w:p>
          <w:p w14:paraId="5395119D" w14:textId="77777777" w:rsidR="00A905FF" w:rsidRPr="00A905FF" w:rsidRDefault="00A905FF" w:rsidP="00F53931">
            <w:pPr>
              <w:pStyle w:val="TableText"/>
              <w:spacing w:before="0" w:after="0"/>
              <w:rPr>
                <w:sz w:val="22"/>
                <w:szCs w:val="22"/>
              </w:rPr>
            </w:pPr>
            <w:r w:rsidRPr="00A905FF">
              <w:rPr>
                <w:sz w:val="22"/>
                <w:szCs w:val="22"/>
              </w:rPr>
              <w:t xml:space="preserve">Consider whether the cost of transporting the samples should be included in the MBS fee.  </w:t>
            </w:r>
          </w:p>
        </w:tc>
      </w:tr>
    </w:tbl>
    <w:p w14:paraId="41BEDD52" w14:textId="77777777" w:rsidR="006A0D97" w:rsidRDefault="00F56D7F" w:rsidP="002C6CD4">
      <w:pPr>
        <w:pStyle w:val="Heading2"/>
        <w:spacing w:before="240" w:after="120"/>
      </w:pPr>
      <w:r w:rsidRPr="00F56D7F">
        <w:t>ESC discussion</w:t>
      </w:r>
    </w:p>
    <w:p w14:paraId="1AD8FE84" w14:textId="6E93D72D" w:rsidR="00A905FF" w:rsidRPr="00A905FF" w:rsidRDefault="00A905FF" w:rsidP="00A905FF">
      <w:r w:rsidRPr="00A905FF">
        <w:t>ESC noted that this application from the Royal College of Pathologists of Australasia (RCPA) was for Medicare Benefits Schedule (MBS) listing of high-throughput non-invasive prenatal testing (NIPT) to determine fetal rhesus (Rh) D genotype. NIPT for fetal RhD genotype is used to predict the RhD phenotype of the fetus in pregnancies where the mother is RhD</w:t>
      </w:r>
      <w:r w:rsidR="00773FF9">
        <w:t>-</w:t>
      </w:r>
      <w:r w:rsidRPr="00A905FF">
        <w:t>negative. This determines whether the mother is at risk of alloimmunisation in that pregnancy, and whether in a subsequent pregnancy a RhD-positive fetus is at risk of developing haemolytic disease o</w:t>
      </w:r>
      <w:r w:rsidR="002C6CD4">
        <w:t>f the fetus and newborn (HDFN).</w:t>
      </w:r>
    </w:p>
    <w:p w14:paraId="12030B48" w14:textId="49ABE623" w:rsidR="00A905FF" w:rsidRPr="00A905FF" w:rsidRDefault="00A905FF" w:rsidP="002C6CD4">
      <w:pPr>
        <w:spacing w:before="240"/>
      </w:pPr>
      <w:r w:rsidRPr="00A905FF">
        <w:t>ESC noted the lack of consumer feedback f</w:t>
      </w:r>
      <w:r w:rsidR="002C6CD4">
        <w:t>or this application.</w:t>
      </w:r>
    </w:p>
    <w:p w14:paraId="19D490CA" w14:textId="77777777" w:rsidR="00A905FF" w:rsidRPr="00A905FF" w:rsidRDefault="00A905FF" w:rsidP="002C6CD4">
      <w:pPr>
        <w:spacing w:before="240"/>
      </w:pPr>
      <w:r w:rsidRPr="00A905FF">
        <w:t>ESC noted that the submission contained two populations:</w:t>
      </w:r>
    </w:p>
    <w:p w14:paraId="0AC361BD" w14:textId="7D5F9464" w:rsidR="00A905FF" w:rsidRPr="00A905FF" w:rsidRDefault="00A905FF" w:rsidP="00A905FF">
      <w:pPr>
        <w:pStyle w:val="ListParagraph"/>
        <w:numPr>
          <w:ilvl w:val="0"/>
          <w:numId w:val="27"/>
        </w:numPr>
      </w:pPr>
      <w:r w:rsidRPr="00A905FF">
        <w:t xml:space="preserve">Population 1 (currently eligible for testing with </w:t>
      </w:r>
      <w:r w:rsidR="001166D6">
        <w:t>Lifeblood</w:t>
      </w:r>
      <w:r w:rsidRPr="00A905FF">
        <w:t xml:space="preserve"> though limited funding), which includes pregnant women who are known to be RhD</w:t>
      </w:r>
      <w:r w:rsidR="00773FF9">
        <w:t>-</w:t>
      </w:r>
      <w:r w:rsidRPr="00A905FF">
        <w:t xml:space="preserve">negative and are alloimmunised; these women require intensive monitoring during </w:t>
      </w:r>
      <w:r w:rsidR="00CA18E2">
        <w:t xml:space="preserve">their current and subsequent </w:t>
      </w:r>
      <w:r w:rsidRPr="00A905FF">
        <w:t>pregnancies</w:t>
      </w:r>
    </w:p>
    <w:p w14:paraId="21688150" w14:textId="0D01D0E7" w:rsidR="00A905FF" w:rsidRPr="00A905FF" w:rsidRDefault="00A905FF" w:rsidP="00A905FF">
      <w:pPr>
        <w:pStyle w:val="ListParagraph"/>
        <w:numPr>
          <w:ilvl w:val="0"/>
          <w:numId w:val="27"/>
        </w:numPr>
      </w:pPr>
      <w:r w:rsidRPr="00A905FF">
        <w:t>Population 2 (currently</w:t>
      </w:r>
      <w:r w:rsidR="00CA18E2">
        <w:t>,</w:t>
      </w:r>
      <w:r w:rsidR="001166D6">
        <w:t xml:space="preserve"> Lifeblood</w:t>
      </w:r>
      <w:r w:rsidR="00CA18E2">
        <w:t xml:space="preserve"> does not have Government approval to provide testing to this group</w:t>
      </w:r>
      <w:r w:rsidRPr="00A905FF">
        <w:t>), which includes pregnant women who are RhD</w:t>
      </w:r>
      <w:r w:rsidR="00773FF9">
        <w:t>-</w:t>
      </w:r>
      <w:r w:rsidRPr="00A905FF">
        <w:t>negative and who are not alloimmunised; these women are currently universally administered antenatal anti-D Ig prophylaxis (prenatal and postnatal prophylaxis, and after sensitising events).</w:t>
      </w:r>
    </w:p>
    <w:p w14:paraId="3E2A9CD0" w14:textId="56CCB18B" w:rsidR="00A905FF" w:rsidRPr="00A905FF" w:rsidRDefault="00A905FF" w:rsidP="002C6CD4">
      <w:pPr>
        <w:spacing w:before="240"/>
      </w:pPr>
      <w:r w:rsidRPr="00A905FF">
        <w:t xml:space="preserve">ESC noted that the Department-contracted assessment report (DCAR) did not include population 1 because </w:t>
      </w:r>
      <w:r w:rsidR="00911B6F">
        <w:t xml:space="preserve">the </w:t>
      </w:r>
      <w:r w:rsidRPr="00A905FF">
        <w:t xml:space="preserve">tests used a different (manual vs high throughput) process with different costs. The population of </w:t>
      </w:r>
      <w:r>
        <w:t>RhD-</w:t>
      </w:r>
      <w:r w:rsidRPr="00A905FF">
        <w:t xml:space="preserve">alloimmunised </w:t>
      </w:r>
      <w:r>
        <w:t xml:space="preserve">pregnant </w:t>
      </w:r>
      <w:r w:rsidRPr="00A905FF">
        <w:t>patients in Australia is small (</w:t>
      </w:r>
      <w:r w:rsidR="00B5519E">
        <w:t>Lifeblood</w:t>
      </w:r>
      <w:r w:rsidRPr="00A905FF">
        <w:t xml:space="preserve"> estimates 6 per month nationally). The applicant supported the decision to not </w:t>
      </w:r>
      <w:r w:rsidRPr="00A905FF">
        <w:lastRenderedPageBreak/>
        <w:t>include this population in the DCAR. The PICO Advisory Sub-Committee (PASC) recommended including both populations to ensure equity of access; this was supported by the Royal Australian and New Zealand College of Obstetricians and Gynaecologists (RANZOG). The Department suggested considering a separate MBS item fo</w:t>
      </w:r>
      <w:r w:rsidR="002C6CD4">
        <w:t xml:space="preserve">r each of the two populations. </w:t>
      </w:r>
    </w:p>
    <w:p w14:paraId="2D4D1903" w14:textId="1125D790" w:rsidR="00A905FF" w:rsidRPr="00A905FF" w:rsidRDefault="00A905FF" w:rsidP="002C6CD4">
      <w:pPr>
        <w:spacing w:before="240"/>
      </w:pPr>
      <w:r w:rsidRPr="00A905FF">
        <w:t xml:space="preserve">ESC noted that the test would be used as a triage to identify women who definitely require prophylaxis, so that anti-D Ig treatment is targeted to only those at risk of sensitisation. ESC noted the advantages of a more targeted anti-D Ig treatment to reduce overall demand for anti-D Ig, due to future reduction in anti-D Ig availability, and noted that </w:t>
      </w:r>
      <w:r w:rsidR="00911B6F">
        <w:t xml:space="preserve">the </w:t>
      </w:r>
      <w:r w:rsidRPr="00A905FF">
        <w:t>pre-ESC r</w:t>
      </w:r>
      <w:r w:rsidR="002C6CD4">
        <w:t>esponse highlighted this issue.</w:t>
      </w:r>
    </w:p>
    <w:p w14:paraId="094B3BAB" w14:textId="41017862" w:rsidR="00A905FF" w:rsidRPr="00A905FF" w:rsidRDefault="00A905FF" w:rsidP="002C6CD4">
      <w:pPr>
        <w:spacing w:before="240"/>
      </w:pPr>
      <w:r w:rsidRPr="00A905FF">
        <w:t xml:space="preserve">ESC considered NIPT testing to be safe due </w:t>
      </w:r>
      <w:r w:rsidR="00911B6F">
        <w:t xml:space="preserve">to </w:t>
      </w:r>
      <w:r w:rsidRPr="00A905FF">
        <w:t>the low risk of adverse events arising from a simple venepuncture required for the blood sample, and from women appropriately not receiving anti-D Ig administration as they are not</w:t>
      </w:r>
      <w:r w:rsidR="002C6CD4">
        <w:t xml:space="preserve"> at risk of sensitising events.</w:t>
      </w:r>
    </w:p>
    <w:p w14:paraId="021C861C" w14:textId="0F3EA056" w:rsidR="00A905FF" w:rsidRPr="00A905FF" w:rsidRDefault="00A905FF" w:rsidP="002C6CD4">
      <w:pPr>
        <w:spacing w:before="240"/>
      </w:pPr>
      <w:r w:rsidRPr="00A905FF">
        <w:t xml:space="preserve">ESC noted the inferior effectiveness due to false negative results from </w:t>
      </w:r>
      <w:r w:rsidRPr="00A905FF">
        <w:rPr>
          <w:i/>
          <w:iCs/>
        </w:rPr>
        <w:t>RHD</w:t>
      </w:r>
      <w:r w:rsidRPr="00A905FF">
        <w:t>-NIPT, leading to a potential increase in the proportion of patients who become alloimmunised (currently approximately 0.2% of all RhD</w:t>
      </w:r>
      <w:r w:rsidR="00773FF9">
        <w:t>-</w:t>
      </w:r>
      <w:r w:rsidRPr="00A905FF">
        <w:t>negative women, despite the availability of universal anti-D Ig). However, ESC noted the very high sensitivity of NIPT (reported to be 99.7%</w:t>
      </w:r>
      <w:r w:rsidRPr="00A905FF">
        <w:rPr>
          <w:vertAlign w:val="superscript"/>
        </w:rPr>
        <w:footnoteReference w:id="42"/>
      </w:r>
      <w:r w:rsidRPr="00A905FF">
        <w:t xml:space="preserve"> and 99.9%</w:t>
      </w:r>
      <w:r w:rsidRPr="00A905FF">
        <w:rPr>
          <w:vertAlign w:val="superscript"/>
        </w:rPr>
        <w:footnoteReference w:id="43"/>
      </w:r>
      <w:r w:rsidRPr="00A905FF">
        <w:t>), and considered this and the high clin</w:t>
      </w:r>
      <w:r w:rsidR="002C6CD4">
        <w:t xml:space="preserve">ical utility to be acceptable. </w:t>
      </w:r>
    </w:p>
    <w:p w14:paraId="1B5180CE" w14:textId="77777777" w:rsidR="00A905FF" w:rsidRPr="00A905FF" w:rsidRDefault="00A905FF" w:rsidP="002C6CD4">
      <w:pPr>
        <w:spacing w:before="240"/>
      </w:pPr>
      <w:r w:rsidRPr="00A905FF">
        <w:t>ESC noted the economic evaluation considered:</w:t>
      </w:r>
    </w:p>
    <w:p w14:paraId="20C72982" w14:textId="77777777" w:rsidR="00A905FF" w:rsidRPr="00A905FF" w:rsidRDefault="00A905FF" w:rsidP="00A905FF">
      <w:pPr>
        <w:numPr>
          <w:ilvl w:val="0"/>
          <w:numId w:val="26"/>
        </w:numPr>
      </w:pPr>
      <w:r w:rsidRPr="00A905FF">
        <w:t>the cost-effectiveness of NIPT (versus no testing and universal prophylaxis) estimating costs and outcomes (risk of alloimmunisation) of the interventions</w:t>
      </w:r>
    </w:p>
    <w:p w14:paraId="139017B7" w14:textId="77777777" w:rsidR="00A905FF" w:rsidRPr="00A905FF" w:rsidRDefault="00A905FF" w:rsidP="00A905FF">
      <w:pPr>
        <w:numPr>
          <w:ilvl w:val="0"/>
          <w:numId w:val="26"/>
        </w:numPr>
      </w:pPr>
      <w:r w:rsidRPr="00A905FF">
        <w:t xml:space="preserve">a one-arm model reflecting current practice (e.g. intensive monitoring and blood transfusion), predicting costs and consequences of alloimmunisation (including HDFN) </w:t>
      </w:r>
    </w:p>
    <w:p w14:paraId="53830A5A" w14:textId="596C3DCA" w:rsidR="00F53931" w:rsidRDefault="00A905FF" w:rsidP="00A905FF">
      <w:pPr>
        <w:numPr>
          <w:ilvl w:val="0"/>
          <w:numId w:val="26"/>
        </w:numPr>
      </w:pPr>
      <w:r w:rsidRPr="00A905FF">
        <w:t>a population-based analysis of costs and outcomes informed by (1) and (2).</w:t>
      </w:r>
    </w:p>
    <w:p w14:paraId="23FED2DB" w14:textId="600795C3" w:rsidR="00A905FF" w:rsidRPr="00A905FF" w:rsidRDefault="00A905FF" w:rsidP="002C6CD4">
      <w:pPr>
        <w:spacing w:before="240"/>
      </w:pPr>
      <w:r w:rsidRPr="00A905FF">
        <w:t xml:space="preserve">ESC accepted the economic model and evaluation, but queried the rates of failed tests and invalid tests used in the base case and how these may impact the sensitivity analyses. The Department confirmed that the real-world proportion of failed tests in Australia is 2.3% (source: Lifeblood), and that all women with a failed test would receive anti-D Ig regardless. The Department also confirmed that invalid tests are repeated, which is funded through alternative arrangements for high-risk women. In addition, Lifeblood confirmed that equivocal test results are considered positive for RHD and the woman would proceed to anti-D Ig prophylaxis. ESC accepted the base case and </w:t>
      </w:r>
      <w:r w:rsidR="002C6CD4">
        <w:t>sensitivity analyses presented.</w:t>
      </w:r>
    </w:p>
    <w:p w14:paraId="531E2824" w14:textId="7B8852BE" w:rsidR="00A905FF" w:rsidRPr="00A905FF" w:rsidRDefault="00A905FF" w:rsidP="002C6CD4">
      <w:pPr>
        <w:spacing w:before="240"/>
      </w:pPr>
      <w:r w:rsidRPr="00A905FF">
        <w:t>ESC noted that the sensitivity analysis used a probability of 0.9 for a baby acquiring mild HDFN, sourced from Daniels 2004, but that the details of this publication were not included in the DCAR’s reference list. ESC recomme</w:t>
      </w:r>
      <w:r w:rsidR="002C6CD4">
        <w:t>nded these details be provided.</w:t>
      </w:r>
    </w:p>
    <w:p w14:paraId="05F4BA22" w14:textId="0205BEAB" w:rsidR="00A905FF" w:rsidRPr="00A905FF" w:rsidRDefault="00A905FF" w:rsidP="002C6CD4">
      <w:pPr>
        <w:spacing w:before="240"/>
      </w:pPr>
      <w:r w:rsidRPr="00A905FF">
        <w:t xml:space="preserve">ESC noted the cost of $59.33 in the base case analysis. This cost included $56 for the test (advice from Lifeblood, including staff time and consumables) and $3.33 for blood collection (weighted average of relevant MBS items). ESC noted the National Institute for Health and Care Excellence 2016 recommendation that </w:t>
      </w:r>
      <w:r w:rsidRPr="00A905FF">
        <w:rPr>
          <w:i/>
          <w:iCs/>
        </w:rPr>
        <w:t>RHD</w:t>
      </w:r>
      <w:r w:rsidRPr="00A905FF">
        <w:t xml:space="preserve">-NIPT for non-alloimmunised women is a cost-effective option, provided that the overall cost of testing is </w:t>
      </w:r>
      <w:r w:rsidRPr="00A905FF">
        <w:rPr>
          <w:u w:val="single"/>
        </w:rPr>
        <w:t>&lt;</w:t>
      </w:r>
      <w:r w:rsidRPr="00A905FF">
        <w:t xml:space="preserve">£24 (AU$43.31). ESC noted </w:t>
      </w:r>
      <w:r w:rsidRPr="00A905FF">
        <w:lastRenderedPageBreak/>
        <w:t xml:space="preserve">that the fee used in the base case does not include the cost of transportation of the sample. ESC also noted the varying prices for commercial kits used overseas (AU$32.52 in the UK to AU$649 in the US). ESC noted that the threshold pricing needs to be considered carefully, to ensure the testing remains cost-effective. ESC considered the transport cost of $25 (Gordon 2017) used in the sensitivity analysis to be excessive, and that an upper threshold cost of $10 is needed to ensure that </w:t>
      </w:r>
      <w:r w:rsidRPr="00A905FF">
        <w:rPr>
          <w:i/>
          <w:iCs/>
        </w:rPr>
        <w:t>RHD</w:t>
      </w:r>
      <w:r w:rsidRPr="00A905FF">
        <w:t>-NIPT remains cost-effective if transpo</w:t>
      </w:r>
      <w:r w:rsidR="002C6CD4">
        <w:t xml:space="preserve">rt was covered in the MBS fee. </w:t>
      </w:r>
    </w:p>
    <w:p w14:paraId="3670F1DA" w14:textId="6E2EC400" w:rsidR="00A905FF" w:rsidRPr="00A905FF" w:rsidRDefault="00A905FF" w:rsidP="002C6CD4">
      <w:pPr>
        <w:spacing w:before="240"/>
      </w:pPr>
      <w:r w:rsidRPr="00A905FF">
        <w:t xml:space="preserve">ESC noted that the financial impact did not account for the costs of managing the potential increase in patients becoming alloimmunised, but noted the number of patients would likely be small. ESC noted that the Department estimated the additional financial impact of including population 1 (i.e. testing an additional 102–103 alloimmunised women each year), which resulted in an additional $57,000 to the MBS each year using a fee of $550. This fee is substantially higher than the $56 proposed for testing non-alloimmunised women because it is a low-throughput test, and includes salary and labour </w:t>
      </w:r>
      <w:r w:rsidR="002C6CD4">
        <w:t>for the pathology laboratories.</w:t>
      </w:r>
    </w:p>
    <w:p w14:paraId="29073670" w14:textId="76176B56" w:rsidR="00A905FF" w:rsidRPr="00A905FF" w:rsidRDefault="00A905FF" w:rsidP="002C6CD4">
      <w:pPr>
        <w:spacing w:before="240"/>
      </w:pPr>
      <w:r w:rsidRPr="00A905FF">
        <w:t>Consumer issues noted by ESC included the need for clear and consistent language and definitions of abbreviations across test settings (e.g. NIPT (implying testing requiring a further confirmatory test) vs. NIPD (implying a diagnosis is made, not requiring further confirmation)), and whether external quality assurance (EQA) results should be shared in the public domain to allow</w:t>
      </w:r>
      <w:r w:rsidR="002C6CD4">
        <w:t xml:space="preserve"> more informed decision-making.</w:t>
      </w:r>
    </w:p>
    <w:p w14:paraId="2D617943" w14:textId="495A03B3" w:rsidR="00A905FF" w:rsidRPr="00A905FF" w:rsidRDefault="00A905FF" w:rsidP="002C6CD4">
      <w:pPr>
        <w:spacing w:before="240"/>
      </w:pPr>
      <w:r w:rsidRPr="00A905FF">
        <w:t xml:space="preserve">ESC noted that </w:t>
      </w:r>
      <w:r w:rsidR="00B5519E">
        <w:t>Lifeblood</w:t>
      </w:r>
      <w:r w:rsidRPr="00A905FF">
        <w:t xml:space="preserve"> developed and performs the current in-house test. The testing is not subjected to an </w:t>
      </w:r>
      <w:r w:rsidR="00626C8D">
        <w:t xml:space="preserve">Australian </w:t>
      </w:r>
      <w:r w:rsidRPr="00A905FF">
        <w:t>external quality assurance program, which would need to be established. ESC considered that establishing a central haemovigilance reporting system to collate reported cases of fals</w:t>
      </w:r>
      <w:r w:rsidR="002C6CD4">
        <w:t>e negatives could be necessary.</w:t>
      </w:r>
    </w:p>
    <w:p w14:paraId="33B29292" w14:textId="599BE068" w:rsidR="00A905FF" w:rsidRPr="00A905FF" w:rsidRDefault="00A905FF" w:rsidP="002C6CD4">
      <w:pPr>
        <w:spacing w:before="240"/>
      </w:pPr>
      <w:r w:rsidRPr="00A905FF">
        <w:t xml:space="preserve">ESC noted the RCPA view that testing for an entire population should not be restricted to one laboratory, and summarised this as “poor medical practice”. However, ESC noted that, although </w:t>
      </w:r>
      <w:r w:rsidR="00B5519E">
        <w:t>Lifeblood</w:t>
      </w:r>
      <w:r w:rsidRPr="00A905FF">
        <w:t xml:space="preserve"> was the sole provider of the current testing, the testing was performed in multiple laboratories around the country, which should alleviate some concerns about risk of failure if a single laboratory was resp</w:t>
      </w:r>
      <w:r w:rsidR="002C6CD4">
        <w:t>onsible for all of the testing.</w:t>
      </w:r>
    </w:p>
    <w:p w14:paraId="76BD7C0F" w14:textId="234D0DAE" w:rsidR="00A905FF" w:rsidRPr="00A905FF" w:rsidRDefault="00A905FF" w:rsidP="002C6CD4">
      <w:pPr>
        <w:spacing w:before="240"/>
      </w:pPr>
      <w:r w:rsidRPr="00A905FF">
        <w:t xml:space="preserve">ESC queried whether the updated National Blood Authority (NBA) guidelines may potentially impact the base case and subsequent sensitivity analyses, but the Department confirmed that the </w:t>
      </w:r>
      <w:r w:rsidR="00044B7A">
        <w:t xml:space="preserve">draft </w:t>
      </w:r>
      <w:r w:rsidRPr="00A905FF">
        <w:t xml:space="preserve">NBA guidelines are very similar to the </w:t>
      </w:r>
      <w:r w:rsidR="002C6CD4">
        <w:t xml:space="preserve">base case </w:t>
      </w:r>
      <w:r w:rsidR="005B6B3B">
        <w:t xml:space="preserve">that </w:t>
      </w:r>
      <w:r w:rsidR="002C6CD4">
        <w:t>was constructed</w:t>
      </w:r>
      <w:r w:rsidR="00044B7A">
        <w:t xml:space="preserve"> in the assessment</w:t>
      </w:r>
      <w:r w:rsidR="002C6CD4">
        <w:t>.</w:t>
      </w:r>
    </w:p>
    <w:p w14:paraId="5E4D3672" w14:textId="77777777" w:rsidR="00D90A38" w:rsidRPr="00F715D1" w:rsidRDefault="00BC1364" w:rsidP="00F715D1">
      <w:pPr>
        <w:pStyle w:val="Heading1"/>
      </w:pPr>
      <w:r w:rsidRPr="00F715D1">
        <w:t>Other significant factors</w:t>
      </w:r>
    </w:p>
    <w:p w14:paraId="532E9BF0" w14:textId="2E8D6578" w:rsidR="00BC1364" w:rsidRPr="008027F1" w:rsidRDefault="008027F1" w:rsidP="00F715D1">
      <w:pPr>
        <w:spacing w:after="240"/>
        <w:rPr>
          <w:szCs w:val="24"/>
        </w:rPr>
      </w:pPr>
      <w:r w:rsidRPr="008027F1">
        <w:rPr>
          <w:szCs w:val="24"/>
        </w:rPr>
        <w:t>Nil.</w:t>
      </w:r>
    </w:p>
    <w:p w14:paraId="3E212EF0"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A12847B" w14:textId="2374E398" w:rsidR="00BC1364" w:rsidRPr="005A4362" w:rsidRDefault="008C412F" w:rsidP="00F715D1">
      <w:pPr>
        <w:spacing w:after="240"/>
        <w:rPr>
          <w:color w:val="00B0F0"/>
          <w:szCs w:val="24"/>
        </w:rPr>
      </w:pPr>
      <w:r>
        <w:rPr>
          <w:szCs w:val="24"/>
        </w:rPr>
        <w:t>Th</w:t>
      </w:r>
      <w:r w:rsidRPr="008C412F">
        <w:rPr>
          <w:szCs w:val="24"/>
        </w:rPr>
        <w:t>e Royal College of Pathologists of Australasia (the College) would like to take this opportunity to thank the Department and the MSAC for their assistance in moving this application forward to a successful outcome, which will deliver great benefits to pregnant Australian women and their babies.</w:t>
      </w:r>
    </w:p>
    <w:p w14:paraId="53712D9C" w14:textId="77777777" w:rsidR="00BC1364" w:rsidRPr="00F715D1" w:rsidRDefault="00271F18" w:rsidP="00F715D1">
      <w:pPr>
        <w:pStyle w:val="Heading1"/>
      </w:pPr>
      <w:r w:rsidRPr="00F715D1">
        <w:t>Further information on MSAC</w:t>
      </w:r>
    </w:p>
    <w:p w14:paraId="37EFAC17" w14:textId="0FA66ED2"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C3FF" w14:textId="77777777" w:rsidR="009C3C3D" w:rsidRDefault="009C3C3D" w:rsidP="00065623">
      <w:r>
        <w:separator/>
      </w:r>
    </w:p>
  </w:endnote>
  <w:endnote w:type="continuationSeparator" w:id="0">
    <w:p w14:paraId="10EEFDC1" w14:textId="77777777" w:rsidR="009C3C3D" w:rsidRDefault="009C3C3D" w:rsidP="00065623">
      <w:r>
        <w:continuationSeparator/>
      </w:r>
    </w:p>
  </w:endnote>
  <w:endnote w:type="continuationNotice" w:id="1">
    <w:p w14:paraId="26219C57" w14:textId="77777777" w:rsidR="009C3C3D" w:rsidRDefault="009C3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0374" w14:textId="77777777" w:rsidR="00C30EAD" w:rsidRDefault="00C3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07969"/>
      <w:docPartObj>
        <w:docPartGallery w:val="Page Numbers (Bottom of Page)"/>
        <w:docPartUnique/>
      </w:docPartObj>
    </w:sdtPr>
    <w:sdtEndPr>
      <w:rPr>
        <w:noProof/>
      </w:rPr>
    </w:sdtEndPr>
    <w:sdtContent>
      <w:p w14:paraId="4FE26C65" w14:textId="31EC1A03" w:rsidR="00B77124" w:rsidRDefault="00B77124">
        <w:pPr>
          <w:pStyle w:val="Footer"/>
          <w:jc w:val="right"/>
        </w:pPr>
        <w:r>
          <w:fldChar w:fldCharType="begin"/>
        </w:r>
        <w:r>
          <w:instrText xml:space="preserve"> PAGE   \* MERGEFORMAT </w:instrText>
        </w:r>
        <w:r>
          <w:fldChar w:fldCharType="separate"/>
        </w:r>
        <w:r w:rsidR="00C30EAD">
          <w:rPr>
            <w:noProof/>
          </w:rPr>
          <w:t>1</w:t>
        </w:r>
        <w:r>
          <w:rPr>
            <w:noProof/>
          </w:rPr>
          <w:fldChar w:fldCharType="end"/>
        </w:r>
      </w:p>
    </w:sdtContent>
  </w:sdt>
  <w:p w14:paraId="3C654844" w14:textId="77777777" w:rsidR="00B77124" w:rsidRDefault="00B77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5083" w14:textId="77777777" w:rsidR="00C30EAD" w:rsidRDefault="00C3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F50E" w14:textId="77777777" w:rsidR="009C3C3D" w:rsidRDefault="009C3C3D" w:rsidP="00065623">
      <w:r>
        <w:separator/>
      </w:r>
    </w:p>
  </w:footnote>
  <w:footnote w:type="continuationSeparator" w:id="0">
    <w:p w14:paraId="3F7F8F43" w14:textId="77777777" w:rsidR="009C3C3D" w:rsidRDefault="009C3C3D" w:rsidP="00065623">
      <w:r>
        <w:continuationSeparator/>
      </w:r>
    </w:p>
  </w:footnote>
  <w:footnote w:type="continuationNotice" w:id="1">
    <w:p w14:paraId="12FC3A1B" w14:textId="77777777" w:rsidR="009C3C3D" w:rsidRDefault="009C3C3D"/>
  </w:footnote>
  <w:footnote w:id="2">
    <w:p w14:paraId="450360D6" w14:textId="77777777" w:rsidR="00B77124" w:rsidRDefault="00B77124" w:rsidP="00CA18E2">
      <w:pPr>
        <w:pStyle w:val="FootnoteText"/>
      </w:pPr>
      <w:r>
        <w:rPr>
          <w:rStyle w:val="FootnoteReference"/>
        </w:rPr>
        <w:footnoteRef/>
      </w:r>
      <w:r>
        <w:t xml:space="preserve"> Hyland CA, et al. Evaluation of non-invasive prenatal </w:t>
      </w:r>
      <w:r w:rsidRPr="006B086D">
        <w:rPr>
          <w:i/>
        </w:rPr>
        <w:t>RHD</w:t>
      </w:r>
      <w:r>
        <w:t xml:space="preserve"> genotyping of the fetus. Med J Aust 2009; 191: 21-25.</w:t>
      </w:r>
    </w:p>
  </w:footnote>
  <w:footnote w:id="3">
    <w:p w14:paraId="2DA6D938" w14:textId="77777777" w:rsidR="00B77124" w:rsidRPr="00593F26" w:rsidRDefault="00B77124" w:rsidP="00D55B0F">
      <w:pPr>
        <w:pStyle w:val="FootnoteText"/>
      </w:pPr>
      <w:r>
        <w:rPr>
          <w:rStyle w:val="FootnoteReference"/>
        </w:rPr>
        <w:footnoteRef/>
      </w:r>
      <w:r>
        <w:t xml:space="preserve"> DCAR Table 36, source: “Australian Red Blood (FAQ)”</w:t>
      </w:r>
    </w:p>
  </w:footnote>
  <w:footnote w:id="4">
    <w:p w14:paraId="74E80D43" w14:textId="77777777" w:rsidR="00B77124" w:rsidRDefault="00B77124" w:rsidP="00D55B0F">
      <w:pPr>
        <w:pStyle w:val="FootnoteText"/>
      </w:pPr>
      <w:r>
        <w:rPr>
          <w:rStyle w:val="FootnoteReference"/>
        </w:rPr>
        <w:footnoteRef/>
      </w:r>
      <w:r>
        <w:t xml:space="preserve"> </w:t>
      </w:r>
      <w:r w:rsidRPr="006B086D">
        <w:t xml:space="preserve">Clausen FB, et al. Routine noninvasive prenatal screening for fetal </w:t>
      </w:r>
      <w:r w:rsidRPr="006B086D">
        <w:rPr>
          <w:i/>
        </w:rPr>
        <w:t>RHD</w:t>
      </w:r>
      <w:r w:rsidRPr="006B086D">
        <w:t xml:space="preserve"> in plasma of RhD-negative pregnant women-2 years of screening experience from Denmark. Prenatal diagnosis. 2014;34(10):1000-5.</w:t>
      </w:r>
    </w:p>
  </w:footnote>
  <w:footnote w:id="5">
    <w:p w14:paraId="0551ADF7" w14:textId="77777777" w:rsidR="00B77124" w:rsidRDefault="00B77124" w:rsidP="004979D6">
      <w:pPr>
        <w:pStyle w:val="FootnoteText"/>
      </w:pPr>
      <w:r>
        <w:rPr>
          <w:rStyle w:val="FootnoteReference"/>
        </w:rPr>
        <w:footnoteRef/>
      </w:r>
      <w:r>
        <w:t xml:space="preserve"> </w:t>
      </w:r>
      <w:r w:rsidRPr="00002F2B">
        <w:t>Lyon, C. &amp;</w:t>
      </w:r>
      <w:r>
        <w:t xml:space="preserve"> </w:t>
      </w:r>
      <w:r w:rsidRPr="00002F2B">
        <w:t>English, A. (2018). 'PURL: A new protocol for RhD-negative pregnant women?'. J Fam Pract, 67 (5), 306;8;19.</w:t>
      </w:r>
    </w:p>
  </w:footnote>
  <w:footnote w:id="6">
    <w:p w14:paraId="298BA27E" w14:textId="77777777" w:rsidR="00B77124" w:rsidRDefault="00B77124" w:rsidP="008414AB">
      <w:pPr>
        <w:pStyle w:val="FootnoteText"/>
      </w:pPr>
      <w:r>
        <w:rPr>
          <w:rStyle w:val="FootnoteReference"/>
        </w:rPr>
        <w:footnoteRef/>
      </w:r>
      <w:r>
        <w:t xml:space="preserve"> </w:t>
      </w:r>
      <w:r w:rsidRPr="006B086D">
        <w:t>Runkel B, Bein G, Sieben W, Sow D, Polus S, Fleer D. Targeted antenatal anti-D prophylaxis for RhD-negative pregnant women: A systematic review. BMC Pregnancy and Childbirth. 2020;20(1).</w:t>
      </w:r>
    </w:p>
  </w:footnote>
  <w:footnote w:id="7">
    <w:p w14:paraId="6CE5735E" w14:textId="77777777" w:rsidR="00B77124" w:rsidRDefault="00B77124" w:rsidP="008414AB">
      <w:pPr>
        <w:pStyle w:val="FootnoteText"/>
      </w:pPr>
      <w:r>
        <w:rPr>
          <w:rStyle w:val="FootnoteReference"/>
        </w:rPr>
        <w:footnoteRef/>
      </w:r>
      <w:r>
        <w:t xml:space="preserve"> </w:t>
      </w:r>
      <w:r w:rsidRPr="003F17A4">
        <w:t>Damkjaer MB,</w:t>
      </w:r>
      <w:r>
        <w:t xml:space="preserve"> et al</w:t>
      </w:r>
      <w:r w:rsidRPr="003F17A4">
        <w:t>. Study of compliance with a new, targeted antenatal D immunization prevention programme in Denmark. Vox Sang. 2012;103(2):145-9.</w:t>
      </w:r>
    </w:p>
  </w:footnote>
  <w:footnote w:id="8">
    <w:p w14:paraId="3987D4CF" w14:textId="77777777" w:rsidR="00B77124" w:rsidRDefault="00B77124" w:rsidP="008414AB">
      <w:pPr>
        <w:pStyle w:val="FootnoteText"/>
      </w:pPr>
      <w:r>
        <w:rPr>
          <w:rStyle w:val="FootnoteReference"/>
        </w:rPr>
        <w:footnoteRef/>
      </w:r>
      <w:r>
        <w:t xml:space="preserve"> </w:t>
      </w:r>
      <w:r w:rsidRPr="006B086D">
        <w:t xml:space="preserve">Grande M, et al. Clinical application of midtrimester non-invasive fetal </w:t>
      </w:r>
      <w:r w:rsidRPr="006B086D">
        <w:rPr>
          <w:i/>
        </w:rPr>
        <w:t>RHD</w:t>
      </w:r>
      <w:r w:rsidRPr="006B086D">
        <w:t xml:space="preserve"> genotyping and identification of </w:t>
      </w:r>
      <w:r w:rsidRPr="006B086D">
        <w:rPr>
          <w:i/>
        </w:rPr>
        <w:t>RHD</w:t>
      </w:r>
      <w:r w:rsidRPr="006B086D">
        <w:t xml:space="preserve"> variants in a mixed-ethnic population. Prenat Diagn. 2013;33(2): 173–8.</w:t>
      </w:r>
    </w:p>
  </w:footnote>
  <w:footnote w:id="9">
    <w:p w14:paraId="2AFBE630" w14:textId="77777777" w:rsidR="00B77124" w:rsidRDefault="00B77124" w:rsidP="008414AB">
      <w:pPr>
        <w:pStyle w:val="FootnoteText"/>
      </w:pPr>
      <w:r>
        <w:rPr>
          <w:rStyle w:val="FootnoteReference"/>
        </w:rPr>
        <w:footnoteRef/>
      </w:r>
      <w:r>
        <w:t xml:space="preserve"> Tiblad E</w:t>
      </w:r>
      <w:r w:rsidRPr="006B086D">
        <w:t>, et al. Targeted routine antenatal anti-D prophylaxis in the prevention of RhD immunisation – outcome of a new antenatal screening and prevention program. PLOS ONE 2013;8:e70984.</w:t>
      </w:r>
    </w:p>
  </w:footnote>
  <w:footnote w:id="10">
    <w:p w14:paraId="1CBA82E0" w14:textId="77777777" w:rsidR="00B77124" w:rsidRDefault="00B77124" w:rsidP="008414AB">
      <w:pPr>
        <w:pStyle w:val="FootnoteText"/>
      </w:pPr>
      <w:r>
        <w:rPr>
          <w:rStyle w:val="FootnoteReference"/>
        </w:rPr>
        <w:footnoteRef/>
      </w:r>
      <w:r>
        <w:t xml:space="preserve"> </w:t>
      </w:r>
      <w:r w:rsidRPr="006B086D">
        <w:t xml:space="preserve">Clausen FB, et al. Routine noninvasive prenatal screening for fetal </w:t>
      </w:r>
      <w:r w:rsidRPr="006B086D">
        <w:rPr>
          <w:i/>
        </w:rPr>
        <w:t>RHD</w:t>
      </w:r>
      <w:r w:rsidRPr="006B086D">
        <w:t xml:space="preserve"> in plasma of RhD-negative pregnant women-2 years of screening experience from Denmark. Prenatal diagnosis. 2014;34(10):1000-5.</w:t>
      </w:r>
    </w:p>
  </w:footnote>
  <w:footnote w:id="11">
    <w:p w14:paraId="3A3B9122" w14:textId="77777777" w:rsidR="00B77124" w:rsidRDefault="00B77124" w:rsidP="008414AB">
      <w:pPr>
        <w:pStyle w:val="FootnoteText"/>
      </w:pPr>
      <w:r>
        <w:rPr>
          <w:rStyle w:val="FootnoteReference"/>
        </w:rPr>
        <w:footnoteRef/>
      </w:r>
      <w:r>
        <w:t xml:space="preserve"> </w:t>
      </w:r>
      <w:r w:rsidRPr="006B086D">
        <w:t xml:space="preserve">Soothill PW, </w:t>
      </w:r>
      <w:r>
        <w:t>et al</w:t>
      </w:r>
      <w:r w:rsidRPr="006B086D">
        <w:t>. Use of cffDNA to avoid administration of anti-D to pregnant women when the fetus is RhD-negative: implementation in the NHS. BJOG: an international journal of obstetrics and gynaecology. 2015;122(12):1682-6.</w:t>
      </w:r>
    </w:p>
  </w:footnote>
  <w:footnote w:id="12">
    <w:p w14:paraId="1A3BA350" w14:textId="77777777" w:rsidR="00B77124" w:rsidRDefault="00B77124" w:rsidP="008414AB">
      <w:pPr>
        <w:pStyle w:val="FootnoteText"/>
      </w:pPr>
      <w:r>
        <w:rPr>
          <w:rStyle w:val="FootnoteReference"/>
        </w:rPr>
        <w:footnoteRef/>
      </w:r>
      <w:r>
        <w:t xml:space="preserve"> </w:t>
      </w:r>
      <w:r w:rsidRPr="006B086D">
        <w:t xml:space="preserve">Papasavva T, et al. Prevalence of RhD status and clinical application of non-invasive prenatal determination of fetal </w:t>
      </w:r>
      <w:r w:rsidRPr="006B086D">
        <w:rPr>
          <w:i/>
        </w:rPr>
        <w:t>RHD</w:t>
      </w:r>
      <w:r w:rsidRPr="006B086D">
        <w:t xml:space="preserve"> in maternal plasma: a 5 year experience in Cyprus. BMC research notes. 2016;9:198.</w:t>
      </w:r>
    </w:p>
  </w:footnote>
  <w:footnote w:id="13">
    <w:p w14:paraId="7CF5055B" w14:textId="77777777" w:rsidR="00B77124" w:rsidRDefault="00B77124" w:rsidP="008414AB">
      <w:pPr>
        <w:pStyle w:val="FootnoteText"/>
      </w:pPr>
      <w:r>
        <w:rPr>
          <w:rStyle w:val="FootnoteReference"/>
        </w:rPr>
        <w:footnoteRef/>
      </w:r>
      <w:r>
        <w:t xml:space="preserve"> Haimila K</w:t>
      </w:r>
      <w:r w:rsidRPr="006B086D">
        <w:t>, et al. Targeted antenatal anti-D prophylaxis program for RhD-negative pregnant women – outcome of the first two years of a national program in Finland. Acta Obstetricia et Gynecologica Scandinavica. 2017;96(10):1228-33.</w:t>
      </w:r>
    </w:p>
  </w:footnote>
  <w:footnote w:id="14">
    <w:p w14:paraId="5EDB7755" w14:textId="77777777" w:rsidR="00B77124" w:rsidRDefault="00B77124" w:rsidP="008414AB">
      <w:pPr>
        <w:pStyle w:val="FootnoteText"/>
      </w:pPr>
      <w:r>
        <w:rPr>
          <w:rStyle w:val="FootnoteReference"/>
        </w:rPr>
        <w:footnoteRef/>
      </w:r>
      <w:r>
        <w:t xml:space="preserve"> </w:t>
      </w:r>
      <w:r w:rsidRPr="006B086D">
        <w:t xml:space="preserve">Darlington M, et al. Effectiveness and costs of non-invasive foetal </w:t>
      </w:r>
      <w:r w:rsidRPr="006B086D">
        <w:rPr>
          <w:i/>
        </w:rPr>
        <w:t>RHD</w:t>
      </w:r>
      <w:r w:rsidRPr="006B086D">
        <w:t xml:space="preserve"> genotyping in rhesus-D negative mothers: a French multicentric two-arm study of 850 women. BMC Pregnancy Childbirth. 2018;18(1):496.</w:t>
      </w:r>
    </w:p>
  </w:footnote>
  <w:footnote w:id="15">
    <w:p w14:paraId="247DDAB6" w14:textId="77777777" w:rsidR="00B77124" w:rsidRDefault="00B77124" w:rsidP="008414AB">
      <w:pPr>
        <w:pStyle w:val="FootnoteText"/>
      </w:pPr>
      <w:r>
        <w:rPr>
          <w:rStyle w:val="FootnoteReference"/>
        </w:rPr>
        <w:footnoteRef/>
      </w:r>
      <w:r>
        <w:t xml:space="preserve"> </w:t>
      </w:r>
      <w:r w:rsidRPr="003F17A4">
        <w:t>Saramago P, et al. (2018). High-throughput non-invasive prenatal testing for fetal rhesus D status in RhD-negative women not known to be sensitised to the RhD antigen: a systematic review and economic evaluation. Health Technol Assess; 22(13).</w:t>
      </w:r>
    </w:p>
  </w:footnote>
  <w:footnote w:id="16">
    <w:p w14:paraId="0B3C4200" w14:textId="77777777" w:rsidR="00B77124" w:rsidRDefault="00B77124" w:rsidP="00F53931">
      <w:pPr>
        <w:pStyle w:val="FootnoteText"/>
      </w:pPr>
      <w:r>
        <w:rPr>
          <w:rStyle w:val="FootnoteReference"/>
        </w:rPr>
        <w:footnoteRef/>
      </w:r>
      <w:r>
        <w:t xml:space="preserve"> </w:t>
      </w:r>
      <w:r w:rsidRPr="003F17A4">
        <w:t>Saramago P, et al. (2018). High-throughput non-invasive prenatal testing for fetal rhesus D status in RhD-negative women not known to be sensitised to the RhD antigen: a systematic review and economic evaluation. Health Technol Assess; 22(13).</w:t>
      </w:r>
    </w:p>
  </w:footnote>
  <w:footnote w:id="17">
    <w:p w14:paraId="21BCB139" w14:textId="77777777" w:rsidR="00B77124" w:rsidRDefault="00B77124" w:rsidP="00F53931">
      <w:pPr>
        <w:pStyle w:val="FootnoteText"/>
      </w:pPr>
      <w:r>
        <w:rPr>
          <w:rStyle w:val="FootnoteReference"/>
        </w:rPr>
        <w:footnoteRef/>
      </w:r>
      <w:r>
        <w:t xml:space="preserve"> </w:t>
      </w:r>
      <w:r w:rsidRPr="003F17A4">
        <w:t>Yang H, et al. High-throughput, non-invasive prenatal testing for fetal rhesus D status in RhD-negative women: A systematic review and meta-analysis. BMC Medicine. 2019;17(1).</w:t>
      </w:r>
    </w:p>
  </w:footnote>
  <w:footnote w:id="18">
    <w:p w14:paraId="5EE7AC86" w14:textId="77777777" w:rsidR="00B77124" w:rsidRDefault="00B77124" w:rsidP="00F53931">
      <w:pPr>
        <w:pStyle w:val="FootnoteText"/>
      </w:pPr>
      <w:r>
        <w:rPr>
          <w:rStyle w:val="FootnoteReference"/>
        </w:rPr>
        <w:footnoteRef/>
      </w:r>
      <w:r>
        <w:t xml:space="preserve"> </w:t>
      </w:r>
      <w:r w:rsidRPr="003F17A4">
        <w:t>Saramago P, et al. (2018). High-throughput non-invasive prenatal testing for fetal rhesus D status in RhD-negative women not known to be sensitised to the RhD antigen: a systematic review and economic evaluation. Health Technol Assess; 22(13).</w:t>
      </w:r>
    </w:p>
  </w:footnote>
  <w:footnote w:id="19">
    <w:p w14:paraId="78D28231" w14:textId="77777777" w:rsidR="00B77124" w:rsidRDefault="00B77124" w:rsidP="00F53931">
      <w:pPr>
        <w:pStyle w:val="FootnoteText"/>
      </w:pPr>
      <w:r>
        <w:rPr>
          <w:rStyle w:val="FootnoteReference"/>
        </w:rPr>
        <w:footnoteRef/>
      </w:r>
      <w:r>
        <w:t xml:space="preserve"> </w:t>
      </w:r>
      <w:r w:rsidRPr="003F17A4">
        <w:t>Saramago P, et al. (2018). High-throughput non-invasive prenatal testing for fetal rhesus D status in RhD-negative women not known to be sensitised to the RhD antigen: a systematic review and economic evaluation. Health Technol Assess; 22(13).</w:t>
      </w:r>
    </w:p>
  </w:footnote>
  <w:footnote w:id="20">
    <w:p w14:paraId="3ED9991F" w14:textId="77777777" w:rsidR="00B77124" w:rsidRDefault="00B77124" w:rsidP="00F53931">
      <w:pPr>
        <w:pStyle w:val="FootnoteText"/>
      </w:pPr>
      <w:r>
        <w:rPr>
          <w:rStyle w:val="FootnoteReference"/>
        </w:rPr>
        <w:footnoteRef/>
      </w:r>
      <w:r>
        <w:t xml:space="preserve"> </w:t>
      </w:r>
      <w:r w:rsidRPr="003F17A4">
        <w:t xml:space="preserve">Szczepura A, </w:t>
      </w:r>
      <w:r>
        <w:t>et al.</w:t>
      </w:r>
      <w:r w:rsidRPr="003F17A4">
        <w:t xml:space="preserve"> (2011) A new fetal </w:t>
      </w:r>
      <w:r w:rsidRPr="003F17A4">
        <w:rPr>
          <w:i/>
        </w:rPr>
        <w:t>RHD</w:t>
      </w:r>
      <w:r w:rsidRPr="003F17A4">
        <w:t xml:space="preserve"> genotyping test: costs and benefits of mass testing to target antenatal anti-D prophylaxis in England and Wales. BMC Pregnancy Childbirth;11:5.</w:t>
      </w:r>
    </w:p>
  </w:footnote>
  <w:footnote w:id="21">
    <w:p w14:paraId="3CD415E6" w14:textId="77777777" w:rsidR="00B77124" w:rsidRDefault="00B77124" w:rsidP="00F53931">
      <w:pPr>
        <w:pStyle w:val="FootnoteText"/>
      </w:pPr>
      <w:r>
        <w:rPr>
          <w:rStyle w:val="FootnoteReference"/>
        </w:rPr>
        <w:footnoteRef/>
      </w:r>
      <w:r>
        <w:t xml:space="preserve"> </w:t>
      </w:r>
      <w:r w:rsidRPr="003F17A4">
        <w:t>Duplantie J, et al. (2013) Cost/effectiveness of Rh negative pregnant women management. Biochimica Clinica;37:S409.</w:t>
      </w:r>
    </w:p>
  </w:footnote>
  <w:footnote w:id="22">
    <w:p w14:paraId="2F58F804" w14:textId="77777777" w:rsidR="00B77124" w:rsidRDefault="00B77124" w:rsidP="00F53931">
      <w:pPr>
        <w:pStyle w:val="FootnoteText"/>
      </w:pPr>
      <w:r>
        <w:rPr>
          <w:rStyle w:val="FootnoteReference"/>
        </w:rPr>
        <w:footnoteRef/>
      </w:r>
      <w:r>
        <w:t xml:space="preserve"> </w:t>
      </w:r>
      <w:r w:rsidRPr="003F17A4">
        <w:t xml:space="preserve">Hawk AF, </w:t>
      </w:r>
      <w:r>
        <w:t>et al.</w:t>
      </w:r>
      <w:r w:rsidRPr="003F17A4">
        <w:t xml:space="preserve"> (2013) Costs and clinical outcomes of noninvasive fetal RhD typing for targeted prophylaxis. Obstet Gynecol;122(3):579-85.</w:t>
      </w:r>
    </w:p>
  </w:footnote>
  <w:footnote w:id="23">
    <w:p w14:paraId="032F74AB" w14:textId="77777777" w:rsidR="00B77124" w:rsidRDefault="00B77124" w:rsidP="00F53931">
      <w:pPr>
        <w:pStyle w:val="FootnoteText"/>
      </w:pPr>
      <w:r>
        <w:rPr>
          <w:rStyle w:val="FootnoteReference"/>
        </w:rPr>
        <w:footnoteRef/>
      </w:r>
      <w:r>
        <w:t xml:space="preserve"> </w:t>
      </w:r>
      <w:r w:rsidRPr="003F17A4">
        <w:t xml:space="preserve">Neovius M, </w:t>
      </w:r>
      <w:r>
        <w:t>et al.</w:t>
      </w:r>
      <w:r w:rsidRPr="003F17A4">
        <w:t xml:space="preserve"> (2016). Cost-effectiveness of first trimester non-invasive fetal </w:t>
      </w:r>
      <w:r w:rsidRPr="003F17A4">
        <w:rPr>
          <w:i/>
        </w:rPr>
        <w:t>RHD</w:t>
      </w:r>
      <w:r w:rsidRPr="003F17A4">
        <w:t xml:space="preserve"> screening for targeted antenatal anti-D prophylaxis in RhD-negative pregnant women: a model-based analysis. BJOG.123(8): 1337–46.</w:t>
      </w:r>
    </w:p>
  </w:footnote>
  <w:footnote w:id="24">
    <w:p w14:paraId="4E9B74F9" w14:textId="77777777" w:rsidR="00B77124" w:rsidRDefault="00B77124" w:rsidP="00F53931">
      <w:pPr>
        <w:pStyle w:val="FootnoteText"/>
      </w:pPr>
      <w:r>
        <w:rPr>
          <w:rStyle w:val="FootnoteReference"/>
        </w:rPr>
        <w:footnoteRef/>
      </w:r>
      <w:r>
        <w:t xml:space="preserve"> </w:t>
      </w:r>
      <w:r w:rsidRPr="006B086D">
        <w:t xml:space="preserve">Darlington M, et al. Effectiveness and costs of non-invasive foetal </w:t>
      </w:r>
      <w:r w:rsidRPr="006B086D">
        <w:rPr>
          <w:i/>
        </w:rPr>
        <w:t>RHD</w:t>
      </w:r>
      <w:r w:rsidRPr="006B086D">
        <w:t xml:space="preserve"> genotyping in rhesus-D negative mothers: a French multicentric two-arm study of 850 women. BMC Pregnancy Childbirth. 2018;18(1):496.</w:t>
      </w:r>
    </w:p>
  </w:footnote>
  <w:footnote w:id="25">
    <w:p w14:paraId="3CE35EC8" w14:textId="77777777" w:rsidR="00B77124" w:rsidRDefault="00B77124" w:rsidP="00F53931">
      <w:pPr>
        <w:pStyle w:val="FootnoteText"/>
      </w:pPr>
      <w:r>
        <w:rPr>
          <w:rStyle w:val="FootnoteReference"/>
        </w:rPr>
        <w:footnoteRef/>
      </w:r>
      <w:r>
        <w:t xml:space="preserve"> </w:t>
      </w:r>
      <w:r w:rsidRPr="003F17A4">
        <w:t>Demirel E,</w:t>
      </w:r>
      <w:r>
        <w:t xml:space="preserve"> et al.</w:t>
      </w:r>
      <w:r w:rsidRPr="003F17A4">
        <w:t xml:space="preserve"> (2018) Is the management of Rh-Rh incompatibility with noninvasive fetal Rh genotyping for targeted prophylaxis cost-effective in the Turkish population? Turkish Journal of Medical Sciences; 48: 1-4</w:t>
      </w:r>
    </w:p>
  </w:footnote>
  <w:footnote w:id="26">
    <w:p w14:paraId="79B805D4" w14:textId="77777777" w:rsidR="00B77124" w:rsidRDefault="00B77124" w:rsidP="00F53931">
      <w:pPr>
        <w:pStyle w:val="FootnoteText"/>
      </w:pPr>
      <w:r>
        <w:rPr>
          <w:rStyle w:val="FootnoteReference"/>
        </w:rPr>
        <w:footnoteRef/>
      </w:r>
      <w:r>
        <w:t xml:space="preserve"> </w:t>
      </w:r>
      <w:r w:rsidRPr="00205630">
        <w:t xml:space="preserve">Moise KJ, </w:t>
      </w:r>
      <w:r>
        <w:t>et al</w:t>
      </w:r>
      <w:r w:rsidRPr="00205630">
        <w:t>. Cell free fetal DNA to triage antenatal rhesus immune globulin: is it really cost-effective in the United States? Prenatal Diagnosis. 2019.</w:t>
      </w:r>
    </w:p>
  </w:footnote>
  <w:footnote w:id="27">
    <w:p w14:paraId="23C49ACA" w14:textId="77777777" w:rsidR="00B77124" w:rsidRDefault="00B77124" w:rsidP="00F53931">
      <w:pPr>
        <w:pStyle w:val="FootnoteText"/>
      </w:pPr>
      <w:r>
        <w:rPr>
          <w:rStyle w:val="FootnoteReference"/>
        </w:rPr>
        <w:footnoteRef/>
      </w:r>
      <w:r>
        <w:t xml:space="preserve"> </w:t>
      </w:r>
      <w:r w:rsidRPr="003F17A4">
        <w:t xml:space="preserve">Hawk AF, </w:t>
      </w:r>
      <w:r>
        <w:t>et al.</w:t>
      </w:r>
      <w:r w:rsidRPr="003F17A4">
        <w:t xml:space="preserve"> (2013) Costs and clinical outcomes of noninvasive fetal RhD typing for targeted prophylaxis. Obstet Gynecol;122(3):579-85.</w:t>
      </w:r>
    </w:p>
  </w:footnote>
  <w:footnote w:id="28">
    <w:p w14:paraId="48730C20" w14:textId="77777777" w:rsidR="00B77124" w:rsidRDefault="00B77124" w:rsidP="00F53931">
      <w:pPr>
        <w:pStyle w:val="FootnoteText"/>
      </w:pPr>
      <w:r>
        <w:rPr>
          <w:rStyle w:val="FootnoteReference"/>
        </w:rPr>
        <w:footnoteRef/>
      </w:r>
      <w:r>
        <w:t xml:space="preserve"> </w:t>
      </w:r>
      <w:r w:rsidRPr="003F17A4">
        <w:t xml:space="preserve">Szczepura A, </w:t>
      </w:r>
      <w:r>
        <w:t>et al.</w:t>
      </w:r>
      <w:r w:rsidRPr="003F17A4">
        <w:t xml:space="preserve"> (2011) A new fetal </w:t>
      </w:r>
      <w:r w:rsidRPr="003F17A4">
        <w:rPr>
          <w:i/>
        </w:rPr>
        <w:t>RHD</w:t>
      </w:r>
      <w:r w:rsidRPr="003F17A4">
        <w:t xml:space="preserve"> genotyping test: costs and benefits of mass testing to target antenatal anti-D prophylaxis in England and Wales. BMC Pregnancy Childbirth;11:5.</w:t>
      </w:r>
    </w:p>
  </w:footnote>
  <w:footnote w:id="29">
    <w:p w14:paraId="00A5122D" w14:textId="77777777" w:rsidR="00B77124" w:rsidRDefault="00B77124" w:rsidP="00F53931">
      <w:pPr>
        <w:pStyle w:val="FootnoteText"/>
      </w:pPr>
      <w:r>
        <w:rPr>
          <w:rStyle w:val="FootnoteReference"/>
        </w:rPr>
        <w:footnoteRef/>
      </w:r>
      <w:r>
        <w:t xml:space="preserve"> </w:t>
      </w:r>
      <w:r w:rsidRPr="003F17A4">
        <w:t xml:space="preserve">Hawk AF, </w:t>
      </w:r>
      <w:r>
        <w:t>et al.</w:t>
      </w:r>
      <w:r w:rsidRPr="003F17A4">
        <w:t xml:space="preserve"> (2013) Costs and clinical outcomes of noninvasive fetal RhD typing for targeted prophylaxis. Obstet Gynecol;122(3):579-85.</w:t>
      </w:r>
    </w:p>
  </w:footnote>
  <w:footnote w:id="30">
    <w:p w14:paraId="57B70710" w14:textId="77777777" w:rsidR="00B77124" w:rsidRDefault="00B77124" w:rsidP="00F53931">
      <w:pPr>
        <w:pStyle w:val="FootnoteText"/>
      </w:pPr>
      <w:r>
        <w:rPr>
          <w:rStyle w:val="FootnoteReference"/>
        </w:rPr>
        <w:footnoteRef/>
      </w:r>
      <w:r>
        <w:t xml:space="preserve"> </w:t>
      </w:r>
      <w:r w:rsidRPr="003F17A4">
        <w:t xml:space="preserve">Neovius M, </w:t>
      </w:r>
      <w:r>
        <w:t>et al.</w:t>
      </w:r>
      <w:r w:rsidRPr="003F17A4">
        <w:t xml:space="preserve"> (2016). Cost-effectiveness of first trimester non-invasive fetal </w:t>
      </w:r>
      <w:r w:rsidRPr="003F17A4">
        <w:rPr>
          <w:i/>
        </w:rPr>
        <w:t>RHD</w:t>
      </w:r>
      <w:r w:rsidRPr="003F17A4">
        <w:t xml:space="preserve"> screening for targeted antenatal anti-D prophylaxis in RhD-negative pregnant women: a model-based analysis. BJOG.123(8): 1337–46.</w:t>
      </w:r>
    </w:p>
  </w:footnote>
  <w:footnote w:id="31">
    <w:p w14:paraId="2396CBEE" w14:textId="77777777" w:rsidR="00B77124" w:rsidRDefault="00B77124" w:rsidP="00F53931">
      <w:pPr>
        <w:pStyle w:val="FootnoteText"/>
      </w:pPr>
      <w:r>
        <w:rPr>
          <w:rStyle w:val="FootnoteReference"/>
        </w:rPr>
        <w:footnoteRef/>
      </w:r>
      <w:r>
        <w:t xml:space="preserve"> </w:t>
      </w:r>
      <w:r w:rsidRPr="003F17A4">
        <w:t>Duplantie J, et al. (2013) Cost/effectiveness of Rh negative pregnant women management. Biochimica Clinica;37:S409.</w:t>
      </w:r>
    </w:p>
  </w:footnote>
  <w:footnote w:id="32">
    <w:p w14:paraId="6B1A239A" w14:textId="77777777" w:rsidR="00B77124" w:rsidRDefault="00B77124" w:rsidP="00F53931">
      <w:pPr>
        <w:pStyle w:val="FootnoteText"/>
      </w:pPr>
      <w:r>
        <w:rPr>
          <w:rStyle w:val="FootnoteReference"/>
        </w:rPr>
        <w:footnoteRef/>
      </w:r>
      <w:r>
        <w:t xml:space="preserve"> </w:t>
      </w:r>
      <w:r w:rsidRPr="003F17A4">
        <w:t>Saramago P, et al. (2018). High-throughput non-invasive prenatal testing for fetal rhesus D status in RhD-negative women not known to be sensitised to the RhD antigen: a systematic review and economic evaluation. Health Technol Assess; 22(13).</w:t>
      </w:r>
    </w:p>
  </w:footnote>
  <w:footnote w:id="33">
    <w:p w14:paraId="64D4C959" w14:textId="25B5DDAA" w:rsidR="00B77124" w:rsidRDefault="00B77124" w:rsidP="00F53931">
      <w:pPr>
        <w:pStyle w:val="FootnoteText"/>
      </w:pPr>
      <w:r>
        <w:rPr>
          <w:rStyle w:val="FootnoteReference"/>
        </w:rPr>
        <w:footnoteRef/>
      </w:r>
      <w:r>
        <w:t xml:space="preserve"> </w:t>
      </w:r>
      <w:r w:rsidRPr="00205630">
        <w:t xml:space="preserve">Ontario HTA Series (Draft). Noninvasive Fetal RhD Blood Group Genotyping: A Health Technology Assessment. 2020 </w:t>
      </w:r>
      <w:hyperlink r:id="rId1" w:tooltip="Link to ONTARIO HEALTH TECHNOLOGY ASSESSMENT SERIES" w:history="1">
        <w:r w:rsidRPr="00205630">
          <w:rPr>
            <w:rStyle w:val="Hyperlink"/>
          </w:rPr>
          <w:t>https://www.hqontario.ca/Portals/0/Documents/evidence/open-comment/hta-noninvasive-fetal-rhd-blood-group-genotyping-2001.pdf</w:t>
        </w:r>
      </w:hyperlink>
      <w:r w:rsidRPr="00205630">
        <w:t xml:space="preserve"> [accessed 31 July 2020].</w:t>
      </w:r>
    </w:p>
  </w:footnote>
  <w:footnote w:id="34">
    <w:p w14:paraId="523D45A8" w14:textId="77777777" w:rsidR="00B77124" w:rsidRDefault="00B77124" w:rsidP="00F53931">
      <w:pPr>
        <w:pStyle w:val="FootnoteText"/>
      </w:pPr>
      <w:r>
        <w:rPr>
          <w:rStyle w:val="FootnoteReference"/>
        </w:rPr>
        <w:footnoteRef/>
      </w:r>
      <w:r>
        <w:t xml:space="preserve"> </w:t>
      </w:r>
      <w:r w:rsidRPr="003F17A4">
        <w:t xml:space="preserve">Szczepura A, </w:t>
      </w:r>
      <w:r>
        <w:t>et al.</w:t>
      </w:r>
      <w:r w:rsidRPr="003F17A4">
        <w:t xml:space="preserve"> (2011) A new fetal </w:t>
      </w:r>
      <w:r w:rsidRPr="003F17A4">
        <w:rPr>
          <w:i/>
        </w:rPr>
        <w:t>RHD</w:t>
      </w:r>
      <w:r w:rsidRPr="003F17A4">
        <w:t xml:space="preserve"> genotyping test: costs and benefits of mass testing to target antenatal anti-D prophylaxis in England and Wales. BMC Pregnancy Childbirth;11:5.</w:t>
      </w:r>
    </w:p>
  </w:footnote>
  <w:footnote w:id="35">
    <w:p w14:paraId="13A60E35" w14:textId="77777777" w:rsidR="00B77124" w:rsidRDefault="00B77124" w:rsidP="00F53931">
      <w:pPr>
        <w:pStyle w:val="FootnoteText"/>
      </w:pPr>
      <w:r>
        <w:rPr>
          <w:rStyle w:val="FootnoteReference"/>
        </w:rPr>
        <w:footnoteRef/>
      </w:r>
      <w:r>
        <w:t xml:space="preserve"> </w:t>
      </w:r>
      <w:r w:rsidRPr="003F17A4">
        <w:t xml:space="preserve">Hawk AF, </w:t>
      </w:r>
      <w:r>
        <w:t>et al.</w:t>
      </w:r>
      <w:r w:rsidRPr="003F17A4">
        <w:t xml:space="preserve"> (2013) Costs and clinical outcomes of noninvasive fetal RhD typing for targeted prophylaxis. Obstet Gynecol;122(3):579-85.</w:t>
      </w:r>
    </w:p>
  </w:footnote>
  <w:footnote w:id="36">
    <w:p w14:paraId="647BC85D" w14:textId="77777777" w:rsidR="00B77124" w:rsidRDefault="00B77124" w:rsidP="00F53931">
      <w:pPr>
        <w:pStyle w:val="FootnoteText"/>
      </w:pPr>
      <w:r>
        <w:rPr>
          <w:rStyle w:val="FootnoteReference"/>
        </w:rPr>
        <w:footnoteRef/>
      </w:r>
      <w:r>
        <w:t xml:space="preserve"> </w:t>
      </w:r>
      <w:r w:rsidRPr="003F17A4">
        <w:t>Duplantie J, et al. (2013) Cost/effectiveness of Rh negative pregnant women management. Biochimica Clinica;37:S409.</w:t>
      </w:r>
    </w:p>
  </w:footnote>
  <w:footnote w:id="37">
    <w:p w14:paraId="7BC29211" w14:textId="77777777" w:rsidR="00B77124" w:rsidRDefault="00B77124" w:rsidP="00F53931">
      <w:pPr>
        <w:pStyle w:val="FootnoteText"/>
      </w:pPr>
      <w:r>
        <w:rPr>
          <w:rStyle w:val="FootnoteReference"/>
        </w:rPr>
        <w:footnoteRef/>
      </w:r>
      <w:r>
        <w:t xml:space="preserve"> </w:t>
      </w:r>
      <w:r w:rsidRPr="00205630">
        <w:t xml:space="preserve">Legler TJ, </w:t>
      </w:r>
      <w:r>
        <w:t>et al</w:t>
      </w:r>
      <w:r w:rsidRPr="00205630">
        <w:t>. Prenatal RhD Testing: A Review of Studies Published from 2006 to 2008. Transfus Med Hemother. 2009;36(3):189-198.</w:t>
      </w:r>
    </w:p>
  </w:footnote>
  <w:footnote w:id="38">
    <w:p w14:paraId="726A80CC" w14:textId="77777777" w:rsidR="00B77124" w:rsidRDefault="00B77124" w:rsidP="00F53931">
      <w:pPr>
        <w:pStyle w:val="FootnoteText"/>
      </w:pPr>
      <w:r>
        <w:rPr>
          <w:rStyle w:val="FootnoteReference"/>
        </w:rPr>
        <w:footnoteRef/>
      </w:r>
      <w:r>
        <w:t xml:space="preserve"> </w:t>
      </w:r>
      <w:r w:rsidRPr="00BE19FD">
        <w:t xml:space="preserve">Gordon LG, et al. (2017). Noninvasive fetal </w:t>
      </w:r>
      <w:r w:rsidRPr="00BE19FD">
        <w:rPr>
          <w:i/>
        </w:rPr>
        <w:t>RHD</w:t>
      </w:r>
      <w:r w:rsidRPr="00BE19FD">
        <w:t xml:space="preserve"> genotyping of RhD negative pregnant women for targeted anti-D therapy in Australia: A cost-effectiveness analysis. Prenat Diagn. 37(12): 1245-53.</w:t>
      </w:r>
    </w:p>
  </w:footnote>
  <w:footnote w:id="39">
    <w:p w14:paraId="7ADBFE3A" w14:textId="77777777" w:rsidR="00B77124" w:rsidRDefault="00B77124" w:rsidP="00F53931">
      <w:pPr>
        <w:pStyle w:val="FootnoteText"/>
      </w:pPr>
      <w:r>
        <w:rPr>
          <w:rStyle w:val="FootnoteReference"/>
        </w:rPr>
        <w:footnoteRef/>
      </w:r>
      <w:r>
        <w:t xml:space="preserve"> </w:t>
      </w:r>
      <w:r w:rsidRPr="00205630">
        <w:t>Sanchez-Duran MA, et al. Management and outcome of pregnancies in women with red cell isoimmunization: a 15-year observational study from a tertiary care university hospital. (2019) BMC Pregnancy and Childbirth (2019) 19:356.</w:t>
      </w:r>
    </w:p>
  </w:footnote>
  <w:footnote w:id="40">
    <w:p w14:paraId="64B4FB77" w14:textId="77777777" w:rsidR="00B77124" w:rsidRDefault="00B77124" w:rsidP="00A905FF">
      <w:pPr>
        <w:pStyle w:val="FootnoteText"/>
      </w:pPr>
      <w:r>
        <w:rPr>
          <w:rStyle w:val="FootnoteReference"/>
        </w:rPr>
        <w:footnoteRef/>
      </w:r>
      <w:r>
        <w:t xml:space="preserve"> </w:t>
      </w:r>
      <w:r w:rsidRPr="00B56FF2">
        <w:t>Yang H, et al. High-throughput, non-invasive prenatal testing for fetal rhesus D status in RhD-negative women: A systematic review and meta-analysis. BMC Medicine. 2019;17(1).</w:t>
      </w:r>
    </w:p>
  </w:footnote>
  <w:footnote w:id="41">
    <w:p w14:paraId="0E2002F0" w14:textId="77777777" w:rsidR="00B77124" w:rsidRDefault="00B77124" w:rsidP="00A905FF">
      <w:pPr>
        <w:pStyle w:val="FootnoteText"/>
      </w:pPr>
      <w:r>
        <w:rPr>
          <w:rStyle w:val="FootnoteReference"/>
        </w:rPr>
        <w:footnoteRef/>
      </w:r>
      <w:r>
        <w:t xml:space="preserve"> </w:t>
      </w:r>
      <w:r w:rsidRPr="00B56FF2">
        <w:t xml:space="preserve">Runkel B, </w:t>
      </w:r>
      <w:r>
        <w:t>et al.</w:t>
      </w:r>
      <w:r w:rsidRPr="00B56FF2">
        <w:t xml:space="preserve"> Targeted antenatal anti-D prophylaxis for RhD-negative pregnant women: A systematic review. BMC Pregnancy and Childbirth. 2020;20(1).</w:t>
      </w:r>
    </w:p>
  </w:footnote>
  <w:footnote w:id="42">
    <w:p w14:paraId="7D1D6A94" w14:textId="77777777" w:rsidR="00B77124" w:rsidRDefault="00B77124" w:rsidP="00A905FF">
      <w:pPr>
        <w:pStyle w:val="FootnoteText"/>
      </w:pPr>
      <w:r>
        <w:rPr>
          <w:rStyle w:val="FootnoteReference"/>
        </w:rPr>
        <w:footnoteRef/>
      </w:r>
      <w:r>
        <w:t xml:space="preserve"> </w:t>
      </w:r>
      <w:r w:rsidRPr="00B56FF2">
        <w:t>Yang H, et al. High-throughput, non-invasive prenatal testing for fetal rhesus D status in RhD-negative women: A systematic review and meta-analysis. BMC Medicine. 2019;17(1).</w:t>
      </w:r>
    </w:p>
  </w:footnote>
  <w:footnote w:id="43">
    <w:p w14:paraId="6C8EB536" w14:textId="77777777" w:rsidR="00B77124" w:rsidRDefault="00B77124" w:rsidP="00A905FF">
      <w:pPr>
        <w:pStyle w:val="FootnoteText"/>
      </w:pPr>
      <w:r>
        <w:rPr>
          <w:rStyle w:val="FootnoteReference"/>
        </w:rPr>
        <w:footnoteRef/>
      </w:r>
      <w:r>
        <w:t xml:space="preserve"> </w:t>
      </w:r>
      <w:r w:rsidRPr="00B56FF2">
        <w:t xml:space="preserve">Runkel B, </w:t>
      </w:r>
      <w:r>
        <w:t>et al.</w:t>
      </w:r>
      <w:r w:rsidRPr="00B56FF2">
        <w:t xml:space="preserve"> Targeted antenatal anti-D prophylaxis for RhD-negative pregnant women: A systematic review. BMC Pregnancy and Childbirth. 2020;20(1).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42D2" w14:textId="77777777" w:rsidR="00C30EAD" w:rsidRDefault="00C3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3206" w14:textId="77777777" w:rsidR="00C30EAD" w:rsidRDefault="00C3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4E94" w14:textId="77777777" w:rsidR="00C30EAD" w:rsidRDefault="00C30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5BA475F"/>
    <w:multiLevelType w:val="hybridMultilevel"/>
    <w:tmpl w:val="8608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A759A"/>
    <w:multiLevelType w:val="hybridMultilevel"/>
    <w:tmpl w:val="83F4A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A6E7C"/>
    <w:multiLevelType w:val="hybridMultilevel"/>
    <w:tmpl w:val="083AF428"/>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9322631">
    <w:abstractNumId w:val="7"/>
  </w:num>
  <w:num w:numId="2" w16cid:durableId="200630534">
    <w:abstractNumId w:val="16"/>
  </w:num>
  <w:num w:numId="3" w16cid:durableId="47151400">
    <w:abstractNumId w:val="1"/>
  </w:num>
  <w:num w:numId="4" w16cid:durableId="215631799">
    <w:abstractNumId w:val="18"/>
  </w:num>
  <w:num w:numId="5" w16cid:durableId="2136213782">
    <w:abstractNumId w:val="12"/>
  </w:num>
  <w:num w:numId="6" w16cid:durableId="315304821">
    <w:abstractNumId w:val="17"/>
  </w:num>
  <w:num w:numId="7" w16cid:durableId="558517836">
    <w:abstractNumId w:val="21"/>
  </w:num>
  <w:num w:numId="8" w16cid:durableId="1141070660">
    <w:abstractNumId w:val="13"/>
  </w:num>
  <w:num w:numId="9" w16cid:durableId="16128781">
    <w:abstractNumId w:val="28"/>
  </w:num>
  <w:num w:numId="10" w16cid:durableId="1032612895">
    <w:abstractNumId w:val="0"/>
  </w:num>
  <w:num w:numId="11" w16cid:durableId="1488937466">
    <w:abstractNumId w:val="20"/>
  </w:num>
  <w:num w:numId="12" w16cid:durableId="1962686003">
    <w:abstractNumId w:val="22"/>
  </w:num>
  <w:num w:numId="13" w16cid:durableId="996299850">
    <w:abstractNumId w:val="5"/>
  </w:num>
  <w:num w:numId="14" w16cid:durableId="2049602689">
    <w:abstractNumId w:val="26"/>
  </w:num>
  <w:num w:numId="15" w16cid:durableId="1024019898">
    <w:abstractNumId w:val="19"/>
  </w:num>
  <w:num w:numId="16" w16cid:durableId="1619019856">
    <w:abstractNumId w:val="23"/>
  </w:num>
  <w:num w:numId="17" w16cid:durableId="1612786435">
    <w:abstractNumId w:val="14"/>
  </w:num>
  <w:num w:numId="18" w16cid:durableId="1769081375">
    <w:abstractNumId w:val="15"/>
  </w:num>
  <w:num w:numId="19" w16cid:durableId="1544100378">
    <w:abstractNumId w:val="25"/>
  </w:num>
  <w:num w:numId="20" w16cid:durableId="524759300">
    <w:abstractNumId w:val="24"/>
  </w:num>
  <w:num w:numId="21" w16cid:durableId="943534049">
    <w:abstractNumId w:val="3"/>
  </w:num>
  <w:num w:numId="22" w16cid:durableId="403266016">
    <w:abstractNumId w:val="11"/>
  </w:num>
  <w:num w:numId="23" w16cid:durableId="2091536893">
    <w:abstractNumId w:val="2"/>
  </w:num>
  <w:num w:numId="24" w16cid:durableId="1392268164">
    <w:abstractNumId w:val="10"/>
  </w:num>
  <w:num w:numId="25" w16cid:durableId="220408554">
    <w:abstractNumId w:val="6"/>
  </w:num>
  <w:num w:numId="26" w16cid:durableId="893658779">
    <w:abstractNumId w:val="8"/>
  </w:num>
  <w:num w:numId="27" w16cid:durableId="2042171690">
    <w:abstractNumId w:val="4"/>
  </w:num>
  <w:num w:numId="28" w16cid:durableId="819923631">
    <w:abstractNumId w:val="9"/>
  </w:num>
  <w:num w:numId="29" w16cid:durableId="11480868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045E"/>
    <w:rsid w:val="00001B31"/>
    <w:rsid w:val="000064FA"/>
    <w:rsid w:val="00007312"/>
    <w:rsid w:val="00010842"/>
    <w:rsid w:val="000113B8"/>
    <w:rsid w:val="00011A36"/>
    <w:rsid w:val="0001311B"/>
    <w:rsid w:val="000161E7"/>
    <w:rsid w:val="000247D0"/>
    <w:rsid w:val="00030EA1"/>
    <w:rsid w:val="00031171"/>
    <w:rsid w:val="000317F2"/>
    <w:rsid w:val="00033179"/>
    <w:rsid w:val="00037DFB"/>
    <w:rsid w:val="00040E89"/>
    <w:rsid w:val="00044B7A"/>
    <w:rsid w:val="00047606"/>
    <w:rsid w:val="00053FE0"/>
    <w:rsid w:val="000623B7"/>
    <w:rsid w:val="00064A83"/>
    <w:rsid w:val="00065623"/>
    <w:rsid w:val="000756B9"/>
    <w:rsid w:val="000832C3"/>
    <w:rsid w:val="00084292"/>
    <w:rsid w:val="00087D58"/>
    <w:rsid w:val="000901FC"/>
    <w:rsid w:val="00096B67"/>
    <w:rsid w:val="00096DAF"/>
    <w:rsid w:val="000A435C"/>
    <w:rsid w:val="000C2F47"/>
    <w:rsid w:val="000D1241"/>
    <w:rsid w:val="000D2B9A"/>
    <w:rsid w:val="000D6C00"/>
    <w:rsid w:val="000D746D"/>
    <w:rsid w:val="000E0143"/>
    <w:rsid w:val="000E4E04"/>
    <w:rsid w:val="000E6AF0"/>
    <w:rsid w:val="000F14B4"/>
    <w:rsid w:val="000F63D2"/>
    <w:rsid w:val="000F75DF"/>
    <w:rsid w:val="001023DC"/>
    <w:rsid w:val="0010418B"/>
    <w:rsid w:val="00107EB8"/>
    <w:rsid w:val="001120B6"/>
    <w:rsid w:val="001166D6"/>
    <w:rsid w:val="00121C86"/>
    <w:rsid w:val="00126D6F"/>
    <w:rsid w:val="001328FA"/>
    <w:rsid w:val="00132B77"/>
    <w:rsid w:val="00143102"/>
    <w:rsid w:val="00145F00"/>
    <w:rsid w:val="00147AAF"/>
    <w:rsid w:val="00154B64"/>
    <w:rsid w:val="001552C0"/>
    <w:rsid w:val="001640B1"/>
    <w:rsid w:val="00165FD5"/>
    <w:rsid w:val="00171A59"/>
    <w:rsid w:val="00180211"/>
    <w:rsid w:val="001842B7"/>
    <w:rsid w:val="0018435E"/>
    <w:rsid w:val="001843E2"/>
    <w:rsid w:val="00194A71"/>
    <w:rsid w:val="001B6476"/>
    <w:rsid w:val="001C19E9"/>
    <w:rsid w:val="001C1FFA"/>
    <w:rsid w:val="001C31DE"/>
    <w:rsid w:val="001C5974"/>
    <w:rsid w:val="001C6143"/>
    <w:rsid w:val="001D498D"/>
    <w:rsid w:val="001D66AC"/>
    <w:rsid w:val="001E3F42"/>
    <w:rsid w:val="001E72B8"/>
    <w:rsid w:val="001F0125"/>
    <w:rsid w:val="001F418F"/>
    <w:rsid w:val="002041A1"/>
    <w:rsid w:val="002054F0"/>
    <w:rsid w:val="0022169D"/>
    <w:rsid w:val="00222DAE"/>
    <w:rsid w:val="00223332"/>
    <w:rsid w:val="0022488B"/>
    <w:rsid w:val="00230D6B"/>
    <w:rsid w:val="00232068"/>
    <w:rsid w:val="002330F2"/>
    <w:rsid w:val="00233694"/>
    <w:rsid w:val="00234C7C"/>
    <w:rsid w:val="00241AC6"/>
    <w:rsid w:val="00243D9E"/>
    <w:rsid w:val="002462D4"/>
    <w:rsid w:val="00253B66"/>
    <w:rsid w:val="00254C6F"/>
    <w:rsid w:val="00255162"/>
    <w:rsid w:val="00255E54"/>
    <w:rsid w:val="00256B50"/>
    <w:rsid w:val="00257A11"/>
    <w:rsid w:val="00261DF1"/>
    <w:rsid w:val="00271F18"/>
    <w:rsid w:val="002723A6"/>
    <w:rsid w:val="0028237B"/>
    <w:rsid w:val="00282779"/>
    <w:rsid w:val="00282E61"/>
    <w:rsid w:val="0028334D"/>
    <w:rsid w:val="00287F86"/>
    <w:rsid w:val="002928EC"/>
    <w:rsid w:val="002A5398"/>
    <w:rsid w:val="002A68EB"/>
    <w:rsid w:val="002B2FF3"/>
    <w:rsid w:val="002B7FFA"/>
    <w:rsid w:val="002C2BCF"/>
    <w:rsid w:val="002C4D9F"/>
    <w:rsid w:val="002C6CD4"/>
    <w:rsid w:val="002D0F4D"/>
    <w:rsid w:val="002D2090"/>
    <w:rsid w:val="002D3C35"/>
    <w:rsid w:val="002E5F36"/>
    <w:rsid w:val="002F279D"/>
    <w:rsid w:val="002F3DCC"/>
    <w:rsid w:val="002F43B8"/>
    <w:rsid w:val="002F6B89"/>
    <w:rsid w:val="002F7797"/>
    <w:rsid w:val="00305F89"/>
    <w:rsid w:val="00307B80"/>
    <w:rsid w:val="00315CA0"/>
    <w:rsid w:val="00316A76"/>
    <w:rsid w:val="0033044E"/>
    <w:rsid w:val="00336856"/>
    <w:rsid w:val="00342E7F"/>
    <w:rsid w:val="0034554D"/>
    <w:rsid w:val="00351548"/>
    <w:rsid w:val="00352224"/>
    <w:rsid w:val="0036275A"/>
    <w:rsid w:val="003632BB"/>
    <w:rsid w:val="003646A7"/>
    <w:rsid w:val="003671E6"/>
    <w:rsid w:val="003724D2"/>
    <w:rsid w:val="0037497F"/>
    <w:rsid w:val="00382191"/>
    <w:rsid w:val="00383EED"/>
    <w:rsid w:val="00384272"/>
    <w:rsid w:val="003855E5"/>
    <w:rsid w:val="00386D67"/>
    <w:rsid w:val="00390CC4"/>
    <w:rsid w:val="003918B3"/>
    <w:rsid w:val="0039375B"/>
    <w:rsid w:val="003945B8"/>
    <w:rsid w:val="00394A92"/>
    <w:rsid w:val="0039541E"/>
    <w:rsid w:val="003A4783"/>
    <w:rsid w:val="003A49AE"/>
    <w:rsid w:val="003A5384"/>
    <w:rsid w:val="003A6C20"/>
    <w:rsid w:val="003B0C7B"/>
    <w:rsid w:val="003C6E0C"/>
    <w:rsid w:val="003D03E7"/>
    <w:rsid w:val="003D1E20"/>
    <w:rsid w:val="003D7F29"/>
    <w:rsid w:val="003E3F54"/>
    <w:rsid w:val="003E5219"/>
    <w:rsid w:val="003E70F4"/>
    <w:rsid w:val="003F5508"/>
    <w:rsid w:val="003F7DBA"/>
    <w:rsid w:val="004033F4"/>
    <w:rsid w:val="00405A6B"/>
    <w:rsid w:val="00407870"/>
    <w:rsid w:val="00407B1F"/>
    <w:rsid w:val="0041184F"/>
    <w:rsid w:val="00412926"/>
    <w:rsid w:val="00412F55"/>
    <w:rsid w:val="00413467"/>
    <w:rsid w:val="00414C57"/>
    <w:rsid w:val="0041758C"/>
    <w:rsid w:val="00424791"/>
    <w:rsid w:val="004247B6"/>
    <w:rsid w:val="00427A90"/>
    <w:rsid w:val="00430B87"/>
    <w:rsid w:val="0043233A"/>
    <w:rsid w:val="0043303E"/>
    <w:rsid w:val="004374B5"/>
    <w:rsid w:val="004406EF"/>
    <w:rsid w:val="004506A9"/>
    <w:rsid w:val="004516AB"/>
    <w:rsid w:val="00453709"/>
    <w:rsid w:val="004539DE"/>
    <w:rsid w:val="004571C0"/>
    <w:rsid w:val="00462933"/>
    <w:rsid w:val="00464709"/>
    <w:rsid w:val="00480AB1"/>
    <w:rsid w:val="004837F3"/>
    <w:rsid w:val="004921FB"/>
    <w:rsid w:val="00494395"/>
    <w:rsid w:val="00494A4F"/>
    <w:rsid w:val="004958FF"/>
    <w:rsid w:val="00496DD7"/>
    <w:rsid w:val="004979D6"/>
    <w:rsid w:val="004A15BD"/>
    <w:rsid w:val="004A2CF1"/>
    <w:rsid w:val="004A626C"/>
    <w:rsid w:val="004A62D8"/>
    <w:rsid w:val="004A79DB"/>
    <w:rsid w:val="004A7E0B"/>
    <w:rsid w:val="004C3035"/>
    <w:rsid w:val="004C307F"/>
    <w:rsid w:val="004E0A1A"/>
    <w:rsid w:val="004E4BA8"/>
    <w:rsid w:val="004F2DA7"/>
    <w:rsid w:val="004F340F"/>
    <w:rsid w:val="004F7B7C"/>
    <w:rsid w:val="00501100"/>
    <w:rsid w:val="0050136A"/>
    <w:rsid w:val="005110B8"/>
    <w:rsid w:val="00514F23"/>
    <w:rsid w:val="00521D62"/>
    <w:rsid w:val="0052243D"/>
    <w:rsid w:val="00526D87"/>
    <w:rsid w:val="00526E92"/>
    <w:rsid w:val="0052723E"/>
    <w:rsid w:val="005316A4"/>
    <w:rsid w:val="00532435"/>
    <w:rsid w:val="0053461F"/>
    <w:rsid w:val="00536141"/>
    <w:rsid w:val="0053726A"/>
    <w:rsid w:val="005441BA"/>
    <w:rsid w:val="00550354"/>
    <w:rsid w:val="00554266"/>
    <w:rsid w:val="00567F9E"/>
    <w:rsid w:val="00571236"/>
    <w:rsid w:val="00572475"/>
    <w:rsid w:val="00573928"/>
    <w:rsid w:val="0058652E"/>
    <w:rsid w:val="00590003"/>
    <w:rsid w:val="00593BEA"/>
    <w:rsid w:val="005953A1"/>
    <w:rsid w:val="005A3A85"/>
    <w:rsid w:val="005A4353"/>
    <w:rsid w:val="005A4362"/>
    <w:rsid w:val="005A4BD9"/>
    <w:rsid w:val="005A51F8"/>
    <w:rsid w:val="005A771A"/>
    <w:rsid w:val="005A7AD0"/>
    <w:rsid w:val="005B5434"/>
    <w:rsid w:val="005B6B3B"/>
    <w:rsid w:val="005C2753"/>
    <w:rsid w:val="005D0332"/>
    <w:rsid w:val="005D0D8C"/>
    <w:rsid w:val="005D32A6"/>
    <w:rsid w:val="005D4943"/>
    <w:rsid w:val="005E5338"/>
    <w:rsid w:val="005F0DA5"/>
    <w:rsid w:val="005F3B39"/>
    <w:rsid w:val="0060385A"/>
    <w:rsid w:val="00604B02"/>
    <w:rsid w:val="00604D6E"/>
    <w:rsid w:val="00607E92"/>
    <w:rsid w:val="00617950"/>
    <w:rsid w:val="00624CA5"/>
    <w:rsid w:val="00626C8D"/>
    <w:rsid w:val="0063082B"/>
    <w:rsid w:val="0063215C"/>
    <w:rsid w:val="00635271"/>
    <w:rsid w:val="00640A46"/>
    <w:rsid w:val="00652C60"/>
    <w:rsid w:val="0066065E"/>
    <w:rsid w:val="00662D04"/>
    <w:rsid w:val="0067649F"/>
    <w:rsid w:val="006776AE"/>
    <w:rsid w:val="00694404"/>
    <w:rsid w:val="006A0D97"/>
    <w:rsid w:val="006A1247"/>
    <w:rsid w:val="006B1F86"/>
    <w:rsid w:val="006C0435"/>
    <w:rsid w:val="006C0A91"/>
    <w:rsid w:val="006C46C8"/>
    <w:rsid w:val="006C6574"/>
    <w:rsid w:val="006E3D8D"/>
    <w:rsid w:val="006E5E6B"/>
    <w:rsid w:val="006F671C"/>
    <w:rsid w:val="0070529C"/>
    <w:rsid w:val="007054BB"/>
    <w:rsid w:val="00707064"/>
    <w:rsid w:val="0071270C"/>
    <w:rsid w:val="00712B1D"/>
    <w:rsid w:val="00724C12"/>
    <w:rsid w:val="00730683"/>
    <w:rsid w:val="007413CB"/>
    <w:rsid w:val="00744F56"/>
    <w:rsid w:val="00747FFA"/>
    <w:rsid w:val="0075261F"/>
    <w:rsid w:val="0075468E"/>
    <w:rsid w:val="00757328"/>
    <w:rsid w:val="0076328B"/>
    <w:rsid w:val="007634A7"/>
    <w:rsid w:val="00763CFA"/>
    <w:rsid w:val="007651C7"/>
    <w:rsid w:val="007665D8"/>
    <w:rsid w:val="00766E36"/>
    <w:rsid w:val="00767EBA"/>
    <w:rsid w:val="00773FF9"/>
    <w:rsid w:val="007765F4"/>
    <w:rsid w:val="00776633"/>
    <w:rsid w:val="007810B5"/>
    <w:rsid w:val="00784D53"/>
    <w:rsid w:val="00797797"/>
    <w:rsid w:val="007A389E"/>
    <w:rsid w:val="007A5271"/>
    <w:rsid w:val="007A63C9"/>
    <w:rsid w:val="007B32D1"/>
    <w:rsid w:val="007B3C34"/>
    <w:rsid w:val="007B51A0"/>
    <w:rsid w:val="007B7095"/>
    <w:rsid w:val="007C47FE"/>
    <w:rsid w:val="007C6446"/>
    <w:rsid w:val="007D24E1"/>
    <w:rsid w:val="007D6288"/>
    <w:rsid w:val="007D63F2"/>
    <w:rsid w:val="007D6CCC"/>
    <w:rsid w:val="007D75A9"/>
    <w:rsid w:val="007F3489"/>
    <w:rsid w:val="007F4CE9"/>
    <w:rsid w:val="007F4E20"/>
    <w:rsid w:val="007F7742"/>
    <w:rsid w:val="008027F1"/>
    <w:rsid w:val="00810E4A"/>
    <w:rsid w:val="00817C48"/>
    <w:rsid w:val="00821815"/>
    <w:rsid w:val="00822049"/>
    <w:rsid w:val="00822C7E"/>
    <w:rsid w:val="00837FAA"/>
    <w:rsid w:val="008414AB"/>
    <w:rsid w:val="00841AFD"/>
    <w:rsid w:val="00847060"/>
    <w:rsid w:val="00847A36"/>
    <w:rsid w:val="00856A33"/>
    <w:rsid w:val="00857D92"/>
    <w:rsid w:val="00864C72"/>
    <w:rsid w:val="00867BFF"/>
    <w:rsid w:val="00870C3F"/>
    <w:rsid w:val="0087527B"/>
    <w:rsid w:val="00875349"/>
    <w:rsid w:val="00882572"/>
    <w:rsid w:val="0089172B"/>
    <w:rsid w:val="00892620"/>
    <w:rsid w:val="008A406E"/>
    <w:rsid w:val="008B1213"/>
    <w:rsid w:val="008C0F5E"/>
    <w:rsid w:val="008C412F"/>
    <w:rsid w:val="008C6D90"/>
    <w:rsid w:val="008C778E"/>
    <w:rsid w:val="008C7BE1"/>
    <w:rsid w:val="008C7D37"/>
    <w:rsid w:val="008D57F4"/>
    <w:rsid w:val="008D5885"/>
    <w:rsid w:val="008D7312"/>
    <w:rsid w:val="008E54D4"/>
    <w:rsid w:val="008F5EFD"/>
    <w:rsid w:val="008F6411"/>
    <w:rsid w:val="009002A3"/>
    <w:rsid w:val="009009E0"/>
    <w:rsid w:val="009042A2"/>
    <w:rsid w:val="00911B6F"/>
    <w:rsid w:val="0091604A"/>
    <w:rsid w:val="00923FA2"/>
    <w:rsid w:val="009271FA"/>
    <w:rsid w:val="009301EE"/>
    <w:rsid w:val="00932D8A"/>
    <w:rsid w:val="00937ED4"/>
    <w:rsid w:val="00944F77"/>
    <w:rsid w:val="00946299"/>
    <w:rsid w:val="00947462"/>
    <w:rsid w:val="00950416"/>
    <w:rsid w:val="0096060D"/>
    <w:rsid w:val="00962179"/>
    <w:rsid w:val="009623E6"/>
    <w:rsid w:val="00962B2E"/>
    <w:rsid w:val="0096391F"/>
    <w:rsid w:val="00967327"/>
    <w:rsid w:val="00974A50"/>
    <w:rsid w:val="0097585A"/>
    <w:rsid w:val="00977A94"/>
    <w:rsid w:val="00980B19"/>
    <w:rsid w:val="00984F3C"/>
    <w:rsid w:val="0099093C"/>
    <w:rsid w:val="009924B0"/>
    <w:rsid w:val="009942C9"/>
    <w:rsid w:val="009B3153"/>
    <w:rsid w:val="009B35C4"/>
    <w:rsid w:val="009C3C3D"/>
    <w:rsid w:val="009C596F"/>
    <w:rsid w:val="009C630A"/>
    <w:rsid w:val="009C6600"/>
    <w:rsid w:val="009C7DAE"/>
    <w:rsid w:val="009E0D98"/>
    <w:rsid w:val="009E5BC8"/>
    <w:rsid w:val="009E5F31"/>
    <w:rsid w:val="00A068A1"/>
    <w:rsid w:val="00A1207D"/>
    <w:rsid w:val="00A12FD8"/>
    <w:rsid w:val="00A228A7"/>
    <w:rsid w:val="00A229FE"/>
    <w:rsid w:val="00A309E8"/>
    <w:rsid w:val="00A33E06"/>
    <w:rsid w:val="00A346FC"/>
    <w:rsid w:val="00A46D77"/>
    <w:rsid w:val="00A50D94"/>
    <w:rsid w:val="00A56047"/>
    <w:rsid w:val="00A6376C"/>
    <w:rsid w:val="00A705CD"/>
    <w:rsid w:val="00A76522"/>
    <w:rsid w:val="00A810E0"/>
    <w:rsid w:val="00A846F2"/>
    <w:rsid w:val="00A84F93"/>
    <w:rsid w:val="00A905FF"/>
    <w:rsid w:val="00A91BAB"/>
    <w:rsid w:val="00A92554"/>
    <w:rsid w:val="00AA1128"/>
    <w:rsid w:val="00AB1AC5"/>
    <w:rsid w:val="00AB1E71"/>
    <w:rsid w:val="00AB3BFC"/>
    <w:rsid w:val="00AB613C"/>
    <w:rsid w:val="00AB790A"/>
    <w:rsid w:val="00AC0B48"/>
    <w:rsid w:val="00AC2DA8"/>
    <w:rsid w:val="00AC4485"/>
    <w:rsid w:val="00AC4F2E"/>
    <w:rsid w:val="00AC7604"/>
    <w:rsid w:val="00AD0C37"/>
    <w:rsid w:val="00AD385F"/>
    <w:rsid w:val="00AE6E2A"/>
    <w:rsid w:val="00AE7946"/>
    <w:rsid w:val="00AF4529"/>
    <w:rsid w:val="00AF6F71"/>
    <w:rsid w:val="00B03EAB"/>
    <w:rsid w:val="00B05253"/>
    <w:rsid w:val="00B06753"/>
    <w:rsid w:val="00B263CE"/>
    <w:rsid w:val="00B26CE3"/>
    <w:rsid w:val="00B31E9C"/>
    <w:rsid w:val="00B33C86"/>
    <w:rsid w:val="00B3498E"/>
    <w:rsid w:val="00B35595"/>
    <w:rsid w:val="00B43128"/>
    <w:rsid w:val="00B44643"/>
    <w:rsid w:val="00B51C6D"/>
    <w:rsid w:val="00B5519E"/>
    <w:rsid w:val="00B56700"/>
    <w:rsid w:val="00B7136C"/>
    <w:rsid w:val="00B760CE"/>
    <w:rsid w:val="00B77124"/>
    <w:rsid w:val="00B7783F"/>
    <w:rsid w:val="00B83DD2"/>
    <w:rsid w:val="00B85C07"/>
    <w:rsid w:val="00B86D64"/>
    <w:rsid w:val="00B878AA"/>
    <w:rsid w:val="00B931BF"/>
    <w:rsid w:val="00B97A0C"/>
    <w:rsid w:val="00BA04D9"/>
    <w:rsid w:val="00BA4AC5"/>
    <w:rsid w:val="00BB120A"/>
    <w:rsid w:val="00BB3836"/>
    <w:rsid w:val="00BB74E0"/>
    <w:rsid w:val="00BC1364"/>
    <w:rsid w:val="00BC2667"/>
    <w:rsid w:val="00BC5616"/>
    <w:rsid w:val="00BC799A"/>
    <w:rsid w:val="00BC7B95"/>
    <w:rsid w:val="00BC7DE9"/>
    <w:rsid w:val="00BD129D"/>
    <w:rsid w:val="00BF2EB7"/>
    <w:rsid w:val="00BF479B"/>
    <w:rsid w:val="00C003C5"/>
    <w:rsid w:val="00C02577"/>
    <w:rsid w:val="00C04B34"/>
    <w:rsid w:val="00C06B0B"/>
    <w:rsid w:val="00C17FC2"/>
    <w:rsid w:val="00C204FB"/>
    <w:rsid w:val="00C20BEE"/>
    <w:rsid w:val="00C2158D"/>
    <w:rsid w:val="00C24191"/>
    <w:rsid w:val="00C25909"/>
    <w:rsid w:val="00C26A9A"/>
    <w:rsid w:val="00C30EAD"/>
    <w:rsid w:val="00C47370"/>
    <w:rsid w:val="00C60D6E"/>
    <w:rsid w:val="00C6782E"/>
    <w:rsid w:val="00C67DD2"/>
    <w:rsid w:val="00C72088"/>
    <w:rsid w:val="00C725CB"/>
    <w:rsid w:val="00C751E2"/>
    <w:rsid w:val="00C76F5C"/>
    <w:rsid w:val="00C81612"/>
    <w:rsid w:val="00C82E8F"/>
    <w:rsid w:val="00C94833"/>
    <w:rsid w:val="00C94FD3"/>
    <w:rsid w:val="00C96BAD"/>
    <w:rsid w:val="00C9787F"/>
    <w:rsid w:val="00CA18E2"/>
    <w:rsid w:val="00CA1B20"/>
    <w:rsid w:val="00CA579A"/>
    <w:rsid w:val="00CA6944"/>
    <w:rsid w:val="00CA770E"/>
    <w:rsid w:val="00CB0F8E"/>
    <w:rsid w:val="00CB7C39"/>
    <w:rsid w:val="00CB7E7D"/>
    <w:rsid w:val="00CC2911"/>
    <w:rsid w:val="00CC5A1C"/>
    <w:rsid w:val="00CD3A12"/>
    <w:rsid w:val="00CE4277"/>
    <w:rsid w:val="00CF0C6D"/>
    <w:rsid w:val="00CF318F"/>
    <w:rsid w:val="00CF4E81"/>
    <w:rsid w:val="00CF5BBB"/>
    <w:rsid w:val="00CF7307"/>
    <w:rsid w:val="00CF77F0"/>
    <w:rsid w:val="00CF7C68"/>
    <w:rsid w:val="00D06736"/>
    <w:rsid w:val="00D124FA"/>
    <w:rsid w:val="00D135F2"/>
    <w:rsid w:val="00D30F46"/>
    <w:rsid w:val="00D340DE"/>
    <w:rsid w:val="00D3577F"/>
    <w:rsid w:val="00D36543"/>
    <w:rsid w:val="00D40F2A"/>
    <w:rsid w:val="00D43678"/>
    <w:rsid w:val="00D43B77"/>
    <w:rsid w:val="00D473DD"/>
    <w:rsid w:val="00D530F2"/>
    <w:rsid w:val="00D55723"/>
    <w:rsid w:val="00D55B0F"/>
    <w:rsid w:val="00D62FAD"/>
    <w:rsid w:val="00D64355"/>
    <w:rsid w:val="00D70450"/>
    <w:rsid w:val="00D7272E"/>
    <w:rsid w:val="00D74190"/>
    <w:rsid w:val="00D75C5F"/>
    <w:rsid w:val="00D83BFD"/>
    <w:rsid w:val="00D906F0"/>
    <w:rsid w:val="00D90A38"/>
    <w:rsid w:val="00D91BBD"/>
    <w:rsid w:val="00D93EB1"/>
    <w:rsid w:val="00D95739"/>
    <w:rsid w:val="00DA0515"/>
    <w:rsid w:val="00DA171E"/>
    <w:rsid w:val="00DA3D1A"/>
    <w:rsid w:val="00DA56AA"/>
    <w:rsid w:val="00DA6390"/>
    <w:rsid w:val="00DB03BE"/>
    <w:rsid w:val="00DB5202"/>
    <w:rsid w:val="00DB5833"/>
    <w:rsid w:val="00DB7F69"/>
    <w:rsid w:val="00DC0E8C"/>
    <w:rsid w:val="00DC135D"/>
    <w:rsid w:val="00DC18DC"/>
    <w:rsid w:val="00DD0142"/>
    <w:rsid w:val="00DD2858"/>
    <w:rsid w:val="00DD5058"/>
    <w:rsid w:val="00DD51F2"/>
    <w:rsid w:val="00DE3ED0"/>
    <w:rsid w:val="00DE484B"/>
    <w:rsid w:val="00DE4A32"/>
    <w:rsid w:val="00DE6874"/>
    <w:rsid w:val="00DF1A27"/>
    <w:rsid w:val="00DF35A8"/>
    <w:rsid w:val="00DF489D"/>
    <w:rsid w:val="00DF6DC5"/>
    <w:rsid w:val="00E03E33"/>
    <w:rsid w:val="00E0495A"/>
    <w:rsid w:val="00E059E0"/>
    <w:rsid w:val="00E06381"/>
    <w:rsid w:val="00E152DC"/>
    <w:rsid w:val="00E16238"/>
    <w:rsid w:val="00E222C2"/>
    <w:rsid w:val="00E258E2"/>
    <w:rsid w:val="00E26862"/>
    <w:rsid w:val="00E26F46"/>
    <w:rsid w:val="00E31893"/>
    <w:rsid w:val="00E3642A"/>
    <w:rsid w:val="00E4077A"/>
    <w:rsid w:val="00E415C4"/>
    <w:rsid w:val="00E419BC"/>
    <w:rsid w:val="00E50016"/>
    <w:rsid w:val="00E50EAA"/>
    <w:rsid w:val="00E51034"/>
    <w:rsid w:val="00E52464"/>
    <w:rsid w:val="00E60F1E"/>
    <w:rsid w:val="00E63810"/>
    <w:rsid w:val="00E656D6"/>
    <w:rsid w:val="00E71A7B"/>
    <w:rsid w:val="00E977EE"/>
    <w:rsid w:val="00EA2F24"/>
    <w:rsid w:val="00EA5C0E"/>
    <w:rsid w:val="00EA5E72"/>
    <w:rsid w:val="00EA67A2"/>
    <w:rsid w:val="00EA772A"/>
    <w:rsid w:val="00EB630F"/>
    <w:rsid w:val="00EB6B6F"/>
    <w:rsid w:val="00EB79BA"/>
    <w:rsid w:val="00EC4F98"/>
    <w:rsid w:val="00EC73CC"/>
    <w:rsid w:val="00ED20B5"/>
    <w:rsid w:val="00EE2D22"/>
    <w:rsid w:val="00EE3CDC"/>
    <w:rsid w:val="00EF1F9E"/>
    <w:rsid w:val="00F010F4"/>
    <w:rsid w:val="00F05551"/>
    <w:rsid w:val="00F12F02"/>
    <w:rsid w:val="00F132D1"/>
    <w:rsid w:val="00F13CD2"/>
    <w:rsid w:val="00F22000"/>
    <w:rsid w:val="00F227F2"/>
    <w:rsid w:val="00F27450"/>
    <w:rsid w:val="00F32E0D"/>
    <w:rsid w:val="00F35134"/>
    <w:rsid w:val="00F37B82"/>
    <w:rsid w:val="00F37B9C"/>
    <w:rsid w:val="00F41812"/>
    <w:rsid w:val="00F50069"/>
    <w:rsid w:val="00F532D4"/>
    <w:rsid w:val="00F53620"/>
    <w:rsid w:val="00F53931"/>
    <w:rsid w:val="00F56D7F"/>
    <w:rsid w:val="00F66186"/>
    <w:rsid w:val="00F702A1"/>
    <w:rsid w:val="00F715D1"/>
    <w:rsid w:val="00F72715"/>
    <w:rsid w:val="00F73333"/>
    <w:rsid w:val="00F807BC"/>
    <w:rsid w:val="00F86DEB"/>
    <w:rsid w:val="00F878CB"/>
    <w:rsid w:val="00F91F6C"/>
    <w:rsid w:val="00F95D8F"/>
    <w:rsid w:val="00F96AA1"/>
    <w:rsid w:val="00FA21F1"/>
    <w:rsid w:val="00FB1767"/>
    <w:rsid w:val="00FB350A"/>
    <w:rsid w:val="00FB3C9A"/>
    <w:rsid w:val="00FB4C5D"/>
    <w:rsid w:val="00FB649B"/>
    <w:rsid w:val="00FC22C1"/>
    <w:rsid w:val="00FC7177"/>
    <w:rsid w:val="00FC731B"/>
    <w:rsid w:val="00FD0063"/>
    <w:rsid w:val="00FD4F51"/>
    <w:rsid w:val="00FE1B42"/>
    <w:rsid w:val="00FE1C3F"/>
    <w:rsid w:val="00FE559F"/>
    <w:rsid w:val="00FE731D"/>
    <w:rsid w:val="00FF24B1"/>
    <w:rsid w:val="00FF50B6"/>
    <w:rsid w:val="00FF581E"/>
    <w:rsid w:val="08AB323D"/>
    <w:rsid w:val="17487074"/>
    <w:rsid w:val="53CB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4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905FF"/>
    <w:pPr>
      <w:spacing w:after="240"/>
      <w:outlineLvl w:val="1"/>
    </w:pPr>
    <w:rPr>
      <w:b/>
      <w:szCs w:val="24"/>
    </w:rPr>
  </w:style>
  <w:style w:type="paragraph" w:styleId="Heading3">
    <w:name w:val="heading 3"/>
    <w:basedOn w:val="Heading2"/>
    <w:next w:val="Normal"/>
    <w:link w:val="Heading3Char"/>
    <w:unhideWhenUsed/>
    <w:qFormat/>
    <w:locked/>
    <w:rsid w:val="00037DFB"/>
    <w:p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905FF"/>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A905F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905FF"/>
    <w:rPr>
      <w:rFonts w:ascii="Arial Narrow" w:eastAsia="Times New Roman" w:hAnsi="Arial Narrow" w:cs="Tahoma"/>
      <w:b/>
      <w:noProof/>
      <w:sz w:val="20"/>
      <w:szCs w:val="20"/>
    </w:rPr>
  </w:style>
  <w:style w:type="paragraph" w:customStyle="1" w:styleId="TableText">
    <w:name w:val="TableText"/>
    <w:basedOn w:val="Normal"/>
    <w:rsid w:val="00A905FF"/>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rsid w:val="00CA18E2"/>
    <w:rPr>
      <w:rFonts w:eastAsia="Times New Roman"/>
      <w:sz w:val="24"/>
      <w:szCs w:val="20"/>
    </w:rPr>
  </w:style>
  <w:style w:type="paragraph" w:customStyle="1" w:styleId="Tabletext0">
    <w:name w:val="Table text"/>
    <w:basedOn w:val="Normal"/>
    <w:link w:val="TabletextChar"/>
    <w:qFormat/>
    <w:rsid w:val="00D55B0F"/>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D55B0F"/>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7. Table title"/>
    <w:basedOn w:val="Normal"/>
    <w:next w:val="Normal"/>
    <w:link w:val="CaptionChar"/>
    <w:uiPriority w:val="35"/>
    <w:unhideWhenUsed/>
    <w:qFormat/>
    <w:locked/>
    <w:rsid w:val="00D55B0F"/>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7. Table title Char"/>
    <w:basedOn w:val="DefaultParagraphFont"/>
    <w:link w:val="Caption"/>
    <w:uiPriority w:val="35"/>
    <w:rsid w:val="00D55B0F"/>
    <w:rPr>
      <w:rFonts w:ascii="Arial Narrow" w:eastAsia="Times New Roman" w:hAnsi="Arial Narrow" w:cs="Arial"/>
      <w:b/>
      <w:bCs/>
      <w:iCs/>
      <w:sz w:val="20"/>
      <w:szCs w:val="20"/>
      <w:lang w:eastAsia="en-US"/>
    </w:rPr>
  </w:style>
  <w:style w:type="paragraph" w:customStyle="1" w:styleId="Tablenotes1">
    <w:name w:val="Tablenotes 1"/>
    <w:basedOn w:val="Normal"/>
    <w:link w:val="Tablenotes1Char"/>
    <w:qFormat/>
    <w:rsid w:val="00D55B0F"/>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D55B0F"/>
    <w:rPr>
      <w:rFonts w:ascii="Arial Narrow" w:eastAsia="Times New Roman" w:hAnsi="Arial Narrow" w:cs="Arial"/>
      <w:snapToGrid w:val="0"/>
      <w:sz w:val="18"/>
      <w:szCs w:val="20"/>
      <w:lang w:eastAsia="en-US"/>
    </w:rPr>
  </w:style>
  <w:style w:type="paragraph" w:customStyle="1" w:styleId="TableText1">
    <w:name w:val="Table Text"/>
    <w:basedOn w:val="Normal"/>
    <w:link w:val="TableTextChar0"/>
    <w:qFormat/>
    <w:rsid w:val="008414AB"/>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8414AB"/>
    <w:rPr>
      <w:rFonts w:ascii="Arial Narrow" w:eastAsia="Times New Roman" w:hAnsi="Arial Narrow" w:cs="Tahoma"/>
      <w:sz w:val="20"/>
      <w:lang w:eastAsia="en-US"/>
    </w:rPr>
  </w:style>
  <w:style w:type="table" w:customStyle="1" w:styleId="TableGrid2">
    <w:name w:val="Table Grid2"/>
    <w:basedOn w:val="TableNormal"/>
    <w:next w:val="TableGrid"/>
    <w:rsid w:val="00F53931"/>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ova Cond" w:hAnsi="Arial Nova Cond"/>
        <w:b w:val="0"/>
        <w:sz w:val="20"/>
      </w:rPr>
    </w:tblStylePr>
  </w:style>
  <w:style w:type="table" w:customStyle="1" w:styleId="TableGrid3">
    <w:name w:val="Table Grid3"/>
    <w:basedOn w:val="TableNormal"/>
    <w:next w:val="TableGrid"/>
    <w:uiPriority w:val="39"/>
    <w:rsid w:val="00F5393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37DFB"/>
    <w:rPr>
      <w:rFonts w:eastAsia="Times New Roman"/>
      <w:sz w:val="24"/>
      <w:szCs w:val="24"/>
      <w:u w:val="single"/>
    </w:rPr>
  </w:style>
  <w:style w:type="table" w:customStyle="1" w:styleId="TableGrid1">
    <w:name w:val="Table Grid1"/>
    <w:basedOn w:val="TableNormal"/>
    <w:next w:val="TableGrid"/>
    <w:rsid w:val="00037D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qFormat/>
    <w:rsid w:val="00412926"/>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Heading">
    <w:name w:val="BoxHeading"/>
    <w:basedOn w:val="BoxText"/>
    <w:rsid w:val="00412926"/>
    <w:pPr>
      <w:keepNext/>
      <w:spacing w:before="120" w:after="60"/>
    </w:pPr>
    <w:rPr>
      <w:b/>
      <w:bCs/>
    </w:rPr>
  </w:style>
  <w:style w:type="paragraph" w:customStyle="1" w:styleId="BulletBeforeDash">
    <w:name w:val="BulletBeforeDash"/>
    <w:basedOn w:val="Normal"/>
    <w:rsid w:val="00F532D4"/>
    <w:pPr>
      <w:numPr>
        <w:numId w:val="29"/>
      </w:numPr>
      <w:ind w:left="720"/>
    </w:pPr>
    <w:rPr>
      <w:color w:val="000000"/>
    </w:rPr>
  </w:style>
  <w:style w:type="paragraph" w:customStyle="1" w:styleId="Bullet">
    <w:name w:val="Bullet"/>
    <w:basedOn w:val="BulletBeforeDash"/>
    <w:qFormat/>
    <w:rsid w:val="00F532D4"/>
    <w:pPr>
      <w:spacing w:after="120"/>
    </w:pPr>
  </w:style>
  <w:style w:type="paragraph" w:customStyle="1" w:styleId="BulletLast">
    <w:name w:val="BulletLast"/>
    <w:basedOn w:val="Bullet"/>
    <w:qFormat/>
    <w:rsid w:val="00F532D4"/>
    <w:pPr>
      <w:spacing w:after="240"/>
    </w:pPr>
  </w:style>
  <w:style w:type="paragraph" w:customStyle="1" w:styleId="NormalBeforeBullet">
    <w:name w:val="NormalBeforeBullet"/>
    <w:basedOn w:val="Normal"/>
    <w:qFormat/>
    <w:rsid w:val="00F532D4"/>
    <w:pPr>
      <w:keepNext/>
      <w:spacing w:after="120"/>
    </w:pPr>
    <w:rPr>
      <w:color w:val="000000"/>
    </w:rPr>
  </w:style>
  <w:style w:type="paragraph" w:styleId="Revision">
    <w:name w:val="Revision"/>
    <w:hidden/>
    <w:uiPriority w:val="99"/>
    <w:semiHidden/>
    <w:rsid w:val="00B263CE"/>
    <w:rPr>
      <w:rFonts w:eastAsia="Times New Roman"/>
      <w:sz w:val="24"/>
      <w:szCs w:val="20"/>
    </w:rPr>
  </w:style>
  <w:style w:type="paragraph" w:customStyle="1" w:styleId="5Bodytext">
    <w:name w:val="5. Body text"/>
    <w:basedOn w:val="ListParagraph"/>
    <w:link w:val="5BodytextChar"/>
    <w:qFormat/>
    <w:rsid w:val="00342E7F"/>
    <w:pPr>
      <w:autoSpaceDE w:val="0"/>
      <w:autoSpaceDN w:val="0"/>
      <w:adjustRightInd w:val="0"/>
      <w:spacing w:after="240"/>
      <w:ind w:left="0"/>
      <w:contextualSpacing w:val="0"/>
    </w:pPr>
    <w:rPr>
      <w:rFonts w:ascii="Tms Rmn" w:hAnsi="Tms Rmn"/>
      <w:szCs w:val="24"/>
    </w:rPr>
  </w:style>
  <w:style w:type="character" w:customStyle="1" w:styleId="5BodytextChar">
    <w:name w:val="5. Body text Char"/>
    <w:basedOn w:val="DefaultParagraphFont"/>
    <w:link w:val="5Bodytext"/>
    <w:rsid w:val="00342E7F"/>
    <w:rPr>
      <w:rFonts w:ascii="Tms Rmn" w:eastAsia="Times New Roman" w:hAnsi="Tms Rmn"/>
      <w:sz w:val="24"/>
      <w:szCs w:val="24"/>
    </w:rPr>
  </w:style>
  <w:style w:type="paragraph" w:customStyle="1" w:styleId="Tablenotes">
    <w:name w:val="Tablenotes"/>
    <w:basedOn w:val="Normal"/>
    <w:link w:val="TablenotesChar"/>
    <w:qFormat/>
    <w:rsid w:val="005316A4"/>
    <w:pPr>
      <w:widowControl w:val="0"/>
      <w:spacing w:after="120"/>
      <w:jc w:val="both"/>
    </w:pPr>
    <w:rPr>
      <w:rFonts w:ascii="Arial Narrow" w:hAnsi="Arial Narrow" w:cs="Arial"/>
      <w:snapToGrid w:val="0"/>
      <w:sz w:val="18"/>
      <w:lang w:eastAsia="en-US"/>
    </w:rPr>
  </w:style>
  <w:style w:type="character" w:customStyle="1" w:styleId="TablenotesChar">
    <w:name w:val="Tablenotes Char"/>
    <w:link w:val="Tablenotes"/>
    <w:rsid w:val="005316A4"/>
    <w:rPr>
      <w:rFonts w:ascii="Arial Narrow" w:eastAsia="Times New Roman" w:hAnsi="Arial Narrow" w:cs="Arial"/>
      <w:snapToGrid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qontario.ca/Portals/0/Documents/evidence/open-comment/hta-noninvasive-fetal-rhd-blood-group-genotyping-2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E624-307E-45FB-8264-97BA08B0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10938</Words>
  <Characters>62352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73144</CharactersWithSpaces>
  <SharedDoc>false</SharedDoc>
  <HLinks>
    <vt:vector size="18" baseType="variant">
      <vt:variant>
        <vt:i4>3997744</vt:i4>
      </vt:variant>
      <vt:variant>
        <vt:i4>126</vt:i4>
      </vt:variant>
      <vt:variant>
        <vt:i4>0</vt:i4>
      </vt:variant>
      <vt:variant>
        <vt:i4>5</vt:i4>
      </vt:variant>
      <vt:variant>
        <vt:lpwstr>http://www.msac.gov.au/</vt:lpwstr>
      </vt:variant>
      <vt:variant>
        <vt:lpwstr/>
      </vt:variant>
      <vt:variant>
        <vt:i4>3997744</vt:i4>
      </vt:variant>
      <vt:variant>
        <vt:i4>0</vt:i4>
      </vt:variant>
      <vt:variant>
        <vt:i4>0</vt:i4>
      </vt:variant>
      <vt:variant>
        <vt:i4>5</vt:i4>
      </vt:variant>
      <vt:variant>
        <vt:lpwstr>http://www.msac.gov.au/</vt:lpwstr>
      </vt:variant>
      <vt:variant>
        <vt:lpwstr/>
      </vt:variant>
      <vt:variant>
        <vt:i4>4784144</vt:i4>
      </vt:variant>
      <vt:variant>
        <vt:i4>0</vt:i4>
      </vt:variant>
      <vt:variant>
        <vt:i4>0</vt:i4>
      </vt:variant>
      <vt:variant>
        <vt:i4>5</vt:i4>
      </vt:variant>
      <vt:variant>
        <vt:lpwstr>https://www.hqontario.ca/Portals/0/Documents/evidence/open-comment/hta-noninvasive-fetal-rhd-blood-group-genotyping-2001.pdf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2024-04-16T00:56:00Z</dcterms:created>
  <dcterms:modified xsi:type="dcterms:W3CDTF">2024-04-16T00:56:00Z</dcterms:modified>
</cp:coreProperties>
</file>