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D8F8" w14:textId="77777777" w:rsidR="00F82312" w:rsidRPr="00E937EE" w:rsidRDefault="00F82312" w:rsidP="00F82312">
      <w:pPr>
        <w:pStyle w:val="Subtitle"/>
        <w:spacing w:before="240" w:after="0"/>
        <w:rPr>
          <w:i w:val="0"/>
          <w:sz w:val="36"/>
          <w:szCs w:val="36"/>
        </w:rPr>
      </w:pPr>
      <w:bookmarkStart w:id="0" w:name="_Hlk68005436"/>
      <w:bookmarkStart w:id="1" w:name="_Toc72335271"/>
      <w:bookmarkStart w:id="2" w:name="_Toc112076472"/>
      <w:r>
        <w:rPr>
          <w:i w:val="0"/>
          <w:sz w:val="36"/>
          <w:szCs w:val="36"/>
        </w:rPr>
        <w:t>Medical Services Advisory Committee (MSAC)</w:t>
      </w:r>
    </w:p>
    <w:bookmarkEnd w:id="0"/>
    <w:bookmarkEnd w:id="1"/>
    <w:bookmarkEnd w:id="2"/>
    <w:p w14:paraId="41AB61F0" w14:textId="77777777" w:rsidR="00F35C7B" w:rsidRDefault="00F35C7B" w:rsidP="00F82312">
      <w:pPr>
        <w:pStyle w:val="Subtitle"/>
        <w:spacing w:before="0"/>
        <w:rPr>
          <w:i w:val="0"/>
          <w:sz w:val="36"/>
          <w:szCs w:val="36"/>
        </w:rPr>
      </w:pPr>
      <w:r w:rsidRPr="00AF3A51">
        <w:rPr>
          <w:i w:val="0"/>
          <w:sz w:val="36"/>
          <w:szCs w:val="36"/>
        </w:rPr>
        <w:t xml:space="preserve">Public Summary Document </w:t>
      </w:r>
    </w:p>
    <w:p w14:paraId="7A128FDE" w14:textId="4F603427" w:rsidR="00772829" w:rsidRPr="00CE28E3" w:rsidRDefault="00772829" w:rsidP="00772829">
      <w:pPr>
        <w:pStyle w:val="Subtitle"/>
      </w:pPr>
      <w:r w:rsidRPr="00CE28E3">
        <w:t xml:space="preserve">Application </w:t>
      </w:r>
      <w:r w:rsidRPr="00D63FED">
        <w:t xml:space="preserve">No. </w:t>
      </w:r>
      <w:r w:rsidR="008934D7" w:rsidRPr="00D63FED">
        <w:t>1662.1</w:t>
      </w:r>
      <w:r w:rsidRPr="00D63FED">
        <w:t xml:space="preserve"> – </w:t>
      </w:r>
      <w:r w:rsidR="008934D7" w:rsidRPr="00D63FED">
        <w:t>The reduction</w:t>
      </w:r>
      <w:r w:rsidR="008934D7">
        <w:t xml:space="preserve"> of mitral regurgitation through tissue approximation using transvenous/transeptal techniques</w:t>
      </w:r>
    </w:p>
    <w:p w14:paraId="35263561" w14:textId="10A9E500" w:rsidR="00772829" w:rsidRPr="00CE28E3" w:rsidRDefault="00772829" w:rsidP="00772829">
      <w:pPr>
        <w:tabs>
          <w:tab w:val="left" w:pos="3686"/>
        </w:tabs>
        <w:spacing w:after="240"/>
        <w:rPr>
          <w:rFonts w:ascii="Arial" w:hAnsi="Arial" w:cs="Arial"/>
          <w:b/>
          <w:szCs w:val="24"/>
        </w:rPr>
      </w:pPr>
      <w:r w:rsidRPr="00CE28E3">
        <w:rPr>
          <w:rFonts w:ascii="Arial" w:hAnsi="Arial" w:cs="Arial"/>
          <w:b/>
          <w:szCs w:val="24"/>
        </w:rPr>
        <w:t>Applicant:</w:t>
      </w:r>
      <w:r w:rsidRPr="00CE28E3">
        <w:rPr>
          <w:rFonts w:ascii="Arial" w:hAnsi="Arial" w:cs="Arial"/>
          <w:b/>
          <w:szCs w:val="24"/>
        </w:rPr>
        <w:tab/>
      </w:r>
      <w:r w:rsidR="00865AB4">
        <w:rPr>
          <w:rFonts w:ascii="Arial" w:hAnsi="Arial" w:cs="Arial"/>
          <w:b/>
          <w:szCs w:val="24"/>
        </w:rPr>
        <w:t xml:space="preserve">Edwards Lifesciences </w:t>
      </w:r>
    </w:p>
    <w:p w14:paraId="2278A6C1" w14:textId="77777777" w:rsidR="00E763E1" w:rsidRDefault="00310000" w:rsidP="006964F4">
      <w:pPr>
        <w:tabs>
          <w:tab w:val="left" w:pos="3686"/>
        </w:tabs>
        <w:spacing w:after="360"/>
        <w:rPr>
          <w:rFonts w:ascii="Arial" w:eastAsia="Calibri" w:hAnsi="Arial" w:cs="Arial"/>
          <w:b/>
          <w:szCs w:val="24"/>
        </w:rPr>
      </w:pPr>
      <w:r w:rsidRPr="00446DA3">
        <w:rPr>
          <w:rFonts w:ascii="Arial" w:eastAsia="Calibri" w:hAnsi="Arial" w:cs="Arial"/>
          <w:b/>
          <w:szCs w:val="24"/>
        </w:rPr>
        <w:t xml:space="preserve">Date of </w:t>
      </w:r>
      <w:r w:rsidR="00F35C7B">
        <w:rPr>
          <w:rFonts w:ascii="Arial" w:eastAsia="Calibri" w:hAnsi="Arial" w:cs="Arial"/>
          <w:b/>
          <w:szCs w:val="24"/>
        </w:rPr>
        <w:t>MSAC</w:t>
      </w:r>
      <w:r w:rsidRPr="00446DA3">
        <w:rPr>
          <w:rFonts w:ascii="Arial" w:eastAsia="Calibri" w:hAnsi="Arial" w:cs="Arial"/>
          <w:b/>
          <w:szCs w:val="24"/>
        </w:rPr>
        <w:t xml:space="preserve"> consideration:</w:t>
      </w:r>
      <w:r>
        <w:rPr>
          <w:rFonts w:ascii="Arial" w:eastAsia="Calibri" w:hAnsi="Arial" w:cs="Arial"/>
          <w:b/>
          <w:szCs w:val="24"/>
        </w:rPr>
        <w:t xml:space="preserve"> </w:t>
      </w:r>
      <w:r>
        <w:rPr>
          <w:rFonts w:ascii="Arial" w:eastAsia="Calibri" w:hAnsi="Arial" w:cs="Arial"/>
          <w:b/>
          <w:szCs w:val="24"/>
        </w:rPr>
        <w:tab/>
      </w:r>
      <w:r w:rsidR="00F35C7B">
        <w:rPr>
          <w:rFonts w:ascii="Arial" w:hAnsi="Arial" w:cs="Arial"/>
          <w:b/>
          <w:bCs/>
        </w:rPr>
        <w:t>24-25 November</w:t>
      </w:r>
      <w:r w:rsidR="00F35C7B" w:rsidRPr="00624E42">
        <w:rPr>
          <w:rFonts w:ascii="Arial" w:hAnsi="Arial" w:cs="Arial"/>
          <w:b/>
          <w:bCs/>
        </w:rPr>
        <w:t xml:space="preserve"> </w:t>
      </w:r>
      <w:r>
        <w:rPr>
          <w:rFonts w:ascii="Arial" w:eastAsia="Calibri" w:hAnsi="Arial" w:cs="Arial"/>
          <w:b/>
          <w:szCs w:val="24"/>
        </w:rPr>
        <w:t>2022</w:t>
      </w:r>
    </w:p>
    <w:p w14:paraId="09A1F130" w14:textId="77777777" w:rsidR="00E763E1" w:rsidRPr="00B03EAB" w:rsidRDefault="00E763E1" w:rsidP="00E763E1">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7EAA7262" w14:textId="77335A16" w:rsidR="00772829" w:rsidRPr="00CE28E3" w:rsidRDefault="00C36633" w:rsidP="00C36633">
      <w:pPr>
        <w:pStyle w:val="Heading2"/>
        <w:numPr>
          <w:ilvl w:val="0"/>
          <w:numId w:val="0"/>
        </w:numPr>
      </w:pPr>
      <w:bookmarkStart w:id="3" w:name="_Toc69491415"/>
      <w:r>
        <w:t>1.</w:t>
      </w:r>
      <w:r>
        <w:tab/>
      </w:r>
      <w:r w:rsidR="00772829" w:rsidRPr="00CE28E3">
        <w:t xml:space="preserve">Purpose </w:t>
      </w:r>
      <w:r w:rsidR="00772829" w:rsidRPr="00CE28E3">
        <w:rPr>
          <w:szCs w:val="32"/>
        </w:rPr>
        <w:t>of</w:t>
      </w:r>
      <w:r w:rsidR="00772829" w:rsidRPr="00CE28E3">
        <w:t xml:space="preserve"> application</w:t>
      </w:r>
      <w:bookmarkEnd w:id="3"/>
    </w:p>
    <w:p w14:paraId="6BF31FF2" w14:textId="51DD819C" w:rsidR="00772829" w:rsidRDefault="00772829" w:rsidP="00772829">
      <w:pPr>
        <w:spacing w:after="240"/>
        <w:rPr>
          <w:iCs/>
        </w:rPr>
      </w:pPr>
      <w:bookmarkStart w:id="4" w:name="_Hlk69734469"/>
      <w:r w:rsidRPr="009A3778">
        <w:rPr>
          <w:iCs/>
        </w:rPr>
        <w:t>An application requesting</w:t>
      </w:r>
      <w:r w:rsidR="002A14AC">
        <w:rPr>
          <w:iCs/>
        </w:rPr>
        <w:t xml:space="preserve"> </w:t>
      </w:r>
      <w:r w:rsidRPr="002A14AC">
        <w:rPr>
          <w:iCs/>
        </w:rPr>
        <w:t>Medicare Benefits Schedule (MBS)</w:t>
      </w:r>
      <w:r w:rsidR="002A14AC">
        <w:rPr>
          <w:iCs/>
        </w:rPr>
        <w:t xml:space="preserve"> </w:t>
      </w:r>
      <w:r w:rsidR="004807F5">
        <w:rPr>
          <w:iCs/>
        </w:rPr>
        <w:t>for a</w:t>
      </w:r>
      <w:r w:rsidRPr="009A3778">
        <w:rPr>
          <w:iCs/>
        </w:rPr>
        <w:t xml:space="preserve"> </w:t>
      </w:r>
      <w:r w:rsidR="00F82312">
        <w:t>transcatheter mitral valve repair (</w:t>
      </w:r>
      <w:proofErr w:type="spellStart"/>
      <w:r w:rsidR="004807F5">
        <w:rPr>
          <w:iCs/>
        </w:rPr>
        <w:t>TMVr</w:t>
      </w:r>
      <w:proofErr w:type="spellEnd"/>
      <w:r w:rsidR="00F82312">
        <w:rPr>
          <w:iCs/>
        </w:rPr>
        <w:t>)</w:t>
      </w:r>
      <w:r w:rsidR="004807F5">
        <w:rPr>
          <w:iCs/>
        </w:rPr>
        <w:t xml:space="preserve"> using PASCAL </w:t>
      </w:r>
      <w:r w:rsidR="002A14AC">
        <w:rPr>
          <w:iCs/>
        </w:rPr>
        <w:t xml:space="preserve">for treatment of patients with </w:t>
      </w:r>
      <w:r w:rsidR="007A728E">
        <w:rPr>
          <w:iCs/>
        </w:rPr>
        <w:t>degenerative</w:t>
      </w:r>
      <w:r w:rsidR="002A14AC">
        <w:rPr>
          <w:iCs/>
        </w:rPr>
        <w:t xml:space="preserve"> mitral regurgitation (DMR) or functional mitral regurgitation (FMR)</w:t>
      </w:r>
      <w:r w:rsidRPr="009A3778">
        <w:rPr>
          <w:iCs/>
        </w:rPr>
        <w:t xml:space="preserve"> was received from the </w:t>
      </w:r>
      <w:r w:rsidR="002A14AC">
        <w:rPr>
          <w:iCs/>
        </w:rPr>
        <w:t>Edwards Lifesciences</w:t>
      </w:r>
      <w:r w:rsidRPr="009A3778">
        <w:rPr>
          <w:iCs/>
        </w:rPr>
        <w:t xml:space="preserve"> by the Department of Health</w:t>
      </w:r>
      <w:r w:rsidR="00F82312">
        <w:rPr>
          <w:iCs/>
        </w:rPr>
        <w:t xml:space="preserve"> and Aged Care</w:t>
      </w:r>
      <w:r w:rsidRPr="009A3778">
        <w:rPr>
          <w:iCs/>
        </w:rPr>
        <w:t>.</w:t>
      </w:r>
    </w:p>
    <w:p w14:paraId="29F3ED74" w14:textId="77777777" w:rsidR="00F35C7B" w:rsidRDefault="00F35C7B" w:rsidP="00F35C7B">
      <w:pPr>
        <w:pStyle w:val="Heading2"/>
        <w:numPr>
          <w:ilvl w:val="0"/>
          <w:numId w:val="0"/>
        </w:numPr>
      </w:pPr>
      <w:r>
        <w:t>2.</w:t>
      </w:r>
      <w:r>
        <w:tab/>
        <w:t>MSAC’s advice to the Minister</w:t>
      </w:r>
    </w:p>
    <w:p w14:paraId="0DE95210" w14:textId="0609E509" w:rsidR="00F35C7B" w:rsidRPr="0010728F" w:rsidRDefault="00F35C7B" w:rsidP="00F35C7B">
      <w:pPr>
        <w:spacing w:after="240"/>
        <w:rPr>
          <w:color w:val="FF0000"/>
          <w:szCs w:val="24"/>
        </w:rPr>
      </w:pPr>
      <w:r>
        <w:t xml:space="preserve">After considering the strength of the available evidence in relation to comparative safety, clinical effectiveness, cost-effectiveness and total cost, </w:t>
      </w:r>
      <w:r>
        <w:rPr>
          <w:szCs w:val="24"/>
        </w:rPr>
        <w:t>MSA</w:t>
      </w:r>
      <w:r w:rsidR="00636311">
        <w:rPr>
          <w:szCs w:val="24"/>
        </w:rPr>
        <w:t>C</w:t>
      </w:r>
      <w:r w:rsidR="0010728F">
        <w:rPr>
          <w:szCs w:val="24"/>
        </w:rPr>
        <w:t xml:space="preserve"> did not support </w:t>
      </w:r>
      <w:r w:rsidR="00FD6212" w:rsidRPr="00FD6212">
        <w:rPr>
          <w:szCs w:val="24"/>
        </w:rPr>
        <w:t>amending Medicare Benefits Schedule (MBS) items 38461 and 38463, for transcatheter mitral valve repair (</w:t>
      </w:r>
      <w:proofErr w:type="spellStart"/>
      <w:r w:rsidR="00FD6212" w:rsidRPr="00FD6212">
        <w:rPr>
          <w:szCs w:val="24"/>
        </w:rPr>
        <w:t>TMVr</w:t>
      </w:r>
      <w:proofErr w:type="spellEnd"/>
      <w:r w:rsidR="00FD6212" w:rsidRPr="00FD6212">
        <w:rPr>
          <w:szCs w:val="24"/>
        </w:rPr>
        <w:t xml:space="preserve">) by transvenous or transeptal techniques using </w:t>
      </w:r>
      <w:proofErr w:type="spellStart"/>
      <w:r w:rsidR="00FD6212" w:rsidRPr="00FD6212">
        <w:rPr>
          <w:szCs w:val="24"/>
        </w:rPr>
        <w:t>Mitraclip</w:t>
      </w:r>
      <w:proofErr w:type="spellEnd"/>
      <w:r w:rsidR="00FD6212" w:rsidRPr="00FD6212">
        <w:rPr>
          <w:szCs w:val="24"/>
        </w:rPr>
        <w:t xml:space="preserve">™, to be device agnostic. MSAC considered that the limited new evidence presented did not change its previous conclusions from November 2021, that the evidence does not adequately support the claim of non-inferior safety and effectiveness of </w:t>
      </w:r>
      <w:proofErr w:type="spellStart"/>
      <w:r w:rsidR="00FD6212" w:rsidRPr="00FD6212">
        <w:rPr>
          <w:szCs w:val="24"/>
        </w:rPr>
        <w:t>TMVr</w:t>
      </w:r>
      <w:proofErr w:type="spellEnd"/>
      <w:r w:rsidR="00FD6212" w:rsidRPr="00FD6212">
        <w:rPr>
          <w:szCs w:val="24"/>
        </w:rPr>
        <w:t xml:space="preserve"> using the PASCAL Transcatheter Valve Repair System™ compared to </w:t>
      </w:r>
      <w:proofErr w:type="spellStart"/>
      <w:r w:rsidR="00FD6212" w:rsidRPr="00FD6212">
        <w:rPr>
          <w:szCs w:val="24"/>
        </w:rPr>
        <w:t>MitraClip</w:t>
      </w:r>
      <w:proofErr w:type="spellEnd"/>
      <w:r w:rsidR="00FD6212" w:rsidRPr="00FD6212">
        <w:rPr>
          <w:szCs w:val="24"/>
        </w:rPr>
        <w:t xml:space="preserve"> and that an unmet clinical need was not clearly demonstrated. </w:t>
      </w:r>
    </w:p>
    <w:tbl>
      <w:tblPr>
        <w:tblStyle w:val="TableGrid"/>
        <w:tblW w:w="0" w:type="auto"/>
        <w:tblLook w:val="04A0" w:firstRow="1" w:lastRow="0" w:firstColumn="1" w:lastColumn="0" w:noHBand="0" w:noVBand="1"/>
        <w:tblDescription w:val="Consumer summary of MSAC consideration"/>
      </w:tblPr>
      <w:tblGrid>
        <w:gridCol w:w="9016"/>
      </w:tblGrid>
      <w:tr w:rsidR="00F35C7B" w14:paraId="0909AF5D" w14:textId="77777777" w:rsidTr="00032E3D">
        <w:trPr>
          <w:tblHeader/>
        </w:trPr>
        <w:tc>
          <w:tcPr>
            <w:tcW w:w="9016" w:type="dxa"/>
            <w:tcBorders>
              <w:top w:val="single" w:sz="4" w:space="0" w:color="auto"/>
              <w:left w:val="single" w:sz="4" w:space="0" w:color="auto"/>
              <w:bottom w:val="single" w:sz="4" w:space="0" w:color="auto"/>
              <w:right w:val="single" w:sz="4" w:space="0" w:color="auto"/>
            </w:tcBorders>
            <w:hideMark/>
          </w:tcPr>
          <w:p w14:paraId="4AFDE366" w14:textId="77777777" w:rsidR="00F35C7B" w:rsidRPr="00E96E47" w:rsidRDefault="00F35C7B" w:rsidP="00032E3D">
            <w:pPr>
              <w:pStyle w:val="Default"/>
              <w:spacing w:before="120" w:after="120"/>
              <w:rPr>
                <w:rFonts w:ascii="Franklin Gothic Book" w:hAnsi="Franklin Gothic Book"/>
                <w:b/>
                <w:bCs/>
                <w:color w:val="auto"/>
                <w:sz w:val="22"/>
                <w:szCs w:val="22"/>
              </w:rPr>
            </w:pPr>
            <w:r w:rsidRPr="00E96E47">
              <w:rPr>
                <w:rFonts w:ascii="Franklin Gothic Book" w:hAnsi="Franklin Gothic Book"/>
                <w:b/>
                <w:bCs/>
                <w:color w:val="auto"/>
                <w:sz w:val="22"/>
                <w:szCs w:val="22"/>
              </w:rPr>
              <w:t>Consumer summary</w:t>
            </w:r>
          </w:p>
        </w:tc>
      </w:tr>
      <w:tr w:rsidR="00F35C7B" w14:paraId="2E90F4C6" w14:textId="77777777" w:rsidTr="00032E3D">
        <w:tc>
          <w:tcPr>
            <w:tcW w:w="9016" w:type="dxa"/>
            <w:tcBorders>
              <w:top w:val="single" w:sz="4" w:space="0" w:color="auto"/>
              <w:left w:val="single" w:sz="4" w:space="0" w:color="auto"/>
              <w:bottom w:val="single" w:sz="4" w:space="0" w:color="auto"/>
              <w:right w:val="single" w:sz="4" w:space="0" w:color="auto"/>
            </w:tcBorders>
            <w:hideMark/>
          </w:tcPr>
          <w:p w14:paraId="76131502" w14:textId="77777777" w:rsidR="004E6352" w:rsidRDefault="004E6352" w:rsidP="004E6352">
            <w:r w:rsidRPr="00AF46D8">
              <w:t xml:space="preserve">This is </w:t>
            </w:r>
            <w:r>
              <w:t>the second</w:t>
            </w:r>
            <w:r w:rsidRPr="00AF46D8">
              <w:t xml:space="preserve"> application from </w:t>
            </w:r>
            <w:r>
              <w:t>Edwards Lifesciences</w:t>
            </w:r>
            <w:r w:rsidRPr="00AF46D8">
              <w:t xml:space="preserve"> requesting Medicare Benefits Schedule (MBS) </w:t>
            </w:r>
            <w:r>
              <w:t>listing for a medical procedure called transcatheter mitral valve repair (</w:t>
            </w:r>
            <w:proofErr w:type="spellStart"/>
            <w:r>
              <w:t>TMVr</w:t>
            </w:r>
            <w:proofErr w:type="spellEnd"/>
            <w:r>
              <w:t xml:space="preserve">). The mitral valve is the valve that sits in the left side of the heart. The heart muscle has four sections, called chambers. When everything is working well, blood travelling from the arteries in the lungs enters the heart via the upper left heart chamber. When the heart beats, blood is first squeezed out of this top left chamber, through the one-way mitral valve, into the lower left chamber. The mitral valve is supposed to close tightly again before blood is then squeezed out towards the rest of the body. </w:t>
            </w:r>
            <w:proofErr w:type="spellStart"/>
            <w:r>
              <w:t>TMVr</w:t>
            </w:r>
            <w:proofErr w:type="spellEnd"/>
            <w:r>
              <w:t xml:space="preserve"> is a procedure performed to manage a condition, called mitral regurgitation, in which the mitral valve does not close tightly. This means that, with each heartbeat, some blood can flow backward from the left lower chamber to the left upper chamber again. This condition makes it difficult for the heart to pump blood around the body, which can cause shortness of breath and may cause heart failure in the long-term. </w:t>
            </w:r>
            <w:proofErr w:type="spellStart"/>
            <w:r>
              <w:t>TMVr</w:t>
            </w:r>
            <w:proofErr w:type="spellEnd"/>
            <w:r>
              <w:t xml:space="preserve"> is already funded on the MBS for another type of device (called </w:t>
            </w:r>
            <w:proofErr w:type="spellStart"/>
            <w:r>
              <w:t>MitraClip</w:t>
            </w:r>
            <w:proofErr w:type="spellEnd"/>
            <w:r>
              <w:t>), and Edwards Lifesciences applied to amend these MBS items to include an approach called the PASCAL system.</w:t>
            </w:r>
          </w:p>
          <w:p w14:paraId="16497032" w14:textId="1DD49866" w:rsidR="004E6352" w:rsidRDefault="004E6352" w:rsidP="0010728F">
            <w:r>
              <w:lastRenderedPageBreak/>
              <w:t>The PASCAL system includes a small device made of clasps, paddles and spacers. The interventional cardiologist or surgeon uses a small, customised tube, called a catheter to insert the device through a vein in the leg up to the heart. Inside the heart, the device gently grasps the edges of the faulty valve to help close the valve.</w:t>
            </w:r>
          </w:p>
          <w:p w14:paraId="20E3E295" w14:textId="020F0BEF" w:rsidR="0010728F" w:rsidRDefault="0010728F" w:rsidP="0010728F">
            <w:r>
              <w:t xml:space="preserve">Edwards Lifesciences has applied for </w:t>
            </w:r>
            <w:r w:rsidR="00126B1F">
              <w:t xml:space="preserve">public funding for </w:t>
            </w:r>
            <w:r>
              <w:t xml:space="preserve">the </w:t>
            </w:r>
            <w:r w:rsidR="00126B1F">
              <w:t xml:space="preserve">PASCAL device to be used for the </w:t>
            </w:r>
            <w:proofErr w:type="spellStart"/>
            <w:r w:rsidR="00126B1F">
              <w:t>TMVr</w:t>
            </w:r>
            <w:proofErr w:type="spellEnd"/>
            <w:r w:rsidR="00126B1F">
              <w:t xml:space="preserve"> </w:t>
            </w:r>
            <w:r>
              <w:t xml:space="preserve">procedure for people with mitral regurgitation who cannot have open heart surgery to repair their mitral valve. </w:t>
            </w:r>
            <w:proofErr w:type="spellStart"/>
            <w:r w:rsidR="00126B1F">
              <w:t>TMVr</w:t>
            </w:r>
            <w:proofErr w:type="spellEnd"/>
            <w:r w:rsidR="00126B1F">
              <w:t xml:space="preserve"> is currently already funded on the MBS when it is performed using the </w:t>
            </w:r>
            <w:proofErr w:type="spellStart"/>
            <w:r w:rsidR="00126B1F" w:rsidRPr="00126B1F">
              <w:t>MitraClip</w:t>
            </w:r>
            <w:proofErr w:type="spellEnd"/>
            <w:r w:rsidR="00126B1F" w:rsidRPr="00126B1F">
              <w:t xml:space="preserve"> device</w:t>
            </w:r>
            <w:r w:rsidR="00126B1F">
              <w:t>.</w:t>
            </w:r>
            <w:r w:rsidR="00126B1F" w:rsidRPr="00126B1F">
              <w:t xml:space="preserve"> </w:t>
            </w:r>
          </w:p>
          <w:p w14:paraId="61783516" w14:textId="68F24391" w:rsidR="0010728F" w:rsidRDefault="0010728F" w:rsidP="0010728F">
            <w:r w:rsidRPr="00316000">
              <w:t xml:space="preserve">MSAC </w:t>
            </w:r>
            <w:r w:rsidR="001849DA">
              <w:t>considered</w:t>
            </w:r>
            <w:r w:rsidR="001849DA" w:rsidRPr="00316000">
              <w:t xml:space="preserve"> </w:t>
            </w:r>
            <w:r w:rsidRPr="00316000">
              <w:t xml:space="preserve">that the clinical evidence to support </w:t>
            </w:r>
            <w:proofErr w:type="spellStart"/>
            <w:r w:rsidR="00126B1F">
              <w:t>TMVr</w:t>
            </w:r>
            <w:proofErr w:type="spellEnd"/>
            <w:r w:rsidR="00126B1F">
              <w:t xml:space="preserve"> using </w:t>
            </w:r>
            <w:r w:rsidRPr="00316000">
              <w:t xml:space="preserve">the PASCAL system was not as high quality as the evidence that was used to support </w:t>
            </w:r>
            <w:proofErr w:type="spellStart"/>
            <w:r w:rsidR="00126B1F">
              <w:t>TMVr</w:t>
            </w:r>
            <w:proofErr w:type="spellEnd"/>
            <w:r w:rsidR="00126B1F">
              <w:t xml:space="preserve"> using the </w:t>
            </w:r>
            <w:proofErr w:type="spellStart"/>
            <w:r w:rsidRPr="00316000">
              <w:t>MitraClip</w:t>
            </w:r>
            <w:proofErr w:type="spellEnd"/>
            <w:r w:rsidR="00126B1F">
              <w:t xml:space="preserve"> system</w:t>
            </w:r>
            <w:r w:rsidRPr="00316000">
              <w:t xml:space="preserve">. MSAC was also not convinced that the PASCAL system was addressing an unmet need, as </w:t>
            </w:r>
            <w:proofErr w:type="spellStart"/>
            <w:r w:rsidR="001849DA">
              <w:t>TMVr</w:t>
            </w:r>
            <w:proofErr w:type="spellEnd"/>
            <w:r w:rsidR="001849DA">
              <w:t xml:space="preserve"> using the </w:t>
            </w:r>
            <w:proofErr w:type="spellStart"/>
            <w:r w:rsidRPr="00316000">
              <w:t>MitraClip</w:t>
            </w:r>
            <w:proofErr w:type="spellEnd"/>
            <w:r w:rsidRPr="00316000">
              <w:t xml:space="preserve"> device </w:t>
            </w:r>
            <w:r w:rsidR="00126B1F">
              <w:t xml:space="preserve">is already funded </w:t>
            </w:r>
            <w:r w:rsidR="001849DA">
              <w:t xml:space="preserve">and the </w:t>
            </w:r>
            <w:proofErr w:type="spellStart"/>
            <w:r w:rsidR="001849DA">
              <w:t>MitraClip</w:t>
            </w:r>
            <w:proofErr w:type="spellEnd"/>
            <w:r w:rsidR="001849DA">
              <w:t xml:space="preserve"> device </w:t>
            </w:r>
            <w:r w:rsidRPr="00316000">
              <w:t>has been continuously evolving. MSAC was also not certain that the PASCAL system would be good value for money.</w:t>
            </w:r>
          </w:p>
          <w:p w14:paraId="0C76D92E" w14:textId="567E0048" w:rsidR="0010728F" w:rsidRPr="00316000" w:rsidRDefault="0010728F" w:rsidP="0010728F">
            <w:pPr>
              <w:spacing w:after="240"/>
            </w:pPr>
            <w:r>
              <w:t xml:space="preserve">MSAC noted that a clinical trial </w:t>
            </w:r>
            <w:r w:rsidR="001849DA">
              <w:t xml:space="preserve">of </w:t>
            </w:r>
            <w:proofErr w:type="spellStart"/>
            <w:r w:rsidR="001849DA">
              <w:t>TMVr</w:t>
            </w:r>
            <w:proofErr w:type="spellEnd"/>
            <w:r w:rsidR="001849DA">
              <w:t xml:space="preserve"> </w:t>
            </w:r>
            <w:r>
              <w:t xml:space="preserve">comparing the PASCAL system with </w:t>
            </w:r>
            <w:proofErr w:type="spellStart"/>
            <w:r>
              <w:t>MitraClip</w:t>
            </w:r>
            <w:proofErr w:type="spellEnd"/>
            <w:r>
              <w:t xml:space="preserve"> is currently underway. The short-term results from this trial appear promising, </w:t>
            </w:r>
            <w:r w:rsidR="006F7FDC">
              <w:t>but</w:t>
            </w:r>
            <w:r>
              <w:t xml:space="preserve"> longer-term results </w:t>
            </w:r>
            <w:r w:rsidR="006A0BCB">
              <w:t xml:space="preserve">are needed to be certain </w:t>
            </w:r>
            <w:r w:rsidR="006F7FDC">
              <w:t xml:space="preserve">that the PASCAL system works as well as the </w:t>
            </w:r>
            <w:proofErr w:type="spellStart"/>
            <w:r w:rsidR="006F7FDC">
              <w:t>MitraClip</w:t>
            </w:r>
            <w:proofErr w:type="spellEnd"/>
            <w:r w:rsidR="006F7FDC">
              <w:t xml:space="preserve"> system over a longer period of time. </w:t>
            </w:r>
          </w:p>
          <w:p w14:paraId="39A3846A" w14:textId="77777777" w:rsidR="00F35C7B" w:rsidRPr="000B5E96" w:rsidRDefault="00F35C7B" w:rsidP="00032E3D">
            <w:pPr>
              <w:pStyle w:val="Default"/>
              <w:spacing w:after="240"/>
              <w:rPr>
                <w:rFonts w:ascii="Franklin Gothic Book" w:hAnsi="Franklin Gothic Book"/>
                <w:b/>
                <w:bCs/>
                <w:iCs/>
                <w:color w:val="auto"/>
                <w:sz w:val="22"/>
                <w:szCs w:val="22"/>
              </w:rPr>
            </w:pPr>
            <w:r w:rsidRPr="000B5E96">
              <w:rPr>
                <w:rFonts w:ascii="Franklin Gothic Book" w:hAnsi="Franklin Gothic Book"/>
                <w:b/>
                <w:bCs/>
                <w:iCs/>
                <w:color w:val="auto"/>
                <w:sz w:val="22"/>
                <w:szCs w:val="22"/>
              </w:rPr>
              <w:t>MSAC’s advice to the Commonwealth Minister for Health</w:t>
            </w:r>
            <w:r>
              <w:rPr>
                <w:rFonts w:ascii="Franklin Gothic Book" w:hAnsi="Franklin Gothic Book"/>
                <w:b/>
                <w:bCs/>
                <w:iCs/>
                <w:color w:val="auto"/>
                <w:sz w:val="22"/>
                <w:szCs w:val="22"/>
              </w:rPr>
              <w:t xml:space="preserve"> and Aged Care</w:t>
            </w:r>
          </w:p>
          <w:p w14:paraId="511BB238" w14:textId="277AE45F" w:rsidR="00F35C7B" w:rsidRDefault="0010728F" w:rsidP="00032E3D">
            <w:pPr>
              <w:pStyle w:val="Default"/>
              <w:spacing w:after="240"/>
              <w:rPr>
                <w:rFonts w:ascii="Times New Roman" w:hAnsi="Times New Roman"/>
                <w:i/>
                <w:color w:val="auto"/>
              </w:rPr>
            </w:pPr>
            <w:r w:rsidRPr="0010728F">
              <w:rPr>
                <w:rFonts w:ascii="Franklin Gothic Book" w:hAnsi="Franklin Gothic Book"/>
                <w:iCs/>
                <w:color w:val="auto"/>
                <w:sz w:val="22"/>
                <w:szCs w:val="22"/>
              </w:rPr>
              <w:t xml:space="preserve">MSAC did not support listing the </w:t>
            </w:r>
            <w:proofErr w:type="spellStart"/>
            <w:r w:rsidR="00F207F3">
              <w:rPr>
                <w:rFonts w:ascii="Franklin Gothic Book" w:hAnsi="Franklin Gothic Book"/>
                <w:iCs/>
                <w:color w:val="auto"/>
                <w:sz w:val="22"/>
                <w:szCs w:val="22"/>
              </w:rPr>
              <w:t>TMVr</w:t>
            </w:r>
            <w:proofErr w:type="spellEnd"/>
            <w:r w:rsidR="00F207F3">
              <w:rPr>
                <w:rFonts w:ascii="Franklin Gothic Book" w:hAnsi="Franklin Gothic Book"/>
                <w:iCs/>
                <w:color w:val="auto"/>
                <w:sz w:val="22"/>
                <w:szCs w:val="22"/>
              </w:rPr>
              <w:t xml:space="preserve"> using the </w:t>
            </w:r>
            <w:r w:rsidRPr="0010728F">
              <w:rPr>
                <w:rFonts w:ascii="Franklin Gothic Book" w:hAnsi="Franklin Gothic Book"/>
                <w:iCs/>
                <w:color w:val="auto"/>
                <w:sz w:val="22"/>
                <w:szCs w:val="22"/>
              </w:rPr>
              <w:t>PASCAL system on the MBS because there was not enough high-quality clinical evidence to show that the device is safe and effective. MSAC also could not be sure if it was addressing an unmet need or was good value for money.</w:t>
            </w:r>
          </w:p>
        </w:tc>
      </w:tr>
    </w:tbl>
    <w:p w14:paraId="0A0B0F06" w14:textId="77777777" w:rsidR="00F35C7B" w:rsidRDefault="00F35C7B" w:rsidP="00F35C7B">
      <w:pPr>
        <w:pStyle w:val="Heading2"/>
        <w:numPr>
          <w:ilvl w:val="0"/>
          <w:numId w:val="0"/>
        </w:numPr>
      </w:pPr>
      <w:r>
        <w:lastRenderedPageBreak/>
        <w:t>3.</w:t>
      </w:r>
      <w:r>
        <w:tab/>
        <w:t>Summary of consideration and rationale for MSAC’s advice</w:t>
      </w:r>
    </w:p>
    <w:p w14:paraId="6450D8F8" w14:textId="252F7C17" w:rsidR="0010728F" w:rsidRDefault="0010728F" w:rsidP="0010728F">
      <w:r w:rsidRPr="00516D4E">
        <w:t>MSAC</w:t>
      </w:r>
      <w:r>
        <w:t xml:space="preserve"> noted that this application from Edwards Lifesciences </w:t>
      </w:r>
      <w:r w:rsidR="00F207F3">
        <w:t>requested</w:t>
      </w:r>
      <w:r w:rsidR="005C4281">
        <w:t xml:space="preserve"> amendment of the</w:t>
      </w:r>
      <w:r w:rsidR="00F207F3">
        <w:t xml:space="preserve"> </w:t>
      </w:r>
      <w:r w:rsidR="005C4281">
        <w:t xml:space="preserve">MBS </w:t>
      </w:r>
      <w:r>
        <w:t>listing</w:t>
      </w:r>
      <w:r w:rsidR="00126DA8">
        <w:t>s</w:t>
      </w:r>
      <w:r>
        <w:t xml:space="preserve"> for </w:t>
      </w:r>
      <w:proofErr w:type="spellStart"/>
      <w:r>
        <w:t>TMVr</w:t>
      </w:r>
      <w:proofErr w:type="spellEnd"/>
      <w:r>
        <w:t xml:space="preserve"> for treatment of patients with DMR or FMR. The </w:t>
      </w:r>
      <w:r w:rsidR="00F207F3">
        <w:t>Applicant-Developed Assessment Report (ADAR)</w:t>
      </w:r>
      <w:r>
        <w:t xml:space="preserve"> </w:t>
      </w:r>
      <w:r w:rsidR="00F207F3">
        <w:t xml:space="preserve">requested </w:t>
      </w:r>
      <w:r>
        <w:t>amendment of the current</w:t>
      </w:r>
      <w:r w:rsidR="00F30643">
        <w:t xml:space="preserve"> device specific</w:t>
      </w:r>
      <w:r>
        <w:t xml:space="preserve"> MBS items for </w:t>
      </w:r>
      <w:proofErr w:type="spellStart"/>
      <w:r>
        <w:t>TMVr</w:t>
      </w:r>
      <w:proofErr w:type="spellEnd"/>
      <w:r>
        <w:t xml:space="preserve"> using the </w:t>
      </w:r>
      <w:proofErr w:type="spellStart"/>
      <w:r>
        <w:t>MitraClip</w:t>
      </w:r>
      <w:proofErr w:type="spellEnd"/>
      <w:r>
        <w:t xml:space="preserve"> system (MBS items 38461 and 38463) </w:t>
      </w:r>
      <w:r w:rsidR="00F30643">
        <w:t>to be</w:t>
      </w:r>
      <w:r>
        <w:t xml:space="preserve"> device agnostic, allowing the PASCAL system to be </w:t>
      </w:r>
      <w:r w:rsidR="00F207F3">
        <w:t xml:space="preserve">used </w:t>
      </w:r>
      <w:r>
        <w:t>as an intervention to reduce MR through tissue approximation.</w:t>
      </w:r>
    </w:p>
    <w:p w14:paraId="0CA08DFE" w14:textId="77777777" w:rsidR="0010728F" w:rsidRDefault="0010728F" w:rsidP="0010728F">
      <w:r>
        <w:t>MSAC noted that this is a resubmission, with the first submission considered by MSAC in November 2021 (</w:t>
      </w:r>
      <w:hyperlink r:id="rId9" w:history="1">
        <w:r>
          <w:rPr>
            <w:rStyle w:val="Hyperlink"/>
            <w:iCs/>
          </w:rPr>
          <w:t>MSAC 1662 PSD</w:t>
        </w:r>
      </w:hyperlink>
      <w:r>
        <w:t>).</w:t>
      </w:r>
    </w:p>
    <w:p w14:paraId="06741255" w14:textId="29B84803" w:rsidR="0010728F" w:rsidRDefault="0010728F" w:rsidP="0010728F">
      <w:r>
        <w:t xml:space="preserve">MSAC noted that at its September 2020 out-of-session meeting, MSAC supported listing </w:t>
      </w:r>
      <w:proofErr w:type="spellStart"/>
      <w:r>
        <w:t>MitraClip</w:t>
      </w:r>
      <w:proofErr w:type="spellEnd"/>
      <w:r>
        <w:t xml:space="preserve"> (Abbott Australasia Pty Ltd) for </w:t>
      </w:r>
      <w:proofErr w:type="spellStart"/>
      <w:r>
        <w:t>TMVr</w:t>
      </w:r>
      <w:proofErr w:type="spellEnd"/>
      <w:r>
        <w:t xml:space="preserve"> through tissue approximation (</w:t>
      </w:r>
      <w:hyperlink r:id="rId10" w:history="1">
        <w:r>
          <w:rPr>
            <w:rStyle w:val="Hyperlink"/>
            <w:iCs/>
          </w:rPr>
          <w:t>MSAC 1192.3 PSD</w:t>
        </w:r>
      </w:hyperlink>
      <w:r>
        <w:t>). This led to the creation of MBS items 38461 and 38463 for DMR and FMR in July 2021. At its November 2021 meeting, MSAC did not support amending these MBS items to make them device agnostic for the PASCAL device (</w:t>
      </w:r>
      <w:hyperlink r:id="rId11" w:history="1">
        <w:r w:rsidR="00F30643">
          <w:rPr>
            <w:rStyle w:val="Hyperlink"/>
            <w:iCs/>
          </w:rPr>
          <w:t>MSAC 1662 PSD</w:t>
        </w:r>
      </w:hyperlink>
      <w:r>
        <w:t xml:space="preserve">). At the time, MSAC considered that the quality of evidence for </w:t>
      </w:r>
      <w:proofErr w:type="spellStart"/>
      <w:r>
        <w:t>TMVr</w:t>
      </w:r>
      <w:proofErr w:type="spellEnd"/>
      <w:r>
        <w:t xml:space="preserve"> using the PASCAL system was low and did not adequately support the claim of clinical non-inferiority for safety and effectiveness. MSAC advised that a future submission should preferably include evidence comparable in quality to the </w:t>
      </w:r>
      <w:proofErr w:type="spellStart"/>
      <w:r>
        <w:t>MitraClip</w:t>
      </w:r>
      <w:proofErr w:type="spellEnd"/>
      <w:r>
        <w:t xml:space="preserve"> randomised control trial (RCT) with two-year follow-up, as well as comparative evidence for DMR alone. Additionally, MSAC considered that the submission had not clearly demonstrated an unmet clinical need for an alternative device for MR.</w:t>
      </w:r>
    </w:p>
    <w:p w14:paraId="1C0165C0" w14:textId="0BD79B67" w:rsidR="0010728F" w:rsidRPr="00DF3BBC" w:rsidRDefault="0010728F" w:rsidP="0010728F">
      <w:r w:rsidRPr="00316000">
        <w:t xml:space="preserve">MSAC noted that public consultation feedback was supportive. However, feedback stated that the item fee of $1,514.10 (the same fee as MBS items 38461 and 38463 for </w:t>
      </w:r>
      <w:proofErr w:type="spellStart"/>
      <w:r w:rsidRPr="00316000">
        <w:t>MitraClip</w:t>
      </w:r>
      <w:proofErr w:type="spellEnd"/>
      <w:r w:rsidRPr="00316000">
        <w:t xml:space="preserve">) was too low for </w:t>
      </w:r>
      <w:r w:rsidRPr="00316000">
        <w:lastRenderedPageBreak/>
        <w:t xml:space="preserve">the complexity of the procedure and should be payable twice within </w:t>
      </w:r>
      <w:r>
        <w:t>five</w:t>
      </w:r>
      <w:r w:rsidRPr="00316000">
        <w:t> years if agreed by the multidisciplinary team.</w:t>
      </w:r>
    </w:p>
    <w:p w14:paraId="7CA931B7" w14:textId="30EF4DCF" w:rsidR="0010728F" w:rsidRDefault="0010728F" w:rsidP="0010728F">
      <w:r>
        <w:t xml:space="preserve">MSAC noted the clinical management algorithms for both DMR and FMR. MSAC noted that patients must have an </w:t>
      </w:r>
      <w:r w:rsidR="00A85234">
        <w:t>un</w:t>
      </w:r>
      <w:r>
        <w:t>acceptably high risk for surgical valve replacement.</w:t>
      </w:r>
      <w:r w:rsidRPr="00F7523A">
        <w:t xml:space="preserve"> </w:t>
      </w:r>
      <w:r>
        <w:t xml:space="preserve">MSAC noted that the proposed populations for PASCAL align with the two populations already listed for this procedure on the MBS using the </w:t>
      </w:r>
      <w:proofErr w:type="spellStart"/>
      <w:r>
        <w:t>MitraClip</w:t>
      </w:r>
      <w:proofErr w:type="spellEnd"/>
      <w:r>
        <w:t xml:space="preserve"> system.</w:t>
      </w:r>
    </w:p>
    <w:p w14:paraId="01E537D0" w14:textId="6788BD10" w:rsidR="0010728F" w:rsidRDefault="0010728F" w:rsidP="0010728F">
      <w:r>
        <w:t xml:space="preserve">MSAC noted that the comparator was </w:t>
      </w:r>
      <w:proofErr w:type="spellStart"/>
      <w:r w:rsidR="004453D1">
        <w:t>TMVr</w:t>
      </w:r>
      <w:proofErr w:type="spellEnd"/>
      <w:r w:rsidR="004453D1">
        <w:t xml:space="preserve"> using </w:t>
      </w:r>
      <w:proofErr w:type="spellStart"/>
      <w:r>
        <w:t>MitraClip</w:t>
      </w:r>
      <w:proofErr w:type="spellEnd"/>
      <w:r>
        <w:t xml:space="preserve">, which MSAC considered to be appropriate. However, MSAC considered that for patients not anatomically suitable for </w:t>
      </w:r>
      <w:proofErr w:type="spellStart"/>
      <w:r w:rsidR="00BB4305">
        <w:t>TMVr</w:t>
      </w:r>
      <w:proofErr w:type="spellEnd"/>
      <w:r w:rsidR="00BB4305">
        <w:t xml:space="preserve"> using </w:t>
      </w:r>
      <w:proofErr w:type="spellStart"/>
      <w:r>
        <w:t>MitraClip</w:t>
      </w:r>
      <w:proofErr w:type="spellEnd"/>
      <w:r>
        <w:t>, the comparator would be best supportive care.</w:t>
      </w:r>
    </w:p>
    <w:p w14:paraId="519AE3A1" w14:textId="2F99D993" w:rsidR="0010728F" w:rsidRDefault="0010728F" w:rsidP="0010728F">
      <w:r w:rsidRPr="000F46BC">
        <w:t xml:space="preserve">MSAC noted that the applicant considered </w:t>
      </w:r>
      <w:r w:rsidR="004453D1" w:rsidRPr="000F46BC">
        <w:t xml:space="preserve">that </w:t>
      </w:r>
      <w:proofErr w:type="spellStart"/>
      <w:r w:rsidR="004453D1" w:rsidRPr="000F46BC">
        <w:t>TMVr</w:t>
      </w:r>
      <w:proofErr w:type="spellEnd"/>
      <w:r w:rsidR="004453D1" w:rsidRPr="000F46BC">
        <w:t xml:space="preserve"> using </w:t>
      </w:r>
      <w:r w:rsidRPr="000F46BC">
        <w:t xml:space="preserve">the PASCAL system to largely be an alternative to </w:t>
      </w:r>
      <w:proofErr w:type="spellStart"/>
      <w:r w:rsidR="004453D1" w:rsidRPr="000F46BC">
        <w:t>TMVr</w:t>
      </w:r>
      <w:proofErr w:type="spellEnd"/>
      <w:r w:rsidR="004453D1" w:rsidRPr="000F46BC">
        <w:t xml:space="preserve"> using </w:t>
      </w:r>
      <w:proofErr w:type="spellStart"/>
      <w:r w:rsidRPr="000F46BC">
        <w:t>MitraClip</w:t>
      </w:r>
      <w:proofErr w:type="spellEnd"/>
      <w:r w:rsidRPr="000F46BC">
        <w:t xml:space="preserve">, </w:t>
      </w:r>
      <w:r w:rsidRPr="000B0F56">
        <w:t xml:space="preserve">providing </w:t>
      </w:r>
      <w:r w:rsidR="00DD39C2" w:rsidRPr="000B0F56">
        <w:t xml:space="preserve">potential </w:t>
      </w:r>
      <w:r w:rsidRPr="000B0F56">
        <w:t xml:space="preserve">technical advantages including improvements in manoeuvrability and implant dimensions that make it more appropriate for patients with complex anatomy. </w:t>
      </w:r>
      <w:r>
        <w:t xml:space="preserve">However, MSAC considered that the </w:t>
      </w:r>
      <w:proofErr w:type="spellStart"/>
      <w:r>
        <w:t>MitraClip</w:t>
      </w:r>
      <w:proofErr w:type="spellEnd"/>
      <w:r>
        <w:t xml:space="preserve"> device has continued to evolve, and </w:t>
      </w:r>
      <w:r w:rsidR="002D6A8D">
        <w:t xml:space="preserve">the recently </w:t>
      </w:r>
      <w:r w:rsidR="001849DA">
        <w:t>released</w:t>
      </w:r>
      <w:r w:rsidR="002D6A8D">
        <w:t xml:space="preserve"> fourth generation </w:t>
      </w:r>
      <w:proofErr w:type="spellStart"/>
      <w:r w:rsidR="002D6A8D">
        <w:t>MitraClip</w:t>
      </w:r>
      <w:proofErr w:type="spellEnd"/>
      <w:r>
        <w:t xml:space="preserve"> </w:t>
      </w:r>
      <w:r w:rsidR="00347720">
        <w:t>may address</w:t>
      </w:r>
      <w:r>
        <w:t xml:space="preserve"> </w:t>
      </w:r>
      <w:r w:rsidR="001849DA">
        <w:t xml:space="preserve">some of </w:t>
      </w:r>
      <w:r>
        <w:t xml:space="preserve">the drawbacks described in the ADAR. </w:t>
      </w:r>
      <w:r w:rsidR="004B741A">
        <w:t xml:space="preserve">The ADAR did not identify a group of patients with an unmet clinical need who are eligible for </w:t>
      </w:r>
      <w:proofErr w:type="spellStart"/>
      <w:r w:rsidR="004B741A">
        <w:t>TMVr</w:t>
      </w:r>
      <w:proofErr w:type="spellEnd"/>
      <w:r w:rsidR="004B741A">
        <w:t xml:space="preserve"> but unable to undergo </w:t>
      </w:r>
      <w:proofErr w:type="spellStart"/>
      <w:r w:rsidR="004B741A">
        <w:t>TMVr</w:t>
      </w:r>
      <w:proofErr w:type="spellEnd"/>
      <w:r w:rsidR="004B741A">
        <w:t xml:space="preserve"> using the currently funded </w:t>
      </w:r>
      <w:proofErr w:type="spellStart"/>
      <w:r w:rsidR="004B741A">
        <w:t>MitraClip</w:t>
      </w:r>
      <w:proofErr w:type="spellEnd"/>
      <w:r w:rsidR="004B741A">
        <w:t xml:space="preserve"> device. </w:t>
      </w:r>
      <w:r w:rsidR="00A860CE">
        <w:t>Therefore,</w:t>
      </w:r>
      <w:r w:rsidR="006C750B">
        <w:t xml:space="preserve"> MSAC considered </w:t>
      </w:r>
      <w:r>
        <w:t xml:space="preserve">the applicant’s claim that </w:t>
      </w:r>
      <w:proofErr w:type="spellStart"/>
      <w:r w:rsidR="004453D1">
        <w:t>TMVr</w:t>
      </w:r>
      <w:proofErr w:type="spellEnd"/>
      <w:r w:rsidR="004453D1">
        <w:t xml:space="preserve"> using the PASCAL system would address </w:t>
      </w:r>
      <w:r>
        <w:t>an unmet clinical need requiring an alternative device</w:t>
      </w:r>
      <w:r w:rsidR="00275EBF">
        <w:t xml:space="preserve"> </w:t>
      </w:r>
      <w:r w:rsidR="006C750B">
        <w:t xml:space="preserve">was not adequately supported </w:t>
      </w:r>
      <w:r w:rsidR="00275EBF">
        <w:t xml:space="preserve">in the context of the currently </w:t>
      </w:r>
      <w:r w:rsidR="001849DA">
        <w:t>available</w:t>
      </w:r>
      <w:r w:rsidR="00275EBF">
        <w:t xml:space="preserve"> </w:t>
      </w:r>
      <w:r w:rsidR="001849DA">
        <w:t xml:space="preserve">(fourth </w:t>
      </w:r>
      <w:r w:rsidR="00275EBF">
        <w:t>generation</w:t>
      </w:r>
      <w:r w:rsidR="001849DA">
        <w:t xml:space="preserve">) </w:t>
      </w:r>
      <w:proofErr w:type="spellStart"/>
      <w:r w:rsidR="00275EBF">
        <w:t>MitraClip</w:t>
      </w:r>
      <w:proofErr w:type="spellEnd"/>
      <w:r w:rsidR="0055368B">
        <w:t xml:space="preserve"> </w:t>
      </w:r>
      <w:r w:rsidR="001849DA">
        <w:t>devices</w:t>
      </w:r>
      <w:r>
        <w:t>.</w:t>
      </w:r>
    </w:p>
    <w:p w14:paraId="3B57E368" w14:textId="161CCFBA" w:rsidR="006C750B" w:rsidRDefault="0010728F" w:rsidP="0010728F">
      <w:r>
        <w:t xml:space="preserve">MSAC noted that the evidence </w:t>
      </w:r>
      <w:r w:rsidR="001849DA">
        <w:t>presented in the</w:t>
      </w:r>
      <w:r>
        <w:t xml:space="preserve"> </w:t>
      </w:r>
      <w:r w:rsidR="008F20F7">
        <w:t xml:space="preserve">ADAR </w:t>
      </w:r>
      <w:r w:rsidR="002D6A8D">
        <w:t xml:space="preserve">remained largely unchanged </w:t>
      </w:r>
      <w:r w:rsidR="000F26F2">
        <w:t xml:space="preserve">from the previous ADAR </w:t>
      </w:r>
      <w:r w:rsidR="00DD39C2">
        <w:t>with respect to</w:t>
      </w:r>
      <w:r w:rsidR="000F26F2">
        <w:t xml:space="preserve"> the studies presented and data</w:t>
      </w:r>
      <w:r w:rsidR="00DD39C2">
        <w:t xml:space="preserve"> </w:t>
      </w:r>
      <w:r w:rsidR="000F26F2">
        <w:t xml:space="preserve">on </w:t>
      </w:r>
      <w:r w:rsidR="00DD39C2">
        <w:t>longer term outcomes</w:t>
      </w:r>
      <w:r w:rsidR="002D6A8D">
        <w:t xml:space="preserve">. </w:t>
      </w:r>
      <w:r w:rsidR="002D6A8D" w:rsidRPr="000F46BC">
        <w:t xml:space="preserve">The current </w:t>
      </w:r>
      <w:r w:rsidR="00DD39C2" w:rsidRPr="000F46BC">
        <w:t>ADAR</w:t>
      </w:r>
      <w:r w:rsidR="002D6A8D" w:rsidRPr="000F46BC">
        <w:t xml:space="preserve"> </w:t>
      </w:r>
      <w:r w:rsidRPr="000F46BC">
        <w:t xml:space="preserve">included </w:t>
      </w:r>
      <w:r w:rsidR="002D6A8D" w:rsidRPr="000F46BC">
        <w:t xml:space="preserve">additional 24-month follow-up data for the mixed FMR/DMR population (CLASP, EVEREST-II) and </w:t>
      </w:r>
      <w:r w:rsidRPr="000F46BC">
        <w:t xml:space="preserve">a </w:t>
      </w:r>
      <w:r w:rsidR="00DD39C2" w:rsidRPr="000F46BC">
        <w:t xml:space="preserve">revised analysis </w:t>
      </w:r>
      <w:r w:rsidRPr="000F46BC">
        <w:t xml:space="preserve">of the same </w:t>
      </w:r>
      <w:r w:rsidR="006723D1" w:rsidRPr="000F46BC">
        <w:t>studies</w:t>
      </w:r>
      <w:r w:rsidRPr="000F46BC">
        <w:t xml:space="preserve"> </w:t>
      </w:r>
      <w:r w:rsidR="006723D1" w:rsidRPr="000F46BC">
        <w:t>in an</w:t>
      </w:r>
      <w:r w:rsidRPr="000F46BC">
        <w:t xml:space="preserve"> unanchored matching-adjusted indirect comparisons (MAIC)</w:t>
      </w:r>
      <w:r w:rsidR="002D6A8D" w:rsidRPr="000F46BC">
        <w:t>.</w:t>
      </w:r>
      <w:r w:rsidRPr="000F46BC">
        <w:t xml:space="preserve"> </w:t>
      </w:r>
      <w:r w:rsidR="006C750B" w:rsidRPr="000F46BC">
        <w:t xml:space="preserve">MSAC noted that the unanchored MAIC </w:t>
      </w:r>
      <w:r w:rsidR="004F0AFA" w:rsidRPr="000F46BC">
        <w:t xml:space="preserve">method </w:t>
      </w:r>
      <w:r w:rsidR="006C750B" w:rsidRPr="000F46BC">
        <w:t>assumes that all</w:t>
      </w:r>
      <w:r w:rsidR="004F0AFA" w:rsidRPr="000F46BC">
        <w:t xml:space="preserve"> treatment effect modifiers and prognostic factors are known and accounted for. This is largely considered very hard to meet and may lead to an unknown amount of bias in the unanchored estimate</w:t>
      </w:r>
      <w:r w:rsidR="00D76A21" w:rsidRPr="000F46BC">
        <w:t xml:space="preserve"> </w:t>
      </w:r>
      <w:r w:rsidR="00A17E77" w:rsidRPr="000F46BC">
        <w:t>(</w:t>
      </w:r>
      <w:proofErr w:type="spellStart"/>
      <w:r w:rsidR="00A17E77" w:rsidRPr="000F46BC">
        <w:t>Phillipo</w:t>
      </w:r>
      <w:proofErr w:type="spellEnd"/>
      <w:r w:rsidR="00A17E77" w:rsidRPr="000F46BC">
        <w:t xml:space="preserve"> 2018 </w:t>
      </w:r>
      <w:r w:rsidR="00A17E77" w:rsidRPr="000F46BC">
        <w:rPr>
          <w:rStyle w:val="FootnoteReference"/>
        </w:rPr>
        <w:footnoteReference w:id="2"/>
      </w:r>
      <w:r w:rsidR="00A17E77" w:rsidRPr="000F46BC">
        <w:t xml:space="preserve">  and </w:t>
      </w:r>
      <w:proofErr w:type="spellStart"/>
      <w:r w:rsidR="00A17E77" w:rsidRPr="000F46BC">
        <w:t>Phillipo</w:t>
      </w:r>
      <w:proofErr w:type="spellEnd"/>
      <w:r w:rsidR="00A17E77" w:rsidRPr="000F46BC">
        <w:t xml:space="preserve"> 2016 </w:t>
      </w:r>
      <w:r w:rsidR="00A17E77" w:rsidRPr="000F46BC">
        <w:rPr>
          <w:rStyle w:val="FootnoteReference"/>
        </w:rPr>
        <w:footnoteReference w:id="3"/>
      </w:r>
      <w:r w:rsidR="00A17E77" w:rsidRPr="000F46BC">
        <w:t>)</w:t>
      </w:r>
      <w:r w:rsidR="004F0AFA" w:rsidRPr="000F46BC">
        <w:t xml:space="preserve">. </w:t>
      </w:r>
    </w:p>
    <w:p w14:paraId="3A8A51E3" w14:textId="7F955FBD" w:rsidR="00AF78DA" w:rsidRDefault="0010728F" w:rsidP="0010728F">
      <w:r w:rsidRPr="000F46BC">
        <w:t>The primary sources of evidence</w:t>
      </w:r>
      <w:r w:rsidR="00BB2204" w:rsidRPr="000F46BC">
        <w:t xml:space="preserve"> in the ADAR</w:t>
      </w:r>
      <w:r w:rsidRPr="000F46BC">
        <w:t xml:space="preserve"> consisted of two single-arm studies for PASCAL (CLASP and Mauri 2020), the </w:t>
      </w:r>
      <w:proofErr w:type="spellStart"/>
      <w:r w:rsidRPr="000F46BC">
        <w:t>MitraClip</w:t>
      </w:r>
      <w:proofErr w:type="spellEnd"/>
      <w:r w:rsidRPr="000F46BC">
        <w:t xml:space="preserve"> arms from two RCTs (COAPT and EVEREST-II) and data from the STS/ACC TVT Registry for </w:t>
      </w:r>
      <w:proofErr w:type="spellStart"/>
      <w:r w:rsidRPr="000F46BC">
        <w:t>MitraClip</w:t>
      </w:r>
      <w:proofErr w:type="spellEnd"/>
      <w:r w:rsidRPr="000F46BC">
        <w:t xml:space="preserve"> (Mack 2022). Results of these five observational datasets were presented as naïve comparisons.</w:t>
      </w:r>
      <w:r w:rsidR="00AF78DA" w:rsidRPr="000F46BC">
        <w:t xml:space="preserve"> The pre-ESC response included conference presentations reporting results from the CLASP IID trial (comparing </w:t>
      </w:r>
      <w:proofErr w:type="spellStart"/>
      <w:r w:rsidR="00AF78DA" w:rsidRPr="000F46BC">
        <w:t>TMVr</w:t>
      </w:r>
      <w:proofErr w:type="spellEnd"/>
      <w:r w:rsidR="00AF78DA" w:rsidRPr="000F46BC">
        <w:t xml:space="preserve"> using PASCAL and </w:t>
      </w:r>
      <w:proofErr w:type="spellStart"/>
      <w:r w:rsidR="00AF78DA" w:rsidRPr="000F46BC">
        <w:t>MitraClip</w:t>
      </w:r>
      <w:proofErr w:type="spellEnd"/>
      <w:r w:rsidR="00AF78DA" w:rsidRPr="000F46BC">
        <w:t xml:space="preserve"> in DMR) and the PASCAL IID Registry that assessed </w:t>
      </w:r>
      <w:proofErr w:type="spellStart"/>
      <w:r w:rsidR="00AF78DA" w:rsidRPr="000F46BC">
        <w:t>TMVr</w:t>
      </w:r>
      <w:proofErr w:type="spellEnd"/>
      <w:r w:rsidR="00AF78DA" w:rsidRPr="000F46BC">
        <w:t xml:space="preserve"> using PASCAL in prohibitive surgical risk patients with significant symptomatic DMR and complex mitral valve anatomy. An uncorrected proof was considered by ESC</w:t>
      </w:r>
      <w:r w:rsidR="00AF78DA" w:rsidRPr="000F46BC">
        <w:rPr>
          <w:rStyle w:val="FootnoteReference"/>
        </w:rPr>
        <w:footnoteReference w:id="4"/>
      </w:r>
      <w:r w:rsidR="00AF78DA" w:rsidRPr="000F46BC">
        <w:t xml:space="preserve">. MSAC noted these results were not provided with the ADAR and not formally evaluated.  </w:t>
      </w:r>
      <w:r w:rsidR="0097122C" w:rsidRPr="000F46BC">
        <w:t>No results from the CLASP IIF trial were presented.</w:t>
      </w:r>
      <w:r w:rsidR="00FB7B40" w:rsidRPr="000F46BC">
        <w:t xml:space="preserve"> </w:t>
      </w:r>
      <w:r w:rsidR="00FB7B40" w:rsidRPr="00FB7B40">
        <w:t xml:space="preserve">MSAC noted that these are a part of a current clinical trial (Edwards PASCAL CLASP IID/IIF Pivotal Clinical Trial) comparing the safety and effectiveness of PASCAL to </w:t>
      </w:r>
      <w:proofErr w:type="spellStart"/>
      <w:r w:rsidR="00FB7B40" w:rsidRPr="00FB7B40">
        <w:t>MitraClip</w:t>
      </w:r>
      <w:proofErr w:type="spellEnd"/>
      <w:r w:rsidR="00FB7B40" w:rsidRPr="00FB7B40">
        <w:t>. There are three arms with a target total of 1,275 participants.</w:t>
      </w:r>
    </w:p>
    <w:p w14:paraId="5C8B4E57" w14:textId="18E688DC" w:rsidR="006F4786" w:rsidRDefault="0010728F" w:rsidP="0010728F">
      <w:r>
        <w:lastRenderedPageBreak/>
        <w:t xml:space="preserve">Two additional non-randomised, comparative clinical </w:t>
      </w:r>
      <w:r w:rsidR="00ED7FEA">
        <w:t xml:space="preserve">studies </w:t>
      </w:r>
      <w:r>
        <w:t xml:space="preserve">(Geis 2022 and </w:t>
      </w:r>
      <w:proofErr w:type="spellStart"/>
      <w:r>
        <w:t>Haschemi</w:t>
      </w:r>
      <w:proofErr w:type="spellEnd"/>
      <w:r>
        <w:t xml:space="preserve"> 2022) were included in an appendix of the ADAR, but not the main body. MSAC noted that that the population in the Geis </w:t>
      </w:r>
      <w:r w:rsidR="00937CF4">
        <w:t>study</w:t>
      </w:r>
      <w:r>
        <w:t xml:space="preserve"> had baseline differences (</w:t>
      </w:r>
      <w:r w:rsidR="004B741A">
        <w:t>e.g.</w:t>
      </w:r>
      <w:r>
        <w:t xml:space="preserve"> a higher EURSCORE II with </w:t>
      </w:r>
      <w:proofErr w:type="spellStart"/>
      <w:r>
        <w:t>MitraClip</w:t>
      </w:r>
      <w:proofErr w:type="spellEnd"/>
      <w:r>
        <w:t xml:space="preserve">, </w:t>
      </w:r>
      <w:r w:rsidRPr="00CF79AC">
        <w:rPr>
          <w:i/>
          <w:iCs/>
        </w:rPr>
        <w:t>P</w:t>
      </w:r>
      <w:r>
        <w:t xml:space="preserve"> = 0.05) and </w:t>
      </w:r>
      <w:r w:rsidR="003C57C5">
        <w:t xml:space="preserve">included some patients that would be ineligible for </w:t>
      </w:r>
      <w:r w:rsidR="00ED7FEA">
        <w:t xml:space="preserve">the </w:t>
      </w:r>
      <w:r w:rsidR="003C57C5">
        <w:t>MBS item</w:t>
      </w:r>
      <w:r>
        <w:t xml:space="preserve"> (17% had left ventricular ejection fraction of &lt;20%). MSAC also noted that, in the Geis </w:t>
      </w:r>
      <w:r w:rsidR="00937CF4">
        <w:t>study</w:t>
      </w:r>
      <w:r>
        <w:t xml:space="preserve">, PASCAL had three-times more patients lost to follow-up (46% at 1–4 months, 68% at 6–18 months) compared to </w:t>
      </w:r>
      <w:proofErr w:type="spellStart"/>
      <w:r>
        <w:t>MitraClip</w:t>
      </w:r>
      <w:proofErr w:type="spellEnd"/>
      <w:r>
        <w:t>, with insufficient explanation provided.</w:t>
      </w:r>
      <w:r w:rsidR="000F26F2" w:rsidRPr="000F26F2">
        <w:t xml:space="preserve"> </w:t>
      </w:r>
      <w:r w:rsidR="000F26F2">
        <w:t>MSAC considered that these additional studies had a low to medium risk of bias</w:t>
      </w:r>
      <w:r w:rsidR="005C3DD1">
        <w:t xml:space="preserve"> and were a higher level of evidence than the MAICs</w:t>
      </w:r>
      <w:r w:rsidR="006F4786">
        <w:t>.</w:t>
      </w:r>
      <w:r w:rsidR="006F4786" w:rsidRPr="006F4786">
        <w:t xml:space="preserve"> </w:t>
      </w:r>
      <w:r w:rsidR="006F4786">
        <w:t xml:space="preserve">MSAC considered that the new studies did not address previous MSAC advice (from November 2021) that any future submission should include evidence that is comparable in quality to the </w:t>
      </w:r>
      <w:proofErr w:type="spellStart"/>
      <w:r w:rsidR="006F4786">
        <w:t>MitraClip</w:t>
      </w:r>
      <w:proofErr w:type="spellEnd"/>
      <w:r w:rsidR="006F4786">
        <w:t xml:space="preserve"> trial evidence and comparative evidence for the DMR population alone.</w:t>
      </w:r>
    </w:p>
    <w:p w14:paraId="52B02CFF" w14:textId="229010D1" w:rsidR="00FB7B40" w:rsidRDefault="004F0AFA" w:rsidP="0010728F">
      <w:r>
        <w:t xml:space="preserve">MSAC considered the comparative safety outcomes to be reassuring. However, MSAC was concerned about the limited long-term data </w:t>
      </w:r>
      <w:r w:rsidRPr="000F46BC">
        <w:t>(beyond 6 months), in particular small numbers and variable or incomplete follow-up for the published comparative studies. MSAC also considered the MAIC and naïve comparisons to be limited by not having a common comparator</w:t>
      </w:r>
      <w:r w:rsidR="00695715" w:rsidRPr="000F46BC">
        <w:t>.</w:t>
      </w:r>
      <w:r w:rsidRPr="000F46BC">
        <w:t xml:space="preserve"> </w:t>
      </w:r>
      <w:r w:rsidR="00695715">
        <w:t xml:space="preserve">MSAC considered these analyses </w:t>
      </w:r>
      <w:r>
        <w:t xml:space="preserve">likely </w:t>
      </w:r>
      <w:r w:rsidR="00695715">
        <w:t xml:space="preserve">affected by </w:t>
      </w:r>
      <w:r>
        <w:t xml:space="preserve">confounding </w:t>
      </w:r>
      <w:r w:rsidR="00695715">
        <w:t xml:space="preserve">due to different </w:t>
      </w:r>
      <w:r>
        <w:t>participant characteristics, time-varying</w:t>
      </w:r>
      <w:r w:rsidR="00A17E77">
        <w:t xml:space="preserve"> confounders</w:t>
      </w:r>
      <w:r>
        <w:t xml:space="preserve"> and different proportions of FMR/DMR for mixed analyses. </w:t>
      </w:r>
      <w:r w:rsidR="00FB7B40">
        <w:t xml:space="preserve">MSAC considered the pre-post analysis used to measure heart failure hospitalisation was not informative as the method used to identify these </w:t>
      </w:r>
      <w:r w:rsidR="00003940">
        <w:t xml:space="preserve">patients </w:t>
      </w:r>
      <w:r w:rsidR="00E75A41">
        <w:t>(</w:t>
      </w:r>
      <w:r w:rsidR="000F150A">
        <w:t xml:space="preserve">e.g. </w:t>
      </w:r>
      <w:r w:rsidR="00E75A41">
        <w:t>more likely</w:t>
      </w:r>
      <w:r w:rsidR="00FB7B40">
        <w:t xml:space="preserve"> to </w:t>
      </w:r>
      <w:r w:rsidR="00E75A41">
        <w:t xml:space="preserve">be identified if recently hospitalised with </w:t>
      </w:r>
      <w:r w:rsidR="000F150A">
        <w:t xml:space="preserve">heart failure) </w:t>
      </w:r>
      <w:r w:rsidR="00FB7B40">
        <w:t xml:space="preserve">would bias the result and make it difficult to interpret. </w:t>
      </w:r>
      <w:r w:rsidR="007D24FF" w:rsidRPr="007D24FF">
        <w:t xml:space="preserve"> </w:t>
      </w:r>
      <w:r w:rsidR="007D24FF" w:rsidRPr="000F46BC">
        <w:t>MSAC considered the overall survival outcomes</w:t>
      </w:r>
      <w:r w:rsidR="000A7AA3" w:rsidRPr="000F46BC">
        <w:t xml:space="preserve"> for FMR</w:t>
      </w:r>
      <w:r w:rsidR="007D24FF" w:rsidRPr="000F46BC">
        <w:t xml:space="preserve"> from the MAIC lacked face validity</w:t>
      </w:r>
      <w:r w:rsidR="000E04A4" w:rsidRPr="000F46BC">
        <w:t xml:space="preserve"> as there were </w:t>
      </w:r>
      <w:r w:rsidR="00592818" w:rsidRPr="00592818">
        <w:rPr>
          <w:color w:val="000000"/>
          <w:spacing w:val="3"/>
          <w:w w:val="64"/>
          <w:shd w:val="solid" w:color="000000" w:fill="000000"/>
          <w:fitText w:val="439" w:id="-1256558336"/>
          <w14:textFill>
            <w14:solidFill>
              <w14:srgbClr w14:val="000000">
                <w14:alpha w14:val="100000"/>
              </w14:srgbClr>
            </w14:solidFill>
          </w14:textFill>
        </w:rPr>
        <w:t>|||||</w:t>
      </w:r>
      <w:r w:rsidR="00592818" w:rsidRPr="00592818">
        <w:rPr>
          <w:color w:val="000000"/>
          <w:spacing w:val="2"/>
          <w:w w:val="64"/>
          <w:shd w:val="solid" w:color="000000" w:fill="000000"/>
          <w:fitText w:val="439" w:id="-1256558336"/>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335"/>
          <w14:textFill>
            <w14:solidFill>
              <w14:srgbClr w14:val="000000">
                <w14:alpha w14:val="100000"/>
              </w14:srgbClr>
            </w14:solidFill>
          </w14:textFill>
        </w:rPr>
        <w:t>|||||</w:t>
      </w:r>
      <w:r w:rsidR="00592818" w:rsidRPr="00592818">
        <w:rPr>
          <w:color w:val="000000"/>
          <w:spacing w:val="2"/>
          <w:w w:val="66"/>
          <w:shd w:val="solid" w:color="000000" w:fill="000000"/>
          <w:fitText w:val="438" w:id="-1256558335"/>
          <w14:textFill>
            <w14:solidFill>
              <w14:srgbClr w14:val="000000">
                <w14:alpha w14:val="100000"/>
              </w14:srgbClr>
            </w14:solidFill>
          </w14:textFill>
        </w:rPr>
        <w:t>|</w:t>
      </w:r>
      <w:r w:rsidR="00592818" w:rsidRPr="00592818">
        <w:t xml:space="preserve"> </w:t>
      </w:r>
      <w:r w:rsidR="00592818" w:rsidRPr="00592818">
        <w:rPr>
          <w:color w:val="000000"/>
          <w:spacing w:val="3"/>
          <w:w w:val="66"/>
          <w:shd w:val="solid" w:color="000000" w:fill="000000"/>
          <w:fitText w:val="451" w:id="-1256558334"/>
          <w14:textFill>
            <w14:solidFill>
              <w14:srgbClr w14:val="000000">
                <w14:alpha w14:val="100000"/>
              </w14:srgbClr>
            </w14:solidFill>
          </w14:textFill>
        </w:rPr>
        <w:t>|||||</w:t>
      </w:r>
      <w:r w:rsidR="00592818" w:rsidRPr="00592818">
        <w:rPr>
          <w:color w:val="000000"/>
          <w:spacing w:val="1"/>
          <w:w w:val="66"/>
          <w:shd w:val="solid" w:color="000000" w:fill="000000"/>
          <w:fitText w:val="451" w:id="-1256558334"/>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333"/>
          <w14:textFill>
            <w14:solidFill>
              <w14:srgbClr w14:val="000000">
                <w14:alpha w14:val="100000"/>
              </w14:srgbClr>
            </w14:solidFill>
          </w14:textFill>
        </w:rPr>
        <w:t>|||||</w:t>
      </w:r>
      <w:r w:rsidR="00592818" w:rsidRPr="00592818">
        <w:rPr>
          <w:color w:val="000000"/>
          <w:spacing w:val="2"/>
          <w:w w:val="66"/>
          <w:shd w:val="solid" w:color="000000" w:fill="000000"/>
          <w:fitText w:val="438" w:id="-1256558333"/>
          <w14:textFill>
            <w14:solidFill>
              <w14:srgbClr w14:val="000000">
                <w14:alpha w14:val="100000"/>
              </w14:srgbClr>
            </w14:solidFill>
          </w14:textFill>
        </w:rPr>
        <w:t>|</w:t>
      </w:r>
      <w:r w:rsidR="00592818" w:rsidRPr="00592818">
        <w:t xml:space="preserve"> </w:t>
      </w:r>
      <w:r w:rsidR="00592818" w:rsidRPr="00592818">
        <w:rPr>
          <w:color w:val="000000"/>
          <w:spacing w:val="3"/>
          <w:w w:val="64"/>
          <w:shd w:val="solid" w:color="000000" w:fill="000000"/>
          <w:fitText w:val="439" w:id="-1256558332"/>
          <w14:textFill>
            <w14:solidFill>
              <w14:srgbClr w14:val="000000">
                <w14:alpha w14:val="100000"/>
              </w14:srgbClr>
            </w14:solidFill>
          </w14:textFill>
        </w:rPr>
        <w:t>|||||</w:t>
      </w:r>
      <w:r w:rsidR="00592818" w:rsidRPr="00592818">
        <w:rPr>
          <w:color w:val="000000"/>
          <w:spacing w:val="2"/>
          <w:w w:val="64"/>
          <w:shd w:val="solid" w:color="000000" w:fill="000000"/>
          <w:fitText w:val="439" w:id="-1256558332"/>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331"/>
          <w14:textFill>
            <w14:solidFill>
              <w14:srgbClr w14:val="000000">
                <w14:alpha w14:val="100000"/>
              </w14:srgbClr>
            </w14:solidFill>
          </w14:textFill>
        </w:rPr>
        <w:t>|||||</w:t>
      </w:r>
      <w:r w:rsidR="00592818" w:rsidRPr="00592818">
        <w:rPr>
          <w:color w:val="000000"/>
          <w:spacing w:val="2"/>
          <w:w w:val="66"/>
          <w:shd w:val="solid" w:color="000000" w:fill="000000"/>
          <w:fitText w:val="438" w:id="-1256558331"/>
          <w14:textFill>
            <w14:solidFill>
              <w14:srgbClr w14:val="000000">
                <w14:alpha w14:val="100000"/>
              </w14:srgbClr>
            </w14:solidFill>
          </w14:textFill>
        </w:rPr>
        <w:t>|</w:t>
      </w:r>
      <w:r w:rsidR="00592818" w:rsidRPr="00592818">
        <w:t xml:space="preserve"> </w:t>
      </w:r>
      <w:r w:rsidR="00592818" w:rsidRPr="00592818">
        <w:rPr>
          <w:color w:val="000000"/>
          <w:spacing w:val="3"/>
          <w:w w:val="66"/>
          <w:shd w:val="solid" w:color="000000" w:fill="000000"/>
          <w:fitText w:val="451" w:id="-1256558330"/>
          <w14:textFill>
            <w14:solidFill>
              <w14:srgbClr w14:val="000000">
                <w14:alpha w14:val="100000"/>
              </w14:srgbClr>
            </w14:solidFill>
          </w14:textFill>
        </w:rPr>
        <w:t>|||||</w:t>
      </w:r>
      <w:r w:rsidR="00592818" w:rsidRPr="00592818">
        <w:rPr>
          <w:color w:val="000000"/>
          <w:spacing w:val="1"/>
          <w:w w:val="66"/>
          <w:shd w:val="solid" w:color="000000" w:fill="000000"/>
          <w:fitText w:val="451" w:id="-1256558330"/>
          <w14:textFill>
            <w14:solidFill>
              <w14:srgbClr w14:val="000000">
                <w14:alpha w14:val="100000"/>
              </w14:srgbClr>
            </w14:solidFill>
          </w14:textFill>
        </w:rPr>
        <w:t>|</w:t>
      </w:r>
      <w:r w:rsidR="00592818" w:rsidRPr="00592818">
        <w:t xml:space="preserve"> </w:t>
      </w:r>
      <w:r w:rsidR="00592818" w:rsidRPr="00592818">
        <w:rPr>
          <w:color w:val="000000"/>
          <w:spacing w:val="3"/>
          <w:w w:val="64"/>
          <w:shd w:val="solid" w:color="000000" w:fill="000000"/>
          <w:fitText w:val="439" w:id="-1256558329"/>
          <w14:textFill>
            <w14:solidFill>
              <w14:srgbClr w14:val="000000">
                <w14:alpha w14:val="100000"/>
              </w14:srgbClr>
            </w14:solidFill>
          </w14:textFill>
        </w:rPr>
        <w:t>|||||</w:t>
      </w:r>
      <w:r w:rsidR="00592818" w:rsidRPr="00592818">
        <w:rPr>
          <w:color w:val="000000"/>
          <w:spacing w:val="2"/>
          <w:w w:val="64"/>
          <w:shd w:val="solid" w:color="000000" w:fill="000000"/>
          <w:fitText w:val="439" w:id="-1256558329"/>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328"/>
          <w14:textFill>
            <w14:solidFill>
              <w14:srgbClr w14:val="000000">
                <w14:alpha w14:val="100000"/>
              </w14:srgbClr>
            </w14:solidFill>
          </w14:textFill>
        </w:rPr>
        <w:t>|||||</w:t>
      </w:r>
      <w:r w:rsidR="00592818" w:rsidRPr="00592818">
        <w:rPr>
          <w:color w:val="000000"/>
          <w:spacing w:val="2"/>
          <w:w w:val="66"/>
          <w:shd w:val="solid" w:color="000000" w:fill="000000"/>
          <w:fitText w:val="438" w:id="-1256558328"/>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327"/>
          <w14:textFill>
            <w14:solidFill>
              <w14:srgbClr w14:val="000000">
                <w14:alpha w14:val="100000"/>
              </w14:srgbClr>
            </w14:solidFill>
          </w14:textFill>
        </w:rPr>
        <w:t>|||||</w:t>
      </w:r>
      <w:r w:rsidR="00592818" w:rsidRPr="00592818">
        <w:rPr>
          <w:color w:val="000000"/>
          <w:spacing w:val="2"/>
          <w:w w:val="66"/>
          <w:shd w:val="solid" w:color="000000" w:fill="000000"/>
          <w:fitText w:val="438" w:id="-1256558327"/>
          <w14:textFill>
            <w14:solidFill>
              <w14:srgbClr w14:val="000000">
                <w14:alpha w14:val="100000"/>
              </w14:srgbClr>
            </w14:solidFill>
          </w14:textFill>
        </w:rPr>
        <w:t>|</w:t>
      </w:r>
      <w:r w:rsidR="00592818" w:rsidRPr="00592818">
        <w:t xml:space="preserve"> </w:t>
      </w:r>
      <w:r w:rsidR="00040674" w:rsidRPr="000F46BC">
        <w:t>according to the Kaplan</w:t>
      </w:r>
      <w:r w:rsidR="008121AB" w:rsidRPr="000F46BC">
        <w:t>-</w:t>
      </w:r>
      <w:r w:rsidR="00040674" w:rsidRPr="000F46BC">
        <w:t>Meier curves</w:t>
      </w:r>
      <w:r w:rsidR="000A7AA3" w:rsidRPr="000F46BC">
        <w:t xml:space="preserve">. </w:t>
      </w:r>
      <w:r w:rsidR="00236AED" w:rsidRPr="000F46BC">
        <w:t>However, the</w:t>
      </w:r>
      <w:r w:rsidR="000A7AA3" w:rsidRPr="000F46BC">
        <w:t xml:space="preserve"> Kaplan-Meier estimate of overall survival from the </w:t>
      </w:r>
      <w:r w:rsidR="00592818" w:rsidRPr="00592818">
        <w:rPr>
          <w:color w:val="000000"/>
          <w:w w:val="66"/>
          <w:shd w:val="solid" w:color="000000" w:fill="000000"/>
          <w:fitText w:val="438" w:id="-1256558326"/>
          <w14:textFill>
            <w14:solidFill>
              <w14:srgbClr w14:val="000000">
                <w14:alpha w14:val="100000"/>
              </w14:srgbClr>
            </w14:solidFill>
          </w14:textFill>
        </w:rPr>
        <w:t>|||||</w:t>
      </w:r>
      <w:r w:rsidR="00592818" w:rsidRPr="00592818">
        <w:rPr>
          <w:color w:val="000000"/>
          <w:spacing w:val="2"/>
          <w:w w:val="66"/>
          <w:shd w:val="solid" w:color="000000" w:fill="000000"/>
          <w:fitText w:val="438" w:id="-1256558326"/>
          <w14:textFill>
            <w14:solidFill>
              <w14:srgbClr w14:val="000000">
                <w14:alpha w14:val="100000"/>
              </w14:srgbClr>
            </w14:solidFill>
          </w14:textFill>
        </w:rPr>
        <w:t>|</w:t>
      </w:r>
      <w:r w:rsidR="00592818" w:rsidRPr="00592818">
        <w:t xml:space="preserve"> </w:t>
      </w:r>
      <w:r w:rsidR="00592818" w:rsidRPr="00592818">
        <w:rPr>
          <w:color w:val="000000"/>
          <w:spacing w:val="3"/>
          <w:w w:val="64"/>
          <w:shd w:val="solid" w:color="000000" w:fill="000000"/>
          <w:fitText w:val="439" w:id="-1256558325"/>
          <w14:textFill>
            <w14:solidFill>
              <w14:srgbClr w14:val="000000">
                <w14:alpha w14:val="100000"/>
              </w14:srgbClr>
            </w14:solidFill>
          </w14:textFill>
        </w:rPr>
        <w:t>|||||</w:t>
      </w:r>
      <w:r w:rsidR="00592818" w:rsidRPr="00592818">
        <w:rPr>
          <w:color w:val="000000"/>
          <w:spacing w:val="2"/>
          <w:w w:val="64"/>
          <w:shd w:val="solid" w:color="000000" w:fill="000000"/>
          <w:fitText w:val="439" w:id="-1256558325"/>
          <w14:textFill>
            <w14:solidFill>
              <w14:srgbClr w14:val="000000">
                <w14:alpha w14:val="100000"/>
              </w14:srgbClr>
            </w14:solidFill>
          </w14:textFill>
        </w:rPr>
        <w:t>|</w:t>
      </w:r>
      <w:r w:rsidR="00592818" w:rsidRPr="00592818">
        <w:t xml:space="preserve"> </w:t>
      </w:r>
      <w:r w:rsidR="00592818" w:rsidRPr="00592818">
        <w:rPr>
          <w:color w:val="000000"/>
          <w:spacing w:val="3"/>
          <w:w w:val="64"/>
          <w:shd w:val="solid" w:color="000000" w:fill="000000"/>
          <w:fitText w:val="439" w:id="-1256558324"/>
          <w14:textFill>
            <w14:solidFill>
              <w14:srgbClr w14:val="000000">
                <w14:alpha w14:val="100000"/>
              </w14:srgbClr>
            </w14:solidFill>
          </w14:textFill>
        </w:rPr>
        <w:t>|||||</w:t>
      </w:r>
      <w:r w:rsidR="00592818" w:rsidRPr="00592818">
        <w:rPr>
          <w:color w:val="000000"/>
          <w:spacing w:val="2"/>
          <w:w w:val="64"/>
          <w:shd w:val="solid" w:color="000000" w:fill="000000"/>
          <w:fitText w:val="439" w:id="-1256558324"/>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323"/>
          <w14:textFill>
            <w14:solidFill>
              <w14:srgbClr w14:val="000000">
                <w14:alpha w14:val="100000"/>
              </w14:srgbClr>
            </w14:solidFill>
          </w14:textFill>
        </w:rPr>
        <w:t>|||||</w:t>
      </w:r>
      <w:r w:rsidR="00592818" w:rsidRPr="00592818">
        <w:rPr>
          <w:color w:val="000000"/>
          <w:spacing w:val="2"/>
          <w:w w:val="66"/>
          <w:shd w:val="solid" w:color="000000" w:fill="000000"/>
          <w:fitText w:val="438" w:id="-1256558323"/>
          <w14:textFill>
            <w14:solidFill>
              <w14:srgbClr w14:val="000000">
                <w14:alpha w14:val="100000"/>
              </w14:srgbClr>
            </w14:solidFill>
          </w14:textFill>
        </w:rPr>
        <w:t>|</w:t>
      </w:r>
      <w:r w:rsidR="00592818" w:rsidRPr="00592818">
        <w:t xml:space="preserve"> </w:t>
      </w:r>
      <w:r w:rsidR="000A7AA3" w:rsidRPr="000F46BC">
        <w:t xml:space="preserve">decreased from </w:t>
      </w:r>
      <w:r w:rsidR="00592818" w:rsidRPr="00592818">
        <w:rPr>
          <w:color w:val="000000"/>
          <w:spacing w:val="3"/>
          <w:w w:val="66"/>
          <w:shd w:val="solid" w:color="000000" w:fill="000000"/>
          <w:fitText w:val="451" w:id="-1256558322"/>
          <w14:textFill>
            <w14:solidFill>
              <w14:srgbClr w14:val="000000">
                <w14:alpha w14:val="100000"/>
              </w14:srgbClr>
            </w14:solidFill>
          </w14:textFill>
        </w:rPr>
        <w:t>|||||</w:t>
      </w:r>
      <w:r w:rsidR="00592818" w:rsidRPr="00592818">
        <w:rPr>
          <w:color w:val="000000"/>
          <w:spacing w:val="1"/>
          <w:w w:val="66"/>
          <w:shd w:val="solid" w:color="000000" w:fill="000000"/>
          <w:fitText w:val="451" w:id="-1256558322"/>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321"/>
          <w14:textFill>
            <w14:solidFill>
              <w14:srgbClr w14:val="000000">
                <w14:alpha w14:val="100000"/>
              </w14:srgbClr>
            </w14:solidFill>
          </w14:textFill>
        </w:rPr>
        <w:t>|||||</w:t>
      </w:r>
      <w:r w:rsidR="00592818" w:rsidRPr="00592818">
        <w:rPr>
          <w:color w:val="000000"/>
          <w:spacing w:val="2"/>
          <w:w w:val="66"/>
          <w:shd w:val="solid" w:color="000000" w:fill="000000"/>
          <w:fitText w:val="438" w:id="-1256558321"/>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320"/>
          <w14:textFill>
            <w14:solidFill>
              <w14:srgbClr w14:val="000000">
                <w14:alpha w14:val="100000"/>
              </w14:srgbClr>
            </w14:solidFill>
          </w14:textFill>
        </w:rPr>
        <w:t>|||||</w:t>
      </w:r>
      <w:r w:rsidR="00592818" w:rsidRPr="00592818">
        <w:rPr>
          <w:color w:val="000000"/>
          <w:spacing w:val="2"/>
          <w:w w:val="66"/>
          <w:shd w:val="solid" w:color="000000" w:fill="000000"/>
          <w:fitText w:val="438" w:id="-1256558320"/>
          <w14:textFill>
            <w14:solidFill>
              <w14:srgbClr w14:val="000000">
                <w14:alpha w14:val="100000"/>
              </w14:srgbClr>
            </w14:solidFill>
          </w14:textFill>
        </w:rPr>
        <w:t>|</w:t>
      </w:r>
      <w:r w:rsidR="00592818" w:rsidRPr="00592818">
        <w:t xml:space="preserve"> </w:t>
      </w:r>
      <w:r w:rsidR="000A7AA3" w:rsidRPr="000F46BC">
        <w:t xml:space="preserve">to </w:t>
      </w:r>
      <w:r w:rsidR="00592818" w:rsidRPr="00592818">
        <w:rPr>
          <w:color w:val="000000"/>
          <w:w w:val="66"/>
          <w:shd w:val="solid" w:color="000000" w:fill="000000"/>
          <w:fitText w:val="438" w:id="-1256558336"/>
          <w14:textFill>
            <w14:solidFill>
              <w14:srgbClr w14:val="000000">
                <w14:alpha w14:val="100000"/>
              </w14:srgbClr>
            </w14:solidFill>
          </w14:textFill>
        </w:rPr>
        <w:t>|||||</w:t>
      </w:r>
      <w:r w:rsidR="00592818" w:rsidRPr="00592818">
        <w:rPr>
          <w:color w:val="000000"/>
          <w:spacing w:val="2"/>
          <w:w w:val="66"/>
          <w:shd w:val="solid" w:color="000000" w:fill="000000"/>
          <w:fitText w:val="438" w:id="-1256558336"/>
          <w14:textFill>
            <w14:solidFill>
              <w14:srgbClr w14:val="000000">
                <w14:alpha w14:val="100000"/>
              </w14:srgbClr>
            </w14:solidFill>
          </w14:textFill>
        </w:rPr>
        <w:t>|</w:t>
      </w:r>
      <w:r w:rsidR="00592818" w:rsidRPr="00592818">
        <w:t xml:space="preserve"> </w:t>
      </w:r>
      <w:r w:rsidR="00592818" w:rsidRPr="00592818">
        <w:rPr>
          <w:color w:val="000000"/>
          <w:spacing w:val="3"/>
          <w:w w:val="64"/>
          <w:shd w:val="solid" w:color="000000" w:fill="000000"/>
          <w:fitText w:val="439" w:id="-1256558335"/>
          <w14:textFill>
            <w14:solidFill>
              <w14:srgbClr w14:val="000000">
                <w14:alpha w14:val="100000"/>
              </w14:srgbClr>
            </w14:solidFill>
          </w14:textFill>
        </w:rPr>
        <w:t>|||||</w:t>
      </w:r>
      <w:r w:rsidR="00592818" w:rsidRPr="00592818">
        <w:rPr>
          <w:color w:val="000000"/>
          <w:spacing w:val="2"/>
          <w:w w:val="64"/>
          <w:shd w:val="solid" w:color="000000" w:fill="000000"/>
          <w:fitText w:val="439" w:id="-1256558335"/>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334"/>
          <w14:textFill>
            <w14:solidFill>
              <w14:srgbClr w14:val="000000">
                <w14:alpha w14:val="100000"/>
              </w14:srgbClr>
            </w14:solidFill>
          </w14:textFill>
        </w:rPr>
        <w:t>|||||</w:t>
      </w:r>
      <w:r w:rsidR="00592818" w:rsidRPr="00592818">
        <w:rPr>
          <w:color w:val="000000"/>
          <w:spacing w:val="2"/>
          <w:w w:val="66"/>
          <w:shd w:val="solid" w:color="000000" w:fill="000000"/>
          <w:fitText w:val="438" w:id="-1256558334"/>
          <w14:textFill>
            <w14:solidFill>
              <w14:srgbClr w14:val="000000">
                <w14:alpha w14:val="100000"/>
              </w14:srgbClr>
            </w14:solidFill>
          </w14:textFill>
        </w:rPr>
        <w:t>|</w:t>
      </w:r>
      <w:r w:rsidR="000A7AA3" w:rsidRPr="000B0F56">
        <w:t>.</w:t>
      </w:r>
    </w:p>
    <w:p w14:paraId="699BB52C" w14:textId="3956FC7F" w:rsidR="00FB7B40" w:rsidRDefault="00FB7B40" w:rsidP="0010728F">
      <w:r>
        <w:t>MSAC noted that a pre-specified interim analysis of the CLASP IID cohort (</w:t>
      </w:r>
      <w:r w:rsidRPr="0039168A">
        <w:rPr>
          <w:i/>
          <w:iCs/>
        </w:rPr>
        <w:t>n</w:t>
      </w:r>
      <w:r>
        <w:t> = </w:t>
      </w:r>
      <w:r w:rsidRPr="0039168A">
        <w:t>117</w:t>
      </w:r>
      <w:r>
        <w:t xml:space="preserve"> for PASCAL, </w:t>
      </w:r>
      <w:r w:rsidRPr="0039168A">
        <w:rPr>
          <w:i/>
          <w:iCs/>
        </w:rPr>
        <w:t>n</w:t>
      </w:r>
      <w:r>
        <w:t xml:space="preserve"> = 63 for </w:t>
      </w:r>
      <w:proofErr w:type="spellStart"/>
      <w:r>
        <w:t>MitraClip</w:t>
      </w:r>
      <w:proofErr w:type="spellEnd"/>
      <w:r>
        <w:t xml:space="preserve">) met the Bayesian predictive probability for trial success. </w:t>
      </w:r>
      <w:r w:rsidR="007C7A8A">
        <w:t>M</w:t>
      </w:r>
      <w:r w:rsidR="007C7A8A" w:rsidRPr="007C7A8A">
        <w:t xml:space="preserve">ajor adverse events </w:t>
      </w:r>
      <w:r w:rsidR="007C7A8A">
        <w:t>(</w:t>
      </w:r>
      <w:r>
        <w:t>MAEs</w:t>
      </w:r>
      <w:r w:rsidR="007C7A8A">
        <w:t>)</w:t>
      </w:r>
      <w:r>
        <w:t xml:space="preserve"> at 30 days were 3.4% for PASCAL vs 4.8% for </w:t>
      </w:r>
      <w:proofErr w:type="spellStart"/>
      <w:r>
        <w:t>MitraClip</w:t>
      </w:r>
      <w:proofErr w:type="spellEnd"/>
      <w:r>
        <w:t xml:space="preserve">, with the upper bound one-sided confidence interval (CI; 5.1%) within the pre-specified 15% non-inferiority margin. Further, safety persisted to 6 months, with MAEs at 6.1% for PASCAL vs 11.1% for </w:t>
      </w:r>
      <w:proofErr w:type="spellStart"/>
      <w:r>
        <w:t>MitraClip</w:t>
      </w:r>
      <w:proofErr w:type="spellEnd"/>
      <w:r>
        <w:t xml:space="preserve">. </w:t>
      </w:r>
      <w:r w:rsidR="004E73B7" w:rsidRPr="004E73B7">
        <w:t xml:space="preserve"> </w:t>
      </w:r>
      <w:r w:rsidR="004E73B7">
        <w:t xml:space="preserve">Preliminary (6 month) survival outcomes for cardiovascular mortality were also promising (99.1% for PASCAL, 93.7% for </w:t>
      </w:r>
      <w:proofErr w:type="spellStart"/>
      <w:r w:rsidR="004E73B7">
        <w:t>MitraClip</w:t>
      </w:r>
      <w:proofErr w:type="spellEnd"/>
      <w:r w:rsidR="004E73B7">
        <w:t xml:space="preserve">; </w:t>
      </w:r>
      <w:r w:rsidR="004E73B7">
        <w:rPr>
          <w:i/>
          <w:iCs/>
        </w:rPr>
        <w:t>P </w:t>
      </w:r>
      <w:r w:rsidR="004E73B7">
        <w:t>= 0.035). MSAC noted the applicant suggested that this medium-term outcome [six months] is indicative of longer-term response.</w:t>
      </w:r>
    </w:p>
    <w:p w14:paraId="6C9C4C66" w14:textId="003A87A3" w:rsidR="006F4786" w:rsidRDefault="004F0AFA" w:rsidP="0010728F">
      <w:r>
        <w:t xml:space="preserve">MSAC considered the safety profile of PASCAL to be promising (especially MAEs at 30 days), but longer-term comparative safety (including reintervention rates beyond six months) is uncertain. </w:t>
      </w:r>
    </w:p>
    <w:p w14:paraId="5AE6FA78" w14:textId="60722E76" w:rsidR="007D24FF" w:rsidRDefault="004E73B7" w:rsidP="009531D6">
      <w:r>
        <w:t>MSAC noted that the evidence for clinical effectiveness in the published comparative and single-arm studies suggested favourable technical and procedural success, with reductions in MR severity and symptoms. MSAC noted that a naïve comparison across the included studies showed promising results for MR severity at 30-day follow-up. Additionally, the MR grade to 24 months in the CLASP study was maintained out to two years</w:t>
      </w:r>
      <w:r w:rsidR="009531D6">
        <w:t xml:space="preserve"> but with very small patient numbers</w:t>
      </w:r>
      <w:r>
        <w:t xml:space="preserve">. </w:t>
      </w:r>
    </w:p>
    <w:p w14:paraId="1E85966D" w14:textId="57F6E430" w:rsidR="009531D6" w:rsidRPr="00225AB7" w:rsidRDefault="009531D6" w:rsidP="009531D6">
      <w:r w:rsidRPr="00A14A90">
        <w:t xml:space="preserve">MSAC noted that the CLASP IID cohort from the current clinical trial showed similar proportions of patients with MR ≤2+ (mild–moderate) at six months (96.5% for PASCAL vs 96.8% for </w:t>
      </w:r>
      <w:proofErr w:type="spellStart"/>
      <w:r w:rsidRPr="00A14A90">
        <w:t>MitraClip</w:t>
      </w:r>
      <w:proofErr w:type="spellEnd"/>
      <w:r w:rsidRPr="00A14A90">
        <w:t>), with the lower bound of the one-sided CI (−6.2%) within the pre-specified non-inferiority margin (−18%).</w:t>
      </w:r>
      <w:r>
        <w:t xml:space="preserve"> MSAC considered the point estimates to be suggestive of non-inferiority, but </w:t>
      </w:r>
      <w:r w:rsidR="0000778B">
        <w:t xml:space="preserve">MSAC </w:t>
      </w:r>
      <w:r>
        <w:t>was concerned that these conclusions were based on a wide margin for non-inferiority</w:t>
      </w:r>
      <w:r w:rsidR="00BB2204">
        <w:t xml:space="preserve">. MSAC considered that a more stringent margin </w:t>
      </w:r>
      <w:r>
        <w:t xml:space="preserve">in the full trial would provide better certainty of non-inferiority. </w:t>
      </w:r>
    </w:p>
    <w:p w14:paraId="733A6691" w14:textId="2414ED4E" w:rsidR="004E73B7" w:rsidRDefault="004E73B7" w:rsidP="004E73B7">
      <w:r>
        <w:t xml:space="preserve">MSAC had the same concerns with the comparative effectiveness evidence as it did with the comparative safety evidence </w:t>
      </w:r>
      <w:r w:rsidR="007017D1">
        <w:t xml:space="preserve">This included </w:t>
      </w:r>
      <w:r>
        <w:t>small sample sizes</w:t>
      </w:r>
      <w:r w:rsidR="009531D6">
        <w:t xml:space="preserve"> </w:t>
      </w:r>
      <w:r w:rsidR="000E412E">
        <w:t xml:space="preserve">for long-term outcomes, </w:t>
      </w:r>
      <w:r>
        <w:t xml:space="preserve">variable or incomplete follow-up for the published comparative studies; </w:t>
      </w:r>
      <w:r w:rsidR="000E412E">
        <w:t xml:space="preserve">limitations with the unanchored MAIC, </w:t>
      </w:r>
      <w:r w:rsidR="000E412E">
        <w:lastRenderedPageBreak/>
        <w:t>and</w:t>
      </w:r>
      <w:r>
        <w:t xml:space="preserve"> naïve comparisons limited by not having a common comparator</w:t>
      </w:r>
      <w:r w:rsidR="000E412E">
        <w:t xml:space="preserve">. MSAC considered the claim of non-inferior </w:t>
      </w:r>
      <w:r>
        <w:t xml:space="preserve">comparative effectiveness was </w:t>
      </w:r>
      <w:r w:rsidR="000E412E">
        <w:t>not adequately supported</w:t>
      </w:r>
      <w:r w:rsidR="00D17382">
        <w:t xml:space="preserve"> </w:t>
      </w:r>
      <w:r w:rsidR="00BB2204">
        <w:t>by</w:t>
      </w:r>
      <w:r w:rsidR="00D17382">
        <w:t xml:space="preserve"> the evidence</w:t>
      </w:r>
      <w:r w:rsidR="000E412E">
        <w:t>.</w:t>
      </w:r>
    </w:p>
    <w:p w14:paraId="4063E00C" w14:textId="672F81AF" w:rsidR="0010728F" w:rsidRDefault="000E412E" w:rsidP="0010728F">
      <w:r w:rsidRPr="000F46BC">
        <w:t xml:space="preserve">MSAC noted that the </w:t>
      </w:r>
      <w:r w:rsidR="00BB2204" w:rsidRPr="000F46BC">
        <w:t xml:space="preserve">applicant considered the </w:t>
      </w:r>
      <w:r w:rsidR="007D1F31" w:rsidRPr="000F46BC">
        <w:t xml:space="preserve">evidence presented in the current ADAR is of a similar standard to that included in MSAC Application No. 1192.3, which presented a series of observational studies to support the listing of </w:t>
      </w:r>
      <w:proofErr w:type="spellStart"/>
      <w:r w:rsidR="007D1F31" w:rsidRPr="000F46BC">
        <w:t>TMVr</w:t>
      </w:r>
      <w:proofErr w:type="spellEnd"/>
      <w:r w:rsidR="007D1F31" w:rsidRPr="000F46BC">
        <w:t xml:space="preserve"> using </w:t>
      </w:r>
      <w:proofErr w:type="spellStart"/>
      <w:r w:rsidR="007D1F31" w:rsidRPr="000F46BC">
        <w:t>MitraClip</w:t>
      </w:r>
      <w:proofErr w:type="spellEnd"/>
      <w:r w:rsidR="007D1F31" w:rsidRPr="000F46BC">
        <w:t xml:space="preserve"> for the DMR population. </w:t>
      </w:r>
      <w:r w:rsidR="00587D90" w:rsidRPr="000F46BC">
        <w:t xml:space="preserve">MSAC considered </w:t>
      </w:r>
      <w:r w:rsidR="0010728F" w:rsidRPr="000F46BC">
        <w:t xml:space="preserve">that </w:t>
      </w:r>
      <w:r w:rsidR="004E1937" w:rsidRPr="000F46BC">
        <w:t xml:space="preserve">for the </w:t>
      </w:r>
      <w:proofErr w:type="spellStart"/>
      <w:r w:rsidR="004E1937" w:rsidRPr="000F46BC">
        <w:t>MitraClip</w:t>
      </w:r>
      <w:proofErr w:type="spellEnd"/>
      <w:r w:rsidR="004E1937" w:rsidRPr="000F46BC">
        <w:t xml:space="preserve"> application (</w:t>
      </w:r>
      <w:hyperlink r:id="rId12" w:history="1">
        <w:r w:rsidR="004E1937" w:rsidRPr="000F46BC">
          <w:rPr>
            <w:rStyle w:val="Hyperlink"/>
            <w:iCs/>
          </w:rPr>
          <w:t>MSAC 1192.3 PSD</w:t>
        </w:r>
      </w:hyperlink>
      <w:r w:rsidR="004E1937" w:rsidRPr="000F46BC">
        <w:t>)</w:t>
      </w:r>
      <w:r w:rsidR="007D1F31" w:rsidRPr="000F46BC">
        <w:t xml:space="preserve"> </w:t>
      </w:r>
      <w:r w:rsidR="0010728F" w:rsidRPr="000F46BC">
        <w:t xml:space="preserve">the FMR evidence for </w:t>
      </w:r>
      <w:proofErr w:type="spellStart"/>
      <w:r w:rsidR="0010728F" w:rsidRPr="000F46BC">
        <w:t>MitraClip</w:t>
      </w:r>
      <w:proofErr w:type="spellEnd"/>
      <w:r w:rsidR="0010728F" w:rsidRPr="000F46BC">
        <w:t xml:space="preserve"> was of a higher quality </w:t>
      </w:r>
      <w:r w:rsidR="004E1937" w:rsidRPr="000F46BC">
        <w:t>(RCT, two year follow up</w:t>
      </w:r>
      <w:r w:rsidR="00396547" w:rsidRPr="000F46BC">
        <w:t xml:space="preserve"> including morbidity and mortality</w:t>
      </w:r>
      <w:r w:rsidR="004E1937" w:rsidRPr="000F46BC">
        <w:t xml:space="preserve">) </w:t>
      </w:r>
      <w:r w:rsidR="0010728F" w:rsidRPr="000F46BC">
        <w:t>and supported the claim of non-inferior safety and superior effectiveness</w:t>
      </w:r>
      <w:r w:rsidR="004E1937" w:rsidRPr="000F46BC">
        <w:t xml:space="preserve"> compared to OMT</w:t>
      </w:r>
      <w:r w:rsidR="0010728F" w:rsidRPr="000F46BC">
        <w:t xml:space="preserve">. </w:t>
      </w:r>
      <w:r w:rsidR="0010728F">
        <w:t xml:space="preserve">In relation to the DMR population, MSAC </w:t>
      </w:r>
      <w:r w:rsidR="004E1937">
        <w:t>considered</w:t>
      </w:r>
      <w:r w:rsidR="004B741A">
        <w:t xml:space="preserve"> </w:t>
      </w:r>
      <w:r w:rsidR="0010728F">
        <w:t xml:space="preserve">the DMR evidence </w:t>
      </w:r>
      <w:r w:rsidR="00396547">
        <w:t>to be of</w:t>
      </w:r>
      <w:r w:rsidR="0010728F">
        <w:t xml:space="preserve"> lower quality</w:t>
      </w:r>
      <w:r w:rsidR="00396547">
        <w:t xml:space="preserve"> but accepted it was reasonable that </w:t>
      </w:r>
      <w:proofErr w:type="spellStart"/>
      <w:r w:rsidR="00396547">
        <w:t>TMVr</w:t>
      </w:r>
      <w:proofErr w:type="spellEnd"/>
      <w:r w:rsidR="00396547">
        <w:t xml:space="preserve"> with </w:t>
      </w:r>
      <w:proofErr w:type="spellStart"/>
      <w:r w:rsidR="00396547">
        <w:t>MitraClip</w:t>
      </w:r>
      <w:proofErr w:type="spellEnd"/>
      <w:r w:rsidR="00396547">
        <w:t xml:space="preserve"> was at least non-inferior to OMT in the DMR population, particularly in the context of a serious condition with limited treatment options. </w:t>
      </w:r>
      <w:r w:rsidR="00854A0C">
        <w:t xml:space="preserve">MSAC considered that given an unmet need was not adequately demonstrated for the PASCAL system, evidence comparable in quality to the </w:t>
      </w:r>
      <w:proofErr w:type="spellStart"/>
      <w:r w:rsidR="00854A0C">
        <w:t>MitraClip</w:t>
      </w:r>
      <w:proofErr w:type="spellEnd"/>
      <w:r w:rsidR="00854A0C">
        <w:t xml:space="preserve"> randomised control trial (RCT) with two-year follow-up, as well as comparative evidence for DMR alone was required.</w:t>
      </w:r>
    </w:p>
    <w:p w14:paraId="3435AA41" w14:textId="2697A5A0" w:rsidR="0010728F" w:rsidRDefault="0010728F" w:rsidP="006723D1">
      <w:r>
        <w:t>MSAC considered the cost-minimisation analysis used for the economic evaluation to be appropriate</w:t>
      </w:r>
      <w:r w:rsidR="00DD5ECD" w:rsidRPr="00DD5ECD">
        <w:t xml:space="preserve"> </w:t>
      </w:r>
      <w:r w:rsidR="00DD5ECD">
        <w:t xml:space="preserve">but was not supported by </w:t>
      </w:r>
      <w:r w:rsidR="003815A7">
        <w:t xml:space="preserve">sufficient </w:t>
      </w:r>
      <w:r w:rsidR="00DD5ECD">
        <w:t>clinical evidence supporting the clinical claim of non-inferiority</w:t>
      </w:r>
      <w:r>
        <w:t xml:space="preserve">. </w:t>
      </w:r>
      <w:r w:rsidR="00DD5ECD">
        <w:t xml:space="preserve">MSAC noted the inclusion of a limited number of adverse events favoured </w:t>
      </w:r>
      <w:proofErr w:type="spellStart"/>
      <w:r w:rsidR="00DD5ECD">
        <w:t>TMVr</w:t>
      </w:r>
      <w:proofErr w:type="spellEnd"/>
      <w:r w:rsidR="00DD5ECD">
        <w:t xml:space="preserve"> using PASCAL</w:t>
      </w:r>
      <w:r w:rsidR="00937CF4">
        <w:t xml:space="preserve"> </w:t>
      </w:r>
      <w:r w:rsidR="00DD5ECD">
        <w:t xml:space="preserve">and accounted for the small cost saving with </w:t>
      </w:r>
      <w:proofErr w:type="spellStart"/>
      <w:r w:rsidR="00DD5ECD">
        <w:t>TMVr</w:t>
      </w:r>
      <w:proofErr w:type="spellEnd"/>
      <w:r w:rsidR="00DD5ECD">
        <w:t xml:space="preserve"> using PASCAL. </w:t>
      </w:r>
      <w:r>
        <w:t xml:space="preserve">MSAC noted that, as in the previous submission, a weighted approach was used to determine the overall result of the cost-minimisation analysis. </w:t>
      </w:r>
    </w:p>
    <w:p w14:paraId="15E98049" w14:textId="349EE2E0" w:rsidR="0010728F" w:rsidRPr="00DF3BBC" w:rsidRDefault="0010728F" w:rsidP="0010728F">
      <w:r>
        <w:t xml:space="preserve">MSAC noted that some hospitals are being charged costs higher than the Prosthesis List benefit for cardiac devices. This cost </w:t>
      </w:r>
      <w:r w:rsidR="009C40A1">
        <w:t>may</w:t>
      </w:r>
      <w:r>
        <w:t xml:space="preserve"> be incurred by the hospital or patient.</w:t>
      </w:r>
      <w:r w:rsidR="00924F78">
        <w:t xml:space="preserve"> MSAC noted the applicant confirmed </w:t>
      </w:r>
      <w:r w:rsidR="00924F78" w:rsidRPr="0073436C">
        <w:t xml:space="preserve">that the proposed Prosthesis List benefit will fully reimburse the price of the PASCAL device, </w:t>
      </w:r>
      <w:r w:rsidR="00924F78">
        <w:t>i</w:t>
      </w:r>
      <w:r w:rsidR="00924F78" w:rsidRPr="0073436C">
        <w:t xml:space="preserve">mplant </w:t>
      </w:r>
      <w:r w:rsidR="00924F78">
        <w:t>s</w:t>
      </w:r>
      <w:r w:rsidR="00924F78" w:rsidRPr="0073436C">
        <w:t>ystem and</w:t>
      </w:r>
      <w:r w:rsidR="00924F78">
        <w:t xml:space="preserve"> g</w:t>
      </w:r>
      <w:r w:rsidR="00924F78" w:rsidRPr="0073436C">
        <w:t>uide sheath</w:t>
      </w:r>
      <w:r w:rsidR="009C40A1">
        <w:t>, but did not confirm if there were additional consumable costs that may be charged outside of the standard hospital/insurer arrangements</w:t>
      </w:r>
      <w:r w:rsidR="00924F78" w:rsidRPr="0073436C">
        <w:t>.</w:t>
      </w:r>
    </w:p>
    <w:p w14:paraId="3F231342" w14:textId="3B3F4ED1" w:rsidR="004B741A" w:rsidRDefault="0010728F" w:rsidP="00231B73">
      <w:pPr>
        <w:spacing w:before="0" w:after="0" w:line="240" w:lineRule="auto"/>
      </w:pPr>
      <w:r w:rsidRPr="000F46BC">
        <w:t xml:space="preserve">MSAC noted that the estimated financial impact used a </w:t>
      </w:r>
      <w:r w:rsidR="00592818" w:rsidRPr="00592818">
        <w:rPr>
          <w:color w:val="000000"/>
          <w:w w:val="66"/>
          <w:shd w:val="solid" w:color="000000" w:fill="000000"/>
          <w:fitText w:val="438" w:id="-1256558333"/>
          <w14:textFill>
            <w14:solidFill>
              <w14:srgbClr w14:val="000000">
                <w14:alpha w14:val="100000"/>
              </w14:srgbClr>
            </w14:solidFill>
          </w14:textFill>
        </w:rPr>
        <w:t>|||||</w:t>
      </w:r>
      <w:r w:rsidR="00592818" w:rsidRPr="00592818">
        <w:rPr>
          <w:color w:val="000000"/>
          <w:spacing w:val="2"/>
          <w:w w:val="66"/>
          <w:shd w:val="solid" w:color="000000" w:fill="000000"/>
          <w:fitText w:val="438" w:id="-1256558333"/>
          <w14:textFill>
            <w14:solidFill>
              <w14:srgbClr w14:val="000000">
                <w14:alpha w14:val="100000"/>
              </w14:srgbClr>
            </w14:solidFill>
          </w14:textFill>
        </w:rPr>
        <w:t>|</w:t>
      </w:r>
      <w:r w:rsidR="00592818" w:rsidRPr="00592818">
        <w:t xml:space="preserve"> </w:t>
      </w:r>
      <w:r w:rsidRPr="000F46BC">
        <w:t>approach.</w:t>
      </w:r>
      <w:r>
        <w:t xml:space="preserve"> Unchanged from the previous submission, </w:t>
      </w:r>
      <w:r w:rsidRPr="000F46BC">
        <w:t xml:space="preserve">it assumed PASCAL would account for </w:t>
      </w:r>
      <w:r w:rsidR="00592818" w:rsidRPr="00592818">
        <w:rPr>
          <w:color w:val="000000"/>
          <w:w w:val="66"/>
          <w:shd w:val="solid" w:color="000000" w:fill="000000"/>
          <w:fitText w:val="439" w:id="-1256558332"/>
          <w14:textFill>
            <w14:solidFill>
              <w14:srgbClr w14:val="000000">
                <w14:alpha w14:val="100000"/>
              </w14:srgbClr>
            </w14:solidFill>
          </w14:textFill>
        </w:rPr>
        <w:t>|||||</w:t>
      </w:r>
      <w:r w:rsidR="00592818" w:rsidRPr="00592818">
        <w:rPr>
          <w:color w:val="000000"/>
          <w:spacing w:val="3"/>
          <w:w w:val="66"/>
          <w:shd w:val="solid" w:color="000000" w:fill="000000"/>
          <w:fitText w:val="439" w:id="-1256558332"/>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331"/>
          <w14:textFill>
            <w14:solidFill>
              <w14:srgbClr w14:val="000000">
                <w14:alpha w14:val="100000"/>
              </w14:srgbClr>
            </w14:solidFill>
          </w14:textFill>
        </w:rPr>
        <w:t>|||||</w:t>
      </w:r>
      <w:r w:rsidR="00592818" w:rsidRPr="00592818">
        <w:rPr>
          <w:color w:val="000000"/>
          <w:spacing w:val="2"/>
          <w:w w:val="66"/>
          <w:shd w:val="solid" w:color="000000" w:fill="000000"/>
          <w:fitText w:val="438" w:id="-1256558331"/>
          <w14:textFill>
            <w14:solidFill>
              <w14:srgbClr w14:val="000000">
                <w14:alpha w14:val="100000"/>
              </w14:srgbClr>
            </w14:solidFill>
          </w14:textFill>
        </w:rPr>
        <w:t>|</w:t>
      </w:r>
      <w:r w:rsidR="00592818" w:rsidRPr="00592818">
        <w:t xml:space="preserve"> </w:t>
      </w:r>
      <w:r w:rsidR="00592818" w:rsidRPr="00592818">
        <w:rPr>
          <w:color w:val="000000"/>
          <w:w w:val="68"/>
          <w:shd w:val="solid" w:color="000000" w:fill="000000"/>
          <w:fitText w:val="451" w:id="-1256558330"/>
          <w14:textFill>
            <w14:solidFill>
              <w14:srgbClr w14:val="000000">
                <w14:alpha w14:val="100000"/>
              </w14:srgbClr>
            </w14:solidFill>
          </w14:textFill>
        </w:rPr>
        <w:t>|||||</w:t>
      </w:r>
      <w:r w:rsidR="00592818" w:rsidRPr="00592818">
        <w:rPr>
          <w:color w:val="000000"/>
          <w:spacing w:val="3"/>
          <w:w w:val="68"/>
          <w:shd w:val="solid" w:color="000000" w:fill="000000"/>
          <w:fitText w:val="451" w:id="-1256558330"/>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329"/>
          <w14:textFill>
            <w14:solidFill>
              <w14:srgbClr w14:val="000000">
                <w14:alpha w14:val="100000"/>
              </w14:srgbClr>
            </w14:solidFill>
          </w14:textFill>
        </w:rPr>
        <w:t>|||||</w:t>
      </w:r>
      <w:r w:rsidR="00592818" w:rsidRPr="00592818">
        <w:rPr>
          <w:color w:val="000000"/>
          <w:spacing w:val="2"/>
          <w:w w:val="66"/>
          <w:shd w:val="solid" w:color="000000" w:fill="000000"/>
          <w:fitText w:val="438" w:id="-1256558329"/>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328"/>
          <w14:textFill>
            <w14:solidFill>
              <w14:srgbClr w14:val="000000">
                <w14:alpha w14:val="100000"/>
              </w14:srgbClr>
            </w14:solidFill>
          </w14:textFill>
        </w:rPr>
        <w:t>|||||</w:t>
      </w:r>
      <w:r w:rsidR="00592818" w:rsidRPr="00592818">
        <w:rPr>
          <w:color w:val="000000"/>
          <w:spacing w:val="2"/>
          <w:w w:val="66"/>
          <w:shd w:val="solid" w:color="000000" w:fill="000000"/>
          <w:fitText w:val="438" w:id="-1256558328"/>
          <w14:textFill>
            <w14:solidFill>
              <w14:srgbClr w14:val="000000">
                <w14:alpha w14:val="100000"/>
              </w14:srgbClr>
            </w14:solidFill>
          </w14:textFill>
        </w:rPr>
        <w:t>|</w:t>
      </w:r>
      <w:r w:rsidR="00592818" w:rsidRPr="00592818">
        <w:t xml:space="preserve"> </w:t>
      </w:r>
      <w:r w:rsidR="00592818" w:rsidRPr="00592818">
        <w:rPr>
          <w:color w:val="000000"/>
          <w:w w:val="68"/>
          <w:shd w:val="solid" w:color="000000" w:fill="000000"/>
          <w:fitText w:val="451" w:id="-1256558327"/>
          <w14:textFill>
            <w14:solidFill>
              <w14:srgbClr w14:val="000000">
                <w14:alpha w14:val="100000"/>
              </w14:srgbClr>
            </w14:solidFill>
          </w14:textFill>
        </w:rPr>
        <w:t>|||||</w:t>
      </w:r>
      <w:r w:rsidR="00592818" w:rsidRPr="00592818">
        <w:rPr>
          <w:color w:val="000000"/>
          <w:spacing w:val="3"/>
          <w:w w:val="68"/>
          <w:shd w:val="solid" w:color="000000" w:fill="000000"/>
          <w:fitText w:val="451" w:id="-1256558327"/>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326"/>
          <w14:textFill>
            <w14:solidFill>
              <w14:srgbClr w14:val="000000">
                <w14:alpha w14:val="100000"/>
              </w14:srgbClr>
            </w14:solidFill>
          </w14:textFill>
        </w:rPr>
        <w:t>|||||</w:t>
      </w:r>
      <w:r w:rsidR="00592818" w:rsidRPr="00592818">
        <w:rPr>
          <w:color w:val="000000"/>
          <w:spacing w:val="2"/>
          <w:w w:val="66"/>
          <w:shd w:val="solid" w:color="000000" w:fill="000000"/>
          <w:fitText w:val="438" w:id="-1256558326"/>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9" w:id="-1256558325"/>
          <w14:textFill>
            <w14:solidFill>
              <w14:srgbClr w14:val="000000">
                <w14:alpha w14:val="100000"/>
              </w14:srgbClr>
            </w14:solidFill>
          </w14:textFill>
        </w:rPr>
        <w:t>|||||</w:t>
      </w:r>
      <w:r w:rsidR="00592818" w:rsidRPr="00592818">
        <w:rPr>
          <w:color w:val="000000"/>
          <w:spacing w:val="3"/>
          <w:w w:val="66"/>
          <w:shd w:val="solid" w:color="000000" w:fill="000000"/>
          <w:fitText w:val="439" w:id="-1256558325"/>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324"/>
          <w14:textFill>
            <w14:solidFill>
              <w14:srgbClr w14:val="000000">
                <w14:alpha w14:val="100000"/>
              </w14:srgbClr>
            </w14:solidFill>
          </w14:textFill>
        </w:rPr>
        <w:t>|||||</w:t>
      </w:r>
      <w:r w:rsidR="00592818" w:rsidRPr="00592818">
        <w:rPr>
          <w:color w:val="000000"/>
          <w:spacing w:val="2"/>
          <w:w w:val="66"/>
          <w:shd w:val="solid" w:color="000000" w:fill="000000"/>
          <w:fitText w:val="438" w:id="-1256558324"/>
          <w14:textFill>
            <w14:solidFill>
              <w14:srgbClr w14:val="000000">
                <w14:alpha w14:val="100000"/>
              </w14:srgbClr>
            </w14:solidFill>
          </w14:textFill>
        </w:rPr>
        <w:t>|</w:t>
      </w:r>
      <w:r w:rsidR="00592818" w:rsidRPr="00592818">
        <w:t xml:space="preserve"> </w:t>
      </w:r>
      <w:r w:rsidR="00592818" w:rsidRPr="00592818">
        <w:rPr>
          <w:color w:val="000000"/>
          <w:w w:val="68"/>
          <w:shd w:val="solid" w:color="000000" w:fill="000000"/>
          <w:fitText w:val="451" w:id="-1256558323"/>
          <w14:textFill>
            <w14:solidFill>
              <w14:srgbClr w14:val="000000">
                <w14:alpha w14:val="100000"/>
              </w14:srgbClr>
            </w14:solidFill>
          </w14:textFill>
        </w:rPr>
        <w:t>|||||</w:t>
      </w:r>
      <w:r w:rsidR="00592818" w:rsidRPr="00592818">
        <w:rPr>
          <w:color w:val="000000"/>
          <w:spacing w:val="3"/>
          <w:w w:val="68"/>
          <w:shd w:val="solid" w:color="000000" w:fill="000000"/>
          <w:fitText w:val="451" w:id="-1256558323"/>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9" w:id="-1256558322"/>
          <w14:textFill>
            <w14:solidFill>
              <w14:srgbClr w14:val="000000">
                <w14:alpha w14:val="100000"/>
              </w14:srgbClr>
            </w14:solidFill>
          </w14:textFill>
        </w:rPr>
        <w:t>|||||</w:t>
      </w:r>
      <w:r w:rsidR="00592818" w:rsidRPr="00592818">
        <w:rPr>
          <w:color w:val="000000"/>
          <w:spacing w:val="3"/>
          <w:w w:val="66"/>
          <w:shd w:val="solid" w:color="000000" w:fill="000000"/>
          <w:fitText w:val="439" w:id="-1256558322"/>
          <w14:textFill>
            <w14:solidFill>
              <w14:srgbClr w14:val="000000">
                <w14:alpha w14:val="100000"/>
              </w14:srgbClr>
            </w14:solidFill>
          </w14:textFill>
        </w:rPr>
        <w:t>|</w:t>
      </w:r>
      <w:r w:rsidR="00592818" w:rsidRPr="00592818">
        <w:t xml:space="preserve"> </w:t>
      </w:r>
      <w:proofErr w:type="spellStart"/>
      <w:r w:rsidRPr="00D40E82">
        <w:t>TMVr</w:t>
      </w:r>
      <w:proofErr w:type="spellEnd"/>
      <w:r w:rsidRPr="00D40E82">
        <w:t xml:space="preserve"> utilisation. </w:t>
      </w:r>
      <w:r w:rsidR="0019123F" w:rsidRPr="00D40E82">
        <w:t xml:space="preserve">Therefore, the total financial impact is estimated to be </w:t>
      </w:r>
      <w:r w:rsidR="00592818" w:rsidRPr="00592818">
        <w:rPr>
          <w:color w:val="000000"/>
          <w:w w:val="66"/>
          <w:shd w:val="solid" w:color="000000" w:fill="000000"/>
          <w:fitText w:val="438" w:id="-1256558321"/>
          <w14:textFill>
            <w14:solidFill>
              <w14:srgbClr w14:val="000000">
                <w14:alpha w14:val="100000"/>
              </w14:srgbClr>
            </w14:solidFill>
          </w14:textFill>
        </w:rPr>
        <w:t>|||||</w:t>
      </w:r>
      <w:r w:rsidR="00592818" w:rsidRPr="00592818">
        <w:rPr>
          <w:color w:val="000000"/>
          <w:spacing w:val="2"/>
          <w:w w:val="66"/>
          <w:shd w:val="solid" w:color="000000" w:fill="000000"/>
          <w:fitText w:val="438" w:id="-1256558321"/>
          <w14:textFill>
            <w14:solidFill>
              <w14:srgbClr w14:val="000000">
                <w14:alpha w14:val="100000"/>
              </w14:srgbClr>
            </w14:solidFill>
          </w14:textFill>
        </w:rPr>
        <w:t>|</w:t>
      </w:r>
      <w:r w:rsidR="0019123F" w:rsidRPr="00D40E82">
        <w:t>.</w:t>
      </w:r>
      <w:r w:rsidR="0019123F">
        <w:t xml:space="preserve"> </w:t>
      </w:r>
      <w:r w:rsidR="0019123F" w:rsidRPr="00D40E82">
        <w:t xml:space="preserve">The estimate also assumes that there will be an </w:t>
      </w:r>
      <w:r w:rsidR="00592818" w:rsidRPr="00592818">
        <w:rPr>
          <w:color w:val="000000"/>
          <w:w w:val="66"/>
          <w:shd w:val="solid" w:color="000000" w:fill="000000"/>
          <w:fitText w:val="438" w:id="-1256558320"/>
          <w14:textFill>
            <w14:solidFill>
              <w14:srgbClr w14:val="000000">
                <w14:alpha w14:val="100000"/>
              </w14:srgbClr>
            </w14:solidFill>
          </w14:textFill>
        </w:rPr>
        <w:t>|||||</w:t>
      </w:r>
      <w:r w:rsidR="00592818" w:rsidRPr="00592818">
        <w:rPr>
          <w:color w:val="000000"/>
          <w:spacing w:val="2"/>
          <w:w w:val="66"/>
          <w:shd w:val="solid" w:color="000000" w:fill="000000"/>
          <w:fitText w:val="438" w:id="-1256558320"/>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336"/>
          <w14:textFill>
            <w14:solidFill>
              <w14:srgbClr w14:val="000000">
                <w14:alpha w14:val="100000"/>
              </w14:srgbClr>
            </w14:solidFill>
          </w14:textFill>
        </w:rPr>
        <w:t>|||||</w:t>
      </w:r>
      <w:r w:rsidR="00592818" w:rsidRPr="00592818">
        <w:rPr>
          <w:color w:val="000000"/>
          <w:spacing w:val="2"/>
          <w:w w:val="66"/>
          <w:shd w:val="solid" w:color="000000" w:fill="000000"/>
          <w:fitText w:val="438" w:id="-1256558336"/>
          <w14:textFill>
            <w14:solidFill>
              <w14:srgbClr w14:val="000000">
                <w14:alpha w14:val="100000"/>
              </w14:srgbClr>
            </w14:solidFill>
          </w14:textFill>
        </w:rPr>
        <w:t>|</w:t>
      </w:r>
      <w:r w:rsidR="00592818" w:rsidRPr="00592818">
        <w:t xml:space="preserve"> </w:t>
      </w:r>
      <w:r w:rsidR="0019123F" w:rsidRPr="00D40E82">
        <w:t xml:space="preserve">in </w:t>
      </w:r>
      <w:proofErr w:type="spellStart"/>
      <w:r w:rsidR="0019123F" w:rsidRPr="00D40E82">
        <w:t>MitraClip</w:t>
      </w:r>
      <w:proofErr w:type="spellEnd"/>
      <w:r w:rsidR="0019123F" w:rsidRPr="00D40E82">
        <w:t xml:space="preserve"> numbers with </w:t>
      </w:r>
      <w:r w:rsidR="00592818" w:rsidRPr="00592818">
        <w:rPr>
          <w:color w:val="000000"/>
          <w:w w:val="66"/>
          <w:shd w:val="solid" w:color="000000" w:fill="000000"/>
          <w:fitText w:val="439" w:id="-1256558335"/>
          <w14:textFill>
            <w14:solidFill>
              <w14:srgbClr w14:val="000000">
                <w14:alpha w14:val="100000"/>
              </w14:srgbClr>
            </w14:solidFill>
          </w14:textFill>
        </w:rPr>
        <w:t>|||||</w:t>
      </w:r>
      <w:r w:rsidR="00592818" w:rsidRPr="00592818">
        <w:rPr>
          <w:color w:val="000000"/>
          <w:spacing w:val="3"/>
          <w:w w:val="66"/>
          <w:shd w:val="solid" w:color="000000" w:fill="000000"/>
          <w:fitText w:val="439" w:id="-1256558335"/>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334"/>
          <w14:textFill>
            <w14:solidFill>
              <w14:srgbClr w14:val="000000">
                <w14:alpha w14:val="100000"/>
              </w14:srgbClr>
            </w14:solidFill>
          </w14:textFill>
        </w:rPr>
        <w:t>|||||</w:t>
      </w:r>
      <w:r w:rsidR="00592818" w:rsidRPr="00592818">
        <w:rPr>
          <w:color w:val="000000"/>
          <w:spacing w:val="2"/>
          <w:w w:val="66"/>
          <w:shd w:val="solid" w:color="000000" w:fill="000000"/>
          <w:fitText w:val="438" w:id="-1256558334"/>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9" w:id="-1256558333"/>
          <w14:textFill>
            <w14:solidFill>
              <w14:srgbClr w14:val="000000">
                <w14:alpha w14:val="100000"/>
              </w14:srgbClr>
            </w14:solidFill>
          </w14:textFill>
        </w:rPr>
        <w:t>|||||</w:t>
      </w:r>
      <w:r w:rsidR="00592818" w:rsidRPr="00592818">
        <w:rPr>
          <w:color w:val="000000"/>
          <w:spacing w:val="3"/>
          <w:w w:val="66"/>
          <w:shd w:val="solid" w:color="000000" w:fill="000000"/>
          <w:fitText w:val="439" w:id="-1256558333"/>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9" w:id="-1256558332"/>
          <w14:textFill>
            <w14:solidFill>
              <w14:srgbClr w14:val="000000">
                <w14:alpha w14:val="100000"/>
              </w14:srgbClr>
            </w14:solidFill>
          </w14:textFill>
        </w:rPr>
        <w:t>|||||</w:t>
      </w:r>
      <w:r w:rsidR="00592818" w:rsidRPr="00592818">
        <w:rPr>
          <w:color w:val="000000"/>
          <w:spacing w:val="3"/>
          <w:w w:val="66"/>
          <w:shd w:val="solid" w:color="000000" w:fill="000000"/>
          <w:fitText w:val="439" w:id="-1256558332"/>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331"/>
          <w14:textFill>
            <w14:solidFill>
              <w14:srgbClr w14:val="000000">
                <w14:alpha w14:val="100000"/>
              </w14:srgbClr>
            </w14:solidFill>
          </w14:textFill>
        </w:rPr>
        <w:t>|||||</w:t>
      </w:r>
      <w:r w:rsidR="00592818" w:rsidRPr="00592818">
        <w:rPr>
          <w:color w:val="000000"/>
          <w:spacing w:val="2"/>
          <w:w w:val="66"/>
          <w:shd w:val="solid" w:color="000000" w:fill="000000"/>
          <w:fitText w:val="438" w:id="-1256558331"/>
          <w14:textFill>
            <w14:solidFill>
              <w14:srgbClr w14:val="000000">
                <w14:alpha w14:val="100000"/>
              </w14:srgbClr>
            </w14:solidFill>
          </w14:textFill>
        </w:rPr>
        <w:t>|</w:t>
      </w:r>
      <w:r w:rsidR="00592818" w:rsidRPr="00592818">
        <w:t xml:space="preserve"> </w:t>
      </w:r>
      <w:r w:rsidR="00592818" w:rsidRPr="00592818">
        <w:rPr>
          <w:color w:val="000000"/>
          <w:w w:val="68"/>
          <w:shd w:val="solid" w:color="000000" w:fill="000000"/>
          <w:fitText w:val="451" w:id="-1256558330"/>
          <w14:textFill>
            <w14:solidFill>
              <w14:srgbClr w14:val="000000">
                <w14:alpha w14:val="100000"/>
              </w14:srgbClr>
            </w14:solidFill>
          </w14:textFill>
        </w:rPr>
        <w:t>|||||</w:t>
      </w:r>
      <w:r w:rsidR="00592818" w:rsidRPr="00592818">
        <w:rPr>
          <w:color w:val="000000"/>
          <w:spacing w:val="3"/>
          <w:w w:val="68"/>
          <w:shd w:val="solid" w:color="000000" w:fill="000000"/>
          <w:fitText w:val="451" w:id="-1256558330"/>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9" w:id="-1256558329"/>
          <w14:textFill>
            <w14:solidFill>
              <w14:srgbClr w14:val="000000">
                <w14:alpha w14:val="100000"/>
              </w14:srgbClr>
            </w14:solidFill>
          </w14:textFill>
        </w:rPr>
        <w:t>|||||</w:t>
      </w:r>
      <w:r w:rsidR="00592818" w:rsidRPr="00592818">
        <w:rPr>
          <w:color w:val="000000"/>
          <w:spacing w:val="3"/>
          <w:w w:val="66"/>
          <w:shd w:val="solid" w:color="000000" w:fill="000000"/>
          <w:fitText w:val="439" w:id="-1256558329"/>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328"/>
          <w14:textFill>
            <w14:solidFill>
              <w14:srgbClr w14:val="000000">
                <w14:alpha w14:val="100000"/>
              </w14:srgbClr>
            </w14:solidFill>
          </w14:textFill>
        </w:rPr>
        <w:t>|||||</w:t>
      </w:r>
      <w:r w:rsidR="00592818" w:rsidRPr="00592818">
        <w:rPr>
          <w:color w:val="000000"/>
          <w:spacing w:val="2"/>
          <w:w w:val="66"/>
          <w:shd w:val="solid" w:color="000000" w:fill="000000"/>
          <w:fitText w:val="438" w:id="-1256558328"/>
          <w14:textFill>
            <w14:solidFill>
              <w14:srgbClr w14:val="000000">
                <w14:alpha w14:val="100000"/>
              </w14:srgbClr>
            </w14:solidFill>
          </w14:textFill>
        </w:rPr>
        <w:t>|</w:t>
      </w:r>
      <w:r w:rsidR="00592818" w:rsidRPr="00592818">
        <w:t xml:space="preserve"> </w:t>
      </w:r>
      <w:r w:rsidR="00592818" w:rsidRPr="00592818">
        <w:rPr>
          <w:color w:val="000000"/>
          <w:w w:val="68"/>
          <w:shd w:val="solid" w:color="000000" w:fill="000000"/>
          <w:fitText w:val="451" w:id="-1256558327"/>
          <w14:textFill>
            <w14:solidFill>
              <w14:srgbClr w14:val="000000">
                <w14:alpha w14:val="100000"/>
              </w14:srgbClr>
            </w14:solidFill>
          </w14:textFill>
        </w:rPr>
        <w:t>|||||</w:t>
      </w:r>
      <w:r w:rsidR="00592818" w:rsidRPr="00592818">
        <w:rPr>
          <w:color w:val="000000"/>
          <w:spacing w:val="3"/>
          <w:w w:val="68"/>
          <w:shd w:val="solid" w:color="000000" w:fill="000000"/>
          <w:fitText w:val="451" w:id="-1256558327"/>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9" w:id="-1256558326"/>
          <w14:textFill>
            <w14:solidFill>
              <w14:srgbClr w14:val="000000">
                <w14:alpha w14:val="100000"/>
              </w14:srgbClr>
            </w14:solidFill>
          </w14:textFill>
        </w:rPr>
        <w:t>|||||</w:t>
      </w:r>
      <w:r w:rsidR="00592818" w:rsidRPr="00592818">
        <w:rPr>
          <w:color w:val="000000"/>
          <w:spacing w:val="3"/>
          <w:w w:val="66"/>
          <w:shd w:val="solid" w:color="000000" w:fill="000000"/>
          <w:fitText w:val="439" w:id="-1256558326"/>
          <w14:textFill>
            <w14:solidFill>
              <w14:srgbClr w14:val="000000">
                <w14:alpha w14:val="100000"/>
              </w14:srgbClr>
            </w14:solidFill>
          </w14:textFill>
        </w:rPr>
        <w:t>|</w:t>
      </w:r>
      <w:r w:rsidR="0019123F" w:rsidRPr="00D40E82">
        <w:t xml:space="preserve">. </w:t>
      </w:r>
      <w:r w:rsidRPr="00D40E82">
        <w:t>MSAC considered the utilisation estimates to be uncertain</w:t>
      </w:r>
      <w:r w:rsidR="00E72CAF" w:rsidRPr="00D40E82">
        <w:t>.</w:t>
      </w:r>
      <w:r w:rsidR="00231B73" w:rsidRPr="00D40E82">
        <w:t xml:space="preserve"> MSAC noted the ADAR claimed that </w:t>
      </w:r>
      <w:proofErr w:type="spellStart"/>
      <w:r w:rsidR="00231B73" w:rsidRPr="00D40E82">
        <w:t>TMVr</w:t>
      </w:r>
      <w:proofErr w:type="spellEnd"/>
      <w:r w:rsidR="00231B73" w:rsidRPr="00D40E82">
        <w:t xml:space="preserve"> using PASCAL will address an unmet clinical need. MSAC considered that this was not adequately addressed in the ADAR. MSAC advised that a claim of unmet clinical need should be addressed in the context of patients who are unable to undergo </w:t>
      </w:r>
      <w:proofErr w:type="spellStart"/>
      <w:r w:rsidR="00231B73" w:rsidRPr="00D40E82">
        <w:t>TMVr</w:t>
      </w:r>
      <w:proofErr w:type="spellEnd"/>
      <w:r w:rsidR="00231B73" w:rsidRPr="00D40E82">
        <w:t xml:space="preserve"> using current generation </w:t>
      </w:r>
      <w:proofErr w:type="spellStart"/>
      <w:r w:rsidR="00231B73" w:rsidRPr="00D40E82">
        <w:t>Mitraclip</w:t>
      </w:r>
      <w:proofErr w:type="spellEnd"/>
      <w:r w:rsidR="00231B73" w:rsidRPr="00D40E82">
        <w:t xml:space="preserve"> devices. MSAC noted the pre-MSAC response claimed that </w:t>
      </w:r>
      <w:r w:rsidR="00592818" w:rsidRPr="00592818">
        <w:rPr>
          <w:color w:val="000000"/>
          <w:w w:val="66"/>
          <w:shd w:val="solid" w:color="000000" w:fill="000000"/>
          <w:fitText w:val="439" w:id="-1256558325"/>
          <w14:textFill>
            <w14:solidFill>
              <w14:srgbClr w14:val="000000">
                <w14:alpha w14:val="100000"/>
              </w14:srgbClr>
            </w14:solidFill>
          </w14:textFill>
        </w:rPr>
        <w:t>|||||</w:t>
      </w:r>
      <w:r w:rsidR="00592818" w:rsidRPr="00592818">
        <w:rPr>
          <w:color w:val="000000"/>
          <w:spacing w:val="3"/>
          <w:w w:val="66"/>
          <w:shd w:val="solid" w:color="000000" w:fill="000000"/>
          <w:fitText w:val="439" w:id="-1256558325"/>
          <w14:textFill>
            <w14:solidFill>
              <w14:srgbClr w14:val="000000">
                <w14:alpha w14:val="100000"/>
              </w14:srgbClr>
            </w14:solidFill>
          </w14:textFill>
        </w:rPr>
        <w:t>|</w:t>
      </w:r>
      <w:r w:rsidR="00231B73" w:rsidRPr="000B0F56">
        <w:t xml:space="preserve">% </w:t>
      </w:r>
      <w:r w:rsidR="00231B73" w:rsidRPr="00D40E82">
        <w:t xml:space="preserve">of patients screened for CLASP IID trial were deemed eligible to undergo </w:t>
      </w:r>
      <w:proofErr w:type="spellStart"/>
      <w:r w:rsidR="00231B73" w:rsidRPr="00D40E82">
        <w:t>TMVr</w:t>
      </w:r>
      <w:proofErr w:type="spellEnd"/>
      <w:r w:rsidR="00231B73" w:rsidRPr="00D40E82">
        <w:t xml:space="preserve"> using PASCAL only. MSAC considered the financial estimates should calculate the net costs arising from the additional population that will be able to undergo </w:t>
      </w:r>
      <w:proofErr w:type="spellStart"/>
      <w:r w:rsidR="00231B73" w:rsidRPr="00D40E82">
        <w:t>TMVr</w:t>
      </w:r>
      <w:proofErr w:type="spellEnd"/>
      <w:r w:rsidR="00231B73" w:rsidRPr="00D40E82">
        <w:t xml:space="preserve">.  </w:t>
      </w:r>
    </w:p>
    <w:p w14:paraId="66CD59A6" w14:textId="22B9AA5E" w:rsidR="00231B73" w:rsidRDefault="0010728F" w:rsidP="00005BEB">
      <w:pPr>
        <w:spacing w:before="160"/>
      </w:pPr>
      <w:r>
        <w:t xml:space="preserve">Overall, MSAC considered that its previous concerns (from Application 1662) were not adequately addressed in this new </w:t>
      </w:r>
      <w:r w:rsidR="0019123F">
        <w:t>ADAR</w:t>
      </w:r>
      <w:r>
        <w:t xml:space="preserve">. </w:t>
      </w:r>
      <w:r w:rsidR="009C0F05">
        <w:t xml:space="preserve">MSAC considered that the evidence supporting longer term outcomes (beyond 6 months) was of </w:t>
      </w:r>
      <w:r w:rsidR="00FC3246">
        <w:t>l</w:t>
      </w:r>
      <w:r w:rsidR="00FC3246" w:rsidRPr="00FC3246">
        <w:t>ow quality</w:t>
      </w:r>
      <w:r w:rsidR="009C0F05">
        <w:t xml:space="preserve"> and did not </w:t>
      </w:r>
      <w:r w:rsidR="00FC3246" w:rsidRPr="00FC3246">
        <w:t>support the claim of non-inferior safety and clinical effectiveness</w:t>
      </w:r>
      <w:r w:rsidR="009C0F05">
        <w:t xml:space="preserve"> compared with </w:t>
      </w:r>
      <w:proofErr w:type="spellStart"/>
      <w:r w:rsidR="009C0F05">
        <w:t>TMVr</w:t>
      </w:r>
      <w:proofErr w:type="spellEnd"/>
      <w:r w:rsidR="009C0F05">
        <w:t xml:space="preserve"> using </w:t>
      </w:r>
      <w:proofErr w:type="spellStart"/>
      <w:r w:rsidR="009C0F05">
        <w:t>MitraClip</w:t>
      </w:r>
      <w:proofErr w:type="spellEnd"/>
      <w:r w:rsidR="009C0F05">
        <w:t xml:space="preserve">. </w:t>
      </w:r>
    </w:p>
    <w:p w14:paraId="3A2B58E0" w14:textId="3E4B2A9B" w:rsidR="0019123F" w:rsidRDefault="0019123F" w:rsidP="006723D1">
      <w:r>
        <w:t>MSAC considered that any resubmission should include</w:t>
      </w:r>
      <w:r w:rsidR="008201C5">
        <w:t xml:space="preserve"> </w:t>
      </w:r>
      <w:r>
        <w:t xml:space="preserve">evidence to support the claim of non-inferior safety and clinical effectiveness compared with </w:t>
      </w:r>
      <w:proofErr w:type="spellStart"/>
      <w:r w:rsidR="0079779D">
        <w:t>TMVr</w:t>
      </w:r>
      <w:proofErr w:type="spellEnd"/>
      <w:r w:rsidR="0079779D">
        <w:t xml:space="preserve"> using </w:t>
      </w:r>
      <w:proofErr w:type="spellStart"/>
      <w:r>
        <w:t>MitraClip</w:t>
      </w:r>
      <w:proofErr w:type="spellEnd"/>
      <w:r>
        <w:t xml:space="preserve">. </w:t>
      </w:r>
      <w:r w:rsidR="00695715">
        <w:t xml:space="preserve">MSAC reaffirmed that </w:t>
      </w:r>
      <w:r w:rsidR="00695715" w:rsidRPr="00695715">
        <w:t xml:space="preserve">evidence comparable in quality to the </w:t>
      </w:r>
      <w:proofErr w:type="spellStart"/>
      <w:r w:rsidR="00695715" w:rsidRPr="00695715">
        <w:t>MitraClip</w:t>
      </w:r>
      <w:proofErr w:type="spellEnd"/>
      <w:r w:rsidR="00695715" w:rsidRPr="00695715">
        <w:t xml:space="preserve"> RCT</w:t>
      </w:r>
      <w:r w:rsidR="00695715">
        <w:t>s</w:t>
      </w:r>
      <w:r w:rsidR="00695715" w:rsidRPr="00695715">
        <w:t>,</w:t>
      </w:r>
      <w:r w:rsidR="00695715">
        <w:t xml:space="preserve"> </w:t>
      </w:r>
      <w:r w:rsidR="00695715" w:rsidRPr="00695715">
        <w:t>as well as comparative evidence for DMR alone</w:t>
      </w:r>
      <w:r w:rsidR="009A25A1">
        <w:t xml:space="preserve"> was</w:t>
      </w:r>
      <w:r w:rsidR="00695715" w:rsidRPr="00695715">
        <w:t xml:space="preserve"> required. </w:t>
      </w:r>
      <w:r w:rsidR="00695715">
        <w:t xml:space="preserve">MSAC advised that this should </w:t>
      </w:r>
      <w:r>
        <w:t>include adequately powered</w:t>
      </w:r>
      <w:r w:rsidR="000A6E60">
        <w:t xml:space="preserve">, </w:t>
      </w:r>
      <w:r w:rsidR="00695715">
        <w:t xml:space="preserve">direct </w:t>
      </w:r>
      <w:r w:rsidR="000A6E60">
        <w:t>comparative evidence</w:t>
      </w:r>
      <w:r>
        <w:t xml:space="preserve"> reporting</w:t>
      </w:r>
      <w:r w:rsidR="00452F2F">
        <w:t>:</w:t>
      </w:r>
    </w:p>
    <w:p w14:paraId="289E938A" w14:textId="56899651" w:rsidR="006723D1" w:rsidRDefault="00D10F30" w:rsidP="006723D1">
      <w:pPr>
        <w:pStyle w:val="ListParagraph"/>
        <w:numPr>
          <w:ilvl w:val="0"/>
          <w:numId w:val="42"/>
        </w:numPr>
      </w:pPr>
      <w:r>
        <w:t xml:space="preserve">Rates of </w:t>
      </w:r>
      <w:r w:rsidR="0019123F">
        <w:t>MAE</w:t>
      </w:r>
      <w:r>
        <w:t>s</w:t>
      </w:r>
      <w:r w:rsidR="0019123F">
        <w:t xml:space="preserve"> </w:t>
      </w:r>
      <w:r w:rsidR="00A939A0">
        <w:t xml:space="preserve">including </w:t>
      </w:r>
      <w:r w:rsidR="0019123F">
        <w:t xml:space="preserve">reintervention </w:t>
      </w:r>
      <w:r w:rsidR="000A6E60">
        <w:t xml:space="preserve">with at least </w:t>
      </w:r>
      <w:r w:rsidR="0019123F">
        <w:t>12 months</w:t>
      </w:r>
      <w:r w:rsidR="000A6E60">
        <w:t xml:space="preserve"> follow-u</w:t>
      </w:r>
      <w:r w:rsidR="003720E2">
        <w:t xml:space="preserve">p, </w:t>
      </w:r>
    </w:p>
    <w:p w14:paraId="5ADE2200" w14:textId="5DAEE369" w:rsidR="003720E2" w:rsidRDefault="00452F2F" w:rsidP="003720E2">
      <w:pPr>
        <w:pStyle w:val="ListParagraph"/>
        <w:numPr>
          <w:ilvl w:val="0"/>
          <w:numId w:val="42"/>
        </w:numPr>
      </w:pPr>
      <w:r>
        <w:t>MR reduction</w:t>
      </w:r>
      <w:r w:rsidR="0019123F">
        <w:t xml:space="preserve"> </w:t>
      </w:r>
      <w:r w:rsidR="00F504A2">
        <w:t xml:space="preserve">and </w:t>
      </w:r>
      <w:r w:rsidR="0079779D" w:rsidRPr="0079779D">
        <w:t>with at least 12 months follow-up</w:t>
      </w:r>
      <w:r w:rsidR="0079779D" w:rsidRPr="0079779D" w:rsidDel="0079779D">
        <w:t xml:space="preserve"> </w:t>
      </w:r>
      <w:r w:rsidR="0019123F">
        <w:t xml:space="preserve">in </w:t>
      </w:r>
      <w:r>
        <w:t>the FMR and DMR populations</w:t>
      </w:r>
      <w:r w:rsidR="003720E2">
        <w:t>,</w:t>
      </w:r>
    </w:p>
    <w:p w14:paraId="474C62D4" w14:textId="77777777" w:rsidR="003720E2" w:rsidRDefault="0079779D" w:rsidP="003720E2">
      <w:pPr>
        <w:pStyle w:val="ListParagraph"/>
        <w:numPr>
          <w:ilvl w:val="0"/>
          <w:numId w:val="39"/>
        </w:numPr>
      </w:pPr>
      <w:r>
        <w:lastRenderedPageBreak/>
        <w:t>Q</w:t>
      </w:r>
      <w:r w:rsidR="0019123F">
        <w:t>uality</w:t>
      </w:r>
      <w:r w:rsidR="008201C5">
        <w:t>-</w:t>
      </w:r>
      <w:r w:rsidR="0019123F">
        <w:t>of</w:t>
      </w:r>
      <w:r w:rsidR="008201C5">
        <w:t>-</w:t>
      </w:r>
      <w:r w:rsidR="0019123F">
        <w:t>life data</w:t>
      </w:r>
      <w:r w:rsidR="003720E2">
        <w:t>,</w:t>
      </w:r>
    </w:p>
    <w:p w14:paraId="546D28A6" w14:textId="385F9E65" w:rsidR="0079779D" w:rsidRDefault="00231B73" w:rsidP="003720E2">
      <w:pPr>
        <w:pStyle w:val="ListParagraph"/>
        <w:numPr>
          <w:ilvl w:val="0"/>
          <w:numId w:val="39"/>
        </w:numPr>
      </w:pPr>
      <w:r>
        <w:t>D</w:t>
      </w:r>
      <w:r w:rsidRPr="00231B73">
        <w:t xml:space="preserve">emonstrate cost neutrality compared with </w:t>
      </w:r>
      <w:proofErr w:type="spellStart"/>
      <w:r w:rsidR="0079779D">
        <w:t>TMVr</w:t>
      </w:r>
      <w:proofErr w:type="spellEnd"/>
      <w:r w:rsidR="0079779D">
        <w:t xml:space="preserve"> </w:t>
      </w:r>
      <w:r w:rsidR="00273E31">
        <w:t xml:space="preserve">using </w:t>
      </w:r>
      <w:proofErr w:type="spellStart"/>
      <w:r w:rsidRPr="00231B73">
        <w:t>MitraClip</w:t>
      </w:r>
      <w:proofErr w:type="spellEnd"/>
      <w:r w:rsidRPr="00231B73">
        <w:t xml:space="preserve"> using a cost</w:t>
      </w:r>
      <w:r w:rsidR="004E59BC">
        <w:noBreakHyphen/>
      </w:r>
      <w:r w:rsidRPr="00231B73">
        <w:t xml:space="preserve">minimisation analysis informed by high-quality clinical evidence, and </w:t>
      </w:r>
      <w:r w:rsidR="0079779D">
        <w:t xml:space="preserve">clearly </w:t>
      </w:r>
      <w:r w:rsidRPr="00231B73">
        <w:t>accounting for costs of devices, consumables, procedures and hospital accommodatio</w:t>
      </w:r>
      <w:r w:rsidR="004E59BC">
        <w:t xml:space="preserve">n. </w:t>
      </w:r>
    </w:p>
    <w:p w14:paraId="4B26F900" w14:textId="520E95A0" w:rsidR="00D17382" w:rsidRDefault="003720E2" w:rsidP="006723D1">
      <w:pPr>
        <w:spacing w:before="0" w:after="0" w:line="240" w:lineRule="auto"/>
      </w:pPr>
      <w:r>
        <w:t xml:space="preserve">MSAC considered 2-year outcomes for functional outcomes such as overall survival and NYHA class would also be informative for demonstrating non-inferiority. </w:t>
      </w:r>
      <w:r w:rsidR="0079779D">
        <w:t xml:space="preserve">MSAC </w:t>
      </w:r>
      <w:r>
        <w:t>considered</w:t>
      </w:r>
      <w:r w:rsidR="0079779D">
        <w:t xml:space="preserve"> that non-inferiority should be assessed using a</w:t>
      </w:r>
      <w:r>
        <w:t xml:space="preserve"> more</w:t>
      </w:r>
      <w:r w:rsidR="0079779D">
        <w:t xml:space="preserve"> stringent non-inferiority margin</w:t>
      </w:r>
      <w:r w:rsidR="004E59BC">
        <w:t xml:space="preserve"> than used in the </w:t>
      </w:r>
      <w:r w:rsidR="003D62E5">
        <w:t xml:space="preserve">interim </w:t>
      </w:r>
      <w:r w:rsidR="004E59BC">
        <w:t>CLASP IID trial</w:t>
      </w:r>
      <w:r w:rsidR="003D62E5">
        <w:t xml:space="preserve"> results</w:t>
      </w:r>
      <w:r w:rsidR="004E59BC">
        <w:t xml:space="preserve">. </w:t>
      </w:r>
      <w:r w:rsidR="00D17382">
        <w:t xml:space="preserve">MSAC advised that </w:t>
      </w:r>
      <w:r w:rsidR="004E59BC">
        <w:t xml:space="preserve">a claim of unmet clinical need should be supported by evidence demonstrating that </w:t>
      </w:r>
      <w:proofErr w:type="spellStart"/>
      <w:r w:rsidR="004E59BC">
        <w:t>TMVr</w:t>
      </w:r>
      <w:proofErr w:type="spellEnd"/>
      <w:r w:rsidR="004E59BC">
        <w:t xml:space="preserve"> using PASCAL can be used for people unable to undergo </w:t>
      </w:r>
      <w:proofErr w:type="spellStart"/>
      <w:r w:rsidR="004E59BC">
        <w:t>TMVr</w:t>
      </w:r>
      <w:proofErr w:type="spellEnd"/>
      <w:r w:rsidR="004E59BC">
        <w:t xml:space="preserve"> using the current generation of </w:t>
      </w:r>
      <w:proofErr w:type="spellStart"/>
      <w:r w:rsidR="004E59BC">
        <w:t>MitraClip</w:t>
      </w:r>
      <w:proofErr w:type="spellEnd"/>
      <w:r w:rsidR="004E59BC">
        <w:t xml:space="preserve">, and the financial </w:t>
      </w:r>
      <w:r w:rsidR="00D10F30">
        <w:t>implications</w:t>
      </w:r>
      <w:r w:rsidR="004E59BC">
        <w:t xml:space="preserve"> for this additional population.  </w:t>
      </w:r>
    </w:p>
    <w:p w14:paraId="6710B69D" w14:textId="44433558" w:rsidR="00772829" w:rsidRPr="00CE28E3" w:rsidRDefault="00F35C7B" w:rsidP="002A18BE">
      <w:pPr>
        <w:pStyle w:val="Heading2"/>
        <w:numPr>
          <w:ilvl w:val="0"/>
          <w:numId w:val="0"/>
        </w:numPr>
      </w:pPr>
      <w:bookmarkStart w:id="5" w:name="_Toc69491416"/>
      <w:bookmarkEnd w:id="4"/>
      <w:r>
        <w:t>4</w:t>
      </w:r>
      <w:r w:rsidR="00C36633">
        <w:t>.</w:t>
      </w:r>
      <w:r w:rsidR="00C36633">
        <w:tab/>
      </w:r>
      <w:r w:rsidR="00772829" w:rsidRPr="00CE28E3">
        <w:t>Background</w:t>
      </w:r>
      <w:bookmarkEnd w:id="5"/>
    </w:p>
    <w:p w14:paraId="1176CCAA" w14:textId="443047D2" w:rsidR="00F43411" w:rsidRDefault="007A728E" w:rsidP="00E76AE0">
      <w:pPr>
        <w:pStyle w:val="Instructionaltext"/>
        <w:rPr>
          <w:iCs/>
          <w:color w:val="auto"/>
        </w:rPr>
      </w:pPr>
      <w:bookmarkStart w:id="6" w:name="_Hlk69734494"/>
      <w:r>
        <w:rPr>
          <w:iCs/>
          <w:color w:val="auto"/>
        </w:rPr>
        <w:t xml:space="preserve">This is the second application for this technology. It was </w:t>
      </w:r>
      <w:r w:rsidR="00231B73">
        <w:rPr>
          <w:iCs/>
          <w:color w:val="auto"/>
        </w:rPr>
        <w:t xml:space="preserve">previously </w:t>
      </w:r>
      <w:r>
        <w:rPr>
          <w:iCs/>
          <w:color w:val="auto"/>
        </w:rPr>
        <w:t>considered at the November 2021 MSAC meeting</w:t>
      </w:r>
      <w:r w:rsidR="001B3C50">
        <w:rPr>
          <w:iCs/>
          <w:color w:val="auto"/>
        </w:rPr>
        <w:t xml:space="preserve">, </w:t>
      </w:r>
      <w:hyperlink r:id="rId13" w:history="1">
        <w:r w:rsidR="00D15B73">
          <w:rPr>
            <w:rStyle w:val="Hyperlink"/>
            <w:iCs/>
          </w:rPr>
          <w:t>MSAC 1662 PSD</w:t>
        </w:r>
      </w:hyperlink>
      <w:r>
        <w:rPr>
          <w:iCs/>
          <w:color w:val="auto"/>
        </w:rPr>
        <w:t xml:space="preserve">. </w:t>
      </w:r>
      <w:r w:rsidR="00D15B73">
        <w:rPr>
          <w:iCs/>
          <w:color w:val="auto"/>
        </w:rPr>
        <w:t xml:space="preserve">A successful application for MBS listing for reduction of mitral regurgitation through tissue approximation, using transvenous/transeptal techniques using the </w:t>
      </w:r>
      <w:proofErr w:type="spellStart"/>
      <w:r w:rsidR="00D15B73">
        <w:rPr>
          <w:iCs/>
          <w:color w:val="auto"/>
        </w:rPr>
        <w:t>MitraClip</w:t>
      </w:r>
      <w:proofErr w:type="spellEnd"/>
      <w:r w:rsidR="00D15B73">
        <w:rPr>
          <w:iCs/>
          <w:color w:val="auto"/>
        </w:rPr>
        <w:t xml:space="preserve"> device, from Abbott Australasia Pty Ltd, was considered at the MSAC Sept 2020 meeting. (</w:t>
      </w:r>
      <w:hyperlink r:id="rId14" w:history="1">
        <w:r w:rsidR="00D63FED">
          <w:rPr>
            <w:rStyle w:val="Hyperlink"/>
            <w:iCs/>
          </w:rPr>
          <w:t>MSAC 1192.3 PSD</w:t>
        </w:r>
      </w:hyperlink>
      <w:r w:rsidR="00D15B73">
        <w:rPr>
          <w:iCs/>
          <w:color w:val="auto"/>
        </w:rPr>
        <w:t>). As a result of this, t</w:t>
      </w:r>
      <w:r w:rsidR="00F43411">
        <w:rPr>
          <w:iCs/>
          <w:color w:val="auto"/>
        </w:rPr>
        <w:t xml:space="preserve">here are two MBS items for </w:t>
      </w:r>
      <w:r w:rsidR="009C38C9">
        <w:rPr>
          <w:iCs/>
          <w:color w:val="auto"/>
        </w:rPr>
        <w:t xml:space="preserve">Transcatheter </w:t>
      </w:r>
      <w:r w:rsidR="00F43411">
        <w:rPr>
          <w:iCs/>
          <w:color w:val="auto"/>
        </w:rPr>
        <w:t xml:space="preserve">Mitral </w:t>
      </w:r>
      <w:r w:rsidR="00D6304A">
        <w:rPr>
          <w:iCs/>
          <w:color w:val="auto"/>
        </w:rPr>
        <w:t>Valve</w:t>
      </w:r>
      <w:r w:rsidR="00F43411">
        <w:rPr>
          <w:iCs/>
          <w:color w:val="auto"/>
        </w:rPr>
        <w:t xml:space="preserve"> Repair System</w:t>
      </w:r>
      <w:r w:rsidR="009C38C9">
        <w:rPr>
          <w:iCs/>
          <w:color w:val="auto"/>
        </w:rPr>
        <w:t xml:space="preserve"> (</w:t>
      </w:r>
      <w:proofErr w:type="spellStart"/>
      <w:r w:rsidR="009C38C9">
        <w:rPr>
          <w:iCs/>
          <w:color w:val="auto"/>
        </w:rPr>
        <w:t>TMVr</w:t>
      </w:r>
      <w:proofErr w:type="spellEnd"/>
      <w:r w:rsidR="009C38C9">
        <w:rPr>
          <w:iCs/>
          <w:color w:val="auto"/>
        </w:rPr>
        <w:t>)</w:t>
      </w:r>
      <w:r w:rsidR="006537CE">
        <w:rPr>
          <w:iCs/>
          <w:color w:val="auto"/>
        </w:rPr>
        <w:t>,</w:t>
      </w:r>
      <w:r w:rsidR="00F43411">
        <w:rPr>
          <w:iCs/>
          <w:color w:val="auto"/>
        </w:rPr>
        <w:t xml:space="preserve"> by transvenous or transeptal techniques for DMR and FMR with </w:t>
      </w:r>
      <w:r w:rsidR="006537CE">
        <w:rPr>
          <w:iCs/>
          <w:color w:val="auto"/>
        </w:rPr>
        <w:t xml:space="preserve">the </w:t>
      </w:r>
      <w:proofErr w:type="spellStart"/>
      <w:r w:rsidR="00F43411">
        <w:rPr>
          <w:iCs/>
          <w:color w:val="auto"/>
        </w:rPr>
        <w:t>MitraClip</w:t>
      </w:r>
      <w:proofErr w:type="spellEnd"/>
      <w:r w:rsidR="00F43411">
        <w:rPr>
          <w:iCs/>
          <w:color w:val="auto"/>
        </w:rPr>
        <w:t xml:space="preserve"> system</w:t>
      </w:r>
      <w:r w:rsidR="006537CE">
        <w:rPr>
          <w:iCs/>
          <w:color w:val="auto"/>
        </w:rPr>
        <w:t xml:space="preserve"> (MBS items 38461, 38463). The </w:t>
      </w:r>
      <w:r w:rsidR="00D15B73">
        <w:rPr>
          <w:iCs/>
          <w:color w:val="auto"/>
        </w:rPr>
        <w:t xml:space="preserve">MSAC 1662 </w:t>
      </w:r>
      <w:r w:rsidR="006537CE">
        <w:rPr>
          <w:iCs/>
          <w:color w:val="auto"/>
        </w:rPr>
        <w:t xml:space="preserve">application sought to make these MBS items device agnostic. </w:t>
      </w:r>
    </w:p>
    <w:p w14:paraId="4EC89FB9" w14:textId="6750381F" w:rsidR="00442A0B" w:rsidRDefault="006537CE" w:rsidP="00442A0B">
      <w:r>
        <w:rPr>
          <w:iCs/>
        </w:rPr>
        <w:t xml:space="preserve">In respect of application 1662, </w:t>
      </w:r>
      <w:r w:rsidR="007A728E">
        <w:rPr>
          <w:iCs/>
        </w:rPr>
        <w:t xml:space="preserve">MSAC </w:t>
      </w:r>
      <w:r w:rsidR="007A728E" w:rsidRPr="007A728E">
        <w:rPr>
          <w:iCs/>
        </w:rPr>
        <w:t xml:space="preserve">did not support amending MBS items 38461 and 38463 for </w:t>
      </w:r>
      <w:proofErr w:type="spellStart"/>
      <w:r w:rsidR="007A728E" w:rsidRPr="007A728E">
        <w:rPr>
          <w:iCs/>
        </w:rPr>
        <w:t>TMVr</w:t>
      </w:r>
      <w:proofErr w:type="spellEnd"/>
      <w:r w:rsidR="007A728E" w:rsidRPr="007A728E">
        <w:rPr>
          <w:iCs/>
        </w:rPr>
        <w:t xml:space="preserve"> by transvenous or transeptal techniques using </w:t>
      </w:r>
      <w:proofErr w:type="spellStart"/>
      <w:r w:rsidR="007A728E" w:rsidRPr="007A728E">
        <w:rPr>
          <w:iCs/>
        </w:rPr>
        <w:t>Mitraclip</w:t>
      </w:r>
      <w:proofErr w:type="spellEnd"/>
      <w:r w:rsidR="007A728E" w:rsidRPr="007A728E">
        <w:rPr>
          <w:iCs/>
        </w:rPr>
        <w:t xml:space="preserve"> to be device agnostic.</w:t>
      </w:r>
      <w:r w:rsidR="00543F44">
        <w:rPr>
          <w:iCs/>
        </w:rPr>
        <w:t xml:space="preserve"> </w:t>
      </w:r>
      <w:r w:rsidR="00442A0B" w:rsidRPr="00D60E78">
        <w:t xml:space="preserve">MSAC considered the quality of evidence for </w:t>
      </w:r>
      <w:proofErr w:type="spellStart"/>
      <w:r w:rsidR="00442A0B" w:rsidRPr="00D60E78">
        <w:t>TMVr</w:t>
      </w:r>
      <w:proofErr w:type="spellEnd"/>
      <w:r w:rsidR="00442A0B" w:rsidRPr="00D60E78">
        <w:t xml:space="preserve"> using the PASCAL system </w:t>
      </w:r>
      <w:r w:rsidR="00442A0B">
        <w:t>to be</w:t>
      </w:r>
      <w:r w:rsidR="00442A0B" w:rsidRPr="00D60E78">
        <w:t xml:space="preserve"> low and did not adequately support the claim of clinical non-inferiority</w:t>
      </w:r>
      <w:r w:rsidR="00442A0B">
        <w:t xml:space="preserve"> for safety and effectiveness</w:t>
      </w:r>
      <w:r w:rsidR="00442A0B" w:rsidRPr="00D60E78">
        <w:t>. MSAC advised that higher quality evidence would be needed to support the claim of non-inferiority. MSAC also considered that an unmet clinical need for an alternative device was not clearly demonstrated.</w:t>
      </w:r>
    </w:p>
    <w:p w14:paraId="6671D2B1" w14:textId="58030944" w:rsidR="00005BEB" w:rsidRPr="00005BEB" w:rsidRDefault="00B44E83" w:rsidP="00005BEB">
      <w:pPr>
        <w:spacing w:after="240"/>
        <w:rPr>
          <w:i/>
        </w:rPr>
      </w:pPr>
      <w:r>
        <w:rPr>
          <w:i/>
        </w:rPr>
        <w:t>Throughout this document, c</w:t>
      </w:r>
      <w:r w:rsidR="00497079">
        <w:rPr>
          <w:i/>
        </w:rPr>
        <w:t>ontent that was unchanged from MSAC’s previous</w:t>
      </w:r>
      <w:r w:rsidR="00231B73">
        <w:rPr>
          <w:i/>
        </w:rPr>
        <w:t xml:space="preserve"> 2021</w:t>
      </w:r>
      <w:r w:rsidR="00497079">
        <w:rPr>
          <w:i/>
        </w:rPr>
        <w:t xml:space="preserve"> consideration is </w:t>
      </w:r>
      <w:r w:rsidR="00497079" w:rsidRPr="00F46D2A">
        <w:rPr>
          <w:i/>
          <w:shd w:val="clear" w:color="auto" w:fill="B4C6E7" w:themeFill="accent5" w:themeFillTint="66"/>
        </w:rPr>
        <w:t>shaded in blue</w:t>
      </w:r>
      <w:r w:rsidR="00497079">
        <w:rPr>
          <w:i/>
        </w:rPr>
        <w:t>.</w:t>
      </w:r>
      <w:bookmarkStart w:id="7" w:name="_Ref69480768"/>
      <w:bookmarkStart w:id="8" w:name="_Hlk69734557"/>
      <w:bookmarkEnd w:id="6"/>
      <w:r w:rsidR="00005BEB">
        <w:br w:type="page"/>
      </w:r>
    </w:p>
    <w:p w14:paraId="6EC12EDF" w14:textId="4E1DC094" w:rsidR="0068682C" w:rsidRPr="00CE28E3" w:rsidRDefault="004D2587" w:rsidP="004D2587">
      <w:pPr>
        <w:pStyle w:val="Caption"/>
      </w:pPr>
      <w:r>
        <w:lastRenderedPageBreak/>
        <w:t xml:space="preserve">Table </w:t>
      </w:r>
      <w:fldSimple w:instr=" SEQ Table \* ARABIC ">
        <w:r w:rsidR="007512A8">
          <w:rPr>
            <w:noProof/>
          </w:rPr>
          <w:t>1</w:t>
        </w:r>
      </w:fldSimple>
      <w:r>
        <w:t xml:space="preserve"> </w:t>
      </w:r>
      <w:bookmarkEnd w:id="7"/>
      <w:r w:rsidR="0068682C" w:rsidRPr="00CE28E3">
        <w:tab/>
        <w:t>Summary of key matters of concern</w:t>
      </w:r>
    </w:p>
    <w:tbl>
      <w:tblPr>
        <w:tblStyle w:val="TableGrid1"/>
        <w:tblW w:w="5000" w:type="pct"/>
        <w:tblLook w:val="04A0" w:firstRow="1" w:lastRow="0" w:firstColumn="1" w:lastColumn="0" w:noHBand="0" w:noVBand="1"/>
      </w:tblPr>
      <w:tblGrid>
        <w:gridCol w:w="1755"/>
        <w:gridCol w:w="2931"/>
        <w:gridCol w:w="4637"/>
      </w:tblGrid>
      <w:tr w:rsidR="00F57885" w:rsidRPr="00CE28E3" w14:paraId="2BDCC27B" w14:textId="77777777" w:rsidTr="00192D17">
        <w:trPr>
          <w:cnfStyle w:val="100000000000" w:firstRow="1" w:lastRow="0" w:firstColumn="0" w:lastColumn="0" w:oddVBand="0" w:evenVBand="0" w:oddHBand="0" w:evenHBand="0" w:firstRowFirstColumn="0" w:firstRowLastColumn="0" w:lastRowFirstColumn="0" w:lastRowLastColumn="0"/>
          <w:cantSplit/>
          <w:tblHeader/>
        </w:trPr>
        <w:tc>
          <w:tcPr>
            <w:tcW w:w="941" w:type="pct"/>
            <w:shd w:val="clear" w:color="auto" w:fill="auto"/>
          </w:tcPr>
          <w:p w14:paraId="58F6A808" w14:textId="77777777" w:rsidR="00F57885" w:rsidRPr="00CE28E3" w:rsidRDefault="00F57885" w:rsidP="00824458">
            <w:pPr>
              <w:pStyle w:val="In-tableHeading"/>
            </w:pPr>
            <w:bookmarkStart w:id="9" w:name="ColumnTitle_Table1"/>
            <w:bookmarkStart w:id="10" w:name="_Hlk68275590"/>
            <w:bookmarkEnd w:id="9"/>
            <w:r w:rsidRPr="00CE28E3">
              <w:t>Component</w:t>
            </w:r>
          </w:p>
        </w:tc>
        <w:tc>
          <w:tcPr>
            <w:tcW w:w="1572" w:type="pct"/>
            <w:shd w:val="clear" w:color="auto" w:fill="auto"/>
          </w:tcPr>
          <w:p w14:paraId="09992FB9" w14:textId="77777777" w:rsidR="00F57885" w:rsidRPr="00CE28E3" w:rsidRDefault="00F57885" w:rsidP="00824458">
            <w:pPr>
              <w:pStyle w:val="In-tableHeading"/>
            </w:pPr>
            <w:r w:rsidRPr="00CE28E3">
              <w:t>Matter of concern</w:t>
            </w:r>
          </w:p>
        </w:tc>
        <w:tc>
          <w:tcPr>
            <w:tcW w:w="2487" w:type="pct"/>
            <w:shd w:val="clear" w:color="auto" w:fill="auto"/>
          </w:tcPr>
          <w:p w14:paraId="54C88680" w14:textId="77777777" w:rsidR="00F57885" w:rsidRPr="00CE28E3" w:rsidRDefault="00F57885" w:rsidP="00824458">
            <w:pPr>
              <w:pStyle w:val="In-tableHeading"/>
            </w:pPr>
            <w:r w:rsidRPr="00CE28E3">
              <w:t>How the current assessment report addresses it</w:t>
            </w:r>
          </w:p>
        </w:tc>
      </w:tr>
      <w:tr w:rsidR="00F57885" w:rsidRPr="00CE28E3" w14:paraId="4C3B6A2C" w14:textId="77777777" w:rsidTr="00192D17">
        <w:trPr>
          <w:cantSplit/>
        </w:trPr>
        <w:tc>
          <w:tcPr>
            <w:tcW w:w="941" w:type="pct"/>
          </w:tcPr>
          <w:p w14:paraId="3ADC1FC4" w14:textId="086C51E3" w:rsidR="00F57885" w:rsidRPr="00CE28E3" w:rsidRDefault="006537CE" w:rsidP="00824458">
            <w:pPr>
              <w:pStyle w:val="TableText"/>
            </w:pPr>
            <w:r>
              <w:t>Clinical need</w:t>
            </w:r>
            <w:r w:rsidR="00415D49">
              <w:t xml:space="preserve"> </w:t>
            </w:r>
          </w:p>
        </w:tc>
        <w:tc>
          <w:tcPr>
            <w:tcW w:w="1572" w:type="pct"/>
          </w:tcPr>
          <w:p w14:paraId="29BB6916" w14:textId="270399BB" w:rsidR="00192D17" w:rsidRPr="00192D17" w:rsidRDefault="006537CE" w:rsidP="00192D17">
            <w:pPr>
              <w:pStyle w:val="TableText"/>
            </w:pPr>
            <w:r>
              <w:rPr>
                <w:rFonts w:cs="Arial"/>
                <w:snapToGrid w:val="0"/>
              </w:rPr>
              <w:t>MSAC considered that an unmet clinical need for an alternative device was not clearly demonstrated</w:t>
            </w:r>
            <w:r w:rsidR="00415D49">
              <w:rPr>
                <w:rFonts w:cs="Arial"/>
                <w:snapToGrid w:val="0"/>
              </w:rPr>
              <w:t xml:space="preserve"> (</w:t>
            </w:r>
            <w:r w:rsidR="00AA338A">
              <w:rPr>
                <w:rFonts w:cs="Arial"/>
                <w:snapToGrid w:val="0"/>
              </w:rPr>
              <w:t>p1</w:t>
            </w:r>
            <w:r w:rsidR="00415D49">
              <w:rPr>
                <w:rFonts w:cs="Arial"/>
                <w:snapToGrid w:val="0"/>
              </w:rPr>
              <w:t xml:space="preserve"> of PSD)</w:t>
            </w:r>
            <w:r w:rsidR="009B4FE0">
              <w:rPr>
                <w:rFonts w:cs="Arial"/>
                <w:snapToGrid w:val="0"/>
              </w:rPr>
              <w:t>.</w:t>
            </w:r>
          </w:p>
        </w:tc>
        <w:tc>
          <w:tcPr>
            <w:tcW w:w="2487" w:type="pct"/>
          </w:tcPr>
          <w:p w14:paraId="01ADDF1E" w14:textId="77777777" w:rsidR="00F57885" w:rsidRPr="00D40E82" w:rsidRDefault="006537CE" w:rsidP="00824458">
            <w:pPr>
              <w:pStyle w:val="TableText"/>
              <w:rPr>
                <w:rFonts w:cs="Arial"/>
                <w:snapToGrid w:val="0"/>
              </w:rPr>
            </w:pPr>
            <w:r w:rsidRPr="00D40E82">
              <w:rPr>
                <w:rFonts w:cs="Arial"/>
                <w:snapToGrid w:val="0"/>
              </w:rPr>
              <w:t xml:space="preserve">The ADAR provided the following </w:t>
            </w:r>
            <w:r w:rsidR="001670EE" w:rsidRPr="00D40E82">
              <w:rPr>
                <w:rFonts w:cs="Arial"/>
                <w:snapToGrid w:val="0"/>
              </w:rPr>
              <w:t>in support of the need for an alternative device:</w:t>
            </w:r>
          </w:p>
          <w:p w14:paraId="7454EC4C" w14:textId="1B08596A" w:rsidR="001670EE" w:rsidRPr="00D40E82" w:rsidRDefault="001670EE" w:rsidP="00F259E1">
            <w:pPr>
              <w:pStyle w:val="TableText"/>
              <w:numPr>
                <w:ilvl w:val="0"/>
                <w:numId w:val="10"/>
              </w:numPr>
              <w:rPr>
                <w:rFonts w:cs="Arial"/>
                <w:bCs/>
                <w:snapToGrid w:val="0"/>
              </w:rPr>
            </w:pPr>
            <w:r w:rsidRPr="00D40E82">
              <w:rPr>
                <w:rFonts w:cs="Arial"/>
                <w:bCs/>
                <w:snapToGrid w:val="0"/>
              </w:rPr>
              <w:t>Anecdotal evidence from unnamed clinicians that there are certain MR anatomies that are better suited for treatment with PASCAL (</w:t>
            </w:r>
            <w:r w:rsidR="009B4FE0" w:rsidRPr="00D40E82">
              <w:rPr>
                <w:rFonts w:cs="Arial"/>
                <w:bCs/>
                <w:snapToGrid w:val="0"/>
              </w:rPr>
              <w:t>S</w:t>
            </w:r>
            <w:r w:rsidRPr="00D40E82">
              <w:rPr>
                <w:rFonts w:cs="Arial"/>
                <w:bCs/>
                <w:snapToGrid w:val="0"/>
              </w:rPr>
              <w:t>ection</w:t>
            </w:r>
            <w:r w:rsidR="009B4FE0" w:rsidRPr="00D40E82">
              <w:rPr>
                <w:rFonts w:cs="Arial"/>
                <w:bCs/>
                <w:snapToGrid w:val="0"/>
              </w:rPr>
              <w:t>s</w:t>
            </w:r>
            <w:r w:rsidRPr="00D40E82">
              <w:rPr>
                <w:rFonts w:cs="Arial"/>
                <w:bCs/>
                <w:snapToGrid w:val="0"/>
              </w:rPr>
              <w:t xml:space="preserve"> 1.4 &amp; 1.5)</w:t>
            </w:r>
            <w:r w:rsidR="009B4FE0" w:rsidRPr="00D40E82">
              <w:rPr>
                <w:rFonts w:cs="Arial"/>
                <w:bCs/>
                <w:snapToGrid w:val="0"/>
              </w:rPr>
              <w:t>;</w:t>
            </w:r>
          </w:p>
          <w:p w14:paraId="635A4D3C" w14:textId="126A4C2F" w:rsidR="001670EE" w:rsidRPr="00D40E82" w:rsidRDefault="001670EE" w:rsidP="00F259E1">
            <w:pPr>
              <w:pStyle w:val="TableText"/>
              <w:numPr>
                <w:ilvl w:val="0"/>
                <w:numId w:val="10"/>
              </w:numPr>
              <w:rPr>
                <w:rFonts w:cs="Arial"/>
                <w:bCs/>
                <w:snapToGrid w:val="0"/>
              </w:rPr>
            </w:pPr>
            <w:r w:rsidRPr="00D40E82">
              <w:rPr>
                <w:rFonts w:cs="Arial"/>
                <w:bCs/>
                <w:snapToGrid w:val="0"/>
              </w:rPr>
              <w:t>Patient testimonials (</w:t>
            </w:r>
            <w:r w:rsidR="009B4FE0" w:rsidRPr="00D40E82">
              <w:rPr>
                <w:rFonts w:cs="Arial"/>
                <w:bCs/>
                <w:snapToGrid w:val="0"/>
              </w:rPr>
              <w:t>S</w:t>
            </w:r>
            <w:r w:rsidRPr="00D40E82">
              <w:rPr>
                <w:rFonts w:cs="Arial"/>
                <w:bCs/>
                <w:snapToGrid w:val="0"/>
              </w:rPr>
              <w:t>ection</w:t>
            </w:r>
            <w:r w:rsidR="009B4FE0" w:rsidRPr="00D40E82">
              <w:rPr>
                <w:rFonts w:cs="Arial"/>
                <w:bCs/>
                <w:snapToGrid w:val="0"/>
              </w:rPr>
              <w:t>s</w:t>
            </w:r>
            <w:r w:rsidRPr="00D40E82">
              <w:rPr>
                <w:rFonts w:cs="Arial"/>
                <w:bCs/>
                <w:snapToGrid w:val="0"/>
              </w:rPr>
              <w:t xml:space="preserve"> 1.4 &amp; 1.5)</w:t>
            </w:r>
            <w:r w:rsidR="009B4FE0" w:rsidRPr="00D40E82">
              <w:rPr>
                <w:rFonts w:cs="Arial"/>
                <w:bCs/>
                <w:snapToGrid w:val="0"/>
              </w:rPr>
              <w:t>; and</w:t>
            </w:r>
            <w:r w:rsidRPr="00D40E82">
              <w:rPr>
                <w:rFonts w:cs="Arial"/>
                <w:bCs/>
                <w:snapToGrid w:val="0"/>
              </w:rPr>
              <w:t xml:space="preserve"> </w:t>
            </w:r>
          </w:p>
          <w:p w14:paraId="15BB4464" w14:textId="5D1586D3" w:rsidR="001670EE" w:rsidRPr="00D40E82" w:rsidRDefault="001670EE" w:rsidP="00F259E1">
            <w:pPr>
              <w:pStyle w:val="TableText"/>
              <w:numPr>
                <w:ilvl w:val="0"/>
                <w:numId w:val="10"/>
              </w:numPr>
              <w:rPr>
                <w:rFonts w:cs="Arial"/>
                <w:bCs/>
                <w:snapToGrid w:val="0"/>
              </w:rPr>
            </w:pPr>
            <w:r w:rsidRPr="00D40E82">
              <w:rPr>
                <w:rFonts w:cs="Arial"/>
                <w:bCs/>
                <w:snapToGrid w:val="0"/>
              </w:rPr>
              <w:t xml:space="preserve">A study from </w:t>
            </w:r>
            <w:proofErr w:type="spellStart"/>
            <w:r w:rsidRPr="00D40E82">
              <w:rPr>
                <w:rFonts w:cs="Arial"/>
                <w:bCs/>
                <w:snapToGrid w:val="0"/>
              </w:rPr>
              <w:t>Moonen</w:t>
            </w:r>
            <w:proofErr w:type="spellEnd"/>
            <w:r w:rsidRPr="00D40E82">
              <w:rPr>
                <w:rFonts w:cs="Arial"/>
                <w:bCs/>
                <w:snapToGrid w:val="0"/>
              </w:rPr>
              <w:t xml:space="preserve"> et al 2022 of 17 patients treated under compassionate use, all who received the PASCAL system, of which it reported that 9 (53%) had technically difficult or anatomically challenging for </w:t>
            </w:r>
            <w:proofErr w:type="spellStart"/>
            <w:r w:rsidRPr="00D40E82">
              <w:rPr>
                <w:rFonts w:cs="Arial"/>
                <w:bCs/>
                <w:snapToGrid w:val="0"/>
              </w:rPr>
              <w:t>TMVr</w:t>
            </w:r>
            <w:proofErr w:type="spellEnd"/>
            <w:r w:rsidRPr="00D40E82">
              <w:rPr>
                <w:rFonts w:cs="Arial"/>
                <w:bCs/>
                <w:snapToGrid w:val="0"/>
              </w:rPr>
              <w:t xml:space="preserve"> procedure.  </w:t>
            </w:r>
          </w:p>
        </w:tc>
      </w:tr>
      <w:tr w:rsidR="00415D49" w:rsidRPr="00CE28E3" w14:paraId="43C14C50" w14:textId="77777777" w:rsidTr="00192D17">
        <w:trPr>
          <w:cantSplit/>
        </w:trPr>
        <w:tc>
          <w:tcPr>
            <w:tcW w:w="941" w:type="pct"/>
          </w:tcPr>
          <w:p w14:paraId="5898F205" w14:textId="0FC009B7" w:rsidR="00415D49" w:rsidRDefault="00415D49" w:rsidP="00824458">
            <w:pPr>
              <w:pStyle w:val="TableText"/>
            </w:pPr>
            <w:r>
              <w:t>Clinical management algorithms</w:t>
            </w:r>
          </w:p>
        </w:tc>
        <w:tc>
          <w:tcPr>
            <w:tcW w:w="1572" w:type="pct"/>
          </w:tcPr>
          <w:p w14:paraId="7E8993D6" w14:textId="5283EA9A" w:rsidR="00192D17" w:rsidRPr="00192D17" w:rsidRDefault="00415D49" w:rsidP="00192D17">
            <w:pPr>
              <w:pStyle w:val="TableText"/>
            </w:pPr>
            <w:r>
              <w:rPr>
                <w:rFonts w:cs="Arial"/>
                <w:snapToGrid w:val="0"/>
              </w:rPr>
              <w:t>MSAC noted there were inconsistencies in the algorithm and the proposed MBS items</w:t>
            </w:r>
            <w:r w:rsidR="00AA338A">
              <w:rPr>
                <w:rFonts w:cs="Arial"/>
                <w:snapToGrid w:val="0"/>
              </w:rPr>
              <w:t xml:space="preserve"> (p3 of PSD)</w:t>
            </w:r>
            <w:r>
              <w:rPr>
                <w:rFonts w:cs="Arial"/>
                <w:snapToGrid w:val="0"/>
              </w:rPr>
              <w:t xml:space="preserve">. </w:t>
            </w:r>
          </w:p>
        </w:tc>
        <w:tc>
          <w:tcPr>
            <w:tcW w:w="2487" w:type="pct"/>
          </w:tcPr>
          <w:p w14:paraId="7EF979C4" w14:textId="021A7715" w:rsidR="00415D49" w:rsidRPr="00D40E82" w:rsidRDefault="00415D49" w:rsidP="00824458">
            <w:pPr>
              <w:pStyle w:val="TableText"/>
              <w:rPr>
                <w:rFonts w:cs="Arial"/>
                <w:snapToGrid w:val="0"/>
              </w:rPr>
            </w:pPr>
            <w:r w:rsidRPr="00D40E82">
              <w:rPr>
                <w:rFonts w:cs="Arial"/>
                <w:snapToGrid w:val="0"/>
              </w:rPr>
              <w:t xml:space="preserve">The ADAR has replaced the clinical management algorithms with ones based on those used in </w:t>
            </w:r>
            <w:r w:rsidR="009B4FE0" w:rsidRPr="00D40E82">
              <w:rPr>
                <w:rFonts w:cs="Arial"/>
                <w:snapToGrid w:val="0"/>
              </w:rPr>
              <w:t xml:space="preserve">the MSAC </w:t>
            </w:r>
            <w:r w:rsidRPr="00D40E82">
              <w:rPr>
                <w:rFonts w:cs="Arial"/>
                <w:snapToGrid w:val="0"/>
              </w:rPr>
              <w:t>1192.3 (</w:t>
            </w:r>
            <w:proofErr w:type="spellStart"/>
            <w:r w:rsidRPr="00D40E82">
              <w:rPr>
                <w:rFonts w:cs="Arial"/>
                <w:snapToGrid w:val="0"/>
              </w:rPr>
              <w:t>MitraClip</w:t>
            </w:r>
            <w:proofErr w:type="spellEnd"/>
            <w:r w:rsidR="009B4FE0" w:rsidRPr="00D40E82">
              <w:rPr>
                <w:rFonts w:cs="Arial"/>
                <w:snapToGrid w:val="0"/>
              </w:rPr>
              <w:t>)</w:t>
            </w:r>
            <w:r w:rsidRPr="00D40E82">
              <w:rPr>
                <w:rFonts w:cs="Arial"/>
                <w:snapToGrid w:val="0"/>
              </w:rPr>
              <w:t xml:space="preserve"> application, that </w:t>
            </w:r>
            <w:r w:rsidR="00265B98" w:rsidRPr="00D40E82">
              <w:rPr>
                <w:rFonts w:cs="Arial"/>
                <w:snapToGrid w:val="0"/>
              </w:rPr>
              <w:t>aligns</w:t>
            </w:r>
            <w:r w:rsidRPr="00D40E82">
              <w:rPr>
                <w:rFonts w:cs="Arial"/>
                <w:snapToGrid w:val="0"/>
              </w:rPr>
              <w:t xml:space="preserve"> with the proposed MBS item descriptor. </w:t>
            </w:r>
          </w:p>
        </w:tc>
      </w:tr>
      <w:tr w:rsidR="00F57885" w:rsidRPr="00CE28E3" w14:paraId="3B9AD9C3" w14:textId="77777777" w:rsidTr="00192D17">
        <w:trPr>
          <w:cantSplit/>
        </w:trPr>
        <w:tc>
          <w:tcPr>
            <w:tcW w:w="941" w:type="pct"/>
          </w:tcPr>
          <w:p w14:paraId="23382853" w14:textId="7235B9B9" w:rsidR="00F57885" w:rsidRPr="00CE28E3" w:rsidRDefault="00F65A68" w:rsidP="00824458">
            <w:pPr>
              <w:pStyle w:val="TableText"/>
            </w:pPr>
            <w:r w:rsidRPr="006B2B75">
              <w:t>Quality of the level of evidence presented</w:t>
            </w:r>
          </w:p>
        </w:tc>
        <w:tc>
          <w:tcPr>
            <w:tcW w:w="1572" w:type="pct"/>
          </w:tcPr>
          <w:p w14:paraId="47DAF831" w14:textId="23803C4D" w:rsidR="00F57885" w:rsidRDefault="00F65A68" w:rsidP="00824458">
            <w:pPr>
              <w:pStyle w:val="TableText"/>
              <w:rPr>
                <w:rFonts w:cs="Arial"/>
                <w:snapToGrid w:val="0"/>
              </w:rPr>
            </w:pPr>
            <w:r>
              <w:rPr>
                <w:rFonts w:cs="Arial"/>
                <w:snapToGrid w:val="0"/>
              </w:rPr>
              <w:t xml:space="preserve">MSAC considered the quality of evidence for </w:t>
            </w:r>
            <w:proofErr w:type="spellStart"/>
            <w:r>
              <w:rPr>
                <w:rFonts w:cs="Arial"/>
                <w:snapToGrid w:val="0"/>
              </w:rPr>
              <w:t>TMVr</w:t>
            </w:r>
            <w:proofErr w:type="spellEnd"/>
            <w:r>
              <w:rPr>
                <w:rFonts w:cs="Arial"/>
                <w:snapToGrid w:val="0"/>
              </w:rPr>
              <w:t xml:space="preserve"> using the PASCAL Transcatheter Valve Repair System was low and did not adequately support the claim of clinical non-inferiority</w:t>
            </w:r>
            <w:r w:rsidR="00AA338A">
              <w:rPr>
                <w:rFonts w:cs="Arial"/>
                <w:snapToGrid w:val="0"/>
              </w:rPr>
              <w:t xml:space="preserve"> (p1 of PSD)</w:t>
            </w:r>
            <w:r w:rsidR="00A30D10">
              <w:rPr>
                <w:rFonts w:cs="Arial"/>
                <w:snapToGrid w:val="0"/>
              </w:rPr>
              <w:t>.</w:t>
            </w:r>
          </w:p>
          <w:p w14:paraId="3C6FBFDC" w14:textId="08F3B506" w:rsidR="00A30D10" w:rsidRPr="00CE28E3" w:rsidRDefault="00A30D10" w:rsidP="00824458">
            <w:pPr>
              <w:pStyle w:val="TableText"/>
            </w:pPr>
            <w:r w:rsidRPr="001227AB">
              <w:rPr>
                <w:bCs/>
              </w:rPr>
              <w:t xml:space="preserve">MSAC noted that an RCT comparing PASCAL with </w:t>
            </w:r>
            <w:proofErr w:type="spellStart"/>
            <w:r w:rsidRPr="001227AB">
              <w:rPr>
                <w:bCs/>
              </w:rPr>
              <w:t>MitraClip</w:t>
            </w:r>
            <w:proofErr w:type="spellEnd"/>
            <w:r w:rsidRPr="001227AB">
              <w:rPr>
                <w:bCs/>
              </w:rPr>
              <w:t xml:space="preserve"> to treat DMR and FMR (CLASP </w:t>
            </w:r>
            <w:bookmarkStart w:id="11" w:name="_Hlk113110235"/>
            <w:r w:rsidRPr="001227AB">
              <w:rPr>
                <w:bCs/>
              </w:rPr>
              <w:t>IID/IIF</w:t>
            </w:r>
            <w:bookmarkEnd w:id="11"/>
            <w:r w:rsidRPr="001227AB">
              <w:rPr>
                <w:bCs/>
              </w:rPr>
              <w:t xml:space="preserve">) is </w:t>
            </w:r>
            <w:bookmarkStart w:id="12" w:name="_Hlk113110255"/>
            <w:r w:rsidRPr="001227AB">
              <w:rPr>
                <w:bCs/>
              </w:rPr>
              <w:t xml:space="preserve">actively recruiting, </w:t>
            </w:r>
            <w:bookmarkEnd w:id="12"/>
            <w:r w:rsidRPr="001227AB">
              <w:rPr>
                <w:bCs/>
              </w:rPr>
              <w:t>with an estimated primary completion date in 2023 and study completion date in 2028</w:t>
            </w:r>
            <w:r w:rsidR="00AA338A">
              <w:rPr>
                <w:bCs/>
              </w:rPr>
              <w:t xml:space="preserve"> </w:t>
            </w:r>
            <w:r w:rsidR="00AA338A">
              <w:rPr>
                <w:rFonts w:cs="Arial"/>
                <w:snapToGrid w:val="0"/>
              </w:rPr>
              <w:t>(p5 of PSD)</w:t>
            </w:r>
            <w:r w:rsidRPr="001227AB">
              <w:rPr>
                <w:bCs/>
              </w:rPr>
              <w:t>.</w:t>
            </w:r>
          </w:p>
        </w:tc>
        <w:tc>
          <w:tcPr>
            <w:tcW w:w="2487" w:type="pct"/>
          </w:tcPr>
          <w:p w14:paraId="3124FE04" w14:textId="09EEF6BE" w:rsidR="009125D0" w:rsidRPr="00D40E82" w:rsidRDefault="00A30D10" w:rsidP="00A30D10">
            <w:pPr>
              <w:pStyle w:val="TableText"/>
              <w:rPr>
                <w:bCs/>
                <w:snapToGrid w:val="0"/>
              </w:rPr>
            </w:pPr>
            <w:r w:rsidRPr="00D40E82">
              <w:rPr>
                <w:rFonts w:cs="Arial"/>
                <w:bCs/>
                <w:snapToGrid w:val="0"/>
              </w:rPr>
              <w:t>The Applicant suggested that, as in the previous ADAR, the best available evidence</w:t>
            </w:r>
            <w:r w:rsidR="009125D0" w:rsidRPr="00D40E82">
              <w:rPr>
                <w:rFonts w:cs="Arial"/>
                <w:bCs/>
                <w:snapToGrid w:val="0"/>
              </w:rPr>
              <w:t xml:space="preserve"> </w:t>
            </w:r>
            <w:r w:rsidRPr="00D40E82">
              <w:rPr>
                <w:rFonts w:cs="Arial"/>
                <w:bCs/>
                <w:snapToGrid w:val="0"/>
              </w:rPr>
              <w:t xml:space="preserve">for </w:t>
            </w:r>
            <w:r w:rsidR="00AA338A" w:rsidRPr="00D40E82">
              <w:rPr>
                <w:rFonts w:cs="Arial"/>
                <w:bCs/>
                <w:snapToGrid w:val="0"/>
              </w:rPr>
              <w:t>the current ADAR</w:t>
            </w:r>
            <w:r w:rsidRPr="00D40E82">
              <w:rPr>
                <w:rFonts w:cs="Arial"/>
                <w:bCs/>
                <w:snapToGrid w:val="0"/>
              </w:rPr>
              <w:t xml:space="preserve"> comes from the same</w:t>
            </w:r>
            <w:r w:rsidR="00AA338A" w:rsidRPr="00D40E82">
              <w:rPr>
                <w:rFonts w:cs="Arial"/>
                <w:bCs/>
                <w:snapToGrid w:val="0"/>
              </w:rPr>
              <w:t xml:space="preserve"> small</w:t>
            </w:r>
            <w:r w:rsidRPr="00D40E82">
              <w:rPr>
                <w:rFonts w:cs="Arial"/>
                <w:bCs/>
                <w:snapToGrid w:val="0"/>
              </w:rPr>
              <w:t xml:space="preserve"> feasibility study, CLASP (</w:t>
            </w:r>
            <w:proofErr w:type="spellStart"/>
            <w:r w:rsidRPr="00D40E82">
              <w:rPr>
                <w:rFonts w:cs="Arial"/>
                <w:bCs/>
                <w:snapToGrid w:val="0"/>
              </w:rPr>
              <w:t>Szerlip</w:t>
            </w:r>
            <w:proofErr w:type="spellEnd"/>
            <w:r w:rsidRPr="00D40E82">
              <w:rPr>
                <w:rFonts w:cs="Arial"/>
                <w:bCs/>
                <w:snapToGrid w:val="0"/>
              </w:rPr>
              <w:t xml:space="preserve"> 2021). </w:t>
            </w:r>
            <w:r w:rsidRPr="00D40E82">
              <w:rPr>
                <w:bCs/>
                <w:snapToGrid w:val="0"/>
              </w:rPr>
              <w:t xml:space="preserve">Additional supportive evidence </w:t>
            </w:r>
            <w:r w:rsidR="009B4FE0" w:rsidRPr="00D40E82">
              <w:rPr>
                <w:bCs/>
                <w:snapToGrid w:val="0"/>
              </w:rPr>
              <w:t>wa</w:t>
            </w:r>
            <w:r w:rsidRPr="00D40E82">
              <w:rPr>
                <w:bCs/>
                <w:snapToGrid w:val="0"/>
              </w:rPr>
              <w:t>s presented including a single-arm real-world study (Mauri 2020)</w:t>
            </w:r>
            <w:r w:rsidR="009B4FE0" w:rsidRPr="00D40E82">
              <w:rPr>
                <w:bCs/>
                <w:snapToGrid w:val="0"/>
              </w:rPr>
              <w:t>.</w:t>
            </w:r>
            <w:r w:rsidRPr="00D40E82">
              <w:rPr>
                <w:bCs/>
                <w:snapToGrid w:val="0"/>
              </w:rPr>
              <w:t xml:space="preserve"> </w:t>
            </w:r>
            <w:r w:rsidR="009125D0" w:rsidRPr="00D40E82">
              <w:rPr>
                <w:bCs/>
                <w:snapToGrid w:val="0"/>
              </w:rPr>
              <w:t xml:space="preserve">The evidence from single-arm studies was organised into “naïve comparisons” with results from the </w:t>
            </w:r>
            <w:proofErr w:type="spellStart"/>
            <w:r w:rsidR="009125D0" w:rsidRPr="00D40E82">
              <w:rPr>
                <w:bCs/>
                <w:snapToGrid w:val="0"/>
              </w:rPr>
              <w:t>MitraClip</w:t>
            </w:r>
            <w:proofErr w:type="spellEnd"/>
            <w:r w:rsidR="009125D0" w:rsidRPr="00D40E82">
              <w:rPr>
                <w:bCs/>
                <w:snapToGrid w:val="0"/>
              </w:rPr>
              <w:t xml:space="preserve"> single-arm datasets.</w:t>
            </w:r>
          </w:p>
          <w:p w14:paraId="26202E3E" w14:textId="7DE681D7" w:rsidR="00F57885" w:rsidRPr="00D40E82" w:rsidRDefault="009125D0" w:rsidP="00A30D10">
            <w:pPr>
              <w:pStyle w:val="TableText"/>
              <w:rPr>
                <w:bCs/>
                <w:snapToGrid w:val="0"/>
              </w:rPr>
            </w:pPr>
            <w:bookmarkStart w:id="13" w:name="_Hlk111483824"/>
            <w:r w:rsidRPr="00D40E82">
              <w:rPr>
                <w:snapToGrid w:val="0"/>
              </w:rPr>
              <w:t xml:space="preserve">The concern has not been addressed. In the absence of results </w:t>
            </w:r>
            <w:r w:rsidR="009B4FE0" w:rsidRPr="00D40E82">
              <w:rPr>
                <w:snapToGrid w:val="0"/>
              </w:rPr>
              <w:t>from</w:t>
            </w:r>
            <w:r w:rsidRPr="00D40E82">
              <w:rPr>
                <w:snapToGrid w:val="0"/>
              </w:rPr>
              <w:t xml:space="preserve"> the ongoing head-to-head RCT </w:t>
            </w:r>
            <w:r w:rsidRPr="00D40E82">
              <w:rPr>
                <w:bCs/>
              </w:rPr>
              <w:t xml:space="preserve">(CLASP IID/IIF), the </w:t>
            </w:r>
            <w:r w:rsidR="00D5436D" w:rsidRPr="00D40E82">
              <w:rPr>
                <w:bCs/>
              </w:rPr>
              <w:t>current ADAR</w:t>
            </w:r>
            <w:r w:rsidRPr="00D40E82">
              <w:rPr>
                <w:bCs/>
              </w:rPr>
              <w:t xml:space="preserve"> </w:t>
            </w:r>
            <w:r w:rsidR="009B4FE0" w:rsidRPr="00D40E82">
              <w:rPr>
                <w:bCs/>
              </w:rPr>
              <w:t>continues to rely</w:t>
            </w:r>
            <w:r w:rsidRPr="00D40E82">
              <w:rPr>
                <w:bCs/>
              </w:rPr>
              <w:t xml:space="preserve"> on the same small-size, </w:t>
            </w:r>
            <w:r w:rsidR="009B4FE0" w:rsidRPr="00D40E82">
              <w:rPr>
                <w:bCs/>
              </w:rPr>
              <w:t>single</w:t>
            </w:r>
            <w:r w:rsidRPr="00D40E82">
              <w:rPr>
                <w:bCs/>
              </w:rPr>
              <w:t>-arm observational study (</w:t>
            </w:r>
            <w:proofErr w:type="spellStart"/>
            <w:r w:rsidRPr="00D40E82">
              <w:rPr>
                <w:bCs/>
              </w:rPr>
              <w:t>Szerlip</w:t>
            </w:r>
            <w:proofErr w:type="spellEnd"/>
            <w:r w:rsidRPr="00D40E82">
              <w:rPr>
                <w:bCs/>
              </w:rPr>
              <w:t xml:space="preserve">, 2021) that was considered </w:t>
            </w:r>
            <w:r w:rsidR="009B4FE0" w:rsidRPr="00D40E82">
              <w:rPr>
                <w:bCs/>
              </w:rPr>
              <w:t xml:space="preserve">to be </w:t>
            </w:r>
            <w:r w:rsidRPr="00D40E82">
              <w:rPr>
                <w:bCs/>
              </w:rPr>
              <w:t xml:space="preserve">of low quality and did not adequately support the claim of clinical non inferiority. </w:t>
            </w:r>
            <w:bookmarkEnd w:id="13"/>
          </w:p>
        </w:tc>
      </w:tr>
      <w:tr w:rsidR="008711A8" w:rsidRPr="00CE28E3" w14:paraId="49569893" w14:textId="77777777" w:rsidTr="009B4FE0">
        <w:trPr>
          <w:cantSplit/>
        </w:trPr>
        <w:tc>
          <w:tcPr>
            <w:tcW w:w="941" w:type="pct"/>
          </w:tcPr>
          <w:p w14:paraId="2916982C" w14:textId="43BF97D3" w:rsidR="008711A8" w:rsidRPr="008711A8" w:rsidRDefault="008711A8" w:rsidP="009B4FE0">
            <w:pPr>
              <w:pStyle w:val="TableText"/>
            </w:pPr>
            <w:r w:rsidRPr="008711A8">
              <w:t>Uncertain clinical claim</w:t>
            </w:r>
          </w:p>
        </w:tc>
        <w:tc>
          <w:tcPr>
            <w:tcW w:w="1572" w:type="pct"/>
          </w:tcPr>
          <w:p w14:paraId="28305930" w14:textId="0A817689" w:rsidR="008711A8" w:rsidRPr="008711A8" w:rsidRDefault="008711A8" w:rsidP="00AA338A">
            <w:pPr>
              <w:pStyle w:val="TableText"/>
            </w:pPr>
            <w:r w:rsidRPr="008711A8">
              <w:t xml:space="preserve">The clinical claim could not be fully verified. Evidence to support non-inferiority with the </w:t>
            </w:r>
            <w:proofErr w:type="spellStart"/>
            <w:r w:rsidRPr="008711A8">
              <w:t>MitraClip</w:t>
            </w:r>
            <w:proofErr w:type="spellEnd"/>
            <w:r w:rsidRPr="008711A8">
              <w:t xml:space="preserve"> system relies on an unanchored MAIC</w:t>
            </w:r>
            <w:r w:rsidR="00AA338A">
              <w:t xml:space="preserve"> </w:t>
            </w:r>
            <w:r w:rsidR="00AA338A">
              <w:rPr>
                <w:i/>
                <w:iCs/>
              </w:rPr>
              <w:t>[</w:t>
            </w:r>
            <w:r w:rsidR="00AA338A" w:rsidRPr="00AA338A">
              <w:rPr>
                <w:i/>
                <w:iCs/>
              </w:rPr>
              <w:t>matched adjusted indirect comparison</w:t>
            </w:r>
            <w:r w:rsidR="00AA338A">
              <w:rPr>
                <w:i/>
                <w:iCs/>
              </w:rPr>
              <w:t>]</w:t>
            </w:r>
            <w:r w:rsidRPr="008711A8">
              <w:t>. The MAIC approach is appropriate given the lack of direct evidence, however a key limitation is the assumption that all covariates and prognostic values are accounted for. The unanchored MAIC therefore carries an unknown risk of bias.</w:t>
            </w:r>
          </w:p>
          <w:p w14:paraId="62D88991" w14:textId="49C9036C" w:rsidR="008711A8" w:rsidRPr="008711A8" w:rsidRDefault="009B4FE0" w:rsidP="009B4FE0">
            <w:pPr>
              <w:pStyle w:val="TableText"/>
              <w:rPr>
                <w:rFonts w:cs="Arial"/>
                <w:snapToGrid w:val="0"/>
              </w:rPr>
            </w:pPr>
            <w:r>
              <w:t xml:space="preserve">In its consideration of the previous ADAR, </w:t>
            </w:r>
            <w:r w:rsidR="008711A8" w:rsidRPr="008711A8">
              <w:t>ESC also considered that the lack of transparency regarding the presented MAIC analysis was a source of additional uncertainty.</w:t>
            </w:r>
          </w:p>
        </w:tc>
        <w:tc>
          <w:tcPr>
            <w:tcW w:w="2487" w:type="pct"/>
            <w:vAlign w:val="center"/>
          </w:tcPr>
          <w:p w14:paraId="57E01A9C" w14:textId="69AE9906" w:rsidR="008711A8" w:rsidRPr="00D40E82" w:rsidRDefault="00E353FE" w:rsidP="00AA338A">
            <w:pPr>
              <w:pStyle w:val="TableText"/>
              <w:rPr>
                <w:snapToGrid w:val="0"/>
              </w:rPr>
            </w:pPr>
            <w:r w:rsidRPr="00D40E82">
              <w:rPr>
                <w:snapToGrid w:val="0"/>
              </w:rPr>
              <w:t>The Applicant presented a</w:t>
            </w:r>
            <w:r w:rsidR="008711A8" w:rsidRPr="00D40E82">
              <w:rPr>
                <w:snapToGrid w:val="0"/>
              </w:rPr>
              <w:t xml:space="preserve"> naïve comparison and MAIC, including a discussion of potential prognostic characteristics or treatment effect modifiers. Sensitivity analyses </w:t>
            </w:r>
            <w:r w:rsidR="00AA338A" w:rsidRPr="00D40E82">
              <w:rPr>
                <w:snapToGrid w:val="0"/>
              </w:rPr>
              <w:t>we</w:t>
            </w:r>
            <w:r w:rsidR="008711A8" w:rsidRPr="00D40E82">
              <w:rPr>
                <w:snapToGrid w:val="0"/>
              </w:rPr>
              <w:t xml:space="preserve">re </w:t>
            </w:r>
            <w:r w:rsidR="00D5436D" w:rsidRPr="00D40E82">
              <w:rPr>
                <w:snapToGrid w:val="0"/>
              </w:rPr>
              <w:t xml:space="preserve">also </w:t>
            </w:r>
            <w:r w:rsidR="008711A8" w:rsidRPr="00D40E82">
              <w:rPr>
                <w:snapToGrid w:val="0"/>
              </w:rPr>
              <w:t>presented.</w:t>
            </w:r>
          </w:p>
          <w:p w14:paraId="4B69A58B" w14:textId="61ECC48D" w:rsidR="008711A8" w:rsidRPr="00D40E82" w:rsidRDefault="008711A8" w:rsidP="008711A8">
            <w:pPr>
              <w:pStyle w:val="Bullet"/>
              <w:numPr>
                <w:ilvl w:val="0"/>
                <w:numId w:val="0"/>
              </w:numPr>
              <w:rPr>
                <w:rFonts w:ascii="Arial Narrow" w:hAnsi="Arial Narrow"/>
                <w:snapToGrid w:val="0"/>
              </w:rPr>
            </w:pPr>
            <w:r w:rsidRPr="00D40E82">
              <w:rPr>
                <w:rFonts w:ascii="Arial Narrow" w:hAnsi="Arial Narrow"/>
                <w:snapToGrid w:val="0"/>
              </w:rPr>
              <w:t xml:space="preserve">Additional supportive evidence is presented, including real-world evidence </w:t>
            </w:r>
            <w:r w:rsidR="00BA4B00" w:rsidRPr="00D40E82">
              <w:rPr>
                <w:rFonts w:ascii="Arial Narrow" w:hAnsi="Arial Narrow"/>
                <w:snapToGrid w:val="0"/>
              </w:rPr>
              <w:t>(Mauri 2020)</w:t>
            </w:r>
            <w:r w:rsidRPr="00D40E82">
              <w:rPr>
                <w:rFonts w:ascii="Arial Narrow" w:hAnsi="Arial Narrow"/>
                <w:snapToGrid w:val="0"/>
              </w:rPr>
              <w:t>.</w:t>
            </w:r>
          </w:p>
          <w:p w14:paraId="2F009B4A" w14:textId="2BE41458" w:rsidR="008711A8" w:rsidRPr="00D40E82" w:rsidRDefault="008711A8" w:rsidP="008711A8">
            <w:pPr>
              <w:pStyle w:val="Bullet"/>
              <w:numPr>
                <w:ilvl w:val="0"/>
                <w:numId w:val="0"/>
              </w:numPr>
              <w:rPr>
                <w:rFonts w:ascii="Arial Narrow" w:hAnsi="Arial Narrow"/>
                <w:snapToGrid w:val="0"/>
              </w:rPr>
            </w:pPr>
            <w:r w:rsidRPr="00D40E82">
              <w:rPr>
                <w:rFonts w:ascii="Arial Narrow" w:hAnsi="Arial Narrow"/>
                <w:snapToGrid w:val="0"/>
              </w:rPr>
              <w:t xml:space="preserve">On balance, </w:t>
            </w:r>
            <w:r w:rsidR="001D23E1" w:rsidRPr="00D40E82">
              <w:rPr>
                <w:rFonts w:ascii="Arial Narrow" w:hAnsi="Arial Narrow"/>
                <w:snapToGrid w:val="0"/>
              </w:rPr>
              <w:t xml:space="preserve">the ADAR </w:t>
            </w:r>
            <w:r w:rsidRPr="00D40E82">
              <w:rPr>
                <w:rFonts w:ascii="Arial Narrow" w:hAnsi="Arial Narrow"/>
                <w:snapToGrid w:val="0"/>
              </w:rPr>
              <w:t xml:space="preserve">proposes that PASCAL is non-inferior to </w:t>
            </w:r>
            <w:proofErr w:type="spellStart"/>
            <w:r w:rsidRPr="00D40E82">
              <w:rPr>
                <w:rFonts w:ascii="Arial Narrow" w:hAnsi="Arial Narrow"/>
                <w:snapToGrid w:val="0"/>
              </w:rPr>
              <w:t>MitraClip</w:t>
            </w:r>
            <w:proofErr w:type="spellEnd"/>
            <w:r w:rsidRPr="00D40E82">
              <w:rPr>
                <w:rFonts w:ascii="Arial Narrow" w:hAnsi="Arial Narrow"/>
                <w:snapToGrid w:val="0"/>
              </w:rPr>
              <w:t>.</w:t>
            </w:r>
          </w:p>
          <w:p w14:paraId="45523EE6" w14:textId="0146C3C6" w:rsidR="008711A8" w:rsidRPr="00D40E82" w:rsidRDefault="008711A8" w:rsidP="008711A8">
            <w:pPr>
              <w:pStyle w:val="Bullet"/>
              <w:numPr>
                <w:ilvl w:val="0"/>
                <w:numId w:val="0"/>
              </w:numPr>
              <w:rPr>
                <w:rFonts w:ascii="Arial Narrow" w:hAnsi="Arial Narrow"/>
                <w:bCs/>
              </w:rPr>
            </w:pPr>
            <w:r w:rsidRPr="00D40E82">
              <w:rPr>
                <w:rFonts w:ascii="Arial Narrow" w:hAnsi="Arial Narrow"/>
                <w:snapToGrid w:val="0"/>
              </w:rPr>
              <w:t xml:space="preserve">Apart from the newly identified non-randomised comparative studies that were not included in </w:t>
            </w:r>
            <w:bookmarkStart w:id="14" w:name="_Hlk113110908"/>
            <w:r w:rsidRPr="00D40E82">
              <w:rPr>
                <w:rFonts w:ascii="Arial Narrow" w:hAnsi="Arial Narrow"/>
                <w:snapToGrid w:val="0"/>
              </w:rPr>
              <w:t xml:space="preserve">the main body of evidence, </w:t>
            </w:r>
            <w:bookmarkEnd w:id="14"/>
            <w:r w:rsidRPr="00D40E82">
              <w:rPr>
                <w:rFonts w:ascii="Arial Narrow" w:hAnsi="Arial Narrow"/>
                <w:snapToGrid w:val="0"/>
              </w:rPr>
              <w:t>the level of evidence was not and could not be improved by inclusion of n</w:t>
            </w:r>
            <w:r w:rsidRPr="00D40E82">
              <w:rPr>
                <w:rFonts w:ascii="Arial Narrow" w:hAnsi="Arial Narrow"/>
                <w:bCs/>
              </w:rPr>
              <w:t xml:space="preserve">oncomparative results from studies of different designs, conducted in </w:t>
            </w:r>
            <w:r w:rsidR="001A63EF" w:rsidRPr="00D40E82">
              <w:rPr>
                <w:rFonts w:ascii="Arial Narrow" w:hAnsi="Arial Narrow"/>
                <w:bCs/>
              </w:rPr>
              <w:t>different</w:t>
            </w:r>
            <w:r w:rsidRPr="00D40E82">
              <w:rPr>
                <w:rFonts w:ascii="Arial Narrow" w:hAnsi="Arial Narrow"/>
                <w:bCs/>
              </w:rPr>
              <w:t xml:space="preserve"> settings and in heterogenous populations.</w:t>
            </w:r>
          </w:p>
          <w:p w14:paraId="28225D00" w14:textId="5BD5ADDA" w:rsidR="008711A8" w:rsidRPr="0080317E" w:rsidDel="00A30D10" w:rsidRDefault="008711A8" w:rsidP="008711A8">
            <w:pPr>
              <w:pStyle w:val="TableText"/>
              <w:rPr>
                <w:rFonts w:cs="Arial"/>
                <w:bCs/>
                <w:i/>
                <w:iCs/>
                <w:snapToGrid w:val="0"/>
                <w:highlight w:val="yellow"/>
              </w:rPr>
            </w:pPr>
            <w:r w:rsidRPr="00D40E82">
              <w:rPr>
                <w:snapToGrid w:val="0"/>
              </w:rPr>
              <w:t xml:space="preserve">The unanchored MAIC analysis was </w:t>
            </w:r>
            <w:r w:rsidR="001A63EF" w:rsidRPr="00D40E82">
              <w:rPr>
                <w:snapToGrid w:val="0"/>
              </w:rPr>
              <w:t xml:space="preserve">essentially </w:t>
            </w:r>
            <w:r w:rsidRPr="00D40E82">
              <w:rPr>
                <w:snapToGrid w:val="0"/>
              </w:rPr>
              <w:t>unchanged since the presentation of additional calculations in the pre-ESC response</w:t>
            </w:r>
            <w:r w:rsidR="00AA338A" w:rsidRPr="00D40E82">
              <w:rPr>
                <w:snapToGrid w:val="0"/>
              </w:rPr>
              <w:t xml:space="preserve"> for the previous ADAR</w:t>
            </w:r>
            <w:r w:rsidRPr="00D40E82">
              <w:rPr>
                <w:snapToGrid w:val="0"/>
              </w:rPr>
              <w:t xml:space="preserve">, and therefore remains open to the previous concerns. However, some discussion of the </w:t>
            </w:r>
            <w:r w:rsidRPr="00D40E82">
              <w:t>key limitations relating to the potential bias due to remaining imbalance in covariates and prognostic va</w:t>
            </w:r>
            <w:r w:rsidR="00E353FE" w:rsidRPr="00D40E82">
              <w:t xml:space="preserve">riables </w:t>
            </w:r>
            <w:r w:rsidRPr="00D40E82">
              <w:t>was provided but failed to eliminate the concerns</w:t>
            </w:r>
            <w:r w:rsidRPr="00D40E82">
              <w:rPr>
                <w:i/>
                <w:iCs/>
              </w:rPr>
              <w:t>.</w:t>
            </w:r>
          </w:p>
        </w:tc>
      </w:tr>
    </w:tbl>
    <w:p w14:paraId="7CF8AD82" w14:textId="77777777" w:rsidR="00D5436D" w:rsidRDefault="00F57885" w:rsidP="00D5436D">
      <w:pPr>
        <w:pStyle w:val="TableFigureFooter"/>
        <w:spacing w:before="0" w:after="0"/>
      </w:pPr>
      <w:bookmarkStart w:id="15" w:name="_Hlk68275617"/>
      <w:bookmarkEnd w:id="10"/>
      <w:r w:rsidRPr="00CE28E3">
        <w:t>MSAC = Medical Services Advisory Committee; PSD = Public Summary Document</w:t>
      </w:r>
      <w:r w:rsidR="00250D2A">
        <w:t xml:space="preserve">; </w:t>
      </w:r>
      <w:proofErr w:type="spellStart"/>
      <w:r w:rsidR="00250D2A">
        <w:t>TMVr</w:t>
      </w:r>
      <w:proofErr w:type="spellEnd"/>
      <w:r w:rsidR="00250D2A">
        <w:t xml:space="preserve"> = </w:t>
      </w:r>
      <w:r w:rsidR="00250D2A" w:rsidRPr="00250D2A">
        <w:t xml:space="preserve">transcatheter Mitral </w:t>
      </w:r>
      <w:r w:rsidR="00250D2A">
        <w:t xml:space="preserve">Valve </w:t>
      </w:r>
      <w:r w:rsidR="00250D2A" w:rsidRPr="00250D2A">
        <w:t xml:space="preserve">Repair </w:t>
      </w:r>
    </w:p>
    <w:p w14:paraId="6F52500A" w14:textId="113ECB7F" w:rsidR="00772829" w:rsidRPr="00CE28E3" w:rsidRDefault="00F35C7B" w:rsidP="002A18BE">
      <w:pPr>
        <w:pStyle w:val="Heading2"/>
        <w:numPr>
          <w:ilvl w:val="0"/>
          <w:numId w:val="0"/>
        </w:numPr>
      </w:pPr>
      <w:bookmarkStart w:id="16" w:name="_Toc69491417"/>
      <w:bookmarkEnd w:id="8"/>
      <w:bookmarkEnd w:id="15"/>
      <w:r>
        <w:lastRenderedPageBreak/>
        <w:t>5</w:t>
      </w:r>
      <w:r w:rsidR="00C36633">
        <w:t>.</w:t>
      </w:r>
      <w:r w:rsidR="00C36633">
        <w:tab/>
      </w:r>
      <w:r w:rsidR="00772829" w:rsidRPr="00CE28E3">
        <w:t>Prerequisites to implementation of any funding advice</w:t>
      </w:r>
      <w:bookmarkEnd w:id="16"/>
    </w:p>
    <w:p w14:paraId="7C0C5A4F" w14:textId="13288067" w:rsidR="00F65A68" w:rsidRDefault="00247248" w:rsidP="00E76AE0">
      <w:pPr>
        <w:pStyle w:val="Instructionaltext"/>
        <w:rPr>
          <w:iCs/>
          <w:color w:val="auto"/>
        </w:rPr>
      </w:pPr>
      <w:r>
        <w:rPr>
          <w:iCs/>
          <w:color w:val="auto"/>
        </w:rPr>
        <w:t xml:space="preserve">Items on the Australian Register of Therapeutic Goods (ARTG) that are relevant to this Application are </w:t>
      </w:r>
      <w:r w:rsidR="008B4C6D">
        <w:rPr>
          <w:iCs/>
          <w:color w:val="auto"/>
        </w:rPr>
        <w:t xml:space="preserve">the PASCAL Transcatheter Valve repair System (ARTG no. </w:t>
      </w:r>
      <w:r w:rsidR="00D5436D" w:rsidRPr="00F11F09">
        <w:rPr>
          <w:iCs/>
          <w:color w:val="auto"/>
        </w:rPr>
        <w:t>342270</w:t>
      </w:r>
      <w:r w:rsidR="00D5436D">
        <w:rPr>
          <w:iCs/>
          <w:color w:val="auto"/>
        </w:rPr>
        <w:t xml:space="preserve">, </w:t>
      </w:r>
      <w:r w:rsidR="00D5436D" w:rsidRPr="00F11F09">
        <w:rPr>
          <w:iCs/>
          <w:color w:val="auto"/>
        </w:rPr>
        <w:t>342271</w:t>
      </w:r>
      <w:r w:rsidR="00D5436D">
        <w:rPr>
          <w:iCs/>
          <w:color w:val="auto"/>
        </w:rPr>
        <w:t xml:space="preserve">, </w:t>
      </w:r>
      <w:r w:rsidR="00D5436D" w:rsidRPr="00F11F09">
        <w:rPr>
          <w:iCs/>
          <w:color w:val="auto"/>
        </w:rPr>
        <w:t>329680</w:t>
      </w:r>
      <w:r w:rsidR="00D5436D">
        <w:rPr>
          <w:iCs/>
          <w:color w:val="auto"/>
        </w:rPr>
        <w:t xml:space="preserve">, </w:t>
      </w:r>
      <w:r w:rsidR="00D5436D" w:rsidRPr="00F11F09">
        <w:rPr>
          <w:iCs/>
          <w:color w:val="auto"/>
        </w:rPr>
        <w:t>329150</w:t>
      </w:r>
      <w:r w:rsidR="008B4C6D">
        <w:rPr>
          <w:iCs/>
          <w:color w:val="auto"/>
        </w:rPr>
        <w:t xml:space="preserve">) and the PASCAL ACE implant </w:t>
      </w:r>
      <w:r w:rsidR="00D551C2">
        <w:rPr>
          <w:iCs/>
          <w:color w:val="auto"/>
        </w:rPr>
        <w:t xml:space="preserve">System (ARTG </w:t>
      </w:r>
      <w:r w:rsidR="00BF6288">
        <w:rPr>
          <w:iCs/>
          <w:color w:val="auto"/>
        </w:rPr>
        <w:t xml:space="preserve">no. </w:t>
      </w:r>
      <w:r w:rsidR="00BF6288" w:rsidRPr="00BF6288">
        <w:rPr>
          <w:iCs/>
          <w:color w:val="auto"/>
        </w:rPr>
        <w:t>371670</w:t>
      </w:r>
      <w:r w:rsidR="00D551C2">
        <w:rPr>
          <w:iCs/>
          <w:color w:val="auto"/>
        </w:rPr>
        <w:t>)</w:t>
      </w:r>
      <w:r>
        <w:rPr>
          <w:iCs/>
          <w:color w:val="auto"/>
        </w:rPr>
        <w:t xml:space="preserve">. </w:t>
      </w:r>
    </w:p>
    <w:p w14:paraId="4753A1C0" w14:textId="24087762" w:rsidR="00592818" w:rsidRPr="00592818" w:rsidRDefault="00983271" w:rsidP="00E76AE0">
      <w:pPr>
        <w:pStyle w:val="Instructionaltext"/>
        <w:rPr>
          <w:iCs/>
          <w:color w:val="auto"/>
        </w:rPr>
      </w:pPr>
      <w:r w:rsidRPr="00D40E82">
        <w:rPr>
          <w:iCs/>
          <w:color w:val="auto"/>
        </w:rPr>
        <w:t xml:space="preserve">In addition to their professional practice as an interventional cardiologist and imaging cardiologist, clinicians </w:t>
      </w:r>
      <w:r w:rsidR="00CF74C2" w:rsidRPr="00D40E82">
        <w:rPr>
          <w:iCs/>
          <w:color w:val="auto"/>
        </w:rPr>
        <w:t>require accreditation by Edwards</w:t>
      </w:r>
      <w:r w:rsidR="00D551C2" w:rsidRPr="00D40E82">
        <w:rPr>
          <w:iCs/>
          <w:color w:val="auto"/>
        </w:rPr>
        <w:t xml:space="preserve"> Lifesciences</w:t>
      </w:r>
      <w:r w:rsidR="00CF74C2" w:rsidRPr="00D40E82">
        <w:rPr>
          <w:iCs/>
          <w:color w:val="auto"/>
        </w:rPr>
        <w:t xml:space="preserve"> to use the PASCAL system. This accreditation includes </w:t>
      </w:r>
      <w:r w:rsidR="00592818" w:rsidRPr="00592818">
        <w:rPr>
          <w:iCs/>
          <w:color w:val="000000"/>
          <w:w w:val="68"/>
          <w:shd w:val="solid" w:color="000000" w:fill="000000"/>
          <w:fitText w:val="451" w:id="-1256558324"/>
          <w14:textFill>
            <w14:solidFill>
              <w14:srgbClr w14:val="000000">
                <w14:alpha w14:val="100000"/>
              </w14:srgbClr>
            </w14:solidFill>
          </w14:textFill>
        </w:rPr>
        <w:t>|||||</w:t>
      </w:r>
      <w:r w:rsidR="00592818" w:rsidRPr="00592818">
        <w:rPr>
          <w:iCs/>
          <w:color w:val="000000"/>
          <w:spacing w:val="3"/>
          <w:w w:val="68"/>
          <w:shd w:val="solid" w:color="000000" w:fill="000000"/>
          <w:fitText w:val="451" w:id="-1256558324"/>
          <w14:textFill>
            <w14:solidFill>
              <w14:srgbClr w14:val="000000">
                <w14:alpha w14:val="100000"/>
              </w14:srgbClr>
            </w14:solidFill>
          </w14:textFill>
        </w:rPr>
        <w:t>|</w:t>
      </w:r>
      <w:r w:rsidR="00592818" w:rsidRPr="00592818">
        <w:rPr>
          <w:iCs/>
          <w:color w:val="auto"/>
        </w:rPr>
        <w:t xml:space="preserve"> </w:t>
      </w:r>
      <w:r w:rsidR="00592818" w:rsidRPr="00592818">
        <w:rPr>
          <w:iCs/>
          <w:color w:val="000000"/>
          <w:w w:val="66"/>
          <w:shd w:val="solid" w:color="000000" w:fill="000000"/>
          <w:fitText w:val="438" w:id="-1256558323"/>
          <w14:textFill>
            <w14:solidFill>
              <w14:srgbClr w14:val="000000">
                <w14:alpha w14:val="100000"/>
              </w14:srgbClr>
            </w14:solidFill>
          </w14:textFill>
        </w:rPr>
        <w:t>|||||</w:t>
      </w:r>
      <w:r w:rsidR="00592818" w:rsidRPr="00592818">
        <w:rPr>
          <w:iCs/>
          <w:color w:val="000000"/>
          <w:spacing w:val="2"/>
          <w:w w:val="66"/>
          <w:shd w:val="solid" w:color="000000" w:fill="000000"/>
          <w:fitText w:val="438" w:id="-1256558323"/>
          <w14:textFill>
            <w14:solidFill>
              <w14:srgbClr w14:val="000000">
                <w14:alpha w14:val="100000"/>
              </w14:srgbClr>
            </w14:solidFill>
          </w14:textFill>
        </w:rPr>
        <w:t>|</w:t>
      </w:r>
      <w:r w:rsidR="00592818" w:rsidRPr="00592818">
        <w:rPr>
          <w:iCs/>
          <w:color w:val="auto"/>
        </w:rPr>
        <w:t xml:space="preserve"> </w:t>
      </w:r>
      <w:r w:rsidR="00592818" w:rsidRPr="00592818">
        <w:rPr>
          <w:iCs/>
          <w:color w:val="000000"/>
          <w:w w:val="66"/>
          <w:shd w:val="solid" w:color="000000" w:fill="000000"/>
          <w:fitText w:val="438" w:id="-1256558322"/>
          <w14:textFill>
            <w14:solidFill>
              <w14:srgbClr w14:val="000000">
                <w14:alpha w14:val="100000"/>
              </w14:srgbClr>
            </w14:solidFill>
          </w14:textFill>
        </w:rPr>
        <w:t>|||||</w:t>
      </w:r>
      <w:r w:rsidR="00592818" w:rsidRPr="00592818">
        <w:rPr>
          <w:iCs/>
          <w:color w:val="000000"/>
          <w:spacing w:val="2"/>
          <w:w w:val="66"/>
          <w:shd w:val="solid" w:color="000000" w:fill="000000"/>
          <w:fitText w:val="438" w:id="-1256558322"/>
          <w14:textFill>
            <w14:solidFill>
              <w14:srgbClr w14:val="000000">
                <w14:alpha w14:val="100000"/>
              </w14:srgbClr>
            </w14:solidFill>
          </w14:textFill>
        </w:rPr>
        <w:t>|</w:t>
      </w:r>
      <w:r w:rsidR="00592818" w:rsidRPr="00592818">
        <w:rPr>
          <w:iCs/>
          <w:color w:val="auto"/>
        </w:rPr>
        <w:t xml:space="preserve"> </w:t>
      </w:r>
      <w:r w:rsidR="00592818" w:rsidRPr="00592818">
        <w:rPr>
          <w:iCs/>
          <w:color w:val="000000"/>
          <w:w w:val="68"/>
          <w:shd w:val="solid" w:color="000000" w:fill="000000"/>
          <w:fitText w:val="451" w:id="-1256558321"/>
          <w14:textFill>
            <w14:solidFill>
              <w14:srgbClr w14:val="000000">
                <w14:alpha w14:val="100000"/>
              </w14:srgbClr>
            </w14:solidFill>
          </w14:textFill>
        </w:rPr>
        <w:t>|||||</w:t>
      </w:r>
      <w:r w:rsidR="00592818" w:rsidRPr="00592818">
        <w:rPr>
          <w:iCs/>
          <w:color w:val="000000"/>
          <w:spacing w:val="3"/>
          <w:w w:val="68"/>
          <w:shd w:val="solid" w:color="000000" w:fill="000000"/>
          <w:fitText w:val="451" w:id="-1256558321"/>
          <w14:textFill>
            <w14:solidFill>
              <w14:srgbClr w14:val="000000">
                <w14:alpha w14:val="100000"/>
              </w14:srgbClr>
            </w14:solidFill>
          </w14:textFill>
        </w:rPr>
        <w:t>|</w:t>
      </w:r>
      <w:r w:rsidR="00592818" w:rsidRPr="00592818">
        <w:rPr>
          <w:iCs/>
          <w:color w:val="auto"/>
        </w:rPr>
        <w:t xml:space="preserve"> </w:t>
      </w:r>
      <w:r w:rsidR="00592818" w:rsidRPr="00592818">
        <w:rPr>
          <w:iCs/>
          <w:color w:val="000000"/>
          <w:w w:val="66"/>
          <w:shd w:val="solid" w:color="000000" w:fill="000000"/>
          <w:fitText w:val="438" w:id="-1256558320"/>
          <w14:textFill>
            <w14:solidFill>
              <w14:srgbClr w14:val="000000">
                <w14:alpha w14:val="100000"/>
              </w14:srgbClr>
            </w14:solidFill>
          </w14:textFill>
        </w:rPr>
        <w:t>|||||</w:t>
      </w:r>
      <w:r w:rsidR="00592818" w:rsidRPr="00592818">
        <w:rPr>
          <w:iCs/>
          <w:color w:val="000000"/>
          <w:spacing w:val="2"/>
          <w:w w:val="66"/>
          <w:shd w:val="solid" w:color="000000" w:fill="000000"/>
          <w:fitText w:val="438" w:id="-1256558320"/>
          <w14:textFill>
            <w14:solidFill>
              <w14:srgbClr w14:val="000000">
                <w14:alpha w14:val="100000"/>
              </w14:srgbClr>
            </w14:solidFill>
          </w14:textFill>
        </w:rPr>
        <w:t>|</w:t>
      </w:r>
      <w:r w:rsidR="00592818" w:rsidRPr="00592818">
        <w:rPr>
          <w:iCs/>
          <w:color w:val="auto"/>
        </w:rPr>
        <w:t xml:space="preserve"> </w:t>
      </w:r>
      <w:r w:rsidR="00592818" w:rsidRPr="00592818">
        <w:rPr>
          <w:iCs/>
          <w:color w:val="000000"/>
          <w:w w:val="66"/>
          <w:shd w:val="solid" w:color="000000" w:fill="000000"/>
          <w:fitText w:val="438" w:id="-1256558336"/>
          <w14:textFill>
            <w14:solidFill>
              <w14:srgbClr w14:val="000000">
                <w14:alpha w14:val="100000"/>
              </w14:srgbClr>
            </w14:solidFill>
          </w14:textFill>
        </w:rPr>
        <w:t>|||||</w:t>
      </w:r>
      <w:r w:rsidR="00592818" w:rsidRPr="00592818">
        <w:rPr>
          <w:iCs/>
          <w:color w:val="000000"/>
          <w:spacing w:val="2"/>
          <w:w w:val="66"/>
          <w:shd w:val="solid" w:color="000000" w:fill="000000"/>
          <w:fitText w:val="438" w:id="-1256558336"/>
          <w14:textFill>
            <w14:solidFill>
              <w14:srgbClr w14:val="000000">
                <w14:alpha w14:val="100000"/>
              </w14:srgbClr>
            </w14:solidFill>
          </w14:textFill>
        </w:rPr>
        <w:t>|</w:t>
      </w:r>
      <w:r w:rsidR="00592818" w:rsidRPr="00592818">
        <w:rPr>
          <w:iCs/>
          <w:color w:val="auto"/>
        </w:rPr>
        <w:t xml:space="preserve"> </w:t>
      </w:r>
      <w:r w:rsidR="00592818" w:rsidRPr="00592818">
        <w:rPr>
          <w:iCs/>
          <w:color w:val="000000"/>
          <w:w w:val="68"/>
          <w:shd w:val="solid" w:color="000000" w:fill="000000"/>
          <w:fitText w:val="450" w:id="-1256558335"/>
          <w14:textFill>
            <w14:solidFill>
              <w14:srgbClr w14:val="000000">
                <w14:alpha w14:val="100000"/>
              </w14:srgbClr>
            </w14:solidFill>
          </w14:textFill>
        </w:rPr>
        <w:t>|||||</w:t>
      </w:r>
      <w:r w:rsidR="00592818" w:rsidRPr="00592818">
        <w:rPr>
          <w:iCs/>
          <w:color w:val="000000"/>
          <w:spacing w:val="2"/>
          <w:w w:val="68"/>
          <w:shd w:val="solid" w:color="000000" w:fill="000000"/>
          <w:fitText w:val="450" w:id="-1256558335"/>
          <w14:textFill>
            <w14:solidFill>
              <w14:srgbClr w14:val="000000">
                <w14:alpha w14:val="100000"/>
              </w14:srgbClr>
            </w14:solidFill>
          </w14:textFill>
        </w:rPr>
        <w:t>|</w:t>
      </w:r>
      <w:r w:rsidR="00592818" w:rsidRPr="00592818">
        <w:rPr>
          <w:iCs/>
          <w:color w:val="auto"/>
        </w:rPr>
        <w:t xml:space="preserve"> </w:t>
      </w:r>
      <w:r w:rsidR="00592818" w:rsidRPr="00592818">
        <w:rPr>
          <w:iCs/>
          <w:color w:val="000000"/>
          <w:w w:val="66"/>
          <w:shd w:val="solid" w:color="000000" w:fill="000000"/>
          <w:fitText w:val="438" w:id="-1256558334"/>
          <w14:textFill>
            <w14:solidFill>
              <w14:srgbClr w14:val="000000">
                <w14:alpha w14:val="100000"/>
              </w14:srgbClr>
            </w14:solidFill>
          </w14:textFill>
        </w:rPr>
        <w:t>|||||</w:t>
      </w:r>
      <w:r w:rsidR="00592818" w:rsidRPr="00592818">
        <w:rPr>
          <w:iCs/>
          <w:color w:val="000000"/>
          <w:spacing w:val="2"/>
          <w:w w:val="66"/>
          <w:shd w:val="solid" w:color="000000" w:fill="000000"/>
          <w:fitText w:val="438" w:id="-1256558334"/>
          <w14:textFill>
            <w14:solidFill>
              <w14:srgbClr w14:val="000000">
                <w14:alpha w14:val="100000"/>
              </w14:srgbClr>
            </w14:solidFill>
          </w14:textFill>
        </w:rPr>
        <w:t>|</w:t>
      </w:r>
      <w:r w:rsidR="00592818" w:rsidRPr="00592818">
        <w:rPr>
          <w:iCs/>
          <w:color w:val="auto"/>
        </w:rPr>
        <w:t xml:space="preserve"> </w:t>
      </w:r>
      <w:r w:rsidR="00592818" w:rsidRPr="00592818">
        <w:rPr>
          <w:iCs/>
          <w:color w:val="000000"/>
          <w:w w:val="66"/>
          <w:shd w:val="solid" w:color="000000" w:fill="000000"/>
          <w:fitText w:val="439" w:id="-1256558333"/>
          <w14:textFill>
            <w14:solidFill>
              <w14:srgbClr w14:val="000000">
                <w14:alpha w14:val="100000"/>
              </w14:srgbClr>
            </w14:solidFill>
          </w14:textFill>
        </w:rPr>
        <w:t>|||||</w:t>
      </w:r>
      <w:r w:rsidR="00592818" w:rsidRPr="00592818">
        <w:rPr>
          <w:iCs/>
          <w:color w:val="000000"/>
          <w:spacing w:val="3"/>
          <w:w w:val="66"/>
          <w:shd w:val="solid" w:color="000000" w:fill="000000"/>
          <w:fitText w:val="439" w:id="-1256558333"/>
          <w14:textFill>
            <w14:solidFill>
              <w14:srgbClr w14:val="000000">
                <w14:alpha w14:val="100000"/>
              </w14:srgbClr>
            </w14:solidFill>
          </w14:textFill>
        </w:rPr>
        <w:t>|</w:t>
      </w:r>
      <w:r w:rsidR="00592818" w:rsidRPr="00592818">
        <w:rPr>
          <w:iCs/>
          <w:color w:val="auto"/>
        </w:rPr>
        <w:t xml:space="preserve"> </w:t>
      </w:r>
      <w:r w:rsidR="00592818" w:rsidRPr="00592818">
        <w:rPr>
          <w:iCs/>
          <w:color w:val="000000"/>
          <w:w w:val="68"/>
          <w:shd w:val="solid" w:color="000000" w:fill="000000"/>
          <w:fitText w:val="450" w:id="-1256558332"/>
          <w14:textFill>
            <w14:solidFill>
              <w14:srgbClr w14:val="000000">
                <w14:alpha w14:val="100000"/>
              </w14:srgbClr>
            </w14:solidFill>
          </w14:textFill>
        </w:rPr>
        <w:t>|||||</w:t>
      </w:r>
      <w:r w:rsidR="00592818" w:rsidRPr="00592818">
        <w:rPr>
          <w:iCs/>
          <w:color w:val="000000"/>
          <w:spacing w:val="2"/>
          <w:w w:val="68"/>
          <w:shd w:val="solid" w:color="000000" w:fill="000000"/>
          <w:fitText w:val="450" w:id="-1256558332"/>
          <w14:textFill>
            <w14:solidFill>
              <w14:srgbClr w14:val="000000">
                <w14:alpha w14:val="100000"/>
              </w14:srgbClr>
            </w14:solidFill>
          </w14:textFill>
        </w:rPr>
        <w:t>|</w:t>
      </w:r>
      <w:r w:rsidR="00592818" w:rsidRPr="00592818">
        <w:rPr>
          <w:iCs/>
          <w:color w:val="auto"/>
        </w:rPr>
        <w:t xml:space="preserve"> </w:t>
      </w:r>
      <w:r w:rsidR="00592818" w:rsidRPr="00592818">
        <w:rPr>
          <w:iCs/>
          <w:color w:val="000000"/>
          <w:w w:val="66"/>
          <w:shd w:val="solid" w:color="000000" w:fill="000000"/>
          <w:fitText w:val="438" w:id="-1256558331"/>
          <w14:textFill>
            <w14:solidFill>
              <w14:srgbClr w14:val="000000">
                <w14:alpha w14:val="100000"/>
              </w14:srgbClr>
            </w14:solidFill>
          </w14:textFill>
        </w:rPr>
        <w:t>|||||</w:t>
      </w:r>
      <w:r w:rsidR="00592818" w:rsidRPr="00592818">
        <w:rPr>
          <w:iCs/>
          <w:color w:val="000000"/>
          <w:spacing w:val="2"/>
          <w:w w:val="66"/>
          <w:shd w:val="solid" w:color="000000" w:fill="000000"/>
          <w:fitText w:val="438" w:id="-1256558331"/>
          <w14:textFill>
            <w14:solidFill>
              <w14:srgbClr w14:val="000000">
                <w14:alpha w14:val="100000"/>
              </w14:srgbClr>
            </w14:solidFill>
          </w14:textFill>
        </w:rPr>
        <w:t>|</w:t>
      </w:r>
      <w:r w:rsidR="00592818" w:rsidRPr="00592818">
        <w:rPr>
          <w:iCs/>
          <w:color w:val="auto"/>
        </w:rPr>
        <w:t xml:space="preserve"> </w:t>
      </w:r>
      <w:r w:rsidR="00592818" w:rsidRPr="00592818">
        <w:rPr>
          <w:iCs/>
          <w:color w:val="000000"/>
          <w:w w:val="66"/>
          <w:shd w:val="solid" w:color="000000" w:fill="000000"/>
          <w:fitText w:val="439" w:id="-1256558330"/>
          <w14:textFill>
            <w14:solidFill>
              <w14:srgbClr w14:val="000000">
                <w14:alpha w14:val="100000"/>
              </w14:srgbClr>
            </w14:solidFill>
          </w14:textFill>
        </w:rPr>
        <w:t>|||||</w:t>
      </w:r>
      <w:r w:rsidR="00592818" w:rsidRPr="00592818">
        <w:rPr>
          <w:iCs/>
          <w:color w:val="000000"/>
          <w:spacing w:val="3"/>
          <w:w w:val="66"/>
          <w:shd w:val="solid" w:color="000000" w:fill="000000"/>
          <w:fitText w:val="439" w:id="-1256558330"/>
          <w14:textFill>
            <w14:solidFill>
              <w14:srgbClr w14:val="000000">
                <w14:alpha w14:val="100000"/>
              </w14:srgbClr>
            </w14:solidFill>
          </w14:textFill>
        </w:rPr>
        <w:t>|</w:t>
      </w:r>
      <w:r w:rsidR="00592818" w:rsidRPr="00592818">
        <w:rPr>
          <w:iCs/>
          <w:color w:val="auto"/>
        </w:rPr>
        <w:t xml:space="preserve"> </w:t>
      </w:r>
      <w:r w:rsidR="00592818" w:rsidRPr="00592818">
        <w:rPr>
          <w:iCs/>
          <w:color w:val="000000"/>
          <w:w w:val="68"/>
          <w:shd w:val="solid" w:color="000000" w:fill="000000"/>
          <w:fitText w:val="451" w:id="-1256558329"/>
          <w14:textFill>
            <w14:solidFill>
              <w14:srgbClr w14:val="000000">
                <w14:alpha w14:val="100000"/>
              </w14:srgbClr>
            </w14:solidFill>
          </w14:textFill>
        </w:rPr>
        <w:t>|||||</w:t>
      </w:r>
      <w:r w:rsidR="00592818" w:rsidRPr="00592818">
        <w:rPr>
          <w:iCs/>
          <w:color w:val="000000"/>
          <w:spacing w:val="3"/>
          <w:w w:val="68"/>
          <w:shd w:val="solid" w:color="000000" w:fill="000000"/>
          <w:fitText w:val="451" w:id="-1256558329"/>
          <w14:textFill>
            <w14:solidFill>
              <w14:srgbClr w14:val="000000">
                <w14:alpha w14:val="100000"/>
              </w14:srgbClr>
            </w14:solidFill>
          </w14:textFill>
        </w:rPr>
        <w:t>|</w:t>
      </w:r>
      <w:r w:rsidR="00592818" w:rsidRPr="00592818">
        <w:rPr>
          <w:iCs/>
          <w:color w:val="auto"/>
        </w:rPr>
        <w:t xml:space="preserve"> </w:t>
      </w:r>
      <w:r w:rsidR="00592818" w:rsidRPr="00592818">
        <w:rPr>
          <w:iCs/>
          <w:color w:val="000000"/>
          <w:w w:val="66"/>
          <w:shd w:val="solid" w:color="000000" w:fill="000000"/>
          <w:fitText w:val="438" w:id="-1256558328"/>
          <w14:textFill>
            <w14:solidFill>
              <w14:srgbClr w14:val="000000">
                <w14:alpha w14:val="100000"/>
              </w14:srgbClr>
            </w14:solidFill>
          </w14:textFill>
        </w:rPr>
        <w:t>|||||</w:t>
      </w:r>
      <w:r w:rsidR="00592818" w:rsidRPr="00592818">
        <w:rPr>
          <w:iCs/>
          <w:color w:val="000000"/>
          <w:spacing w:val="2"/>
          <w:w w:val="66"/>
          <w:shd w:val="solid" w:color="000000" w:fill="000000"/>
          <w:fitText w:val="438" w:id="-1256558328"/>
          <w14:textFill>
            <w14:solidFill>
              <w14:srgbClr w14:val="000000">
                <w14:alpha w14:val="100000"/>
              </w14:srgbClr>
            </w14:solidFill>
          </w14:textFill>
        </w:rPr>
        <w:t>|</w:t>
      </w:r>
      <w:r w:rsidR="00592818" w:rsidRPr="00592818">
        <w:rPr>
          <w:iCs/>
          <w:color w:val="auto"/>
        </w:rPr>
        <w:t xml:space="preserve"> </w:t>
      </w:r>
      <w:r w:rsidR="00592818" w:rsidRPr="00592818">
        <w:rPr>
          <w:iCs/>
          <w:color w:val="000000"/>
          <w:w w:val="66"/>
          <w:shd w:val="solid" w:color="000000" w:fill="000000"/>
          <w:fitText w:val="439" w:id="-1256558327"/>
          <w14:textFill>
            <w14:solidFill>
              <w14:srgbClr w14:val="000000">
                <w14:alpha w14:val="100000"/>
              </w14:srgbClr>
            </w14:solidFill>
          </w14:textFill>
        </w:rPr>
        <w:t>|||||</w:t>
      </w:r>
      <w:r w:rsidR="00592818" w:rsidRPr="00592818">
        <w:rPr>
          <w:iCs/>
          <w:color w:val="000000"/>
          <w:spacing w:val="3"/>
          <w:w w:val="66"/>
          <w:shd w:val="solid" w:color="000000" w:fill="000000"/>
          <w:fitText w:val="439" w:id="-1256558327"/>
          <w14:textFill>
            <w14:solidFill>
              <w14:srgbClr w14:val="000000">
                <w14:alpha w14:val="100000"/>
              </w14:srgbClr>
            </w14:solidFill>
          </w14:textFill>
        </w:rPr>
        <w:t>|</w:t>
      </w:r>
      <w:r w:rsidR="00592818" w:rsidRPr="00592818">
        <w:rPr>
          <w:iCs/>
          <w:color w:val="auto"/>
        </w:rPr>
        <w:t xml:space="preserve"> </w:t>
      </w:r>
      <w:r w:rsidR="00592818" w:rsidRPr="00592818">
        <w:rPr>
          <w:iCs/>
          <w:color w:val="000000"/>
          <w:w w:val="66"/>
          <w:shd w:val="solid" w:color="000000" w:fill="000000"/>
          <w:fitText w:val="438" w:id="-1256558326"/>
          <w14:textFill>
            <w14:solidFill>
              <w14:srgbClr w14:val="000000">
                <w14:alpha w14:val="100000"/>
              </w14:srgbClr>
            </w14:solidFill>
          </w14:textFill>
        </w:rPr>
        <w:t>|||||</w:t>
      </w:r>
      <w:r w:rsidR="00592818" w:rsidRPr="00592818">
        <w:rPr>
          <w:iCs/>
          <w:color w:val="000000"/>
          <w:spacing w:val="2"/>
          <w:w w:val="66"/>
          <w:shd w:val="solid" w:color="000000" w:fill="000000"/>
          <w:fitText w:val="438" w:id="-1256558326"/>
          <w14:textFill>
            <w14:solidFill>
              <w14:srgbClr w14:val="000000">
                <w14:alpha w14:val="100000"/>
              </w14:srgbClr>
            </w14:solidFill>
          </w14:textFill>
        </w:rPr>
        <w:t>|</w:t>
      </w:r>
      <w:r w:rsidR="00592818" w:rsidRPr="00592818">
        <w:rPr>
          <w:iCs/>
          <w:color w:val="auto"/>
        </w:rPr>
        <w:t xml:space="preserve"> </w:t>
      </w:r>
      <w:r w:rsidR="00592818" w:rsidRPr="00592818">
        <w:rPr>
          <w:iCs/>
          <w:color w:val="000000"/>
          <w:w w:val="68"/>
          <w:shd w:val="solid" w:color="000000" w:fill="000000"/>
          <w:fitText w:val="451" w:id="-1256558325"/>
          <w14:textFill>
            <w14:solidFill>
              <w14:srgbClr w14:val="000000">
                <w14:alpha w14:val="100000"/>
              </w14:srgbClr>
            </w14:solidFill>
          </w14:textFill>
        </w:rPr>
        <w:t>|||||</w:t>
      </w:r>
      <w:r w:rsidR="00592818" w:rsidRPr="00592818">
        <w:rPr>
          <w:iCs/>
          <w:color w:val="000000"/>
          <w:spacing w:val="3"/>
          <w:w w:val="68"/>
          <w:shd w:val="solid" w:color="000000" w:fill="000000"/>
          <w:fitText w:val="451" w:id="-1256558325"/>
          <w14:textFill>
            <w14:solidFill>
              <w14:srgbClr w14:val="000000">
                <w14:alpha w14:val="100000"/>
              </w14:srgbClr>
            </w14:solidFill>
          </w14:textFill>
        </w:rPr>
        <w:t>|</w:t>
      </w:r>
      <w:r w:rsidR="00592818" w:rsidRPr="00592818">
        <w:rPr>
          <w:iCs/>
          <w:color w:val="auto"/>
        </w:rPr>
        <w:t xml:space="preserve"> </w:t>
      </w:r>
      <w:r w:rsidR="00592818" w:rsidRPr="00592818">
        <w:rPr>
          <w:iCs/>
          <w:color w:val="000000"/>
          <w:w w:val="66"/>
          <w:shd w:val="solid" w:color="000000" w:fill="000000"/>
          <w:fitText w:val="439" w:id="-1256558324"/>
          <w14:textFill>
            <w14:solidFill>
              <w14:srgbClr w14:val="000000">
                <w14:alpha w14:val="100000"/>
              </w14:srgbClr>
            </w14:solidFill>
          </w14:textFill>
        </w:rPr>
        <w:t>|||||</w:t>
      </w:r>
      <w:r w:rsidR="00592818" w:rsidRPr="00592818">
        <w:rPr>
          <w:iCs/>
          <w:color w:val="000000"/>
          <w:spacing w:val="3"/>
          <w:w w:val="66"/>
          <w:shd w:val="solid" w:color="000000" w:fill="000000"/>
          <w:fitText w:val="439" w:id="-1256558324"/>
          <w14:textFill>
            <w14:solidFill>
              <w14:srgbClr w14:val="000000">
                <w14:alpha w14:val="100000"/>
              </w14:srgbClr>
            </w14:solidFill>
          </w14:textFill>
        </w:rPr>
        <w:t>|</w:t>
      </w:r>
      <w:r w:rsidR="00592818" w:rsidRPr="00592818">
        <w:rPr>
          <w:iCs/>
          <w:color w:val="auto"/>
        </w:rPr>
        <w:t xml:space="preserve"> </w:t>
      </w:r>
      <w:r w:rsidR="00592818" w:rsidRPr="00592818">
        <w:rPr>
          <w:iCs/>
          <w:color w:val="000000"/>
          <w:w w:val="66"/>
          <w:shd w:val="solid" w:color="000000" w:fill="000000"/>
          <w:fitText w:val="438" w:id="-1256558323"/>
          <w14:textFill>
            <w14:solidFill>
              <w14:srgbClr w14:val="000000">
                <w14:alpha w14:val="100000"/>
              </w14:srgbClr>
            </w14:solidFill>
          </w14:textFill>
        </w:rPr>
        <w:t>|||||</w:t>
      </w:r>
      <w:r w:rsidR="00592818" w:rsidRPr="00592818">
        <w:rPr>
          <w:iCs/>
          <w:color w:val="000000"/>
          <w:spacing w:val="2"/>
          <w:w w:val="66"/>
          <w:shd w:val="solid" w:color="000000" w:fill="000000"/>
          <w:fitText w:val="438" w:id="-1256558323"/>
          <w14:textFill>
            <w14:solidFill>
              <w14:srgbClr w14:val="000000">
                <w14:alpha w14:val="100000"/>
              </w14:srgbClr>
            </w14:solidFill>
          </w14:textFill>
        </w:rPr>
        <w:t>|</w:t>
      </w:r>
      <w:r w:rsidR="00592818" w:rsidRPr="00592818">
        <w:rPr>
          <w:iCs/>
          <w:color w:val="auto"/>
        </w:rPr>
        <w:t xml:space="preserve"> </w:t>
      </w:r>
      <w:r w:rsidR="00592818" w:rsidRPr="00592818">
        <w:rPr>
          <w:iCs/>
          <w:color w:val="000000"/>
          <w:w w:val="68"/>
          <w:shd w:val="solid" w:color="000000" w:fill="000000"/>
          <w:fitText w:val="451" w:id="-1256558322"/>
          <w14:textFill>
            <w14:solidFill>
              <w14:srgbClr w14:val="000000">
                <w14:alpha w14:val="100000"/>
              </w14:srgbClr>
            </w14:solidFill>
          </w14:textFill>
        </w:rPr>
        <w:t>|||||</w:t>
      </w:r>
      <w:r w:rsidR="00592818" w:rsidRPr="00592818">
        <w:rPr>
          <w:iCs/>
          <w:color w:val="000000"/>
          <w:spacing w:val="3"/>
          <w:w w:val="68"/>
          <w:shd w:val="solid" w:color="000000" w:fill="000000"/>
          <w:fitText w:val="451" w:id="-1256558322"/>
          <w14:textFill>
            <w14:solidFill>
              <w14:srgbClr w14:val="000000">
                <w14:alpha w14:val="100000"/>
              </w14:srgbClr>
            </w14:solidFill>
          </w14:textFill>
        </w:rPr>
        <w:t>|</w:t>
      </w:r>
      <w:r w:rsidR="00592818" w:rsidRPr="00592818">
        <w:rPr>
          <w:iCs/>
          <w:color w:val="auto"/>
        </w:rPr>
        <w:t xml:space="preserve"> </w:t>
      </w:r>
      <w:r w:rsidR="00592818" w:rsidRPr="00592818">
        <w:rPr>
          <w:iCs/>
          <w:color w:val="000000"/>
          <w:w w:val="66"/>
          <w:shd w:val="solid" w:color="000000" w:fill="000000"/>
          <w:fitText w:val="439" w:id="-1256558321"/>
          <w14:textFill>
            <w14:solidFill>
              <w14:srgbClr w14:val="000000">
                <w14:alpha w14:val="100000"/>
              </w14:srgbClr>
            </w14:solidFill>
          </w14:textFill>
        </w:rPr>
        <w:t>|||||</w:t>
      </w:r>
      <w:r w:rsidR="00592818" w:rsidRPr="00592818">
        <w:rPr>
          <w:iCs/>
          <w:color w:val="000000"/>
          <w:spacing w:val="3"/>
          <w:w w:val="66"/>
          <w:shd w:val="solid" w:color="000000" w:fill="000000"/>
          <w:fitText w:val="439" w:id="-1256558321"/>
          <w14:textFill>
            <w14:solidFill>
              <w14:srgbClr w14:val="000000">
                <w14:alpha w14:val="100000"/>
              </w14:srgbClr>
            </w14:solidFill>
          </w14:textFill>
        </w:rPr>
        <w:t>|</w:t>
      </w:r>
      <w:r w:rsidR="00592818" w:rsidRPr="00592818">
        <w:rPr>
          <w:iCs/>
          <w:color w:val="auto"/>
        </w:rPr>
        <w:t xml:space="preserve"> </w:t>
      </w:r>
      <w:r w:rsidR="00592818" w:rsidRPr="00592818">
        <w:rPr>
          <w:iCs/>
          <w:color w:val="000000"/>
          <w:w w:val="66"/>
          <w:shd w:val="solid" w:color="000000" w:fill="000000"/>
          <w:fitText w:val="438" w:id="-1256558320"/>
          <w14:textFill>
            <w14:solidFill>
              <w14:srgbClr w14:val="000000">
                <w14:alpha w14:val="100000"/>
              </w14:srgbClr>
            </w14:solidFill>
          </w14:textFill>
        </w:rPr>
        <w:t>|||||</w:t>
      </w:r>
      <w:r w:rsidR="00592818" w:rsidRPr="00592818">
        <w:rPr>
          <w:iCs/>
          <w:color w:val="000000"/>
          <w:spacing w:val="2"/>
          <w:w w:val="66"/>
          <w:shd w:val="solid" w:color="000000" w:fill="000000"/>
          <w:fitText w:val="438" w:id="-1256558320"/>
          <w14:textFill>
            <w14:solidFill>
              <w14:srgbClr w14:val="000000">
                <w14:alpha w14:val="100000"/>
              </w14:srgbClr>
            </w14:solidFill>
          </w14:textFill>
        </w:rPr>
        <w:t>|</w:t>
      </w:r>
      <w:r w:rsidR="00592818" w:rsidRPr="00592818">
        <w:rPr>
          <w:iCs/>
          <w:color w:val="auto"/>
        </w:rPr>
        <w:t xml:space="preserve"> </w:t>
      </w:r>
      <w:r w:rsidR="00592818" w:rsidRPr="00592818">
        <w:rPr>
          <w:iCs/>
          <w:color w:val="000000"/>
          <w:w w:val="66"/>
          <w:shd w:val="solid" w:color="000000" w:fill="000000"/>
          <w:fitText w:val="438" w:id="-1256558336"/>
          <w14:textFill>
            <w14:solidFill>
              <w14:srgbClr w14:val="000000">
                <w14:alpha w14:val="100000"/>
              </w14:srgbClr>
            </w14:solidFill>
          </w14:textFill>
        </w:rPr>
        <w:t>|||||</w:t>
      </w:r>
      <w:r w:rsidR="00592818" w:rsidRPr="00592818">
        <w:rPr>
          <w:iCs/>
          <w:color w:val="000000"/>
          <w:spacing w:val="2"/>
          <w:w w:val="66"/>
          <w:shd w:val="solid" w:color="000000" w:fill="000000"/>
          <w:fitText w:val="438" w:id="-1256558336"/>
          <w14:textFill>
            <w14:solidFill>
              <w14:srgbClr w14:val="000000">
                <w14:alpha w14:val="100000"/>
              </w14:srgbClr>
            </w14:solidFill>
          </w14:textFill>
        </w:rPr>
        <w:t>|</w:t>
      </w:r>
      <w:r w:rsidR="00592818" w:rsidRPr="00592818">
        <w:rPr>
          <w:iCs/>
          <w:color w:val="auto"/>
        </w:rPr>
        <w:t xml:space="preserve"> </w:t>
      </w:r>
      <w:r w:rsidR="00592818" w:rsidRPr="00592818">
        <w:rPr>
          <w:iCs/>
          <w:color w:val="000000"/>
          <w:w w:val="66"/>
          <w:shd w:val="solid" w:color="000000" w:fill="000000"/>
          <w:fitText w:val="438" w:id="-1256558335"/>
          <w14:textFill>
            <w14:solidFill>
              <w14:srgbClr w14:val="000000">
                <w14:alpha w14:val="100000"/>
              </w14:srgbClr>
            </w14:solidFill>
          </w14:textFill>
        </w:rPr>
        <w:t>|||||</w:t>
      </w:r>
      <w:r w:rsidR="00592818" w:rsidRPr="00592818">
        <w:rPr>
          <w:iCs/>
          <w:color w:val="000000"/>
          <w:spacing w:val="2"/>
          <w:w w:val="66"/>
          <w:shd w:val="solid" w:color="000000" w:fill="000000"/>
          <w:fitText w:val="438" w:id="-1256558335"/>
          <w14:textFill>
            <w14:solidFill>
              <w14:srgbClr w14:val="000000">
                <w14:alpha w14:val="100000"/>
              </w14:srgbClr>
            </w14:solidFill>
          </w14:textFill>
        </w:rPr>
        <w:t>|</w:t>
      </w:r>
      <w:r w:rsidR="00592818" w:rsidRPr="00592818">
        <w:rPr>
          <w:iCs/>
          <w:color w:val="auto"/>
        </w:rPr>
        <w:t xml:space="preserve"> </w:t>
      </w:r>
      <w:r w:rsidR="00592818" w:rsidRPr="00592818">
        <w:rPr>
          <w:iCs/>
          <w:color w:val="000000"/>
          <w:w w:val="66"/>
          <w:shd w:val="solid" w:color="000000" w:fill="000000"/>
          <w:fitText w:val="439" w:id="-1256558334"/>
          <w14:textFill>
            <w14:solidFill>
              <w14:srgbClr w14:val="000000">
                <w14:alpha w14:val="100000"/>
              </w14:srgbClr>
            </w14:solidFill>
          </w14:textFill>
        </w:rPr>
        <w:t>|||||</w:t>
      </w:r>
      <w:r w:rsidR="00592818" w:rsidRPr="00592818">
        <w:rPr>
          <w:iCs/>
          <w:color w:val="000000"/>
          <w:spacing w:val="3"/>
          <w:w w:val="66"/>
          <w:shd w:val="solid" w:color="000000" w:fill="000000"/>
          <w:fitText w:val="439" w:id="-1256558334"/>
          <w14:textFill>
            <w14:solidFill>
              <w14:srgbClr w14:val="000000">
                <w14:alpha w14:val="100000"/>
              </w14:srgbClr>
            </w14:solidFill>
          </w14:textFill>
        </w:rPr>
        <w:t>|</w:t>
      </w:r>
      <w:r w:rsidR="00592818" w:rsidRPr="00592818">
        <w:rPr>
          <w:iCs/>
          <w:color w:val="auto"/>
        </w:rPr>
        <w:t xml:space="preserve"> </w:t>
      </w:r>
      <w:r w:rsidR="00592818" w:rsidRPr="00592818">
        <w:rPr>
          <w:iCs/>
          <w:color w:val="000000"/>
          <w:w w:val="66"/>
          <w:shd w:val="solid" w:color="000000" w:fill="000000"/>
          <w:fitText w:val="438" w:id="-1256558333"/>
          <w14:textFill>
            <w14:solidFill>
              <w14:srgbClr w14:val="000000">
                <w14:alpha w14:val="100000"/>
              </w14:srgbClr>
            </w14:solidFill>
          </w14:textFill>
        </w:rPr>
        <w:t>|||||</w:t>
      </w:r>
      <w:r w:rsidR="00592818" w:rsidRPr="00592818">
        <w:rPr>
          <w:iCs/>
          <w:color w:val="000000"/>
          <w:spacing w:val="2"/>
          <w:w w:val="66"/>
          <w:shd w:val="solid" w:color="000000" w:fill="000000"/>
          <w:fitText w:val="438" w:id="-1256558333"/>
          <w14:textFill>
            <w14:solidFill>
              <w14:srgbClr w14:val="000000">
                <w14:alpha w14:val="100000"/>
              </w14:srgbClr>
            </w14:solidFill>
          </w14:textFill>
        </w:rPr>
        <w:t>|</w:t>
      </w:r>
      <w:r w:rsidR="00592818" w:rsidRPr="00592818">
        <w:rPr>
          <w:iCs/>
          <w:color w:val="auto"/>
        </w:rPr>
        <w:t xml:space="preserve"> </w:t>
      </w:r>
    </w:p>
    <w:p w14:paraId="056832C3" w14:textId="3DDD1E86" w:rsidR="00592818" w:rsidRPr="00592818" w:rsidRDefault="00592818" w:rsidP="00F259E1">
      <w:pPr>
        <w:pStyle w:val="Instructionaltext"/>
        <w:numPr>
          <w:ilvl w:val="0"/>
          <w:numId w:val="11"/>
        </w:numPr>
        <w:rPr>
          <w:iCs/>
          <w:color w:val="auto"/>
        </w:rPr>
      </w:pPr>
      <w:r w:rsidRPr="00592818">
        <w:rPr>
          <w:rFonts w:hint="eastAsia"/>
          <w:iCs/>
          <w:color w:val="000000"/>
          <w:w w:val="15"/>
          <w:shd w:val="solid" w:color="000000" w:fill="000000"/>
          <w:fitText w:val="75" w:id="-1256558332"/>
          <w14:textFill>
            <w14:solidFill>
              <w14:srgbClr w14:val="000000">
                <w14:alpha w14:val="100000"/>
              </w14:srgbClr>
            </w14:solidFill>
          </w14:textFill>
        </w:rPr>
        <w:t xml:space="preserve">　</w:t>
      </w:r>
      <w:r w:rsidRPr="00592818">
        <w:rPr>
          <w:iCs/>
          <w:color w:val="000000"/>
          <w:w w:val="15"/>
          <w:shd w:val="solid" w:color="000000" w:fill="000000"/>
          <w:fitText w:val="75" w:id="-1256558332"/>
          <w14:textFill>
            <w14:solidFill>
              <w14:srgbClr w14:val="000000">
                <w14:alpha w14:val="100000"/>
              </w14:srgbClr>
            </w14:solidFill>
          </w14:textFill>
        </w:rPr>
        <w:t>|</w:t>
      </w:r>
      <w:r w:rsidRPr="00592818">
        <w:rPr>
          <w:rFonts w:hint="eastAsia"/>
          <w:iCs/>
          <w:color w:val="000000"/>
          <w:spacing w:val="-6"/>
          <w:w w:val="15"/>
          <w:shd w:val="solid" w:color="000000" w:fill="000000"/>
          <w:fitText w:val="75" w:id="-1256558332"/>
          <w14:textFill>
            <w14:solidFill>
              <w14:srgbClr w14:val="000000">
                <w14:alpha w14:val="100000"/>
              </w14:srgbClr>
            </w14:solidFill>
          </w14:textFill>
        </w:rPr>
        <w:t xml:space="preserve">　</w:t>
      </w:r>
      <w:r w:rsidRPr="00592818">
        <w:rPr>
          <w:iCs/>
          <w:color w:val="auto"/>
        </w:rPr>
        <w:t xml:space="preserve"> </w:t>
      </w:r>
      <w:r w:rsidRPr="00592818">
        <w:rPr>
          <w:rFonts w:hint="eastAsia"/>
          <w:iCs/>
          <w:color w:val="000000"/>
          <w:w w:val="15"/>
          <w:shd w:val="solid" w:color="000000" w:fill="000000"/>
          <w:fitText w:val="75" w:id="-1256558331"/>
          <w14:textFill>
            <w14:solidFill>
              <w14:srgbClr w14:val="000000">
                <w14:alpha w14:val="100000"/>
              </w14:srgbClr>
            </w14:solidFill>
          </w14:textFill>
        </w:rPr>
        <w:t xml:space="preserve">　</w:t>
      </w:r>
      <w:r w:rsidRPr="00592818">
        <w:rPr>
          <w:iCs/>
          <w:color w:val="000000"/>
          <w:w w:val="15"/>
          <w:shd w:val="solid" w:color="000000" w:fill="000000"/>
          <w:fitText w:val="75" w:id="-1256558331"/>
          <w14:textFill>
            <w14:solidFill>
              <w14:srgbClr w14:val="000000">
                <w14:alpha w14:val="100000"/>
              </w14:srgbClr>
            </w14:solidFill>
          </w14:textFill>
        </w:rPr>
        <w:t>|</w:t>
      </w:r>
      <w:r w:rsidRPr="00592818">
        <w:rPr>
          <w:rFonts w:hint="eastAsia"/>
          <w:iCs/>
          <w:color w:val="000000"/>
          <w:spacing w:val="-6"/>
          <w:w w:val="15"/>
          <w:shd w:val="solid" w:color="000000" w:fill="000000"/>
          <w:fitText w:val="75" w:id="-1256558331"/>
          <w14:textFill>
            <w14:solidFill>
              <w14:srgbClr w14:val="000000">
                <w14:alpha w14:val="100000"/>
              </w14:srgbClr>
            </w14:solidFill>
          </w14:textFill>
        </w:rPr>
        <w:t xml:space="preserve">　</w:t>
      </w:r>
      <w:r w:rsidRPr="00592818">
        <w:rPr>
          <w:iCs/>
          <w:color w:val="auto"/>
        </w:rPr>
        <w:t xml:space="preserve"> </w:t>
      </w:r>
      <w:r w:rsidRPr="00592818">
        <w:rPr>
          <w:rFonts w:hint="eastAsia"/>
          <w:iCs/>
          <w:color w:val="000000"/>
          <w:w w:val="15"/>
          <w:shd w:val="solid" w:color="000000" w:fill="000000"/>
          <w:fitText w:val="75" w:id="-1256558330"/>
          <w14:textFill>
            <w14:solidFill>
              <w14:srgbClr w14:val="000000">
                <w14:alpha w14:val="100000"/>
              </w14:srgbClr>
            </w14:solidFill>
          </w14:textFill>
        </w:rPr>
        <w:t xml:space="preserve">　</w:t>
      </w:r>
      <w:r w:rsidRPr="00592818">
        <w:rPr>
          <w:iCs/>
          <w:color w:val="000000"/>
          <w:w w:val="15"/>
          <w:shd w:val="solid" w:color="000000" w:fill="000000"/>
          <w:fitText w:val="75" w:id="-1256558330"/>
          <w14:textFill>
            <w14:solidFill>
              <w14:srgbClr w14:val="000000">
                <w14:alpha w14:val="100000"/>
              </w14:srgbClr>
            </w14:solidFill>
          </w14:textFill>
        </w:rPr>
        <w:t>|</w:t>
      </w:r>
      <w:r w:rsidRPr="00592818">
        <w:rPr>
          <w:rFonts w:hint="eastAsia"/>
          <w:iCs/>
          <w:color w:val="000000"/>
          <w:spacing w:val="-6"/>
          <w:w w:val="15"/>
          <w:shd w:val="solid" w:color="000000" w:fill="000000"/>
          <w:fitText w:val="75" w:id="-1256558330"/>
          <w14:textFill>
            <w14:solidFill>
              <w14:srgbClr w14:val="000000">
                <w14:alpha w14:val="100000"/>
              </w14:srgbClr>
            </w14:solidFill>
          </w14:textFill>
        </w:rPr>
        <w:t xml:space="preserve">　</w:t>
      </w:r>
      <w:r w:rsidRPr="00592818">
        <w:rPr>
          <w:iCs/>
          <w:color w:val="auto"/>
        </w:rPr>
        <w:t xml:space="preserve"> </w:t>
      </w:r>
      <w:r w:rsidRPr="00592818">
        <w:rPr>
          <w:rFonts w:hint="eastAsia"/>
          <w:iCs/>
          <w:color w:val="000000"/>
          <w:w w:val="15"/>
          <w:shd w:val="solid" w:color="000000" w:fill="000000"/>
          <w:fitText w:val="75" w:id="-1256558329"/>
          <w14:textFill>
            <w14:solidFill>
              <w14:srgbClr w14:val="000000">
                <w14:alpha w14:val="100000"/>
              </w14:srgbClr>
            </w14:solidFill>
          </w14:textFill>
        </w:rPr>
        <w:t xml:space="preserve">　</w:t>
      </w:r>
      <w:r w:rsidRPr="00592818">
        <w:rPr>
          <w:iCs/>
          <w:color w:val="000000"/>
          <w:w w:val="15"/>
          <w:shd w:val="solid" w:color="000000" w:fill="000000"/>
          <w:fitText w:val="75" w:id="-1256558329"/>
          <w14:textFill>
            <w14:solidFill>
              <w14:srgbClr w14:val="000000">
                <w14:alpha w14:val="100000"/>
              </w14:srgbClr>
            </w14:solidFill>
          </w14:textFill>
        </w:rPr>
        <w:t>|</w:t>
      </w:r>
      <w:r w:rsidRPr="00592818">
        <w:rPr>
          <w:rFonts w:hint="eastAsia"/>
          <w:iCs/>
          <w:color w:val="000000"/>
          <w:spacing w:val="-6"/>
          <w:w w:val="15"/>
          <w:shd w:val="solid" w:color="000000" w:fill="000000"/>
          <w:fitText w:val="75" w:id="-1256558329"/>
          <w14:textFill>
            <w14:solidFill>
              <w14:srgbClr w14:val="000000">
                <w14:alpha w14:val="100000"/>
              </w14:srgbClr>
            </w14:solidFill>
          </w14:textFill>
        </w:rPr>
        <w:t xml:space="preserve">　</w:t>
      </w:r>
      <w:r w:rsidRPr="00592818">
        <w:rPr>
          <w:iCs/>
          <w:color w:val="auto"/>
        </w:rPr>
        <w:t xml:space="preserve"> </w:t>
      </w:r>
      <w:r w:rsidRPr="00592818">
        <w:rPr>
          <w:rFonts w:hint="eastAsia"/>
          <w:iCs/>
          <w:color w:val="000000"/>
          <w:w w:val="15"/>
          <w:shd w:val="solid" w:color="000000" w:fill="000000"/>
          <w:fitText w:val="75" w:id="-1256558328"/>
          <w14:textFill>
            <w14:solidFill>
              <w14:srgbClr w14:val="000000">
                <w14:alpha w14:val="100000"/>
              </w14:srgbClr>
            </w14:solidFill>
          </w14:textFill>
        </w:rPr>
        <w:t xml:space="preserve">　</w:t>
      </w:r>
      <w:r w:rsidRPr="00592818">
        <w:rPr>
          <w:iCs/>
          <w:color w:val="000000"/>
          <w:w w:val="15"/>
          <w:shd w:val="solid" w:color="000000" w:fill="000000"/>
          <w:fitText w:val="75" w:id="-1256558328"/>
          <w14:textFill>
            <w14:solidFill>
              <w14:srgbClr w14:val="000000">
                <w14:alpha w14:val="100000"/>
              </w14:srgbClr>
            </w14:solidFill>
          </w14:textFill>
        </w:rPr>
        <w:t>|</w:t>
      </w:r>
      <w:r w:rsidRPr="00592818">
        <w:rPr>
          <w:rFonts w:hint="eastAsia"/>
          <w:iCs/>
          <w:color w:val="000000"/>
          <w:spacing w:val="-6"/>
          <w:w w:val="15"/>
          <w:shd w:val="solid" w:color="000000" w:fill="000000"/>
          <w:fitText w:val="75" w:id="-1256558328"/>
          <w14:textFill>
            <w14:solidFill>
              <w14:srgbClr w14:val="000000">
                <w14:alpha w14:val="100000"/>
              </w14:srgbClr>
            </w14:solidFill>
          </w14:textFill>
        </w:rPr>
        <w:t xml:space="preserve">　</w:t>
      </w:r>
      <w:r w:rsidRPr="00592818">
        <w:rPr>
          <w:iCs/>
          <w:color w:val="auto"/>
        </w:rPr>
        <w:t xml:space="preserve"> </w:t>
      </w:r>
      <w:r w:rsidRPr="00592818">
        <w:rPr>
          <w:rFonts w:hint="eastAsia"/>
          <w:iCs/>
          <w:color w:val="000000"/>
          <w:w w:val="15"/>
          <w:shd w:val="solid" w:color="000000" w:fill="000000"/>
          <w:fitText w:val="88" w:id="-1256558327"/>
          <w14:textFill>
            <w14:solidFill>
              <w14:srgbClr w14:val="000000">
                <w14:alpha w14:val="100000"/>
              </w14:srgbClr>
            </w14:solidFill>
          </w14:textFill>
        </w:rPr>
        <w:t xml:space="preserve">　</w:t>
      </w:r>
      <w:r w:rsidRPr="00592818">
        <w:rPr>
          <w:iCs/>
          <w:color w:val="000000"/>
          <w:w w:val="15"/>
          <w:shd w:val="solid" w:color="000000" w:fill="000000"/>
          <w:fitText w:val="88" w:id="-1256558327"/>
          <w14:textFill>
            <w14:solidFill>
              <w14:srgbClr w14:val="000000">
                <w14:alpha w14:val="100000"/>
              </w14:srgbClr>
            </w14:solidFill>
          </w14:textFill>
        </w:rPr>
        <w:t>|</w:t>
      </w:r>
      <w:r w:rsidRPr="00592818">
        <w:rPr>
          <w:rFonts w:hint="eastAsia"/>
          <w:iCs/>
          <w:color w:val="000000"/>
          <w:spacing w:val="6"/>
          <w:w w:val="15"/>
          <w:shd w:val="solid" w:color="000000" w:fill="000000"/>
          <w:fitText w:val="88" w:id="-1256558327"/>
          <w14:textFill>
            <w14:solidFill>
              <w14:srgbClr w14:val="000000">
                <w14:alpha w14:val="100000"/>
              </w14:srgbClr>
            </w14:solidFill>
          </w14:textFill>
        </w:rPr>
        <w:t xml:space="preserve">　</w:t>
      </w:r>
      <w:r w:rsidRPr="00592818">
        <w:rPr>
          <w:iCs/>
          <w:color w:val="auto"/>
        </w:rPr>
        <w:t xml:space="preserve"> </w:t>
      </w:r>
      <w:r w:rsidRPr="00592818">
        <w:rPr>
          <w:rFonts w:hint="eastAsia"/>
          <w:iCs/>
          <w:color w:val="000000"/>
          <w:w w:val="15"/>
          <w:shd w:val="solid" w:color="000000" w:fill="000000"/>
          <w:fitText w:val="76" w:id="-1256558326"/>
          <w14:textFill>
            <w14:solidFill>
              <w14:srgbClr w14:val="000000">
                <w14:alpha w14:val="100000"/>
              </w14:srgbClr>
            </w14:solidFill>
          </w14:textFill>
        </w:rPr>
        <w:t xml:space="preserve">　</w:t>
      </w:r>
      <w:r w:rsidRPr="00592818">
        <w:rPr>
          <w:iCs/>
          <w:color w:val="000000"/>
          <w:w w:val="15"/>
          <w:shd w:val="solid" w:color="000000" w:fill="000000"/>
          <w:fitText w:val="76" w:id="-1256558326"/>
          <w14:textFill>
            <w14:solidFill>
              <w14:srgbClr w14:val="000000">
                <w14:alpha w14:val="100000"/>
              </w14:srgbClr>
            </w14:solidFill>
          </w14:textFill>
        </w:rPr>
        <w:t>|</w:t>
      </w:r>
      <w:r w:rsidRPr="00592818">
        <w:rPr>
          <w:rFonts w:hint="eastAsia"/>
          <w:iCs/>
          <w:color w:val="000000"/>
          <w:spacing w:val="-5"/>
          <w:w w:val="15"/>
          <w:shd w:val="solid" w:color="000000" w:fill="000000"/>
          <w:fitText w:val="76" w:id="-1256558326"/>
          <w14:textFill>
            <w14:solidFill>
              <w14:srgbClr w14:val="000000">
                <w14:alpha w14:val="100000"/>
              </w14:srgbClr>
            </w14:solidFill>
          </w14:textFill>
        </w:rPr>
        <w:t xml:space="preserve">　</w:t>
      </w:r>
    </w:p>
    <w:p w14:paraId="2D5124E0" w14:textId="46BFD05B" w:rsidR="00592818" w:rsidRPr="00592818" w:rsidRDefault="00592818" w:rsidP="00F259E1">
      <w:pPr>
        <w:pStyle w:val="Instructionaltext"/>
        <w:numPr>
          <w:ilvl w:val="0"/>
          <w:numId w:val="11"/>
        </w:numPr>
        <w:rPr>
          <w:iCs/>
          <w:color w:val="auto"/>
        </w:rPr>
      </w:pPr>
      <w:r w:rsidRPr="00592818">
        <w:rPr>
          <w:rFonts w:hint="eastAsia"/>
          <w:iCs/>
          <w:color w:val="000000"/>
          <w:w w:val="15"/>
          <w:shd w:val="solid" w:color="000000" w:fill="000000"/>
          <w:fitText w:val="75" w:id="-1256558325"/>
          <w14:textFill>
            <w14:solidFill>
              <w14:srgbClr w14:val="000000">
                <w14:alpha w14:val="100000"/>
              </w14:srgbClr>
            </w14:solidFill>
          </w14:textFill>
        </w:rPr>
        <w:t xml:space="preserve">　</w:t>
      </w:r>
      <w:r w:rsidRPr="00592818">
        <w:rPr>
          <w:iCs/>
          <w:color w:val="000000"/>
          <w:w w:val="15"/>
          <w:shd w:val="solid" w:color="000000" w:fill="000000"/>
          <w:fitText w:val="75" w:id="-1256558325"/>
          <w14:textFill>
            <w14:solidFill>
              <w14:srgbClr w14:val="000000">
                <w14:alpha w14:val="100000"/>
              </w14:srgbClr>
            </w14:solidFill>
          </w14:textFill>
        </w:rPr>
        <w:t>|</w:t>
      </w:r>
      <w:r w:rsidRPr="00592818">
        <w:rPr>
          <w:rFonts w:hint="eastAsia"/>
          <w:iCs/>
          <w:color w:val="000000"/>
          <w:spacing w:val="-6"/>
          <w:w w:val="15"/>
          <w:shd w:val="solid" w:color="000000" w:fill="000000"/>
          <w:fitText w:val="75" w:id="-1256558325"/>
          <w14:textFill>
            <w14:solidFill>
              <w14:srgbClr w14:val="000000">
                <w14:alpha w14:val="100000"/>
              </w14:srgbClr>
            </w14:solidFill>
          </w14:textFill>
        </w:rPr>
        <w:t xml:space="preserve">　</w:t>
      </w:r>
      <w:r w:rsidRPr="00592818">
        <w:rPr>
          <w:iCs/>
          <w:color w:val="auto"/>
        </w:rPr>
        <w:t xml:space="preserve"> </w:t>
      </w:r>
      <w:r w:rsidRPr="00592818">
        <w:rPr>
          <w:rFonts w:hint="eastAsia"/>
          <w:iCs/>
          <w:color w:val="000000"/>
          <w:w w:val="15"/>
          <w:shd w:val="solid" w:color="000000" w:fill="000000"/>
          <w:fitText w:val="75" w:id="-1256558324"/>
          <w14:textFill>
            <w14:solidFill>
              <w14:srgbClr w14:val="000000">
                <w14:alpha w14:val="100000"/>
              </w14:srgbClr>
            </w14:solidFill>
          </w14:textFill>
        </w:rPr>
        <w:t xml:space="preserve">　</w:t>
      </w:r>
      <w:r w:rsidRPr="00592818">
        <w:rPr>
          <w:iCs/>
          <w:color w:val="000000"/>
          <w:w w:val="15"/>
          <w:shd w:val="solid" w:color="000000" w:fill="000000"/>
          <w:fitText w:val="75" w:id="-1256558324"/>
          <w14:textFill>
            <w14:solidFill>
              <w14:srgbClr w14:val="000000">
                <w14:alpha w14:val="100000"/>
              </w14:srgbClr>
            </w14:solidFill>
          </w14:textFill>
        </w:rPr>
        <w:t>|</w:t>
      </w:r>
      <w:r w:rsidRPr="00592818">
        <w:rPr>
          <w:rFonts w:hint="eastAsia"/>
          <w:iCs/>
          <w:color w:val="000000"/>
          <w:spacing w:val="-6"/>
          <w:w w:val="15"/>
          <w:shd w:val="solid" w:color="000000" w:fill="000000"/>
          <w:fitText w:val="75" w:id="-1256558324"/>
          <w14:textFill>
            <w14:solidFill>
              <w14:srgbClr w14:val="000000">
                <w14:alpha w14:val="100000"/>
              </w14:srgbClr>
            </w14:solidFill>
          </w14:textFill>
        </w:rPr>
        <w:t xml:space="preserve">　</w:t>
      </w:r>
      <w:r w:rsidRPr="00592818">
        <w:rPr>
          <w:iCs/>
          <w:color w:val="auto"/>
        </w:rPr>
        <w:t xml:space="preserve"> </w:t>
      </w:r>
      <w:r w:rsidRPr="00592818">
        <w:rPr>
          <w:rFonts w:hint="eastAsia"/>
          <w:iCs/>
          <w:color w:val="000000"/>
          <w:w w:val="15"/>
          <w:shd w:val="solid" w:color="000000" w:fill="000000"/>
          <w:fitText w:val="75" w:id="-1256558323"/>
          <w14:textFill>
            <w14:solidFill>
              <w14:srgbClr w14:val="000000">
                <w14:alpha w14:val="100000"/>
              </w14:srgbClr>
            </w14:solidFill>
          </w14:textFill>
        </w:rPr>
        <w:t xml:space="preserve">　</w:t>
      </w:r>
      <w:r w:rsidRPr="00592818">
        <w:rPr>
          <w:iCs/>
          <w:color w:val="000000"/>
          <w:w w:val="15"/>
          <w:shd w:val="solid" w:color="000000" w:fill="000000"/>
          <w:fitText w:val="75" w:id="-1256558323"/>
          <w14:textFill>
            <w14:solidFill>
              <w14:srgbClr w14:val="000000">
                <w14:alpha w14:val="100000"/>
              </w14:srgbClr>
            </w14:solidFill>
          </w14:textFill>
        </w:rPr>
        <w:t>|</w:t>
      </w:r>
      <w:r w:rsidRPr="00592818">
        <w:rPr>
          <w:rFonts w:hint="eastAsia"/>
          <w:iCs/>
          <w:color w:val="000000"/>
          <w:spacing w:val="-6"/>
          <w:w w:val="15"/>
          <w:shd w:val="solid" w:color="000000" w:fill="000000"/>
          <w:fitText w:val="75" w:id="-1256558323"/>
          <w14:textFill>
            <w14:solidFill>
              <w14:srgbClr w14:val="000000">
                <w14:alpha w14:val="100000"/>
              </w14:srgbClr>
            </w14:solidFill>
          </w14:textFill>
        </w:rPr>
        <w:t xml:space="preserve">　</w:t>
      </w:r>
      <w:r w:rsidRPr="00592818">
        <w:rPr>
          <w:iCs/>
          <w:color w:val="auto"/>
        </w:rPr>
        <w:t xml:space="preserve"> </w:t>
      </w:r>
      <w:r w:rsidRPr="00592818">
        <w:rPr>
          <w:rFonts w:hint="eastAsia"/>
          <w:iCs/>
          <w:color w:val="000000"/>
          <w:w w:val="15"/>
          <w:shd w:val="solid" w:color="000000" w:fill="000000"/>
          <w:fitText w:val="75" w:id="-1256558322"/>
          <w14:textFill>
            <w14:solidFill>
              <w14:srgbClr w14:val="000000">
                <w14:alpha w14:val="100000"/>
              </w14:srgbClr>
            </w14:solidFill>
          </w14:textFill>
        </w:rPr>
        <w:t xml:space="preserve">　</w:t>
      </w:r>
      <w:r w:rsidRPr="00592818">
        <w:rPr>
          <w:iCs/>
          <w:color w:val="000000"/>
          <w:w w:val="15"/>
          <w:shd w:val="solid" w:color="000000" w:fill="000000"/>
          <w:fitText w:val="75" w:id="-1256558322"/>
          <w14:textFill>
            <w14:solidFill>
              <w14:srgbClr w14:val="000000">
                <w14:alpha w14:val="100000"/>
              </w14:srgbClr>
            </w14:solidFill>
          </w14:textFill>
        </w:rPr>
        <w:t>|</w:t>
      </w:r>
      <w:r w:rsidRPr="00592818">
        <w:rPr>
          <w:rFonts w:hint="eastAsia"/>
          <w:iCs/>
          <w:color w:val="000000"/>
          <w:spacing w:val="-6"/>
          <w:w w:val="15"/>
          <w:shd w:val="solid" w:color="000000" w:fill="000000"/>
          <w:fitText w:val="75" w:id="-1256558322"/>
          <w14:textFill>
            <w14:solidFill>
              <w14:srgbClr w14:val="000000">
                <w14:alpha w14:val="100000"/>
              </w14:srgbClr>
            </w14:solidFill>
          </w14:textFill>
        </w:rPr>
        <w:t xml:space="preserve">　</w:t>
      </w:r>
      <w:r w:rsidRPr="00592818">
        <w:rPr>
          <w:iCs/>
          <w:color w:val="auto"/>
        </w:rPr>
        <w:t xml:space="preserve"> </w:t>
      </w:r>
      <w:r w:rsidRPr="00592818">
        <w:rPr>
          <w:rFonts w:hint="eastAsia"/>
          <w:iCs/>
          <w:color w:val="000000"/>
          <w:w w:val="15"/>
          <w:shd w:val="solid" w:color="000000" w:fill="000000"/>
          <w:fitText w:val="75" w:id="-1256558080"/>
          <w14:textFill>
            <w14:solidFill>
              <w14:srgbClr w14:val="000000">
                <w14:alpha w14:val="100000"/>
              </w14:srgbClr>
            </w14:solidFill>
          </w14:textFill>
        </w:rPr>
        <w:t xml:space="preserve">　</w:t>
      </w:r>
      <w:r w:rsidRPr="00592818">
        <w:rPr>
          <w:iCs/>
          <w:color w:val="000000"/>
          <w:w w:val="15"/>
          <w:shd w:val="solid" w:color="000000" w:fill="000000"/>
          <w:fitText w:val="75" w:id="-1256558080"/>
          <w14:textFill>
            <w14:solidFill>
              <w14:srgbClr w14:val="000000">
                <w14:alpha w14:val="100000"/>
              </w14:srgbClr>
            </w14:solidFill>
          </w14:textFill>
        </w:rPr>
        <w:t>|</w:t>
      </w:r>
      <w:r w:rsidRPr="00592818">
        <w:rPr>
          <w:rFonts w:hint="eastAsia"/>
          <w:iCs/>
          <w:color w:val="000000"/>
          <w:spacing w:val="-6"/>
          <w:w w:val="15"/>
          <w:shd w:val="solid" w:color="000000" w:fill="000000"/>
          <w:fitText w:val="75" w:id="-1256558080"/>
          <w14:textFill>
            <w14:solidFill>
              <w14:srgbClr w14:val="000000">
                <w14:alpha w14:val="100000"/>
              </w14:srgbClr>
            </w14:solidFill>
          </w14:textFill>
        </w:rPr>
        <w:t xml:space="preserve">　</w:t>
      </w:r>
      <w:r w:rsidRPr="00592818">
        <w:rPr>
          <w:iCs/>
          <w:color w:val="auto"/>
        </w:rPr>
        <w:t xml:space="preserve"> </w:t>
      </w:r>
      <w:r w:rsidRPr="00592818">
        <w:rPr>
          <w:rFonts w:hint="eastAsia"/>
          <w:iCs/>
          <w:color w:val="000000"/>
          <w:w w:val="15"/>
          <w:shd w:val="solid" w:color="000000" w:fill="000000"/>
          <w:fitText w:val="88" w:id="-1256558079"/>
          <w14:textFill>
            <w14:solidFill>
              <w14:srgbClr w14:val="000000">
                <w14:alpha w14:val="100000"/>
              </w14:srgbClr>
            </w14:solidFill>
          </w14:textFill>
        </w:rPr>
        <w:t xml:space="preserve">　</w:t>
      </w:r>
      <w:r w:rsidRPr="00592818">
        <w:rPr>
          <w:iCs/>
          <w:color w:val="000000"/>
          <w:w w:val="15"/>
          <w:shd w:val="solid" w:color="000000" w:fill="000000"/>
          <w:fitText w:val="88" w:id="-1256558079"/>
          <w14:textFill>
            <w14:solidFill>
              <w14:srgbClr w14:val="000000">
                <w14:alpha w14:val="100000"/>
              </w14:srgbClr>
            </w14:solidFill>
          </w14:textFill>
        </w:rPr>
        <w:t>|</w:t>
      </w:r>
      <w:r w:rsidRPr="00592818">
        <w:rPr>
          <w:rFonts w:hint="eastAsia"/>
          <w:iCs/>
          <w:color w:val="000000"/>
          <w:spacing w:val="6"/>
          <w:w w:val="15"/>
          <w:shd w:val="solid" w:color="000000" w:fill="000000"/>
          <w:fitText w:val="88" w:id="-1256558079"/>
          <w14:textFill>
            <w14:solidFill>
              <w14:srgbClr w14:val="000000">
                <w14:alpha w14:val="100000"/>
              </w14:srgbClr>
            </w14:solidFill>
          </w14:textFill>
        </w:rPr>
        <w:t xml:space="preserve">　</w:t>
      </w:r>
      <w:r w:rsidRPr="00592818">
        <w:rPr>
          <w:iCs/>
          <w:color w:val="auto"/>
        </w:rPr>
        <w:t xml:space="preserve"> </w:t>
      </w:r>
      <w:r w:rsidRPr="00592818">
        <w:rPr>
          <w:rFonts w:hint="eastAsia"/>
          <w:iCs/>
          <w:color w:val="000000"/>
          <w:w w:val="15"/>
          <w:shd w:val="solid" w:color="000000" w:fill="000000"/>
          <w:fitText w:val="76" w:id="-1256558078"/>
          <w14:textFill>
            <w14:solidFill>
              <w14:srgbClr w14:val="000000">
                <w14:alpha w14:val="100000"/>
              </w14:srgbClr>
            </w14:solidFill>
          </w14:textFill>
        </w:rPr>
        <w:t xml:space="preserve">　</w:t>
      </w:r>
      <w:r w:rsidRPr="00592818">
        <w:rPr>
          <w:iCs/>
          <w:color w:val="000000"/>
          <w:w w:val="15"/>
          <w:shd w:val="solid" w:color="000000" w:fill="000000"/>
          <w:fitText w:val="76" w:id="-1256558078"/>
          <w14:textFill>
            <w14:solidFill>
              <w14:srgbClr w14:val="000000">
                <w14:alpha w14:val="100000"/>
              </w14:srgbClr>
            </w14:solidFill>
          </w14:textFill>
        </w:rPr>
        <w:t>|</w:t>
      </w:r>
      <w:r w:rsidRPr="00592818">
        <w:rPr>
          <w:rFonts w:hint="eastAsia"/>
          <w:iCs/>
          <w:color w:val="000000"/>
          <w:spacing w:val="-5"/>
          <w:w w:val="15"/>
          <w:shd w:val="solid" w:color="000000" w:fill="000000"/>
          <w:fitText w:val="76" w:id="-1256558078"/>
          <w14:textFill>
            <w14:solidFill>
              <w14:srgbClr w14:val="000000">
                <w14:alpha w14:val="100000"/>
              </w14:srgbClr>
            </w14:solidFill>
          </w14:textFill>
        </w:rPr>
        <w:t xml:space="preserve">　</w:t>
      </w:r>
    </w:p>
    <w:p w14:paraId="325A697D" w14:textId="5058E8A2" w:rsidR="00592818" w:rsidRPr="00592818" w:rsidRDefault="00592818" w:rsidP="00F259E1">
      <w:pPr>
        <w:pStyle w:val="Instructionaltext"/>
        <w:numPr>
          <w:ilvl w:val="0"/>
          <w:numId w:val="11"/>
        </w:numPr>
        <w:rPr>
          <w:iCs/>
          <w:color w:val="auto"/>
        </w:rPr>
      </w:pPr>
      <w:r w:rsidRPr="00592818">
        <w:rPr>
          <w:rFonts w:hint="eastAsia"/>
          <w:iCs/>
          <w:color w:val="000000"/>
          <w:w w:val="15"/>
          <w:shd w:val="solid" w:color="000000" w:fill="000000"/>
          <w:fitText w:val="75" w:id="-1256558077"/>
          <w14:textFill>
            <w14:solidFill>
              <w14:srgbClr w14:val="000000">
                <w14:alpha w14:val="100000"/>
              </w14:srgbClr>
            </w14:solidFill>
          </w14:textFill>
        </w:rPr>
        <w:t xml:space="preserve">　</w:t>
      </w:r>
      <w:r w:rsidRPr="00592818">
        <w:rPr>
          <w:iCs/>
          <w:color w:val="000000"/>
          <w:w w:val="15"/>
          <w:shd w:val="solid" w:color="000000" w:fill="000000"/>
          <w:fitText w:val="75" w:id="-1256558077"/>
          <w14:textFill>
            <w14:solidFill>
              <w14:srgbClr w14:val="000000">
                <w14:alpha w14:val="100000"/>
              </w14:srgbClr>
            </w14:solidFill>
          </w14:textFill>
        </w:rPr>
        <w:t>|</w:t>
      </w:r>
      <w:r w:rsidRPr="00592818">
        <w:rPr>
          <w:rFonts w:hint="eastAsia"/>
          <w:iCs/>
          <w:color w:val="000000"/>
          <w:spacing w:val="-6"/>
          <w:w w:val="15"/>
          <w:shd w:val="solid" w:color="000000" w:fill="000000"/>
          <w:fitText w:val="75" w:id="-1256558077"/>
          <w14:textFill>
            <w14:solidFill>
              <w14:srgbClr w14:val="000000">
                <w14:alpha w14:val="100000"/>
              </w14:srgbClr>
            </w14:solidFill>
          </w14:textFill>
        </w:rPr>
        <w:t xml:space="preserve">　</w:t>
      </w:r>
      <w:r w:rsidRPr="00592818">
        <w:rPr>
          <w:iCs/>
          <w:color w:val="auto"/>
        </w:rPr>
        <w:t xml:space="preserve"> </w:t>
      </w:r>
      <w:r w:rsidRPr="00592818">
        <w:rPr>
          <w:rFonts w:hint="eastAsia"/>
          <w:iCs/>
          <w:color w:val="000000"/>
          <w:w w:val="15"/>
          <w:shd w:val="solid" w:color="000000" w:fill="000000"/>
          <w:fitText w:val="75" w:id="-1256558076"/>
          <w14:textFill>
            <w14:solidFill>
              <w14:srgbClr w14:val="000000">
                <w14:alpha w14:val="100000"/>
              </w14:srgbClr>
            </w14:solidFill>
          </w14:textFill>
        </w:rPr>
        <w:t xml:space="preserve">　</w:t>
      </w:r>
      <w:r w:rsidRPr="00592818">
        <w:rPr>
          <w:iCs/>
          <w:color w:val="000000"/>
          <w:w w:val="15"/>
          <w:shd w:val="solid" w:color="000000" w:fill="000000"/>
          <w:fitText w:val="75" w:id="-1256558076"/>
          <w14:textFill>
            <w14:solidFill>
              <w14:srgbClr w14:val="000000">
                <w14:alpha w14:val="100000"/>
              </w14:srgbClr>
            </w14:solidFill>
          </w14:textFill>
        </w:rPr>
        <w:t>|</w:t>
      </w:r>
      <w:r w:rsidRPr="00592818">
        <w:rPr>
          <w:rFonts w:hint="eastAsia"/>
          <w:iCs/>
          <w:color w:val="000000"/>
          <w:spacing w:val="-6"/>
          <w:w w:val="15"/>
          <w:shd w:val="solid" w:color="000000" w:fill="000000"/>
          <w:fitText w:val="75" w:id="-1256558076"/>
          <w14:textFill>
            <w14:solidFill>
              <w14:srgbClr w14:val="000000">
                <w14:alpha w14:val="100000"/>
              </w14:srgbClr>
            </w14:solidFill>
          </w14:textFill>
        </w:rPr>
        <w:t xml:space="preserve">　</w:t>
      </w:r>
      <w:r w:rsidRPr="00592818">
        <w:rPr>
          <w:iCs/>
          <w:color w:val="auto"/>
        </w:rPr>
        <w:t xml:space="preserve"> </w:t>
      </w:r>
      <w:r w:rsidRPr="00592818">
        <w:rPr>
          <w:rFonts w:hint="eastAsia"/>
          <w:iCs/>
          <w:color w:val="000000"/>
          <w:w w:val="15"/>
          <w:shd w:val="solid" w:color="000000" w:fill="000000"/>
          <w:fitText w:val="75" w:id="-1256558075"/>
          <w14:textFill>
            <w14:solidFill>
              <w14:srgbClr w14:val="000000">
                <w14:alpha w14:val="100000"/>
              </w14:srgbClr>
            </w14:solidFill>
          </w14:textFill>
        </w:rPr>
        <w:t xml:space="preserve">　</w:t>
      </w:r>
      <w:r w:rsidRPr="00592818">
        <w:rPr>
          <w:iCs/>
          <w:color w:val="000000"/>
          <w:w w:val="15"/>
          <w:shd w:val="solid" w:color="000000" w:fill="000000"/>
          <w:fitText w:val="75" w:id="-1256558075"/>
          <w14:textFill>
            <w14:solidFill>
              <w14:srgbClr w14:val="000000">
                <w14:alpha w14:val="100000"/>
              </w14:srgbClr>
            </w14:solidFill>
          </w14:textFill>
        </w:rPr>
        <w:t>|</w:t>
      </w:r>
      <w:r w:rsidRPr="00592818">
        <w:rPr>
          <w:rFonts w:hint="eastAsia"/>
          <w:iCs/>
          <w:color w:val="000000"/>
          <w:spacing w:val="-6"/>
          <w:w w:val="15"/>
          <w:shd w:val="solid" w:color="000000" w:fill="000000"/>
          <w:fitText w:val="75" w:id="-1256558075"/>
          <w14:textFill>
            <w14:solidFill>
              <w14:srgbClr w14:val="000000">
                <w14:alpha w14:val="100000"/>
              </w14:srgbClr>
            </w14:solidFill>
          </w14:textFill>
        </w:rPr>
        <w:t xml:space="preserve">　</w:t>
      </w:r>
      <w:r w:rsidRPr="00592818">
        <w:rPr>
          <w:iCs/>
          <w:color w:val="auto"/>
        </w:rPr>
        <w:t xml:space="preserve"> </w:t>
      </w:r>
      <w:r w:rsidRPr="00592818">
        <w:rPr>
          <w:rFonts w:hint="eastAsia"/>
          <w:iCs/>
          <w:color w:val="000000"/>
          <w:w w:val="15"/>
          <w:shd w:val="solid" w:color="000000" w:fill="000000"/>
          <w:fitText w:val="75" w:id="-1256558074"/>
          <w14:textFill>
            <w14:solidFill>
              <w14:srgbClr w14:val="000000">
                <w14:alpha w14:val="100000"/>
              </w14:srgbClr>
            </w14:solidFill>
          </w14:textFill>
        </w:rPr>
        <w:t xml:space="preserve">　</w:t>
      </w:r>
      <w:r w:rsidRPr="00592818">
        <w:rPr>
          <w:iCs/>
          <w:color w:val="000000"/>
          <w:w w:val="15"/>
          <w:shd w:val="solid" w:color="000000" w:fill="000000"/>
          <w:fitText w:val="75" w:id="-1256558074"/>
          <w14:textFill>
            <w14:solidFill>
              <w14:srgbClr w14:val="000000">
                <w14:alpha w14:val="100000"/>
              </w14:srgbClr>
            </w14:solidFill>
          </w14:textFill>
        </w:rPr>
        <w:t>|</w:t>
      </w:r>
      <w:r w:rsidRPr="00592818">
        <w:rPr>
          <w:rFonts w:hint="eastAsia"/>
          <w:iCs/>
          <w:color w:val="000000"/>
          <w:spacing w:val="-6"/>
          <w:w w:val="15"/>
          <w:shd w:val="solid" w:color="000000" w:fill="000000"/>
          <w:fitText w:val="75" w:id="-1256558074"/>
          <w14:textFill>
            <w14:solidFill>
              <w14:srgbClr w14:val="000000">
                <w14:alpha w14:val="100000"/>
              </w14:srgbClr>
            </w14:solidFill>
          </w14:textFill>
        </w:rPr>
        <w:t xml:space="preserve">　</w:t>
      </w:r>
      <w:r w:rsidRPr="00592818">
        <w:rPr>
          <w:iCs/>
          <w:color w:val="auto"/>
        </w:rPr>
        <w:t xml:space="preserve"> </w:t>
      </w:r>
      <w:r w:rsidRPr="00592818">
        <w:rPr>
          <w:rFonts w:hint="eastAsia"/>
          <w:iCs/>
          <w:color w:val="000000"/>
          <w:w w:val="15"/>
          <w:shd w:val="solid" w:color="000000" w:fill="000000"/>
          <w:fitText w:val="75" w:id="-1256558073"/>
          <w14:textFill>
            <w14:solidFill>
              <w14:srgbClr w14:val="000000">
                <w14:alpha w14:val="100000"/>
              </w14:srgbClr>
            </w14:solidFill>
          </w14:textFill>
        </w:rPr>
        <w:t xml:space="preserve">　</w:t>
      </w:r>
      <w:r w:rsidRPr="00592818">
        <w:rPr>
          <w:iCs/>
          <w:color w:val="000000"/>
          <w:w w:val="15"/>
          <w:shd w:val="solid" w:color="000000" w:fill="000000"/>
          <w:fitText w:val="75" w:id="-1256558073"/>
          <w14:textFill>
            <w14:solidFill>
              <w14:srgbClr w14:val="000000">
                <w14:alpha w14:val="100000"/>
              </w14:srgbClr>
            </w14:solidFill>
          </w14:textFill>
        </w:rPr>
        <w:t>|</w:t>
      </w:r>
      <w:r w:rsidRPr="00592818">
        <w:rPr>
          <w:rFonts w:hint="eastAsia"/>
          <w:iCs/>
          <w:color w:val="000000"/>
          <w:spacing w:val="-6"/>
          <w:w w:val="15"/>
          <w:shd w:val="solid" w:color="000000" w:fill="000000"/>
          <w:fitText w:val="75" w:id="-1256558073"/>
          <w14:textFill>
            <w14:solidFill>
              <w14:srgbClr w14:val="000000">
                <w14:alpha w14:val="100000"/>
              </w14:srgbClr>
            </w14:solidFill>
          </w14:textFill>
        </w:rPr>
        <w:t xml:space="preserve">　</w:t>
      </w:r>
      <w:r w:rsidRPr="00592818">
        <w:rPr>
          <w:iCs/>
          <w:color w:val="auto"/>
        </w:rPr>
        <w:t xml:space="preserve"> </w:t>
      </w:r>
      <w:r w:rsidRPr="00592818">
        <w:rPr>
          <w:rFonts w:hint="eastAsia"/>
          <w:iCs/>
          <w:color w:val="000000"/>
          <w:w w:val="15"/>
          <w:shd w:val="solid" w:color="000000" w:fill="000000"/>
          <w:fitText w:val="88" w:id="-1256558072"/>
          <w14:textFill>
            <w14:solidFill>
              <w14:srgbClr w14:val="000000">
                <w14:alpha w14:val="100000"/>
              </w14:srgbClr>
            </w14:solidFill>
          </w14:textFill>
        </w:rPr>
        <w:t xml:space="preserve">　</w:t>
      </w:r>
      <w:r w:rsidRPr="00592818">
        <w:rPr>
          <w:iCs/>
          <w:color w:val="000000"/>
          <w:w w:val="15"/>
          <w:shd w:val="solid" w:color="000000" w:fill="000000"/>
          <w:fitText w:val="88" w:id="-1256558072"/>
          <w14:textFill>
            <w14:solidFill>
              <w14:srgbClr w14:val="000000">
                <w14:alpha w14:val="100000"/>
              </w14:srgbClr>
            </w14:solidFill>
          </w14:textFill>
        </w:rPr>
        <w:t>|</w:t>
      </w:r>
      <w:r w:rsidRPr="00592818">
        <w:rPr>
          <w:rFonts w:hint="eastAsia"/>
          <w:iCs/>
          <w:color w:val="000000"/>
          <w:spacing w:val="6"/>
          <w:w w:val="15"/>
          <w:shd w:val="solid" w:color="000000" w:fill="000000"/>
          <w:fitText w:val="88" w:id="-1256558072"/>
          <w14:textFill>
            <w14:solidFill>
              <w14:srgbClr w14:val="000000">
                <w14:alpha w14:val="100000"/>
              </w14:srgbClr>
            </w14:solidFill>
          </w14:textFill>
        </w:rPr>
        <w:t xml:space="preserve">　</w:t>
      </w:r>
    </w:p>
    <w:p w14:paraId="4282D9B4" w14:textId="1F48FCF9" w:rsidR="00592818" w:rsidRPr="00592818" w:rsidRDefault="00592818" w:rsidP="00F259E1">
      <w:pPr>
        <w:pStyle w:val="Instructionaltext"/>
        <w:numPr>
          <w:ilvl w:val="0"/>
          <w:numId w:val="11"/>
        </w:numPr>
        <w:rPr>
          <w:iCs/>
          <w:color w:val="auto"/>
        </w:rPr>
      </w:pPr>
      <w:r w:rsidRPr="00592818">
        <w:rPr>
          <w:rFonts w:hint="eastAsia"/>
          <w:iCs/>
          <w:color w:val="000000"/>
          <w:w w:val="15"/>
          <w:shd w:val="solid" w:color="000000" w:fill="000000"/>
          <w:fitText w:val="75" w:id="-1256558071"/>
          <w14:textFill>
            <w14:solidFill>
              <w14:srgbClr w14:val="000000">
                <w14:alpha w14:val="100000"/>
              </w14:srgbClr>
            </w14:solidFill>
          </w14:textFill>
        </w:rPr>
        <w:t xml:space="preserve">　</w:t>
      </w:r>
      <w:r w:rsidRPr="00592818">
        <w:rPr>
          <w:iCs/>
          <w:color w:val="000000"/>
          <w:w w:val="15"/>
          <w:shd w:val="solid" w:color="000000" w:fill="000000"/>
          <w:fitText w:val="75" w:id="-1256558071"/>
          <w14:textFill>
            <w14:solidFill>
              <w14:srgbClr w14:val="000000">
                <w14:alpha w14:val="100000"/>
              </w14:srgbClr>
            </w14:solidFill>
          </w14:textFill>
        </w:rPr>
        <w:t>|</w:t>
      </w:r>
      <w:r w:rsidRPr="00592818">
        <w:rPr>
          <w:rFonts w:hint="eastAsia"/>
          <w:iCs/>
          <w:color w:val="000000"/>
          <w:spacing w:val="-6"/>
          <w:w w:val="15"/>
          <w:shd w:val="solid" w:color="000000" w:fill="000000"/>
          <w:fitText w:val="75" w:id="-1256558071"/>
          <w14:textFill>
            <w14:solidFill>
              <w14:srgbClr w14:val="000000">
                <w14:alpha w14:val="100000"/>
              </w14:srgbClr>
            </w14:solidFill>
          </w14:textFill>
        </w:rPr>
        <w:t xml:space="preserve">　</w:t>
      </w:r>
      <w:r w:rsidRPr="00592818">
        <w:rPr>
          <w:iCs/>
          <w:color w:val="auto"/>
        </w:rPr>
        <w:t xml:space="preserve"> </w:t>
      </w:r>
      <w:r w:rsidRPr="00592818">
        <w:rPr>
          <w:rFonts w:hint="eastAsia"/>
          <w:iCs/>
          <w:color w:val="000000"/>
          <w:w w:val="15"/>
          <w:shd w:val="solid" w:color="000000" w:fill="000000"/>
          <w:fitText w:val="75" w:id="-1256558070"/>
          <w14:textFill>
            <w14:solidFill>
              <w14:srgbClr w14:val="000000">
                <w14:alpha w14:val="100000"/>
              </w14:srgbClr>
            </w14:solidFill>
          </w14:textFill>
        </w:rPr>
        <w:t xml:space="preserve">　</w:t>
      </w:r>
      <w:r w:rsidRPr="00592818">
        <w:rPr>
          <w:iCs/>
          <w:color w:val="000000"/>
          <w:w w:val="15"/>
          <w:shd w:val="solid" w:color="000000" w:fill="000000"/>
          <w:fitText w:val="75" w:id="-1256558070"/>
          <w14:textFill>
            <w14:solidFill>
              <w14:srgbClr w14:val="000000">
                <w14:alpha w14:val="100000"/>
              </w14:srgbClr>
            </w14:solidFill>
          </w14:textFill>
        </w:rPr>
        <w:t>|</w:t>
      </w:r>
      <w:r w:rsidRPr="00592818">
        <w:rPr>
          <w:rFonts w:hint="eastAsia"/>
          <w:iCs/>
          <w:color w:val="000000"/>
          <w:spacing w:val="-6"/>
          <w:w w:val="15"/>
          <w:shd w:val="solid" w:color="000000" w:fill="000000"/>
          <w:fitText w:val="75" w:id="-1256558070"/>
          <w14:textFill>
            <w14:solidFill>
              <w14:srgbClr w14:val="000000">
                <w14:alpha w14:val="100000"/>
              </w14:srgbClr>
            </w14:solidFill>
          </w14:textFill>
        </w:rPr>
        <w:t xml:space="preserve">　</w:t>
      </w:r>
      <w:r w:rsidRPr="00592818">
        <w:rPr>
          <w:iCs/>
          <w:color w:val="auto"/>
        </w:rPr>
        <w:t xml:space="preserve"> </w:t>
      </w:r>
      <w:r w:rsidRPr="00592818">
        <w:rPr>
          <w:rFonts w:hint="eastAsia"/>
          <w:iCs/>
          <w:color w:val="000000"/>
          <w:w w:val="15"/>
          <w:shd w:val="solid" w:color="000000" w:fill="000000"/>
          <w:fitText w:val="75" w:id="-1256558069"/>
          <w14:textFill>
            <w14:solidFill>
              <w14:srgbClr w14:val="000000">
                <w14:alpha w14:val="100000"/>
              </w14:srgbClr>
            </w14:solidFill>
          </w14:textFill>
        </w:rPr>
        <w:t xml:space="preserve">　</w:t>
      </w:r>
      <w:r w:rsidRPr="00592818">
        <w:rPr>
          <w:iCs/>
          <w:color w:val="000000"/>
          <w:w w:val="15"/>
          <w:shd w:val="solid" w:color="000000" w:fill="000000"/>
          <w:fitText w:val="75" w:id="-1256558069"/>
          <w14:textFill>
            <w14:solidFill>
              <w14:srgbClr w14:val="000000">
                <w14:alpha w14:val="100000"/>
              </w14:srgbClr>
            </w14:solidFill>
          </w14:textFill>
        </w:rPr>
        <w:t>|</w:t>
      </w:r>
      <w:r w:rsidRPr="00592818">
        <w:rPr>
          <w:rFonts w:hint="eastAsia"/>
          <w:iCs/>
          <w:color w:val="000000"/>
          <w:spacing w:val="-6"/>
          <w:w w:val="15"/>
          <w:shd w:val="solid" w:color="000000" w:fill="000000"/>
          <w:fitText w:val="75" w:id="-1256558069"/>
          <w14:textFill>
            <w14:solidFill>
              <w14:srgbClr w14:val="000000">
                <w14:alpha w14:val="100000"/>
              </w14:srgbClr>
            </w14:solidFill>
          </w14:textFill>
        </w:rPr>
        <w:t xml:space="preserve">　</w:t>
      </w:r>
      <w:r w:rsidRPr="00592818">
        <w:rPr>
          <w:iCs/>
          <w:color w:val="auto"/>
        </w:rPr>
        <w:t xml:space="preserve"> </w:t>
      </w:r>
      <w:r w:rsidRPr="00592818">
        <w:rPr>
          <w:rFonts w:hint="eastAsia"/>
          <w:iCs/>
          <w:color w:val="000000"/>
          <w:w w:val="15"/>
          <w:shd w:val="solid" w:color="000000" w:fill="000000"/>
          <w:fitText w:val="75" w:id="-1256558068"/>
          <w14:textFill>
            <w14:solidFill>
              <w14:srgbClr w14:val="000000">
                <w14:alpha w14:val="100000"/>
              </w14:srgbClr>
            </w14:solidFill>
          </w14:textFill>
        </w:rPr>
        <w:t xml:space="preserve">　</w:t>
      </w:r>
      <w:r w:rsidRPr="00592818">
        <w:rPr>
          <w:iCs/>
          <w:color w:val="000000"/>
          <w:w w:val="15"/>
          <w:shd w:val="solid" w:color="000000" w:fill="000000"/>
          <w:fitText w:val="75" w:id="-1256558068"/>
          <w14:textFill>
            <w14:solidFill>
              <w14:srgbClr w14:val="000000">
                <w14:alpha w14:val="100000"/>
              </w14:srgbClr>
            </w14:solidFill>
          </w14:textFill>
        </w:rPr>
        <w:t>|</w:t>
      </w:r>
      <w:r w:rsidRPr="00592818">
        <w:rPr>
          <w:rFonts w:hint="eastAsia"/>
          <w:iCs/>
          <w:color w:val="000000"/>
          <w:spacing w:val="-6"/>
          <w:w w:val="15"/>
          <w:shd w:val="solid" w:color="000000" w:fill="000000"/>
          <w:fitText w:val="75" w:id="-1256558068"/>
          <w14:textFill>
            <w14:solidFill>
              <w14:srgbClr w14:val="000000">
                <w14:alpha w14:val="100000"/>
              </w14:srgbClr>
            </w14:solidFill>
          </w14:textFill>
        </w:rPr>
        <w:t xml:space="preserve">　</w:t>
      </w:r>
      <w:r w:rsidRPr="00592818">
        <w:rPr>
          <w:iCs/>
          <w:color w:val="auto"/>
        </w:rPr>
        <w:t xml:space="preserve"> </w:t>
      </w:r>
      <w:r w:rsidRPr="00592818">
        <w:rPr>
          <w:rFonts w:hint="eastAsia"/>
          <w:iCs/>
          <w:color w:val="000000"/>
          <w:w w:val="15"/>
          <w:shd w:val="solid" w:color="000000" w:fill="000000"/>
          <w:fitText w:val="75" w:id="-1256558067"/>
          <w14:textFill>
            <w14:solidFill>
              <w14:srgbClr w14:val="000000">
                <w14:alpha w14:val="100000"/>
              </w14:srgbClr>
            </w14:solidFill>
          </w14:textFill>
        </w:rPr>
        <w:t xml:space="preserve">　</w:t>
      </w:r>
      <w:r w:rsidRPr="00592818">
        <w:rPr>
          <w:iCs/>
          <w:color w:val="000000"/>
          <w:w w:val="15"/>
          <w:shd w:val="solid" w:color="000000" w:fill="000000"/>
          <w:fitText w:val="75" w:id="-1256558067"/>
          <w14:textFill>
            <w14:solidFill>
              <w14:srgbClr w14:val="000000">
                <w14:alpha w14:val="100000"/>
              </w14:srgbClr>
            </w14:solidFill>
          </w14:textFill>
        </w:rPr>
        <w:t>|</w:t>
      </w:r>
      <w:r w:rsidRPr="00592818">
        <w:rPr>
          <w:rFonts w:hint="eastAsia"/>
          <w:iCs/>
          <w:color w:val="000000"/>
          <w:spacing w:val="-6"/>
          <w:w w:val="15"/>
          <w:shd w:val="solid" w:color="000000" w:fill="000000"/>
          <w:fitText w:val="75" w:id="-1256558067"/>
          <w14:textFill>
            <w14:solidFill>
              <w14:srgbClr w14:val="000000">
                <w14:alpha w14:val="100000"/>
              </w14:srgbClr>
            </w14:solidFill>
          </w14:textFill>
        </w:rPr>
        <w:t xml:space="preserve">　</w:t>
      </w:r>
    </w:p>
    <w:p w14:paraId="5F9AF4EC" w14:textId="12CEC084" w:rsidR="00DF3912" w:rsidRPr="00096DBF" w:rsidRDefault="00592818" w:rsidP="00E76AE0">
      <w:pPr>
        <w:pStyle w:val="Instructionaltext"/>
        <w:rPr>
          <w:iCs/>
          <w:color w:val="auto"/>
        </w:rPr>
      </w:pPr>
      <w:r w:rsidRPr="00592818">
        <w:rPr>
          <w:iCs/>
          <w:color w:val="000000"/>
          <w:w w:val="66"/>
          <w:shd w:val="solid" w:color="000000" w:fill="000000"/>
          <w:fitText w:val="439" w:id="-1256558066"/>
          <w14:textFill>
            <w14:solidFill>
              <w14:srgbClr w14:val="000000">
                <w14:alpha w14:val="100000"/>
              </w14:srgbClr>
            </w14:solidFill>
          </w14:textFill>
        </w:rPr>
        <w:t>|||||</w:t>
      </w:r>
      <w:r w:rsidRPr="00592818">
        <w:rPr>
          <w:iCs/>
          <w:color w:val="000000"/>
          <w:spacing w:val="3"/>
          <w:w w:val="66"/>
          <w:shd w:val="solid" w:color="000000" w:fill="000000"/>
          <w:fitText w:val="439" w:id="-1256558066"/>
          <w14:textFill>
            <w14:solidFill>
              <w14:srgbClr w14:val="000000">
                <w14:alpha w14:val="100000"/>
              </w14:srgbClr>
            </w14:solidFill>
          </w14:textFill>
        </w:rPr>
        <w:t>|</w:t>
      </w:r>
      <w:r w:rsidRPr="00592818">
        <w:rPr>
          <w:iCs/>
          <w:color w:val="auto"/>
        </w:rPr>
        <w:t xml:space="preserve"> </w:t>
      </w:r>
      <w:r w:rsidRPr="00592818">
        <w:rPr>
          <w:iCs/>
          <w:color w:val="000000"/>
          <w:w w:val="66"/>
          <w:shd w:val="solid" w:color="000000" w:fill="000000"/>
          <w:fitText w:val="438" w:id="-1256558065"/>
          <w14:textFill>
            <w14:solidFill>
              <w14:srgbClr w14:val="000000">
                <w14:alpha w14:val="100000"/>
              </w14:srgbClr>
            </w14:solidFill>
          </w14:textFill>
        </w:rPr>
        <w:t>|||||</w:t>
      </w:r>
      <w:r w:rsidRPr="00592818">
        <w:rPr>
          <w:iCs/>
          <w:color w:val="000000"/>
          <w:spacing w:val="2"/>
          <w:w w:val="66"/>
          <w:shd w:val="solid" w:color="000000" w:fill="000000"/>
          <w:fitText w:val="438" w:id="-1256558065"/>
          <w14:textFill>
            <w14:solidFill>
              <w14:srgbClr w14:val="000000">
                <w14:alpha w14:val="100000"/>
              </w14:srgbClr>
            </w14:solidFill>
          </w14:textFill>
        </w:rPr>
        <w:t>|</w:t>
      </w:r>
      <w:r w:rsidRPr="00592818">
        <w:rPr>
          <w:iCs/>
          <w:color w:val="auto"/>
        </w:rPr>
        <w:t xml:space="preserve"> </w:t>
      </w:r>
      <w:r w:rsidRPr="00592818">
        <w:rPr>
          <w:iCs/>
          <w:color w:val="000000"/>
          <w:w w:val="68"/>
          <w:shd w:val="solid" w:color="000000" w:fill="000000"/>
          <w:fitText w:val="451" w:id="-1256558064"/>
          <w14:textFill>
            <w14:solidFill>
              <w14:srgbClr w14:val="000000">
                <w14:alpha w14:val="100000"/>
              </w14:srgbClr>
            </w14:solidFill>
          </w14:textFill>
        </w:rPr>
        <w:t>|||||</w:t>
      </w:r>
      <w:r w:rsidRPr="00592818">
        <w:rPr>
          <w:iCs/>
          <w:color w:val="000000"/>
          <w:spacing w:val="3"/>
          <w:w w:val="68"/>
          <w:shd w:val="solid" w:color="000000" w:fill="000000"/>
          <w:fitText w:val="451" w:id="-1256558064"/>
          <w14:textFill>
            <w14:solidFill>
              <w14:srgbClr w14:val="000000">
                <w14:alpha w14:val="100000"/>
              </w14:srgbClr>
            </w14:solidFill>
          </w14:textFill>
        </w:rPr>
        <w:t>|</w:t>
      </w:r>
      <w:r w:rsidRPr="00592818">
        <w:rPr>
          <w:iCs/>
          <w:color w:val="auto"/>
        </w:rPr>
        <w:t xml:space="preserve"> </w:t>
      </w:r>
      <w:r w:rsidRPr="00592818">
        <w:rPr>
          <w:iCs/>
          <w:color w:val="000000"/>
          <w:w w:val="66"/>
          <w:shd w:val="solid" w:color="000000" w:fill="000000"/>
          <w:fitText w:val="439" w:id="-1256558080"/>
          <w14:textFill>
            <w14:solidFill>
              <w14:srgbClr w14:val="000000">
                <w14:alpha w14:val="100000"/>
              </w14:srgbClr>
            </w14:solidFill>
          </w14:textFill>
        </w:rPr>
        <w:t>|||||</w:t>
      </w:r>
      <w:r w:rsidRPr="00592818">
        <w:rPr>
          <w:iCs/>
          <w:color w:val="000000"/>
          <w:spacing w:val="3"/>
          <w:w w:val="66"/>
          <w:shd w:val="solid" w:color="000000" w:fill="000000"/>
          <w:fitText w:val="439" w:id="-1256558080"/>
          <w14:textFill>
            <w14:solidFill>
              <w14:srgbClr w14:val="000000">
                <w14:alpha w14:val="100000"/>
              </w14:srgbClr>
            </w14:solidFill>
          </w14:textFill>
        </w:rPr>
        <w:t>|</w:t>
      </w:r>
      <w:r w:rsidRPr="00592818">
        <w:rPr>
          <w:iCs/>
          <w:color w:val="auto"/>
        </w:rPr>
        <w:t xml:space="preserve"> </w:t>
      </w:r>
      <w:r w:rsidRPr="00592818">
        <w:rPr>
          <w:iCs/>
          <w:color w:val="000000"/>
          <w:w w:val="66"/>
          <w:shd w:val="solid" w:color="000000" w:fill="000000"/>
          <w:fitText w:val="438" w:id="-1256558079"/>
          <w14:textFill>
            <w14:solidFill>
              <w14:srgbClr w14:val="000000">
                <w14:alpha w14:val="100000"/>
              </w14:srgbClr>
            </w14:solidFill>
          </w14:textFill>
        </w:rPr>
        <w:t>|||||</w:t>
      </w:r>
      <w:r w:rsidRPr="00592818">
        <w:rPr>
          <w:iCs/>
          <w:color w:val="000000"/>
          <w:spacing w:val="2"/>
          <w:w w:val="66"/>
          <w:shd w:val="solid" w:color="000000" w:fill="000000"/>
          <w:fitText w:val="438" w:id="-1256558079"/>
          <w14:textFill>
            <w14:solidFill>
              <w14:srgbClr w14:val="000000">
                <w14:alpha w14:val="100000"/>
              </w14:srgbClr>
            </w14:solidFill>
          </w14:textFill>
        </w:rPr>
        <w:t>|</w:t>
      </w:r>
      <w:r w:rsidRPr="00592818">
        <w:rPr>
          <w:iCs/>
          <w:color w:val="auto"/>
        </w:rPr>
        <w:t xml:space="preserve"> </w:t>
      </w:r>
      <w:r w:rsidRPr="00592818">
        <w:rPr>
          <w:iCs/>
          <w:color w:val="000000"/>
          <w:w w:val="68"/>
          <w:shd w:val="solid" w:color="000000" w:fill="000000"/>
          <w:fitText w:val="451" w:id="-1256558078"/>
          <w14:textFill>
            <w14:solidFill>
              <w14:srgbClr w14:val="000000">
                <w14:alpha w14:val="100000"/>
              </w14:srgbClr>
            </w14:solidFill>
          </w14:textFill>
        </w:rPr>
        <w:t>|||||</w:t>
      </w:r>
      <w:r w:rsidRPr="00592818">
        <w:rPr>
          <w:iCs/>
          <w:color w:val="000000"/>
          <w:spacing w:val="3"/>
          <w:w w:val="68"/>
          <w:shd w:val="solid" w:color="000000" w:fill="000000"/>
          <w:fitText w:val="451" w:id="-1256558078"/>
          <w14:textFill>
            <w14:solidFill>
              <w14:srgbClr w14:val="000000">
                <w14:alpha w14:val="100000"/>
              </w14:srgbClr>
            </w14:solidFill>
          </w14:textFill>
        </w:rPr>
        <w:t>|</w:t>
      </w:r>
      <w:r w:rsidRPr="00592818">
        <w:rPr>
          <w:iCs/>
          <w:color w:val="auto"/>
        </w:rPr>
        <w:t xml:space="preserve"> </w:t>
      </w:r>
      <w:r w:rsidRPr="00592818">
        <w:rPr>
          <w:iCs/>
          <w:color w:val="000000"/>
          <w:w w:val="66"/>
          <w:shd w:val="solid" w:color="000000" w:fill="000000"/>
          <w:fitText w:val="439" w:id="-1256558077"/>
          <w14:textFill>
            <w14:solidFill>
              <w14:srgbClr w14:val="000000">
                <w14:alpha w14:val="100000"/>
              </w14:srgbClr>
            </w14:solidFill>
          </w14:textFill>
        </w:rPr>
        <w:t>|||||</w:t>
      </w:r>
      <w:r w:rsidRPr="00592818">
        <w:rPr>
          <w:iCs/>
          <w:color w:val="000000"/>
          <w:spacing w:val="3"/>
          <w:w w:val="66"/>
          <w:shd w:val="solid" w:color="000000" w:fill="000000"/>
          <w:fitText w:val="439" w:id="-1256558077"/>
          <w14:textFill>
            <w14:solidFill>
              <w14:srgbClr w14:val="000000">
                <w14:alpha w14:val="100000"/>
              </w14:srgbClr>
            </w14:solidFill>
          </w14:textFill>
        </w:rPr>
        <w:t>|</w:t>
      </w:r>
      <w:r w:rsidRPr="00592818">
        <w:rPr>
          <w:iCs/>
          <w:color w:val="auto"/>
        </w:rPr>
        <w:t xml:space="preserve"> </w:t>
      </w:r>
      <w:r w:rsidRPr="00592818">
        <w:rPr>
          <w:iCs/>
          <w:color w:val="000000"/>
          <w:w w:val="66"/>
          <w:shd w:val="solid" w:color="000000" w:fill="000000"/>
          <w:fitText w:val="438" w:id="-1256558076"/>
          <w14:textFill>
            <w14:solidFill>
              <w14:srgbClr w14:val="000000">
                <w14:alpha w14:val="100000"/>
              </w14:srgbClr>
            </w14:solidFill>
          </w14:textFill>
        </w:rPr>
        <w:t>|||||</w:t>
      </w:r>
      <w:r w:rsidRPr="00592818">
        <w:rPr>
          <w:iCs/>
          <w:color w:val="000000"/>
          <w:spacing w:val="2"/>
          <w:w w:val="66"/>
          <w:shd w:val="solid" w:color="000000" w:fill="000000"/>
          <w:fitText w:val="438" w:id="-1256558076"/>
          <w14:textFill>
            <w14:solidFill>
              <w14:srgbClr w14:val="000000">
                <w14:alpha w14:val="100000"/>
              </w14:srgbClr>
            </w14:solidFill>
          </w14:textFill>
        </w:rPr>
        <w:t>|</w:t>
      </w:r>
      <w:r w:rsidRPr="00592818">
        <w:rPr>
          <w:iCs/>
          <w:color w:val="auto"/>
        </w:rPr>
        <w:t xml:space="preserve"> </w:t>
      </w:r>
      <w:r w:rsidRPr="00592818">
        <w:rPr>
          <w:iCs/>
          <w:color w:val="000000"/>
          <w:w w:val="66"/>
          <w:shd w:val="solid" w:color="000000" w:fill="000000"/>
          <w:fitText w:val="438" w:id="-1256558075"/>
          <w14:textFill>
            <w14:solidFill>
              <w14:srgbClr w14:val="000000">
                <w14:alpha w14:val="100000"/>
              </w14:srgbClr>
            </w14:solidFill>
          </w14:textFill>
        </w:rPr>
        <w:t>|||||</w:t>
      </w:r>
      <w:r w:rsidRPr="00592818">
        <w:rPr>
          <w:iCs/>
          <w:color w:val="000000"/>
          <w:spacing w:val="2"/>
          <w:w w:val="66"/>
          <w:shd w:val="solid" w:color="000000" w:fill="000000"/>
          <w:fitText w:val="438" w:id="-1256558075"/>
          <w14:textFill>
            <w14:solidFill>
              <w14:srgbClr w14:val="000000">
                <w14:alpha w14:val="100000"/>
              </w14:srgbClr>
            </w14:solidFill>
          </w14:textFill>
        </w:rPr>
        <w:t>|</w:t>
      </w:r>
      <w:r w:rsidRPr="00592818">
        <w:rPr>
          <w:iCs/>
          <w:color w:val="auto"/>
        </w:rPr>
        <w:t xml:space="preserve"> </w:t>
      </w:r>
      <w:r w:rsidRPr="00592818">
        <w:rPr>
          <w:iCs/>
          <w:color w:val="000000"/>
          <w:w w:val="66"/>
          <w:shd w:val="solid" w:color="000000" w:fill="000000"/>
          <w:fitText w:val="438" w:id="-1256558074"/>
          <w14:textFill>
            <w14:solidFill>
              <w14:srgbClr w14:val="000000">
                <w14:alpha w14:val="100000"/>
              </w14:srgbClr>
            </w14:solidFill>
          </w14:textFill>
        </w:rPr>
        <w:t>|||||</w:t>
      </w:r>
      <w:r w:rsidRPr="00592818">
        <w:rPr>
          <w:iCs/>
          <w:color w:val="000000"/>
          <w:spacing w:val="2"/>
          <w:w w:val="66"/>
          <w:shd w:val="solid" w:color="000000" w:fill="000000"/>
          <w:fitText w:val="438" w:id="-1256558074"/>
          <w14:textFill>
            <w14:solidFill>
              <w14:srgbClr w14:val="000000">
                <w14:alpha w14:val="100000"/>
              </w14:srgbClr>
            </w14:solidFill>
          </w14:textFill>
        </w:rPr>
        <w:t>|</w:t>
      </w:r>
      <w:r w:rsidRPr="00592818">
        <w:rPr>
          <w:iCs/>
          <w:color w:val="auto"/>
        </w:rPr>
        <w:t xml:space="preserve"> </w:t>
      </w:r>
      <w:r w:rsidRPr="00592818">
        <w:rPr>
          <w:iCs/>
          <w:color w:val="000000"/>
          <w:w w:val="66"/>
          <w:shd w:val="solid" w:color="000000" w:fill="000000"/>
          <w:fitText w:val="439" w:id="-1256558073"/>
          <w14:textFill>
            <w14:solidFill>
              <w14:srgbClr w14:val="000000">
                <w14:alpha w14:val="100000"/>
              </w14:srgbClr>
            </w14:solidFill>
          </w14:textFill>
        </w:rPr>
        <w:t>|||||</w:t>
      </w:r>
      <w:r w:rsidRPr="00592818">
        <w:rPr>
          <w:iCs/>
          <w:color w:val="000000"/>
          <w:spacing w:val="3"/>
          <w:w w:val="66"/>
          <w:shd w:val="solid" w:color="000000" w:fill="000000"/>
          <w:fitText w:val="439" w:id="-1256558073"/>
          <w14:textFill>
            <w14:solidFill>
              <w14:srgbClr w14:val="000000">
                <w14:alpha w14:val="100000"/>
              </w14:srgbClr>
            </w14:solidFill>
          </w14:textFill>
        </w:rPr>
        <w:t>|</w:t>
      </w:r>
      <w:r w:rsidRPr="00592818">
        <w:rPr>
          <w:iCs/>
          <w:color w:val="auto"/>
        </w:rPr>
        <w:t xml:space="preserve"> </w:t>
      </w:r>
      <w:r w:rsidRPr="00592818">
        <w:rPr>
          <w:iCs/>
          <w:color w:val="000000"/>
          <w:w w:val="66"/>
          <w:shd w:val="solid" w:color="000000" w:fill="000000"/>
          <w:fitText w:val="438" w:id="-1256558072"/>
          <w14:textFill>
            <w14:solidFill>
              <w14:srgbClr w14:val="000000">
                <w14:alpha w14:val="100000"/>
              </w14:srgbClr>
            </w14:solidFill>
          </w14:textFill>
        </w:rPr>
        <w:t>|||||</w:t>
      </w:r>
      <w:r w:rsidRPr="00592818">
        <w:rPr>
          <w:iCs/>
          <w:color w:val="000000"/>
          <w:spacing w:val="2"/>
          <w:w w:val="66"/>
          <w:shd w:val="solid" w:color="000000" w:fill="000000"/>
          <w:fitText w:val="438" w:id="-1256558072"/>
          <w14:textFill>
            <w14:solidFill>
              <w14:srgbClr w14:val="000000">
                <w14:alpha w14:val="100000"/>
              </w14:srgbClr>
            </w14:solidFill>
          </w14:textFill>
        </w:rPr>
        <w:t>|</w:t>
      </w:r>
      <w:r w:rsidRPr="00592818">
        <w:rPr>
          <w:iCs/>
          <w:color w:val="auto"/>
        </w:rPr>
        <w:t xml:space="preserve"> </w:t>
      </w:r>
      <w:r w:rsidRPr="00592818">
        <w:rPr>
          <w:iCs/>
          <w:color w:val="000000"/>
          <w:w w:val="66"/>
          <w:shd w:val="solid" w:color="000000" w:fill="000000"/>
          <w:fitText w:val="438" w:id="-1256558071"/>
          <w14:textFill>
            <w14:solidFill>
              <w14:srgbClr w14:val="000000">
                <w14:alpha w14:val="100000"/>
              </w14:srgbClr>
            </w14:solidFill>
          </w14:textFill>
        </w:rPr>
        <w:t>|||||</w:t>
      </w:r>
      <w:r w:rsidRPr="00592818">
        <w:rPr>
          <w:iCs/>
          <w:color w:val="000000"/>
          <w:spacing w:val="2"/>
          <w:w w:val="66"/>
          <w:shd w:val="solid" w:color="000000" w:fill="000000"/>
          <w:fitText w:val="438" w:id="-1256558071"/>
          <w14:textFill>
            <w14:solidFill>
              <w14:srgbClr w14:val="000000">
                <w14:alpha w14:val="100000"/>
              </w14:srgbClr>
            </w14:solidFill>
          </w14:textFill>
        </w:rPr>
        <w:t>|</w:t>
      </w:r>
      <w:r w:rsidRPr="00592818">
        <w:rPr>
          <w:iCs/>
          <w:color w:val="auto"/>
        </w:rPr>
        <w:t xml:space="preserve"> </w:t>
      </w:r>
      <w:r w:rsidRPr="00592818">
        <w:rPr>
          <w:iCs/>
          <w:color w:val="000000"/>
          <w:w w:val="66"/>
          <w:shd w:val="solid" w:color="000000" w:fill="000000"/>
          <w:fitText w:val="438" w:id="-1256558070"/>
          <w14:textFill>
            <w14:solidFill>
              <w14:srgbClr w14:val="000000">
                <w14:alpha w14:val="100000"/>
              </w14:srgbClr>
            </w14:solidFill>
          </w14:textFill>
        </w:rPr>
        <w:t>|||||</w:t>
      </w:r>
      <w:r w:rsidRPr="00592818">
        <w:rPr>
          <w:iCs/>
          <w:color w:val="000000"/>
          <w:spacing w:val="2"/>
          <w:w w:val="66"/>
          <w:shd w:val="solid" w:color="000000" w:fill="000000"/>
          <w:fitText w:val="438" w:id="-1256558070"/>
          <w14:textFill>
            <w14:solidFill>
              <w14:srgbClr w14:val="000000">
                <w14:alpha w14:val="100000"/>
              </w14:srgbClr>
            </w14:solidFill>
          </w14:textFill>
        </w:rPr>
        <w:t>|</w:t>
      </w:r>
      <w:r w:rsidRPr="00592818">
        <w:rPr>
          <w:iCs/>
          <w:color w:val="auto"/>
        </w:rPr>
        <w:t xml:space="preserve"> </w:t>
      </w:r>
      <w:r w:rsidRPr="00592818">
        <w:rPr>
          <w:iCs/>
          <w:color w:val="000000"/>
          <w:w w:val="68"/>
          <w:shd w:val="solid" w:color="000000" w:fill="000000"/>
          <w:fitText w:val="451" w:id="-1256558069"/>
          <w14:textFill>
            <w14:solidFill>
              <w14:srgbClr w14:val="000000">
                <w14:alpha w14:val="100000"/>
              </w14:srgbClr>
            </w14:solidFill>
          </w14:textFill>
        </w:rPr>
        <w:t>|||||</w:t>
      </w:r>
      <w:r w:rsidRPr="00592818">
        <w:rPr>
          <w:iCs/>
          <w:color w:val="000000"/>
          <w:spacing w:val="3"/>
          <w:w w:val="68"/>
          <w:shd w:val="solid" w:color="000000" w:fill="000000"/>
          <w:fitText w:val="451" w:id="-1256558069"/>
          <w14:textFill>
            <w14:solidFill>
              <w14:srgbClr w14:val="000000">
                <w14:alpha w14:val="100000"/>
              </w14:srgbClr>
            </w14:solidFill>
          </w14:textFill>
        </w:rPr>
        <w:t>|</w:t>
      </w:r>
      <w:r w:rsidRPr="00592818">
        <w:rPr>
          <w:iCs/>
          <w:color w:val="auto"/>
        </w:rPr>
        <w:t xml:space="preserve"> </w:t>
      </w:r>
      <w:r w:rsidRPr="00592818">
        <w:rPr>
          <w:iCs/>
          <w:color w:val="000000"/>
          <w:w w:val="66"/>
          <w:shd w:val="solid" w:color="000000" w:fill="000000"/>
          <w:fitText w:val="438" w:id="-1256558068"/>
          <w14:textFill>
            <w14:solidFill>
              <w14:srgbClr w14:val="000000">
                <w14:alpha w14:val="100000"/>
              </w14:srgbClr>
            </w14:solidFill>
          </w14:textFill>
        </w:rPr>
        <w:t>|||||</w:t>
      </w:r>
      <w:r w:rsidRPr="00592818">
        <w:rPr>
          <w:iCs/>
          <w:color w:val="000000"/>
          <w:spacing w:val="2"/>
          <w:w w:val="66"/>
          <w:shd w:val="solid" w:color="000000" w:fill="000000"/>
          <w:fitText w:val="438" w:id="-1256558068"/>
          <w14:textFill>
            <w14:solidFill>
              <w14:srgbClr w14:val="000000">
                <w14:alpha w14:val="100000"/>
              </w14:srgbClr>
            </w14:solidFill>
          </w14:textFill>
        </w:rPr>
        <w:t>|</w:t>
      </w:r>
      <w:r w:rsidRPr="00592818">
        <w:rPr>
          <w:iCs/>
          <w:color w:val="auto"/>
        </w:rPr>
        <w:t xml:space="preserve"> </w:t>
      </w:r>
      <w:r w:rsidRPr="00592818">
        <w:rPr>
          <w:iCs/>
          <w:color w:val="000000"/>
          <w:w w:val="66"/>
          <w:shd w:val="solid" w:color="000000" w:fill="000000"/>
          <w:fitText w:val="438" w:id="-1256558067"/>
          <w14:textFill>
            <w14:solidFill>
              <w14:srgbClr w14:val="000000">
                <w14:alpha w14:val="100000"/>
              </w14:srgbClr>
            </w14:solidFill>
          </w14:textFill>
        </w:rPr>
        <w:t>|||||</w:t>
      </w:r>
      <w:r w:rsidRPr="00592818">
        <w:rPr>
          <w:iCs/>
          <w:color w:val="000000"/>
          <w:spacing w:val="2"/>
          <w:w w:val="66"/>
          <w:shd w:val="solid" w:color="000000" w:fill="000000"/>
          <w:fitText w:val="438" w:id="-1256558067"/>
          <w14:textFill>
            <w14:solidFill>
              <w14:srgbClr w14:val="000000">
                <w14:alpha w14:val="100000"/>
              </w14:srgbClr>
            </w14:solidFill>
          </w14:textFill>
        </w:rPr>
        <w:t>|</w:t>
      </w:r>
      <w:r w:rsidRPr="00592818">
        <w:rPr>
          <w:iCs/>
          <w:color w:val="auto"/>
        </w:rPr>
        <w:t xml:space="preserve"> </w:t>
      </w:r>
      <w:r w:rsidRPr="00592818">
        <w:rPr>
          <w:iCs/>
          <w:color w:val="000000"/>
          <w:w w:val="68"/>
          <w:shd w:val="solid" w:color="000000" w:fill="000000"/>
          <w:fitText w:val="451" w:id="-1256558066"/>
          <w14:textFill>
            <w14:solidFill>
              <w14:srgbClr w14:val="000000">
                <w14:alpha w14:val="100000"/>
              </w14:srgbClr>
            </w14:solidFill>
          </w14:textFill>
        </w:rPr>
        <w:t>|||||</w:t>
      </w:r>
      <w:r w:rsidRPr="00592818">
        <w:rPr>
          <w:iCs/>
          <w:color w:val="000000"/>
          <w:spacing w:val="3"/>
          <w:w w:val="68"/>
          <w:shd w:val="solid" w:color="000000" w:fill="000000"/>
          <w:fitText w:val="451" w:id="-1256558066"/>
          <w14:textFill>
            <w14:solidFill>
              <w14:srgbClr w14:val="000000">
                <w14:alpha w14:val="100000"/>
              </w14:srgbClr>
            </w14:solidFill>
          </w14:textFill>
        </w:rPr>
        <w:t>|</w:t>
      </w:r>
      <w:r w:rsidRPr="00592818">
        <w:rPr>
          <w:iCs/>
          <w:color w:val="auto"/>
        </w:rPr>
        <w:t xml:space="preserve"> </w:t>
      </w:r>
      <w:r w:rsidRPr="00592818">
        <w:rPr>
          <w:iCs/>
          <w:color w:val="000000"/>
          <w:w w:val="66"/>
          <w:shd w:val="solid" w:color="000000" w:fill="000000"/>
          <w:fitText w:val="439" w:id="-1256558065"/>
          <w14:textFill>
            <w14:solidFill>
              <w14:srgbClr w14:val="000000">
                <w14:alpha w14:val="100000"/>
              </w14:srgbClr>
            </w14:solidFill>
          </w14:textFill>
        </w:rPr>
        <w:t>|||||</w:t>
      </w:r>
      <w:r w:rsidRPr="00592818">
        <w:rPr>
          <w:iCs/>
          <w:color w:val="000000"/>
          <w:spacing w:val="3"/>
          <w:w w:val="66"/>
          <w:shd w:val="solid" w:color="000000" w:fill="000000"/>
          <w:fitText w:val="439" w:id="-1256558065"/>
          <w14:textFill>
            <w14:solidFill>
              <w14:srgbClr w14:val="000000">
                <w14:alpha w14:val="100000"/>
              </w14:srgbClr>
            </w14:solidFill>
          </w14:textFill>
        </w:rPr>
        <w:t>|</w:t>
      </w:r>
      <w:r w:rsidRPr="00592818">
        <w:rPr>
          <w:iCs/>
          <w:color w:val="auto"/>
        </w:rPr>
        <w:t xml:space="preserve"> </w:t>
      </w:r>
      <w:r w:rsidRPr="00592818">
        <w:rPr>
          <w:iCs/>
          <w:color w:val="000000"/>
          <w:w w:val="66"/>
          <w:shd w:val="solid" w:color="000000" w:fill="000000"/>
          <w:fitText w:val="438" w:id="-1256558064"/>
          <w14:textFill>
            <w14:solidFill>
              <w14:srgbClr w14:val="000000">
                <w14:alpha w14:val="100000"/>
              </w14:srgbClr>
            </w14:solidFill>
          </w14:textFill>
        </w:rPr>
        <w:t>|||||</w:t>
      </w:r>
      <w:r w:rsidRPr="00592818">
        <w:rPr>
          <w:iCs/>
          <w:color w:val="000000"/>
          <w:spacing w:val="2"/>
          <w:w w:val="66"/>
          <w:shd w:val="solid" w:color="000000" w:fill="000000"/>
          <w:fitText w:val="438" w:id="-1256558064"/>
          <w14:textFill>
            <w14:solidFill>
              <w14:srgbClr w14:val="000000">
                <w14:alpha w14:val="100000"/>
              </w14:srgbClr>
            </w14:solidFill>
          </w14:textFill>
        </w:rPr>
        <w:t>|</w:t>
      </w:r>
      <w:r w:rsidRPr="00592818">
        <w:rPr>
          <w:iCs/>
          <w:color w:val="auto"/>
        </w:rPr>
        <w:t xml:space="preserve"> </w:t>
      </w:r>
      <w:r w:rsidRPr="00592818">
        <w:rPr>
          <w:iCs/>
          <w:color w:val="000000"/>
          <w:w w:val="68"/>
          <w:shd w:val="solid" w:color="000000" w:fill="000000"/>
          <w:fitText w:val="451" w:id="-1256558080"/>
          <w14:textFill>
            <w14:solidFill>
              <w14:srgbClr w14:val="000000">
                <w14:alpha w14:val="100000"/>
              </w14:srgbClr>
            </w14:solidFill>
          </w14:textFill>
        </w:rPr>
        <w:t>|||||</w:t>
      </w:r>
      <w:r w:rsidRPr="00592818">
        <w:rPr>
          <w:iCs/>
          <w:color w:val="000000"/>
          <w:spacing w:val="3"/>
          <w:w w:val="68"/>
          <w:shd w:val="solid" w:color="000000" w:fill="000000"/>
          <w:fitText w:val="451" w:id="-1256558080"/>
          <w14:textFill>
            <w14:solidFill>
              <w14:srgbClr w14:val="000000">
                <w14:alpha w14:val="100000"/>
              </w14:srgbClr>
            </w14:solidFill>
          </w14:textFill>
        </w:rPr>
        <w:t>|</w:t>
      </w:r>
      <w:r w:rsidRPr="00592818">
        <w:rPr>
          <w:iCs/>
          <w:color w:val="auto"/>
        </w:rPr>
        <w:t xml:space="preserve"> </w:t>
      </w:r>
      <w:r w:rsidRPr="00592818">
        <w:rPr>
          <w:iCs/>
          <w:color w:val="000000"/>
          <w:w w:val="66"/>
          <w:shd w:val="solid" w:color="000000" w:fill="000000"/>
          <w:fitText w:val="439" w:id="-1256558079"/>
          <w14:textFill>
            <w14:solidFill>
              <w14:srgbClr w14:val="000000">
                <w14:alpha w14:val="100000"/>
              </w14:srgbClr>
            </w14:solidFill>
          </w14:textFill>
        </w:rPr>
        <w:t>|||||</w:t>
      </w:r>
      <w:r w:rsidRPr="00592818">
        <w:rPr>
          <w:iCs/>
          <w:color w:val="000000"/>
          <w:spacing w:val="3"/>
          <w:w w:val="66"/>
          <w:shd w:val="solid" w:color="000000" w:fill="000000"/>
          <w:fitText w:val="439" w:id="-1256558079"/>
          <w14:textFill>
            <w14:solidFill>
              <w14:srgbClr w14:val="000000">
                <w14:alpha w14:val="100000"/>
              </w14:srgbClr>
            </w14:solidFill>
          </w14:textFill>
        </w:rPr>
        <w:t>|</w:t>
      </w:r>
      <w:r w:rsidRPr="00592818">
        <w:rPr>
          <w:iCs/>
          <w:color w:val="auto"/>
        </w:rPr>
        <w:t xml:space="preserve"> </w:t>
      </w:r>
      <w:r w:rsidRPr="00592818">
        <w:rPr>
          <w:iCs/>
          <w:color w:val="000000"/>
          <w:w w:val="66"/>
          <w:shd w:val="solid" w:color="000000" w:fill="000000"/>
          <w:fitText w:val="438" w:id="-1256558078"/>
          <w14:textFill>
            <w14:solidFill>
              <w14:srgbClr w14:val="000000">
                <w14:alpha w14:val="100000"/>
              </w14:srgbClr>
            </w14:solidFill>
          </w14:textFill>
        </w:rPr>
        <w:t>|||||</w:t>
      </w:r>
      <w:r w:rsidRPr="00592818">
        <w:rPr>
          <w:iCs/>
          <w:color w:val="000000"/>
          <w:spacing w:val="2"/>
          <w:w w:val="66"/>
          <w:shd w:val="solid" w:color="000000" w:fill="000000"/>
          <w:fitText w:val="438" w:id="-1256558078"/>
          <w14:textFill>
            <w14:solidFill>
              <w14:srgbClr w14:val="000000">
                <w14:alpha w14:val="100000"/>
              </w14:srgbClr>
            </w14:solidFill>
          </w14:textFill>
        </w:rPr>
        <w:t>|</w:t>
      </w:r>
      <w:r w:rsidRPr="00592818">
        <w:rPr>
          <w:iCs/>
          <w:color w:val="auto"/>
        </w:rPr>
        <w:t xml:space="preserve"> </w:t>
      </w:r>
      <w:r w:rsidRPr="00592818">
        <w:rPr>
          <w:iCs/>
          <w:color w:val="000000"/>
          <w:w w:val="68"/>
          <w:shd w:val="solid" w:color="000000" w:fill="000000"/>
          <w:fitText w:val="451" w:id="-1256558077"/>
          <w14:textFill>
            <w14:solidFill>
              <w14:srgbClr w14:val="000000">
                <w14:alpha w14:val="100000"/>
              </w14:srgbClr>
            </w14:solidFill>
          </w14:textFill>
        </w:rPr>
        <w:t>|||||</w:t>
      </w:r>
      <w:r w:rsidRPr="00592818">
        <w:rPr>
          <w:iCs/>
          <w:color w:val="000000"/>
          <w:spacing w:val="3"/>
          <w:w w:val="68"/>
          <w:shd w:val="solid" w:color="000000" w:fill="000000"/>
          <w:fitText w:val="451" w:id="-1256558077"/>
          <w14:textFill>
            <w14:solidFill>
              <w14:srgbClr w14:val="000000">
                <w14:alpha w14:val="100000"/>
              </w14:srgbClr>
            </w14:solidFill>
          </w14:textFill>
        </w:rPr>
        <w:t>|</w:t>
      </w:r>
      <w:r w:rsidR="00096DBF">
        <w:rPr>
          <w:iCs/>
          <w:color w:val="auto"/>
        </w:rPr>
        <w:t xml:space="preserve"> </w:t>
      </w:r>
    </w:p>
    <w:p w14:paraId="44C3B242" w14:textId="093A4C73" w:rsidR="00772829" w:rsidRPr="00CE28E3" w:rsidRDefault="00F35C7B" w:rsidP="002A18BE">
      <w:pPr>
        <w:pStyle w:val="Heading2"/>
        <w:numPr>
          <w:ilvl w:val="0"/>
          <w:numId w:val="0"/>
        </w:numPr>
      </w:pPr>
      <w:bookmarkStart w:id="17" w:name="_Toc69491418"/>
      <w:r>
        <w:t>6</w:t>
      </w:r>
      <w:r w:rsidR="00C36633">
        <w:t>.</w:t>
      </w:r>
      <w:r w:rsidR="00C36633">
        <w:tab/>
      </w:r>
      <w:r w:rsidR="00772829" w:rsidRPr="00CE28E3">
        <w:t>Proposal for public funding</w:t>
      </w:r>
      <w:bookmarkEnd w:id="17"/>
    </w:p>
    <w:p w14:paraId="5DC3E9EF" w14:textId="7227AD8E" w:rsidR="00096DBF" w:rsidRDefault="00096DBF" w:rsidP="00192D17">
      <w:r>
        <w:t>The applicant is seeking amendment of the current MBS items</w:t>
      </w:r>
      <w:r w:rsidR="001D23E1" w:rsidRPr="001D23E1">
        <w:t xml:space="preserve"> </w:t>
      </w:r>
      <w:r w:rsidR="001D23E1">
        <w:t xml:space="preserve">for </w:t>
      </w:r>
      <w:proofErr w:type="spellStart"/>
      <w:r w:rsidR="001D23E1">
        <w:t>TMVr</w:t>
      </w:r>
      <w:proofErr w:type="spellEnd"/>
      <w:r w:rsidR="001D23E1">
        <w:t xml:space="preserve"> using the </w:t>
      </w:r>
      <w:proofErr w:type="spellStart"/>
      <w:r w:rsidR="001D23E1">
        <w:t>MitraClip</w:t>
      </w:r>
      <w:proofErr w:type="spellEnd"/>
      <w:r w:rsidR="001D23E1">
        <w:t xml:space="preserve"> system for DMR and FMR (38461 38463)</w:t>
      </w:r>
      <w:r>
        <w:t xml:space="preserve"> to a device agnostic listing for </w:t>
      </w:r>
      <w:proofErr w:type="spellStart"/>
      <w:r>
        <w:t>TMVr</w:t>
      </w:r>
      <w:proofErr w:type="spellEnd"/>
      <w:r w:rsidR="00636B8B">
        <w:t xml:space="preserve">. </w:t>
      </w:r>
      <w:r w:rsidR="00D5436D">
        <w:t xml:space="preserve">The proposed amendments </w:t>
      </w:r>
      <w:r w:rsidR="00B20735">
        <w:t xml:space="preserve">are presented in </w:t>
      </w:r>
      <w:r w:rsidR="004D2587">
        <w:fldChar w:fldCharType="begin"/>
      </w:r>
      <w:r w:rsidR="004D2587">
        <w:instrText xml:space="preserve"> REF _Ref113336377 \h </w:instrText>
      </w:r>
      <w:r w:rsidR="004D2587">
        <w:fldChar w:fldCharType="separate"/>
      </w:r>
      <w:r w:rsidR="0019519D">
        <w:t xml:space="preserve">Table </w:t>
      </w:r>
      <w:r w:rsidR="0019519D">
        <w:rPr>
          <w:noProof/>
        </w:rPr>
        <w:t>2</w:t>
      </w:r>
      <w:r w:rsidR="004D2587">
        <w:fldChar w:fldCharType="end"/>
      </w:r>
      <w:r w:rsidR="00D5436D">
        <w:t>.</w:t>
      </w:r>
    </w:p>
    <w:p w14:paraId="4AB2CAB1" w14:textId="676445DF" w:rsidR="00871945" w:rsidRPr="00871945" w:rsidRDefault="004D2587" w:rsidP="00871945">
      <w:pPr>
        <w:pStyle w:val="Caption"/>
        <w:rPr>
          <w:rFonts w:cs="Arial"/>
        </w:rPr>
      </w:pPr>
      <w:bookmarkStart w:id="18" w:name="_Ref113336377"/>
      <w:bookmarkStart w:id="19" w:name="_Ref69481033"/>
      <w:r>
        <w:lastRenderedPageBreak/>
        <w:t xml:space="preserve">Table </w:t>
      </w:r>
      <w:fldSimple w:instr=" SEQ Table \* ARABIC ">
        <w:r w:rsidR="007512A8">
          <w:rPr>
            <w:noProof/>
          </w:rPr>
          <w:t>2</w:t>
        </w:r>
      </w:fldSimple>
      <w:bookmarkEnd w:id="18"/>
      <w:bookmarkEnd w:id="19"/>
      <w:r w:rsidR="00871945" w:rsidRPr="00CE28E3">
        <w:rPr>
          <w:rFonts w:cs="Arial"/>
        </w:rPr>
        <w:tab/>
        <w:t>Presentation of an existing, amended or newly proposed MBS item</w:t>
      </w:r>
    </w:p>
    <w:tbl>
      <w:tblPr>
        <w:tblStyle w:val="TableGrid"/>
        <w:tblW w:w="0" w:type="auto"/>
        <w:tblLook w:val="04A0" w:firstRow="1" w:lastRow="0" w:firstColumn="1" w:lastColumn="0" w:noHBand="0" w:noVBand="1"/>
        <w:tblCaption w:val="Proposed item descriptor for diagnostic testing"/>
        <w:tblDescription w:val="Proposed item descriptor for diagnostic testing"/>
      </w:tblPr>
      <w:tblGrid>
        <w:gridCol w:w="9016"/>
      </w:tblGrid>
      <w:tr w:rsidR="002326AD" w:rsidRPr="002326AD" w14:paraId="573F1B9A" w14:textId="77777777" w:rsidTr="00786ECD">
        <w:trPr>
          <w:cantSplit/>
          <w:trHeight w:val="350"/>
        </w:trPr>
        <w:tc>
          <w:tcPr>
            <w:tcW w:w="9016" w:type="dxa"/>
          </w:tcPr>
          <w:p w14:paraId="215BBBC4" w14:textId="77777777" w:rsidR="002326AD" w:rsidRPr="002326AD" w:rsidRDefault="002326AD" w:rsidP="00871945">
            <w:pPr>
              <w:pStyle w:val="Tablelist"/>
              <w:keepNext/>
              <w:numPr>
                <w:ilvl w:val="0"/>
                <w:numId w:val="0"/>
              </w:numPr>
              <w:jc w:val="right"/>
              <w:rPr>
                <w:rFonts w:ascii="Arial Narrow" w:hAnsi="Arial Narrow" w:cstheme="minorHAnsi"/>
              </w:rPr>
            </w:pPr>
            <w:r w:rsidRPr="002326AD">
              <w:rPr>
                <w:rFonts w:ascii="Arial Narrow" w:hAnsi="Arial Narrow" w:cstheme="minorHAnsi"/>
              </w:rPr>
              <w:t>Category 3 - Therapeutic Procedures</w:t>
            </w:r>
          </w:p>
        </w:tc>
      </w:tr>
      <w:tr w:rsidR="002326AD" w:rsidRPr="002326AD" w14:paraId="37507BDC" w14:textId="77777777" w:rsidTr="00786ECD">
        <w:trPr>
          <w:cantSplit/>
        </w:trPr>
        <w:tc>
          <w:tcPr>
            <w:tcW w:w="9016" w:type="dxa"/>
          </w:tcPr>
          <w:p w14:paraId="2B12D523" w14:textId="77777777" w:rsidR="002326AD" w:rsidRPr="002326AD" w:rsidRDefault="002326AD" w:rsidP="00871945">
            <w:pPr>
              <w:pStyle w:val="Tablelist"/>
              <w:keepNext/>
              <w:numPr>
                <w:ilvl w:val="0"/>
                <w:numId w:val="0"/>
              </w:numPr>
              <w:rPr>
                <w:rFonts w:ascii="Arial Narrow" w:hAnsi="Arial Narrow" w:cstheme="minorHAnsi"/>
              </w:rPr>
            </w:pPr>
            <w:r w:rsidRPr="002326AD">
              <w:rPr>
                <w:rFonts w:ascii="Arial Narrow" w:hAnsi="Arial Narrow" w:cstheme="minorHAnsi"/>
              </w:rPr>
              <w:t>MBS item 38461</w:t>
            </w:r>
          </w:p>
          <w:p w14:paraId="43469A28" w14:textId="79258884" w:rsidR="002326AD" w:rsidRPr="002326AD" w:rsidRDefault="002326AD" w:rsidP="00A64CAC">
            <w:pPr>
              <w:pStyle w:val="Tablelist"/>
              <w:keepNext/>
              <w:numPr>
                <w:ilvl w:val="0"/>
                <w:numId w:val="0"/>
              </w:numPr>
              <w:spacing w:before="240" w:after="120"/>
              <w:rPr>
                <w:rFonts w:ascii="Arial Narrow" w:hAnsi="Arial Narrow" w:cstheme="minorHAnsi"/>
              </w:rPr>
            </w:pPr>
            <w:proofErr w:type="spellStart"/>
            <w:r w:rsidRPr="002326AD">
              <w:rPr>
                <w:rFonts w:ascii="Arial Narrow" w:hAnsi="Arial Narrow" w:cstheme="minorHAnsi"/>
              </w:rPr>
              <w:t>TMVr</w:t>
            </w:r>
            <w:proofErr w:type="spellEnd"/>
            <w:r w:rsidRPr="002326AD">
              <w:rPr>
                <w:rFonts w:ascii="Arial Narrow" w:hAnsi="Arial Narrow" w:cstheme="minorHAnsi"/>
              </w:rPr>
              <w:t xml:space="preserve">, by transvenous or transeptal techniques, for permanent coaptation of mitral valve leaflets using one or more </w:t>
            </w:r>
            <w:proofErr w:type="spellStart"/>
            <w:r w:rsidRPr="002326AD">
              <w:rPr>
                <w:rFonts w:ascii="Arial Narrow" w:hAnsi="Arial Narrow" w:cstheme="minorHAnsi"/>
                <w:strike/>
              </w:rPr>
              <w:t>Mitraclips</w:t>
            </w:r>
            <w:proofErr w:type="spellEnd"/>
            <w:r w:rsidRPr="002326AD">
              <w:rPr>
                <w:rFonts w:ascii="Arial Narrow" w:hAnsi="Arial Narrow" w:cstheme="minorHAnsi"/>
                <w:strike/>
              </w:rPr>
              <w:t>™</w:t>
            </w:r>
            <w:r w:rsidRPr="002326AD">
              <w:rPr>
                <w:rFonts w:ascii="Arial Narrow" w:hAnsi="Arial Narrow" w:cstheme="minorHAnsi"/>
              </w:rPr>
              <w:t xml:space="preserve"> </w:t>
            </w:r>
            <w:r w:rsidRPr="002326AD">
              <w:rPr>
                <w:rFonts w:ascii="Arial Narrow" w:hAnsi="Arial Narrow" w:cstheme="minorHAnsi"/>
                <w:i/>
                <w:iCs/>
              </w:rPr>
              <w:t>tissue approximation implants</w:t>
            </w:r>
            <w:r w:rsidRPr="002326AD">
              <w:rPr>
                <w:rFonts w:ascii="Arial Narrow" w:hAnsi="Arial Narrow" w:cstheme="minorHAnsi"/>
              </w:rPr>
              <w:t>, including intra</w:t>
            </w:r>
            <w:r w:rsidRPr="002326AD">
              <w:rPr>
                <w:rFonts w:ascii="Cambria Math" w:hAnsi="Cambria Math" w:cs="Cambria Math"/>
              </w:rPr>
              <w:t>‑</w:t>
            </w:r>
            <w:r w:rsidRPr="002326AD">
              <w:rPr>
                <w:rFonts w:ascii="Arial Narrow" w:hAnsi="Arial Narrow" w:cstheme="minorHAnsi"/>
              </w:rPr>
              <w:t>operative diagnostic imaging, if:</w:t>
            </w:r>
          </w:p>
          <w:p w14:paraId="0694C56E" w14:textId="77777777" w:rsidR="002326AD" w:rsidRPr="002326AD" w:rsidRDefault="002326AD" w:rsidP="00F259E1">
            <w:pPr>
              <w:pStyle w:val="Tablelist"/>
              <w:keepNext/>
              <w:numPr>
                <w:ilvl w:val="0"/>
                <w:numId w:val="13"/>
              </w:numPr>
              <w:spacing w:after="60"/>
              <w:ind w:left="357" w:hanging="357"/>
              <w:rPr>
                <w:rFonts w:ascii="Arial Narrow" w:hAnsi="Arial Narrow" w:cstheme="minorHAnsi"/>
              </w:rPr>
            </w:pPr>
            <w:r w:rsidRPr="002326AD">
              <w:rPr>
                <w:rFonts w:ascii="Arial Narrow" w:hAnsi="Arial Narrow" w:cstheme="minorHAnsi"/>
              </w:rPr>
              <w:t>the patient has each of the following risk factors:</w:t>
            </w:r>
          </w:p>
          <w:p w14:paraId="1466B8B9" w14:textId="3B096245" w:rsidR="002326AD" w:rsidRDefault="002326AD" w:rsidP="00F259E1">
            <w:pPr>
              <w:pStyle w:val="Tablelist"/>
              <w:keepNext/>
              <w:numPr>
                <w:ilvl w:val="0"/>
                <w:numId w:val="14"/>
              </w:numPr>
              <w:ind w:left="360"/>
              <w:rPr>
                <w:rFonts w:ascii="Arial Narrow" w:hAnsi="Arial Narrow" w:cstheme="minorHAnsi"/>
              </w:rPr>
            </w:pPr>
            <w:r w:rsidRPr="002326AD">
              <w:rPr>
                <w:rFonts w:ascii="Arial Narrow" w:hAnsi="Arial Narrow" w:cstheme="minorHAnsi"/>
              </w:rPr>
              <w:t>moderate to severe, or severe, symptomatic degenerative (primary) mitral valve regurgitation (grade 3+ or 4+);</w:t>
            </w:r>
          </w:p>
          <w:p w14:paraId="720BB1CD" w14:textId="24D7BC88" w:rsidR="006D3C7A" w:rsidRDefault="006D3C7A" w:rsidP="00F259E1">
            <w:pPr>
              <w:pStyle w:val="Tablelist"/>
              <w:keepNext/>
              <w:numPr>
                <w:ilvl w:val="0"/>
                <w:numId w:val="14"/>
              </w:numPr>
              <w:ind w:left="360"/>
              <w:rPr>
                <w:rFonts w:ascii="Arial Narrow" w:hAnsi="Arial Narrow" w:cstheme="minorHAnsi"/>
              </w:rPr>
            </w:pPr>
            <w:r w:rsidRPr="002326AD">
              <w:rPr>
                <w:rFonts w:ascii="Arial Narrow" w:hAnsi="Arial Narrow" w:cstheme="minorHAnsi"/>
              </w:rPr>
              <w:t>left ventricular ejection fraction of 20% or more</w:t>
            </w:r>
            <w:r>
              <w:rPr>
                <w:rFonts w:ascii="Arial Narrow" w:hAnsi="Arial Narrow" w:cstheme="minorHAnsi"/>
              </w:rPr>
              <w:t>;</w:t>
            </w:r>
          </w:p>
          <w:p w14:paraId="43C947AE" w14:textId="5B44A36E" w:rsidR="002326AD" w:rsidRPr="00DF0C46" w:rsidRDefault="006D3C7A" w:rsidP="00F259E1">
            <w:pPr>
              <w:pStyle w:val="Tablelist"/>
              <w:keepNext/>
              <w:numPr>
                <w:ilvl w:val="0"/>
                <w:numId w:val="14"/>
              </w:numPr>
              <w:ind w:left="360"/>
              <w:rPr>
                <w:rFonts w:ascii="Arial Narrow" w:hAnsi="Arial Narrow" w:cstheme="minorHAnsi"/>
              </w:rPr>
            </w:pPr>
            <w:r w:rsidRPr="002326AD">
              <w:rPr>
                <w:rFonts w:ascii="Arial Narrow" w:hAnsi="Arial Narrow" w:cstheme="minorHAnsi"/>
              </w:rPr>
              <w:t>symptoms of mild, moderate or severe chronic heart failure (New York Heart Association class II, III or IV); and</w:t>
            </w:r>
          </w:p>
          <w:p w14:paraId="0B2238E8" w14:textId="77777777" w:rsidR="002326AD" w:rsidRPr="002326AD" w:rsidRDefault="002326AD" w:rsidP="00F259E1">
            <w:pPr>
              <w:pStyle w:val="Tablelist"/>
              <w:keepNext/>
              <w:numPr>
                <w:ilvl w:val="0"/>
                <w:numId w:val="13"/>
              </w:numPr>
              <w:spacing w:after="60"/>
              <w:ind w:left="357" w:hanging="357"/>
              <w:rPr>
                <w:rFonts w:ascii="Arial Narrow" w:hAnsi="Arial Narrow" w:cstheme="minorHAnsi"/>
              </w:rPr>
            </w:pPr>
            <w:r w:rsidRPr="002326AD">
              <w:rPr>
                <w:rFonts w:ascii="Arial Narrow" w:hAnsi="Arial Narrow" w:cstheme="minorHAnsi"/>
              </w:rPr>
              <w:t xml:space="preserve">as a result of a </w:t>
            </w:r>
            <w:proofErr w:type="spellStart"/>
            <w:r w:rsidRPr="002326AD">
              <w:rPr>
                <w:rFonts w:ascii="Arial Narrow" w:hAnsi="Arial Narrow" w:cstheme="minorHAnsi"/>
              </w:rPr>
              <w:t>TMVr</w:t>
            </w:r>
            <w:proofErr w:type="spellEnd"/>
            <w:r w:rsidRPr="002326AD">
              <w:rPr>
                <w:rFonts w:ascii="Arial Narrow" w:hAnsi="Arial Narrow" w:cstheme="minorHAnsi"/>
              </w:rPr>
              <w:t xml:space="preserve"> suitability case conference, the patient has been:</w:t>
            </w:r>
          </w:p>
          <w:p w14:paraId="3AEDD321" w14:textId="77777777" w:rsidR="002326AD" w:rsidRPr="002326AD" w:rsidRDefault="002326AD" w:rsidP="00F259E1">
            <w:pPr>
              <w:pStyle w:val="Tablelist"/>
              <w:keepNext/>
              <w:numPr>
                <w:ilvl w:val="0"/>
                <w:numId w:val="15"/>
              </w:numPr>
              <w:rPr>
                <w:rFonts w:ascii="Arial Narrow" w:hAnsi="Arial Narrow" w:cstheme="minorHAnsi"/>
              </w:rPr>
            </w:pPr>
            <w:r w:rsidRPr="002326AD">
              <w:rPr>
                <w:rFonts w:ascii="Arial Narrow" w:hAnsi="Arial Narrow" w:cstheme="minorHAnsi"/>
              </w:rPr>
              <w:t>assessed as having an unacceptably high risk for surgical mitral valve replacement; and</w:t>
            </w:r>
          </w:p>
          <w:p w14:paraId="50C97154" w14:textId="77777777" w:rsidR="002326AD" w:rsidRPr="002326AD" w:rsidRDefault="002326AD" w:rsidP="00F259E1">
            <w:pPr>
              <w:pStyle w:val="Tablelist"/>
              <w:keepNext/>
              <w:numPr>
                <w:ilvl w:val="0"/>
                <w:numId w:val="15"/>
              </w:numPr>
              <w:rPr>
                <w:rFonts w:ascii="Arial Narrow" w:hAnsi="Arial Narrow" w:cstheme="minorHAnsi"/>
              </w:rPr>
            </w:pPr>
            <w:r w:rsidRPr="002326AD">
              <w:rPr>
                <w:rFonts w:ascii="Arial Narrow" w:hAnsi="Arial Narrow" w:cstheme="minorHAnsi"/>
              </w:rPr>
              <w:t>recommended as being suitable for the service; and</w:t>
            </w:r>
          </w:p>
          <w:p w14:paraId="5B0D8346" w14:textId="77777777" w:rsidR="002326AD" w:rsidRPr="002326AD" w:rsidRDefault="002326AD" w:rsidP="00F259E1">
            <w:pPr>
              <w:pStyle w:val="Tablelist"/>
              <w:keepNext/>
              <w:numPr>
                <w:ilvl w:val="0"/>
                <w:numId w:val="13"/>
              </w:numPr>
              <w:spacing w:after="60"/>
              <w:ind w:left="357" w:hanging="357"/>
              <w:rPr>
                <w:rFonts w:ascii="Arial Narrow" w:hAnsi="Arial Narrow" w:cstheme="minorHAnsi"/>
              </w:rPr>
            </w:pPr>
            <w:r w:rsidRPr="002326AD">
              <w:rPr>
                <w:rFonts w:ascii="Arial Narrow" w:hAnsi="Arial Narrow" w:cstheme="minorHAnsi"/>
              </w:rPr>
              <w:t>the service is performed:</w:t>
            </w:r>
          </w:p>
          <w:p w14:paraId="3071F384" w14:textId="77777777" w:rsidR="002326AD" w:rsidRPr="002326AD" w:rsidRDefault="002326AD" w:rsidP="00F259E1">
            <w:pPr>
              <w:pStyle w:val="Tablelist"/>
              <w:keepNext/>
              <w:numPr>
                <w:ilvl w:val="0"/>
                <w:numId w:val="16"/>
              </w:numPr>
              <w:rPr>
                <w:rFonts w:ascii="Arial Narrow" w:hAnsi="Arial Narrow" w:cstheme="minorHAnsi"/>
              </w:rPr>
            </w:pPr>
            <w:r w:rsidRPr="002326AD">
              <w:rPr>
                <w:rFonts w:ascii="Arial Narrow" w:hAnsi="Arial Narrow" w:cstheme="minorHAnsi"/>
              </w:rPr>
              <w:t xml:space="preserve">by a cardiothoracic surgeon, or an interventional cardiologist, accredited by the </w:t>
            </w:r>
            <w:proofErr w:type="spellStart"/>
            <w:r w:rsidRPr="002326AD">
              <w:rPr>
                <w:rFonts w:ascii="Arial Narrow" w:hAnsi="Arial Narrow" w:cstheme="minorHAnsi"/>
              </w:rPr>
              <w:t>TMVr</w:t>
            </w:r>
            <w:proofErr w:type="spellEnd"/>
            <w:r w:rsidRPr="002326AD">
              <w:rPr>
                <w:rFonts w:ascii="Arial Narrow" w:hAnsi="Arial Narrow" w:cstheme="minorHAnsi"/>
              </w:rPr>
              <w:t xml:space="preserve"> accreditation committee to perform the service; and</w:t>
            </w:r>
          </w:p>
          <w:p w14:paraId="1E97D5B0" w14:textId="77777777" w:rsidR="002326AD" w:rsidRPr="002326AD" w:rsidRDefault="002326AD" w:rsidP="00F259E1">
            <w:pPr>
              <w:pStyle w:val="Tablelist"/>
              <w:keepNext/>
              <w:numPr>
                <w:ilvl w:val="0"/>
                <w:numId w:val="16"/>
              </w:numPr>
              <w:rPr>
                <w:rFonts w:ascii="Arial Narrow" w:hAnsi="Arial Narrow" w:cstheme="minorHAnsi"/>
              </w:rPr>
            </w:pPr>
            <w:r w:rsidRPr="002326AD">
              <w:rPr>
                <w:rFonts w:ascii="Arial Narrow" w:hAnsi="Arial Narrow" w:cstheme="minorHAnsi"/>
              </w:rPr>
              <w:t>via transfemoral venous delivery, unless transfemoral venous delivery is contraindicated or not feasible; and</w:t>
            </w:r>
          </w:p>
          <w:p w14:paraId="41ED8665" w14:textId="77777777" w:rsidR="002326AD" w:rsidRPr="002326AD" w:rsidRDefault="002326AD" w:rsidP="00F259E1">
            <w:pPr>
              <w:pStyle w:val="Tablelist"/>
              <w:keepNext/>
              <w:numPr>
                <w:ilvl w:val="0"/>
                <w:numId w:val="16"/>
              </w:numPr>
              <w:rPr>
                <w:rFonts w:ascii="Arial Narrow" w:hAnsi="Arial Narrow" w:cstheme="minorHAnsi"/>
              </w:rPr>
            </w:pPr>
            <w:r w:rsidRPr="002326AD">
              <w:rPr>
                <w:rFonts w:ascii="Arial Narrow" w:hAnsi="Arial Narrow" w:cstheme="minorHAnsi"/>
              </w:rPr>
              <w:t xml:space="preserve">in a hospital that is accredited by the </w:t>
            </w:r>
            <w:proofErr w:type="spellStart"/>
            <w:r w:rsidRPr="002326AD">
              <w:rPr>
                <w:rFonts w:ascii="Arial Narrow" w:hAnsi="Arial Narrow" w:cstheme="minorHAnsi"/>
              </w:rPr>
              <w:t>TMVr</w:t>
            </w:r>
            <w:proofErr w:type="spellEnd"/>
            <w:r w:rsidRPr="002326AD">
              <w:rPr>
                <w:rFonts w:ascii="Arial Narrow" w:hAnsi="Arial Narrow" w:cstheme="minorHAnsi"/>
              </w:rPr>
              <w:t xml:space="preserve"> accreditation committee as a suitable hospital for the service; and</w:t>
            </w:r>
          </w:p>
          <w:p w14:paraId="5049B924" w14:textId="77777777" w:rsidR="002326AD" w:rsidRPr="002326AD" w:rsidRDefault="002326AD" w:rsidP="00F259E1">
            <w:pPr>
              <w:pStyle w:val="Tablelist"/>
              <w:keepNext/>
              <w:numPr>
                <w:ilvl w:val="0"/>
                <w:numId w:val="13"/>
              </w:numPr>
              <w:spacing w:after="120"/>
              <w:ind w:left="360"/>
              <w:rPr>
                <w:rFonts w:ascii="Arial Narrow" w:hAnsi="Arial Narrow" w:cstheme="minorHAnsi"/>
              </w:rPr>
            </w:pPr>
            <w:r w:rsidRPr="002326AD">
              <w:rPr>
                <w:rFonts w:ascii="Arial Narrow" w:hAnsi="Arial Narrow" w:cstheme="minorHAnsi"/>
              </w:rPr>
              <w:t>a service to which this item, or item 38463, applies has not been provided to the patient in the previous 5 years</w:t>
            </w:r>
          </w:p>
        </w:tc>
      </w:tr>
      <w:tr w:rsidR="002326AD" w:rsidRPr="00CE28E3" w14:paraId="6610E7CB" w14:textId="77777777" w:rsidTr="00786ECD">
        <w:trPr>
          <w:cantSplit/>
          <w:trHeight w:val="223"/>
        </w:trPr>
        <w:tc>
          <w:tcPr>
            <w:tcW w:w="9016" w:type="dxa"/>
          </w:tcPr>
          <w:p w14:paraId="25AC8256" w14:textId="236615C3" w:rsidR="002326AD" w:rsidRPr="00192D17" w:rsidRDefault="00DF0C46" w:rsidP="00871945">
            <w:pPr>
              <w:pStyle w:val="Tablelist"/>
              <w:keepNext/>
              <w:numPr>
                <w:ilvl w:val="0"/>
                <w:numId w:val="0"/>
              </w:numPr>
              <w:rPr>
                <w:rFonts w:ascii="Arial Narrow" w:hAnsi="Arial Narrow"/>
                <w:snapToGrid w:val="0"/>
                <w:szCs w:val="20"/>
              </w:rPr>
            </w:pPr>
            <w:r w:rsidRPr="00192D17">
              <w:rPr>
                <w:rFonts w:ascii="Arial Narrow" w:hAnsi="Arial Narrow"/>
                <w:snapToGrid w:val="0"/>
                <w:szCs w:val="20"/>
              </w:rPr>
              <w:t>Fee:</w:t>
            </w:r>
            <w:r w:rsidR="00A64CAC">
              <w:rPr>
                <w:rFonts w:ascii="Arial Narrow" w:hAnsi="Arial Narrow"/>
                <w:snapToGrid w:val="0"/>
                <w:szCs w:val="20"/>
              </w:rPr>
              <w:t xml:space="preserve"> </w:t>
            </w:r>
            <w:r w:rsidR="009C38C9">
              <w:rPr>
                <w:rFonts w:ascii="Arial Narrow" w:hAnsi="Arial Narrow"/>
                <w:i/>
                <w:iCs/>
                <w:snapToGrid w:val="0"/>
                <w:szCs w:val="20"/>
              </w:rPr>
              <w:t>$</w:t>
            </w:r>
            <w:r w:rsidR="009C38C9" w:rsidRPr="009C38C9">
              <w:rPr>
                <w:rFonts w:ascii="Arial Narrow" w:hAnsi="Arial Narrow"/>
                <w:i/>
                <w:iCs/>
                <w:snapToGrid w:val="0"/>
                <w:szCs w:val="20"/>
              </w:rPr>
              <w:t>1,514.10</w:t>
            </w:r>
            <w:r w:rsidR="009C38C9">
              <w:rPr>
                <w:rFonts w:ascii="Arial Narrow" w:hAnsi="Arial Narrow"/>
                <w:i/>
                <w:iCs/>
                <w:snapToGrid w:val="0"/>
                <w:szCs w:val="20"/>
              </w:rPr>
              <w:t xml:space="preserve"> (as per July 2022 MBS Schedule</w:t>
            </w:r>
            <w:r w:rsidR="004E49C1">
              <w:rPr>
                <w:rFonts w:ascii="Arial Narrow" w:hAnsi="Arial Narrow"/>
                <w:i/>
                <w:iCs/>
                <w:snapToGrid w:val="0"/>
                <w:szCs w:val="20"/>
              </w:rPr>
              <w:t>)*</w:t>
            </w:r>
            <w:r w:rsidR="009C38C9">
              <w:rPr>
                <w:rFonts w:ascii="Arial Narrow" w:hAnsi="Arial Narrow"/>
                <w:i/>
                <w:iCs/>
                <w:snapToGrid w:val="0"/>
                <w:szCs w:val="20"/>
              </w:rPr>
              <w:t xml:space="preserve"> </w:t>
            </w:r>
          </w:p>
        </w:tc>
      </w:tr>
      <w:tr w:rsidR="00DF0C46" w:rsidRPr="00CE28E3" w14:paraId="7D454B5A" w14:textId="77777777" w:rsidTr="00786ECD">
        <w:trPr>
          <w:cantSplit/>
          <w:trHeight w:val="223"/>
        </w:trPr>
        <w:tc>
          <w:tcPr>
            <w:tcW w:w="9016" w:type="dxa"/>
          </w:tcPr>
          <w:p w14:paraId="0C1FB619" w14:textId="17D0A522" w:rsidR="00636B8B" w:rsidRPr="002326AD" w:rsidRDefault="00DF0C46" w:rsidP="00871945">
            <w:pPr>
              <w:pStyle w:val="Tablelist"/>
              <w:keepNext/>
              <w:numPr>
                <w:ilvl w:val="0"/>
                <w:numId w:val="0"/>
              </w:numPr>
              <w:rPr>
                <w:rFonts w:ascii="Arial Narrow" w:hAnsi="Arial Narrow" w:cstheme="minorHAnsi"/>
              </w:rPr>
            </w:pPr>
            <w:r w:rsidRPr="002326AD">
              <w:rPr>
                <w:rFonts w:ascii="Arial Narrow" w:hAnsi="Arial Narrow" w:cstheme="minorHAnsi"/>
              </w:rPr>
              <w:t>MBS item 3846</w:t>
            </w:r>
            <w:r>
              <w:rPr>
                <w:rFonts w:ascii="Arial Narrow" w:hAnsi="Arial Narrow" w:cstheme="minorHAnsi"/>
              </w:rPr>
              <w:t>3</w:t>
            </w:r>
          </w:p>
          <w:p w14:paraId="7948D114" w14:textId="21378CF0" w:rsidR="00762092" w:rsidRPr="002F3C90" w:rsidRDefault="00762092" w:rsidP="00A64CAC">
            <w:pPr>
              <w:pStyle w:val="TableText"/>
              <w:keepNext/>
              <w:spacing w:before="240" w:after="120"/>
              <w:jc w:val="both"/>
              <w:rPr>
                <w:rFonts w:cs="Calibri Light"/>
              </w:rPr>
            </w:pPr>
            <w:proofErr w:type="spellStart"/>
            <w:r w:rsidRPr="002F3C90">
              <w:rPr>
                <w:rFonts w:cs="Calibri Light"/>
              </w:rPr>
              <w:t>TMVr</w:t>
            </w:r>
            <w:proofErr w:type="spellEnd"/>
            <w:r w:rsidRPr="002F3C90">
              <w:rPr>
                <w:rFonts w:cs="Calibri Light"/>
              </w:rPr>
              <w:t xml:space="preserve">, by transvenous or transeptal techniques, for permanent coaptation of mitral valve leaflets using one or more </w:t>
            </w:r>
            <w:proofErr w:type="spellStart"/>
            <w:r w:rsidRPr="002F3C90">
              <w:rPr>
                <w:rFonts w:cs="Calibri Light"/>
                <w:strike/>
              </w:rPr>
              <w:t>Mitraclips</w:t>
            </w:r>
            <w:proofErr w:type="spellEnd"/>
            <w:r w:rsidRPr="002F3C90">
              <w:rPr>
                <w:rFonts w:cs="Calibri Light"/>
                <w:strike/>
              </w:rPr>
              <w:t>™</w:t>
            </w:r>
            <w:r w:rsidRPr="002F3C90">
              <w:rPr>
                <w:rFonts w:cs="Calibri Light"/>
                <w:i/>
                <w:iCs/>
              </w:rPr>
              <w:t xml:space="preserve"> tissue approximation implants</w:t>
            </w:r>
            <w:r w:rsidRPr="002F3C90">
              <w:rPr>
                <w:rFonts w:cs="Calibri Light"/>
              </w:rPr>
              <w:t>, including intra</w:t>
            </w:r>
            <w:r w:rsidRPr="002F3C90">
              <w:rPr>
                <w:rFonts w:ascii="Cambria Math" w:hAnsi="Cambria Math" w:cs="Cambria Math"/>
              </w:rPr>
              <w:t>‑</w:t>
            </w:r>
            <w:r w:rsidRPr="002F3C90">
              <w:rPr>
                <w:rFonts w:cs="Calibri Light"/>
              </w:rPr>
              <w:t>operative diagnostic imaging, if:</w:t>
            </w:r>
          </w:p>
          <w:p w14:paraId="7989ED70" w14:textId="77777777" w:rsidR="00762092" w:rsidRPr="002F3C90" w:rsidRDefault="00762092" w:rsidP="00F259E1">
            <w:pPr>
              <w:pStyle w:val="TableText"/>
              <w:keepNext/>
              <w:numPr>
                <w:ilvl w:val="0"/>
                <w:numId w:val="17"/>
              </w:numPr>
              <w:spacing w:before="20" w:after="120"/>
              <w:jc w:val="both"/>
              <w:rPr>
                <w:rFonts w:cs="Calibri Light"/>
              </w:rPr>
            </w:pPr>
            <w:r w:rsidRPr="002F3C90">
              <w:rPr>
                <w:rFonts w:cs="Calibri Light"/>
              </w:rPr>
              <w:t>the patient has each of the following risk factors:</w:t>
            </w:r>
          </w:p>
          <w:p w14:paraId="3B66E796" w14:textId="77777777" w:rsidR="00762092" w:rsidRPr="002F3C90" w:rsidRDefault="00762092" w:rsidP="00F259E1">
            <w:pPr>
              <w:pStyle w:val="TableText"/>
              <w:keepNext/>
              <w:numPr>
                <w:ilvl w:val="0"/>
                <w:numId w:val="18"/>
              </w:numPr>
              <w:spacing w:before="20" w:after="120"/>
              <w:ind w:left="1021" w:hanging="567"/>
              <w:jc w:val="both"/>
              <w:rPr>
                <w:rFonts w:cs="Calibri Light"/>
              </w:rPr>
            </w:pPr>
            <w:r w:rsidRPr="002F3C90">
              <w:rPr>
                <w:rFonts w:cs="Calibri Light"/>
              </w:rPr>
              <w:t>moderate to severe, or severe, symptomatic functional (secondary) mitral valve regurgitation (grade 3+ or 4+);</w:t>
            </w:r>
          </w:p>
          <w:p w14:paraId="75CF2FBE" w14:textId="77777777" w:rsidR="00762092" w:rsidRPr="002F3C90" w:rsidRDefault="00762092" w:rsidP="00F259E1">
            <w:pPr>
              <w:pStyle w:val="TableText"/>
              <w:keepNext/>
              <w:numPr>
                <w:ilvl w:val="0"/>
                <w:numId w:val="18"/>
              </w:numPr>
              <w:spacing w:before="20" w:after="120"/>
              <w:ind w:left="1021" w:hanging="567"/>
              <w:jc w:val="both"/>
              <w:rPr>
                <w:rFonts w:cs="Calibri Light"/>
              </w:rPr>
            </w:pPr>
            <w:r w:rsidRPr="002F3C90">
              <w:rPr>
                <w:rFonts w:cs="Calibri Light"/>
              </w:rPr>
              <w:t>left ventricular ejection fraction of 20% to 50%;</w:t>
            </w:r>
          </w:p>
          <w:p w14:paraId="28678C74" w14:textId="77777777" w:rsidR="00762092" w:rsidRPr="002F3C90" w:rsidRDefault="00762092" w:rsidP="00F259E1">
            <w:pPr>
              <w:pStyle w:val="TableText"/>
              <w:keepNext/>
              <w:numPr>
                <w:ilvl w:val="0"/>
                <w:numId w:val="18"/>
              </w:numPr>
              <w:spacing w:before="20" w:after="120"/>
              <w:ind w:left="1021" w:hanging="567"/>
              <w:jc w:val="both"/>
              <w:rPr>
                <w:rFonts w:cs="Calibri Light"/>
              </w:rPr>
            </w:pPr>
            <w:r w:rsidRPr="002F3C90">
              <w:rPr>
                <w:rFonts w:cs="Calibri Light"/>
              </w:rPr>
              <w:t>left ventricular end systolic diameter of not more than 70mm;</w:t>
            </w:r>
          </w:p>
          <w:p w14:paraId="2783FE81" w14:textId="77777777" w:rsidR="00762092" w:rsidRPr="002F3C90" w:rsidRDefault="00762092" w:rsidP="00F259E1">
            <w:pPr>
              <w:pStyle w:val="TableText"/>
              <w:keepNext/>
              <w:numPr>
                <w:ilvl w:val="0"/>
                <w:numId w:val="18"/>
              </w:numPr>
              <w:spacing w:before="20" w:after="120"/>
              <w:ind w:left="1021" w:hanging="567"/>
              <w:jc w:val="both"/>
              <w:rPr>
                <w:rFonts w:cs="Calibri Light"/>
              </w:rPr>
            </w:pPr>
            <w:r w:rsidRPr="002F3C90">
              <w:rPr>
                <w:rFonts w:cs="Calibri Light"/>
              </w:rPr>
              <w:t>symptoms of mild, moderate or severe chronic heart failure (New York Heart Association class II, III or IV) that persist despite maximally tolerate guideline-directed medical therapy; and</w:t>
            </w:r>
          </w:p>
          <w:p w14:paraId="0DC775D4" w14:textId="77777777" w:rsidR="00762092" w:rsidRPr="002F3C90" w:rsidRDefault="00762092" w:rsidP="00F259E1">
            <w:pPr>
              <w:pStyle w:val="TableText"/>
              <w:keepNext/>
              <w:numPr>
                <w:ilvl w:val="0"/>
                <w:numId w:val="17"/>
              </w:numPr>
              <w:spacing w:before="20" w:after="120"/>
              <w:jc w:val="both"/>
              <w:rPr>
                <w:rFonts w:cs="Calibri Light"/>
              </w:rPr>
            </w:pPr>
            <w:r w:rsidRPr="002F3C90">
              <w:rPr>
                <w:rFonts w:cs="Calibri Light"/>
              </w:rPr>
              <w:t xml:space="preserve">as a result of a </w:t>
            </w:r>
            <w:proofErr w:type="spellStart"/>
            <w:r w:rsidRPr="002F3C90">
              <w:rPr>
                <w:rFonts w:cs="Calibri Light"/>
              </w:rPr>
              <w:t>TMVr</w:t>
            </w:r>
            <w:proofErr w:type="spellEnd"/>
            <w:r w:rsidRPr="002F3C90">
              <w:rPr>
                <w:rFonts w:cs="Calibri Light"/>
              </w:rPr>
              <w:t xml:space="preserve"> suitability case conference, the patient has been:</w:t>
            </w:r>
          </w:p>
          <w:p w14:paraId="38000D20" w14:textId="77777777" w:rsidR="00762092" w:rsidRPr="002F3C90" w:rsidRDefault="00762092" w:rsidP="00F259E1">
            <w:pPr>
              <w:pStyle w:val="TableText"/>
              <w:keepNext/>
              <w:numPr>
                <w:ilvl w:val="0"/>
                <w:numId w:val="19"/>
              </w:numPr>
              <w:spacing w:before="20" w:after="120"/>
              <w:ind w:left="1021" w:hanging="567"/>
              <w:jc w:val="both"/>
              <w:rPr>
                <w:rFonts w:cs="Calibri Light"/>
              </w:rPr>
            </w:pPr>
            <w:r w:rsidRPr="002F3C90">
              <w:rPr>
                <w:rFonts w:cs="Calibri Light"/>
              </w:rPr>
              <w:t>assessed as having an unacceptably high risk for surgical mitral valve replacement; and</w:t>
            </w:r>
          </w:p>
          <w:p w14:paraId="7504468F" w14:textId="77777777" w:rsidR="00762092" w:rsidRPr="002F3C90" w:rsidRDefault="00762092" w:rsidP="00F259E1">
            <w:pPr>
              <w:pStyle w:val="TableText"/>
              <w:keepNext/>
              <w:numPr>
                <w:ilvl w:val="0"/>
                <w:numId w:val="19"/>
              </w:numPr>
              <w:spacing w:before="20" w:after="120"/>
              <w:ind w:left="1021" w:hanging="567"/>
              <w:jc w:val="both"/>
              <w:rPr>
                <w:rFonts w:cs="Calibri Light"/>
              </w:rPr>
            </w:pPr>
            <w:r w:rsidRPr="002F3C90">
              <w:rPr>
                <w:rFonts w:cs="Calibri Light"/>
              </w:rPr>
              <w:t>recommended as being suitable for the service; and</w:t>
            </w:r>
          </w:p>
          <w:p w14:paraId="4013D628" w14:textId="77777777" w:rsidR="00762092" w:rsidRPr="002F3C90" w:rsidRDefault="00762092" w:rsidP="00F259E1">
            <w:pPr>
              <w:pStyle w:val="TableText"/>
              <w:keepNext/>
              <w:numPr>
                <w:ilvl w:val="0"/>
                <w:numId w:val="17"/>
              </w:numPr>
              <w:spacing w:before="20" w:after="120"/>
              <w:jc w:val="both"/>
              <w:rPr>
                <w:rFonts w:cs="Calibri Light"/>
              </w:rPr>
            </w:pPr>
            <w:r w:rsidRPr="002F3C90">
              <w:rPr>
                <w:rFonts w:cs="Calibri Light"/>
              </w:rPr>
              <w:t>the service is performed:</w:t>
            </w:r>
          </w:p>
          <w:p w14:paraId="540BA043" w14:textId="77777777" w:rsidR="00762092" w:rsidRPr="002F3C90" w:rsidRDefault="00762092" w:rsidP="00F259E1">
            <w:pPr>
              <w:pStyle w:val="TableText"/>
              <w:keepNext/>
              <w:numPr>
                <w:ilvl w:val="0"/>
                <w:numId w:val="20"/>
              </w:numPr>
              <w:spacing w:before="20" w:after="120"/>
              <w:ind w:left="1021" w:hanging="567"/>
              <w:jc w:val="both"/>
              <w:rPr>
                <w:rFonts w:cs="Calibri Light"/>
              </w:rPr>
            </w:pPr>
            <w:r w:rsidRPr="002F3C90">
              <w:rPr>
                <w:rFonts w:cs="Calibri Light"/>
              </w:rPr>
              <w:t xml:space="preserve">by a cardiothoracic surgeon, or an interventional cardiologist, accredited by the </w:t>
            </w:r>
            <w:proofErr w:type="spellStart"/>
            <w:r w:rsidRPr="002F3C90">
              <w:rPr>
                <w:rFonts w:cs="Calibri Light"/>
              </w:rPr>
              <w:t>TMVr</w:t>
            </w:r>
            <w:proofErr w:type="spellEnd"/>
            <w:r w:rsidRPr="002F3C90">
              <w:rPr>
                <w:rFonts w:cs="Calibri Light"/>
              </w:rPr>
              <w:t xml:space="preserve"> accreditation committee to perform the service; and</w:t>
            </w:r>
          </w:p>
          <w:p w14:paraId="5D0FFB1C" w14:textId="77777777" w:rsidR="00762092" w:rsidRPr="002F3C90" w:rsidRDefault="00762092" w:rsidP="00F259E1">
            <w:pPr>
              <w:pStyle w:val="TableText"/>
              <w:keepNext/>
              <w:numPr>
                <w:ilvl w:val="0"/>
                <w:numId w:val="20"/>
              </w:numPr>
              <w:spacing w:before="20" w:after="120"/>
              <w:ind w:left="1021" w:hanging="567"/>
              <w:jc w:val="both"/>
              <w:rPr>
                <w:rFonts w:cs="Calibri Light"/>
              </w:rPr>
            </w:pPr>
            <w:r w:rsidRPr="002F3C90">
              <w:rPr>
                <w:rFonts w:cs="Calibri Light"/>
              </w:rPr>
              <w:t>via transfemoral venous delivery, unless transfemoral venous delivery is contraindicated or not feasible; and</w:t>
            </w:r>
          </w:p>
          <w:p w14:paraId="49215A08" w14:textId="77777777" w:rsidR="00762092" w:rsidRPr="002F3C90" w:rsidRDefault="00762092" w:rsidP="00F259E1">
            <w:pPr>
              <w:pStyle w:val="TableText"/>
              <w:keepNext/>
              <w:numPr>
                <w:ilvl w:val="0"/>
                <w:numId w:val="20"/>
              </w:numPr>
              <w:spacing w:before="20" w:after="120"/>
              <w:ind w:left="1021" w:hanging="567"/>
              <w:jc w:val="both"/>
              <w:rPr>
                <w:rFonts w:cs="Calibri Light"/>
              </w:rPr>
            </w:pPr>
            <w:r w:rsidRPr="002F3C90">
              <w:rPr>
                <w:rFonts w:cs="Calibri Light"/>
              </w:rPr>
              <w:t xml:space="preserve">in a hospital that is accredited by the </w:t>
            </w:r>
            <w:proofErr w:type="spellStart"/>
            <w:r w:rsidRPr="002F3C90">
              <w:rPr>
                <w:rFonts w:cs="Calibri Light"/>
              </w:rPr>
              <w:t>TMVr</w:t>
            </w:r>
            <w:proofErr w:type="spellEnd"/>
            <w:r w:rsidRPr="002F3C90">
              <w:rPr>
                <w:rFonts w:cs="Calibri Light"/>
              </w:rPr>
              <w:t xml:space="preserve"> accreditation committee as a suitable hospital for the service; and</w:t>
            </w:r>
          </w:p>
          <w:p w14:paraId="129F1DC2" w14:textId="1F87BE39" w:rsidR="00DF0C46" w:rsidRPr="00DF0C46" w:rsidRDefault="00762092" w:rsidP="00871945">
            <w:pPr>
              <w:pStyle w:val="Tablelist"/>
              <w:keepNext/>
              <w:numPr>
                <w:ilvl w:val="0"/>
                <w:numId w:val="0"/>
              </w:numPr>
              <w:rPr>
                <w:snapToGrid w:val="0"/>
                <w:szCs w:val="20"/>
              </w:rPr>
            </w:pPr>
            <w:r w:rsidRPr="00762092">
              <w:rPr>
                <w:rFonts w:ascii="Arial Narrow" w:hAnsi="Arial Narrow" w:cs="Calibri Light"/>
              </w:rPr>
              <w:t>a service to which this item, or item 38461, applies has not been provided to the patient in the previous 5 years</w:t>
            </w:r>
          </w:p>
        </w:tc>
      </w:tr>
      <w:tr w:rsidR="00762092" w:rsidRPr="00CE28E3" w14:paraId="4EAE3147" w14:textId="77777777" w:rsidTr="00786ECD">
        <w:trPr>
          <w:cantSplit/>
          <w:trHeight w:val="223"/>
        </w:trPr>
        <w:tc>
          <w:tcPr>
            <w:tcW w:w="9016" w:type="dxa"/>
          </w:tcPr>
          <w:p w14:paraId="21622EE8" w14:textId="1E5D99FB" w:rsidR="00762092" w:rsidRPr="002326AD" w:rsidRDefault="00762092" w:rsidP="00871945">
            <w:pPr>
              <w:pStyle w:val="Tablelist"/>
              <w:keepNext/>
              <w:numPr>
                <w:ilvl w:val="0"/>
                <w:numId w:val="0"/>
              </w:numPr>
              <w:rPr>
                <w:rFonts w:ascii="Arial Narrow" w:hAnsi="Arial Narrow" w:cstheme="minorHAnsi"/>
              </w:rPr>
            </w:pPr>
            <w:r w:rsidRPr="00762092">
              <w:rPr>
                <w:rFonts w:ascii="Arial Narrow" w:hAnsi="Arial Narrow" w:cstheme="minorHAnsi"/>
              </w:rPr>
              <w:t xml:space="preserve">Fee: </w:t>
            </w:r>
            <w:r w:rsidR="004E49C1">
              <w:rPr>
                <w:rFonts w:ascii="Arial Narrow" w:hAnsi="Arial Narrow"/>
                <w:i/>
                <w:iCs/>
                <w:snapToGrid w:val="0"/>
                <w:szCs w:val="20"/>
              </w:rPr>
              <w:t>$</w:t>
            </w:r>
            <w:r w:rsidR="004E49C1" w:rsidRPr="009C38C9">
              <w:rPr>
                <w:rFonts w:ascii="Arial Narrow" w:hAnsi="Arial Narrow"/>
                <w:i/>
                <w:iCs/>
                <w:snapToGrid w:val="0"/>
                <w:szCs w:val="20"/>
              </w:rPr>
              <w:t>1,514.10</w:t>
            </w:r>
            <w:r w:rsidR="004E49C1">
              <w:rPr>
                <w:rFonts w:ascii="Arial Narrow" w:hAnsi="Arial Narrow"/>
                <w:i/>
                <w:iCs/>
                <w:snapToGrid w:val="0"/>
                <w:szCs w:val="20"/>
              </w:rPr>
              <w:t xml:space="preserve"> (as per July 2022 MBS Schedule)*</w:t>
            </w:r>
          </w:p>
        </w:tc>
      </w:tr>
    </w:tbl>
    <w:p w14:paraId="5F7AAABB" w14:textId="272FC20C" w:rsidR="002326AD" w:rsidRPr="00D5436D" w:rsidRDefault="002326AD" w:rsidP="002326AD">
      <w:pPr>
        <w:pStyle w:val="Instructionaltext"/>
        <w:keepNext/>
        <w:tabs>
          <w:tab w:val="left" w:pos="2172"/>
        </w:tabs>
        <w:spacing w:before="0"/>
        <w:rPr>
          <w:i/>
          <w:color w:val="auto"/>
          <w:sz w:val="18"/>
          <w:szCs w:val="18"/>
        </w:rPr>
      </w:pPr>
      <w:r w:rsidRPr="00D5436D">
        <w:rPr>
          <w:i/>
          <w:color w:val="auto"/>
          <w:sz w:val="18"/>
          <w:szCs w:val="18"/>
        </w:rPr>
        <w:t>*</w:t>
      </w:r>
      <w:r w:rsidR="004E49C1" w:rsidRPr="00D5436D">
        <w:rPr>
          <w:i/>
          <w:color w:val="auto"/>
          <w:sz w:val="18"/>
          <w:szCs w:val="18"/>
        </w:rPr>
        <w:t xml:space="preserve">ADAR requested a fee of $1490.25  </w:t>
      </w:r>
    </w:p>
    <w:p w14:paraId="1FAF801C" w14:textId="0F8835FF" w:rsidR="006D3C7A" w:rsidRDefault="00762092" w:rsidP="00192D17">
      <w:r w:rsidRPr="00762092">
        <w:t>It is prop</w:t>
      </w:r>
      <w:r>
        <w:t xml:space="preserve">osed that the PASCAL system would be delivered in the same clinical setting and with the same frequency as the </w:t>
      </w:r>
      <w:proofErr w:type="spellStart"/>
      <w:r>
        <w:t>MitraClip</w:t>
      </w:r>
      <w:proofErr w:type="spellEnd"/>
      <w:r>
        <w:t xml:space="preserve"> system. The current MBS item can be claimed once in a five-year period for each patient. Patient selection should be performed by a multi-disciplinary heart team (MDHT) specialising in the treatment of mitral regurgitation to assess patient risk and anatomical suitability. The delivery of PASCAL system is restricted to be performed only by a cardiothoracic </w:t>
      </w:r>
      <w:r>
        <w:lastRenderedPageBreak/>
        <w:t>surgeon</w:t>
      </w:r>
      <w:r w:rsidR="003B1082">
        <w:t xml:space="preserve">, or an interventional cardiologist, accredited by the </w:t>
      </w:r>
      <w:proofErr w:type="spellStart"/>
      <w:r w:rsidR="003B1082">
        <w:t>TMVr</w:t>
      </w:r>
      <w:proofErr w:type="spellEnd"/>
      <w:r w:rsidR="003B1082">
        <w:t xml:space="preserve"> accreditation committee to perform the service in a hospital accredited to perform the procedure.</w:t>
      </w:r>
    </w:p>
    <w:p w14:paraId="0E337D8D" w14:textId="2E66BE0F" w:rsidR="00D5436D" w:rsidRDefault="00D5436D" w:rsidP="00D5436D">
      <w:pPr>
        <w:pStyle w:val="Instructionaltext"/>
        <w:rPr>
          <w:iCs/>
          <w:color w:val="auto"/>
        </w:rPr>
      </w:pPr>
      <w:r>
        <w:rPr>
          <w:iCs/>
          <w:color w:val="auto"/>
        </w:rPr>
        <w:t>The PASCAL system is a catheter-based technique for the delivery of a permanent implant to the mitral valve via transeptal access. The PASCAL system consists of the Implant System, Guide Sheath as well as the optional Stabiliser and cardiac implantation catheter table. The implant clasps the anterior and posterior leaflets around a spacer, thus creating a double orifice and reducing mitral regurgitation. The Implant System consists of the Steerable Cathe</w:t>
      </w:r>
      <w:r w:rsidR="00485C46">
        <w:rPr>
          <w:iCs/>
          <w:color w:val="auto"/>
        </w:rPr>
        <w:t>te</w:t>
      </w:r>
      <w:r>
        <w:rPr>
          <w:iCs/>
          <w:color w:val="auto"/>
        </w:rPr>
        <w:t xml:space="preserve">r (outermost layer), the Implant Catheter (innermost layer), and the implant. The Implant System percutaneously delivers the implant to the valve via femoral vein access using a transvenous, transeptal approach. The implant is deployed and secured to the leaflets of the valve, acting as a filler in the regurgitant orifice. The primary components of the Implant are the spacer, paddles, and clasps made from Nitinol. </w:t>
      </w:r>
    </w:p>
    <w:p w14:paraId="08691E17" w14:textId="013760A0" w:rsidR="00DD59A7" w:rsidRPr="00E71A94" w:rsidRDefault="00DD59A7" w:rsidP="00192D17">
      <w:pPr>
        <w:rPr>
          <w:i/>
          <w:iCs/>
        </w:rPr>
      </w:pPr>
      <w:r w:rsidRPr="00D40E82">
        <w:t xml:space="preserve">If MSAC </w:t>
      </w:r>
      <w:r w:rsidR="009911F3" w:rsidRPr="00D40E82">
        <w:t xml:space="preserve">had supported </w:t>
      </w:r>
      <w:r w:rsidR="00E71A94" w:rsidRPr="00D40E82">
        <w:t xml:space="preserve">this </w:t>
      </w:r>
      <w:r w:rsidRPr="00D40E82">
        <w:t xml:space="preserve">application, and MBS items 38461 and 38463 become device agnostic, then the PASCAL system will also need to be listed on the Prostheses List. The proposed </w:t>
      </w:r>
      <w:r w:rsidR="00B0013C" w:rsidRPr="00D40E82">
        <w:t>Prosthesis List benefit</w:t>
      </w:r>
      <w:r w:rsidRPr="00D40E82">
        <w:t xml:space="preserve"> for PASCAL is </w:t>
      </w:r>
      <w:r w:rsidRPr="000B0F56">
        <w:t>$</w:t>
      </w:r>
      <w:r w:rsidR="00592818" w:rsidRPr="00592818">
        <w:rPr>
          <w:color w:val="000000"/>
          <w:w w:val="66"/>
          <w:shd w:val="solid" w:color="000000" w:fill="000000"/>
          <w:fitText w:val="438" w:id="-1256558076"/>
          <w14:textFill>
            <w14:solidFill>
              <w14:srgbClr w14:val="000000">
                <w14:alpha w14:val="100000"/>
              </w14:srgbClr>
            </w14:solidFill>
          </w14:textFill>
        </w:rPr>
        <w:t>|||||</w:t>
      </w:r>
      <w:r w:rsidR="00592818" w:rsidRPr="00592818">
        <w:rPr>
          <w:color w:val="000000"/>
          <w:spacing w:val="2"/>
          <w:w w:val="66"/>
          <w:shd w:val="solid" w:color="000000" w:fill="000000"/>
          <w:fitText w:val="438" w:id="-1256558076"/>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075"/>
          <w14:textFill>
            <w14:solidFill>
              <w14:srgbClr w14:val="000000">
                <w14:alpha w14:val="100000"/>
              </w14:srgbClr>
            </w14:solidFill>
          </w14:textFill>
        </w:rPr>
        <w:t>|||||</w:t>
      </w:r>
      <w:r w:rsidR="00592818" w:rsidRPr="00592818">
        <w:rPr>
          <w:color w:val="000000"/>
          <w:spacing w:val="2"/>
          <w:w w:val="66"/>
          <w:shd w:val="solid" w:color="000000" w:fill="000000"/>
          <w:fitText w:val="438" w:id="-1256558075"/>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074"/>
          <w14:textFill>
            <w14:solidFill>
              <w14:srgbClr w14:val="000000">
                <w14:alpha w14:val="100000"/>
              </w14:srgbClr>
            </w14:solidFill>
          </w14:textFill>
        </w:rPr>
        <w:t>|||||</w:t>
      </w:r>
      <w:r w:rsidR="00592818" w:rsidRPr="00592818">
        <w:rPr>
          <w:color w:val="000000"/>
          <w:spacing w:val="2"/>
          <w:w w:val="66"/>
          <w:shd w:val="solid" w:color="000000" w:fill="000000"/>
          <w:fitText w:val="438" w:id="-1256558074"/>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073"/>
          <w14:textFill>
            <w14:solidFill>
              <w14:srgbClr w14:val="000000">
                <w14:alpha w14:val="100000"/>
              </w14:srgbClr>
            </w14:solidFill>
          </w14:textFill>
        </w:rPr>
        <w:t>|||||</w:t>
      </w:r>
      <w:r w:rsidR="00592818" w:rsidRPr="00592818">
        <w:rPr>
          <w:color w:val="000000"/>
          <w:spacing w:val="2"/>
          <w:w w:val="66"/>
          <w:shd w:val="solid" w:color="000000" w:fill="000000"/>
          <w:fitText w:val="438" w:id="-1256558073"/>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072"/>
          <w14:textFill>
            <w14:solidFill>
              <w14:srgbClr w14:val="000000">
                <w14:alpha w14:val="100000"/>
              </w14:srgbClr>
            </w14:solidFill>
          </w14:textFill>
        </w:rPr>
        <w:t>|||||</w:t>
      </w:r>
      <w:r w:rsidR="00592818" w:rsidRPr="00592818">
        <w:rPr>
          <w:color w:val="000000"/>
          <w:spacing w:val="2"/>
          <w:w w:val="66"/>
          <w:shd w:val="solid" w:color="000000" w:fill="000000"/>
          <w:fitText w:val="438" w:id="-1256558072"/>
          <w14:textFill>
            <w14:solidFill>
              <w14:srgbClr w14:val="000000">
                <w14:alpha w14:val="100000"/>
              </w14:srgbClr>
            </w14:solidFill>
          </w14:textFill>
        </w:rPr>
        <w:t>|</w:t>
      </w:r>
      <w:r w:rsidR="00592818" w:rsidRPr="00592818">
        <w:t xml:space="preserve"> </w:t>
      </w:r>
      <w:r w:rsidR="00592818" w:rsidRPr="00592818">
        <w:rPr>
          <w:color w:val="000000"/>
          <w:w w:val="68"/>
          <w:shd w:val="solid" w:color="000000" w:fill="000000"/>
          <w:fitText w:val="451" w:id="-1256558071"/>
          <w14:textFill>
            <w14:solidFill>
              <w14:srgbClr w14:val="000000">
                <w14:alpha w14:val="100000"/>
              </w14:srgbClr>
            </w14:solidFill>
          </w14:textFill>
        </w:rPr>
        <w:t>|||||</w:t>
      </w:r>
      <w:r w:rsidR="00592818" w:rsidRPr="00592818">
        <w:rPr>
          <w:color w:val="000000"/>
          <w:spacing w:val="3"/>
          <w:w w:val="68"/>
          <w:shd w:val="solid" w:color="000000" w:fill="000000"/>
          <w:fitText w:val="451" w:id="-1256558071"/>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9" w:id="-1256558070"/>
          <w14:textFill>
            <w14:solidFill>
              <w14:srgbClr w14:val="000000">
                <w14:alpha w14:val="100000"/>
              </w14:srgbClr>
            </w14:solidFill>
          </w14:textFill>
        </w:rPr>
        <w:t>|||||</w:t>
      </w:r>
      <w:r w:rsidR="00592818" w:rsidRPr="00592818">
        <w:rPr>
          <w:color w:val="000000"/>
          <w:spacing w:val="3"/>
          <w:w w:val="66"/>
          <w:shd w:val="solid" w:color="000000" w:fill="000000"/>
          <w:fitText w:val="439" w:id="-1256558070"/>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069"/>
          <w14:textFill>
            <w14:solidFill>
              <w14:srgbClr w14:val="000000">
                <w14:alpha w14:val="100000"/>
              </w14:srgbClr>
            </w14:solidFill>
          </w14:textFill>
        </w:rPr>
        <w:t>|||||</w:t>
      </w:r>
      <w:r w:rsidR="00592818" w:rsidRPr="00592818">
        <w:rPr>
          <w:color w:val="000000"/>
          <w:spacing w:val="2"/>
          <w:w w:val="66"/>
          <w:shd w:val="solid" w:color="000000" w:fill="000000"/>
          <w:fitText w:val="438" w:id="-1256558069"/>
          <w14:textFill>
            <w14:solidFill>
              <w14:srgbClr w14:val="000000">
                <w14:alpha w14:val="100000"/>
              </w14:srgbClr>
            </w14:solidFill>
          </w14:textFill>
        </w:rPr>
        <w:t>|</w:t>
      </w:r>
      <w:r w:rsidR="00592818" w:rsidRPr="00592818">
        <w:t xml:space="preserve"> </w:t>
      </w:r>
      <w:r w:rsidR="00592818" w:rsidRPr="00592818">
        <w:rPr>
          <w:color w:val="000000"/>
          <w:w w:val="68"/>
          <w:shd w:val="solid" w:color="000000" w:fill="000000"/>
          <w:fitText w:val="451" w:id="-1256558068"/>
          <w14:textFill>
            <w14:solidFill>
              <w14:srgbClr w14:val="000000">
                <w14:alpha w14:val="100000"/>
              </w14:srgbClr>
            </w14:solidFill>
          </w14:textFill>
        </w:rPr>
        <w:t>|||||</w:t>
      </w:r>
      <w:r w:rsidR="00592818" w:rsidRPr="00592818">
        <w:rPr>
          <w:color w:val="000000"/>
          <w:spacing w:val="3"/>
          <w:w w:val="68"/>
          <w:shd w:val="solid" w:color="000000" w:fill="000000"/>
          <w:fitText w:val="451" w:id="-1256558068"/>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9" w:id="-1256558067"/>
          <w14:textFill>
            <w14:solidFill>
              <w14:srgbClr w14:val="000000">
                <w14:alpha w14:val="100000"/>
              </w14:srgbClr>
            </w14:solidFill>
          </w14:textFill>
        </w:rPr>
        <w:t>|||||</w:t>
      </w:r>
      <w:r w:rsidR="00592818" w:rsidRPr="00592818">
        <w:rPr>
          <w:color w:val="000000"/>
          <w:spacing w:val="3"/>
          <w:w w:val="66"/>
          <w:shd w:val="solid" w:color="000000" w:fill="000000"/>
          <w:fitText w:val="439" w:id="-1256558067"/>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066"/>
          <w14:textFill>
            <w14:solidFill>
              <w14:srgbClr w14:val="000000">
                <w14:alpha w14:val="100000"/>
              </w14:srgbClr>
            </w14:solidFill>
          </w14:textFill>
        </w:rPr>
        <w:t>|||||</w:t>
      </w:r>
      <w:r w:rsidR="00592818" w:rsidRPr="00592818">
        <w:rPr>
          <w:color w:val="000000"/>
          <w:spacing w:val="2"/>
          <w:w w:val="66"/>
          <w:shd w:val="solid" w:color="000000" w:fill="000000"/>
          <w:fitText w:val="438" w:id="-1256558066"/>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065"/>
          <w14:textFill>
            <w14:solidFill>
              <w14:srgbClr w14:val="000000">
                <w14:alpha w14:val="100000"/>
              </w14:srgbClr>
            </w14:solidFill>
          </w14:textFill>
        </w:rPr>
        <w:t>|||||</w:t>
      </w:r>
      <w:r w:rsidR="00592818" w:rsidRPr="00592818">
        <w:rPr>
          <w:color w:val="000000"/>
          <w:spacing w:val="2"/>
          <w:w w:val="66"/>
          <w:shd w:val="solid" w:color="000000" w:fill="000000"/>
          <w:fitText w:val="438" w:id="-1256558065"/>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064"/>
          <w14:textFill>
            <w14:solidFill>
              <w14:srgbClr w14:val="000000">
                <w14:alpha w14:val="100000"/>
              </w14:srgbClr>
            </w14:solidFill>
          </w14:textFill>
        </w:rPr>
        <w:t>|||||</w:t>
      </w:r>
      <w:r w:rsidR="00592818" w:rsidRPr="00592818">
        <w:rPr>
          <w:color w:val="000000"/>
          <w:spacing w:val="2"/>
          <w:w w:val="66"/>
          <w:shd w:val="solid" w:color="000000" w:fill="000000"/>
          <w:fitText w:val="438" w:id="-1256558064"/>
          <w14:textFill>
            <w14:solidFill>
              <w14:srgbClr w14:val="000000">
                <w14:alpha w14:val="100000"/>
              </w14:srgbClr>
            </w14:solidFill>
          </w14:textFill>
        </w:rPr>
        <w:t>|</w:t>
      </w:r>
      <w:r w:rsidRPr="00D40E82">
        <w:t xml:space="preserve"> </w:t>
      </w:r>
      <w:r w:rsidR="00E71A94" w:rsidRPr="00D40E82">
        <w:t>Should MBS items 38461 and 38463 become device agnostic, it would allow for all future similar devices to be used</w:t>
      </w:r>
      <w:r w:rsidR="00C30158" w:rsidRPr="00D40E82">
        <w:t xml:space="preserve"> as long as the safety, effectiveness and cost effectiveness </w:t>
      </w:r>
      <w:r w:rsidR="00F16A97" w:rsidRPr="00D40E82">
        <w:t>had</w:t>
      </w:r>
      <w:r w:rsidR="00C30158" w:rsidRPr="00D40E82">
        <w:t xml:space="preserve"> been assessed</w:t>
      </w:r>
      <w:r w:rsidR="00E71A94" w:rsidRPr="00D40E82">
        <w:t>.</w:t>
      </w:r>
    </w:p>
    <w:p w14:paraId="6C133099" w14:textId="4C7C5805" w:rsidR="00DD59A7" w:rsidRPr="00762092" w:rsidRDefault="00DD59A7" w:rsidP="00192D17">
      <w:r>
        <w:t>The applicant accepts that the procedure may require more than one device and proposes that they will charge the same device fee per procedure, irrespective of the number of devices</w:t>
      </w:r>
      <w:r w:rsidR="007F71A3">
        <w:t xml:space="preserve"> used.</w:t>
      </w:r>
      <w:r>
        <w:t xml:space="preserve"> </w:t>
      </w:r>
    </w:p>
    <w:p w14:paraId="34E0B08F" w14:textId="6277981D" w:rsidR="00772829" w:rsidRPr="00CE28E3" w:rsidRDefault="00F35C7B" w:rsidP="002A18BE">
      <w:pPr>
        <w:pStyle w:val="Heading2"/>
        <w:numPr>
          <w:ilvl w:val="0"/>
          <w:numId w:val="0"/>
        </w:numPr>
      </w:pPr>
      <w:bookmarkStart w:id="20" w:name="_Toc69491419"/>
      <w:r>
        <w:t>7</w:t>
      </w:r>
      <w:r w:rsidR="00C36633">
        <w:t>.</w:t>
      </w:r>
      <w:r w:rsidR="00C36633">
        <w:tab/>
      </w:r>
      <w:r w:rsidR="00772829" w:rsidRPr="00CE28E3">
        <w:t>Population</w:t>
      </w:r>
      <w:bookmarkEnd w:id="20"/>
      <w:r w:rsidR="00772829" w:rsidRPr="00CE28E3">
        <w:t xml:space="preserve"> </w:t>
      </w:r>
    </w:p>
    <w:p w14:paraId="54E3B757" w14:textId="79E1EC63" w:rsidR="00E71A94" w:rsidRDefault="004E49C1" w:rsidP="00E71A94">
      <w:pPr>
        <w:pStyle w:val="Instructionaltext"/>
        <w:rPr>
          <w:iCs/>
          <w:color w:val="auto"/>
        </w:rPr>
      </w:pPr>
      <w:r>
        <w:rPr>
          <w:iCs/>
          <w:color w:val="auto"/>
        </w:rPr>
        <w:t xml:space="preserve">The proposed population for </w:t>
      </w:r>
      <w:proofErr w:type="spellStart"/>
      <w:r>
        <w:rPr>
          <w:iCs/>
          <w:color w:val="auto"/>
        </w:rPr>
        <w:t>TMVr</w:t>
      </w:r>
      <w:proofErr w:type="spellEnd"/>
      <w:r>
        <w:rPr>
          <w:iCs/>
          <w:color w:val="auto"/>
        </w:rPr>
        <w:t xml:space="preserve"> using the PASCAL system was unchanged from</w:t>
      </w:r>
      <w:r w:rsidR="00231B73">
        <w:rPr>
          <w:iCs/>
          <w:color w:val="auto"/>
        </w:rPr>
        <w:t xml:space="preserve"> MSAC’s</w:t>
      </w:r>
      <w:r>
        <w:rPr>
          <w:iCs/>
          <w:color w:val="auto"/>
        </w:rPr>
        <w:t xml:space="preserve"> </w:t>
      </w:r>
      <w:r w:rsidR="00231B73">
        <w:rPr>
          <w:iCs/>
          <w:color w:val="auto"/>
        </w:rPr>
        <w:t>previous</w:t>
      </w:r>
      <w:r>
        <w:rPr>
          <w:iCs/>
          <w:color w:val="auto"/>
        </w:rPr>
        <w:t xml:space="preserve"> 2021 consideration. </w:t>
      </w:r>
      <w:r w:rsidR="00E71A94">
        <w:rPr>
          <w:iCs/>
          <w:color w:val="auto"/>
        </w:rPr>
        <w:t xml:space="preserve">The proposed populations align with the two populations already listed for this procedure on the MBS using the </w:t>
      </w:r>
      <w:proofErr w:type="spellStart"/>
      <w:r w:rsidR="00E71A94">
        <w:rPr>
          <w:iCs/>
          <w:color w:val="auto"/>
        </w:rPr>
        <w:t>MitraClip</w:t>
      </w:r>
      <w:proofErr w:type="spellEnd"/>
      <w:r w:rsidR="00E71A94">
        <w:rPr>
          <w:iCs/>
          <w:color w:val="auto"/>
        </w:rPr>
        <w:t xml:space="preserve"> system (items 38461 and 38462):</w:t>
      </w:r>
    </w:p>
    <w:p w14:paraId="511B99A0" w14:textId="76C016CF" w:rsidR="004E49C1" w:rsidRDefault="00E71A94" w:rsidP="00F259E1">
      <w:pPr>
        <w:pStyle w:val="Instructionaltext"/>
        <w:numPr>
          <w:ilvl w:val="0"/>
          <w:numId w:val="24"/>
        </w:numPr>
        <w:ind w:left="284" w:hanging="284"/>
        <w:rPr>
          <w:iCs/>
          <w:color w:val="auto"/>
        </w:rPr>
      </w:pPr>
      <w:r>
        <w:rPr>
          <w:iCs/>
          <w:color w:val="auto"/>
        </w:rPr>
        <w:t>Patients with degenerative mitral valve (DMR):</w:t>
      </w:r>
    </w:p>
    <w:p w14:paraId="7CFD4B15" w14:textId="77777777" w:rsidR="00E71A94" w:rsidRPr="00FB3822" w:rsidRDefault="00E71A94" w:rsidP="00F259E1">
      <w:pPr>
        <w:pStyle w:val="Instructionaltext"/>
        <w:numPr>
          <w:ilvl w:val="0"/>
          <w:numId w:val="25"/>
        </w:numPr>
        <w:spacing w:before="0" w:after="0"/>
        <w:rPr>
          <w:iCs/>
          <w:color w:val="auto"/>
        </w:rPr>
      </w:pPr>
      <w:r w:rsidRPr="00FB3822">
        <w:rPr>
          <w:iCs/>
          <w:color w:val="auto"/>
        </w:rPr>
        <w:t>Moderate-severe or severe MR (grade 3+ or 4+)</w:t>
      </w:r>
    </w:p>
    <w:p w14:paraId="1C367073" w14:textId="77777777" w:rsidR="00E71A94" w:rsidRPr="00FB3822" w:rsidRDefault="00E71A94" w:rsidP="00F259E1">
      <w:pPr>
        <w:pStyle w:val="Instructionaltext"/>
        <w:numPr>
          <w:ilvl w:val="0"/>
          <w:numId w:val="25"/>
        </w:numPr>
        <w:spacing w:before="0" w:after="0"/>
        <w:rPr>
          <w:iCs/>
          <w:color w:val="auto"/>
        </w:rPr>
      </w:pPr>
      <w:r w:rsidRPr="00FB3822">
        <w:rPr>
          <w:iCs/>
          <w:color w:val="auto"/>
        </w:rPr>
        <w:t>LVEF ≥20%</w:t>
      </w:r>
    </w:p>
    <w:p w14:paraId="6F849D27" w14:textId="77777777" w:rsidR="00E71A94" w:rsidRPr="00FB3822" w:rsidRDefault="00E71A94" w:rsidP="00F259E1">
      <w:pPr>
        <w:pStyle w:val="Instructionaltext"/>
        <w:numPr>
          <w:ilvl w:val="0"/>
          <w:numId w:val="25"/>
        </w:numPr>
        <w:spacing w:before="0" w:after="0"/>
        <w:rPr>
          <w:iCs/>
          <w:color w:val="auto"/>
        </w:rPr>
      </w:pPr>
      <w:r w:rsidRPr="00FB3822">
        <w:rPr>
          <w:iCs/>
          <w:color w:val="auto"/>
        </w:rPr>
        <w:t>Symptoms of mild, moderate or severe chronic heart failure (NYHA class II, III, or IV)</w:t>
      </w:r>
    </w:p>
    <w:p w14:paraId="4D8DD5E8" w14:textId="77777777" w:rsidR="00E71A94" w:rsidRDefault="00E71A94" w:rsidP="00F259E1">
      <w:pPr>
        <w:pStyle w:val="Instructionaltext"/>
        <w:numPr>
          <w:ilvl w:val="0"/>
          <w:numId w:val="25"/>
        </w:numPr>
        <w:spacing w:before="0" w:after="0"/>
        <w:rPr>
          <w:iCs/>
          <w:color w:val="auto"/>
        </w:rPr>
      </w:pPr>
      <w:r w:rsidRPr="00FB3822">
        <w:rPr>
          <w:iCs/>
          <w:color w:val="auto"/>
        </w:rPr>
        <w:t>Assessed as having unacceptably high risk for surgical valve replacement</w:t>
      </w:r>
      <w:r>
        <w:rPr>
          <w:iCs/>
          <w:color w:val="auto"/>
        </w:rPr>
        <w:t xml:space="preserve"> by a </w:t>
      </w:r>
      <w:proofErr w:type="spellStart"/>
      <w:r>
        <w:rPr>
          <w:iCs/>
          <w:color w:val="auto"/>
        </w:rPr>
        <w:t>TMVr</w:t>
      </w:r>
      <w:proofErr w:type="spellEnd"/>
      <w:r>
        <w:rPr>
          <w:iCs/>
          <w:color w:val="auto"/>
        </w:rPr>
        <w:t xml:space="preserve"> case conference</w:t>
      </w:r>
    </w:p>
    <w:p w14:paraId="1290DD58" w14:textId="0CA0A911" w:rsidR="00E71A94" w:rsidRDefault="00E71A94" w:rsidP="00F259E1">
      <w:pPr>
        <w:pStyle w:val="Instructionaltext"/>
        <w:numPr>
          <w:ilvl w:val="0"/>
          <w:numId w:val="24"/>
        </w:numPr>
        <w:ind w:left="284" w:hanging="284"/>
        <w:rPr>
          <w:iCs/>
          <w:color w:val="auto"/>
        </w:rPr>
      </w:pPr>
      <w:r>
        <w:rPr>
          <w:iCs/>
          <w:color w:val="auto"/>
        </w:rPr>
        <w:t>Patients with functional mitral valve disease (FMR)</w:t>
      </w:r>
      <w:r w:rsidR="00DE5EC5">
        <w:rPr>
          <w:iCs/>
          <w:color w:val="auto"/>
        </w:rPr>
        <w:t>:</w:t>
      </w:r>
      <w:r>
        <w:rPr>
          <w:iCs/>
          <w:color w:val="auto"/>
        </w:rPr>
        <w:t xml:space="preserve">  </w:t>
      </w:r>
    </w:p>
    <w:p w14:paraId="5A88264D" w14:textId="77777777" w:rsidR="00E71A94" w:rsidRPr="00FB3822" w:rsidRDefault="00E71A94" w:rsidP="00F259E1">
      <w:pPr>
        <w:pStyle w:val="Instructionaltext"/>
        <w:numPr>
          <w:ilvl w:val="0"/>
          <w:numId w:val="25"/>
        </w:numPr>
        <w:spacing w:before="0" w:after="0"/>
        <w:rPr>
          <w:iCs/>
          <w:color w:val="auto"/>
        </w:rPr>
      </w:pPr>
      <w:r w:rsidRPr="00FB3822">
        <w:rPr>
          <w:iCs/>
          <w:color w:val="auto"/>
        </w:rPr>
        <w:t>Moderate-severe or severe MR (grade 3+ or 4+)</w:t>
      </w:r>
    </w:p>
    <w:p w14:paraId="34322DB1" w14:textId="77777777" w:rsidR="00E71A94" w:rsidRPr="00FB3822" w:rsidRDefault="00E71A94" w:rsidP="00F259E1">
      <w:pPr>
        <w:pStyle w:val="Instructionaltext"/>
        <w:numPr>
          <w:ilvl w:val="0"/>
          <w:numId w:val="25"/>
        </w:numPr>
        <w:spacing w:before="0" w:after="0"/>
        <w:rPr>
          <w:iCs/>
          <w:color w:val="auto"/>
        </w:rPr>
      </w:pPr>
      <w:r w:rsidRPr="00FB3822">
        <w:rPr>
          <w:iCs/>
          <w:color w:val="auto"/>
        </w:rPr>
        <w:t>LVEF 20-50%</w:t>
      </w:r>
    </w:p>
    <w:p w14:paraId="040FB15A" w14:textId="77777777" w:rsidR="00E71A94" w:rsidRPr="00FB3822" w:rsidRDefault="00E71A94" w:rsidP="00F259E1">
      <w:pPr>
        <w:pStyle w:val="Instructionaltext"/>
        <w:numPr>
          <w:ilvl w:val="0"/>
          <w:numId w:val="25"/>
        </w:numPr>
        <w:spacing w:before="0" w:after="0"/>
        <w:rPr>
          <w:iCs/>
          <w:color w:val="auto"/>
        </w:rPr>
      </w:pPr>
      <w:r w:rsidRPr="00FB3822">
        <w:rPr>
          <w:iCs/>
          <w:color w:val="auto"/>
        </w:rPr>
        <w:t>LVESD of ≤70 mm</w:t>
      </w:r>
    </w:p>
    <w:p w14:paraId="69137933" w14:textId="77777777" w:rsidR="00E71A94" w:rsidRPr="00FB3822" w:rsidRDefault="00E71A94" w:rsidP="00F259E1">
      <w:pPr>
        <w:pStyle w:val="Instructionaltext"/>
        <w:numPr>
          <w:ilvl w:val="0"/>
          <w:numId w:val="25"/>
        </w:numPr>
        <w:spacing w:before="0" w:after="0"/>
        <w:rPr>
          <w:iCs/>
          <w:color w:val="auto"/>
        </w:rPr>
      </w:pPr>
      <w:r w:rsidRPr="00FB3822">
        <w:rPr>
          <w:iCs/>
          <w:color w:val="auto"/>
        </w:rPr>
        <w:t>Symptoms of mild, moderate or severe chronic heart failure (NYHA class II, III, or IV) that persist despite guideline-directed medical therapy</w:t>
      </w:r>
    </w:p>
    <w:p w14:paraId="2B1D7983" w14:textId="77777777" w:rsidR="00E71A94" w:rsidRPr="00FB3822" w:rsidRDefault="00E71A94" w:rsidP="00F259E1">
      <w:pPr>
        <w:pStyle w:val="Instructionaltext"/>
        <w:numPr>
          <w:ilvl w:val="0"/>
          <w:numId w:val="25"/>
        </w:numPr>
        <w:spacing w:before="0" w:after="0"/>
        <w:rPr>
          <w:iCs/>
          <w:color w:val="auto"/>
        </w:rPr>
      </w:pPr>
      <w:r w:rsidRPr="00FB3822">
        <w:rPr>
          <w:iCs/>
          <w:color w:val="auto"/>
        </w:rPr>
        <w:t>Assessed as having unacceptably high risk for surgical valve replacement</w:t>
      </w:r>
      <w:r>
        <w:rPr>
          <w:iCs/>
          <w:color w:val="auto"/>
        </w:rPr>
        <w:t xml:space="preserve"> by a </w:t>
      </w:r>
      <w:proofErr w:type="spellStart"/>
      <w:r>
        <w:rPr>
          <w:iCs/>
          <w:color w:val="auto"/>
        </w:rPr>
        <w:t>TMVr</w:t>
      </w:r>
      <w:proofErr w:type="spellEnd"/>
      <w:r>
        <w:rPr>
          <w:iCs/>
          <w:color w:val="auto"/>
        </w:rPr>
        <w:t xml:space="preserve"> case conference </w:t>
      </w:r>
    </w:p>
    <w:p w14:paraId="2A88E62B" w14:textId="635D60C8" w:rsidR="00B52A57" w:rsidRDefault="00B52A57" w:rsidP="0000109A">
      <w:pPr>
        <w:pStyle w:val="Instructionaltext"/>
        <w:rPr>
          <w:iCs/>
          <w:color w:val="auto"/>
        </w:rPr>
      </w:pPr>
      <w:r>
        <w:rPr>
          <w:iCs/>
          <w:color w:val="auto"/>
        </w:rPr>
        <w:t>The population are those patients with mitral regurgitation</w:t>
      </w:r>
      <w:r w:rsidR="008D5982">
        <w:rPr>
          <w:iCs/>
          <w:color w:val="auto"/>
        </w:rPr>
        <w:t xml:space="preserve"> in which incompetency of the mitral valve causes abnormal backflow of blood from the left ventricle to the left atrium during the systolic phase of the cardiac cycle. There are two types of MR: degenerative and functional. </w:t>
      </w:r>
      <w:r>
        <w:rPr>
          <w:iCs/>
          <w:color w:val="auto"/>
        </w:rPr>
        <w:t xml:space="preserve"> </w:t>
      </w:r>
      <w:r w:rsidR="00752DA7">
        <w:rPr>
          <w:iCs/>
          <w:color w:val="auto"/>
        </w:rPr>
        <w:t xml:space="preserve">Primary or </w:t>
      </w:r>
      <w:r w:rsidR="008A537D">
        <w:rPr>
          <w:iCs/>
          <w:color w:val="auto"/>
        </w:rPr>
        <w:t xml:space="preserve">degenerative mitral regurgitation (DMR) </w:t>
      </w:r>
      <w:r w:rsidR="00752DA7">
        <w:rPr>
          <w:iCs/>
          <w:color w:val="auto"/>
        </w:rPr>
        <w:t>is caused by a structural abnormality of the mitral valve</w:t>
      </w:r>
      <w:r w:rsidR="008D5982">
        <w:rPr>
          <w:iCs/>
          <w:color w:val="auto"/>
        </w:rPr>
        <w:t xml:space="preserve"> leaflets and/or valve apparatus. In contrast, </w:t>
      </w:r>
      <w:r w:rsidR="00752DA7">
        <w:rPr>
          <w:iCs/>
          <w:color w:val="auto"/>
        </w:rPr>
        <w:t xml:space="preserve">secondary or </w:t>
      </w:r>
      <w:r w:rsidR="008A537D">
        <w:rPr>
          <w:iCs/>
          <w:color w:val="auto"/>
        </w:rPr>
        <w:t>functional mitral regurgitation (FMR)</w:t>
      </w:r>
      <w:r w:rsidR="00752DA7">
        <w:rPr>
          <w:iCs/>
          <w:color w:val="auto"/>
        </w:rPr>
        <w:t xml:space="preserve"> </w:t>
      </w:r>
      <w:r w:rsidR="008D5982">
        <w:rPr>
          <w:iCs/>
          <w:color w:val="auto"/>
        </w:rPr>
        <w:t xml:space="preserve">occurs when the valve and/or valve apparatus is structurally normal, but dysfunction, distortion, or dilation of the left atrial or ventricular chambers results in tethering of the leaflets and/or mitral annular dilation. MR is associated with an increased risk for heart failure and death. </w:t>
      </w:r>
    </w:p>
    <w:p w14:paraId="21EB5FB0" w14:textId="0D2F5A0E" w:rsidR="00FB3822" w:rsidRDefault="00633811" w:rsidP="00C231C4">
      <w:pPr>
        <w:pStyle w:val="Instructionaltext"/>
        <w:rPr>
          <w:iCs/>
          <w:color w:val="auto"/>
        </w:rPr>
      </w:pPr>
      <w:r>
        <w:rPr>
          <w:iCs/>
          <w:color w:val="auto"/>
        </w:rPr>
        <w:lastRenderedPageBreak/>
        <w:t>For each of these populations, in the</w:t>
      </w:r>
      <w:r w:rsidR="00C231C4">
        <w:rPr>
          <w:iCs/>
          <w:color w:val="auto"/>
        </w:rPr>
        <w:t xml:space="preserve"> proposed</w:t>
      </w:r>
      <w:r>
        <w:rPr>
          <w:iCs/>
          <w:color w:val="auto"/>
        </w:rPr>
        <w:t xml:space="preserve"> clinical management of patients with symptomatic, chronic degenerative mitral regurgitation or symptomatic, chronic functional mitral regurgitation with the characteristics described above, then </w:t>
      </w:r>
      <w:proofErr w:type="spellStart"/>
      <w:r>
        <w:rPr>
          <w:iCs/>
          <w:color w:val="auto"/>
        </w:rPr>
        <w:t>TMVr</w:t>
      </w:r>
      <w:proofErr w:type="spellEnd"/>
      <w:r>
        <w:rPr>
          <w:iCs/>
          <w:color w:val="auto"/>
        </w:rPr>
        <w:t xml:space="preserve"> with PASCAL or </w:t>
      </w:r>
      <w:proofErr w:type="spellStart"/>
      <w:r>
        <w:rPr>
          <w:iCs/>
          <w:color w:val="auto"/>
        </w:rPr>
        <w:t>MitraClip</w:t>
      </w:r>
      <w:proofErr w:type="spellEnd"/>
      <w:r>
        <w:rPr>
          <w:iCs/>
          <w:color w:val="auto"/>
        </w:rPr>
        <w:t xml:space="preserve"> plus continuing medical management will be available</w:t>
      </w:r>
      <w:r w:rsidR="00230D28">
        <w:rPr>
          <w:iCs/>
          <w:color w:val="auto"/>
        </w:rPr>
        <w:t xml:space="preserve"> to the specialist to treat the condition</w:t>
      </w:r>
      <w:r w:rsidR="00C231C4">
        <w:rPr>
          <w:iCs/>
          <w:color w:val="auto"/>
        </w:rPr>
        <w:t>.</w:t>
      </w:r>
    </w:p>
    <w:p w14:paraId="70294AE2" w14:textId="34D5F6E7" w:rsidR="003C1218" w:rsidRPr="00BE49AD" w:rsidRDefault="00DE5EC5" w:rsidP="003C1218">
      <w:pPr>
        <w:pStyle w:val="NormalBeforeBullet"/>
        <w:keepNext w:val="0"/>
        <w:spacing w:line="259" w:lineRule="auto"/>
        <w:rPr>
          <w:rFonts w:ascii="Franklin Gothic Book" w:hAnsi="Franklin Gothic Book"/>
          <w:iCs/>
        </w:rPr>
      </w:pPr>
      <w:r w:rsidRPr="00D40E82">
        <w:rPr>
          <w:rFonts w:ascii="Franklin Gothic Book" w:hAnsi="Franklin Gothic Book"/>
          <w:iCs/>
        </w:rPr>
        <w:t>The ADAR stated that the PASCAL system addresses an unmet clinical need for an alternative device that is better suited to treating complex anatomies.</w:t>
      </w:r>
      <w:r w:rsidRPr="00BE49AD">
        <w:rPr>
          <w:rFonts w:ascii="Franklin Gothic Book" w:hAnsi="Franklin Gothic Book"/>
          <w:iCs/>
        </w:rPr>
        <w:t xml:space="preserve"> However, the ADAR did not identify a subgroup of patients </w:t>
      </w:r>
      <w:r w:rsidR="00B20735">
        <w:rPr>
          <w:rFonts w:ascii="Franklin Gothic Book" w:hAnsi="Franklin Gothic Book"/>
          <w:iCs/>
        </w:rPr>
        <w:t xml:space="preserve">with an unmet clinical need who could undergo </w:t>
      </w:r>
      <w:proofErr w:type="spellStart"/>
      <w:r w:rsidR="00B20735">
        <w:rPr>
          <w:rFonts w:ascii="Franklin Gothic Book" w:hAnsi="Franklin Gothic Book"/>
          <w:iCs/>
        </w:rPr>
        <w:t>TMVr</w:t>
      </w:r>
      <w:proofErr w:type="spellEnd"/>
      <w:r w:rsidR="00B20735">
        <w:rPr>
          <w:rFonts w:ascii="Franklin Gothic Book" w:hAnsi="Franklin Gothic Book"/>
          <w:iCs/>
        </w:rPr>
        <w:t xml:space="preserve"> using</w:t>
      </w:r>
      <w:r w:rsidRPr="00BE49AD">
        <w:rPr>
          <w:rFonts w:ascii="Franklin Gothic Book" w:hAnsi="Franklin Gothic Book"/>
          <w:iCs/>
        </w:rPr>
        <w:t xml:space="preserve"> PASCAL</w:t>
      </w:r>
      <w:r w:rsidR="00B20735">
        <w:rPr>
          <w:rFonts w:ascii="Franklin Gothic Book" w:hAnsi="Franklin Gothic Book"/>
          <w:iCs/>
        </w:rPr>
        <w:t xml:space="preserve"> and are unable to undergo </w:t>
      </w:r>
      <w:proofErr w:type="spellStart"/>
      <w:r w:rsidR="00B20735">
        <w:rPr>
          <w:rFonts w:ascii="Franklin Gothic Book" w:hAnsi="Franklin Gothic Book"/>
          <w:iCs/>
        </w:rPr>
        <w:t>TMVr</w:t>
      </w:r>
      <w:proofErr w:type="spellEnd"/>
      <w:r w:rsidR="00B20735">
        <w:rPr>
          <w:rFonts w:ascii="Franklin Gothic Book" w:hAnsi="Franklin Gothic Book"/>
          <w:iCs/>
        </w:rPr>
        <w:t xml:space="preserve"> using </w:t>
      </w:r>
      <w:proofErr w:type="spellStart"/>
      <w:r w:rsidR="00B20735">
        <w:rPr>
          <w:rFonts w:ascii="Franklin Gothic Book" w:hAnsi="Franklin Gothic Book"/>
          <w:iCs/>
        </w:rPr>
        <w:t>MitraClip</w:t>
      </w:r>
      <w:proofErr w:type="spellEnd"/>
      <w:r w:rsidRPr="00BE49AD">
        <w:rPr>
          <w:rFonts w:ascii="Franklin Gothic Book" w:hAnsi="Franklin Gothic Book"/>
          <w:iCs/>
        </w:rPr>
        <w:t xml:space="preserve">. </w:t>
      </w:r>
      <w:r w:rsidR="003C1218" w:rsidRPr="00BE49AD">
        <w:rPr>
          <w:rFonts w:ascii="Franklin Gothic Book" w:hAnsi="Franklin Gothic Book"/>
          <w:iCs/>
        </w:rPr>
        <w:t>Instead</w:t>
      </w:r>
      <w:r w:rsidR="003C1218" w:rsidRPr="003C1218">
        <w:rPr>
          <w:rFonts w:ascii="Franklin Gothic Book" w:hAnsi="Franklin Gothic Book"/>
          <w:iCs/>
        </w:rPr>
        <w:t xml:space="preserve">, it was noted that </w:t>
      </w:r>
      <w:r w:rsidR="003C1218">
        <w:rPr>
          <w:rFonts w:ascii="Franklin Gothic Book" w:hAnsi="Franklin Gothic Book"/>
          <w:iCs/>
        </w:rPr>
        <w:t>t</w:t>
      </w:r>
      <w:r w:rsidR="003C1218" w:rsidRPr="003C1218">
        <w:rPr>
          <w:rFonts w:ascii="Franklin Gothic Book" w:hAnsi="Franklin Gothic Book"/>
          <w:iCs/>
        </w:rPr>
        <w:t>he ADAR emphasised the technical advantages of the PASCAL system, particularly for p</w:t>
      </w:r>
      <w:r w:rsidR="003C1218">
        <w:rPr>
          <w:rFonts w:ascii="Franklin Gothic Book" w:hAnsi="Franklin Gothic Book"/>
          <w:iCs/>
        </w:rPr>
        <w:t>atien</w:t>
      </w:r>
      <w:r w:rsidR="003C1218" w:rsidRPr="003C1218">
        <w:rPr>
          <w:rFonts w:ascii="Franklin Gothic Book" w:hAnsi="Franklin Gothic Book"/>
          <w:iCs/>
        </w:rPr>
        <w:t>ts with complex anatomies</w:t>
      </w:r>
      <w:r w:rsidR="003C1218">
        <w:rPr>
          <w:rFonts w:ascii="Franklin Gothic Book" w:hAnsi="Franklin Gothic Book"/>
          <w:iCs/>
        </w:rPr>
        <w:t>. T</w:t>
      </w:r>
      <w:r w:rsidR="003C1218" w:rsidRPr="003C1218">
        <w:rPr>
          <w:rFonts w:ascii="Franklin Gothic Book" w:hAnsi="Franklin Gothic Book"/>
          <w:iCs/>
        </w:rPr>
        <w:t xml:space="preserve">he commentary considered that a technical comparison of the PASCAL and </w:t>
      </w:r>
      <w:proofErr w:type="spellStart"/>
      <w:r w:rsidR="003C1218" w:rsidRPr="003C1218">
        <w:rPr>
          <w:rFonts w:ascii="Franklin Gothic Book" w:hAnsi="Franklin Gothic Book"/>
          <w:iCs/>
        </w:rPr>
        <w:t>MitraClip</w:t>
      </w:r>
      <w:proofErr w:type="spellEnd"/>
      <w:r w:rsidR="003C1218" w:rsidRPr="003C1218">
        <w:rPr>
          <w:rFonts w:ascii="Franklin Gothic Book" w:hAnsi="Franklin Gothic Book"/>
          <w:iCs/>
        </w:rPr>
        <w:t xml:space="preserve"> systems would have been useful in this p</w:t>
      </w:r>
      <w:r w:rsidR="003C1218">
        <w:rPr>
          <w:rFonts w:ascii="Franklin Gothic Book" w:hAnsi="Franklin Gothic Book"/>
          <w:iCs/>
        </w:rPr>
        <w:t>a</w:t>
      </w:r>
      <w:r w:rsidR="003C1218" w:rsidRPr="003C1218">
        <w:rPr>
          <w:rFonts w:ascii="Franklin Gothic Book" w:hAnsi="Franklin Gothic Book"/>
          <w:iCs/>
        </w:rPr>
        <w:t>t</w:t>
      </w:r>
      <w:r w:rsidR="003C1218">
        <w:rPr>
          <w:rFonts w:ascii="Franklin Gothic Book" w:hAnsi="Franklin Gothic Book"/>
          <w:iCs/>
        </w:rPr>
        <w:t>ient</w:t>
      </w:r>
      <w:r w:rsidR="003C1218" w:rsidRPr="003C1218">
        <w:rPr>
          <w:rFonts w:ascii="Franklin Gothic Book" w:hAnsi="Franklin Gothic Book"/>
          <w:iCs/>
        </w:rPr>
        <w:t xml:space="preserve"> population.</w:t>
      </w:r>
    </w:p>
    <w:p w14:paraId="049639F9" w14:textId="1BEC61D1" w:rsidR="00C231C4" w:rsidRDefault="00230D28" w:rsidP="00C231C4">
      <w:pPr>
        <w:pStyle w:val="Instructionaltext"/>
        <w:rPr>
          <w:iCs/>
          <w:color w:val="auto"/>
        </w:rPr>
      </w:pPr>
      <w:r>
        <w:rPr>
          <w:iCs/>
          <w:color w:val="auto"/>
        </w:rPr>
        <w:t>The PICO confirmation specific to this application was not required as an updated PICO used for MSAC Application 1192 (</w:t>
      </w:r>
      <w:proofErr w:type="spellStart"/>
      <w:r>
        <w:rPr>
          <w:iCs/>
          <w:color w:val="auto"/>
        </w:rPr>
        <w:t>MitraClip</w:t>
      </w:r>
      <w:proofErr w:type="spellEnd"/>
      <w:r>
        <w:rPr>
          <w:iCs/>
          <w:color w:val="auto"/>
        </w:rPr>
        <w:t>), considered by PASC in April 2012 was used. The main difference, aside from the intervention, is the comparator which</w:t>
      </w:r>
      <w:r w:rsidR="0031398F">
        <w:rPr>
          <w:iCs/>
          <w:color w:val="auto"/>
        </w:rPr>
        <w:t xml:space="preserve"> for the </w:t>
      </w:r>
      <w:proofErr w:type="spellStart"/>
      <w:r w:rsidR="0031398F">
        <w:rPr>
          <w:iCs/>
          <w:color w:val="auto"/>
        </w:rPr>
        <w:t>MitraClip</w:t>
      </w:r>
      <w:proofErr w:type="spellEnd"/>
      <w:r w:rsidR="0031398F">
        <w:rPr>
          <w:iCs/>
          <w:color w:val="auto"/>
        </w:rPr>
        <w:t xml:space="preserve"> Application (1192) was </w:t>
      </w:r>
      <w:r>
        <w:rPr>
          <w:iCs/>
          <w:color w:val="auto"/>
        </w:rPr>
        <w:t>surg</w:t>
      </w:r>
      <w:r w:rsidR="0031398F">
        <w:rPr>
          <w:iCs/>
          <w:color w:val="auto"/>
        </w:rPr>
        <w:t>ery</w:t>
      </w:r>
      <w:r>
        <w:rPr>
          <w:iCs/>
          <w:color w:val="auto"/>
        </w:rPr>
        <w:t xml:space="preserve"> or medical management, now </w:t>
      </w:r>
      <w:r w:rsidR="0031398F">
        <w:rPr>
          <w:iCs/>
          <w:color w:val="auto"/>
        </w:rPr>
        <w:t xml:space="preserve">the comparator is the </w:t>
      </w:r>
      <w:proofErr w:type="spellStart"/>
      <w:r>
        <w:rPr>
          <w:iCs/>
          <w:color w:val="auto"/>
        </w:rPr>
        <w:t>MitraClip</w:t>
      </w:r>
      <w:proofErr w:type="spellEnd"/>
      <w:r>
        <w:rPr>
          <w:iCs/>
          <w:color w:val="auto"/>
        </w:rPr>
        <w:t xml:space="preserve"> </w:t>
      </w:r>
      <w:r w:rsidR="0031398F">
        <w:rPr>
          <w:iCs/>
          <w:color w:val="auto"/>
        </w:rPr>
        <w:t>system.</w:t>
      </w:r>
      <w:r>
        <w:rPr>
          <w:iCs/>
          <w:color w:val="auto"/>
        </w:rPr>
        <w:t xml:space="preserve">  </w:t>
      </w:r>
    </w:p>
    <w:p w14:paraId="66BDFCC1" w14:textId="01C4EC77" w:rsidR="00772829" w:rsidRPr="00CE28E3" w:rsidRDefault="00F35C7B" w:rsidP="002A18BE">
      <w:pPr>
        <w:pStyle w:val="Heading2"/>
        <w:numPr>
          <w:ilvl w:val="0"/>
          <w:numId w:val="0"/>
        </w:numPr>
      </w:pPr>
      <w:bookmarkStart w:id="21" w:name="_Toc69491420"/>
      <w:r>
        <w:t>8</w:t>
      </w:r>
      <w:r w:rsidR="00C36633">
        <w:t>.</w:t>
      </w:r>
      <w:r w:rsidR="00C36633">
        <w:tab/>
      </w:r>
      <w:r w:rsidR="00772829" w:rsidRPr="00CE28E3">
        <w:t>Comparator</w:t>
      </w:r>
      <w:bookmarkEnd w:id="21"/>
    </w:p>
    <w:p w14:paraId="0DFAC6C5" w14:textId="36961147" w:rsidR="00230D28" w:rsidRPr="00427322" w:rsidRDefault="0031398F" w:rsidP="00E76AE0">
      <w:pPr>
        <w:pStyle w:val="Instructionaltext"/>
        <w:rPr>
          <w:iCs/>
          <w:color w:val="auto"/>
        </w:rPr>
      </w:pPr>
      <w:r>
        <w:rPr>
          <w:iCs/>
          <w:color w:val="auto"/>
        </w:rPr>
        <w:t xml:space="preserve">The </w:t>
      </w:r>
      <w:r w:rsidR="00DE5EC5" w:rsidRPr="008769DB">
        <w:rPr>
          <w:iCs/>
          <w:color w:val="auto"/>
        </w:rPr>
        <w:t>appropriate</w:t>
      </w:r>
      <w:r w:rsidR="00DE5EC5">
        <w:rPr>
          <w:i/>
          <w:color w:val="auto"/>
        </w:rPr>
        <w:t xml:space="preserve"> </w:t>
      </w:r>
      <w:r>
        <w:rPr>
          <w:iCs/>
          <w:color w:val="auto"/>
        </w:rPr>
        <w:t xml:space="preserve">comparator for the proposed medical service is </w:t>
      </w:r>
      <w:proofErr w:type="spellStart"/>
      <w:r w:rsidR="00880FB2">
        <w:rPr>
          <w:iCs/>
          <w:color w:val="auto"/>
        </w:rPr>
        <w:t>TMVr</w:t>
      </w:r>
      <w:proofErr w:type="spellEnd"/>
      <w:r w:rsidR="00880FB2">
        <w:rPr>
          <w:iCs/>
          <w:color w:val="auto"/>
        </w:rPr>
        <w:t xml:space="preserve"> using </w:t>
      </w:r>
      <w:r>
        <w:rPr>
          <w:iCs/>
          <w:color w:val="auto"/>
        </w:rPr>
        <w:t xml:space="preserve">the </w:t>
      </w:r>
      <w:proofErr w:type="spellStart"/>
      <w:r>
        <w:rPr>
          <w:iCs/>
          <w:color w:val="auto"/>
        </w:rPr>
        <w:t>MitraClip</w:t>
      </w:r>
      <w:proofErr w:type="spellEnd"/>
      <w:r>
        <w:rPr>
          <w:iCs/>
          <w:color w:val="auto"/>
        </w:rPr>
        <w:t xml:space="preserve"> system</w:t>
      </w:r>
      <w:r w:rsidR="00DE5EC5">
        <w:rPr>
          <w:iCs/>
          <w:color w:val="auto"/>
        </w:rPr>
        <w:t xml:space="preserve">, </w:t>
      </w:r>
      <w:r w:rsidR="00DE5EC5" w:rsidRPr="00427322">
        <w:rPr>
          <w:iCs/>
          <w:color w:val="auto"/>
        </w:rPr>
        <w:t>as accepted by MSAC in its</w:t>
      </w:r>
      <w:r w:rsidR="00195444">
        <w:rPr>
          <w:iCs/>
          <w:color w:val="auto"/>
        </w:rPr>
        <w:t xml:space="preserve"> previous </w:t>
      </w:r>
      <w:r w:rsidR="00DE5EC5" w:rsidRPr="00427322">
        <w:rPr>
          <w:iCs/>
          <w:color w:val="auto"/>
        </w:rPr>
        <w:t>consideration</w:t>
      </w:r>
      <w:r w:rsidR="00195444">
        <w:rPr>
          <w:iCs/>
          <w:color w:val="auto"/>
        </w:rPr>
        <w:t>.</w:t>
      </w:r>
      <w:r w:rsidR="00880FB2" w:rsidRPr="00427322">
        <w:rPr>
          <w:iCs/>
          <w:color w:val="auto"/>
        </w:rPr>
        <w:t xml:space="preserve"> </w:t>
      </w:r>
    </w:p>
    <w:p w14:paraId="47BC3A84" w14:textId="5509BF4B" w:rsidR="00772829" w:rsidRPr="00CE28E3" w:rsidRDefault="00F35C7B" w:rsidP="002A18BE">
      <w:pPr>
        <w:pStyle w:val="Heading2"/>
        <w:numPr>
          <w:ilvl w:val="0"/>
          <w:numId w:val="0"/>
        </w:numPr>
      </w:pPr>
      <w:bookmarkStart w:id="22" w:name="_Toc69491421"/>
      <w:r>
        <w:t>9</w:t>
      </w:r>
      <w:r w:rsidR="00C36633">
        <w:t>.</w:t>
      </w:r>
      <w:r w:rsidR="00C36633">
        <w:tab/>
      </w:r>
      <w:r w:rsidR="00772829" w:rsidRPr="00CE28E3">
        <w:t xml:space="preserve">Summary of public consultation </w:t>
      </w:r>
      <w:r w:rsidR="0052575D">
        <w:t>input</w:t>
      </w:r>
      <w:bookmarkEnd w:id="22"/>
    </w:p>
    <w:p w14:paraId="1F13FC49" w14:textId="595E7230" w:rsidR="008D5982" w:rsidRPr="008D5982" w:rsidRDefault="001915FB" w:rsidP="0000109A">
      <w:pPr>
        <w:pStyle w:val="Instructionaltext"/>
        <w:rPr>
          <w:iCs/>
          <w:color w:val="auto"/>
        </w:rPr>
      </w:pPr>
      <w:r>
        <w:rPr>
          <w:iCs/>
          <w:color w:val="auto"/>
        </w:rPr>
        <w:t xml:space="preserve">Consumer feedback was received from three (3) individuals (specialist) and two organisations (Hearts4Hearts and Abbott Medical Australia Pty Ltd). The input was supportive of the need for </w:t>
      </w:r>
      <w:proofErr w:type="spellStart"/>
      <w:r>
        <w:rPr>
          <w:iCs/>
          <w:color w:val="auto"/>
        </w:rPr>
        <w:t>TMVr</w:t>
      </w:r>
      <w:proofErr w:type="spellEnd"/>
      <w:r>
        <w:rPr>
          <w:iCs/>
          <w:color w:val="auto"/>
        </w:rPr>
        <w:t xml:space="preserve"> devices for the treatment of severe mitral regurgitation in patients </w:t>
      </w:r>
      <w:r w:rsidRPr="008934D7">
        <w:rPr>
          <w:iCs/>
          <w:color w:val="auto"/>
        </w:rPr>
        <w:t>not candidates for surgical interventions</w:t>
      </w:r>
      <w:r>
        <w:rPr>
          <w:iCs/>
          <w:color w:val="auto"/>
        </w:rPr>
        <w:t xml:space="preserve"> and noted that PASCAL system may offer better outcomes than </w:t>
      </w:r>
      <w:proofErr w:type="spellStart"/>
      <w:r>
        <w:rPr>
          <w:iCs/>
          <w:color w:val="auto"/>
        </w:rPr>
        <w:t>MitraClip</w:t>
      </w:r>
      <w:proofErr w:type="spellEnd"/>
      <w:r>
        <w:rPr>
          <w:iCs/>
          <w:color w:val="auto"/>
        </w:rPr>
        <w:t xml:space="preserve"> and provide access to therapy for patients excluded from </w:t>
      </w:r>
      <w:proofErr w:type="spellStart"/>
      <w:r>
        <w:rPr>
          <w:iCs/>
          <w:color w:val="auto"/>
        </w:rPr>
        <w:t>MitraClip</w:t>
      </w:r>
      <w:proofErr w:type="spellEnd"/>
      <w:r>
        <w:rPr>
          <w:iCs/>
          <w:color w:val="auto"/>
        </w:rPr>
        <w:t xml:space="preserve">. The availability of an alternative option for treating these patients was noted as an advantage. An individual considered that </w:t>
      </w:r>
      <w:r w:rsidRPr="00247F99">
        <w:rPr>
          <w:iCs/>
          <w:color w:val="auto"/>
        </w:rPr>
        <w:t xml:space="preserve">PASCAL </w:t>
      </w:r>
      <w:r>
        <w:rPr>
          <w:iCs/>
          <w:color w:val="auto"/>
        </w:rPr>
        <w:t xml:space="preserve">device </w:t>
      </w:r>
      <w:r w:rsidRPr="00247F99">
        <w:rPr>
          <w:iCs/>
          <w:color w:val="auto"/>
        </w:rPr>
        <w:t>can be used in more complex mitral valve anatomies,</w:t>
      </w:r>
      <w:r>
        <w:rPr>
          <w:iCs/>
          <w:color w:val="auto"/>
        </w:rPr>
        <w:t xml:space="preserve"> </w:t>
      </w:r>
      <w:r w:rsidRPr="00247F99">
        <w:rPr>
          <w:iCs/>
          <w:color w:val="auto"/>
        </w:rPr>
        <w:t xml:space="preserve">such as commissural mitral regurgitation and may also offer a more durable result than the </w:t>
      </w:r>
      <w:proofErr w:type="spellStart"/>
      <w:r w:rsidRPr="00247F99">
        <w:rPr>
          <w:iCs/>
          <w:color w:val="auto"/>
        </w:rPr>
        <w:t>MitraClip</w:t>
      </w:r>
      <w:proofErr w:type="spellEnd"/>
      <w:r>
        <w:rPr>
          <w:iCs/>
          <w:color w:val="auto"/>
        </w:rPr>
        <w:t xml:space="preserve">. Another individual considered the </w:t>
      </w:r>
      <w:r w:rsidRPr="00247F99">
        <w:rPr>
          <w:iCs/>
          <w:color w:val="auto"/>
        </w:rPr>
        <w:t>PASCAL</w:t>
      </w:r>
      <w:r>
        <w:rPr>
          <w:iCs/>
          <w:color w:val="auto"/>
        </w:rPr>
        <w:t xml:space="preserve"> </w:t>
      </w:r>
      <w:r w:rsidRPr="00247F99">
        <w:rPr>
          <w:iCs/>
          <w:color w:val="auto"/>
        </w:rPr>
        <w:t xml:space="preserve">system is more manoeuvrable and in challenging transeptal and </w:t>
      </w:r>
      <w:r w:rsidR="00A64CAC">
        <w:rPr>
          <w:iCs/>
          <w:color w:val="auto"/>
        </w:rPr>
        <w:t>l</w:t>
      </w:r>
      <w:r w:rsidRPr="00247F99">
        <w:rPr>
          <w:iCs/>
          <w:color w:val="auto"/>
        </w:rPr>
        <w:t>eft atrial anatomies, will provide an</w:t>
      </w:r>
      <w:r>
        <w:rPr>
          <w:iCs/>
          <w:color w:val="auto"/>
        </w:rPr>
        <w:t xml:space="preserve"> </w:t>
      </w:r>
      <w:r w:rsidRPr="00247F99">
        <w:rPr>
          <w:iCs/>
          <w:color w:val="auto"/>
        </w:rPr>
        <w:t xml:space="preserve">advantage over the more rigid </w:t>
      </w:r>
      <w:proofErr w:type="spellStart"/>
      <w:r w:rsidRPr="00247F99">
        <w:rPr>
          <w:iCs/>
          <w:color w:val="auto"/>
        </w:rPr>
        <w:t>MitraClip</w:t>
      </w:r>
      <w:proofErr w:type="spellEnd"/>
      <w:r w:rsidRPr="00247F99">
        <w:rPr>
          <w:iCs/>
          <w:color w:val="auto"/>
        </w:rPr>
        <w:t xml:space="preserve"> system.</w:t>
      </w:r>
      <w:r>
        <w:rPr>
          <w:iCs/>
          <w:color w:val="auto"/>
        </w:rPr>
        <w:t xml:space="preserve"> In addition, it was considered that having access to the intervention will allow clinicians the choice to use the device best suited to the patient they’re treating. One of the organisations considered that the lack of high-quality randomised controlled data for this intervention was the main disadvantage. Feedback was received regarding the item fee and descriptor, stating that the fee was too low for the complexity of the procedure and that the i</w:t>
      </w:r>
      <w:r w:rsidRPr="00F20C39">
        <w:rPr>
          <w:iCs/>
          <w:color w:val="auto"/>
        </w:rPr>
        <w:t>tem should be payable twice within 5 years if agreed by MDT that a progressive development of new mitral regurgitation is amenable to repeat clipping.</w:t>
      </w:r>
      <w:r>
        <w:rPr>
          <w:iCs/>
          <w:color w:val="auto"/>
        </w:rPr>
        <w:t xml:space="preserve"> Feedback noted that the time to perform the procedure is for highly experienced operators and will not apply to most Australian proceduralists.</w:t>
      </w:r>
    </w:p>
    <w:p w14:paraId="03C7A1F1" w14:textId="363A7AD0" w:rsidR="00772829" w:rsidRDefault="00F35C7B" w:rsidP="002A18BE">
      <w:pPr>
        <w:pStyle w:val="Heading2"/>
        <w:numPr>
          <w:ilvl w:val="0"/>
          <w:numId w:val="0"/>
        </w:numPr>
      </w:pPr>
      <w:bookmarkStart w:id="23" w:name="_Toc69491422"/>
      <w:r>
        <w:t>10</w:t>
      </w:r>
      <w:r w:rsidR="00C36633">
        <w:t>.</w:t>
      </w:r>
      <w:r w:rsidR="00C36633">
        <w:tab/>
      </w:r>
      <w:r w:rsidR="00772829" w:rsidRPr="00CE28E3">
        <w:t>Characteristics of the evidence base</w:t>
      </w:r>
      <w:bookmarkEnd w:id="23"/>
    </w:p>
    <w:p w14:paraId="5B79C216" w14:textId="03950470" w:rsidR="00432474" w:rsidRPr="00432474" w:rsidRDefault="00432474" w:rsidP="004D2587">
      <w:pPr>
        <w:pStyle w:val="Instructionaltext"/>
        <w:rPr>
          <w:iCs/>
          <w:color w:val="auto"/>
        </w:rPr>
      </w:pPr>
      <w:r w:rsidRPr="00432474">
        <w:rPr>
          <w:iCs/>
          <w:color w:val="auto"/>
        </w:rPr>
        <w:t xml:space="preserve">In </w:t>
      </w:r>
      <w:r w:rsidR="00937CF4">
        <w:rPr>
          <w:iCs/>
          <w:color w:val="auto"/>
        </w:rPr>
        <w:t>the</w:t>
      </w:r>
      <w:r w:rsidR="00195444">
        <w:rPr>
          <w:iCs/>
          <w:color w:val="auto"/>
        </w:rPr>
        <w:t xml:space="preserve"> previous 2021 consideration,</w:t>
      </w:r>
      <w:r w:rsidRPr="00432474">
        <w:rPr>
          <w:iCs/>
          <w:color w:val="auto"/>
        </w:rPr>
        <w:t xml:space="preserve"> MSAC did not </w:t>
      </w:r>
      <w:r w:rsidR="00CA26D4">
        <w:rPr>
          <w:iCs/>
          <w:color w:val="auto"/>
        </w:rPr>
        <w:t>support</w:t>
      </w:r>
      <w:r w:rsidR="00CA26D4" w:rsidRPr="00432474">
        <w:rPr>
          <w:iCs/>
          <w:color w:val="auto"/>
        </w:rPr>
        <w:t xml:space="preserve"> </w:t>
      </w:r>
      <w:r>
        <w:rPr>
          <w:iCs/>
          <w:color w:val="auto"/>
        </w:rPr>
        <w:t>MSAC</w:t>
      </w:r>
      <w:r w:rsidR="001E5A77">
        <w:rPr>
          <w:iCs/>
          <w:color w:val="auto"/>
        </w:rPr>
        <w:t xml:space="preserve"> application</w:t>
      </w:r>
      <w:r>
        <w:rPr>
          <w:iCs/>
          <w:color w:val="auto"/>
        </w:rPr>
        <w:t xml:space="preserve"> </w:t>
      </w:r>
      <w:r w:rsidRPr="00432474">
        <w:rPr>
          <w:iCs/>
          <w:color w:val="auto"/>
        </w:rPr>
        <w:t xml:space="preserve">1662 and considered that the quality of evidence was low and did not adequately support the clinical claim of non-inferiority. </w:t>
      </w:r>
    </w:p>
    <w:p w14:paraId="6917B136" w14:textId="6ED3CEA8" w:rsidR="00432474" w:rsidRDefault="00432474" w:rsidP="002225B8">
      <w:r w:rsidRPr="00432474">
        <w:rPr>
          <w:iCs/>
        </w:rPr>
        <w:t xml:space="preserve">The </w:t>
      </w:r>
      <w:r>
        <w:rPr>
          <w:iCs/>
        </w:rPr>
        <w:t xml:space="preserve">current ADAR </w:t>
      </w:r>
      <w:r w:rsidRPr="00432474">
        <w:rPr>
          <w:iCs/>
        </w:rPr>
        <w:t>s</w:t>
      </w:r>
      <w:r>
        <w:rPr>
          <w:iCs/>
        </w:rPr>
        <w:t>ought</w:t>
      </w:r>
      <w:r w:rsidRPr="00432474">
        <w:rPr>
          <w:iCs/>
        </w:rPr>
        <w:t xml:space="preserve"> to address these concerns by presenting the best available evidence</w:t>
      </w:r>
      <w:r w:rsidR="00EB67FA">
        <w:rPr>
          <w:iCs/>
        </w:rPr>
        <w:t xml:space="preserve"> in the form of single-arm datasets</w:t>
      </w:r>
      <w:r w:rsidR="00DF08C6">
        <w:rPr>
          <w:iCs/>
        </w:rPr>
        <w:t xml:space="preserve">. </w:t>
      </w:r>
      <w:r w:rsidR="00DF08C6" w:rsidRPr="00D40E82">
        <w:rPr>
          <w:iCs/>
        </w:rPr>
        <w:t xml:space="preserve">The </w:t>
      </w:r>
      <w:r w:rsidR="004D2587" w:rsidRPr="00D40E82">
        <w:rPr>
          <w:iCs/>
        </w:rPr>
        <w:t xml:space="preserve">identified </w:t>
      </w:r>
      <w:r w:rsidR="00DF08C6" w:rsidRPr="00D40E82">
        <w:rPr>
          <w:iCs/>
        </w:rPr>
        <w:t>non</w:t>
      </w:r>
      <w:r w:rsidR="00636B8B" w:rsidRPr="00D40E82">
        <w:rPr>
          <w:iCs/>
        </w:rPr>
        <w:t>-</w:t>
      </w:r>
      <w:r w:rsidR="00DF08C6" w:rsidRPr="00D40E82">
        <w:rPr>
          <w:iCs/>
        </w:rPr>
        <w:t xml:space="preserve">randomised comparative evidence was not included </w:t>
      </w:r>
      <w:r w:rsidR="00DF08C6" w:rsidRPr="00D40E82">
        <w:rPr>
          <w:iCs/>
        </w:rPr>
        <w:lastRenderedPageBreak/>
        <w:t xml:space="preserve">in the main body of </w:t>
      </w:r>
      <w:r w:rsidR="004D2587" w:rsidRPr="00D40E82">
        <w:rPr>
          <w:iCs/>
        </w:rPr>
        <w:t>the current ADAR</w:t>
      </w:r>
      <w:r w:rsidR="00DF08C6" w:rsidRPr="00D40E82">
        <w:rPr>
          <w:iCs/>
        </w:rPr>
        <w:t xml:space="preserve"> but was elevated for inclusion </w:t>
      </w:r>
      <w:r w:rsidR="00B43BF6" w:rsidRPr="00D40E82">
        <w:rPr>
          <w:iCs/>
        </w:rPr>
        <w:t xml:space="preserve">by the commentary </w:t>
      </w:r>
      <w:r w:rsidR="00DF08C6" w:rsidRPr="00D40E82">
        <w:rPr>
          <w:iCs/>
        </w:rPr>
        <w:t>on the basis of the hierarchy of evidence.</w:t>
      </w:r>
      <w:r w:rsidRPr="00D40E82">
        <w:rPr>
          <w:iCs/>
        </w:rPr>
        <w:t xml:space="preserve"> </w:t>
      </w:r>
    </w:p>
    <w:p w14:paraId="407E25DC" w14:textId="07C9CAD7" w:rsidR="00350491" w:rsidRPr="008D0CC9" w:rsidRDefault="00350491" w:rsidP="00103C2A">
      <w:pPr>
        <w:pStyle w:val="Instructionaltext"/>
        <w:keepLines/>
        <w:rPr>
          <w:iCs/>
          <w:color w:val="auto"/>
        </w:rPr>
      </w:pPr>
      <w:r w:rsidRPr="008D0CC9">
        <w:rPr>
          <w:iCs/>
          <w:color w:val="auto"/>
        </w:rPr>
        <w:t xml:space="preserve">The key features of the studies included in the current ADAR are provided in </w:t>
      </w:r>
      <w:r w:rsidR="008D0CC9" w:rsidRPr="008D0CC9">
        <w:rPr>
          <w:iCs/>
          <w:color w:val="auto"/>
        </w:rPr>
        <w:fldChar w:fldCharType="begin"/>
      </w:r>
      <w:r w:rsidR="008D0CC9" w:rsidRPr="008D0CC9">
        <w:rPr>
          <w:iCs/>
          <w:color w:val="auto"/>
        </w:rPr>
        <w:instrText xml:space="preserve"> REF _Ref111522986 \h  \* MERGEFORMAT </w:instrText>
      </w:r>
      <w:r w:rsidR="008D0CC9" w:rsidRPr="008D0CC9">
        <w:rPr>
          <w:iCs/>
          <w:color w:val="auto"/>
        </w:rPr>
      </w:r>
      <w:r w:rsidR="008D0CC9" w:rsidRPr="008D0CC9">
        <w:rPr>
          <w:iCs/>
          <w:color w:val="auto"/>
        </w:rPr>
        <w:fldChar w:fldCharType="separate"/>
      </w:r>
      <w:r w:rsidR="0019519D" w:rsidRPr="0019519D">
        <w:rPr>
          <w:iCs/>
          <w:color w:val="auto"/>
        </w:rPr>
        <w:t>Table 3</w:t>
      </w:r>
      <w:r w:rsidR="008D0CC9" w:rsidRPr="008D0CC9">
        <w:rPr>
          <w:iCs/>
          <w:color w:val="auto"/>
        </w:rPr>
        <w:fldChar w:fldCharType="end"/>
      </w:r>
      <w:r w:rsidR="008D0CC9">
        <w:rPr>
          <w:iCs/>
          <w:color w:val="auto"/>
        </w:rPr>
        <w:t>.</w:t>
      </w:r>
    </w:p>
    <w:p w14:paraId="04AA6B71" w14:textId="30F5B4E6" w:rsidR="00350491" w:rsidRPr="00182899" w:rsidRDefault="004D2587" w:rsidP="00A64CAC">
      <w:pPr>
        <w:pStyle w:val="Caption"/>
        <w:keepNext w:val="0"/>
        <w:spacing w:before="0" w:after="0"/>
      </w:pPr>
      <w:bookmarkStart w:id="24" w:name="_Ref111522986"/>
      <w:r>
        <w:t xml:space="preserve">Table </w:t>
      </w:r>
      <w:fldSimple w:instr=" SEQ Table \* ARABIC ">
        <w:r w:rsidR="007512A8">
          <w:rPr>
            <w:noProof/>
          </w:rPr>
          <w:t>3</w:t>
        </w:r>
      </w:fldSimple>
      <w:bookmarkEnd w:id="24"/>
      <w:r w:rsidR="008D0CC9">
        <w:tab/>
      </w:r>
      <w:r w:rsidR="00350491" w:rsidRPr="00182899">
        <w:rPr>
          <w:snapToGrid w:val="0"/>
        </w:rPr>
        <w:t xml:space="preserve">Key features of the included evidence for the PASCAL and </w:t>
      </w:r>
      <w:proofErr w:type="spellStart"/>
      <w:r w:rsidR="00350491" w:rsidRPr="00182899">
        <w:rPr>
          <w:snapToGrid w:val="0"/>
        </w:rPr>
        <w:t>MitraClip</w:t>
      </w:r>
      <w:proofErr w:type="spellEnd"/>
      <w:r w:rsidR="00350491" w:rsidRPr="00182899">
        <w:rPr>
          <w:snapToGrid w:val="0"/>
        </w:rPr>
        <w:t xml:space="preserve"> studies</w:t>
      </w:r>
    </w:p>
    <w:tbl>
      <w:tblPr>
        <w:tblStyle w:val="TableGrid1"/>
        <w:tblW w:w="9634" w:type="dxa"/>
        <w:tblLayout w:type="fixed"/>
        <w:tblCellMar>
          <w:left w:w="28" w:type="dxa"/>
          <w:right w:w="28" w:type="dxa"/>
        </w:tblCellMar>
        <w:tblLook w:val="04A0" w:firstRow="1" w:lastRow="0" w:firstColumn="1" w:lastColumn="0" w:noHBand="0" w:noVBand="1"/>
        <w:tblCaption w:val="Table 14 Key features of the included evidence comparing intervention with comparator"/>
        <w:tblDescription w:val="This table provides a summary of the key features of each study included in the evidence base - including the study authors, sample size, study design and duration, risk of bias in the results, patient population characteristics, key outcomes measured, and whether the results were used in the economic evaluation in the report."/>
      </w:tblPr>
      <w:tblGrid>
        <w:gridCol w:w="1129"/>
        <w:gridCol w:w="718"/>
        <w:gridCol w:w="1267"/>
        <w:gridCol w:w="992"/>
        <w:gridCol w:w="2410"/>
        <w:gridCol w:w="3118"/>
      </w:tblGrid>
      <w:tr w:rsidR="00350491" w:rsidRPr="008D0CC9" w14:paraId="63E00292" w14:textId="77777777" w:rsidTr="00A64CAC">
        <w:trPr>
          <w:cnfStyle w:val="100000000000" w:firstRow="1" w:lastRow="0" w:firstColumn="0" w:lastColumn="0" w:oddVBand="0" w:evenVBand="0" w:oddHBand="0" w:evenHBand="0" w:firstRowFirstColumn="0" w:firstRowLastColumn="0" w:lastRowFirstColumn="0" w:lastRowLastColumn="0"/>
          <w:trHeight w:val="20"/>
          <w:tblHeader/>
        </w:trPr>
        <w:tc>
          <w:tcPr>
            <w:tcW w:w="1129" w:type="dxa"/>
            <w:shd w:val="clear" w:color="auto" w:fill="auto"/>
            <w:vAlign w:val="center"/>
          </w:tcPr>
          <w:p w14:paraId="18E89310" w14:textId="6BE1006D" w:rsidR="00350491" w:rsidRPr="008D0CC9" w:rsidRDefault="00350491" w:rsidP="00005BEB">
            <w:pPr>
              <w:pStyle w:val="TableHeading"/>
              <w:keepNext w:val="0"/>
              <w:widowControl w:val="0"/>
              <w:spacing w:before="0" w:after="0"/>
              <w:rPr>
                <w:snapToGrid w:val="0"/>
                <w:lang w:eastAsia="en-US"/>
              </w:rPr>
            </w:pPr>
            <w:r w:rsidRPr="008D0CC9">
              <w:rPr>
                <w:snapToGrid w:val="0"/>
                <w:lang w:eastAsia="en-US"/>
              </w:rPr>
              <w:t>Trial/Study</w:t>
            </w:r>
            <w:r w:rsidR="00666B6A">
              <w:rPr>
                <w:snapToGrid w:val="0"/>
                <w:lang w:eastAsia="en-US"/>
              </w:rPr>
              <w:t xml:space="preserve"> </w:t>
            </w:r>
            <w:r w:rsidR="006034F7">
              <w:rPr>
                <w:snapToGrid w:val="0"/>
                <w:lang w:eastAsia="en-US"/>
              </w:rPr>
              <w:t>(whether new to the 1662.1ADAR)</w:t>
            </w:r>
          </w:p>
        </w:tc>
        <w:tc>
          <w:tcPr>
            <w:tcW w:w="718" w:type="dxa"/>
            <w:shd w:val="clear" w:color="auto" w:fill="auto"/>
            <w:vAlign w:val="center"/>
          </w:tcPr>
          <w:p w14:paraId="2D5E8B74" w14:textId="77777777" w:rsidR="00350491" w:rsidRPr="008D0CC9" w:rsidRDefault="00350491" w:rsidP="00005BEB">
            <w:pPr>
              <w:pStyle w:val="TableHeading"/>
              <w:keepNext w:val="0"/>
              <w:widowControl w:val="0"/>
              <w:spacing w:before="0" w:after="0"/>
              <w:jc w:val="center"/>
              <w:rPr>
                <w:snapToGrid w:val="0"/>
                <w:lang w:eastAsia="en-US"/>
              </w:rPr>
            </w:pPr>
            <w:r w:rsidRPr="008D0CC9">
              <w:rPr>
                <w:snapToGrid w:val="0"/>
                <w:lang w:eastAsia="en-US"/>
              </w:rPr>
              <w:t>N</w:t>
            </w:r>
          </w:p>
        </w:tc>
        <w:tc>
          <w:tcPr>
            <w:tcW w:w="1267" w:type="dxa"/>
            <w:shd w:val="clear" w:color="auto" w:fill="auto"/>
            <w:vAlign w:val="center"/>
          </w:tcPr>
          <w:p w14:paraId="1F18B54A" w14:textId="31DA3369" w:rsidR="00350491" w:rsidRPr="008D0CC9" w:rsidRDefault="00350491" w:rsidP="00005BEB">
            <w:pPr>
              <w:pStyle w:val="TableHeading"/>
              <w:keepNext w:val="0"/>
              <w:widowControl w:val="0"/>
              <w:spacing w:before="0" w:after="0"/>
              <w:jc w:val="center"/>
              <w:rPr>
                <w:snapToGrid w:val="0"/>
                <w:lang w:eastAsia="en-US"/>
              </w:rPr>
            </w:pPr>
            <w:r w:rsidRPr="008D0CC9">
              <w:rPr>
                <w:snapToGrid w:val="0"/>
                <w:lang w:eastAsia="en-US"/>
              </w:rPr>
              <w:t xml:space="preserve">Design/ </w:t>
            </w:r>
            <w:r w:rsidR="001347FA">
              <w:rPr>
                <w:snapToGrid w:val="0"/>
                <w:lang w:eastAsia="en-US"/>
              </w:rPr>
              <w:t>Observation t</w:t>
            </w:r>
            <w:r w:rsidR="00965EC6">
              <w:rPr>
                <w:snapToGrid w:val="0"/>
                <w:lang w:eastAsia="en-US"/>
              </w:rPr>
              <w:t xml:space="preserve">imepoints </w:t>
            </w:r>
          </w:p>
        </w:tc>
        <w:tc>
          <w:tcPr>
            <w:tcW w:w="992" w:type="dxa"/>
            <w:shd w:val="clear" w:color="auto" w:fill="auto"/>
            <w:vAlign w:val="center"/>
          </w:tcPr>
          <w:p w14:paraId="11EF8AB0" w14:textId="77777777" w:rsidR="00350491" w:rsidRPr="008D0CC9" w:rsidRDefault="00350491" w:rsidP="00005BEB">
            <w:pPr>
              <w:pStyle w:val="TableHeading"/>
              <w:keepNext w:val="0"/>
              <w:widowControl w:val="0"/>
              <w:spacing w:before="0" w:after="0"/>
              <w:jc w:val="center"/>
              <w:rPr>
                <w:snapToGrid w:val="0"/>
                <w:lang w:eastAsia="en-US"/>
              </w:rPr>
            </w:pPr>
            <w:r w:rsidRPr="008D0CC9">
              <w:rPr>
                <w:snapToGrid w:val="0"/>
                <w:lang w:eastAsia="en-US"/>
              </w:rPr>
              <w:t>Risk of bias</w:t>
            </w:r>
          </w:p>
        </w:tc>
        <w:tc>
          <w:tcPr>
            <w:tcW w:w="2410" w:type="dxa"/>
            <w:shd w:val="clear" w:color="auto" w:fill="auto"/>
            <w:vAlign w:val="center"/>
          </w:tcPr>
          <w:p w14:paraId="2DA83B42" w14:textId="77777777" w:rsidR="00350491" w:rsidRPr="008D0CC9" w:rsidRDefault="00350491" w:rsidP="00005BEB">
            <w:pPr>
              <w:pStyle w:val="TableHeading"/>
              <w:keepNext w:val="0"/>
              <w:widowControl w:val="0"/>
              <w:spacing w:before="0" w:after="0"/>
              <w:jc w:val="center"/>
              <w:rPr>
                <w:snapToGrid w:val="0"/>
                <w:lang w:eastAsia="en-US"/>
              </w:rPr>
            </w:pPr>
            <w:r w:rsidRPr="008D0CC9">
              <w:rPr>
                <w:snapToGrid w:val="0"/>
                <w:lang w:eastAsia="en-US"/>
              </w:rPr>
              <w:t>Patient population</w:t>
            </w:r>
          </w:p>
        </w:tc>
        <w:tc>
          <w:tcPr>
            <w:tcW w:w="3118" w:type="dxa"/>
            <w:shd w:val="clear" w:color="auto" w:fill="auto"/>
            <w:vAlign w:val="center"/>
          </w:tcPr>
          <w:p w14:paraId="29F62B18" w14:textId="77777777" w:rsidR="00350491" w:rsidRPr="008D0CC9" w:rsidRDefault="00350491" w:rsidP="00005BEB">
            <w:pPr>
              <w:pStyle w:val="TableHeading"/>
              <w:keepNext w:val="0"/>
              <w:widowControl w:val="0"/>
              <w:spacing w:before="0" w:after="0"/>
              <w:jc w:val="center"/>
              <w:rPr>
                <w:snapToGrid w:val="0"/>
                <w:lang w:eastAsia="en-US"/>
              </w:rPr>
            </w:pPr>
            <w:r w:rsidRPr="008D0CC9">
              <w:rPr>
                <w:snapToGrid w:val="0"/>
                <w:lang w:eastAsia="en-US"/>
              </w:rPr>
              <w:t>Key outcome(s)</w:t>
            </w:r>
          </w:p>
        </w:tc>
      </w:tr>
      <w:tr w:rsidR="00965EC6" w:rsidRPr="008D0CC9" w14:paraId="6A301762" w14:textId="77777777" w:rsidTr="00005BEB">
        <w:trPr>
          <w:trHeight w:val="20"/>
        </w:trPr>
        <w:tc>
          <w:tcPr>
            <w:tcW w:w="9634" w:type="dxa"/>
            <w:gridSpan w:val="6"/>
            <w:shd w:val="clear" w:color="auto" w:fill="auto"/>
            <w:vAlign w:val="center"/>
          </w:tcPr>
          <w:p w14:paraId="648C01DB" w14:textId="0F3ABFA2" w:rsidR="00965EC6" w:rsidRPr="00A92E0E" w:rsidRDefault="00666B6A" w:rsidP="00005BEB">
            <w:pPr>
              <w:pStyle w:val="TableText"/>
              <w:widowControl w:val="0"/>
              <w:spacing w:before="0" w:after="0"/>
              <w:rPr>
                <w:b/>
                <w:bCs/>
                <w:snapToGrid w:val="0"/>
              </w:rPr>
            </w:pPr>
            <w:r>
              <w:rPr>
                <w:b/>
                <w:bCs/>
                <w:snapToGrid w:val="0"/>
              </w:rPr>
              <w:t xml:space="preserve">Single-arm noncomparative datasets </w:t>
            </w:r>
            <w:r w:rsidR="00965EC6" w:rsidRPr="00A92E0E">
              <w:rPr>
                <w:b/>
                <w:bCs/>
                <w:snapToGrid w:val="0"/>
              </w:rPr>
              <w:t>included in the main body of evidence</w:t>
            </w:r>
            <w:r>
              <w:rPr>
                <w:b/>
                <w:bCs/>
                <w:snapToGrid w:val="0"/>
              </w:rPr>
              <w:t xml:space="preserve"> </w:t>
            </w:r>
          </w:p>
        </w:tc>
      </w:tr>
      <w:tr w:rsidR="00350491" w:rsidRPr="008D0CC9" w14:paraId="68D32F8B" w14:textId="77777777" w:rsidTr="00A64CAC">
        <w:trPr>
          <w:trHeight w:val="20"/>
        </w:trPr>
        <w:tc>
          <w:tcPr>
            <w:tcW w:w="1129" w:type="dxa"/>
            <w:shd w:val="clear" w:color="auto" w:fill="B4C6E7" w:themeFill="accent5" w:themeFillTint="66"/>
          </w:tcPr>
          <w:p w14:paraId="39861E3B" w14:textId="0957CBA4" w:rsidR="00350491" w:rsidRDefault="00350491" w:rsidP="00005BEB">
            <w:pPr>
              <w:pStyle w:val="TableText"/>
              <w:widowControl w:val="0"/>
              <w:spacing w:before="0" w:after="0"/>
              <w:rPr>
                <w:snapToGrid w:val="0"/>
              </w:rPr>
            </w:pPr>
            <w:r w:rsidRPr="008D0CC9">
              <w:rPr>
                <w:snapToGrid w:val="0"/>
              </w:rPr>
              <w:t>CLASP</w:t>
            </w:r>
          </w:p>
          <w:p w14:paraId="082C0EE6" w14:textId="0830408A" w:rsidR="006034F7" w:rsidRDefault="006034F7" w:rsidP="00005BEB">
            <w:pPr>
              <w:pStyle w:val="TableText"/>
              <w:widowControl w:val="0"/>
              <w:spacing w:before="0" w:after="0"/>
              <w:rPr>
                <w:snapToGrid w:val="0"/>
              </w:rPr>
            </w:pPr>
            <w:r>
              <w:rPr>
                <w:snapToGrid w:val="0"/>
              </w:rPr>
              <w:t xml:space="preserve">(the same </w:t>
            </w:r>
            <w:r w:rsidR="00EE422D">
              <w:rPr>
                <w:snapToGrid w:val="0"/>
              </w:rPr>
              <w:t>study</w:t>
            </w:r>
            <w:r>
              <w:rPr>
                <w:snapToGrid w:val="0"/>
              </w:rPr>
              <w:t xml:space="preserve"> used in MAIC in the previous ADAR)</w:t>
            </w:r>
          </w:p>
          <w:p w14:paraId="23CF867D" w14:textId="29CE4F08" w:rsidR="00666B6A" w:rsidRPr="008D0CC9" w:rsidRDefault="00666B6A" w:rsidP="00005BEB">
            <w:pPr>
              <w:pStyle w:val="TableText"/>
              <w:widowControl w:val="0"/>
              <w:spacing w:before="0" w:after="0"/>
              <w:rPr>
                <w:snapToGrid w:val="0"/>
              </w:rPr>
            </w:pPr>
          </w:p>
        </w:tc>
        <w:tc>
          <w:tcPr>
            <w:tcW w:w="718" w:type="dxa"/>
            <w:shd w:val="clear" w:color="auto" w:fill="B4C6E7" w:themeFill="accent5" w:themeFillTint="66"/>
          </w:tcPr>
          <w:p w14:paraId="6B672F04" w14:textId="77777777" w:rsidR="00350491" w:rsidRPr="008D0CC9" w:rsidRDefault="00350491" w:rsidP="00005BEB">
            <w:pPr>
              <w:pStyle w:val="TableText"/>
              <w:widowControl w:val="0"/>
              <w:spacing w:before="0" w:after="0"/>
              <w:jc w:val="center"/>
              <w:rPr>
                <w:snapToGrid w:val="0"/>
              </w:rPr>
            </w:pPr>
            <w:r w:rsidRPr="008D0CC9">
              <w:rPr>
                <w:snapToGrid w:val="0"/>
              </w:rPr>
              <w:t>124</w:t>
            </w:r>
          </w:p>
        </w:tc>
        <w:tc>
          <w:tcPr>
            <w:tcW w:w="1267" w:type="dxa"/>
            <w:shd w:val="clear" w:color="auto" w:fill="B4C6E7" w:themeFill="accent5" w:themeFillTint="66"/>
          </w:tcPr>
          <w:p w14:paraId="7083A2D6" w14:textId="77777777" w:rsidR="00350491" w:rsidRPr="008D0CC9" w:rsidRDefault="00350491" w:rsidP="00005BEB">
            <w:pPr>
              <w:pStyle w:val="TableText"/>
              <w:widowControl w:val="0"/>
              <w:spacing w:before="0" w:after="0"/>
              <w:rPr>
                <w:snapToGrid w:val="0"/>
              </w:rPr>
            </w:pPr>
            <w:r w:rsidRPr="008D0CC9">
              <w:rPr>
                <w:snapToGrid w:val="0"/>
              </w:rPr>
              <w:t>Multicentre,</w:t>
            </w:r>
          </w:p>
          <w:p w14:paraId="2C240A0B" w14:textId="77777777" w:rsidR="00350491" w:rsidRDefault="00350491" w:rsidP="00005BEB">
            <w:pPr>
              <w:pStyle w:val="TableText"/>
              <w:widowControl w:val="0"/>
              <w:spacing w:before="0" w:after="0"/>
              <w:rPr>
                <w:snapToGrid w:val="0"/>
              </w:rPr>
            </w:pPr>
            <w:r w:rsidRPr="008D0CC9">
              <w:rPr>
                <w:snapToGrid w:val="0"/>
              </w:rPr>
              <w:t>prospective, single-arm, observational study</w:t>
            </w:r>
          </w:p>
          <w:p w14:paraId="0EFEF52E" w14:textId="5B71B276" w:rsidR="006F4C2D" w:rsidRPr="008D0CC9" w:rsidRDefault="006F4C2D" w:rsidP="00005BEB">
            <w:pPr>
              <w:pStyle w:val="TableText"/>
              <w:widowControl w:val="0"/>
              <w:spacing w:before="0" w:after="0"/>
              <w:rPr>
                <w:snapToGrid w:val="0"/>
              </w:rPr>
            </w:pPr>
            <w:r>
              <w:t>30 days</w:t>
            </w:r>
            <w:r w:rsidR="00EE422D">
              <w:t xml:space="preserve"> and</w:t>
            </w:r>
            <w:r>
              <w:t xml:space="preserve"> 12 and </w:t>
            </w:r>
            <w:r w:rsidRPr="008D0CC9">
              <w:t>24 months</w:t>
            </w:r>
          </w:p>
        </w:tc>
        <w:tc>
          <w:tcPr>
            <w:tcW w:w="992" w:type="dxa"/>
            <w:shd w:val="clear" w:color="auto" w:fill="B4C6E7" w:themeFill="accent5" w:themeFillTint="66"/>
          </w:tcPr>
          <w:p w14:paraId="6610B030" w14:textId="5BA81102" w:rsidR="00350491" w:rsidRPr="008D0CC9" w:rsidRDefault="00350491" w:rsidP="00005BEB">
            <w:pPr>
              <w:pStyle w:val="TableText"/>
              <w:widowControl w:val="0"/>
              <w:spacing w:before="0" w:after="0"/>
              <w:jc w:val="center"/>
              <w:rPr>
                <w:snapToGrid w:val="0"/>
              </w:rPr>
            </w:pPr>
            <w:r w:rsidRPr="008D0CC9">
              <w:rPr>
                <w:snapToGrid w:val="0"/>
              </w:rPr>
              <w:t>High; early feasibility study</w:t>
            </w:r>
          </w:p>
        </w:tc>
        <w:tc>
          <w:tcPr>
            <w:tcW w:w="2410" w:type="dxa"/>
            <w:shd w:val="clear" w:color="auto" w:fill="B4C6E7" w:themeFill="accent5" w:themeFillTint="66"/>
          </w:tcPr>
          <w:p w14:paraId="29441068" w14:textId="77777777" w:rsidR="00350491" w:rsidRPr="008D0CC9" w:rsidRDefault="00350491" w:rsidP="00005BEB">
            <w:pPr>
              <w:pStyle w:val="TableText"/>
              <w:widowControl w:val="0"/>
              <w:spacing w:before="0" w:after="0"/>
              <w:rPr>
                <w:snapToGrid w:val="0"/>
              </w:rPr>
            </w:pPr>
            <w:r w:rsidRPr="008D0CC9">
              <w:rPr>
                <w:snapToGrid w:val="0"/>
              </w:rPr>
              <w:t>Patients with clinically significant MR (DMR and FMR) (≥ grade 3+) despite OMT</w:t>
            </w:r>
          </w:p>
        </w:tc>
        <w:tc>
          <w:tcPr>
            <w:tcW w:w="3118" w:type="dxa"/>
            <w:shd w:val="clear" w:color="auto" w:fill="B4C6E7" w:themeFill="accent5" w:themeFillTint="66"/>
          </w:tcPr>
          <w:p w14:paraId="33363FFF" w14:textId="77777777" w:rsidR="00350491" w:rsidRPr="008D0CC9" w:rsidRDefault="00350491" w:rsidP="00005BEB">
            <w:pPr>
              <w:pStyle w:val="TableText"/>
              <w:widowControl w:val="0"/>
              <w:spacing w:before="0" w:after="0"/>
              <w:rPr>
                <w:snapToGrid w:val="0"/>
              </w:rPr>
            </w:pPr>
            <w:r w:rsidRPr="008D0CC9">
              <w:rPr>
                <w:snapToGrid w:val="0"/>
              </w:rPr>
              <w:t xml:space="preserve">PRIMARY ENDPOINTS: </w:t>
            </w:r>
          </w:p>
          <w:p w14:paraId="4341E7C9" w14:textId="77777777" w:rsidR="00350491" w:rsidRPr="008D0CC9" w:rsidRDefault="00350491" w:rsidP="00005BEB">
            <w:pPr>
              <w:pStyle w:val="TableText"/>
              <w:widowControl w:val="0"/>
              <w:spacing w:before="0" w:after="0"/>
              <w:rPr>
                <w:snapToGrid w:val="0"/>
              </w:rPr>
            </w:pPr>
            <w:r w:rsidRPr="008D0CC9">
              <w:rPr>
                <w:b/>
                <w:bCs/>
                <w:snapToGrid w:val="0"/>
              </w:rPr>
              <w:t>Coprimary technical endpoints:</w:t>
            </w:r>
            <w:r w:rsidRPr="008D0CC9">
              <w:rPr>
                <w:snapToGrid w:val="0"/>
              </w:rPr>
              <w:t xml:space="preserve"> </w:t>
            </w:r>
          </w:p>
          <w:p w14:paraId="5265F52B" w14:textId="77777777" w:rsidR="00350491" w:rsidRPr="008D0CC9" w:rsidRDefault="00350491" w:rsidP="00005BEB">
            <w:pPr>
              <w:pStyle w:val="TableText"/>
              <w:widowControl w:val="0"/>
              <w:spacing w:before="0" w:after="0"/>
              <w:rPr>
                <w:snapToGrid w:val="0"/>
              </w:rPr>
            </w:pPr>
            <w:r w:rsidRPr="008D0CC9">
              <w:rPr>
                <w:snapToGrid w:val="0"/>
              </w:rPr>
              <w:t xml:space="preserve">1. Procedural success: </w:t>
            </w:r>
          </w:p>
          <w:p w14:paraId="2C7B42B9" w14:textId="77777777" w:rsidR="00350491" w:rsidRPr="008D0CC9" w:rsidRDefault="00350491" w:rsidP="00005BEB">
            <w:pPr>
              <w:pStyle w:val="TableText"/>
              <w:widowControl w:val="0"/>
              <w:spacing w:before="0" w:after="0"/>
              <w:rPr>
                <w:snapToGrid w:val="0"/>
              </w:rPr>
            </w:pPr>
            <w:r w:rsidRPr="008D0CC9">
              <w:rPr>
                <w:snapToGrid w:val="0"/>
              </w:rPr>
              <w:t xml:space="preserve">2. </w:t>
            </w:r>
            <w:bookmarkStart w:id="25" w:name="_Hlk108455580"/>
            <w:r w:rsidRPr="008D0CC9">
              <w:rPr>
                <w:snapToGrid w:val="0"/>
              </w:rPr>
              <w:t>MR reduction to ≤ 2+ grade (discharge)</w:t>
            </w:r>
            <w:bookmarkEnd w:id="25"/>
          </w:p>
          <w:p w14:paraId="0FBB6D5B" w14:textId="77777777" w:rsidR="00350491" w:rsidRPr="008D0CC9" w:rsidRDefault="00350491" w:rsidP="00005BEB">
            <w:pPr>
              <w:pStyle w:val="TableText"/>
              <w:widowControl w:val="0"/>
              <w:spacing w:before="0" w:after="0"/>
              <w:rPr>
                <w:snapToGrid w:val="0"/>
              </w:rPr>
            </w:pPr>
            <w:r w:rsidRPr="008D0CC9">
              <w:rPr>
                <w:b/>
                <w:bCs/>
                <w:snapToGrid w:val="0"/>
              </w:rPr>
              <w:t>Safety endpoint</w:t>
            </w:r>
            <w:r w:rsidRPr="008D0CC9">
              <w:rPr>
                <w:snapToGrid w:val="0"/>
              </w:rPr>
              <w:t>: MAE rate at 30 days defined as: composite of CV mortality, stroke, MI, new need for renal replacement therapy, severe bleeding.</w:t>
            </w:r>
          </w:p>
          <w:p w14:paraId="245EEDBD" w14:textId="77777777" w:rsidR="00350491" w:rsidRPr="008D0CC9" w:rsidRDefault="00350491" w:rsidP="00005BEB">
            <w:pPr>
              <w:pStyle w:val="TableText"/>
              <w:widowControl w:val="0"/>
              <w:spacing w:before="0" w:after="0"/>
              <w:rPr>
                <w:snapToGrid w:val="0"/>
              </w:rPr>
            </w:pPr>
            <w:r w:rsidRPr="008D0CC9">
              <w:rPr>
                <w:snapToGrid w:val="0"/>
              </w:rPr>
              <w:t>SECONDARY ENDPOINTS include: Recurrent HF admission, reintervention for treatment of MR, 6MWD, NYHA</w:t>
            </w:r>
          </w:p>
        </w:tc>
      </w:tr>
      <w:tr w:rsidR="00350491" w:rsidRPr="008D0CC9" w14:paraId="4A48BF66" w14:textId="77777777" w:rsidTr="00A64CAC">
        <w:trPr>
          <w:trHeight w:val="20"/>
        </w:trPr>
        <w:tc>
          <w:tcPr>
            <w:tcW w:w="1129" w:type="dxa"/>
            <w:shd w:val="clear" w:color="auto" w:fill="B4C6E7" w:themeFill="accent5" w:themeFillTint="66"/>
          </w:tcPr>
          <w:p w14:paraId="08D3D711" w14:textId="6B3697A2" w:rsidR="00666B6A" w:rsidRPr="008D0CC9" w:rsidRDefault="00350491" w:rsidP="00005BEB">
            <w:pPr>
              <w:pStyle w:val="TableText"/>
              <w:widowControl w:val="0"/>
              <w:spacing w:before="0" w:after="0"/>
              <w:rPr>
                <w:snapToGrid w:val="0"/>
              </w:rPr>
            </w:pPr>
            <w:r w:rsidRPr="008D0CC9">
              <w:rPr>
                <w:snapToGrid w:val="0"/>
              </w:rPr>
              <w:t>COAPT</w:t>
            </w:r>
            <w:r w:rsidR="006034F7">
              <w:rPr>
                <w:snapToGrid w:val="0"/>
              </w:rPr>
              <w:t xml:space="preserve">(the </w:t>
            </w:r>
            <w:proofErr w:type="spellStart"/>
            <w:r w:rsidR="006034F7">
              <w:rPr>
                <w:snapToGrid w:val="0"/>
              </w:rPr>
              <w:t>MitraClip</w:t>
            </w:r>
            <w:proofErr w:type="spellEnd"/>
            <w:r w:rsidR="006034F7">
              <w:rPr>
                <w:snapToGrid w:val="0"/>
              </w:rPr>
              <w:t xml:space="preserve"> arm was used in MAIC in the previous ADAR)</w:t>
            </w:r>
          </w:p>
        </w:tc>
        <w:tc>
          <w:tcPr>
            <w:tcW w:w="718" w:type="dxa"/>
            <w:shd w:val="clear" w:color="auto" w:fill="B4C6E7" w:themeFill="accent5" w:themeFillTint="66"/>
          </w:tcPr>
          <w:p w14:paraId="41EE6C69" w14:textId="77777777" w:rsidR="00350491" w:rsidRPr="008D0CC9" w:rsidRDefault="00350491" w:rsidP="00005BEB">
            <w:pPr>
              <w:pStyle w:val="TableText"/>
              <w:widowControl w:val="0"/>
              <w:spacing w:before="0" w:after="0"/>
              <w:jc w:val="center"/>
              <w:rPr>
                <w:snapToGrid w:val="0"/>
              </w:rPr>
            </w:pPr>
            <w:r w:rsidRPr="008D0CC9">
              <w:rPr>
                <w:snapToGrid w:val="0"/>
              </w:rPr>
              <w:t>614</w:t>
            </w:r>
          </w:p>
        </w:tc>
        <w:tc>
          <w:tcPr>
            <w:tcW w:w="1267" w:type="dxa"/>
            <w:shd w:val="clear" w:color="auto" w:fill="B4C6E7" w:themeFill="accent5" w:themeFillTint="66"/>
          </w:tcPr>
          <w:p w14:paraId="72C1CBB0" w14:textId="77777777" w:rsidR="00350491" w:rsidRPr="008D0CC9" w:rsidRDefault="00350491" w:rsidP="00005BEB">
            <w:pPr>
              <w:widowControl w:val="0"/>
              <w:spacing w:before="0" w:after="0"/>
              <w:rPr>
                <w:rFonts w:ascii="Arial Narrow" w:hAnsi="Arial Narrow"/>
              </w:rPr>
            </w:pPr>
            <w:r w:rsidRPr="008D0CC9">
              <w:rPr>
                <w:rFonts w:ascii="Arial Narrow" w:hAnsi="Arial Narrow"/>
              </w:rPr>
              <w:t>RCT, MC, MN, OL</w:t>
            </w:r>
          </w:p>
          <w:p w14:paraId="0FB00D16" w14:textId="0CFFD9BB" w:rsidR="00350491" w:rsidRPr="008D0CC9" w:rsidRDefault="00965EC6" w:rsidP="00005BEB">
            <w:pPr>
              <w:pStyle w:val="TableText"/>
              <w:widowControl w:val="0"/>
              <w:spacing w:before="0" w:after="0"/>
              <w:rPr>
                <w:snapToGrid w:val="0"/>
              </w:rPr>
            </w:pPr>
            <w:r>
              <w:t>30 days</w:t>
            </w:r>
            <w:r w:rsidR="00EE422D">
              <w:t xml:space="preserve"> and</w:t>
            </w:r>
            <w:r>
              <w:t xml:space="preserve"> </w:t>
            </w:r>
            <w:r w:rsidR="00350491" w:rsidRPr="008D0CC9">
              <w:t>24 months</w:t>
            </w:r>
          </w:p>
        </w:tc>
        <w:tc>
          <w:tcPr>
            <w:tcW w:w="992" w:type="dxa"/>
            <w:shd w:val="clear" w:color="auto" w:fill="B4C6E7" w:themeFill="accent5" w:themeFillTint="66"/>
          </w:tcPr>
          <w:p w14:paraId="6FF2B911" w14:textId="77777777" w:rsidR="00350491" w:rsidRPr="008D0CC9" w:rsidRDefault="00350491" w:rsidP="00005BEB">
            <w:pPr>
              <w:pStyle w:val="TableText"/>
              <w:widowControl w:val="0"/>
              <w:spacing w:before="0" w:after="0"/>
              <w:jc w:val="center"/>
              <w:rPr>
                <w:snapToGrid w:val="0"/>
              </w:rPr>
            </w:pPr>
            <w:r w:rsidRPr="008D0CC9">
              <w:rPr>
                <w:snapToGrid w:val="0"/>
              </w:rPr>
              <w:t>Low</w:t>
            </w:r>
          </w:p>
        </w:tc>
        <w:tc>
          <w:tcPr>
            <w:tcW w:w="2410" w:type="dxa"/>
            <w:shd w:val="clear" w:color="auto" w:fill="B4C6E7" w:themeFill="accent5" w:themeFillTint="66"/>
          </w:tcPr>
          <w:p w14:paraId="4DB2A43B" w14:textId="77777777" w:rsidR="00350491" w:rsidRPr="008D0CC9" w:rsidRDefault="00350491" w:rsidP="00005BEB">
            <w:pPr>
              <w:pStyle w:val="TableText"/>
              <w:widowControl w:val="0"/>
              <w:spacing w:before="0" w:after="0"/>
              <w:rPr>
                <w:snapToGrid w:val="0"/>
              </w:rPr>
            </w:pPr>
            <w:r w:rsidRPr="008D0CC9">
              <w:rPr>
                <w:snapToGrid w:val="0"/>
              </w:rPr>
              <w:t>Patients with moderate-severe or severe FMR (MR 3+ or 4+), who have LVEF 20–50% and LVESD ≤ 70mm, ineligible for surgical intervention, and whose symptoms (NYHA functional class II or greater) persist despite maximally tolerated GDMT</w:t>
            </w:r>
          </w:p>
        </w:tc>
        <w:tc>
          <w:tcPr>
            <w:tcW w:w="3118" w:type="dxa"/>
            <w:shd w:val="clear" w:color="auto" w:fill="B4C6E7" w:themeFill="accent5" w:themeFillTint="66"/>
          </w:tcPr>
          <w:p w14:paraId="778ABBD3" w14:textId="77777777" w:rsidR="00EE422D" w:rsidRPr="008D0CC9" w:rsidRDefault="00EE422D" w:rsidP="00005BEB">
            <w:pPr>
              <w:pStyle w:val="TableText"/>
              <w:widowControl w:val="0"/>
              <w:spacing w:before="0" w:after="0"/>
              <w:rPr>
                <w:snapToGrid w:val="0"/>
              </w:rPr>
            </w:pPr>
            <w:bookmarkStart w:id="26" w:name="_Hlk108455735"/>
            <w:r w:rsidRPr="008D0CC9">
              <w:rPr>
                <w:snapToGrid w:val="0"/>
              </w:rPr>
              <w:t xml:space="preserve">PRIMARY ENDPOINTS: </w:t>
            </w:r>
          </w:p>
          <w:p w14:paraId="6B58D74E" w14:textId="41DF0FC4" w:rsidR="00350491" w:rsidRPr="00A00659" w:rsidRDefault="00350491" w:rsidP="00005BEB">
            <w:pPr>
              <w:widowControl w:val="0"/>
              <w:spacing w:before="0" w:after="0"/>
              <w:rPr>
                <w:rFonts w:ascii="Arial Narrow" w:hAnsi="Arial Narrow"/>
                <w:snapToGrid w:val="0"/>
                <w:lang w:eastAsia="en-US"/>
              </w:rPr>
            </w:pPr>
            <w:r w:rsidRPr="0078090E">
              <w:rPr>
                <w:rFonts w:ascii="Arial Narrow" w:hAnsi="Arial Narrow"/>
                <w:snapToGrid w:val="0"/>
                <w:lang w:eastAsia="en-US"/>
              </w:rPr>
              <w:t>HF hospitalisation</w:t>
            </w:r>
            <w:r w:rsidR="0078090E">
              <w:rPr>
                <w:rFonts w:ascii="Arial Narrow" w:hAnsi="Arial Narrow"/>
                <w:snapToGrid w:val="0"/>
                <w:lang w:eastAsia="en-US"/>
              </w:rPr>
              <w:t xml:space="preserve"> </w:t>
            </w:r>
            <w:r w:rsidR="00A00659" w:rsidRPr="00A00659">
              <w:rPr>
                <w:rFonts w:ascii="Arial Narrow" w:hAnsi="Arial Narrow"/>
                <w:snapToGrid w:val="0"/>
                <w:lang w:eastAsia="en-US"/>
              </w:rPr>
              <w:t>freedom from device-related complications</w:t>
            </w:r>
            <w:r w:rsidR="00A00659">
              <w:rPr>
                <w:rFonts w:ascii="Arial Narrow" w:hAnsi="Arial Narrow"/>
                <w:snapToGrid w:val="0"/>
                <w:lang w:eastAsia="en-US"/>
              </w:rPr>
              <w:t xml:space="preserve">; </w:t>
            </w:r>
            <w:r w:rsidR="0078090E" w:rsidRPr="0078090E">
              <w:rPr>
                <w:rFonts w:ascii="Arial Narrow" w:hAnsi="Arial Narrow"/>
                <w:snapToGrid w:val="0"/>
                <w:lang w:eastAsia="en-US"/>
              </w:rPr>
              <w:t>Mortality,</w:t>
            </w:r>
            <w:r w:rsidR="00A00659">
              <w:rPr>
                <w:rFonts w:ascii="Arial Narrow" w:hAnsi="Arial Narrow"/>
                <w:snapToGrid w:val="0"/>
                <w:lang w:eastAsia="en-US"/>
              </w:rPr>
              <w:t xml:space="preserve"> </w:t>
            </w:r>
            <w:r w:rsidRPr="00A00659">
              <w:rPr>
                <w:rFonts w:ascii="Arial Narrow" w:hAnsi="Arial Narrow"/>
                <w:snapToGrid w:val="0"/>
                <w:lang w:eastAsia="en-US"/>
              </w:rPr>
              <w:t>Major complications</w:t>
            </w:r>
            <w:bookmarkEnd w:id="26"/>
            <w:r w:rsidR="0078090E" w:rsidRPr="00A00659">
              <w:rPr>
                <w:rFonts w:ascii="Arial Narrow" w:hAnsi="Arial Narrow"/>
                <w:snapToGrid w:val="0"/>
                <w:lang w:eastAsia="en-US"/>
              </w:rPr>
              <w:t xml:space="preserve">; </w:t>
            </w:r>
            <w:r w:rsidR="00A00659" w:rsidRPr="00A00659">
              <w:rPr>
                <w:rFonts w:ascii="Arial Narrow" w:hAnsi="Arial Narrow"/>
                <w:snapToGrid w:val="0"/>
                <w:lang w:eastAsia="en-US"/>
              </w:rPr>
              <w:t>MR severity, NYHA functional class of I or II; Change in KCCQ score from baseline</w:t>
            </w:r>
          </w:p>
        </w:tc>
      </w:tr>
      <w:tr w:rsidR="00350491" w:rsidRPr="008D0CC9" w14:paraId="343727D7" w14:textId="77777777" w:rsidTr="00A64CAC">
        <w:trPr>
          <w:trHeight w:val="20"/>
        </w:trPr>
        <w:tc>
          <w:tcPr>
            <w:tcW w:w="1129" w:type="dxa"/>
            <w:shd w:val="clear" w:color="auto" w:fill="B4C6E7" w:themeFill="accent5" w:themeFillTint="66"/>
          </w:tcPr>
          <w:p w14:paraId="6685B8C0" w14:textId="3FF36241" w:rsidR="00666B6A" w:rsidRDefault="00350491" w:rsidP="00005BEB">
            <w:pPr>
              <w:pStyle w:val="TableText"/>
              <w:widowControl w:val="0"/>
              <w:spacing w:before="0" w:after="0"/>
              <w:rPr>
                <w:snapToGrid w:val="0"/>
              </w:rPr>
            </w:pPr>
            <w:r w:rsidRPr="008D0CC9">
              <w:rPr>
                <w:snapToGrid w:val="0"/>
              </w:rPr>
              <w:t>EVEREST II</w:t>
            </w:r>
          </w:p>
          <w:p w14:paraId="63E393D4" w14:textId="49423059" w:rsidR="00350491" w:rsidRPr="008D0CC9" w:rsidRDefault="006034F7" w:rsidP="00005BEB">
            <w:pPr>
              <w:pStyle w:val="TableText"/>
              <w:widowControl w:val="0"/>
              <w:spacing w:before="0" w:after="0"/>
              <w:rPr>
                <w:snapToGrid w:val="0"/>
              </w:rPr>
            </w:pPr>
            <w:r>
              <w:rPr>
                <w:snapToGrid w:val="0"/>
              </w:rPr>
              <w:t xml:space="preserve">(the </w:t>
            </w:r>
            <w:proofErr w:type="spellStart"/>
            <w:r>
              <w:rPr>
                <w:snapToGrid w:val="0"/>
              </w:rPr>
              <w:t>MitraClip</w:t>
            </w:r>
            <w:proofErr w:type="spellEnd"/>
            <w:r>
              <w:rPr>
                <w:snapToGrid w:val="0"/>
              </w:rPr>
              <w:t xml:space="preserve"> arm was used in MAIC in the previous ADAR)</w:t>
            </w:r>
          </w:p>
        </w:tc>
        <w:tc>
          <w:tcPr>
            <w:tcW w:w="718" w:type="dxa"/>
            <w:shd w:val="clear" w:color="auto" w:fill="B4C6E7" w:themeFill="accent5" w:themeFillTint="66"/>
          </w:tcPr>
          <w:p w14:paraId="2CAB1BCF" w14:textId="77777777" w:rsidR="00350491" w:rsidRPr="008D0CC9" w:rsidRDefault="00350491" w:rsidP="00005BEB">
            <w:pPr>
              <w:pStyle w:val="TableText"/>
              <w:widowControl w:val="0"/>
              <w:spacing w:before="0" w:after="0"/>
              <w:jc w:val="center"/>
              <w:rPr>
                <w:snapToGrid w:val="0"/>
              </w:rPr>
            </w:pPr>
            <w:r w:rsidRPr="008D0CC9">
              <w:rPr>
                <w:snapToGrid w:val="0"/>
              </w:rPr>
              <w:t>279</w:t>
            </w:r>
          </w:p>
        </w:tc>
        <w:tc>
          <w:tcPr>
            <w:tcW w:w="1267" w:type="dxa"/>
            <w:shd w:val="clear" w:color="auto" w:fill="B4C6E7" w:themeFill="accent5" w:themeFillTint="66"/>
          </w:tcPr>
          <w:p w14:paraId="3B56AE57" w14:textId="77777777" w:rsidR="00350491" w:rsidRPr="008D0CC9" w:rsidRDefault="00350491" w:rsidP="00005BEB">
            <w:pPr>
              <w:widowControl w:val="0"/>
              <w:spacing w:before="0" w:after="0"/>
              <w:rPr>
                <w:rFonts w:ascii="Arial Narrow" w:hAnsi="Arial Narrow"/>
              </w:rPr>
            </w:pPr>
            <w:r w:rsidRPr="008D0CC9">
              <w:rPr>
                <w:rFonts w:ascii="Arial Narrow" w:hAnsi="Arial Narrow"/>
              </w:rPr>
              <w:t>RCT, OL, MC</w:t>
            </w:r>
          </w:p>
          <w:p w14:paraId="076B06CB" w14:textId="2EDFB895" w:rsidR="00350491" w:rsidRPr="008D0CC9" w:rsidRDefault="00965EC6" w:rsidP="00005BEB">
            <w:pPr>
              <w:pStyle w:val="TableText"/>
              <w:widowControl w:val="0"/>
              <w:spacing w:before="0" w:after="0"/>
              <w:rPr>
                <w:snapToGrid w:val="0"/>
              </w:rPr>
            </w:pPr>
            <w:r>
              <w:t xml:space="preserve">30 days, </w:t>
            </w:r>
            <w:r w:rsidR="00350491" w:rsidRPr="008D0CC9">
              <w:t>12 months</w:t>
            </w:r>
          </w:p>
        </w:tc>
        <w:tc>
          <w:tcPr>
            <w:tcW w:w="992" w:type="dxa"/>
            <w:shd w:val="clear" w:color="auto" w:fill="B4C6E7" w:themeFill="accent5" w:themeFillTint="66"/>
          </w:tcPr>
          <w:p w14:paraId="2FF03C4A" w14:textId="77777777" w:rsidR="00350491" w:rsidRPr="008D0CC9" w:rsidRDefault="00350491" w:rsidP="00005BEB">
            <w:pPr>
              <w:pStyle w:val="TableText"/>
              <w:widowControl w:val="0"/>
              <w:spacing w:before="0" w:after="0"/>
              <w:jc w:val="center"/>
              <w:rPr>
                <w:snapToGrid w:val="0"/>
              </w:rPr>
            </w:pPr>
            <w:r w:rsidRPr="008D0CC9">
              <w:rPr>
                <w:snapToGrid w:val="0"/>
              </w:rPr>
              <w:t>Low</w:t>
            </w:r>
          </w:p>
        </w:tc>
        <w:tc>
          <w:tcPr>
            <w:tcW w:w="2410" w:type="dxa"/>
            <w:shd w:val="clear" w:color="auto" w:fill="B4C6E7" w:themeFill="accent5" w:themeFillTint="66"/>
          </w:tcPr>
          <w:p w14:paraId="2E45B29C" w14:textId="77777777" w:rsidR="00350491" w:rsidRPr="008D0CC9" w:rsidRDefault="00350491" w:rsidP="00005BEB">
            <w:pPr>
              <w:pStyle w:val="TableText"/>
              <w:widowControl w:val="0"/>
              <w:spacing w:before="0" w:after="0"/>
              <w:rPr>
                <w:snapToGrid w:val="0"/>
              </w:rPr>
            </w:pPr>
            <w:r w:rsidRPr="008D0CC9">
              <w:rPr>
                <w:snapToGrid w:val="0"/>
              </w:rPr>
              <w:t>Grade 3+ to 4+ MR If symptomatic were required to have LVEF ≥ 25% and LVESD ≤ 55 mm. If asymptomatic were required to have at least one of the following: an LVEF of 25 to 60 LVESD of 40 mm to 55 mm, new atrial fibrillation, or pulmonary hypertension</w:t>
            </w:r>
          </w:p>
        </w:tc>
        <w:tc>
          <w:tcPr>
            <w:tcW w:w="3118" w:type="dxa"/>
            <w:shd w:val="clear" w:color="auto" w:fill="B4C6E7" w:themeFill="accent5" w:themeFillTint="66"/>
          </w:tcPr>
          <w:p w14:paraId="42E1C857" w14:textId="77777777" w:rsidR="00350491" w:rsidRPr="008D0CC9" w:rsidRDefault="00350491" w:rsidP="00005BEB">
            <w:pPr>
              <w:widowControl w:val="0"/>
              <w:spacing w:before="0" w:after="0"/>
              <w:rPr>
                <w:rFonts w:ascii="Arial Narrow" w:hAnsi="Arial Narrow"/>
                <w:snapToGrid w:val="0"/>
                <w:lang w:eastAsia="en-US"/>
              </w:rPr>
            </w:pPr>
            <w:bookmarkStart w:id="27" w:name="_Hlk108455893"/>
            <w:r w:rsidRPr="008D0CC9">
              <w:rPr>
                <w:rFonts w:ascii="Arial Narrow" w:hAnsi="Arial Narrow"/>
                <w:snapToGrid w:val="0"/>
                <w:lang w:eastAsia="en-US"/>
              </w:rPr>
              <w:t>Freedom from death, from surgery for mitral- valve dysfunction, and from grade 3+ or 4+ mitral regurgitation</w:t>
            </w:r>
          </w:p>
          <w:p w14:paraId="6ACF77E3" w14:textId="77777777" w:rsidR="00350491" w:rsidRPr="008D0CC9" w:rsidRDefault="00350491" w:rsidP="00005BEB">
            <w:pPr>
              <w:pStyle w:val="TableText"/>
              <w:widowControl w:val="0"/>
              <w:spacing w:before="0" w:after="0"/>
              <w:rPr>
                <w:snapToGrid w:val="0"/>
              </w:rPr>
            </w:pPr>
            <w:r w:rsidRPr="008D0CC9">
              <w:rPr>
                <w:snapToGrid w:val="0"/>
              </w:rPr>
              <w:t xml:space="preserve"> MAEs</w:t>
            </w:r>
            <w:bookmarkEnd w:id="27"/>
          </w:p>
        </w:tc>
      </w:tr>
      <w:tr w:rsidR="00350491" w:rsidRPr="008D0CC9" w14:paraId="2F248B1B" w14:textId="77777777" w:rsidTr="00A64CAC">
        <w:trPr>
          <w:cantSplit/>
          <w:trHeight w:val="20"/>
        </w:trPr>
        <w:tc>
          <w:tcPr>
            <w:tcW w:w="1129" w:type="dxa"/>
            <w:shd w:val="clear" w:color="auto" w:fill="auto"/>
          </w:tcPr>
          <w:p w14:paraId="68153BA7" w14:textId="27DAAD3B" w:rsidR="00350491" w:rsidRDefault="00350491" w:rsidP="00005BEB">
            <w:pPr>
              <w:pStyle w:val="TableText"/>
              <w:widowControl w:val="0"/>
              <w:spacing w:before="0" w:after="0"/>
              <w:rPr>
                <w:snapToGrid w:val="0"/>
              </w:rPr>
            </w:pPr>
            <w:r w:rsidRPr="008D0CC9">
              <w:rPr>
                <w:snapToGrid w:val="0"/>
              </w:rPr>
              <w:t>Mauri 2020</w:t>
            </w:r>
          </w:p>
          <w:p w14:paraId="0B347B11" w14:textId="6B6F2100" w:rsidR="006034F7" w:rsidRDefault="006034F7" w:rsidP="00005BEB">
            <w:pPr>
              <w:pStyle w:val="TableText"/>
              <w:widowControl w:val="0"/>
              <w:spacing w:before="0" w:after="0"/>
              <w:rPr>
                <w:snapToGrid w:val="0"/>
              </w:rPr>
            </w:pPr>
            <w:r>
              <w:rPr>
                <w:snapToGrid w:val="0"/>
              </w:rPr>
              <w:t>(identified, but excluded from the previous ADAR)</w:t>
            </w:r>
          </w:p>
          <w:p w14:paraId="43003DFE" w14:textId="2571716C" w:rsidR="00666B6A" w:rsidRPr="008D0CC9" w:rsidRDefault="00666B6A" w:rsidP="00005BEB">
            <w:pPr>
              <w:pStyle w:val="TableText"/>
              <w:widowControl w:val="0"/>
              <w:spacing w:before="0" w:after="0"/>
              <w:rPr>
                <w:snapToGrid w:val="0"/>
              </w:rPr>
            </w:pPr>
          </w:p>
        </w:tc>
        <w:tc>
          <w:tcPr>
            <w:tcW w:w="718" w:type="dxa"/>
            <w:shd w:val="clear" w:color="auto" w:fill="auto"/>
          </w:tcPr>
          <w:p w14:paraId="7B571FC6" w14:textId="77777777" w:rsidR="00350491" w:rsidRPr="008D0CC9" w:rsidRDefault="00350491" w:rsidP="00005BEB">
            <w:pPr>
              <w:pStyle w:val="TableText"/>
              <w:widowControl w:val="0"/>
              <w:spacing w:before="0" w:after="0"/>
              <w:jc w:val="center"/>
              <w:rPr>
                <w:snapToGrid w:val="0"/>
              </w:rPr>
            </w:pPr>
            <w:r w:rsidRPr="008D0CC9">
              <w:rPr>
                <w:snapToGrid w:val="0"/>
              </w:rPr>
              <w:t>309</w:t>
            </w:r>
          </w:p>
        </w:tc>
        <w:tc>
          <w:tcPr>
            <w:tcW w:w="1267" w:type="dxa"/>
            <w:shd w:val="clear" w:color="auto" w:fill="auto"/>
          </w:tcPr>
          <w:p w14:paraId="0B2017F7" w14:textId="77777777" w:rsidR="00350491" w:rsidRDefault="008D0CC9" w:rsidP="00005BEB">
            <w:pPr>
              <w:pStyle w:val="TableText"/>
              <w:widowControl w:val="0"/>
              <w:spacing w:before="0" w:after="0"/>
              <w:rPr>
                <w:snapToGrid w:val="0"/>
              </w:rPr>
            </w:pPr>
            <w:r>
              <w:t>A</w:t>
            </w:r>
            <w:r w:rsidR="00350491" w:rsidRPr="008D0CC9">
              <w:t xml:space="preserve"> multicentre, retrospective, </w:t>
            </w:r>
            <w:r w:rsidR="00350491" w:rsidRPr="008D0CC9">
              <w:rPr>
                <w:snapToGrid w:val="0"/>
              </w:rPr>
              <w:t>single-arm, observational study</w:t>
            </w:r>
          </w:p>
          <w:p w14:paraId="586ADB5A" w14:textId="5B1789CA" w:rsidR="00965EC6" w:rsidRPr="008D0CC9" w:rsidRDefault="00965EC6" w:rsidP="00005BEB">
            <w:pPr>
              <w:pStyle w:val="TableText"/>
              <w:widowControl w:val="0"/>
              <w:spacing w:before="0" w:after="0"/>
              <w:rPr>
                <w:snapToGrid w:val="0"/>
              </w:rPr>
            </w:pPr>
            <w:r>
              <w:t>30 days,</w:t>
            </w:r>
          </w:p>
        </w:tc>
        <w:tc>
          <w:tcPr>
            <w:tcW w:w="992" w:type="dxa"/>
            <w:shd w:val="clear" w:color="auto" w:fill="auto"/>
          </w:tcPr>
          <w:p w14:paraId="166DDF3E" w14:textId="77777777" w:rsidR="00350491" w:rsidRPr="008D0CC9" w:rsidRDefault="00350491" w:rsidP="00005BEB">
            <w:pPr>
              <w:pStyle w:val="TableText"/>
              <w:widowControl w:val="0"/>
              <w:spacing w:before="0" w:after="0"/>
              <w:jc w:val="center"/>
              <w:rPr>
                <w:snapToGrid w:val="0"/>
              </w:rPr>
            </w:pPr>
            <w:r w:rsidRPr="008D0CC9">
              <w:rPr>
                <w:snapToGrid w:val="0"/>
              </w:rPr>
              <w:t>High</w:t>
            </w:r>
          </w:p>
        </w:tc>
        <w:tc>
          <w:tcPr>
            <w:tcW w:w="2410" w:type="dxa"/>
            <w:shd w:val="clear" w:color="auto" w:fill="auto"/>
          </w:tcPr>
          <w:p w14:paraId="101A154F" w14:textId="7D956E3C" w:rsidR="00350491" w:rsidRPr="008D0CC9" w:rsidRDefault="001347FA" w:rsidP="00005BEB">
            <w:pPr>
              <w:pStyle w:val="TableText"/>
              <w:widowControl w:val="0"/>
              <w:spacing w:before="0" w:after="0"/>
              <w:rPr>
                <w:snapToGrid w:val="0"/>
              </w:rPr>
            </w:pPr>
            <w:r>
              <w:t xml:space="preserve">Patients </w:t>
            </w:r>
            <w:r w:rsidR="00350491" w:rsidRPr="008D0CC9">
              <w:rPr>
                <w:snapToGrid w:val="0"/>
              </w:rPr>
              <w:t xml:space="preserve">with at least moderate-severe symptomatic MR (≥ grade 3+), at high surgical risk or ineligible for surgical intervention. In a real-world study </w:t>
            </w:r>
            <w:r w:rsidR="00350491" w:rsidRPr="008D0CC9">
              <w:t xml:space="preserve">there were no pre-specified inclusion/exclusion criteria. Characteristics of patients were not reported by DMR/FMR: </w:t>
            </w:r>
            <w:r w:rsidR="00350491" w:rsidRPr="008D0CC9">
              <w:rPr>
                <w:snapToGrid w:val="0"/>
              </w:rPr>
              <w:t>48% had LVEF≤50%; mean LVESD = 44mm (SD=13), NYHA functional class was II or greater</w:t>
            </w:r>
          </w:p>
        </w:tc>
        <w:tc>
          <w:tcPr>
            <w:tcW w:w="3118" w:type="dxa"/>
            <w:shd w:val="clear" w:color="auto" w:fill="auto"/>
          </w:tcPr>
          <w:p w14:paraId="53B02BA0" w14:textId="0147B991" w:rsidR="00350491" w:rsidRPr="008D0CC9" w:rsidRDefault="00EE422D" w:rsidP="00005BEB">
            <w:pPr>
              <w:pStyle w:val="TableText"/>
              <w:widowControl w:val="0"/>
              <w:spacing w:before="0" w:after="0"/>
              <w:rPr>
                <w:snapToGrid w:val="0"/>
              </w:rPr>
            </w:pPr>
            <w:r w:rsidRPr="008D0CC9">
              <w:rPr>
                <w:snapToGrid w:val="0"/>
              </w:rPr>
              <w:t xml:space="preserve">PRIMARY ENDPOINTS: </w:t>
            </w:r>
            <w:r>
              <w:rPr>
                <w:snapToGrid w:val="0"/>
              </w:rPr>
              <w:t>T</w:t>
            </w:r>
            <w:r w:rsidR="00350491" w:rsidRPr="008D0CC9">
              <w:rPr>
                <w:snapToGrid w:val="0"/>
              </w:rPr>
              <w:t>echnical success; MR severity at discharge;</w:t>
            </w:r>
          </w:p>
          <w:p w14:paraId="28866E3F" w14:textId="37A6A447" w:rsidR="00350491" w:rsidRPr="008D0CC9" w:rsidRDefault="00EE422D" w:rsidP="00005BEB">
            <w:pPr>
              <w:pStyle w:val="TableText"/>
              <w:widowControl w:val="0"/>
              <w:spacing w:before="0" w:after="0"/>
              <w:rPr>
                <w:snapToGrid w:val="0"/>
              </w:rPr>
            </w:pPr>
            <w:r>
              <w:rPr>
                <w:snapToGrid w:val="0"/>
              </w:rPr>
              <w:t>OTHER</w:t>
            </w:r>
            <w:r w:rsidRPr="008D0CC9">
              <w:rPr>
                <w:snapToGrid w:val="0"/>
              </w:rPr>
              <w:t xml:space="preserve"> ENDPOINTS: </w:t>
            </w:r>
            <w:r w:rsidR="00350491" w:rsidRPr="008D0CC9">
              <w:rPr>
                <w:snapToGrid w:val="0"/>
              </w:rPr>
              <w:t>MR severity and device success at 30 days, freedom from mortality; clinical success; 6-min walk distance; NYHA functional class</w:t>
            </w:r>
          </w:p>
          <w:p w14:paraId="306BB5A7" w14:textId="174F702F" w:rsidR="00005BEB" w:rsidRPr="008D0CC9" w:rsidRDefault="00EE422D" w:rsidP="00005BEB">
            <w:pPr>
              <w:pStyle w:val="TableText"/>
              <w:widowControl w:val="0"/>
              <w:spacing w:before="0" w:after="0"/>
              <w:rPr>
                <w:snapToGrid w:val="0"/>
              </w:rPr>
            </w:pPr>
            <w:r w:rsidRPr="00EE422D">
              <w:rPr>
                <w:snapToGrid w:val="0"/>
              </w:rPr>
              <w:t>SAFETY</w:t>
            </w:r>
            <w:r w:rsidR="00350491" w:rsidRPr="008D0CC9">
              <w:rPr>
                <w:snapToGrid w:val="0"/>
              </w:rPr>
              <w:t>: MAE (all-cause</w:t>
            </w:r>
            <w:r>
              <w:rPr>
                <w:snapToGrid w:val="0"/>
              </w:rPr>
              <w:t xml:space="preserve"> </w:t>
            </w:r>
            <w:r w:rsidR="00350491" w:rsidRPr="008D0CC9">
              <w:rPr>
                <w:snapToGrid w:val="0"/>
              </w:rPr>
              <w:t>mortality, stroke, cardiac-structural complication due to access-related issues, acute kidney injury requiring new renal replacement therapy, and severe</w:t>
            </w:r>
            <w:r>
              <w:rPr>
                <w:snapToGrid w:val="0"/>
              </w:rPr>
              <w:t xml:space="preserve"> </w:t>
            </w:r>
            <w:r w:rsidR="00350491" w:rsidRPr="008D0CC9">
              <w:rPr>
                <w:snapToGrid w:val="0"/>
              </w:rPr>
              <w:t>bleeding) at 30-day follow-up</w:t>
            </w:r>
          </w:p>
        </w:tc>
      </w:tr>
      <w:tr w:rsidR="00350491" w:rsidRPr="008D0CC9" w14:paraId="6D79930F" w14:textId="77777777" w:rsidTr="00A64CAC">
        <w:trPr>
          <w:trHeight w:val="20"/>
        </w:trPr>
        <w:tc>
          <w:tcPr>
            <w:tcW w:w="1129" w:type="dxa"/>
            <w:shd w:val="clear" w:color="auto" w:fill="auto"/>
          </w:tcPr>
          <w:p w14:paraId="6319DD02" w14:textId="33D7F147" w:rsidR="00350491" w:rsidRDefault="00350491" w:rsidP="00005BEB">
            <w:pPr>
              <w:pStyle w:val="TableText"/>
              <w:widowControl w:val="0"/>
              <w:spacing w:before="0" w:after="0"/>
              <w:rPr>
                <w:snapToGrid w:val="0"/>
              </w:rPr>
            </w:pPr>
            <w:r w:rsidRPr="008D0CC9">
              <w:rPr>
                <w:snapToGrid w:val="0"/>
              </w:rPr>
              <w:t>Mack 2022</w:t>
            </w:r>
          </w:p>
          <w:p w14:paraId="7E5010EC" w14:textId="0D712596" w:rsidR="006034F7" w:rsidRDefault="006034F7" w:rsidP="00005BEB">
            <w:pPr>
              <w:pStyle w:val="TableText"/>
              <w:widowControl w:val="0"/>
              <w:spacing w:before="0" w:after="0"/>
              <w:rPr>
                <w:snapToGrid w:val="0"/>
              </w:rPr>
            </w:pPr>
            <w:r>
              <w:rPr>
                <w:snapToGrid w:val="0"/>
              </w:rPr>
              <w:t>(new evidence)</w:t>
            </w:r>
          </w:p>
          <w:p w14:paraId="27F95092" w14:textId="79D00CB9" w:rsidR="00666B6A" w:rsidRPr="008D0CC9" w:rsidRDefault="00666B6A" w:rsidP="00005BEB">
            <w:pPr>
              <w:pStyle w:val="TableText"/>
              <w:widowControl w:val="0"/>
              <w:spacing w:before="0" w:after="0"/>
              <w:rPr>
                <w:snapToGrid w:val="0"/>
              </w:rPr>
            </w:pPr>
          </w:p>
        </w:tc>
        <w:tc>
          <w:tcPr>
            <w:tcW w:w="718" w:type="dxa"/>
            <w:shd w:val="clear" w:color="auto" w:fill="auto"/>
          </w:tcPr>
          <w:p w14:paraId="2294A8A3" w14:textId="77777777" w:rsidR="00350491" w:rsidRPr="008D0CC9" w:rsidRDefault="00350491" w:rsidP="00005BEB">
            <w:pPr>
              <w:pStyle w:val="TableText"/>
              <w:widowControl w:val="0"/>
              <w:spacing w:before="0" w:after="0"/>
              <w:jc w:val="center"/>
              <w:rPr>
                <w:snapToGrid w:val="0"/>
              </w:rPr>
            </w:pPr>
            <w:r w:rsidRPr="008D0CC9">
              <w:rPr>
                <w:snapToGrid w:val="0"/>
              </w:rPr>
              <w:t>10,460</w:t>
            </w:r>
          </w:p>
        </w:tc>
        <w:tc>
          <w:tcPr>
            <w:tcW w:w="1267" w:type="dxa"/>
            <w:shd w:val="clear" w:color="auto" w:fill="auto"/>
          </w:tcPr>
          <w:p w14:paraId="060A65B4" w14:textId="7B04BEB8" w:rsidR="00350491" w:rsidRDefault="00350491" w:rsidP="00005BEB">
            <w:pPr>
              <w:pStyle w:val="TableText"/>
              <w:widowControl w:val="0"/>
              <w:spacing w:before="0" w:after="0"/>
            </w:pPr>
            <w:r w:rsidRPr="008D0CC9">
              <w:t xml:space="preserve">STS/ACC TVTR </w:t>
            </w:r>
            <w:r w:rsidR="00965EC6">
              <w:t>–</w:t>
            </w:r>
            <w:r w:rsidRPr="008D0CC9">
              <w:t xml:space="preserve"> registry</w:t>
            </w:r>
          </w:p>
          <w:p w14:paraId="3C164683" w14:textId="0FB4C62F" w:rsidR="00965EC6" w:rsidRPr="008D0CC9" w:rsidRDefault="00965EC6" w:rsidP="00005BEB">
            <w:pPr>
              <w:pStyle w:val="TableText"/>
              <w:widowControl w:val="0"/>
              <w:spacing w:before="0" w:after="0"/>
            </w:pPr>
            <w:r>
              <w:t>30 days</w:t>
            </w:r>
          </w:p>
        </w:tc>
        <w:tc>
          <w:tcPr>
            <w:tcW w:w="992" w:type="dxa"/>
            <w:shd w:val="clear" w:color="auto" w:fill="auto"/>
          </w:tcPr>
          <w:p w14:paraId="3D9BEC80" w14:textId="77777777" w:rsidR="00350491" w:rsidRPr="008D0CC9" w:rsidRDefault="00350491" w:rsidP="00005BEB">
            <w:pPr>
              <w:pStyle w:val="TableText"/>
              <w:widowControl w:val="0"/>
              <w:spacing w:before="0" w:after="0"/>
              <w:jc w:val="center"/>
              <w:rPr>
                <w:snapToGrid w:val="0"/>
              </w:rPr>
            </w:pPr>
            <w:r w:rsidRPr="008D0CC9">
              <w:rPr>
                <w:snapToGrid w:val="0"/>
              </w:rPr>
              <w:t>High</w:t>
            </w:r>
          </w:p>
        </w:tc>
        <w:tc>
          <w:tcPr>
            <w:tcW w:w="2410" w:type="dxa"/>
            <w:shd w:val="clear" w:color="auto" w:fill="auto"/>
          </w:tcPr>
          <w:p w14:paraId="21CCCD55" w14:textId="23189638" w:rsidR="00350491" w:rsidRPr="008D0CC9" w:rsidRDefault="00350491" w:rsidP="00005BEB">
            <w:pPr>
              <w:pStyle w:val="TableText"/>
              <w:widowControl w:val="0"/>
              <w:spacing w:before="0" w:after="0"/>
              <w:rPr>
                <w:snapToGrid w:val="0"/>
              </w:rPr>
            </w:pPr>
            <w:r w:rsidRPr="008D0CC9">
              <w:rPr>
                <w:snapToGrid w:val="0"/>
              </w:rPr>
              <w:t xml:space="preserve">Results from 2019 </w:t>
            </w:r>
            <w:proofErr w:type="spellStart"/>
            <w:r w:rsidRPr="008D0CC9">
              <w:rPr>
                <w:snapToGrid w:val="0"/>
              </w:rPr>
              <w:t>MitraClip</w:t>
            </w:r>
            <w:proofErr w:type="spellEnd"/>
            <w:r w:rsidRPr="008D0CC9">
              <w:rPr>
                <w:snapToGrid w:val="0"/>
              </w:rPr>
              <w:t xml:space="preserve"> </w:t>
            </w:r>
            <w:proofErr w:type="spellStart"/>
            <w:r w:rsidRPr="008D0CC9">
              <w:rPr>
                <w:snapToGrid w:val="0"/>
              </w:rPr>
              <w:t>TMVr</w:t>
            </w:r>
            <w:proofErr w:type="spellEnd"/>
            <w:r w:rsidRPr="008D0CC9">
              <w:rPr>
                <w:snapToGrid w:val="0"/>
              </w:rPr>
              <w:t xml:space="preserve"> procedures. </w:t>
            </w:r>
            <w:r w:rsidRPr="008D0CC9">
              <w:t xml:space="preserve">Characteristics of patients were not reported by DMR/FMR: </w:t>
            </w:r>
            <w:r w:rsidRPr="008D0CC9">
              <w:rPr>
                <w:snapToGrid w:val="0"/>
              </w:rPr>
              <w:t>LVEF -NR; LVESD- NR, NYHA majority (97%) had II or greater</w:t>
            </w:r>
          </w:p>
        </w:tc>
        <w:tc>
          <w:tcPr>
            <w:tcW w:w="3118" w:type="dxa"/>
            <w:shd w:val="clear" w:color="auto" w:fill="auto"/>
          </w:tcPr>
          <w:p w14:paraId="48EDFFC2" w14:textId="5D8F7F42" w:rsidR="00005BEB" w:rsidRPr="00A64CAC" w:rsidRDefault="00350491" w:rsidP="00005BEB">
            <w:pPr>
              <w:pStyle w:val="TableText"/>
              <w:widowControl w:val="0"/>
              <w:spacing w:before="0" w:after="0"/>
              <w:rPr>
                <w:snapToGrid w:val="0"/>
              </w:rPr>
            </w:pPr>
            <w:r w:rsidRPr="008D0CC9">
              <w:rPr>
                <w:snapToGrid w:val="0"/>
              </w:rPr>
              <w:t>At 30 days mortality, stroke, mitral valve reintervention, bleeding, acute kidney injury, NYHA functional class, MR severity, and quality of life (12-Item Kansas City Cardiomyopathy Questionnaire (KCCQ-12). Overall survival to 1-year</w:t>
            </w:r>
          </w:p>
        </w:tc>
      </w:tr>
      <w:tr w:rsidR="00A92E0E" w:rsidRPr="008D0CC9" w14:paraId="4FF18138" w14:textId="77777777" w:rsidTr="003540E7">
        <w:trPr>
          <w:cantSplit/>
          <w:trHeight w:val="20"/>
          <w:tblHeader/>
        </w:trPr>
        <w:tc>
          <w:tcPr>
            <w:tcW w:w="9634" w:type="dxa"/>
            <w:gridSpan w:val="6"/>
            <w:shd w:val="clear" w:color="auto" w:fill="auto"/>
            <w:vAlign w:val="center"/>
          </w:tcPr>
          <w:p w14:paraId="3434280E" w14:textId="4EABE6D6" w:rsidR="00A92E0E" w:rsidRPr="008D0CC9" w:rsidRDefault="006034F7" w:rsidP="00005BEB">
            <w:pPr>
              <w:pStyle w:val="TableText"/>
              <w:widowControl w:val="0"/>
              <w:spacing w:before="0" w:after="0"/>
              <w:rPr>
                <w:snapToGrid w:val="0"/>
              </w:rPr>
            </w:pPr>
            <w:r>
              <w:rPr>
                <w:b/>
                <w:bCs/>
                <w:snapToGrid w:val="0"/>
              </w:rPr>
              <w:lastRenderedPageBreak/>
              <w:t>Direct non</w:t>
            </w:r>
            <w:r w:rsidR="00636B8B">
              <w:rPr>
                <w:b/>
                <w:bCs/>
                <w:snapToGrid w:val="0"/>
              </w:rPr>
              <w:t>-</w:t>
            </w:r>
            <w:r>
              <w:rPr>
                <w:b/>
                <w:bCs/>
                <w:snapToGrid w:val="0"/>
              </w:rPr>
              <w:t xml:space="preserve">randomised comparative studies </w:t>
            </w:r>
            <w:r w:rsidR="00661DA9">
              <w:rPr>
                <w:b/>
                <w:bCs/>
                <w:i/>
                <w:iCs/>
                <w:snapToGrid w:val="0"/>
              </w:rPr>
              <w:t>(</w:t>
            </w:r>
            <w:r w:rsidR="00A92E0E" w:rsidRPr="00661DA9">
              <w:rPr>
                <w:b/>
                <w:bCs/>
                <w:i/>
                <w:iCs/>
                <w:snapToGrid w:val="0"/>
              </w:rPr>
              <w:t xml:space="preserve">added to the main body of evidence by </w:t>
            </w:r>
            <w:r w:rsidR="00666B6A" w:rsidRPr="00661DA9">
              <w:rPr>
                <w:b/>
                <w:bCs/>
                <w:i/>
                <w:iCs/>
                <w:snapToGrid w:val="0"/>
              </w:rPr>
              <w:t xml:space="preserve">the </w:t>
            </w:r>
            <w:r w:rsidR="00A92E0E" w:rsidRPr="00661DA9">
              <w:rPr>
                <w:b/>
                <w:bCs/>
                <w:i/>
                <w:iCs/>
                <w:snapToGrid w:val="0"/>
              </w:rPr>
              <w:t>evaluators</w:t>
            </w:r>
            <w:r w:rsidR="00661DA9">
              <w:rPr>
                <w:b/>
                <w:bCs/>
                <w:i/>
                <w:iCs/>
                <w:snapToGrid w:val="0"/>
              </w:rPr>
              <w:t>)</w:t>
            </w:r>
          </w:p>
        </w:tc>
      </w:tr>
      <w:tr w:rsidR="007C22A4" w:rsidRPr="008D0CC9" w14:paraId="2262DDB5" w14:textId="77777777" w:rsidTr="00A64CAC">
        <w:trPr>
          <w:cantSplit/>
          <w:trHeight w:val="20"/>
          <w:tblHeader/>
        </w:trPr>
        <w:tc>
          <w:tcPr>
            <w:tcW w:w="1129" w:type="dxa"/>
            <w:shd w:val="clear" w:color="auto" w:fill="auto"/>
          </w:tcPr>
          <w:p w14:paraId="687EE3EC" w14:textId="77777777" w:rsidR="007C22A4" w:rsidRDefault="007C22A4" w:rsidP="00005BEB">
            <w:pPr>
              <w:pStyle w:val="TableText"/>
              <w:widowControl w:val="0"/>
              <w:spacing w:before="0" w:after="0"/>
              <w:rPr>
                <w:rFonts w:cstheme="majorHAnsi"/>
              </w:rPr>
            </w:pPr>
            <w:proofErr w:type="spellStart"/>
            <w:r w:rsidRPr="00C92FA8">
              <w:rPr>
                <w:rFonts w:cstheme="majorHAnsi"/>
              </w:rPr>
              <w:t>Haschemi</w:t>
            </w:r>
            <w:proofErr w:type="spellEnd"/>
            <w:r w:rsidRPr="00C92FA8">
              <w:rPr>
                <w:rFonts w:cstheme="majorHAnsi"/>
              </w:rPr>
              <w:t xml:space="preserve"> 2022</w:t>
            </w:r>
          </w:p>
          <w:p w14:paraId="67C6959C" w14:textId="77777777" w:rsidR="009415B0" w:rsidRDefault="009415B0" w:rsidP="00005BEB">
            <w:pPr>
              <w:pStyle w:val="TableText"/>
              <w:widowControl w:val="0"/>
              <w:spacing w:before="0" w:after="0"/>
              <w:rPr>
                <w:snapToGrid w:val="0"/>
              </w:rPr>
            </w:pPr>
            <w:r>
              <w:rPr>
                <w:snapToGrid w:val="0"/>
              </w:rPr>
              <w:t>(new evidence)</w:t>
            </w:r>
          </w:p>
          <w:p w14:paraId="465E1E09" w14:textId="3857FC02" w:rsidR="007C22A4" w:rsidRPr="008D0CC9" w:rsidRDefault="007C22A4" w:rsidP="00005BEB">
            <w:pPr>
              <w:pStyle w:val="TableText"/>
              <w:widowControl w:val="0"/>
              <w:spacing w:before="0" w:after="0"/>
              <w:rPr>
                <w:snapToGrid w:val="0"/>
              </w:rPr>
            </w:pPr>
          </w:p>
        </w:tc>
        <w:tc>
          <w:tcPr>
            <w:tcW w:w="718" w:type="dxa"/>
            <w:shd w:val="clear" w:color="auto" w:fill="auto"/>
          </w:tcPr>
          <w:p w14:paraId="22C1019A" w14:textId="77777777" w:rsidR="007C22A4" w:rsidRDefault="007C22A4" w:rsidP="00005BEB">
            <w:pPr>
              <w:pStyle w:val="TableText"/>
              <w:widowControl w:val="0"/>
              <w:spacing w:before="0" w:after="0"/>
              <w:jc w:val="center"/>
              <w:rPr>
                <w:rFonts w:cstheme="majorHAnsi"/>
              </w:rPr>
            </w:pPr>
            <w:r w:rsidRPr="00C92FA8">
              <w:rPr>
                <w:rFonts w:cstheme="majorHAnsi"/>
              </w:rPr>
              <w:t>PASCAL (102)</w:t>
            </w:r>
            <w:r>
              <w:rPr>
                <w:rFonts w:cstheme="majorHAnsi"/>
              </w:rPr>
              <w:t>;</w:t>
            </w:r>
          </w:p>
          <w:p w14:paraId="23B32001" w14:textId="0013F563" w:rsidR="007C22A4" w:rsidRPr="008D0CC9" w:rsidRDefault="007C22A4" w:rsidP="00005BEB">
            <w:pPr>
              <w:pStyle w:val="TableText"/>
              <w:widowControl w:val="0"/>
              <w:spacing w:before="0" w:after="0"/>
              <w:jc w:val="center"/>
              <w:rPr>
                <w:snapToGrid w:val="0"/>
              </w:rPr>
            </w:pPr>
            <w:proofErr w:type="spellStart"/>
            <w:r w:rsidRPr="00C92FA8">
              <w:rPr>
                <w:rFonts w:cstheme="majorHAnsi"/>
              </w:rPr>
              <w:t>MitraClip</w:t>
            </w:r>
            <w:proofErr w:type="spellEnd"/>
            <w:r w:rsidRPr="00C92FA8">
              <w:rPr>
                <w:rFonts w:cstheme="majorHAnsi"/>
              </w:rPr>
              <w:t xml:space="preserve"> (112)</w:t>
            </w:r>
          </w:p>
        </w:tc>
        <w:tc>
          <w:tcPr>
            <w:tcW w:w="1267" w:type="dxa"/>
            <w:shd w:val="clear" w:color="auto" w:fill="auto"/>
          </w:tcPr>
          <w:p w14:paraId="226BB26B" w14:textId="77777777" w:rsidR="007C22A4" w:rsidRDefault="007C22A4" w:rsidP="00005BEB">
            <w:pPr>
              <w:pStyle w:val="TableHeading"/>
              <w:keepNext w:val="0"/>
              <w:widowControl w:val="0"/>
              <w:spacing w:before="0" w:after="0"/>
              <w:rPr>
                <w:rFonts w:cstheme="majorHAnsi"/>
                <w:b w:val="0"/>
              </w:rPr>
            </w:pPr>
            <w:r>
              <w:rPr>
                <w:rFonts w:cstheme="majorHAnsi"/>
                <w:b w:val="0"/>
              </w:rPr>
              <w:t>Quasi-randomised</w:t>
            </w:r>
          </w:p>
          <w:p w14:paraId="7191712F" w14:textId="57D6C1D0" w:rsidR="007C22A4" w:rsidRDefault="007C22A4" w:rsidP="00005BEB">
            <w:pPr>
              <w:pStyle w:val="TableText"/>
              <w:widowControl w:val="0"/>
              <w:spacing w:before="0" w:after="0"/>
              <w:rPr>
                <w:rFonts w:cstheme="majorHAnsi"/>
              </w:rPr>
            </w:pPr>
            <w:r>
              <w:rPr>
                <w:rFonts w:cstheme="majorHAnsi"/>
              </w:rPr>
              <w:t>Prospective c</w:t>
            </w:r>
            <w:r w:rsidRPr="00C92FA8">
              <w:rPr>
                <w:rFonts w:cstheme="majorHAnsi"/>
              </w:rPr>
              <w:t>ohort study</w:t>
            </w:r>
          </w:p>
          <w:p w14:paraId="64D6350F" w14:textId="591BAE49" w:rsidR="007C22A4" w:rsidRPr="00FB3347" w:rsidRDefault="007C22A4" w:rsidP="00005BEB">
            <w:pPr>
              <w:pStyle w:val="TableHeading"/>
              <w:keepNext w:val="0"/>
              <w:widowControl w:val="0"/>
              <w:spacing w:before="0" w:after="0"/>
              <w:rPr>
                <w:rFonts w:cstheme="majorHAnsi"/>
                <w:b w:val="0"/>
              </w:rPr>
            </w:pPr>
            <w:r>
              <w:rPr>
                <w:rFonts w:cstheme="majorHAnsi"/>
                <w:b w:val="0"/>
              </w:rPr>
              <w:t xml:space="preserve">At discharge </w:t>
            </w:r>
          </w:p>
          <w:p w14:paraId="29DF8CF3" w14:textId="67B00198" w:rsidR="007C22A4" w:rsidRPr="008D0CC9" w:rsidRDefault="007C22A4" w:rsidP="00005BEB">
            <w:pPr>
              <w:pStyle w:val="TableText"/>
              <w:widowControl w:val="0"/>
              <w:spacing w:before="0" w:after="0"/>
            </w:pPr>
            <w:r w:rsidRPr="00C92FA8">
              <w:rPr>
                <w:rFonts w:cstheme="majorHAnsi"/>
              </w:rPr>
              <w:t>30 days</w:t>
            </w:r>
          </w:p>
        </w:tc>
        <w:tc>
          <w:tcPr>
            <w:tcW w:w="992" w:type="dxa"/>
            <w:shd w:val="clear" w:color="auto" w:fill="auto"/>
          </w:tcPr>
          <w:p w14:paraId="002EFDCE" w14:textId="5C17C0C5" w:rsidR="007C22A4" w:rsidRPr="008D0CC9" w:rsidRDefault="007C22A4" w:rsidP="00005BEB">
            <w:pPr>
              <w:pStyle w:val="TableText"/>
              <w:widowControl w:val="0"/>
              <w:spacing w:before="0" w:after="0"/>
              <w:jc w:val="center"/>
              <w:rPr>
                <w:snapToGrid w:val="0"/>
              </w:rPr>
            </w:pPr>
            <w:r>
              <w:rPr>
                <w:rFonts w:cstheme="majorHAnsi"/>
              </w:rPr>
              <w:t>Low-Medium</w:t>
            </w:r>
            <w:r w:rsidRPr="00AA31C8">
              <w:rPr>
                <w:sz w:val="18"/>
                <w:szCs w:val="18"/>
                <w:vertAlign w:val="superscript"/>
              </w:rPr>
              <w:t xml:space="preserve"> a</w:t>
            </w:r>
          </w:p>
        </w:tc>
        <w:tc>
          <w:tcPr>
            <w:tcW w:w="2410" w:type="dxa"/>
            <w:shd w:val="clear" w:color="auto" w:fill="auto"/>
          </w:tcPr>
          <w:p w14:paraId="25CB6BCE" w14:textId="6511EC0E" w:rsidR="00005BEB" w:rsidRPr="008D0CC9" w:rsidRDefault="007C22A4" w:rsidP="00005BEB">
            <w:pPr>
              <w:pStyle w:val="TableText"/>
              <w:widowControl w:val="0"/>
              <w:spacing w:before="0" w:after="0"/>
              <w:rPr>
                <w:snapToGrid w:val="0"/>
              </w:rPr>
            </w:pPr>
            <w:r>
              <w:t xml:space="preserve">Patients </w:t>
            </w:r>
            <w:r w:rsidRPr="008D0CC9">
              <w:rPr>
                <w:snapToGrid w:val="0"/>
              </w:rPr>
              <w:t>with at least moderate-severe symptomatic MR (≥ grade 3+),</w:t>
            </w:r>
            <w:r>
              <w:rPr>
                <w:snapToGrid w:val="0"/>
              </w:rPr>
              <w:t xml:space="preserve"> </w:t>
            </w:r>
            <w:r w:rsidRPr="008D0CC9">
              <w:rPr>
                <w:snapToGrid w:val="0"/>
              </w:rPr>
              <w:t>at high surgical risk or ineligible for surgical intervention</w:t>
            </w:r>
            <w:r>
              <w:rPr>
                <w:snapToGrid w:val="0"/>
              </w:rPr>
              <w:t xml:space="preserve">. </w:t>
            </w:r>
            <w:r w:rsidRPr="008D0CC9">
              <w:t xml:space="preserve">Characteristics of patients were not reported by DMR/FMR: </w:t>
            </w:r>
            <w:r w:rsidRPr="008D0CC9">
              <w:rPr>
                <w:snapToGrid w:val="0"/>
              </w:rPr>
              <w:t>LVEF</w:t>
            </w:r>
            <w:r>
              <w:rPr>
                <w:snapToGrid w:val="0"/>
              </w:rPr>
              <w:t>;</w:t>
            </w:r>
            <w:r w:rsidRPr="008D0CC9">
              <w:rPr>
                <w:snapToGrid w:val="0"/>
              </w:rPr>
              <w:t xml:space="preserve"> LVESD </w:t>
            </w:r>
            <w:r>
              <w:rPr>
                <w:snapToGrid w:val="0"/>
              </w:rPr>
              <w:t>were similar;</w:t>
            </w:r>
            <w:r w:rsidRPr="008D0CC9">
              <w:rPr>
                <w:snapToGrid w:val="0"/>
              </w:rPr>
              <w:t xml:space="preserve"> NYHA functional class was</w:t>
            </w:r>
            <w:r>
              <w:rPr>
                <w:snapToGrid w:val="0"/>
              </w:rPr>
              <w:t xml:space="preserve"> &gt;</w:t>
            </w:r>
            <w:r w:rsidRPr="008D0CC9">
              <w:rPr>
                <w:snapToGrid w:val="0"/>
              </w:rPr>
              <w:t xml:space="preserve"> II </w:t>
            </w:r>
            <w:r>
              <w:rPr>
                <w:snapToGrid w:val="0"/>
              </w:rPr>
              <w:t xml:space="preserve">in 81% PASCAL and 79% </w:t>
            </w:r>
            <w:proofErr w:type="spellStart"/>
            <w:r>
              <w:rPr>
                <w:snapToGrid w:val="0"/>
              </w:rPr>
              <w:t>MitraClip</w:t>
            </w:r>
            <w:proofErr w:type="spellEnd"/>
            <w:r>
              <w:rPr>
                <w:snapToGrid w:val="0"/>
              </w:rPr>
              <w:t xml:space="preserve"> patients.</w:t>
            </w:r>
          </w:p>
        </w:tc>
        <w:tc>
          <w:tcPr>
            <w:tcW w:w="3118" w:type="dxa"/>
            <w:shd w:val="clear" w:color="auto" w:fill="auto"/>
          </w:tcPr>
          <w:p w14:paraId="0BAF0F54" w14:textId="77777777" w:rsidR="00EE422D" w:rsidRDefault="00EE422D" w:rsidP="00005BEB">
            <w:pPr>
              <w:pStyle w:val="TableHeading"/>
              <w:keepNext w:val="0"/>
              <w:widowControl w:val="0"/>
              <w:spacing w:before="0" w:after="0"/>
              <w:rPr>
                <w:rFonts w:cstheme="majorHAnsi"/>
                <w:b w:val="0"/>
              </w:rPr>
            </w:pPr>
            <w:r>
              <w:rPr>
                <w:rFonts w:cstheme="majorHAnsi"/>
                <w:b w:val="0"/>
              </w:rPr>
              <w:t>SAFETY</w:t>
            </w:r>
            <w:r w:rsidR="007C22A4" w:rsidRPr="007C22A4">
              <w:rPr>
                <w:rFonts w:cstheme="majorHAnsi"/>
                <w:bCs/>
              </w:rPr>
              <w:t>:</w:t>
            </w:r>
            <w:r w:rsidR="007C22A4" w:rsidRPr="007C22A4">
              <w:rPr>
                <w:rFonts w:cstheme="majorHAnsi"/>
                <w:b w:val="0"/>
              </w:rPr>
              <w:t xml:space="preserve"> </w:t>
            </w:r>
          </w:p>
          <w:p w14:paraId="794B1AE6" w14:textId="401CB9C2" w:rsidR="007C22A4" w:rsidRPr="007C22A4" w:rsidRDefault="00EE422D" w:rsidP="00005BEB">
            <w:pPr>
              <w:pStyle w:val="TableHeading"/>
              <w:keepNext w:val="0"/>
              <w:widowControl w:val="0"/>
              <w:spacing w:before="0" w:after="0"/>
              <w:rPr>
                <w:rFonts w:cstheme="majorHAnsi"/>
                <w:b w:val="0"/>
              </w:rPr>
            </w:pPr>
            <w:r>
              <w:rPr>
                <w:rFonts w:cstheme="majorHAnsi"/>
                <w:b w:val="0"/>
              </w:rPr>
              <w:t>A</w:t>
            </w:r>
            <w:r w:rsidR="007C22A4" w:rsidRPr="007C22A4">
              <w:rPr>
                <w:rFonts w:cstheme="majorHAnsi"/>
                <w:b w:val="0"/>
              </w:rPr>
              <w:t>dverse events</w:t>
            </w:r>
          </w:p>
          <w:p w14:paraId="0BF0EA0B" w14:textId="454CB205" w:rsidR="00EE422D" w:rsidRDefault="00EE422D" w:rsidP="00005BEB">
            <w:pPr>
              <w:pStyle w:val="TableText"/>
              <w:widowControl w:val="0"/>
              <w:spacing w:before="0" w:after="0"/>
              <w:rPr>
                <w:rFonts w:cstheme="majorHAnsi"/>
              </w:rPr>
            </w:pPr>
            <w:r>
              <w:rPr>
                <w:rFonts w:cstheme="majorHAnsi"/>
              </w:rPr>
              <w:t>EFFICACY</w:t>
            </w:r>
            <w:r w:rsidR="007C22A4" w:rsidRPr="007C22A4">
              <w:rPr>
                <w:rFonts w:cstheme="majorHAnsi"/>
                <w:b/>
                <w:bCs/>
              </w:rPr>
              <w:t>:</w:t>
            </w:r>
            <w:r w:rsidR="007C22A4" w:rsidRPr="007C22A4">
              <w:rPr>
                <w:rFonts w:cstheme="majorHAnsi"/>
              </w:rPr>
              <w:t xml:space="preserve"> </w:t>
            </w:r>
          </w:p>
          <w:p w14:paraId="07F37883" w14:textId="530804E5" w:rsidR="007C22A4" w:rsidRPr="007C22A4" w:rsidRDefault="00EE422D" w:rsidP="00005BEB">
            <w:pPr>
              <w:pStyle w:val="TableText"/>
              <w:widowControl w:val="0"/>
              <w:spacing w:before="0" w:after="0"/>
              <w:rPr>
                <w:snapToGrid w:val="0"/>
              </w:rPr>
            </w:pPr>
            <w:r>
              <w:rPr>
                <w:rFonts w:cstheme="majorHAnsi"/>
              </w:rPr>
              <w:t>R</w:t>
            </w:r>
            <w:r w:rsidR="007C22A4" w:rsidRPr="007C22A4">
              <w:rPr>
                <w:rFonts w:cstheme="majorHAnsi"/>
              </w:rPr>
              <w:t>esidual MR, NYHA functional class (30 days), technical success, device success, procedural success</w:t>
            </w:r>
          </w:p>
        </w:tc>
      </w:tr>
      <w:tr w:rsidR="007C22A4" w:rsidRPr="008D0CC9" w14:paraId="05833016" w14:textId="77777777" w:rsidTr="00A64CAC">
        <w:trPr>
          <w:cantSplit/>
          <w:trHeight w:val="20"/>
          <w:tblHeader/>
        </w:trPr>
        <w:tc>
          <w:tcPr>
            <w:tcW w:w="1129" w:type="dxa"/>
            <w:shd w:val="clear" w:color="auto" w:fill="auto"/>
          </w:tcPr>
          <w:p w14:paraId="672C9975" w14:textId="77777777" w:rsidR="007C22A4" w:rsidRDefault="007C22A4" w:rsidP="00005BEB">
            <w:pPr>
              <w:pStyle w:val="TableText"/>
              <w:widowControl w:val="0"/>
              <w:spacing w:before="0" w:after="0"/>
              <w:rPr>
                <w:rFonts w:cstheme="majorHAnsi"/>
              </w:rPr>
            </w:pPr>
            <w:r w:rsidRPr="00C92FA8">
              <w:rPr>
                <w:rFonts w:cstheme="majorHAnsi"/>
              </w:rPr>
              <w:t>Geis 2022</w:t>
            </w:r>
          </w:p>
          <w:p w14:paraId="19854C7D" w14:textId="77777777" w:rsidR="009415B0" w:rsidRDefault="009415B0" w:rsidP="00005BEB">
            <w:pPr>
              <w:pStyle w:val="TableText"/>
              <w:widowControl w:val="0"/>
              <w:spacing w:before="0" w:after="0"/>
              <w:rPr>
                <w:snapToGrid w:val="0"/>
              </w:rPr>
            </w:pPr>
            <w:r>
              <w:rPr>
                <w:snapToGrid w:val="0"/>
              </w:rPr>
              <w:t>(new evidence)</w:t>
            </w:r>
          </w:p>
          <w:p w14:paraId="07F93B65" w14:textId="37D7A6F3" w:rsidR="009415B0" w:rsidRPr="008D0CC9" w:rsidRDefault="009415B0" w:rsidP="00005BEB">
            <w:pPr>
              <w:pStyle w:val="TableText"/>
              <w:widowControl w:val="0"/>
              <w:spacing w:before="0" w:after="0"/>
              <w:rPr>
                <w:snapToGrid w:val="0"/>
              </w:rPr>
            </w:pPr>
          </w:p>
        </w:tc>
        <w:tc>
          <w:tcPr>
            <w:tcW w:w="718" w:type="dxa"/>
            <w:shd w:val="clear" w:color="auto" w:fill="auto"/>
          </w:tcPr>
          <w:p w14:paraId="57DF6B38" w14:textId="12DBA189" w:rsidR="007C22A4" w:rsidRDefault="007C22A4" w:rsidP="00005BEB">
            <w:pPr>
              <w:pStyle w:val="TableHeading"/>
              <w:keepNext w:val="0"/>
              <w:widowControl w:val="0"/>
              <w:spacing w:before="0" w:after="0"/>
              <w:jc w:val="center"/>
              <w:rPr>
                <w:rFonts w:cstheme="majorHAnsi"/>
                <w:b w:val="0"/>
              </w:rPr>
            </w:pPr>
            <w:r w:rsidRPr="00C92FA8">
              <w:rPr>
                <w:rFonts w:cstheme="majorHAnsi"/>
                <w:b w:val="0"/>
              </w:rPr>
              <w:t>PASCAL</w:t>
            </w:r>
          </w:p>
          <w:p w14:paraId="51DEAFFB" w14:textId="2A331617" w:rsidR="007C22A4" w:rsidRDefault="007C22A4" w:rsidP="00005BEB">
            <w:pPr>
              <w:pStyle w:val="TableText"/>
              <w:widowControl w:val="0"/>
              <w:spacing w:before="0" w:after="0"/>
              <w:jc w:val="center"/>
              <w:rPr>
                <w:rFonts w:cstheme="majorHAnsi"/>
              </w:rPr>
            </w:pPr>
            <w:r w:rsidRPr="00C92FA8">
              <w:rPr>
                <w:rFonts w:cstheme="majorHAnsi"/>
              </w:rPr>
              <w:t>(41)</w:t>
            </w:r>
          </w:p>
          <w:p w14:paraId="4118871F" w14:textId="77777777" w:rsidR="007C22A4" w:rsidRDefault="007C22A4" w:rsidP="00005BEB">
            <w:pPr>
              <w:pStyle w:val="TableHeading"/>
              <w:keepNext w:val="0"/>
              <w:widowControl w:val="0"/>
              <w:spacing w:before="0" w:after="0"/>
              <w:jc w:val="center"/>
              <w:rPr>
                <w:rFonts w:cstheme="majorHAnsi"/>
                <w:b w:val="0"/>
              </w:rPr>
            </w:pPr>
            <w:proofErr w:type="spellStart"/>
            <w:r w:rsidRPr="00C92FA8">
              <w:rPr>
                <w:rFonts w:cstheme="majorHAnsi"/>
                <w:b w:val="0"/>
              </w:rPr>
              <w:t>MitraClip</w:t>
            </w:r>
            <w:proofErr w:type="spellEnd"/>
          </w:p>
          <w:p w14:paraId="7F6852BA" w14:textId="288CDC1C" w:rsidR="007C22A4" w:rsidRPr="008D0CC9" w:rsidRDefault="007C22A4" w:rsidP="00005BEB">
            <w:pPr>
              <w:pStyle w:val="TableText"/>
              <w:widowControl w:val="0"/>
              <w:spacing w:before="0" w:after="0"/>
              <w:jc w:val="center"/>
              <w:rPr>
                <w:snapToGrid w:val="0"/>
              </w:rPr>
            </w:pPr>
            <w:r>
              <w:rPr>
                <w:rFonts w:cstheme="majorHAnsi"/>
              </w:rPr>
              <w:t>(</w:t>
            </w:r>
            <w:r w:rsidRPr="00C92FA8">
              <w:rPr>
                <w:rFonts w:cstheme="majorHAnsi"/>
              </w:rPr>
              <w:t>82)</w:t>
            </w:r>
          </w:p>
        </w:tc>
        <w:tc>
          <w:tcPr>
            <w:tcW w:w="1267" w:type="dxa"/>
            <w:shd w:val="clear" w:color="auto" w:fill="auto"/>
          </w:tcPr>
          <w:p w14:paraId="22387AC5" w14:textId="6FE80970" w:rsidR="007C22A4" w:rsidRDefault="007C22A4" w:rsidP="00005BEB">
            <w:pPr>
              <w:pStyle w:val="TableText"/>
              <w:widowControl w:val="0"/>
              <w:spacing w:before="0" w:after="0"/>
              <w:rPr>
                <w:rFonts w:cstheme="majorHAnsi"/>
              </w:rPr>
            </w:pPr>
            <w:r>
              <w:rPr>
                <w:rFonts w:cstheme="majorHAnsi"/>
              </w:rPr>
              <w:t xml:space="preserve">1:2 </w:t>
            </w:r>
            <w:r w:rsidRPr="00C92FA8">
              <w:rPr>
                <w:rFonts w:cstheme="majorHAnsi"/>
              </w:rPr>
              <w:t xml:space="preserve">Propensity-score </w:t>
            </w:r>
            <w:proofErr w:type="spellStart"/>
            <w:r w:rsidRPr="00C92FA8">
              <w:rPr>
                <w:rFonts w:cstheme="majorHAnsi"/>
              </w:rPr>
              <w:t>matched</w:t>
            </w:r>
            <w:r w:rsidR="005C3FFB">
              <w:rPr>
                <w:sz w:val="18"/>
                <w:szCs w:val="18"/>
                <w:vertAlign w:val="superscript"/>
              </w:rPr>
              <w:t>c</w:t>
            </w:r>
            <w:proofErr w:type="spellEnd"/>
            <w:r w:rsidRPr="00C92FA8">
              <w:rPr>
                <w:rFonts w:cstheme="majorHAnsi"/>
              </w:rPr>
              <w:t xml:space="preserve"> </w:t>
            </w:r>
            <w:r>
              <w:rPr>
                <w:rFonts w:cstheme="majorHAnsi"/>
              </w:rPr>
              <w:t xml:space="preserve">retrospective </w:t>
            </w:r>
            <w:r w:rsidRPr="00C92FA8">
              <w:rPr>
                <w:rFonts w:cstheme="majorHAnsi"/>
              </w:rPr>
              <w:t>cohort study</w:t>
            </w:r>
            <w:r>
              <w:rPr>
                <w:rFonts w:cstheme="majorHAnsi"/>
              </w:rPr>
              <w:t>;</w:t>
            </w:r>
          </w:p>
          <w:p w14:paraId="11FE1A6C" w14:textId="77777777" w:rsidR="007C22A4" w:rsidRDefault="007C22A4" w:rsidP="00005BEB">
            <w:pPr>
              <w:pStyle w:val="TableHeading"/>
              <w:keepNext w:val="0"/>
              <w:widowControl w:val="0"/>
              <w:spacing w:before="0" w:after="0"/>
              <w:rPr>
                <w:rFonts w:cstheme="majorHAnsi"/>
                <w:b w:val="0"/>
              </w:rPr>
            </w:pPr>
            <w:r>
              <w:rPr>
                <w:rFonts w:cstheme="majorHAnsi"/>
                <w:b w:val="0"/>
              </w:rPr>
              <w:t xml:space="preserve">At discharge </w:t>
            </w:r>
          </w:p>
          <w:p w14:paraId="5C486651" w14:textId="77777777" w:rsidR="007C22A4" w:rsidRDefault="007C22A4" w:rsidP="00005BEB">
            <w:pPr>
              <w:pStyle w:val="TableHeading"/>
              <w:keepNext w:val="0"/>
              <w:widowControl w:val="0"/>
              <w:spacing w:before="0" w:after="0"/>
              <w:rPr>
                <w:rFonts w:asciiTheme="majorHAnsi" w:hAnsiTheme="majorHAnsi" w:cstheme="majorHAnsi"/>
              </w:rPr>
            </w:pPr>
            <w:r>
              <w:rPr>
                <w:rFonts w:cstheme="majorHAnsi"/>
                <w:b w:val="0"/>
              </w:rPr>
              <w:t>At the f</w:t>
            </w:r>
            <w:r w:rsidRPr="000E117D">
              <w:rPr>
                <w:rFonts w:cstheme="majorHAnsi"/>
                <w:b w:val="0"/>
              </w:rPr>
              <w:t>ollow up</w:t>
            </w:r>
            <w:r>
              <w:rPr>
                <w:rFonts w:asciiTheme="majorHAnsi" w:hAnsiTheme="majorHAnsi" w:cstheme="majorHAnsi"/>
              </w:rPr>
              <w:t xml:space="preserve"> </w:t>
            </w:r>
          </w:p>
          <w:p w14:paraId="608A1D65" w14:textId="77777777" w:rsidR="007C22A4" w:rsidRPr="00C92FA8" w:rsidRDefault="007C22A4" w:rsidP="00005BEB">
            <w:pPr>
              <w:pStyle w:val="TableHeading"/>
              <w:keepNext w:val="0"/>
              <w:widowControl w:val="0"/>
              <w:spacing w:before="0" w:after="0"/>
              <w:rPr>
                <w:rFonts w:cstheme="majorHAnsi"/>
                <w:b w:val="0"/>
              </w:rPr>
            </w:pPr>
            <w:r w:rsidRPr="00C92FA8">
              <w:rPr>
                <w:rFonts w:cstheme="majorHAnsi"/>
                <w:b w:val="0"/>
              </w:rPr>
              <w:t>Short-term (1-4 months)</w:t>
            </w:r>
          </w:p>
          <w:p w14:paraId="603A9CE2" w14:textId="2D96A214" w:rsidR="007C22A4" w:rsidRPr="008D0CC9" w:rsidRDefault="007C22A4" w:rsidP="00005BEB">
            <w:pPr>
              <w:pStyle w:val="TableText"/>
              <w:widowControl w:val="0"/>
              <w:spacing w:before="0" w:after="0"/>
            </w:pPr>
            <w:r w:rsidRPr="00C92FA8">
              <w:rPr>
                <w:rFonts w:cstheme="majorHAnsi"/>
              </w:rPr>
              <w:t>Long-term (6-18 months)</w:t>
            </w:r>
          </w:p>
        </w:tc>
        <w:tc>
          <w:tcPr>
            <w:tcW w:w="992" w:type="dxa"/>
            <w:shd w:val="clear" w:color="auto" w:fill="auto"/>
          </w:tcPr>
          <w:p w14:paraId="43A178EC" w14:textId="5630F24B" w:rsidR="007C22A4" w:rsidRPr="008D0CC9" w:rsidRDefault="00EE422D" w:rsidP="00005BEB">
            <w:pPr>
              <w:pStyle w:val="TableText"/>
              <w:widowControl w:val="0"/>
              <w:spacing w:before="0" w:after="0"/>
              <w:jc w:val="center"/>
              <w:rPr>
                <w:snapToGrid w:val="0"/>
              </w:rPr>
            </w:pPr>
            <w:r>
              <w:rPr>
                <w:snapToGrid w:val="0"/>
              </w:rPr>
              <w:t>Medium</w:t>
            </w:r>
          </w:p>
        </w:tc>
        <w:tc>
          <w:tcPr>
            <w:tcW w:w="2410" w:type="dxa"/>
            <w:shd w:val="clear" w:color="auto" w:fill="auto"/>
          </w:tcPr>
          <w:p w14:paraId="24A8C203" w14:textId="7B99B032" w:rsidR="00005BEB" w:rsidRPr="008D0CC9" w:rsidRDefault="007C22A4" w:rsidP="00005BEB">
            <w:pPr>
              <w:pStyle w:val="TableText"/>
              <w:widowControl w:val="0"/>
              <w:spacing w:before="0" w:after="0"/>
              <w:rPr>
                <w:snapToGrid w:val="0"/>
              </w:rPr>
            </w:pPr>
            <w:r>
              <w:t xml:space="preserve">Patients </w:t>
            </w:r>
            <w:r w:rsidRPr="008D0CC9">
              <w:rPr>
                <w:snapToGrid w:val="0"/>
              </w:rPr>
              <w:t xml:space="preserve">with at least moderate-severe symptomatic MR (≥ grade 3+), at high surgical risk or ineligible for surgical intervention. In a real-world study </w:t>
            </w:r>
            <w:r w:rsidRPr="008D0CC9">
              <w:t xml:space="preserve">there were no pre-specified inclusion/exclusion criteria. Characteristics of patients were not reported by DMR/FMR: </w:t>
            </w:r>
            <w:r w:rsidR="008470E9">
              <w:t xml:space="preserve">17% </w:t>
            </w:r>
            <w:r w:rsidR="008470E9" w:rsidRPr="008470E9">
              <w:rPr>
                <w:snapToGrid w:val="0"/>
              </w:rPr>
              <w:t xml:space="preserve">in either arm had LVEF&lt;20%; </w:t>
            </w:r>
            <w:r w:rsidRPr="008D0CC9">
              <w:rPr>
                <w:snapToGrid w:val="0"/>
              </w:rPr>
              <w:t xml:space="preserve"> mean LVESD = 44mm</w:t>
            </w:r>
            <w:r w:rsidR="00350777">
              <w:rPr>
                <w:snapToGrid w:val="0"/>
              </w:rPr>
              <w:t xml:space="preserve">; </w:t>
            </w:r>
            <w:r w:rsidRPr="008D0CC9">
              <w:rPr>
                <w:snapToGrid w:val="0"/>
              </w:rPr>
              <w:t xml:space="preserve">NYHA functional class </w:t>
            </w:r>
            <w:r w:rsidR="008470E9">
              <w:rPr>
                <w:snapToGrid w:val="0"/>
              </w:rPr>
              <w:t xml:space="preserve"> </w:t>
            </w:r>
            <w:r w:rsidRPr="008D0CC9">
              <w:rPr>
                <w:snapToGrid w:val="0"/>
              </w:rPr>
              <w:t>II or greater</w:t>
            </w:r>
            <w:r w:rsidR="008470E9">
              <w:rPr>
                <w:snapToGrid w:val="0"/>
              </w:rPr>
              <w:t xml:space="preserve"> was in 88% in both arms</w:t>
            </w:r>
          </w:p>
        </w:tc>
        <w:tc>
          <w:tcPr>
            <w:tcW w:w="3118" w:type="dxa"/>
            <w:shd w:val="clear" w:color="auto" w:fill="auto"/>
          </w:tcPr>
          <w:p w14:paraId="4BE81FC7" w14:textId="4721F323" w:rsidR="00EE422D" w:rsidRDefault="00EE422D" w:rsidP="00005BEB">
            <w:pPr>
              <w:pStyle w:val="TableHeading"/>
              <w:keepNext w:val="0"/>
              <w:widowControl w:val="0"/>
              <w:spacing w:before="0" w:after="0"/>
              <w:rPr>
                <w:rFonts w:cstheme="majorHAnsi"/>
                <w:b w:val="0"/>
              </w:rPr>
            </w:pPr>
            <w:r>
              <w:rPr>
                <w:rFonts w:cstheme="majorHAnsi"/>
                <w:b w:val="0"/>
              </w:rPr>
              <w:t>SAFETY</w:t>
            </w:r>
            <w:r w:rsidR="007C22A4" w:rsidRPr="007C22A4">
              <w:rPr>
                <w:rFonts w:cstheme="majorHAnsi"/>
                <w:bCs/>
              </w:rPr>
              <w:t>:</w:t>
            </w:r>
            <w:r w:rsidR="007C22A4" w:rsidRPr="007C22A4">
              <w:rPr>
                <w:rFonts w:cstheme="majorHAnsi"/>
                <w:b w:val="0"/>
              </w:rPr>
              <w:t xml:space="preserve"> </w:t>
            </w:r>
          </w:p>
          <w:p w14:paraId="1AEB0CD9" w14:textId="38A980BD" w:rsidR="007C22A4" w:rsidRPr="007C22A4" w:rsidRDefault="00EE422D" w:rsidP="00005BEB">
            <w:pPr>
              <w:pStyle w:val="TableHeading"/>
              <w:keepNext w:val="0"/>
              <w:widowControl w:val="0"/>
              <w:spacing w:before="0" w:after="0"/>
              <w:rPr>
                <w:rFonts w:cstheme="majorHAnsi"/>
                <w:b w:val="0"/>
              </w:rPr>
            </w:pPr>
            <w:r>
              <w:rPr>
                <w:rFonts w:cstheme="majorHAnsi"/>
                <w:b w:val="0"/>
              </w:rPr>
              <w:t>C</w:t>
            </w:r>
            <w:r w:rsidR="007C22A4" w:rsidRPr="007C22A4">
              <w:rPr>
                <w:rFonts w:cstheme="majorHAnsi"/>
                <w:b w:val="0"/>
              </w:rPr>
              <w:t>omposite of death, HF rehospitalisation, MV reintervention</w:t>
            </w:r>
          </w:p>
          <w:p w14:paraId="7C562BDD" w14:textId="23413349" w:rsidR="00EE422D" w:rsidRDefault="00EE422D" w:rsidP="00005BEB">
            <w:pPr>
              <w:pStyle w:val="TableText"/>
              <w:widowControl w:val="0"/>
              <w:spacing w:before="0" w:after="0"/>
              <w:rPr>
                <w:rFonts w:cstheme="majorHAnsi"/>
              </w:rPr>
            </w:pPr>
            <w:proofErr w:type="spellStart"/>
            <w:r>
              <w:rPr>
                <w:rFonts w:cstheme="majorHAnsi"/>
              </w:rPr>
              <w:t>EFFICACY</w:t>
            </w:r>
            <w:r w:rsidR="007C22A4" w:rsidRPr="00EE422D">
              <w:rPr>
                <w:rFonts w:cstheme="majorHAnsi"/>
                <w:vertAlign w:val="superscript"/>
              </w:rPr>
              <w:t>b</w:t>
            </w:r>
            <w:proofErr w:type="spellEnd"/>
            <w:r w:rsidR="007C22A4" w:rsidRPr="007C22A4">
              <w:rPr>
                <w:rFonts w:cstheme="majorHAnsi"/>
              </w:rPr>
              <w:t xml:space="preserve">: </w:t>
            </w:r>
          </w:p>
          <w:p w14:paraId="7927C37B" w14:textId="0D1511BD" w:rsidR="007C22A4" w:rsidRPr="007C22A4" w:rsidRDefault="007C22A4" w:rsidP="00005BEB">
            <w:pPr>
              <w:pStyle w:val="TableText"/>
              <w:widowControl w:val="0"/>
              <w:spacing w:before="0" w:after="0"/>
              <w:rPr>
                <w:snapToGrid w:val="0"/>
              </w:rPr>
            </w:pPr>
            <w:r w:rsidRPr="007C22A4">
              <w:rPr>
                <w:rFonts w:cstheme="majorHAnsi"/>
              </w:rPr>
              <w:t>Technical success, device success, procedural success, MR severity, NYHA functional class</w:t>
            </w:r>
          </w:p>
        </w:tc>
      </w:tr>
      <w:tr w:rsidR="002A1AF9" w:rsidRPr="008D0CC9" w14:paraId="598BFAE3" w14:textId="77777777" w:rsidTr="00032E3D">
        <w:trPr>
          <w:cantSplit/>
          <w:trHeight w:val="20"/>
          <w:tblHeader/>
        </w:trPr>
        <w:tc>
          <w:tcPr>
            <w:tcW w:w="9634" w:type="dxa"/>
            <w:gridSpan w:val="6"/>
            <w:shd w:val="clear" w:color="auto" w:fill="auto"/>
          </w:tcPr>
          <w:p w14:paraId="4FE9DB39" w14:textId="2A8ADF34" w:rsidR="002A1AF9" w:rsidRPr="00496BC6" w:rsidRDefault="002A1AF9" w:rsidP="00005BEB">
            <w:pPr>
              <w:pStyle w:val="TableHeading"/>
              <w:keepNext w:val="0"/>
              <w:widowControl w:val="0"/>
              <w:spacing w:before="0" w:after="0"/>
              <w:rPr>
                <w:rFonts w:cstheme="majorHAnsi"/>
                <w:bCs/>
                <w:i/>
                <w:iCs/>
              </w:rPr>
            </w:pPr>
            <w:r w:rsidRPr="00496BC6">
              <w:rPr>
                <w:rFonts w:cstheme="majorHAnsi"/>
                <w:bCs/>
                <w:i/>
                <w:iCs/>
              </w:rPr>
              <w:t>Additional studies presented in the pre-ESC response (not evaluated)</w:t>
            </w:r>
          </w:p>
        </w:tc>
      </w:tr>
      <w:tr w:rsidR="00D3043A" w:rsidRPr="008D0CC9" w14:paraId="51F16095" w14:textId="77777777" w:rsidTr="00A64CAC">
        <w:trPr>
          <w:cantSplit/>
          <w:trHeight w:val="20"/>
          <w:tblHeader/>
        </w:trPr>
        <w:tc>
          <w:tcPr>
            <w:tcW w:w="1129" w:type="dxa"/>
            <w:shd w:val="clear" w:color="auto" w:fill="auto"/>
          </w:tcPr>
          <w:p w14:paraId="517E8CCD" w14:textId="77777777" w:rsidR="00D3043A" w:rsidRDefault="00D3043A" w:rsidP="00005BEB">
            <w:pPr>
              <w:pStyle w:val="TableText"/>
              <w:widowControl w:val="0"/>
              <w:spacing w:before="0" w:after="0"/>
              <w:rPr>
                <w:rFonts w:cstheme="majorHAnsi"/>
              </w:rPr>
            </w:pPr>
            <w:r>
              <w:rPr>
                <w:rFonts w:cstheme="majorHAnsi"/>
              </w:rPr>
              <w:t>Lim 2022</w:t>
            </w:r>
          </w:p>
          <w:p w14:paraId="5573EC28" w14:textId="16137B44" w:rsidR="00D3043A" w:rsidRPr="00C92FA8" w:rsidRDefault="00D3043A" w:rsidP="00005BEB">
            <w:pPr>
              <w:pStyle w:val="TableText"/>
              <w:widowControl w:val="0"/>
              <w:spacing w:before="0" w:after="0"/>
              <w:rPr>
                <w:rFonts w:cstheme="majorHAnsi"/>
              </w:rPr>
            </w:pPr>
            <w:r>
              <w:rPr>
                <w:rFonts w:cstheme="majorHAnsi"/>
              </w:rPr>
              <w:t>(New evidence)</w:t>
            </w:r>
          </w:p>
        </w:tc>
        <w:tc>
          <w:tcPr>
            <w:tcW w:w="718" w:type="dxa"/>
            <w:shd w:val="clear" w:color="auto" w:fill="auto"/>
          </w:tcPr>
          <w:p w14:paraId="4A390D9F" w14:textId="77777777" w:rsidR="00D3043A" w:rsidRDefault="00D3043A" w:rsidP="00005BEB">
            <w:pPr>
              <w:pStyle w:val="TableHeading"/>
              <w:keepNext w:val="0"/>
              <w:widowControl w:val="0"/>
              <w:spacing w:before="0" w:after="0"/>
              <w:jc w:val="center"/>
              <w:rPr>
                <w:rFonts w:cstheme="majorHAnsi"/>
                <w:b w:val="0"/>
              </w:rPr>
            </w:pPr>
            <w:r>
              <w:rPr>
                <w:rFonts w:cstheme="majorHAnsi"/>
                <w:b w:val="0"/>
              </w:rPr>
              <w:t>PASCAL (117)</w:t>
            </w:r>
          </w:p>
          <w:p w14:paraId="5B37A4DA" w14:textId="59EEBA64" w:rsidR="00D3043A" w:rsidRPr="00C92FA8" w:rsidRDefault="00D3043A" w:rsidP="00005BEB">
            <w:pPr>
              <w:pStyle w:val="TableHeading"/>
              <w:keepNext w:val="0"/>
              <w:widowControl w:val="0"/>
              <w:spacing w:before="0" w:after="0"/>
              <w:jc w:val="center"/>
              <w:rPr>
                <w:rFonts w:cstheme="majorHAnsi"/>
                <w:b w:val="0"/>
              </w:rPr>
            </w:pPr>
            <w:proofErr w:type="spellStart"/>
            <w:r>
              <w:rPr>
                <w:rFonts w:cstheme="majorHAnsi"/>
                <w:b w:val="0"/>
              </w:rPr>
              <w:t>MitraClip</w:t>
            </w:r>
            <w:proofErr w:type="spellEnd"/>
            <w:r>
              <w:rPr>
                <w:rFonts w:cstheme="majorHAnsi"/>
                <w:b w:val="0"/>
              </w:rPr>
              <w:t xml:space="preserve"> (63)</w:t>
            </w:r>
          </w:p>
        </w:tc>
        <w:tc>
          <w:tcPr>
            <w:tcW w:w="1267" w:type="dxa"/>
            <w:shd w:val="clear" w:color="auto" w:fill="auto"/>
          </w:tcPr>
          <w:p w14:paraId="00BC35BC" w14:textId="41DC4B2D" w:rsidR="00D3043A" w:rsidRDefault="00D3043A" w:rsidP="00005BEB">
            <w:pPr>
              <w:pStyle w:val="TableText"/>
              <w:widowControl w:val="0"/>
              <w:spacing w:before="0" w:after="0"/>
              <w:rPr>
                <w:rFonts w:cstheme="majorHAnsi"/>
              </w:rPr>
            </w:pPr>
            <w:r>
              <w:rPr>
                <w:rFonts w:cstheme="majorHAnsi"/>
              </w:rPr>
              <w:t xml:space="preserve">Interim results from the CLASP IID RCT. Follow up at discharge, 30 days, 6 months. </w:t>
            </w:r>
          </w:p>
        </w:tc>
        <w:tc>
          <w:tcPr>
            <w:tcW w:w="992" w:type="dxa"/>
            <w:shd w:val="clear" w:color="auto" w:fill="auto"/>
          </w:tcPr>
          <w:p w14:paraId="1099D2F4" w14:textId="77777777" w:rsidR="00D3043A" w:rsidRDefault="00D3043A" w:rsidP="00005BEB">
            <w:pPr>
              <w:pStyle w:val="TableText"/>
              <w:widowControl w:val="0"/>
              <w:spacing w:before="0" w:after="0"/>
              <w:jc w:val="center"/>
              <w:rPr>
                <w:snapToGrid w:val="0"/>
              </w:rPr>
            </w:pPr>
            <w:r>
              <w:rPr>
                <w:snapToGrid w:val="0"/>
              </w:rPr>
              <w:t>Not assessed</w:t>
            </w:r>
          </w:p>
          <w:p w14:paraId="4F662E69" w14:textId="60FACD10" w:rsidR="00D3043A" w:rsidRDefault="00D3043A" w:rsidP="00005BEB">
            <w:pPr>
              <w:pStyle w:val="TableText"/>
              <w:widowControl w:val="0"/>
              <w:spacing w:before="0" w:after="0"/>
              <w:jc w:val="center"/>
              <w:rPr>
                <w:snapToGrid w:val="0"/>
              </w:rPr>
            </w:pPr>
          </w:p>
        </w:tc>
        <w:tc>
          <w:tcPr>
            <w:tcW w:w="2410" w:type="dxa"/>
            <w:shd w:val="clear" w:color="auto" w:fill="auto"/>
          </w:tcPr>
          <w:p w14:paraId="1E0F4611" w14:textId="0E8CFDCE" w:rsidR="00D3043A" w:rsidRDefault="00D3043A" w:rsidP="00005BEB">
            <w:pPr>
              <w:pStyle w:val="TableText"/>
              <w:widowControl w:val="0"/>
              <w:spacing w:before="0" w:after="0"/>
            </w:pPr>
            <w:r w:rsidRPr="008D0CC9">
              <w:rPr>
                <w:snapToGrid w:val="0"/>
              </w:rPr>
              <w:t>Patients with clinically significant</w:t>
            </w:r>
            <w:r>
              <w:rPr>
                <w:snapToGrid w:val="0"/>
              </w:rPr>
              <w:t xml:space="preserve"> symptomatic</w:t>
            </w:r>
            <w:r w:rsidRPr="008D0CC9">
              <w:rPr>
                <w:snapToGrid w:val="0"/>
              </w:rPr>
              <w:t xml:space="preserve"> </w:t>
            </w:r>
            <w:r>
              <w:rPr>
                <w:snapToGrid w:val="0"/>
              </w:rPr>
              <w:t>D</w:t>
            </w:r>
            <w:r w:rsidRPr="008D0CC9">
              <w:rPr>
                <w:snapToGrid w:val="0"/>
              </w:rPr>
              <w:t>MR  (≥ grade 3+)</w:t>
            </w:r>
            <w:r>
              <w:rPr>
                <w:snapToGrid w:val="0"/>
              </w:rPr>
              <w:t xml:space="preserve"> deemed ineligible for surgical intervention.</w:t>
            </w:r>
          </w:p>
        </w:tc>
        <w:tc>
          <w:tcPr>
            <w:tcW w:w="3118" w:type="dxa"/>
            <w:shd w:val="clear" w:color="auto" w:fill="auto"/>
          </w:tcPr>
          <w:p w14:paraId="46801EE2" w14:textId="77777777" w:rsidR="00D3043A" w:rsidRDefault="00D3043A" w:rsidP="00005BEB">
            <w:pPr>
              <w:pStyle w:val="TableHeading"/>
              <w:keepNext w:val="0"/>
              <w:widowControl w:val="0"/>
              <w:spacing w:before="0" w:after="0"/>
              <w:rPr>
                <w:rFonts w:cstheme="majorHAnsi"/>
                <w:b w:val="0"/>
              </w:rPr>
            </w:pPr>
            <w:r>
              <w:rPr>
                <w:rFonts w:cstheme="majorHAnsi"/>
                <w:b w:val="0"/>
              </w:rPr>
              <w:t>SAFETY:</w:t>
            </w:r>
          </w:p>
          <w:p w14:paraId="3C2DA5CF" w14:textId="77777777" w:rsidR="00D3043A" w:rsidRDefault="00D3043A" w:rsidP="00005BEB">
            <w:pPr>
              <w:pStyle w:val="TableHeading"/>
              <w:keepNext w:val="0"/>
              <w:widowControl w:val="0"/>
              <w:spacing w:before="0" w:after="0"/>
              <w:rPr>
                <w:rFonts w:cstheme="majorHAnsi"/>
                <w:b w:val="0"/>
              </w:rPr>
            </w:pPr>
            <w:r>
              <w:rPr>
                <w:rFonts w:cstheme="majorHAnsi"/>
                <w:b w:val="0"/>
              </w:rPr>
              <w:t>Adverse events at 30 days, 6 months,</w:t>
            </w:r>
          </w:p>
          <w:p w14:paraId="3E3ECAA5" w14:textId="77777777" w:rsidR="00D3043A" w:rsidRDefault="00D3043A" w:rsidP="00005BEB">
            <w:pPr>
              <w:pStyle w:val="TableHeading"/>
              <w:keepNext w:val="0"/>
              <w:widowControl w:val="0"/>
              <w:spacing w:before="0" w:after="0"/>
              <w:rPr>
                <w:rFonts w:cstheme="majorHAnsi"/>
                <w:b w:val="0"/>
              </w:rPr>
            </w:pPr>
            <w:r>
              <w:rPr>
                <w:rFonts w:cstheme="majorHAnsi"/>
                <w:b w:val="0"/>
              </w:rPr>
              <w:t>mortality, HF hospitalisation</w:t>
            </w:r>
          </w:p>
          <w:p w14:paraId="09F0EA9F" w14:textId="77777777" w:rsidR="00D3043A" w:rsidRDefault="00D3043A" w:rsidP="00005BEB">
            <w:pPr>
              <w:pStyle w:val="TableHeading"/>
              <w:keepNext w:val="0"/>
              <w:widowControl w:val="0"/>
              <w:spacing w:before="0" w:after="0"/>
              <w:rPr>
                <w:rFonts w:cstheme="majorHAnsi"/>
                <w:b w:val="0"/>
              </w:rPr>
            </w:pPr>
            <w:r>
              <w:rPr>
                <w:rFonts w:cstheme="majorHAnsi"/>
                <w:b w:val="0"/>
              </w:rPr>
              <w:t>EFFICACY:</w:t>
            </w:r>
          </w:p>
          <w:p w14:paraId="7A657E98" w14:textId="77777777" w:rsidR="00D3043A" w:rsidRDefault="00D3043A" w:rsidP="00005BEB">
            <w:pPr>
              <w:pStyle w:val="TableHeading"/>
              <w:keepNext w:val="0"/>
              <w:widowControl w:val="0"/>
              <w:spacing w:before="0" w:after="0"/>
              <w:rPr>
                <w:rFonts w:cstheme="majorHAnsi"/>
                <w:b w:val="0"/>
              </w:rPr>
            </w:pPr>
            <w:r>
              <w:rPr>
                <w:rFonts w:cstheme="majorHAnsi"/>
                <w:b w:val="0"/>
              </w:rPr>
              <w:t>MR severity ≤2+ at 30 days, 6 months,</w:t>
            </w:r>
          </w:p>
          <w:p w14:paraId="4AFFC9E6" w14:textId="22B68D33" w:rsidR="00D3043A" w:rsidRDefault="00D3043A" w:rsidP="00005BEB">
            <w:pPr>
              <w:pStyle w:val="TableHeading"/>
              <w:keepNext w:val="0"/>
              <w:widowControl w:val="0"/>
              <w:spacing w:before="0" w:after="0"/>
              <w:rPr>
                <w:rFonts w:cstheme="majorHAnsi"/>
                <w:b w:val="0"/>
              </w:rPr>
            </w:pPr>
            <w:r>
              <w:rPr>
                <w:rFonts w:cstheme="majorHAnsi"/>
                <w:b w:val="0"/>
              </w:rPr>
              <w:t>NYHA functional class at 6 months, functional capacity and QoL</w:t>
            </w:r>
          </w:p>
        </w:tc>
      </w:tr>
      <w:tr w:rsidR="00D3043A" w:rsidRPr="008D0CC9" w14:paraId="038EAAAC" w14:textId="77777777" w:rsidTr="00A64CAC">
        <w:trPr>
          <w:cantSplit/>
          <w:trHeight w:val="20"/>
          <w:tblHeader/>
        </w:trPr>
        <w:tc>
          <w:tcPr>
            <w:tcW w:w="1129" w:type="dxa"/>
            <w:shd w:val="clear" w:color="auto" w:fill="auto"/>
          </w:tcPr>
          <w:p w14:paraId="27D804B5" w14:textId="5D0E6F5D" w:rsidR="00D3043A" w:rsidRDefault="00D3043A" w:rsidP="00005BEB">
            <w:pPr>
              <w:pStyle w:val="TableText"/>
              <w:widowControl w:val="0"/>
              <w:spacing w:before="0" w:after="0"/>
              <w:rPr>
                <w:rFonts w:cstheme="majorHAnsi"/>
              </w:rPr>
            </w:pPr>
            <w:r>
              <w:rPr>
                <w:rFonts w:cstheme="majorHAnsi"/>
              </w:rPr>
              <w:t>CLASP IID registry</w:t>
            </w:r>
          </w:p>
          <w:p w14:paraId="4EAB4BB0" w14:textId="4363BC87" w:rsidR="00D3043A" w:rsidRDefault="00D3043A" w:rsidP="00005BEB">
            <w:pPr>
              <w:pStyle w:val="TableText"/>
              <w:widowControl w:val="0"/>
              <w:spacing w:before="0" w:after="0"/>
              <w:rPr>
                <w:rFonts w:cstheme="majorHAnsi"/>
              </w:rPr>
            </w:pPr>
            <w:r>
              <w:rPr>
                <w:rFonts w:cstheme="majorHAnsi"/>
              </w:rPr>
              <w:t>(new evidence)</w:t>
            </w:r>
          </w:p>
        </w:tc>
        <w:tc>
          <w:tcPr>
            <w:tcW w:w="718" w:type="dxa"/>
            <w:shd w:val="clear" w:color="auto" w:fill="auto"/>
          </w:tcPr>
          <w:p w14:paraId="0516F091" w14:textId="77777777" w:rsidR="00D3043A" w:rsidRDefault="00D3043A" w:rsidP="00005BEB">
            <w:pPr>
              <w:pStyle w:val="TableHeading"/>
              <w:keepNext w:val="0"/>
              <w:widowControl w:val="0"/>
              <w:spacing w:before="0" w:after="0"/>
              <w:jc w:val="center"/>
              <w:rPr>
                <w:rFonts w:cstheme="majorHAnsi"/>
                <w:b w:val="0"/>
              </w:rPr>
            </w:pPr>
            <w:r>
              <w:rPr>
                <w:rFonts w:cstheme="majorHAnsi"/>
                <w:b w:val="0"/>
              </w:rPr>
              <w:t>PASCAL</w:t>
            </w:r>
          </w:p>
          <w:p w14:paraId="1C837123" w14:textId="440B2BAF" w:rsidR="00D3043A" w:rsidRPr="00C92FA8" w:rsidRDefault="00D3043A" w:rsidP="00005BEB">
            <w:pPr>
              <w:pStyle w:val="TableHeading"/>
              <w:keepNext w:val="0"/>
              <w:widowControl w:val="0"/>
              <w:spacing w:before="0" w:after="0"/>
              <w:jc w:val="center"/>
              <w:rPr>
                <w:rFonts w:cstheme="majorHAnsi"/>
                <w:b w:val="0"/>
              </w:rPr>
            </w:pPr>
            <w:r>
              <w:rPr>
                <w:rFonts w:cstheme="majorHAnsi"/>
                <w:b w:val="0"/>
              </w:rPr>
              <w:t>(98)</w:t>
            </w:r>
          </w:p>
        </w:tc>
        <w:tc>
          <w:tcPr>
            <w:tcW w:w="1267" w:type="dxa"/>
            <w:shd w:val="clear" w:color="auto" w:fill="auto"/>
          </w:tcPr>
          <w:p w14:paraId="79980927" w14:textId="77E06B6A" w:rsidR="00D3043A" w:rsidRDefault="00D3043A" w:rsidP="00005BEB">
            <w:pPr>
              <w:pStyle w:val="TableText"/>
              <w:widowControl w:val="0"/>
              <w:spacing w:before="0" w:after="0"/>
              <w:rPr>
                <w:rFonts w:cstheme="majorHAnsi"/>
              </w:rPr>
            </w:pPr>
            <w:r>
              <w:rPr>
                <w:rFonts w:cstheme="majorHAnsi"/>
              </w:rPr>
              <w:t xml:space="preserve">MC, MN prospective single-arm registry. Follow-up 30 days, 6 months </w:t>
            </w:r>
          </w:p>
        </w:tc>
        <w:tc>
          <w:tcPr>
            <w:tcW w:w="992" w:type="dxa"/>
            <w:shd w:val="clear" w:color="auto" w:fill="auto"/>
          </w:tcPr>
          <w:p w14:paraId="58A41B45" w14:textId="40485D42" w:rsidR="00D3043A" w:rsidRDefault="00D3043A" w:rsidP="00005BEB">
            <w:pPr>
              <w:pStyle w:val="TableText"/>
              <w:widowControl w:val="0"/>
              <w:spacing w:before="0" w:after="0"/>
              <w:jc w:val="center"/>
              <w:rPr>
                <w:snapToGrid w:val="0"/>
              </w:rPr>
            </w:pPr>
            <w:r>
              <w:rPr>
                <w:snapToGrid w:val="0"/>
              </w:rPr>
              <w:t>Not assessed</w:t>
            </w:r>
          </w:p>
        </w:tc>
        <w:tc>
          <w:tcPr>
            <w:tcW w:w="2410" w:type="dxa"/>
            <w:shd w:val="clear" w:color="auto" w:fill="auto"/>
          </w:tcPr>
          <w:p w14:paraId="6676EB30" w14:textId="77777777" w:rsidR="00D3043A" w:rsidRPr="00D3043A" w:rsidRDefault="00D3043A" w:rsidP="00005BEB">
            <w:pPr>
              <w:pStyle w:val="TableText"/>
              <w:widowControl w:val="0"/>
              <w:spacing w:before="0" w:after="0"/>
              <w:rPr>
                <w:snapToGrid w:val="0"/>
              </w:rPr>
            </w:pPr>
            <w:r w:rsidRPr="00D3043A">
              <w:rPr>
                <w:snapToGrid w:val="0"/>
                <w:lang w:val="en-US"/>
              </w:rPr>
              <w:t>Age ≥18 years</w:t>
            </w:r>
          </w:p>
          <w:p w14:paraId="7B2970B8" w14:textId="77777777" w:rsidR="00D3043A" w:rsidRPr="00D3043A" w:rsidRDefault="00D3043A" w:rsidP="00005BEB">
            <w:pPr>
              <w:pStyle w:val="TableText"/>
              <w:widowControl w:val="0"/>
              <w:spacing w:before="0" w:after="0"/>
              <w:rPr>
                <w:snapToGrid w:val="0"/>
              </w:rPr>
            </w:pPr>
            <w:r w:rsidRPr="00D3043A">
              <w:rPr>
                <w:snapToGrid w:val="0"/>
                <w:lang w:val="en-US"/>
              </w:rPr>
              <w:t xml:space="preserve">Prohibitive risk for mitral valve surgery </w:t>
            </w:r>
          </w:p>
          <w:p w14:paraId="7FD62C57" w14:textId="6E5412EC" w:rsidR="00D3043A" w:rsidRPr="00D3043A" w:rsidRDefault="00D3043A" w:rsidP="00005BEB">
            <w:pPr>
              <w:pStyle w:val="TableText"/>
              <w:widowControl w:val="0"/>
              <w:spacing w:before="0" w:after="0"/>
              <w:rPr>
                <w:snapToGrid w:val="0"/>
              </w:rPr>
            </w:pPr>
            <w:r w:rsidRPr="00D3043A">
              <w:rPr>
                <w:snapToGrid w:val="0"/>
                <w:lang w:val="en-US"/>
              </w:rPr>
              <w:t>Candidate for M-TEER with the PASCAL system</w:t>
            </w:r>
            <w:r>
              <w:rPr>
                <w:snapToGrid w:val="0"/>
                <w:lang w:val="en-US"/>
              </w:rPr>
              <w:t xml:space="preserve"> but not for </w:t>
            </w:r>
            <w:proofErr w:type="spellStart"/>
            <w:r>
              <w:rPr>
                <w:snapToGrid w:val="0"/>
                <w:lang w:val="en-US"/>
              </w:rPr>
              <w:t>MitraClip</w:t>
            </w:r>
            <w:proofErr w:type="spellEnd"/>
          </w:p>
          <w:p w14:paraId="566FFC37" w14:textId="77777777" w:rsidR="00D3043A" w:rsidRPr="00D3043A" w:rsidRDefault="00D3043A" w:rsidP="00005BEB">
            <w:pPr>
              <w:pStyle w:val="TableText"/>
              <w:widowControl w:val="0"/>
              <w:spacing w:before="0" w:after="0"/>
              <w:rPr>
                <w:snapToGrid w:val="0"/>
              </w:rPr>
            </w:pPr>
            <w:r w:rsidRPr="00D3043A">
              <w:rPr>
                <w:snapToGrid w:val="0"/>
                <w:lang w:val="en-US"/>
              </w:rPr>
              <w:t>Degenerative mitral regurgitation (3+ to 4+)</w:t>
            </w:r>
          </w:p>
          <w:p w14:paraId="212BB880" w14:textId="77777777" w:rsidR="00D3043A" w:rsidRPr="00D3043A" w:rsidRDefault="00D3043A" w:rsidP="00005BEB">
            <w:pPr>
              <w:pStyle w:val="TableText"/>
              <w:widowControl w:val="0"/>
              <w:spacing w:before="0" w:after="0"/>
              <w:rPr>
                <w:snapToGrid w:val="0"/>
              </w:rPr>
            </w:pPr>
            <w:r w:rsidRPr="00D3043A">
              <w:rPr>
                <w:snapToGrid w:val="0"/>
                <w:lang w:val="en-US"/>
              </w:rPr>
              <w:t>Suitable valve and regurgitant jet morphology</w:t>
            </w:r>
          </w:p>
          <w:p w14:paraId="2AB71AE2" w14:textId="52096992" w:rsidR="00D3043A" w:rsidRPr="008D0CC9" w:rsidRDefault="00D3043A" w:rsidP="00005BEB">
            <w:pPr>
              <w:pStyle w:val="TableText"/>
              <w:widowControl w:val="0"/>
              <w:spacing w:before="0" w:after="0"/>
              <w:rPr>
                <w:snapToGrid w:val="0"/>
              </w:rPr>
            </w:pPr>
            <w:r w:rsidRPr="00D3043A">
              <w:rPr>
                <w:snapToGrid w:val="0"/>
                <w:lang w:val="en-US"/>
              </w:rPr>
              <w:t xml:space="preserve">LVEF ≥20%, LVEDD ≤80 mm </w:t>
            </w:r>
          </w:p>
        </w:tc>
        <w:tc>
          <w:tcPr>
            <w:tcW w:w="3118" w:type="dxa"/>
            <w:shd w:val="clear" w:color="auto" w:fill="auto"/>
          </w:tcPr>
          <w:p w14:paraId="513CF512" w14:textId="77777777" w:rsidR="00D3043A" w:rsidRDefault="00D3043A" w:rsidP="00005BEB">
            <w:pPr>
              <w:pStyle w:val="TableHeading"/>
              <w:keepNext w:val="0"/>
              <w:widowControl w:val="0"/>
              <w:spacing w:before="0" w:after="0"/>
              <w:rPr>
                <w:rFonts w:cstheme="majorHAnsi"/>
                <w:b w:val="0"/>
              </w:rPr>
            </w:pPr>
            <w:r>
              <w:rPr>
                <w:rFonts w:cstheme="majorHAnsi"/>
                <w:b w:val="0"/>
              </w:rPr>
              <w:t>SAFETY:</w:t>
            </w:r>
          </w:p>
          <w:p w14:paraId="617A6D3F" w14:textId="77777777" w:rsidR="00D3043A" w:rsidRDefault="00D3043A" w:rsidP="00005BEB">
            <w:pPr>
              <w:pStyle w:val="TableHeading"/>
              <w:keepNext w:val="0"/>
              <w:widowControl w:val="0"/>
              <w:spacing w:before="0" w:after="0"/>
              <w:rPr>
                <w:rFonts w:cstheme="majorHAnsi"/>
                <w:b w:val="0"/>
              </w:rPr>
            </w:pPr>
            <w:r>
              <w:rPr>
                <w:rFonts w:cstheme="majorHAnsi"/>
                <w:b w:val="0"/>
              </w:rPr>
              <w:t>Adverse events at 30 days, 6 months,</w:t>
            </w:r>
          </w:p>
          <w:p w14:paraId="4B5D5F9C" w14:textId="77777777" w:rsidR="00D3043A" w:rsidRDefault="00D3043A" w:rsidP="00005BEB">
            <w:pPr>
              <w:pStyle w:val="TableHeading"/>
              <w:keepNext w:val="0"/>
              <w:widowControl w:val="0"/>
              <w:spacing w:before="0" w:after="0"/>
              <w:rPr>
                <w:rFonts w:cstheme="majorHAnsi"/>
                <w:b w:val="0"/>
              </w:rPr>
            </w:pPr>
            <w:r>
              <w:rPr>
                <w:rFonts w:cstheme="majorHAnsi"/>
                <w:b w:val="0"/>
              </w:rPr>
              <w:t>mortality, HF hospitalisation</w:t>
            </w:r>
          </w:p>
          <w:p w14:paraId="243057E9" w14:textId="77777777" w:rsidR="00D3043A" w:rsidRDefault="00D3043A" w:rsidP="00005BEB">
            <w:pPr>
              <w:pStyle w:val="TableHeading"/>
              <w:keepNext w:val="0"/>
              <w:widowControl w:val="0"/>
              <w:spacing w:before="0" w:after="0"/>
              <w:rPr>
                <w:rFonts w:cstheme="majorHAnsi"/>
                <w:b w:val="0"/>
              </w:rPr>
            </w:pPr>
            <w:r>
              <w:rPr>
                <w:rFonts w:cstheme="majorHAnsi"/>
                <w:b w:val="0"/>
              </w:rPr>
              <w:t>EFFICACY:</w:t>
            </w:r>
          </w:p>
          <w:p w14:paraId="68431A50" w14:textId="77777777" w:rsidR="00D3043A" w:rsidRDefault="00D3043A" w:rsidP="00005BEB">
            <w:pPr>
              <w:pStyle w:val="TableHeading"/>
              <w:keepNext w:val="0"/>
              <w:widowControl w:val="0"/>
              <w:spacing w:before="0" w:after="0"/>
              <w:rPr>
                <w:rFonts w:cstheme="majorHAnsi"/>
                <w:b w:val="0"/>
              </w:rPr>
            </w:pPr>
            <w:r>
              <w:rPr>
                <w:rFonts w:cstheme="majorHAnsi"/>
                <w:b w:val="0"/>
              </w:rPr>
              <w:t>MR severity ≤2+ at 30 days, 6 months,</w:t>
            </w:r>
          </w:p>
          <w:p w14:paraId="4D8F0A65" w14:textId="3989B317" w:rsidR="00D3043A" w:rsidRDefault="00D3043A" w:rsidP="00005BEB">
            <w:pPr>
              <w:pStyle w:val="TableHeading"/>
              <w:keepNext w:val="0"/>
              <w:widowControl w:val="0"/>
              <w:spacing w:before="0" w:after="0"/>
              <w:rPr>
                <w:rFonts w:cstheme="majorHAnsi"/>
                <w:b w:val="0"/>
              </w:rPr>
            </w:pPr>
            <w:r>
              <w:rPr>
                <w:rFonts w:cstheme="majorHAnsi"/>
                <w:b w:val="0"/>
              </w:rPr>
              <w:t>NYHA functional class at 6 months, functional capacity and QoL</w:t>
            </w:r>
          </w:p>
        </w:tc>
      </w:tr>
    </w:tbl>
    <w:p w14:paraId="6C0BA1A1" w14:textId="55231680" w:rsidR="00350491" w:rsidRDefault="00350491" w:rsidP="00005BEB">
      <w:pPr>
        <w:pStyle w:val="Tablenotes"/>
        <w:spacing w:before="0" w:after="0"/>
      </w:pPr>
      <w:r w:rsidRPr="009E5F8D">
        <w:t>GDMT=guideline directed medical therapy; MC=multicentre; OL=open label (unblinded); RCT=randomised controlled trial; LVEF= left ventricular ejection fraction; FMR=functional mitral regurgitation; LVESD=left ventricular end systolic dimension; HF=heart failure; MAE=major adverse event; MN=multinational; OL=open label (unblinded); DMR=degenerative mitral regurgitation; MI=myocardial</w:t>
      </w:r>
      <w:r w:rsidRPr="008630B1">
        <w:t xml:space="preserve"> </w:t>
      </w:r>
      <w:r w:rsidRPr="009E5F8D">
        <w:t>infarction</w:t>
      </w:r>
      <w:r>
        <w:t xml:space="preserve">; </w:t>
      </w:r>
      <w:r w:rsidRPr="008630B1">
        <w:t>STS/ACC TVTR</w:t>
      </w:r>
      <w:r>
        <w:t>=</w:t>
      </w:r>
      <w:r w:rsidRPr="008630B1">
        <w:t xml:space="preserve"> The Society of Thoracic Surgeons/American College of Cardiology Transcatheter Valve Therapy Registry</w:t>
      </w:r>
      <w:r>
        <w:t>;</w:t>
      </w:r>
      <w:r w:rsidRPr="009E5F8D">
        <w:t>; NYHA=New York Heart Association; 6MWD= Six-Minute Walk Distance</w:t>
      </w:r>
    </w:p>
    <w:p w14:paraId="3BEF0A3B" w14:textId="579D3C89" w:rsidR="007C22A4" w:rsidRPr="00AA31C8" w:rsidRDefault="007C22A4" w:rsidP="00005BEB">
      <w:pPr>
        <w:widowControl w:val="0"/>
        <w:spacing w:before="0" w:after="0" w:line="240" w:lineRule="auto"/>
        <w:rPr>
          <w:rFonts w:ascii="Arial Narrow" w:hAnsi="Arial Narrow"/>
          <w:sz w:val="18"/>
          <w:szCs w:val="18"/>
          <w:lang w:eastAsia="en-AU"/>
        </w:rPr>
      </w:pPr>
      <w:proofErr w:type="spellStart"/>
      <w:r w:rsidRPr="00AA31C8">
        <w:rPr>
          <w:rFonts w:ascii="Arial Narrow" w:hAnsi="Arial Narrow"/>
          <w:sz w:val="18"/>
          <w:szCs w:val="18"/>
          <w:vertAlign w:val="superscript"/>
          <w:lang w:eastAsia="en-AU"/>
        </w:rPr>
        <w:t>a</w:t>
      </w:r>
      <w:proofErr w:type="spellEnd"/>
      <w:r w:rsidRPr="008D5CCD">
        <w:rPr>
          <w:rFonts w:ascii="Arial Narrow" w:hAnsi="Arial Narrow"/>
          <w:sz w:val="18"/>
          <w:szCs w:val="18"/>
          <w:lang w:eastAsia="en-AU"/>
        </w:rPr>
        <w:t xml:space="preserve"> </w:t>
      </w:r>
      <w:r w:rsidRPr="00AA31C8">
        <w:rPr>
          <w:rFonts w:ascii="Arial Narrow" w:hAnsi="Arial Narrow"/>
          <w:sz w:val="18"/>
          <w:szCs w:val="18"/>
          <w:lang w:eastAsia="en-AU"/>
        </w:rPr>
        <w:t>Independently assessed by evaluators</w:t>
      </w:r>
      <w:r w:rsidR="00B95C49">
        <w:rPr>
          <w:rFonts w:ascii="Arial Narrow" w:hAnsi="Arial Narrow"/>
          <w:sz w:val="18"/>
          <w:szCs w:val="18"/>
          <w:lang w:eastAsia="en-AU"/>
        </w:rPr>
        <w:t xml:space="preserve"> using </w:t>
      </w:r>
      <w:r w:rsidR="00B95C49" w:rsidRPr="00B95C49">
        <w:rPr>
          <w:rFonts w:ascii="Arial Narrow" w:hAnsi="Arial Narrow"/>
          <w:sz w:val="18"/>
          <w:szCs w:val="18"/>
          <w:lang w:eastAsia="en-AU"/>
        </w:rPr>
        <w:t>the Cochrane Risk of Bias In Non-Randomised Studies- of Interventions (ROBINS-I) tool</w:t>
      </w:r>
      <w:r>
        <w:rPr>
          <w:rFonts w:ascii="Arial Narrow" w:hAnsi="Arial Narrow"/>
          <w:sz w:val="18"/>
          <w:szCs w:val="18"/>
          <w:lang w:eastAsia="en-AU"/>
        </w:rPr>
        <w:t xml:space="preserve">; </w:t>
      </w:r>
      <w:r w:rsidR="00B95C49">
        <w:rPr>
          <w:rFonts w:ascii="Arial Narrow" w:hAnsi="Arial Narrow"/>
          <w:sz w:val="18"/>
          <w:szCs w:val="18"/>
          <w:lang w:eastAsia="en-AU"/>
        </w:rPr>
        <w:t>T</w:t>
      </w:r>
      <w:r>
        <w:rPr>
          <w:rFonts w:ascii="Arial Narrow" w:hAnsi="Arial Narrow"/>
          <w:sz w:val="18"/>
          <w:szCs w:val="18"/>
          <w:lang w:eastAsia="en-AU"/>
        </w:rPr>
        <w:t xml:space="preserve">here were insufficient details in the “research correspondence” to assign low level of bias with confidence </w:t>
      </w:r>
      <w:r w:rsidRPr="00AA31C8">
        <w:rPr>
          <w:rFonts w:ascii="Arial Narrow" w:hAnsi="Arial Narrow"/>
          <w:sz w:val="18"/>
          <w:szCs w:val="18"/>
          <w:lang w:eastAsia="en-AU"/>
        </w:rPr>
        <w:t xml:space="preserve"> </w:t>
      </w:r>
    </w:p>
    <w:p w14:paraId="5C6841D0" w14:textId="04F78F3D" w:rsidR="007C22A4" w:rsidRDefault="007C22A4" w:rsidP="00005BEB">
      <w:pPr>
        <w:widowControl w:val="0"/>
        <w:spacing w:before="0" w:after="0" w:line="240" w:lineRule="auto"/>
        <w:rPr>
          <w:rFonts w:ascii="Arial Narrow" w:hAnsi="Arial Narrow"/>
          <w:sz w:val="18"/>
          <w:szCs w:val="18"/>
          <w:lang w:eastAsia="en-AU"/>
        </w:rPr>
      </w:pPr>
      <w:r w:rsidRPr="00AA31C8">
        <w:rPr>
          <w:rFonts w:ascii="Arial Narrow" w:hAnsi="Arial Narrow"/>
          <w:sz w:val="18"/>
          <w:szCs w:val="18"/>
          <w:vertAlign w:val="superscript"/>
          <w:lang w:eastAsia="en-AU"/>
        </w:rPr>
        <w:t>b</w:t>
      </w:r>
      <w:r w:rsidRPr="008D5CCD">
        <w:rPr>
          <w:rFonts w:ascii="Arial Narrow" w:hAnsi="Arial Narrow"/>
          <w:sz w:val="18"/>
          <w:szCs w:val="18"/>
          <w:lang w:eastAsia="en-AU"/>
        </w:rPr>
        <w:t xml:space="preserve"> </w:t>
      </w:r>
      <w:r w:rsidRPr="00AA31C8">
        <w:rPr>
          <w:rFonts w:ascii="Arial Narrow" w:hAnsi="Arial Narrow"/>
          <w:sz w:val="18"/>
          <w:szCs w:val="18"/>
          <w:lang w:eastAsia="en-AU"/>
        </w:rPr>
        <w:t xml:space="preserve">Technical, procedural and clinical success all defined by </w:t>
      </w:r>
      <w:r w:rsidR="00D20963" w:rsidRPr="00D20963">
        <w:rPr>
          <w:rFonts w:ascii="Arial Narrow" w:hAnsi="Arial Narrow"/>
          <w:sz w:val="18"/>
          <w:szCs w:val="18"/>
          <w:lang w:eastAsia="en-AU"/>
        </w:rPr>
        <w:t xml:space="preserve">Mitral Valve Academic Research Consortium </w:t>
      </w:r>
      <w:r w:rsidR="00D20963">
        <w:rPr>
          <w:rFonts w:ascii="Arial Narrow" w:hAnsi="Arial Narrow"/>
          <w:sz w:val="18"/>
          <w:szCs w:val="18"/>
          <w:lang w:eastAsia="en-AU"/>
        </w:rPr>
        <w:t>(</w:t>
      </w:r>
      <w:r w:rsidRPr="00AA31C8">
        <w:rPr>
          <w:rFonts w:ascii="Arial Narrow" w:hAnsi="Arial Narrow"/>
          <w:sz w:val="18"/>
          <w:szCs w:val="18"/>
          <w:lang w:eastAsia="en-AU"/>
        </w:rPr>
        <w:t>MVARC</w:t>
      </w:r>
      <w:r w:rsidR="00D20963">
        <w:rPr>
          <w:rFonts w:ascii="Arial Narrow" w:hAnsi="Arial Narrow"/>
          <w:sz w:val="18"/>
          <w:szCs w:val="18"/>
          <w:lang w:eastAsia="en-AU"/>
        </w:rPr>
        <w:t>)</w:t>
      </w:r>
      <w:r w:rsidRPr="00AA31C8">
        <w:rPr>
          <w:rFonts w:ascii="Arial Narrow" w:hAnsi="Arial Narrow"/>
          <w:sz w:val="18"/>
          <w:szCs w:val="18"/>
          <w:lang w:eastAsia="en-AU"/>
        </w:rPr>
        <w:t xml:space="preserve"> criteria in Stone et al. (2015)</w:t>
      </w:r>
    </w:p>
    <w:p w14:paraId="283ED7D3" w14:textId="1CB2373D" w:rsidR="005C3FFB" w:rsidRDefault="005C3FFB" w:rsidP="00005BEB">
      <w:pPr>
        <w:pStyle w:val="Tablenotes0"/>
        <w:spacing w:before="0" w:after="0" w:line="240" w:lineRule="auto"/>
        <w:rPr>
          <w:lang w:eastAsia="en-AU"/>
        </w:rPr>
      </w:pPr>
      <w:r>
        <w:rPr>
          <w:vertAlign w:val="superscript"/>
          <w:lang w:eastAsia="en-AU"/>
        </w:rPr>
        <w:t>c</w:t>
      </w:r>
      <w:r w:rsidRPr="005C3FFB">
        <w:rPr>
          <w:lang w:eastAsia="en-AU"/>
        </w:rPr>
        <w:t xml:space="preserve"> Matching was</w:t>
      </w:r>
      <w:r>
        <w:rPr>
          <w:lang w:eastAsia="en-AU"/>
        </w:rPr>
        <w:t xml:space="preserve"> performed using a statistical algorithm and was </w:t>
      </w:r>
      <w:r w:rsidRPr="005C3FFB">
        <w:rPr>
          <w:lang w:eastAsia="en-AU"/>
        </w:rPr>
        <w:t>based on age, gender, NYHA class, LVEF, MR aetiology, flail width, flail gap, posterior leaflet</w:t>
      </w:r>
      <w:r>
        <w:rPr>
          <w:lang w:eastAsia="en-AU"/>
        </w:rPr>
        <w:t xml:space="preserve"> </w:t>
      </w:r>
      <w:r w:rsidRPr="005C3FFB">
        <w:rPr>
          <w:lang w:eastAsia="en-AU"/>
        </w:rPr>
        <w:t>length, coaptation length and depth,</w:t>
      </w:r>
      <w:r>
        <w:rPr>
          <w:lang w:eastAsia="en-AU"/>
        </w:rPr>
        <w:t xml:space="preserve"> </w:t>
      </w:r>
      <w:r w:rsidRPr="005C3FFB">
        <w:rPr>
          <w:lang w:eastAsia="en-AU"/>
        </w:rPr>
        <w:t>MV mean pressure gradient</w:t>
      </w:r>
      <w:r>
        <w:rPr>
          <w:lang w:eastAsia="en-AU"/>
        </w:rPr>
        <w:t xml:space="preserve"> </w:t>
      </w:r>
      <w:r w:rsidRPr="005C3FFB">
        <w:rPr>
          <w:lang w:eastAsia="en-AU"/>
        </w:rPr>
        <w:t>(MPG), medical history (diabetes, hypertension,</w:t>
      </w:r>
      <w:r w:rsidR="0078393C">
        <w:rPr>
          <w:lang w:eastAsia="en-AU"/>
        </w:rPr>
        <w:t xml:space="preserve"> </w:t>
      </w:r>
      <w:r w:rsidRPr="005C3FFB">
        <w:rPr>
          <w:lang w:eastAsia="en-AU"/>
        </w:rPr>
        <w:t>and coronary artery disease), and</w:t>
      </w:r>
      <w:r>
        <w:rPr>
          <w:lang w:eastAsia="en-AU"/>
        </w:rPr>
        <w:t xml:space="preserve"> some </w:t>
      </w:r>
      <w:r w:rsidRPr="005C3FFB">
        <w:rPr>
          <w:lang w:eastAsia="en-AU"/>
        </w:rPr>
        <w:t>laboratory</w:t>
      </w:r>
      <w:r>
        <w:rPr>
          <w:lang w:eastAsia="en-AU"/>
        </w:rPr>
        <w:t xml:space="preserve"> </w:t>
      </w:r>
      <w:r w:rsidRPr="005C3FFB">
        <w:rPr>
          <w:lang w:eastAsia="en-AU"/>
        </w:rPr>
        <w:t>findings</w:t>
      </w:r>
    </w:p>
    <w:p w14:paraId="7BFDDAA6" w14:textId="61DC081A" w:rsidR="00E13326" w:rsidRDefault="00E13326" w:rsidP="00005BEB">
      <w:pPr>
        <w:pStyle w:val="Tablenotes0"/>
        <w:spacing w:before="0" w:after="0" w:line="240" w:lineRule="auto"/>
        <w:rPr>
          <w:lang w:eastAsia="en-AU"/>
        </w:rPr>
      </w:pPr>
      <w:r>
        <w:rPr>
          <w:i/>
        </w:rPr>
        <w:t xml:space="preserve">Content that was unchanged from MSAC’s previous 2021 consideration is </w:t>
      </w:r>
      <w:r w:rsidRPr="00F46D2A">
        <w:rPr>
          <w:i/>
          <w:shd w:val="clear" w:color="auto" w:fill="B4C6E7" w:themeFill="accent5" w:themeFillTint="66"/>
        </w:rPr>
        <w:t>shaded in blue</w:t>
      </w:r>
      <w:r>
        <w:rPr>
          <w:i/>
        </w:rPr>
        <w:t>.</w:t>
      </w:r>
    </w:p>
    <w:p w14:paraId="0D8E3269" w14:textId="13517495" w:rsidR="002225B8" w:rsidRPr="00CD31C2" w:rsidRDefault="002225B8" w:rsidP="004807F5">
      <w:pPr>
        <w:shd w:val="clear" w:color="auto" w:fill="B4C6E7" w:themeFill="accent5" w:themeFillTint="66"/>
      </w:pPr>
      <w:r>
        <w:lastRenderedPageBreak/>
        <w:t>The matched adjusted indirect comparison (MAIC) of the outcomes from a single</w:t>
      </w:r>
      <w:r w:rsidR="00132D4B">
        <w:t>-</w:t>
      </w:r>
      <w:r>
        <w:t xml:space="preserve">arm study of PASCAL </w:t>
      </w:r>
      <w:proofErr w:type="spellStart"/>
      <w:r>
        <w:t>TMVr</w:t>
      </w:r>
      <w:proofErr w:type="spellEnd"/>
      <w:r>
        <w:t xml:space="preserve"> (CLASP) and the </w:t>
      </w:r>
      <w:proofErr w:type="spellStart"/>
      <w:r>
        <w:t>MitraClip</w:t>
      </w:r>
      <w:proofErr w:type="spellEnd"/>
      <w:r>
        <w:t xml:space="preserve"> arms of two comparative trials (COAPT and EVEREST-II) that formed </w:t>
      </w:r>
      <w:r w:rsidR="00517647">
        <w:t>the</w:t>
      </w:r>
      <w:r>
        <w:t xml:space="preserve"> core evidence in the previous ADAR was replicated in the current ADAR. The same patient characteristics were used for matching and results were </w:t>
      </w:r>
      <w:r w:rsidR="00CA26D4">
        <w:t>mostly unchanged from the</w:t>
      </w:r>
      <w:r>
        <w:t xml:space="preserve"> previous ADAR. </w:t>
      </w:r>
    </w:p>
    <w:p w14:paraId="233091AF" w14:textId="1558489C" w:rsidR="002225B8" w:rsidRDefault="002225B8" w:rsidP="002225B8">
      <w:pPr>
        <w:pStyle w:val="Instructionaltext"/>
        <w:rPr>
          <w:iCs/>
          <w:color w:val="auto"/>
        </w:rPr>
      </w:pPr>
      <w:r w:rsidRPr="00D40E82">
        <w:rPr>
          <w:iCs/>
          <w:color w:val="auto"/>
        </w:rPr>
        <w:t>The current ADAR reformatted the same evidence already utilised in the MAIC and complemented it with additional observational data.</w:t>
      </w:r>
      <w:r>
        <w:rPr>
          <w:iCs/>
          <w:color w:val="auto"/>
        </w:rPr>
        <w:t xml:space="preserve"> </w:t>
      </w:r>
      <w:r w:rsidRPr="00432474">
        <w:rPr>
          <w:iCs/>
          <w:color w:val="auto"/>
        </w:rPr>
        <w:t xml:space="preserve">The primary sources of evidence presented in </w:t>
      </w:r>
      <w:r>
        <w:rPr>
          <w:iCs/>
          <w:color w:val="auto"/>
        </w:rPr>
        <w:t xml:space="preserve">the current ADAR </w:t>
      </w:r>
      <w:r w:rsidRPr="00432474">
        <w:rPr>
          <w:iCs/>
          <w:color w:val="auto"/>
        </w:rPr>
        <w:t>consist</w:t>
      </w:r>
      <w:r>
        <w:rPr>
          <w:iCs/>
          <w:color w:val="auto"/>
        </w:rPr>
        <w:t>ed</w:t>
      </w:r>
      <w:r w:rsidRPr="00432474">
        <w:rPr>
          <w:iCs/>
          <w:color w:val="auto"/>
        </w:rPr>
        <w:t xml:space="preserve"> of two single-arm studies for PASCAL (CLASP and Mauri 2020), </w:t>
      </w:r>
      <w:bookmarkStart w:id="28" w:name="_Hlk113120546"/>
      <w:r w:rsidR="00661DA9">
        <w:rPr>
          <w:iCs/>
          <w:color w:val="auto"/>
        </w:rPr>
        <w:t xml:space="preserve">the </w:t>
      </w:r>
      <w:proofErr w:type="spellStart"/>
      <w:r>
        <w:rPr>
          <w:iCs/>
          <w:color w:val="auto"/>
        </w:rPr>
        <w:t>MitraClip</w:t>
      </w:r>
      <w:proofErr w:type="spellEnd"/>
      <w:r>
        <w:rPr>
          <w:iCs/>
          <w:color w:val="auto"/>
        </w:rPr>
        <w:t xml:space="preserve"> arms from </w:t>
      </w:r>
      <w:bookmarkEnd w:id="28"/>
      <w:r w:rsidRPr="00432474">
        <w:rPr>
          <w:iCs/>
          <w:color w:val="auto"/>
        </w:rPr>
        <w:t xml:space="preserve">two RCTs (COAPT and EVEREST-II) and data from the STS/ACC TVT Registry for </w:t>
      </w:r>
      <w:proofErr w:type="spellStart"/>
      <w:r w:rsidRPr="00432474">
        <w:rPr>
          <w:iCs/>
          <w:color w:val="auto"/>
        </w:rPr>
        <w:t>MitraClip</w:t>
      </w:r>
      <w:proofErr w:type="spellEnd"/>
      <w:r w:rsidRPr="00432474">
        <w:rPr>
          <w:iCs/>
          <w:color w:val="auto"/>
        </w:rPr>
        <w:t xml:space="preserve"> (Mack 2022). </w:t>
      </w:r>
      <w:r>
        <w:rPr>
          <w:iCs/>
          <w:color w:val="auto"/>
        </w:rPr>
        <w:t>Results of these five observational datasets were presented in the form of “naïve comparisons”.</w:t>
      </w:r>
    </w:p>
    <w:p w14:paraId="00F6045A" w14:textId="06D7F629" w:rsidR="004D2587" w:rsidRPr="00B43BF6" w:rsidRDefault="00E15412" w:rsidP="004D2587">
      <w:r>
        <w:t>The commentary considered that i</w:t>
      </w:r>
      <w:r w:rsidR="002225B8" w:rsidRPr="00427322">
        <w:t>t is not clear why non-comparative evidence was given a higher priority than the evidence from the direct, albeit non</w:t>
      </w:r>
      <w:r w:rsidR="00636B8B">
        <w:t>-</w:t>
      </w:r>
      <w:r w:rsidR="002225B8" w:rsidRPr="00427322">
        <w:t xml:space="preserve">randomised comparative clinical </w:t>
      </w:r>
      <w:r w:rsidR="00712E8C">
        <w:t>studies</w:t>
      </w:r>
      <w:r w:rsidR="002225B8" w:rsidRPr="00427322">
        <w:t xml:space="preserve"> (Geis 2022, </w:t>
      </w:r>
      <w:proofErr w:type="spellStart"/>
      <w:r w:rsidR="002225B8" w:rsidRPr="00427322">
        <w:t>Haschemi</w:t>
      </w:r>
      <w:proofErr w:type="spellEnd"/>
      <w:r w:rsidR="002225B8" w:rsidRPr="00427322">
        <w:t xml:space="preserve">, 2022) that </w:t>
      </w:r>
      <w:r w:rsidR="00B43BF6" w:rsidRPr="00B43BF6">
        <w:t>were presented</w:t>
      </w:r>
      <w:r w:rsidR="00CA26D4" w:rsidRPr="00427322">
        <w:t xml:space="preserve"> in</w:t>
      </w:r>
      <w:r w:rsidR="002225B8" w:rsidRPr="00427322">
        <w:t xml:space="preserve"> Appendix D</w:t>
      </w:r>
      <w:r w:rsidR="00134BC7" w:rsidRPr="00427322">
        <w:t xml:space="preserve"> of the ADAR</w:t>
      </w:r>
      <w:r w:rsidR="002225B8" w:rsidRPr="00427322">
        <w:t xml:space="preserve">. The </w:t>
      </w:r>
      <w:r w:rsidR="00CA26D4" w:rsidRPr="00427322">
        <w:t xml:space="preserve">commentary </w:t>
      </w:r>
      <w:r w:rsidR="002225B8" w:rsidRPr="00427322">
        <w:t xml:space="preserve">conducted an independent quality assessment of these comparative clinical </w:t>
      </w:r>
      <w:r w:rsidR="004D2587" w:rsidRPr="00427322">
        <w:t>studies</w:t>
      </w:r>
      <w:r w:rsidR="002225B8" w:rsidRPr="00427322">
        <w:t xml:space="preserve"> and </w:t>
      </w:r>
      <w:r w:rsidR="00CA26D4" w:rsidRPr="00427322">
        <w:t xml:space="preserve">assessed </w:t>
      </w:r>
      <w:r w:rsidR="002225B8" w:rsidRPr="00427322">
        <w:t xml:space="preserve">results from the two studies as </w:t>
      </w:r>
      <w:r w:rsidR="00CA26D4" w:rsidRPr="00427322">
        <w:t xml:space="preserve">having </w:t>
      </w:r>
      <w:r w:rsidR="002225B8" w:rsidRPr="00427322">
        <w:t xml:space="preserve">a low to medium level of bias (Geis 2022, </w:t>
      </w:r>
      <w:proofErr w:type="spellStart"/>
      <w:r w:rsidR="002225B8" w:rsidRPr="00427322">
        <w:t>Haschemi</w:t>
      </w:r>
      <w:proofErr w:type="spellEnd"/>
      <w:r w:rsidR="002225B8" w:rsidRPr="00427322">
        <w:t>, 2022)</w:t>
      </w:r>
      <w:r w:rsidR="00B43BF6">
        <w:t>.</w:t>
      </w:r>
    </w:p>
    <w:p w14:paraId="7A9B5B84" w14:textId="1CE72133" w:rsidR="00FF51FF" w:rsidRPr="00FF51FF" w:rsidRDefault="00C34230" w:rsidP="0019523F">
      <w:pPr>
        <w:pStyle w:val="Heading3"/>
      </w:pPr>
      <w:r>
        <w:t>Assessment of</w:t>
      </w:r>
      <w:r w:rsidR="00FF51FF">
        <w:t xml:space="preserve"> </w:t>
      </w:r>
      <w:r w:rsidR="00FF51FF" w:rsidRPr="00FF51FF">
        <w:t xml:space="preserve">comparative analyses of PASCAL and </w:t>
      </w:r>
      <w:proofErr w:type="spellStart"/>
      <w:r w:rsidR="00FF51FF" w:rsidRPr="00FF51FF">
        <w:t>MitraClip</w:t>
      </w:r>
      <w:proofErr w:type="spellEnd"/>
      <w:r w:rsidR="00FF51FF" w:rsidRPr="00FF51FF">
        <w:t xml:space="preserve"> </w:t>
      </w:r>
      <w:proofErr w:type="spellStart"/>
      <w:r w:rsidR="00FF51FF" w:rsidRPr="00FF51FF">
        <w:t>TMVr</w:t>
      </w:r>
      <w:proofErr w:type="spellEnd"/>
      <w:r w:rsidR="00FF51FF" w:rsidRPr="00FF51FF">
        <w:t xml:space="preserve"> systems</w:t>
      </w:r>
    </w:p>
    <w:p w14:paraId="6CEDCFFB" w14:textId="6CCB9E6B" w:rsidR="00FF51FF" w:rsidRPr="00FF51FF" w:rsidRDefault="00FF51FF" w:rsidP="0019523F">
      <w:pPr>
        <w:pStyle w:val="Heading4"/>
      </w:pPr>
      <w:r w:rsidRPr="00FF51FF">
        <w:t>Non</w:t>
      </w:r>
      <w:r w:rsidR="00636B8B">
        <w:t>-</w:t>
      </w:r>
      <w:r w:rsidRPr="00FF51FF">
        <w:t>randomised comparative studies</w:t>
      </w:r>
    </w:p>
    <w:p w14:paraId="0F4DD275" w14:textId="6CABF395" w:rsidR="008D5CCD" w:rsidRPr="00427322" w:rsidRDefault="00450AE6" w:rsidP="000C6FE7">
      <w:pPr>
        <w:pStyle w:val="Instructionaltext"/>
        <w:rPr>
          <w:iCs/>
          <w:color w:val="auto"/>
        </w:rPr>
      </w:pPr>
      <w:r w:rsidRPr="00427322">
        <w:rPr>
          <w:iCs/>
          <w:color w:val="auto"/>
        </w:rPr>
        <w:t>Clinical endpoints used in the comparative studies were defined according to the Mitral Valve Academic Research Consortium</w:t>
      </w:r>
      <w:r w:rsidR="00661DA9" w:rsidRPr="00427322">
        <w:rPr>
          <w:rStyle w:val="FootnoteReference"/>
          <w:iCs/>
          <w:color w:val="auto"/>
        </w:rPr>
        <w:footnoteReference w:id="5"/>
      </w:r>
      <w:r w:rsidRPr="00427322">
        <w:rPr>
          <w:iCs/>
          <w:color w:val="auto"/>
        </w:rPr>
        <w:t xml:space="preserve"> (MVARC) and assumed to be comparable across the studies. </w:t>
      </w:r>
      <w:r w:rsidR="00E15412">
        <w:rPr>
          <w:iCs/>
          <w:color w:val="auto"/>
        </w:rPr>
        <w:t>The commentary considered t</w:t>
      </w:r>
      <w:r w:rsidRPr="00427322">
        <w:rPr>
          <w:iCs/>
          <w:color w:val="auto"/>
        </w:rPr>
        <w:t xml:space="preserve">here was insufficient data to decide whether technical, procedural or device success was measured according to the same criteria. </w:t>
      </w:r>
      <w:r w:rsidR="00A07686" w:rsidRPr="00427322">
        <w:rPr>
          <w:iCs/>
          <w:color w:val="auto"/>
        </w:rPr>
        <w:t>P</w:t>
      </w:r>
      <w:r w:rsidR="0057574A" w:rsidRPr="00427322">
        <w:rPr>
          <w:iCs/>
          <w:color w:val="auto"/>
        </w:rPr>
        <w:t>rocedural success w</w:t>
      </w:r>
      <w:r w:rsidR="00A07686" w:rsidRPr="00427322">
        <w:rPr>
          <w:iCs/>
          <w:color w:val="auto"/>
        </w:rPr>
        <w:t>as</w:t>
      </w:r>
      <w:r w:rsidR="0057574A" w:rsidRPr="00427322">
        <w:rPr>
          <w:iCs/>
          <w:color w:val="auto"/>
        </w:rPr>
        <w:t xml:space="preserve"> measured at discharge</w:t>
      </w:r>
      <w:r w:rsidR="00A07686" w:rsidRPr="00427322">
        <w:rPr>
          <w:iCs/>
          <w:color w:val="auto"/>
        </w:rPr>
        <w:t xml:space="preserve"> in both studies</w:t>
      </w:r>
      <w:r w:rsidR="0057574A" w:rsidRPr="00427322">
        <w:rPr>
          <w:iCs/>
          <w:color w:val="auto"/>
        </w:rPr>
        <w:t xml:space="preserve">, </w:t>
      </w:r>
      <w:r w:rsidR="00A07686" w:rsidRPr="00427322">
        <w:rPr>
          <w:iCs/>
          <w:color w:val="auto"/>
        </w:rPr>
        <w:t>in Geis (2022)</w:t>
      </w:r>
      <w:r w:rsidR="004D2587" w:rsidRPr="00427322">
        <w:rPr>
          <w:iCs/>
          <w:color w:val="auto"/>
        </w:rPr>
        <w:t xml:space="preserve">, </w:t>
      </w:r>
      <w:r w:rsidR="00A07686" w:rsidRPr="00427322">
        <w:rPr>
          <w:iCs/>
          <w:color w:val="auto"/>
        </w:rPr>
        <w:t xml:space="preserve">device success was also assessed at discharge, and </w:t>
      </w:r>
      <w:r w:rsidR="009C4B83" w:rsidRPr="00427322">
        <w:rPr>
          <w:iCs/>
          <w:color w:val="auto"/>
        </w:rPr>
        <w:t xml:space="preserve">it is not clear </w:t>
      </w:r>
      <w:r w:rsidR="00A07686" w:rsidRPr="00427322">
        <w:rPr>
          <w:iCs/>
          <w:color w:val="auto"/>
        </w:rPr>
        <w:t xml:space="preserve">at which timepoint the device success was assessed </w:t>
      </w:r>
      <w:r w:rsidR="00487991" w:rsidRPr="00427322">
        <w:rPr>
          <w:iCs/>
          <w:color w:val="auto"/>
        </w:rPr>
        <w:t xml:space="preserve">in </w:t>
      </w:r>
      <w:proofErr w:type="spellStart"/>
      <w:r w:rsidR="00487991" w:rsidRPr="00427322">
        <w:rPr>
          <w:iCs/>
          <w:color w:val="auto"/>
        </w:rPr>
        <w:t>Haschemi</w:t>
      </w:r>
      <w:proofErr w:type="spellEnd"/>
      <w:r w:rsidR="00487991" w:rsidRPr="00427322">
        <w:rPr>
          <w:iCs/>
          <w:color w:val="auto"/>
        </w:rPr>
        <w:t xml:space="preserve"> (2022).</w:t>
      </w:r>
      <w:r w:rsidR="0057574A" w:rsidRPr="00427322">
        <w:rPr>
          <w:iCs/>
          <w:color w:val="auto"/>
        </w:rPr>
        <w:t xml:space="preserve"> The follow-up appointments </w:t>
      </w:r>
      <w:r w:rsidR="00487991" w:rsidRPr="00427322">
        <w:rPr>
          <w:iCs/>
          <w:color w:val="auto"/>
        </w:rPr>
        <w:t xml:space="preserve">in Geis (2022) </w:t>
      </w:r>
      <w:r w:rsidR="0057574A" w:rsidRPr="00427322">
        <w:rPr>
          <w:iCs/>
          <w:color w:val="auto"/>
        </w:rPr>
        <w:t>were frequently performed by the referring specialist in private practice. The time frame for</w:t>
      </w:r>
      <w:r w:rsidR="0057574A" w:rsidRPr="00427322">
        <w:rPr>
          <w:iCs/>
        </w:rPr>
        <w:t xml:space="preserve"> </w:t>
      </w:r>
      <w:r w:rsidR="0057574A" w:rsidRPr="00427322">
        <w:rPr>
          <w:iCs/>
          <w:color w:val="auto"/>
        </w:rPr>
        <w:t xml:space="preserve">a short follow-up was between 30 days and 4 months and a long follow-up between 6 and 18 months after device implantation. </w:t>
      </w:r>
      <w:r w:rsidRPr="00427322">
        <w:rPr>
          <w:iCs/>
          <w:color w:val="auto"/>
        </w:rPr>
        <w:t xml:space="preserve">Pooling clinical results of interest for a meta-analysis was prevented by the variation in the timeframe for assessment of the outcomes. None of the studies declared non-inferiority as a null hypothesis, nor estimated a sample size that would be sufficient to demonstrate it. </w:t>
      </w:r>
      <w:r w:rsidR="0094304E" w:rsidRPr="00427322">
        <w:rPr>
          <w:iCs/>
          <w:color w:val="auto"/>
        </w:rPr>
        <w:t xml:space="preserve">However, </w:t>
      </w:r>
      <w:r w:rsidR="00661DA9" w:rsidRPr="00427322">
        <w:rPr>
          <w:iCs/>
          <w:color w:val="auto"/>
        </w:rPr>
        <w:t xml:space="preserve">the </w:t>
      </w:r>
      <w:r w:rsidRPr="00427322">
        <w:rPr>
          <w:iCs/>
          <w:color w:val="auto"/>
        </w:rPr>
        <w:t xml:space="preserve">design of </w:t>
      </w:r>
      <w:r w:rsidR="0094304E" w:rsidRPr="00427322">
        <w:rPr>
          <w:iCs/>
          <w:color w:val="auto"/>
        </w:rPr>
        <w:t>both</w:t>
      </w:r>
      <w:r w:rsidRPr="00427322">
        <w:rPr>
          <w:iCs/>
          <w:color w:val="auto"/>
        </w:rPr>
        <w:t xml:space="preserve"> studies included controlling for baseline differences in the intervention and comparator arms. Geis (2022) used</w:t>
      </w:r>
      <w:r w:rsidR="00C94D10" w:rsidRPr="00427322">
        <w:rPr>
          <w:iCs/>
          <w:color w:val="auto"/>
        </w:rPr>
        <w:t xml:space="preserve"> </w:t>
      </w:r>
      <w:r w:rsidRPr="00427322">
        <w:rPr>
          <w:iCs/>
          <w:color w:val="auto"/>
        </w:rPr>
        <w:t xml:space="preserve">propensity score matching, while allocation of patients to the </w:t>
      </w:r>
      <w:proofErr w:type="spellStart"/>
      <w:r w:rsidRPr="00427322">
        <w:rPr>
          <w:iCs/>
          <w:color w:val="auto"/>
        </w:rPr>
        <w:t>TMVr</w:t>
      </w:r>
      <w:proofErr w:type="spellEnd"/>
      <w:r w:rsidRPr="00427322">
        <w:rPr>
          <w:iCs/>
          <w:color w:val="auto"/>
        </w:rPr>
        <w:t xml:space="preserve"> device in </w:t>
      </w:r>
      <w:proofErr w:type="spellStart"/>
      <w:r w:rsidRPr="00427322">
        <w:rPr>
          <w:iCs/>
          <w:color w:val="auto"/>
        </w:rPr>
        <w:t>Haschemi</w:t>
      </w:r>
      <w:proofErr w:type="spellEnd"/>
      <w:r w:rsidRPr="00427322">
        <w:rPr>
          <w:iCs/>
          <w:color w:val="auto"/>
        </w:rPr>
        <w:t xml:space="preserve"> (2022) was considered quasi-random, since each patient was assigned to the next available implantation date with weekly alternating time slots for PASCAL and </w:t>
      </w:r>
      <w:proofErr w:type="spellStart"/>
      <w:r w:rsidRPr="00427322">
        <w:rPr>
          <w:iCs/>
          <w:color w:val="auto"/>
        </w:rPr>
        <w:t>MitraClip</w:t>
      </w:r>
      <w:proofErr w:type="spellEnd"/>
      <w:r w:rsidRPr="00427322">
        <w:rPr>
          <w:iCs/>
          <w:color w:val="auto"/>
        </w:rPr>
        <w:t xml:space="preserve"> and treating physicians had no influence on scheduling or system selection.</w:t>
      </w:r>
    </w:p>
    <w:p w14:paraId="6BCE165D" w14:textId="79589D29" w:rsidR="00FD70F5" w:rsidRPr="00427322" w:rsidRDefault="00FD70F5" w:rsidP="00FD70F5">
      <w:pPr>
        <w:rPr>
          <w:iCs/>
          <w:lang w:eastAsia="en-AU"/>
        </w:rPr>
      </w:pPr>
      <w:r w:rsidRPr="00427322">
        <w:rPr>
          <w:iCs/>
          <w:lang w:eastAsia="en-AU"/>
        </w:rPr>
        <w:t xml:space="preserve">In the mixed DMR/FMR population in the study by </w:t>
      </w:r>
      <w:proofErr w:type="spellStart"/>
      <w:r w:rsidRPr="00427322">
        <w:rPr>
          <w:iCs/>
          <w:lang w:eastAsia="en-AU"/>
        </w:rPr>
        <w:t>Haschemi</w:t>
      </w:r>
      <w:proofErr w:type="spellEnd"/>
      <w:r w:rsidRPr="00427322">
        <w:rPr>
          <w:iCs/>
          <w:lang w:eastAsia="en-AU"/>
        </w:rPr>
        <w:t xml:space="preserve"> (2022) the 4</w:t>
      </w:r>
      <w:r w:rsidRPr="00427322">
        <w:rPr>
          <w:iCs/>
          <w:vertAlign w:val="superscript"/>
          <w:lang w:eastAsia="en-AU"/>
        </w:rPr>
        <w:t>th</w:t>
      </w:r>
      <w:r w:rsidRPr="00427322">
        <w:rPr>
          <w:iCs/>
          <w:lang w:eastAsia="en-AU"/>
        </w:rPr>
        <w:t xml:space="preserve"> quarter of </w:t>
      </w:r>
      <w:r w:rsidR="009415B0" w:rsidRPr="00427322">
        <w:rPr>
          <w:iCs/>
          <w:lang w:eastAsia="en-AU"/>
        </w:rPr>
        <w:t xml:space="preserve">the </w:t>
      </w:r>
      <w:r w:rsidRPr="00427322">
        <w:rPr>
          <w:iCs/>
          <w:lang w:eastAsia="en-AU"/>
        </w:rPr>
        <w:t>interquartile range of left ventricular ejection fraction and left ventricular end systolic diameter exceeded the limits indicated in the MBS</w:t>
      </w:r>
      <w:r w:rsidRPr="00427322">
        <w:rPr>
          <w:iCs/>
        </w:rPr>
        <w:t xml:space="preserve"> </w:t>
      </w:r>
      <w:r w:rsidRPr="00427322">
        <w:rPr>
          <w:iCs/>
          <w:lang w:eastAsia="en-AU"/>
        </w:rPr>
        <w:t>Item 38463 (for the secondary/</w:t>
      </w:r>
      <w:r w:rsidR="003C6F44" w:rsidRPr="00427322">
        <w:rPr>
          <w:iCs/>
          <w:lang w:eastAsia="en-AU"/>
        </w:rPr>
        <w:t>F</w:t>
      </w:r>
      <w:r w:rsidRPr="00427322">
        <w:rPr>
          <w:iCs/>
          <w:lang w:eastAsia="en-AU"/>
        </w:rPr>
        <w:t>MR subgroup) but not the limits indicated in the MBS</w:t>
      </w:r>
      <w:r w:rsidRPr="00427322">
        <w:rPr>
          <w:iCs/>
        </w:rPr>
        <w:t xml:space="preserve"> </w:t>
      </w:r>
      <w:r w:rsidRPr="00427322">
        <w:rPr>
          <w:iCs/>
          <w:lang w:eastAsia="en-AU"/>
        </w:rPr>
        <w:t xml:space="preserve">Item 38461 (for the primary/DMR subgroup). These parameters are not reported separately for each of the DMR and FMR subgroups, so it is not certain whether the entire population enrolled in the study meets the MBS item eligibility criteria. </w:t>
      </w:r>
    </w:p>
    <w:p w14:paraId="5C3CECCA" w14:textId="266258F5" w:rsidR="00FD70F5" w:rsidRPr="00427322" w:rsidRDefault="00FD70F5" w:rsidP="00FD70F5">
      <w:pPr>
        <w:rPr>
          <w:rFonts w:cstheme="minorHAnsi"/>
          <w:iCs/>
        </w:rPr>
      </w:pPr>
      <w:r w:rsidRPr="00427322">
        <w:rPr>
          <w:rFonts w:cstheme="minorHAnsi"/>
          <w:iCs/>
        </w:rPr>
        <w:lastRenderedPageBreak/>
        <w:t xml:space="preserve">In </w:t>
      </w:r>
      <w:r w:rsidR="00661DA9" w:rsidRPr="00427322">
        <w:rPr>
          <w:rFonts w:cstheme="minorHAnsi"/>
          <w:iCs/>
        </w:rPr>
        <w:t xml:space="preserve">the </w:t>
      </w:r>
      <w:r w:rsidRPr="00427322">
        <w:rPr>
          <w:rFonts w:cstheme="minorHAnsi"/>
          <w:iCs/>
        </w:rPr>
        <w:t xml:space="preserve">Geis (2022) study 17% of patients in either arm had LVEF&lt;20% thus not meeting eligibility criteria for the MBS items </w:t>
      </w:r>
      <w:r w:rsidRPr="00427322">
        <w:rPr>
          <w:iCs/>
          <w:lang w:eastAsia="en-AU"/>
        </w:rPr>
        <w:t>38461 and 38463</w:t>
      </w:r>
      <w:r w:rsidRPr="00427322">
        <w:rPr>
          <w:rFonts w:cstheme="minorHAnsi"/>
          <w:iCs/>
        </w:rPr>
        <w:t xml:space="preserve">. </w:t>
      </w:r>
      <w:r w:rsidR="00661DA9" w:rsidRPr="00427322">
        <w:rPr>
          <w:rFonts w:cstheme="minorHAnsi"/>
          <w:iCs/>
        </w:rPr>
        <w:t>There were s</w:t>
      </w:r>
      <w:r w:rsidRPr="00427322">
        <w:rPr>
          <w:rFonts w:cstheme="minorHAnsi"/>
          <w:iCs/>
        </w:rPr>
        <w:t xml:space="preserve">ignificantly more patients presenting with previous cardiac surgery in the </w:t>
      </w:r>
      <w:proofErr w:type="spellStart"/>
      <w:r w:rsidRPr="00427322">
        <w:rPr>
          <w:rFonts w:cstheme="minorHAnsi"/>
          <w:iCs/>
        </w:rPr>
        <w:t>MitraClip</w:t>
      </w:r>
      <w:proofErr w:type="spellEnd"/>
      <w:r w:rsidRPr="00427322">
        <w:rPr>
          <w:rFonts w:cstheme="minorHAnsi"/>
          <w:iCs/>
        </w:rPr>
        <w:t xml:space="preserve"> group and significantly more patients suffering from malignancies in the PASCAL group at baseline. Assessed with </w:t>
      </w:r>
      <w:proofErr w:type="spellStart"/>
      <w:r w:rsidRPr="00427322">
        <w:rPr>
          <w:rFonts w:cstheme="minorHAnsi"/>
          <w:iCs/>
        </w:rPr>
        <w:t>EuroSCORE</w:t>
      </w:r>
      <w:proofErr w:type="spellEnd"/>
      <w:r w:rsidRPr="00427322">
        <w:rPr>
          <w:rFonts w:cstheme="minorHAnsi"/>
          <w:iCs/>
        </w:rPr>
        <w:t xml:space="preserve"> II, the patients in the </w:t>
      </w:r>
      <w:proofErr w:type="spellStart"/>
      <w:r w:rsidRPr="00427322">
        <w:rPr>
          <w:rFonts w:cstheme="minorHAnsi"/>
          <w:iCs/>
        </w:rPr>
        <w:t>MitraClip</w:t>
      </w:r>
      <w:proofErr w:type="spellEnd"/>
      <w:r w:rsidRPr="00427322">
        <w:rPr>
          <w:rFonts w:cstheme="minorHAnsi"/>
          <w:iCs/>
        </w:rPr>
        <w:t xml:space="preserve"> arm had a more serious surgical risk (borderline p value of 0.0502). In addition, the PASCAL group had a slightly larger MV area and mitral annulus AP diameter. </w:t>
      </w:r>
    </w:p>
    <w:p w14:paraId="2854D6BA" w14:textId="7DAA9E47" w:rsidR="00FD70F5" w:rsidRPr="00427322" w:rsidRDefault="00FD70F5" w:rsidP="00FD70F5">
      <w:pPr>
        <w:rPr>
          <w:rFonts w:cstheme="minorHAnsi"/>
          <w:iCs/>
        </w:rPr>
      </w:pPr>
      <w:r w:rsidRPr="00427322">
        <w:rPr>
          <w:rFonts w:cstheme="minorHAnsi"/>
          <w:iCs/>
        </w:rPr>
        <w:t>Another concern</w:t>
      </w:r>
      <w:r w:rsidR="001B0327" w:rsidRPr="00427322">
        <w:rPr>
          <w:rFonts w:cstheme="minorHAnsi"/>
          <w:iCs/>
        </w:rPr>
        <w:t xml:space="preserve"> about </w:t>
      </w:r>
      <w:r w:rsidR="00661DA9" w:rsidRPr="00427322">
        <w:rPr>
          <w:rFonts w:cstheme="minorHAnsi"/>
          <w:iCs/>
        </w:rPr>
        <w:t xml:space="preserve">the </w:t>
      </w:r>
      <w:r w:rsidR="001B0327" w:rsidRPr="00427322">
        <w:rPr>
          <w:rFonts w:cstheme="minorHAnsi"/>
          <w:iCs/>
        </w:rPr>
        <w:t>Geis (2022) study</w:t>
      </w:r>
      <w:r w:rsidRPr="00427322">
        <w:rPr>
          <w:rFonts w:cstheme="minorHAnsi"/>
          <w:iCs/>
        </w:rPr>
        <w:t xml:space="preserve"> </w:t>
      </w:r>
      <w:r w:rsidR="00E15412">
        <w:rPr>
          <w:rFonts w:cstheme="minorHAnsi"/>
          <w:iCs/>
        </w:rPr>
        <w:t xml:space="preserve">highlighted in the commentary </w:t>
      </w:r>
      <w:r w:rsidR="00661DA9" w:rsidRPr="00427322">
        <w:rPr>
          <w:rFonts w:cstheme="minorHAnsi"/>
          <w:iCs/>
        </w:rPr>
        <w:t>wa</w:t>
      </w:r>
      <w:r w:rsidRPr="00427322">
        <w:rPr>
          <w:rFonts w:cstheme="minorHAnsi"/>
          <w:iCs/>
        </w:rPr>
        <w:t>s the large proportion of patients lost to follow-up (other than dying or having l</w:t>
      </w:r>
      <w:r w:rsidRPr="00427322">
        <w:rPr>
          <w:iCs/>
        </w:rPr>
        <w:t>eft ventricular assist device</w:t>
      </w:r>
      <w:r w:rsidRPr="00427322">
        <w:rPr>
          <w:rFonts w:cstheme="minorHAnsi"/>
          <w:iCs/>
        </w:rPr>
        <w:t xml:space="preserve"> implantations or MV re-interventions), which </w:t>
      </w:r>
      <w:r w:rsidR="00661DA9" w:rsidRPr="00427322">
        <w:rPr>
          <w:rFonts w:cstheme="minorHAnsi"/>
          <w:iCs/>
        </w:rPr>
        <w:t>wa</w:t>
      </w:r>
      <w:r w:rsidRPr="00427322">
        <w:rPr>
          <w:rFonts w:cstheme="minorHAnsi"/>
          <w:iCs/>
        </w:rPr>
        <w:t>s thr</w:t>
      </w:r>
      <w:r w:rsidR="00661DA9" w:rsidRPr="00427322">
        <w:rPr>
          <w:rFonts w:cstheme="minorHAnsi"/>
          <w:iCs/>
        </w:rPr>
        <w:t>ee times</w:t>
      </w:r>
      <w:r w:rsidRPr="00427322">
        <w:rPr>
          <w:rFonts w:cstheme="minorHAnsi"/>
          <w:iCs/>
        </w:rPr>
        <w:t xml:space="preserve"> the rate in the PASCAL arm </w:t>
      </w:r>
      <w:r w:rsidR="009415B0" w:rsidRPr="00427322">
        <w:rPr>
          <w:rFonts w:cstheme="minorHAnsi"/>
          <w:iCs/>
        </w:rPr>
        <w:t>compared</w:t>
      </w:r>
      <w:r w:rsidRPr="00427322">
        <w:rPr>
          <w:rFonts w:cstheme="minorHAnsi"/>
          <w:iCs/>
        </w:rPr>
        <w:t xml:space="preserve"> to the </w:t>
      </w:r>
      <w:proofErr w:type="spellStart"/>
      <w:r w:rsidRPr="00427322">
        <w:rPr>
          <w:rFonts w:cstheme="minorHAnsi"/>
          <w:iCs/>
        </w:rPr>
        <w:t>MitraClip</w:t>
      </w:r>
      <w:proofErr w:type="spellEnd"/>
      <w:r w:rsidRPr="00427322">
        <w:rPr>
          <w:rFonts w:cstheme="minorHAnsi"/>
          <w:iCs/>
        </w:rPr>
        <w:t xml:space="preserve"> arm</w:t>
      </w:r>
      <w:r w:rsidR="00D956B0" w:rsidRPr="00427322">
        <w:rPr>
          <w:rFonts w:cstheme="minorHAnsi"/>
          <w:iCs/>
        </w:rPr>
        <w:t xml:space="preserve"> and not explained further</w:t>
      </w:r>
      <w:r w:rsidRPr="00427322">
        <w:rPr>
          <w:rFonts w:cstheme="minorHAnsi"/>
          <w:iCs/>
        </w:rPr>
        <w:t xml:space="preserve">. </w:t>
      </w:r>
      <w:r w:rsidR="00032541">
        <w:rPr>
          <w:rFonts w:cstheme="minorHAnsi"/>
          <w:iCs/>
        </w:rPr>
        <w:t>46%</w:t>
      </w:r>
      <w:r w:rsidRPr="00427322">
        <w:rPr>
          <w:rFonts w:cstheme="minorHAnsi"/>
          <w:iCs/>
        </w:rPr>
        <w:t xml:space="preserve"> (19/41) were lost to follow up in the PASCAL arm by the time of the first follow-up (that took place over the various time intervals ranging from one to four months)</w:t>
      </w:r>
      <w:r w:rsidR="00E96796" w:rsidRPr="00427322">
        <w:rPr>
          <w:rFonts w:cstheme="minorHAnsi"/>
          <w:iCs/>
        </w:rPr>
        <w:t xml:space="preserve"> and</w:t>
      </w:r>
      <w:r w:rsidRPr="00427322">
        <w:rPr>
          <w:rFonts w:cstheme="minorHAnsi"/>
          <w:iCs/>
        </w:rPr>
        <w:t xml:space="preserve"> 68% (28/41) by the second follow-up (6-18 months since the procedure). In </w:t>
      </w:r>
      <w:r w:rsidR="00661DA9" w:rsidRPr="00427322">
        <w:rPr>
          <w:rFonts w:cstheme="minorHAnsi"/>
          <w:iCs/>
        </w:rPr>
        <w:t xml:space="preserve">the </w:t>
      </w:r>
      <w:proofErr w:type="spellStart"/>
      <w:r w:rsidRPr="00427322">
        <w:rPr>
          <w:rFonts w:cstheme="minorHAnsi"/>
          <w:iCs/>
        </w:rPr>
        <w:t>MitraClip</w:t>
      </w:r>
      <w:proofErr w:type="spellEnd"/>
      <w:r w:rsidRPr="00427322">
        <w:rPr>
          <w:rFonts w:cstheme="minorHAnsi"/>
          <w:iCs/>
        </w:rPr>
        <w:t xml:space="preserve"> arm</w:t>
      </w:r>
      <w:r w:rsidR="00661DA9" w:rsidRPr="00427322">
        <w:rPr>
          <w:rFonts w:cstheme="minorHAnsi"/>
          <w:iCs/>
        </w:rPr>
        <w:t>,</w:t>
      </w:r>
      <w:r w:rsidRPr="00427322">
        <w:rPr>
          <w:rFonts w:cstheme="minorHAnsi"/>
          <w:iCs/>
        </w:rPr>
        <w:t xml:space="preserve"> loss to the follow-up was 13% (11/82) by the first follow-up reaching 23% (19/82). Within-group variability in the number of days passed until the first and the second follow-up makes the interpretation of comparative outcomes problematic (</w:t>
      </w:r>
      <w:r w:rsidR="00D956B0" w:rsidRPr="00427322">
        <w:rPr>
          <w:rFonts w:cstheme="minorHAnsi"/>
          <w:iCs/>
        </w:rPr>
        <w:t>due to</w:t>
      </w:r>
      <w:r w:rsidRPr="00427322">
        <w:rPr>
          <w:rFonts w:cstheme="minorHAnsi"/>
          <w:iCs/>
        </w:rPr>
        <w:t xml:space="preserve"> </w:t>
      </w:r>
      <w:r w:rsidRPr="00427322">
        <w:rPr>
          <w:iCs/>
        </w:rPr>
        <w:t>time-varying confounding).</w:t>
      </w:r>
      <w:r w:rsidRPr="00427322">
        <w:rPr>
          <w:rFonts w:cstheme="minorHAnsi"/>
          <w:iCs/>
        </w:rPr>
        <w:t xml:space="preserve"> </w:t>
      </w:r>
      <w:r w:rsidR="00D956B0" w:rsidRPr="00427322">
        <w:rPr>
          <w:rFonts w:cstheme="minorHAnsi"/>
          <w:iCs/>
        </w:rPr>
        <w:t>Notably</w:t>
      </w:r>
      <w:r w:rsidRPr="00427322">
        <w:rPr>
          <w:rFonts w:cstheme="minorHAnsi"/>
          <w:iCs/>
        </w:rPr>
        <w:t xml:space="preserve">, the difference in the number of days passed until the first follow-up was borderline statistically significant (p=0.0533). </w:t>
      </w:r>
    </w:p>
    <w:p w14:paraId="10AD72E2" w14:textId="3AA44E2A" w:rsidR="00132D4B" w:rsidRDefault="009D4200" w:rsidP="0019523F">
      <w:pPr>
        <w:pStyle w:val="Heading4"/>
      </w:pPr>
      <w:r w:rsidRPr="009D4200">
        <w:t>The matched adjusted indirect comparison (MAIC)</w:t>
      </w:r>
    </w:p>
    <w:p w14:paraId="4E5EA21A" w14:textId="2B4159AC" w:rsidR="00E31963" w:rsidRDefault="00E31963" w:rsidP="004807F5">
      <w:pPr>
        <w:shd w:val="clear" w:color="auto" w:fill="B4C6E7" w:themeFill="accent5" w:themeFillTint="66"/>
      </w:pPr>
      <w:r w:rsidRPr="00D40E82">
        <w:t xml:space="preserve">Individual patient level data (PLD) were available for CLASP, while only aggregate data were available for the comparator studies (COAPT and EVEREST-II). A MAIC was considered as </w:t>
      </w:r>
      <w:r w:rsidR="007D7A18" w:rsidRPr="00D40E82">
        <w:t xml:space="preserve">an </w:t>
      </w:r>
      <w:r w:rsidRPr="00D40E82">
        <w:t xml:space="preserve">appropriate method of analysis for comparisons of the outcomes. To minimise a potential bias, </w:t>
      </w:r>
      <w:r w:rsidR="00C430E0" w:rsidRPr="00D40E82">
        <w:t xml:space="preserve">the </w:t>
      </w:r>
      <w:r w:rsidRPr="00D40E82">
        <w:t xml:space="preserve">MAIC used an algorithm to calculate weights to apply to the CLASP PLD in </w:t>
      </w:r>
      <w:r w:rsidR="00592818" w:rsidRPr="00592818">
        <w:rPr>
          <w:color w:val="000000"/>
          <w:w w:val="66"/>
          <w:shd w:val="solid" w:color="000000" w:fill="000000"/>
          <w:fitText w:val="438" w:id="-1256558080"/>
          <w14:textFill>
            <w14:solidFill>
              <w14:srgbClr w14:val="000000">
                <w14:alpha w14:val="100000"/>
              </w14:srgbClr>
            </w14:solidFill>
          </w14:textFill>
        </w:rPr>
        <w:t>|||||</w:t>
      </w:r>
      <w:r w:rsidR="00592818" w:rsidRPr="00592818">
        <w:rPr>
          <w:color w:val="000000"/>
          <w:spacing w:val="2"/>
          <w:w w:val="66"/>
          <w:shd w:val="solid" w:color="000000" w:fill="000000"/>
          <w:fitText w:val="438" w:id="-1256558080"/>
          <w14:textFill>
            <w14:solidFill>
              <w14:srgbClr w14:val="000000">
                <w14:alpha w14:val="100000"/>
              </w14:srgbClr>
            </w14:solidFill>
          </w14:textFill>
        </w:rPr>
        <w:t>|</w:t>
      </w:r>
      <w:r w:rsidRPr="00D40E82">
        <w:t xml:space="preserve"> patients (</w:t>
      </w:r>
      <w:r w:rsidR="00592818" w:rsidRPr="00592818">
        <w:rPr>
          <w:color w:val="000000"/>
          <w:w w:val="66"/>
          <w:shd w:val="solid" w:color="000000" w:fill="000000"/>
          <w:fitText w:val="438" w:id="-1256558079"/>
          <w14:textFill>
            <w14:solidFill>
              <w14:srgbClr w14:val="000000">
                <w14:alpha w14:val="100000"/>
              </w14:srgbClr>
            </w14:solidFill>
          </w14:textFill>
        </w:rPr>
        <w:t>|||||</w:t>
      </w:r>
      <w:r w:rsidR="00592818" w:rsidRPr="00592818">
        <w:rPr>
          <w:color w:val="000000"/>
          <w:spacing w:val="2"/>
          <w:w w:val="66"/>
          <w:shd w:val="solid" w:color="000000" w:fill="000000"/>
          <w:fitText w:val="438" w:id="-1256558079"/>
          <w14:textFill>
            <w14:solidFill>
              <w14:srgbClr w14:val="000000">
                <w14:alpha w14:val="100000"/>
              </w14:srgbClr>
            </w14:solidFill>
          </w14:textFill>
        </w:rPr>
        <w:t>|</w:t>
      </w:r>
      <w:r w:rsidR="00592818" w:rsidRPr="00592818">
        <w:t xml:space="preserve"> </w:t>
      </w:r>
      <w:r w:rsidRPr="00D40E82">
        <w:t>(</w:t>
      </w:r>
      <w:r w:rsidR="00592818" w:rsidRPr="00592818">
        <w:rPr>
          <w:color w:val="000000"/>
          <w:w w:val="66"/>
          <w:shd w:val="solid" w:color="000000" w:fill="000000"/>
          <w:fitText w:val="438" w:id="-1256558078"/>
          <w14:textFill>
            <w14:solidFill>
              <w14:srgbClr w14:val="000000">
                <w14:alpha w14:val="100000"/>
              </w14:srgbClr>
            </w14:solidFill>
          </w14:textFill>
        </w:rPr>
        <w:t>|||||</w:t>
      </w:r>
      <w:r w:rsidR="00592818" w:rsidRPr="00592818">
        <w:rPr>
          <w:color w:val="000000"/>
          <w:spacing w:val="2"/>
          <w:w w:val="66"/>
          <w:shd w:val="solid" w:color="000000" w:fill="000000"/>
          <w:fitText w:val="438" w:id="-1256558078"/>
          <w14:textFill>
            <w14:solidFill>
              <w14:srgbClr w14:val="000000">
                <w14:alpha w14:val="100000"/>
              </w14:srgbClr>
            </w14:solidFill>
          </w14:textFill>
        </w:rPr>
        <w:t>|</w:t>
      </w:r>
      <w:r w:rsidRPr="00D40E82">
        <w:t xml:space="preserve">%) with FMR and </w:t>
      </w:r>
      <w:r w:rsidR="00592818" w:rsidRPr="00592818">
        <w:rPr>
          <w:color w:val="000000"/>
          <w:w w:val="66"/>
          <w:shd w:val="solid" w:color="000000" w:fill="000000"/>
          <w:fitText w:val="438" w:id="-1256558077"/>
          <w14:textFill>
            <w14:solidFill>
              <w14:srgbClr w14:val="000000">
                <w14:alpha w14:val="100000"/>
              </w14:srgbClr>
            </w14:solidFill>
          </w14:textFill>
        </w:rPr>
        <w:t>|||||</w:t>
      </w:r>
      <w:r w:rsidR="00592818" w:rsidRPr="00592818">
        <w:rPr>
          <w:color w:val="000000"/>
          <w:spacing w:val="2"/>
          <w:w w:val="66"/>
          <w:shd w:val="solid" w:color="000000" w:fill="000000"/>
          <w:fitText w:val="438" w:id="-1256558077"/>
          <w14:textFill>
            <w14:solidFill>
              <w14:srgbClr w14:val="000000">
                <w14:alpha w14:val="100000"/>
              </w14:srgbClr>
            </w14:solidFill>
          </w14:textFill>
        </w:rPr>
        <w:t>|</w:t>
      </w:r>
      <w:r w:rsidRPr="00D40E82">
        <w:t xml:space="preserve"> (</w:t>
      </w:r>
      <w:r w:rsidR="00592818" w:rsidRPr="00592818">
        <w:rPr>
          <w:color w:val="000000"/>
          <w:w w:val="68"/>
          <w:shd w:val="solid" w:color="000000" w:fill="000000"/>
          <w:fitText w:val="451" w:id="-1256558076"/>
          <w14:textFill>
            <w14:solidFill>
              <w14:srgbClr w14:val="000000">
                <w14:alpha w14:val="100000"/>
              </w14:srgbClr>
            </w14:solidFill>
          </w14:textFill>
        </w:rPr>
        <w:t>|||||</w:t>
      </w:r>
      <w:r w:rsidR="00592818" w:rsidRPr="00592818">
        <w:rPr>
          <w:color w:val="000000"/>
          <w:spacing w:val="3"/>
          <w:w w:val="68"/>
          <w:shd w:val="solid" w:color="000000" w:fill="000000"/>
          <w:fitText w:val="451" w:id="-1256558076"/>
          <w14:textFill>
            <w14:solidFill>
              <w14:srgbClr w14:val="000000">
                <w14:alpha w14:val="100000"/>
              </w14:srgbClr>
            </w14:solidFill>
          </w14:textFill>
        </w:rPr>
        <w:t>|</w:t>
      </w:r>
      <w:r w:rsidRPr="00D40E82">
        <w:t>%) with DMR) in order to match the characteristics of the</w:t>
      </w:r>
      <w:r w:rsidR="007A711C" w:rsidRPr="00D40E82">
        <w:t xml:space="preserve"> </w:t>
      </w:r>
      <w:r w:rsidR="004B47A4" w:rsidRPr="00D40E82">
        <w:t>FMR</w:t>
      </w:r>
      <w:r w:rsidRPr="00D40E82">
        <w:t xml:space="preserve"> </w:t>
      </w:r>
      <w:r w:rsidR="004B47A4" w:rsidRPr="00D40E82">
        <w:t>population</w:t>
      </w:r>
      <w:r w:rsidRPr="00D40E82">
        <w:t xml:space="preserve"> from the </w:t>
      </w:r>
      <w:proofErr w:type="spellStart"/>
      <w:r w:rsidRPr="00D40E82">
        <w:t>MitraClip</w:t>
      </w:r>
      <w:proofErr w:type="spellEnd"/>
      <w:r w:rsidRPr="00D40E82">
        <w:t xml:space="preserve"> arm of COAPT (N=302) and </w:t>
      </w:r>
      <w:r w:rsidR="004B47A4" w:rsidRPr="00D40E82">
        <w:t xml:space="preserve">the mixed DMR/FMR population from </w:t>
      </w:r>
      <w:r w:rsidRPr="00D40E82">
        <w:t>EVEREST-II (N=184</w:t>
      </w:r>
      <w:r>
        <w:t xml:space="preserve">). </w:t>
      </w:r>
    </w:p>
    <w:p w14:paraId="2D78948B" w14:textId="77777777" w:rsidR="00032E3D" w:rsidRDefault="00E31963" w:rsidP="004807F5">
      <w:pPr>
        <w:shd w:val="clear" w:color="auto" w:fill="B4C6E7" w:themeFill="accent5" w:themeFillTint="66"/>
      </w:pPr>
      <w:r>
        <w:t xml:space="preserve">The same </w:t>
      </w:r>
      <w:r w:rsidRPr="00EE671E">
        <w:t>baseline characteristics</w:t>
      </w:r>
      <w:r>
        <w:t xml:space="preserve"> were used for </w:t>
      </w:r>
      <w:r w:rsidRPr="00EE671E">
        <w:t>match</w:t>
      </w:r>
      <w:r>
        <w:t>ing</w:t>
      </w:r>
      <w:r w:rsidRPr="00EE671E">
        <w:t xml:space="preserve"> </w:t>
      </w:r>
      <w:r>
        <w:t>in the</w:t>
      </w:r>
      <w:r w:rsidRPr="00EE671E">
        <w:t xml:space="preserve"> </w:t>
      </w:r>
      <w:r>
        <w:t xml:space="preserve">previous and current ADARs. For </w:t>
      </w:r>
    </w:p>
    <w:p w14:paraId="1F7DA2BA" w14:textId="1C70C66A" w:rsidR="00E31963" w:rsidRDefault="00E31963" w:rsidP="004807F5">
      <w:pPr>
        <w:shd w:val="clear" w:color="auto" w:fill="B4C6E7" w:themeFill="accent5" w:themeFillTint="66"/>
      </w:pPr>
      <w:r>
        <w:t xml:space="preserve">the FMR population, in the </w:t>
      </w:r>
      <w:r w:rsidRPr="00EE671E">
        <w:t>base-case analysis</w:t>
      </w:r>
      <w:r>
        <w:t xml:space="preserve"> these were </w:t>
      </w:r>
      <w:r w:rsidRPr="00EE671E">
        <w:t>MI, COPD, CVA/TIA, NYHA class, and LVEF for the comparison of the CLASP (PASCAL) to COAPT (</w:t>
      </w:r>
      <w:proofErr w:type="spellStart"/>
      <w:r w:rsidRPr="00EE671E">
        <w:t>MitraClip</w:t>
      </w:r>
      <w:proofErr w:type="spellEnd"/>
      <w:r w:rsidRPr="00EE671E">
        <w:t>)</w:t>
      </w:r>
      <w:r>
        <w:t xml:space="preserve">. STS scores were added </w:t>
      </w:r>
      <w:r w:rsidR="00497EF2">
        <w:t xml:space="preserve">to </w:t>
      </w:r>
      <w:r>
        <w:t xml:space="preserve">the list in the sensitivity analysis. </w:t>
      </w:r>
    </w:p>
    <w:p w14:paraId="31D886E6" w14:textId="1D77983C" w:rsidR="00E31963" w:rsidRDefault="00E31963" w:rsidP="004807F5">
      <w:pPr>
        <w:shd w:val="clear" w:color="auto" w:fill="B4C6E7" w:themeFill="accent5" w:themeFillTint="66"/>
      </w:pPr>
      <w:r>
        <w:t xml:space="preserve">For the mixed population in the </w:t>
      </w:r>
      <w:r w:rsidRPr="00EE671E">
        <w:t>base-case analysis</w:t>
      </w:r>
      <w:r>
        <w:t xml:space="preserve"> </w:t>
      </w:r>
      <w:r w:rsidRPr="00EE671E">
        <w:t>baseline characteristics</w:t>
      </w:r>
      <w:r>
        <w:t xml:space="preserve"> for matching were </w:t>
      </w:r>
      <w:r w:rsidRPr="00F5227E">
        <w:t>FMR, Diabetes, MI, COPD, NYHA class, and LVEF for the comparison of CLASP (PASCAL) to EVEREST-II (</w:t>
      </w:r>
      <w:proofErr w:type="spellStart"/>
      <w:r w:rsidRPr="00F5227E">
        <w:t>MitraClip</w:t>
      </w:r>
      <w:proofErr w:type="spellEnd"/>
      <w:r w:rsidRPr="00F5227E">
        <w:t>)</w:t>
      </w:r>
      <w:r>
        <w:t>. A single parameter of FMR was used</w:t>
      </w:r>
      <w:r w:rsidRPr="00F5227E">
        <w:t xml:space="preserve"> </w:t>
      </w:r>
      <w:r>
        <w:t xml:space="preserve">in the sensitivity analysis. </w:t>
      </w:r>
    </w:p>
    <w:p w14:paraId="49E50C18" w14:textId="36BF1C54" w:rsidR="003A4C83" w:rsidRPr="00427322" w:rsidRDefault="00FD2336" w:rsidP="004807F5">
      <w:pPr>
        <w:shd w:val="clear" w:color="auto" w:fill="B4C6E7" w:themeFill="accent5" w:themeFillTint="66"/>
      </w:pPr>
      <w:r w:rsidRPr="00427322">
        <w:t xml:space="preserve">Given the similarity in the approach to the MAIC in the previous and current ADARs, </w:t>
      </w:r>
      <w:r w:rsidR="00E15412">
        <w:t xml:space="preserve">the commentary considered </w:t>
      </w:r>
      <w:r w:rsidRPr="00427322">
        <w:t xml:space="preserve">the following </w:t>
      </w:r>
      <w:r w:rsidR="003A4C83" w:rsidRPr="00427322">
        <w:t xml:space="preserve">limitations </w:t>
      </w:r>
      <w:r w:rsidRPr="00427322">
        <w:t>remained:</w:t>
      </w:r>
    </w:p>
    <w:p w14:paraId="4B6AC881" w14:textId="43EB9E8F" w:rsidR="006C1AE3" w:rsidRPr="00427322" w:rsidRDefault="003A4C83" w:rsidP="004807F5">
      <w:pPr>
        <w:shd w:val="clear" w:color="auto" w:fill="B4C6E7" w:themeFill="accent5" w:themeFillTint="66"/>
        <w:ind w:left="426" w:hanging="426"/>
      </w:pPr>
      <w:r w:rsidRPr="00427322">
        <w:t>1.</w:t>
      </w:r>
      <w:r w:rsidR="00D269A5" w:rsidRPr="00427322">
        <w:tab/>
      </w:r>
      <w:r w:rsidR="00E31963" w:rsidRPr="00427322">
        <w:t xml:space="preserve">The absence of a common comparator arm </w:t>
      </w:r>
      <w:r w:rsidR="00FD2336" w:rsidRPr="00427322">
        <w:t>wa</w:t>
      </w:r>
      <w:r w:rsidR="00E31963" w:rsidRPr="00427322">
        <w:t>s an important limitation of the unanchored MAIC because validation of the matching is not possible compared with an anchored MAIC where outcomes from common comparator arms (e.g., placebo) can be used to validate the matching process (</w:t>
      </w:r>
      <w:proofErr w:type="spellStart"/>
      <w:r w:rsidR="00E31963" w:rsidRPr="00427322">
        <w:t>Signorovitch</w:t>
      </w:r>
      <w:proofErr w:type="spellEnd"/>
      <w:r w:rsidR="00E31963" w:rsidRPr="00427322">
        <w:t xml:space="preserve">, 2010). The matching of baseline characteristics for MAIC in the ADAR </w:t>
      </w:r>
      <w:r w:rsidR="00FD2336" w:rsidRPr="00427322">
        <w:t xml:space="preserve">relied </w:t>
      </w:r>
      <w:r w:rsidR="00E31963" w:rsidRPr="00427322">
        <w:t xml:space="preserve">on the input from clinicians who rated the importance of different baseline characteristics for which data was available from both studies. This does not necessarily mean that the characteristics chosen for matching are considered effect modifiers or prognostic factors. It is also unclear how any remaining differences in the unmatched baseline characteristics would affect outcomes. </w:t>
      </w:r>
      <w:r w:rsidR="00F007A1" w:rsidRPr="00427322">
        <w:t xml:space="preserve"> </w:t>
      </w:r>
    </w:p>
    <w:p w14:paraId="014E9B12" w14:textId="6C95CCE2" w:rsidR="003A4C83" w:rsidRDefault="003A4C83" w:rsidP="004807F5">
      <w:pPr>
        <w:shd w:val="clear" w:color="auto" w:fill="B4C6E7" w:themeFill="accent5" w:themeFillTint="66"/>
        <w:ind w:left="426" w:hanging="426"/>
        <w:rPr>
          <w:i/>
          <w:iCs/>
        </w:rPr>
      </w:pPr>
      <w:r>
        <w:t>2.</w:t>
      </w:r>
      <w:r w:rsidR="00D269A5">
        <w:tab/>
      </w:r>
      <w:r w:rsidR="007479FA" w:rsidRPr="00427322">
        <w:t xml:space="preserve">The MAIC approach </w:t>
      </w:r>
      <w:r w:rsidR="00FD2336" w:rsidRPr="00427322">
        <w:t>wa</w:t>
      </w:r>
      <w:r w:rsidR="007479FA" w:rsidRPr="00427322">
        <w:t xml:space="preserve">s appropriate given the lack of direct comparative evidence. However, a key limitation of the unanchored MAIC approach is the strong assumption that all covariates </w:t>
      </w:r>
      <w:r w:rsidR="007479FA" w:rsidRPr="00427322">
        <w:lastRenderedPageBreak/>
        <w:t>and prognostic factors are accounted for. This is considered impossible to meet except in a well-controlled RCT and the unanchored MAIC estimate therefore carries and unknown amount of bias</w:t>
      </w:r>
      <w:r w:rsidR="007479FA" w:rsidRPr="007479FA">
        <w:rPr>
          <w:i/>
          <w:iCs/>
        </w:rPr>
        <w:t>.</w:t>
      </w:r>
    </w:p>
    <w:p w14:paraId="2D8D6633" w14:textId="249F2D11" w:rsidR="00A05416" w:rsidRPr="00427322" w:rsidRDefault="00A05416" w:rsidP="004807F5">
      <w:pPr>
        <w:shd w:val="clear" w:color="auto" w:fill="B4C6E7" w:themeFill="accent5" w:themeFillTint="66"/>
      </w:pPr>
      <w:r w:rsidRPr="00427322">
        <w:t>In particular, in the base-case MAIC, MR severity and STS scores were not balanced between the CLASP (weighted) population and the population from COAPT. This equally applies to the current ADAR. It was suggested that one or both of these parameters could be treatment effect modifiers or prognostic variables and need</w:t>
      </w:r>
      <w:r w:rsidR="00FD2336" w:rsidRPr="00427322">
        <w:t>ed</w:t>
      </w:r>
      <w:r w:rsidRPr="00427322">
        <w:t xml:space="preserve"> to be controlled for in statistical analyses. </w:t>
      </w:r>
    </w:p>
    <w:p w14:paraId="739D152D" w14:textId="6F50A048" w:rsidR="00BA16D3" w:rsidRPr="00427322" w:rsidRDefault="009F78C8" w:rsidP="004807F5">
      <w:pPr>
        <w:shd w:val="clear" w:color="auto" w:fill="B4C6E7" w:themeFill="accent5" w:themeFillTint="66"/>
      </w:pPr>
      <w:r w:rsidRPr="00427322">
        <w:t xml:space="preserve">The </w:t>
      </w:r>
      <w:r w:rsidR="00897108" w:rsidRPr="00427322">
        <w:t xml:space="preserve">current </w:t>
      </w:r>
      <w:r w:rsidRPr="00427322">
        <w:t xml:space="preserve">ADAR </w:t>
      </w:r>
      <w:r w:rsidR="00897108" w:rsidRPr="00427322">
        <w:t xml:space="preserve">stated </w:t>
      </w:r>
      <w:r w:rsidRPr="00427322">
        <w:t xml:space="preserve">that since sensitivity analyses included STS score in the match, the imbalance in STS baseline characteristic is addressed. This, however, reduced </w:t>
      </w:r>
      <w:r w:rsidR="004174D0" w:rsidRPr="00427322">
        <w:t>an effective sample size [ESS] to 45.2</w:t>
      </w:r>
      <w:r w:rsidR="00B2415C" w:rsidRPr="00427322">
        <w:t>.</w:t>
      </w:r>
    </w:p>
    <w:p w14:paraId="2B25C04E" w14:textId="530F76FB" w:rsidR="00A05416" w:rsidRPr="00A05416" w:rsidRDefault="00A05416" w:rsidP="00A05416">
      <w:r w:rsidRPr="00D40E82">
        <w:t>The A</w:t>
      </w:r>
      <w:r w:rsidR="00FD2336" w:rsidRPr="00D40E82">
        <w:t xml:space="preserve">DAR </w:t>
      </w:r>
      <w:r w:rsidR="004174D0" w:rsidRPr="00D40E82">
        <w:t xml:space="preserve">also </w:t>
      </w:r>
      <w:r w:rsidRPr="00D40E82">
        <w:t xml:space="preserve">referred to clinical experts who did not include </w:t>
      </w:r>
      <w:r w:rsidR="00592818" w:rsidRPr="00592818">
        <w:rPr>
          <w:color w:val="000000"/>
          <w:w w:val="66"/>
          <w:shd w:val="solid" w:color="000000" w:fill="000000"/>
          <w:fitText w:val="438" w:id="-1256558075"/>
          <w14:textFill>
            <w14:solidFill>
              <w14:srgbClr w14:val="000000">
                <w14:alpha w14:val="100000"/>
              </w14:srgbClr>
            </w14:solidFill>
          </w14:textFill>
        </w:rPr>
        <w:t>|||||</w:t>
      </w:r>
      <w:r w:rsidR="00592818" w:rsidRPr="00592818">
        <w:rPr>
          <w:color w:val="000000"/>
          <w:spacing w:val="2"/>
          <w:w w:val="66"/>
          <w:shd w:val="solid" w:color="000000" w:fill="000000"/>
          <w:fitText w:val="438" w:id="-1256558075"/>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074"/>
          <w14:textFill>
            <w14:solidFill>
              <w14:srgbClr w14:val="000000">
                <w14:alpha w14:val="100000"/>
              </w14:srgbClr>
            </w14:solidFill>
          </w14:textFill>
        </w:rPr>
        <w:t>|||||</w:t>
      </w:r>
      <w:r w:rsidR="00592818" w:rsidRPr="00592818">
        <w:rPr>
          <w:color w:val="000000"/>
          <w:spacing w:val="2"/>
          <w:w w:val="66"/>
          <w:shd w:val="solid" w:color="000000" w:fill="000000"/>
          <w:fitText w:val="438" w:id="-1256558074"/>
          <w14:textFill>
            <w14:solidFill>
              <w14:srgbClr w14:val="000000">
                <w14:alpha w14:val="100000"/>
              </w14:srgbClr>
            </w14:solidFill>
          </w14:textFill>
        </w:rPr>
        <w:t>|</w:t>
      </w:r>
      <w:r w:rsidR="00592818" w:rsidRPr="00592818">
        <w:t xml:space="preserve"> </w:t>
      </w:r>
      <w:r w:rsidRPr="00D40E82">
        <w:t>in the list of key characteristic</w:t>
      </w:r>
      <w:r w:rsidR="00C36E53" w:rsidRPr="00D40E82">
        <w:t>s</w:t>
      </w:r>
      <w:r w:rsidRPr="00D40E82">
        <w:t xml:space="preserve"> </w:t>
      </w:r>
      <w:r w:rsidR="00C36E53" w:rsidRPr="00D40E82">
        <w:t>for matching</w:t>
      </w:r>
      <w:r w:rsidRPr="00D40E82">
        <w:t xml:space="preserve">. </w:t>
      </w:r>
      <w:r w:rsidR="00C36E53" w:rsidRPr="00D40E82">
        <w:t>The A</w:t>
      </w:r>
      <w:r w:rsidR="00FD2336" w:rsidRPr="00D40E82">
        <w:t>DAR</w:t>
      </w:r>
      <w:r w:rsidR="00C36E53" w:rsidRPr="00D40E82">
        <w:t xml:space="preserve"> </w:t>
      </w:r>
      <w:r w:rsidR="004174D0" w:rsidRPr="00D40E82">
        <w:t>argues</w:t>
      </w:r>
      <w:r w:rsidRPr="00D40E82">
        <w:t xml:space="preserve"> </w:t>
      </w:r>
      <w:r w:rsidR="00C36E53" w:rsidRPr="00D40E82">
        <w:t xml:space="preserve">that </w:t>
      </w:r>
      <w:r w:rsidR="00592818" w:rsidRPr="00592818">
        <w:rPr>
          <w:color w:val="000000"/>
          <w:w w:val="66"/>
          <w:shd w:val="solid" w:color="000000" w:fill="000000"/>
          <w:fitText w:val="438" w:id="-1256558073"/>
          <w14:textFill>
            <w14:solidFill>
              <w14:srgbClr w14:val="000000">
                <w14:alpha w14:val="100000"/>
              </w14:srgbClr>
            </w14:solidFill>
          </w14:textFill>
        </w:rPr>
        <w:t>|||||</w:t>
      </w:r>
      <w:r w:rsidR="00592818" w:rsidRPr="00592818">
        <w:rPr>
          <w:color w:val="000000"/>
          <w:spacing w:val="2"/>
          <w:w w:val="66"/>
          <w:shd w:val="solid" w:color="000000" w:fill="000000"/>
          <w:fitText w:val="438" w:id="-1256558073"/>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9" w:id="-1256558072"/>
          <w14:textFill>
            <w14:solidFill>
              <w14:srgbClr w14:val="000000">
                <w14:alpha w14:val="100000"/>
              </w14:srgbClr>
            </w14:solidFill>
          </w14:textFill>
        </w:rPr>
        <w:t>|||||</w:t>
      </w:r>
      <w:r w:rsidR="00592818" w:rsidRPr="00592818">
        <w:rPr>
          <w:color w:val="000000"/>
          <w:spacing w:val="3"/>
          <w:w w:val="66"/>
          <w:shd w:val="solid" w:color="000000" w:fill="000000"/>
          <w:fitText w:val="439" w:id="-1256558072"/>
          <w14:textFill>
            <w14:solidFill>
              <w14:srgbClr w14:val="000000">
                <w14:alpha w14:val="100000"/>
              </w14:srgbClr>
            </w14:solidFill>
          </w14:textFill>
        </w:rPr>
        <w:t>|</w:t>
      </w:r>
      <w:r w:rsidR="00592818" w:rsidRPr="00592818">
        <w:t xml:space="preserve"> </w:t>
      </w:r>
      <w:r w:rsidRPr="00D40E82">
        <w:t xml:space="preserve">at baseline was </w:t>
      </w:r>
      <w:r w:rsidR="00C36E53" w:rsidRPr="00D40E82">
        <w:t>“</w:t>
      </w:r>
      <w:r w:rsidRPr="00D40E82">
        <w:t>similar</w:t>
      </w:r>
      <w:r w:rsidR="00C36E53" w:rsidRPr="00D40E82">
        <w:t>”</w:t>
      </w:r>
      <w:r w:rsidRPr="00D40E82">
        <w:t xml:space="preserve"> between the two study populations (</w:t>
      </w:r>
      <w:r w:rsidR="00592818" w:rsidRPr="00592818">
        <w:rPr>
          <w:color w:val="000000"/>
          <w:w w:val="66"/>
          <w:shd w:val="solid" w:color="000000" w:fill="000000"/>
          <w:fitText w:val="439" w:id="-1256558071"/>
          <w14:textFill>
            <w14:solidFill>
              <w14:srgbClr w14:val="000000">
                <w14:alpha w14:val="100000"/>
              </w14:srgbClr>
            </w14:solidFill>
          </w14:textFill>
        </w:rPr>
        <w:t>|||||</w:t>
      </w:r>
      <w:r w:rsidR="00592818" w:rsidRPr="00592818">
        <w:rPr>
          <w:color w:val="000000"/>
          <w:spacing w:val="3"/>
          <w:w w:val="66"/>
          <w:shd w:val="solid" w:color="000000" w:fill="000000"/>
          <w:fitText w:val="439" w:id="-1256558071"/>
          <w14:textFill>
            <w14:solidFill>
              <w14:srgbClr w14:val="000000">
                <w14:alpha w14:val="100000"/>
              </w14:srgbClr>
            </w14:solidFill>
          </w14:textFill>
        </w:rPr>
        <w:t>|</w:t>
      </w:r>
      <w:r w:rsidR="00592818" w:rsidRPr="00592818">
        <w:t xml:space="preserve"> </w:t>
      </w:r>
      <w:r w:rsidR="00592818" w:rsidRPr="00592818">
        <w:rPr>
          <w:color w:val="000000"/>
          <w:w w:val="68"/>
          <w:shd w:val="solid" w:color="000000" w:fill="000000"/>
          <w:fitText w:val="451" w:id="-1256558070"/>
          <w14:textFill>
            <w14:solidFill>
              <w14:srgbClr w14:val="000000">
                <w14:alpha w14:val="100000"/>
              </w14:srgbClr>
            </w14:solidFill>
          </w14:textFill>
        </w:rPr>
        <w:t>|||||</w:t>
      </w:r>
      <w:r w:rsidR="00592818" w:rsidRPr="00592818">
        <w:rPr>
          <w:color w:val="000000"/>
          <w:spacing w:val="3"/>
          <w:w w:val="68"/>
          <w:shd w:val="solid" w:color="000000" w:fill="000000"/>
          <w:fitText w:val="451" w:id="-1256558070"/>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069"/>
          <w14:textFill>
            <w14:solidFill>
              <w14:srgbClr w14:val="000000">
                <w14:alpha w14:val="100000"/>
              </w14:srgbClr>
            </w14:solidFill>
          </w14:textFill>
        </w:rPr>
        <w:t>|||||</w:t>
      </w:r>
      <w:r w:rsidR="00592818" w:rsidRPr="00592818">
        <w:rPr>
          <w:color w:val="000000"/>
          <w:spacing w:val="2"/>
          <w:w w:val="66"/>
          <w:shd w:val="solid" w:color="000000" w:fill="000000"/>
          <w:fitText w:val="438" w:id="-1256558069"/>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068"/>
          <w14:textFill>
            <w14:solidFill>
              <w14:srgbClr w14:val="000000">
                <w14:alpha w14:val="100000"/>
              </w14:srgbClr>
            </w14:solidFill>
          </w14:textFill>
        </w:rPr>
        <w:t>|||||</w:t>
      </w:r>
      <w:r w:rsidR="00592818" w:rsidRPr="00592818">
        <w:rPr>
          <w:color w:val="000000"/>
          <w:spacing w:val="2"/>
          <w:w w:val="66"/>
          <w:shd w:val="solid" w:color="000000" w:fill="000000"/>
          <w:fitText w:val="438" w:id="-1256558068"/>
          <w14:textFill>
            <w14:solidFill>
              <w14:srgbClr w14:val="000000">
                <w14:alpha w14:val="100000"/>
              </w14:srgbClr>
            </w14:solidFill>
          </w14:textFill>
        </w:rPr>
        <w:t>|</w:t>
      </w:r>
      <w:r w:rsidR="00592818" w:rsidRPr="00592818">
        <w:t xml:space="preserve"> </w:t>
      </w:r>
      <w:r w:rsidR="00592818" w:rsidRPr="00592818">
        <w:rPr>
          <w:color w:val="000000"/>
          <w:w w:val="68"/>
          <w:shd w:val="solid" w:color="000000" w:fill="000000"/>
          <w:fitText w:val="451" w:id="-1256558067"/>
          <w14:textFill>
            <w14:solidFill>
              <w14:srgbClr w14:val="000000">
                <w14:alpha w14:val="100000"/>
              </w14:srgbClr>
            </w14:solidFill>
          </w14:textFill>
        </w:rPr>
        <w:t>|||||</w:t>
      </w:r>
      <w:r w:rsidR="00592818" w:rsidRPr="00592818">
        <w:rPr>
          <w:color w:val="000000"/>
          <w:spacing w:val="3"/>
          <w:w w:val="68"/>
          <w:shd w:val="solid" w:color="000000" w:fill="000000"/>
          <w:fitText w:val="451" w:id="-1256558067"/>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9" w:id="-1256558066"/>
          <w14:textFill>
            <w14:solidFill>
              <w14:srgbClr w14:val="000000">
                <w14:alpha w14:val="100000"/>
              </w14:srgbClr>
            </w14:solidFill>
          </w14:textFill>
        </w:rPr>
        <w:t>|||||</w:t>
      </w:r>
      <w:r w:rsidR="00592818" w:rsidRPr="00592818">
        <w:rPr>
          <w:color w:val="000000"/>
          <w:spacing w:val="3"/>
          <w:w w:val="66"/>
          <w:shd w:val="solid" w:color="000000" w:fill="000000"/>
          <w:fitText w:val="439" w:id="-1256558066"/>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065"/>
          <w14:textFill>
            <w14:solidFill>
              <w14:srgbClr w14:val="000000">
                <w14:alpha w14:val="100000"/>
              </w14:srgbClr>
            </w14:solidFill>
          </w14:textFill>
        </w:rPr>
        <w:t>|||||</w:t>
      </w:r>
      <w:r w:rsidR="00592818" w:rsidRPr="00592818">
        <w:rPr>
          <w:color w:val="000000"/>
          <w:spacing w:val="2"/>
          <w:w w:val="66"/>
          <w:shd w:val="solid" w:color="000000" w:fill="000000"/>
          <w:fitText w:val="438" w:id="-1256558065"/>
          <w14:textFill>
            <w14:solidFill>
              <w14:srgbClr w14:val="000000">
                <w14:alpha w14:val="100000"/>
              </w14:srgbClr>
            </w14:solidFill>
          </w14:textFill>
        </w:rPr>
        <w:t>|</w:t>
      </w:r>
      <w:r w:rsidR="00592818" w:rsidRPr="00592818">
        <w:t xml:space="preserve"> </w:t>
      </w:r>
      <w:r w:rsidR="00592818" w:rsidRPr="00592818">
        <w:rPr>
          <w:color w:val="000000"/>
          <w:w w:val="68"/>
          <w:shd w:val="solid" w:color="000000" w:fill="000000"/>
          <w:fitText w:val="451" w:id="-1256558064"/>
          <w14:textFill>
            <w14:solidFill>
              <w14:srgbClr w14:val="000000">
                <w14:alpha w14:val="100000"/>
              </w14:srgbClr>
            </w14:solidFill>
          </w14:textFill>
        </w:rPr>
        <w:t>|||||</w:t>
      </w:r>
      <w:r w:rsidR="00592818" w:rsidRPr="00592818">
        <w:rPr>
          <w:color w:val="000000"/>
          <w:spacing w:val="3"/>
          <w:w w:val="68"/>
          <w:shd w:val="solid" w:color="000000" w:fill="000000"/>
          <w:fitText w:val="451" w:id="-1256558064"/>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9" w:id="-1256558080"/>
          <w14:textFill>
            <w14:solidFill>
              <w14:srgbClr w14:val="000000">
                <w14:alpha w14:val="100000"/>
              </w14:srgbClr>
            </w14:solidFill>
          </w14:textFill>
        </w:rPr>
        <w:t>|||||</w:t>
      </w:r>
      <w:r w:rsidR="00592818" w:rsidRPr="00592818">
        <w:rPr>
          <w:color w:val="000000"/>
          <w:spacing w:val="3"/>
          <w:w w:val="66"/>
          <w:shd w:val="solid" w:color="000000" w:fill="000000"/>
          <w:fitText w:val="439" w:id="-1256558080"/>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079"/>
          <w14:textFill>
            <w14:solidFill>
              <w14:srgbClr w14:val="000000">
                <w14:alpha w14:val="100000"/>
              </w14:srgbClr>
            </w14:solidFill>
          </w14:textFill>
        </w:rPr>
        <w:t>|||||</w:t>
      </w:r>
      <w:r w:rsidR="00592818" w:rsidRPr="00592818">
        <w:rPr>
          <w:color w:val="000000"/>
          <w:spacing w:val="2"/>
          <w:w w:val="66"/>
          <w:shd w:val="solid" w:color="000000" w:fill="000000"/>
          <w:fitText w:val="438" w:id="-1256558079"/>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078"/>
          <w14:textFill>
            <w14:solidFill>
              <w14:srgbClr w14:val="000000">
                <w14:alpha w14:val="100000"/>
              </w14:srgbClr>
            </w14:solidFill>
          </w14:textFill>
        </w:rPr>
        <w:t>|||||</w:t>
      </w:r>
      <w:r w:rsidR="00592818" w:rsidRPr="00592818">
        <w:rPr>
          <w:color w:val="000000"/>
          <w:spacing w:val="2"/>
          <w:w w:val="66"/>
          <w:shd w:val="solid" w:color="000000" w:fill="000000"/>
          <w:fitText w:val="438" w:id="-1256558078"/>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077"/>
          <w14:textFill>
            <w14:solidFill>
              <w14:srgbClr w14:val="000000">
                <w14:alpha w14:val="100000"/>
              </w14:srgbClr>
            </w14:solidFill>
          </w14:textFill>
        </w:rPr>
        <w:t>|||||</w:t>
      </w:r>
      <w:r w:rsidR="00592818" w:rsidRPr="00592818">
        <w:rPr>
          <w:color w:val="000000"/>
          <w:spacing w:val="2"/>
          <w:w w:val="66"/>
          <w:shd w:val="solid" w:color="000000" w:fill="000000"/>
          <w:fitText w:val="438" w:id="-1256558077"/>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9" w:id="-1256558076"/>
          <w14:textFill>
            <w14:solidFill>
              <w14:srgbClr w14:val="000000">
                <w14:alpha w14:val="100000"/>
              </w14:srgbClr>
            </w14:solidFill>
          </w14:textFill>
        </w:rPr>
        <w:t>|||||</w:t>
      </w:r>
      <w:r w:rsidR="00592818" w:rsidRPr="00592818">
        <w:rPr>
          <w:color w:val="000000"/>
          <w:spacing w:val="3"/>
          <w:w w:val="66"/>
          <w:shd w:val="solid" w:color="000000" w:fill="000000"/>
          <w:fitText w:val="439" w:id="-1256558076"/>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075"/>
          <w14:textFill>
            <w14:solidFill>
              <w14:srgbClr w14:val="000000">
                <w14:alpha w14:val="100000"/>
              </w14:srgbClr>
            </w14:solidFill>
          </w14:textFill>
        </w:rPr>
        <w:t>|||||</w:t>
      </w:r>
      <w:r w:rsidR="00592818" w:rsidRPr="00592818">
        <w:rPr>
          <w:color w:val="000000"/>
          <w:spacing w:val="2"/>
          <w:w w:val="66"/>
          <w:shd w:val="solid" w:color="000000" w:fill="000000"/>
          <w:fitText w:val="438" w:id="-1256558075"/>
          <w14:textFill>
            <w14:solidFill>
              <w14:srgbClr w14:val="000000">
                <w14:alpha w14:val="100000"/>
              </w14:srgbClr>
            </w14:solidFill>
          </w14:textFill>
        </w:rPr>
        <w:t>|</w:t>
      </w:r>
      <w:r w:rsidRPr="00D40E82">
        <w:t>).</w:t>
      </w:r>
      <w:r w:rsidR="00737FF9" w:rsidRPr="00D40E82">
        <w:t xml:space="preserve"> There</w:t>
      </w:r>
      <w:r w:rsidR="00EE2051" w:rsidRPr="00D40E82">
        <w:t xml:space="preserve"> was no evidence to support this opinion and it could be equally argued that the difference of </w:t>
      </w:r>
      <w:r w:rsidR="00592818" w:rsidRPr="00592818">
        <w:rPr>
          <w:color w:val="000000"/>
          <w:w w:val="66"/>
          <w:shd w:val="solid" w:color="000000" w:fill="000000"/>
          <w:fitText w:val="439" w:id="-1256558074"/>
          <w14:textFill>
            <w14:solidFill>
              <w14:srgbClr w14:val="000000">
                <w14:alpha w14:val="100000"/>
              </w14:srgbClr>
            </w14:solidFill>
          </w14:textFill>
        </w:rPr>
        <w:t>|||||</w:t>
      </w:r>
      <w:r w:rsidR="00592818" w:rsidRPr="00592818">
        <w:rPr>
          <w:color w:val="000000"/>
          <w:spacing w:val="3"/>
          <w:w w:val="66"/>
          <w:shd w:val="solid" w:color="000000" w:fill="000000"/>
          <w:fitText w:val="439" w:id="-1256558074"/>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073"/>
          <w14:textFill>
            <w14:solidFill>
              <w14:srgbClr w14:val="000000">
                <w14:alpha w14:val="100000"/>
              </w14:srgbClr>
            </w14:solidFill>
          </w14:textFill>
        </w:rPr>
        <w:t>|||||</w:t>
      </w:r>
      <w:r w:rsidR="00592818" w:rsidRPr="00592818">
        <w:rPr>
          <w:color w:val="000000"/>
          <w:spacing w:val="2"/>
          <w:w w:val="66"/>
          <w:shd w:val="solid" w:color="000000" w:fill="000000"/>
          <w:fitText w:val="438" w:id="-1256558073"/>
          <w14:textFill>
            <w14:solidFill>
              <w14:srgbClr w14:val="000000">
                <w14:alpha w14:val="100000"/>
              </w14:srgbClr>
            </w14:solidFill>
          </w14:textFill>
        </w:rPr>
        <w:t>|</w:t>
      </w:r>
      <w:r w:rsidR="00592818" w:rsidRPr="00592818">
        <w:t xml:space="preserve"> </w:t>
      </w:r>
      <w:r w:rsidR="00592818" w:rsidRPr="00592818">
        <w:rPr>
          <w:color w:val="000000"/>
          <w:w w:val="68"/>
          <w:shd w:val="solid" w:color="000000" w:fill="000000"/>
          <w:fitText w:val="451" w:id="-1256558072"/>
          <w14:textFill>
            <w14:solidFill>
              <w14:srgbClr w14:val="000000">
                <w14:alpha w14:val="100000"/>
              </w14:srgbClr>
            </w14:solidFill>
          </w14:textFill>
        </w:rPr>
        <w:t>|||||</w:t>
      </w:r>
      <w:r w:rsidR="00592818" w:rsidRPr="00592818">
        <w:rPr>
          <w:color w:val="000000"/>
          <w:spacing w:val="3"/>
          <w:w w:val="68"/>
          <w:shd w:val="solid" w:color="000000" w:fill="000000"/>
          <w:fitText w:val="451" w:id="-1256558072"/>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9" w:id="-1256558071"/>
          <w14:textFill>
            <w14:solidFill>
              <w14:srgbClr w14:val="000000">
                <w14:alpha w14:val="100000"/>
              </w14:srgbClr>
            </w14:solidFill>
          </w14:textFill>
        </w:rPr>
        <w:t>|||||</w:t>
      </w:r>
      <w:r w:rsidR="00592818" w:rsidRPr="00592818">
        <w:rPr>
          <w:color w:val="000000"/>
          <w:spacing w:val="3"/>
          <w:w w:val="66"/>
          <w:shd w:val="solid" w:color="000000" w:fill="000000"/>
          <w:fitText w:val="439" w:id="-1256558071"/>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070"/>
          <w14:textFill>
            <w14:solidFill>
              <w14:srgbClr w14:val="000000">
                <w14:alpha w14:val="100000"/>
              </w14:srgbClr>
            </w14:solidFill>
          </w14:textFill>
        </w:rPr>
        <w:t>|||||</w:t>
      </w:r>
      <w:r w:rsidR="00592818" w:rsidRPr="00592818">
        <w:rPr>
          <w:color w:val="000000"/>
          <w:spacing w:val="2"/>
          <w:w w:val="66"/>
          <w:shd w:val="solid" w:color="000000" w:fill="000000"/>
          <w:fitText w:val="438" w:id="-1256558070"/>
          <w14:textFill>
            <w14:solidFill>
              <w14:srgbClr w14:val="000000">
                <w14:alpha w14:val="100000"/>
              </w14:srgbClr>
            </w14:solidFill>
          </w14:textFill>
        </w:rPr>
        <w:t>|</w:t>
      </w:r>
      <w:r w:rsidR="00592818" w:rsidRPr="00592818">
        <w:t xml:space="preserve"> </w:t>
      </w:r>
      <w:r w:rsidR="00592818" w:rsidRPr="00592818">
        <w:rPr>
          <w:color w:val="000000"/>
          <w:w w:val="68"/>
          <w:shd w:val="solid" w:color="000000" w:fill="000000"/>
          <w:fitText w:val="451" w:id="-1256558069"/>
          <w14:textFill>
            <w14:solidFill>
              <w14:srgbClr w14:val="000000">
                <w14:alpha w14:val="100000"/>
              </w14:srgbClr>
            </w14:solidFill>
          </w14:textFill>
        </w:rPr>
        <w:t>|||||</w:t>
      </w:r>
      <w:r w:rsidR="00592818" w:rsidRPr="00592818">
        <w:rPr>
          <w:color w:val="000000"/>
          <w:spacing w:val="3"/>
          <w:w w:val="68"/>
          <w:shd w:val="solid" w:color="000000" w:fill="000000"/>
          <w:fitText w:val="451" w:id="-1256558069"/>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9" w:id="-1256558068"/>
          <w14:textFill>
            <w14:solidFill>
              <w14:srgbClr w14:val="000000">
                <w14:alpha w14:val="100000"/>
              </w14:srgbClr>
            </w14:solidFill>
          </w14:textFill>
        </w:rPr>
        <w:t>|||||</w:t>
      </w:r>
      <w:r w:rsidR="00592818" w:rsidRPr="00592818">
        <w:rPr>
          <w:color w:val="000000"/>
          <w:spacing w:val="3"/>
          <w:w w:val="66"/>
          <w:shd w:val="solid" w:color="000000" w:fill="000000"/>
          <w:fitText w:val="439" w:id="-1256558068"/>
          <w14:textFill>
            <w14:solidFill>
              <w14:srgbClr w14:val="000000">
                <w14:alpha w14:val="100000"/>
              </w14:srgbClr>
            </w14:solidFill>
          </w14:textFill>
        </w:rPr>
        <w:t>|</w:t>
      </w:r>
      <w:r w:rsidR="00592818" w:rsidRPr="00592818">
        <w:t xml:space="preserve"> </w:t>
      </w:r>
      <w:r w:rsidR="00EE2051" w:rsidRPr="00D40E82">
        <w:t xml:space="preserve">that favours PASCAL may bias </w:t>
      </w:r>
      <w:r w:rsidR="0066754D" w:rsidRPr="00D40E82">
        <w:t xml:space="preserve">the MAIC </w:t>
      </w:r>
      <w:r w:rsidR="00EE2051" w:rsidRPr="00D40E82">
        <w:t xml:space="preserve">results, especially if </w:t>
      </w:r>
      <w:r w:rsidR="00592818" w:rsidRPr="00592818">
        <w:rPr>
          <w:color w:val="000000"/>
          <w:w w:val="66"/>
          <w:shd w:val="solid" w:color="000000" w:fill="000000"/>
          <w:fitText w:val="439" w:id="-1256558067"/>
          <w14:textFill>
            <w14:solidFill>
              <w14:srgbClr w14:val="000000">
                <w14:alpha w14:val="100000"/>
              </w14:srgbClr>
            </w14:solidFill>
          </w14:textFill>
        </w:rPr>
        <w:t>|||||</w:t>
      </w:r>
      <w:r w:rsidR="00592818" w:rsidRPr="00592818">
        <w:rPr>
          <w:color w:val="000000"/>
          <w:spacing w:val="3"/>
          <w:w w:val="66"/>
          <w:shd w:val="solid" w:color="000000" w:fill="000000"/>
          <w:fitText w:val="439" w:id="-1256558067"/>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066"/>
          <w14:textFill>
            <w14:solidFill>
              <w14:srgbClr w14:val="000000">
                <w14:alpha w14:val="100000"/>
              </w14:srgbClr>
            </w14:solidFill>
          </w14:textFill>
        </w:rPr>
        <w:t>|||||</w:t>
      </w:r>
      <w:r w:rsidR="00592818" w:rsidRPr="00592818">
        <w:rPr>
          <w:color w:val="000000"/>
          <w:spacing w:val="2"/>
          <w:w w:val="66"/>
          <w:shd w:val="solid" w:color="000000" w:fill="000000"/>
          <w:fitText w:val="438" w:id="-1256558066"/>
          <w14:textFill>
            <w14:solidFill>
              <w14:srgbClr w14:val="000000">
                <w14:alpha w14:val="100000"/>
              </w14:srgbClr>
            </w14:solidFill>
          </w14:textFill>
        </w:rPr>
        <w:t>|</w:t>
      </w:r>
      <w:r w:rsidR="00592818" w:rsidRPr="00592818">
        <w:t xml:space="preserve"> </w:t>
      </w:r>
      <w:r w:rsidR="0066754D" w:rsidRPr="00D40E82">
        <w:t>could be a treatment</w:t>
      </w:r>
      <w:r w:rsidR="00EE2051" w:rsidRPr="00D40E82">
        <w:t xml:space="preserve"> effect modifier.</w:t>
      </w:r>
      <w:r w:rsidR="00EE2051">
        <w:t xml:space="preserve">  </w:t>
      </w:r>
    </w:p>
    <w:p w14:paraId="18C25F3D" w14:textId="34233B0D" w:rsidR="009F78C8" w:rsidRDefault="00897108" w:rsidP="00E31963">
      <w:r w:rsidRPr="00566B47">
        <w:t xml:space="preserve">To deal with this concern, the </w:t>
      </w:r>
      <w:r w:rsidR="004174D0">
        <w:t xml:space="preserve">current </w:t>
      </w:r>
      <w:r w:rsidRPr="00566B47">
        <w:t xml:space="preserve">ADAR conducted a statistical test of association between </w:t>
      </w:r>
      <w:r w:rsidR="00592818" w:rsidRPr="00592818">
        <w:rPr>
          <w:color w:val="000000"/>
          <w:w w:val="66"/>
          <w:shd w:val="solid" w:color="000000" w:fill="000000"/>
          <w:fitText w:val="439" w:id="-1256558065"/>
          <w14:textFill>
            <w14:solidFill>
              <w14:srgbClr w14:val="000000">
                <w14:alpha w14:val="100000"/>
              </w14:srgbClr>
            </w14:solidFill>
          </w14:textFill>
        </w:rPr>
        <w:t>|||||</w:t>
      </w:r>
      <w:r w:rsidR="00592818" w:rsidRPr="00592818">
        <w:rPr>
          <w:color w:val="000000"/>
          <w:spacing w:val="3"/>
          <w:w w:val="66"/>
          <w:shd w:val="solid" w:color="000000" w:fill="000000"/>
          <w:fitText w:val="439" w:id="-1256558065"/>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9" w:id="-1256558064"/>
          <w14:textFill>
            <w14:solidFill>
              <w14:srgbClr w14:val="000000">
                <w14:alpha w14:val="100000"/>
              </w14:srgbClr>
            </w14:solidFill>
          </w14:textFill>
        </w:rPr>
        <w:t>|||||</w:t>
      </w:r>
      <w:r w:rsidR="00592818" w:rsidRPr="00592818">
        <w:rPr>
          <w:color w:val="000000"/>
          <w:spacing w:val="3"/>
          <w:w w:val="66"/>
          <w:shd w:val="solid" w:color="000000" w:fill="000000"/>
          <w:fitText w:val="439" w:id="-1256558064"/>
          <w14:textFill>
            <w14:solidFill>
              <w14:srgbClr w14:val="000000">
                <w14:alpha w14:val="100000"/>
              </w14:srgbClr>
            </w14:solidFill>
          </w14:textFill>
        </w:rPr>
        <w:t>|</w:t>
      </w:r>
      <w:r w:rsidRPr="00566B47">
        <w:t xml:space="preserve"> and major adverse events using two alternative values for MAEs, with and without occurrences of </w:t>
      </w:r>
      <w:r w:rsidR="00592818" w:rsidRPr="00592818">
        <w:rPr>
          <w:color w:val="000000"/>
          <w:w w:val="68"/>
          <w:shd w:val="solid" w:color="000000" w:fill="000000"/>
          <w:fitText w:val="450" w:id="-1256558080"/>
          <w14:textFill>
            <w14:solidFill>
              <w14:srgbClr w14:val="000000">
                <w14:alpha w14:val="100000"/>
              </w14:srgbClr>
            </w14:solidFill>
          </w14:textFill>
        </w:rPr>
        <w:t>|||||</w:t>
      </w:r>
      <w:r w:rsidR="00592818" w:rsidRPr="00592818">
        <w:rPr>
          <w:color w:val="000000"/>
          <w:spacing w:val="2"/>
          <w:w w:val="68"/>
          <w:shd w:val="solid" w:color="000000" w:fill="000000"/>
          <w:fitText w:val="450" w:id="-1256558080"/>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079"/>
          <w14:textFill>
            <w14:solidFill>
              <w14:srgbClr w14:val="000000">
                <w14:alpha w14:val="100000"/>
              </w14:srgbClr>
            </w14:solidFill>
          </w14:textFill>
        </w:rPr>
        <w:t>|||||</w:t>
      </w:r>
      <w:r w:rsidR="00592818" w:rsidRPr="00592818">
        <w:rPr>
          <w:color w:val="000000"/>
          <w:spacing w:val="2"/>
          <w:w w:val="66"/>
          <w:shd w:val="solid" w:color="000000" w:fill="000000"/>
          <w:fitText w:val="438" w:id="-1256558079"/>
          <w14:textFill>
            <w14:solidFill>
              <w14:srgbClr w14:val="000000">
                <w14:alpha w14:val="100000"/>
              </w14:srgbClr>
            </w14:solidFill>
          </w14:textFill>
        </w:rPr>
        <w:t>|</w:t>
      </w:r>
      <w:r w:rsidR="00A80F2F">
        <w:t>.</w:t>
      </w:r>
      <w:r w:rsidRPr="00566B47">
        <w:t xml:space="preserve"> In the FMR population, the degree of association (</w:t>
      </w:r>
      <w:proofErr w:type="spellStart"/>
      <w:r w:rsidRPr="00566B47">
        <w:t>Cramér's</w:t>
      </w:r>
      <w:proofErr w:type="spellEnd"/>
      <w:r w:rsidRPr="00566B47">
        <w:t xml:space="preserve"> V) reduced from “moderate” (0.3-0.5) to little (0.084) when a comparable MAE definition was used. However, in the mixed population</w:t>
      </w:r>
      <w:r w:rsidR="00E96796">
        <w:t>,</w:t>
      </w:r>
      <w:r w:rsidRPr="00566B47">
        <w:t xml:space="preserve"> </w:t>
      </w:r>
      <w:r w:rsidR="00E96796">
        <w:t>a</w:t>
      </w:r>
      <w:r w:rsidRPr="00566B47">
        <w:t xml:space="preserve"> moderate degree of association remained </w:t>
      </w:r>
      <w:proofErr w:type="spellStart"/>
      <w:r w:rsidRPr="00566B47">
        <w:t>Cramér's</w:t>
      </w:r>
      <w:proofErr w:type="spellEnd"/>
      <w:r w:rsidRPr="00566B47">
        <w:t xml:space="preserve"> V = 0.31. </w:t>
      </w:r>
    </w:p>
    <w:p w14:paraId="5B598C0F" w14:textId="7AACFB2C" w:rsidR="008D0CC9" w:rsidRDefault="00E465D6" w:rsidP="00091167">
      <w:pPr>
        <w:rPr>
          <w:i/>
          <w:iCs/>
        </w:rPr>
      </w:pPr>
      <w:r>
        <w:t>One</w:t>
      </w:r>
      <w:r w:rsidR="00B97BD7">
        <w:t xml:space="preserve"> additional MAIC identified in the current ADAR was also undertaken</w:t>
      </w:r>
      <w:r w:rsidR="003B561C">
        <w:t xml:space="preserve"> </w:t>
      </w:r>
      <w:r w:rsidR="006C1AE3">
        <w:t>in the context of address</w:t>
      </w:r>
      <w:r w:rsidR="00FD2336">
        <w:t>ing</w:t>
      </w:r>
      <w:r w:rsidR="006C1AE3">
        <w:t xml:space="preserve"> the persistent baseline </w:t>
      </w:r>
      <w:r w:rsidR="000B130F">
        <w:t>imbalances.</w:t>
      </w:r>
      <w:r w:rsidR="000B130F" w:rsidRPr="00566B47">
        <w:t xml:space="preserve"> The </w:t>
      </w:r>
      <w:r w:rsidR="000B130F">
        <w:t>current</w:t>
      </w:r>
      <w:r w:rsidR="000B130F" w:rsidRPr="00566B47">
        <w:t xml:space="preserve"> ADAR made a modification to the data by “pragmatically pooling the efficacy results for </w:t>
      </w:r>
      <w:r w:rsidR="000B130F" w:rsidRPr="003C1218">
        <w:t xml:space="preserve">MR severity </w:t>
      </w:r>
      <w:r w:rsidR="000B130F" w:rsidRPr="00566B47">
        <w:t xml:space="preserve">to include </w:t>
      </w:r>
      <w:r w:rsidR="00592818" w:rsidRPr="00592818">
        <w:rPr>
          <w:color w:val="000000"/>
          <w:w w:val="66"/>
          <w:shd w:val="solid" w:color="000000" w:fill="000000"/>
          <w:fitText w:val="438" w:id="-1256558078"/>
          <w14:textFill>
            <w14:solidFill>
              <w14:srgbClr w14:val="000000">
                <w14:alpha w14:val="100000"/>
              </w14:srgbClr>
            </w14:solidFill>
          </w14:textFill>
        </w:rPr>
        <w:t>|||||</w:t>
      </w:r>
      <w:r w:rsidR="00592818" w:rsidRPr="00592818">
        <w:rPr>
          <w:color w:val="000000"/>
          <w:spacing w:val="2"/>
          <w:w w:val="66"/>
          <w:shd w:val="solid" w:color="000000" w:fill="000000"/>
          <w:fitText w:val="438" w:id="-1256558078"/>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077"/>
          <w14:textFill>
            <w14:solidFill>
              <w14:srgbClr w14:val="000000">
                <w14:alpha w14:val="100000"/>
              </w14:srgbClr>
            </w14:solidFill>
          </w14:textFill>
        </w:rPr>
        <w:t>|||||</w:t>
      </w:r>
      <w:r w:rsidR="00592818" w:rsidRPr="00592818">
        <w:rPr>
          <w:color w:val="000000"/>
          <w:spacing w:val="2"/>
          <w:w w:val="66"/>
          <w:shd w:val="solid" w:color="000000" w:fill="000000"/>
          <w:fitText w:val="438" w:id="-1256558077"/>
          <w14:textFill>
            <w14:solidFill>
              <w14:srgbClr w14:val="000000">
                <w14:alpha w14:val="100000"/>
              </w14:srgbClr>
            </w14:solidFill>
          </w14:textFill>
        </w:rPr>
        <w:t>|</w:t>
      </w:r>
      <w:r w:rsidR="00592818" w:rsidRPr="00592818">
        <w:t xml:space="preserve"> </w:t>
      </w:r>
      <w:r w:rsidR="00592818" w:rsidRPr="00592818">
        <w:rPr>
          <w:color w:val="000000"/>
          <w:w w:val="68"/>
          <w:shd w:val="solid" w:color="000000" w:fill="000000"/>
          <w:fitText w:val="451" w:id="-1256558076"/>
          <w14:textFill>
            <w14:solidFill>
              <w14:srgbClr w14:val="000000">
                <w14:alpha w14:val="100000"/>
              </w14:srgbClr>
            </w14:solidFill>
          </w14:textFill>
        </w:rPr>
        <w:t>|||||</w:t>
      </w:r>
      <w:r w:rsidR="00592818" w:rsidRPr="00592818">
        <w:rPr>
          <w:color w:val="000000"/>
          <w:spacing w:val="3"/>
          <w:w w:val="68"/>
          <w:shd w:val="solid" w:color="000000" w:fill="000000"/>
          <w:fitText w:val="451" w:id="-1256558076"/>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075"/>
          <w14:textFill>
            <w14:solidFill>
              <w14:srgbClr w14:val="000000">
                <w14:alpha w14:val="100000"/>
              </w14:srgbClr>
            </w14:solidFill>
          </w14:textFill>
        </w:rPr>
        <w:t>|||||</w:t>
      </w:r>
      <w:r w:rsidR="00592818" w:rsidRPr="00592818">
        <w:rPr>
          <w:color w:val="000000"/>
          <w:spacing w:val="2"/>
          <w:w w:val="66"/>
          <w:shd w:val="solid" w:color="000000" w:fill="000000"/>
          <w:fitText w:val="438" w:id="-1256558075"/>
          <w14:textFill>
            <w14:solidFill>
              <w14:srgbClr w14:val="000000">
                <w14:alpha w14:val="100000"/>
              </w14:srgbClr>
            </w14:solidFill>
          </w14:textFill>
        </w:rPr>
        <w:t>|</w:t>
      </w:r>
      <w:r w:rsidR="00592818" w:rsidRPr="00592818">
        <w:t xml:space="preserve"> </w:t>
      </w:r>
      <w:r w:rsidR="000B130F" w:rsidRPr="00566B47">
        <w:t>as a single group”.</w:t>
      </w:r>
      <w:r w:rsidR="000B130F" w:rsidRPr="00981A4A">
        <w:t xml:space="preserve"> </w:t>
      </w:r>
      <w:r w:rsidR="00E15412">
        <w:t>The commentary considered that i</w:t>
      </w:r>
      <w:r w:rsidR="000B130F" w:rsidRPr="00427322">
        <w:t xml:space="preserve">t is not clear how this </w:t>
      </w:r>
      <w:r w:rsidR="00CA26D4" w:rsidRPr="00427322">
        <w:t xml:space="preserve">change </w:t>
      </w:r>
      <w:r w:rsidR="0066754D" w:rsidRPr="00427322">
        <w:t xml:space="preserve">would </w:t>
      </w:r>
      <w:r w:rsidR="000B130F" w:rsidRPr="00427322">
        <w:t xml:space="preserve">address the baseline differences </w:t>
      </w:r>
      <w:r w:rsidR="0066754D" w:rsidRPr="00427322">
        <w:t xml:space="preserve">as </w:t>
      </w:r>
      <w:r w:rsidR="000B130F" w:rsidRPr="00427322">
        <w:t>no patient</w:t>
      </w:r>
      <w:r w:rsidR="0066754D" w:rsidRPr="00427322">
        <w:t>s</w:t>
      </w:r>
      <w:r w:rsidR="000B130F" w:rsidRPr="00427322">
        <w:t xml:space="preserve"> </w:t>
      </w:r>
      <w:r w:rsidR="0066754D" w:rsidRPr="00427322">
        <w:t>had</w:t>
      </w:r>
      <w:r w:rsidR="000B130F" w:rsidRPr="00427322">
        <w:t xml:space="preserve"> </w:t>
      </w:r>
      <w:r w:rsidR="0066754D" w:rsidRPr="00427322">
        <w:t xml:space="preserve">a </w:t>
      </w:r>
      <w:r w:rsidR="00592818" w:rsidRPr="00592818">
        <w:rPr>
          <w:color w:val="000000"/>
          <w:w w:val="66"/>
          <w:shd w:val="solid" w:color="000000" w:fill="000000"/>
          <w:fitText w:val="438" w:id="-1256558074"/>
          <w14:textFill>
            <w14:solidFill>
              <w14:srgbClr w14:val="000000">
                <w14:alpha w14:val="100000"/>
              </w14:srgbClr>
            </w14:solidFill>
          </w14:textFill>
        </w:rPr>
        <w:t>|||||</w:t>
      </w:r>
      <w:r w:rsidR="00592818" w:rsidRPr="00592818">
        <w:rPr>
          <w:color w:val="000000"/>
          <w:spacing w:val="2"/>
          <w:w w:val="66"/>
          <w:shd w:val="solid" w:color="000000" w:fill="000000"/>
          <w:fitText w:val="438" w:id="-1256558074"/>
          <w14:textFill>
            <w14:solidFill>
              <w14:srgbClr w14:val="000000">
                <w14:alpha w14:val="100000"/>
              </w14:srgbClr>
            </w14:solidFill>
          </w14:textFill>
        </w:rPr>
        <w:t>|</w:t>
      </w:r>
      <w:r w:rsidR="00592818" w:rsidRPr="00592818">
        <w:t xml:space="preserve"> </w:t>
      </w:r>
      <w:r w:rsidR="00592818" w:rsidRPr="00592818">
        <w:rPr>
          <w:color w:val="000000"/>
          <w:w w:val="68"/>
          <w:shd w:val="solid" w:color="000000" w:fill="000000"/>
          <w:fitText w:val="451" w:id="-1256558073"/>
          <w14:textFill>
            <w14:solidFill>
              <w14:srgbClr w14:val="000000">
                <w14:alpha w14:val="100000"/>
              </w14:srgbClr>
            </w14:solidFill>
          </w14:textFill>
        </w:rPr>
        <w:t>|||||</w:t>
      </w:r>
      <w:r w:rsidR="00592818" w:rsidRPr="00592818">
        <w:rPr>
          <w:color w:val="000000"/>
          <w:spacing w:val="3"/>
          <w:w w:val="68"/>
          <w:shd w:val="solid" w:color="000000" w:fill="000000"/>
          <w:fitText w:val="451" w:id="-1256558073"/>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072"/>
          <w14:textFill>
            <w14:solidFill>
              <w14:srgbClr w14:val="000000">
                <w14:alpha w14:val="100000"/>
              </w14:srgbClr>
            </w14:solidFill>
          </w14:textFill>
        </w:rPr>
        <w:t>|||||</w:t>
      </w:r>
      <w:r w:rsidR="00592818" w:rsidRPr="00592818">
        <w:rPr>
          <w:color w:val="000000"/>
          <w:spacing w:val="2"/>
          <w:w w:val="66"/>
          <w:shd w:val="solid" w:color="000000" w:fill="000000"/>
          <w:fitText w:val="438" w:id="-1256558072"/>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071"/>
          <w14:textFill>
            <w14:solidFill>
              <w14:srgbClr w14:val="000000">
                <w14:alpha w14:val="100000"/>
              </w14:srgbClr>
            </w14:solidFill>
          </w14:textFill>
        </w:rPr>
        <w:t>|||||</w:t>
      </w:r>
      <w:r w:rsidR="00592818" w:rsidRPr="00592818">
        <w:rPr>
          <w:color w:val="000000"/>
          <w:spacing w:val="2"/>
          <w:w w:val="66"/>
          <w:shd w:val="solid" w:color="000000" w:fill="000000"/>
          <w:fitText w:val="438" w:id="-1256558071"/>
          <w14:textFill>
            <w14:solidFill>
              <w14:srgbClr w14:val="000000">
                <w14:alpha w14:val="100000"/>
              </w14:srgbClr>
            </w14:solidFill>
          </w14:textFill>
        </w:rPr>
        <w:t>|</w:t>
      </w:r>
      <w:r w:rsidR="00592818" w:rsidRPr="00592818">
        <w:t xml:space="preserve"> </w:t>
      </w:r>
      <w:r w:rsidR="00592818" w:rsidRPr="00592818">
        <w:rPr>
          <w:color w:val="000000"/>
          <w:w w:val="68"/>
          <w:shd w:val="solid" w:color="000000" w:fill="000000"/>
          <w:fitText w:val="451" w:id="-1256558070"/>
          <w14:textFill>
            <w14:solidFill>
              <w14:srgbClr w14:val="000000">
                <w14:alpha w14:val="100000"/>
              </w14:srgbClr>
            </w14:solidFill>
          </w14:textFill>
        </w:rPr>
        <w:t>|||||</w:t>
      </w:r>
      <w:r w:rsidR="00592818" w:rsidRPr="00592818">
        <w:rPr>
          <w:color w:val="000000"/>
          <w:spacing w:val="3"/>
          <w:w w:val="68"/>
          <w:shd w:val="solid" w:color="000000" w:fill="000000"/>
          <w:fitText w:val="451" w:id="-1256558070"/>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8069"/>
          <w14:textFill>
            <w14:solidFill>
              <w14:srgbClr w14:val="000000">
                <w14:alpha w14:val="100000"/>
              </w14:srgbClr>
            </w14:solidFill>
          </w14:textFill>
        </w:rPr>
        <w:t>|||||</w:t>
      </w:r>
      <w:r w:rsidR="00592818" w:rsidRPr="00592818">
        <w:rPr>
          <w:color w:val="000000"/>
          <w:spacing w:val="2"/>
          <w:w w:val="66"/>
          <w:shd w:val="solid" w:color="000000" w:fill="000000"/>
          <w:fitText w:val="438" w:id="-1256558069"/>
          <w14:textFill>
            <w14:solidFill>
              <w14:srgbClr w14:val="000000">
                <w14:alpha w14:val="100000"/>
              </w14:srgbClr>
            </w14:solidFill>
          </w14:textFill>
        </w:rPr>
        <w:t>|</w:t>
      </w:r>
      <w:r w:rsidR="00592818" w:rsidRPr="00592818">
        <w:t xml:space="preserve"> </w:t>
      </w:r>
      <w:r w:rsidR="000B130F" w:rsidRPr="00427322">
        <w:t>at baseline</w:t>
      </w:r>
      <w:r w:rsidR="0066754D" w:rsidRPr="00427322">
        <w:t>. However</w:t>
      </w:r>
      <w:r w:rsidR="004807F5" w:rsidRPr="00427322">
        <w:t>,</w:t>
      </w:r>
      <w:r w:rsidR="000B130F" w:rsidRPr="00427322">
        <w:t xml:space="preserve"> reducing the number of categories would affect the correlation coefficient, potentially bringing it to the desired “little or no association”. </w:t>
      </w:r>
    </w:p>
    <w:p w14:paraId="3B9FC2AD" w14:textId="4DDFCCE3" w:rsidR="00772829" w:rsidRDefault="00F35C7B" w:rsidP="002A18BE">
      <w:pPr>
        <w:pStyle w:val="Heading2"/>
        <w:numPr>
          <w:ilvl w:val="0"/>
          <w:numId w:val="0"/>
        </w:numPr>
      </w:pPr>
      <w:bookmarkStart w:id="29" w:name="_Toc69491423"/>
      <w:r>
        <w:t>11</w:t>
      </w:r>
      <w:r w:rsidR="00C36633">
        <w:t>.</w:t>
      </w:r>
      <w:r w:rsidR="00C36633">
        <w:tab/>
      </w:r>
      <w:bookmarkEnd w:id="29"/>
      <w:r w:rsidR="00884919">
        <w:t xml:space="preserve">Comparative safety </w:t>
      </w:r>
    </w:p>
    <w:p w14:paraId="73C114EE" w14:textId="7C9E96A4" w:rsidR="004D2587" w:rsidRDefault="008E4EF2" w:rsidP="004D2587">
      <w:r w:rsidRPr="004807F5">
        <w:rPr>
          <w:shd w:val="clear" w:color="auto" w:fill="B4C6E7" w:themeFill="accent5" w:themeFillTint="66"/>
        </w:rPr>
        <w:t xml:space="preserve">Unchanged from the previous ADAR, the </w:t>
      </w:r>
      <w:r w:rsidR="004D2587" w:rsidRPr="004807F5">
        <w:rPr>
          <w:shd w:val="clear" w:color="auto" w:fill="B4C6E7" w:themeFill="accent5" w:themeFillTint="66"/>
        </w:rPr>
        <w:t>current ADAR reaffirmed the clinical claim that the PASCAL</w:t>
      </w:r>
      <w:r w:rsidR="004D2587" w:rsidRPr="004807F5">
        <w:rPr>
          <w:shd w:val="clear" w:color="auto" w:fill="B4C6E7" w:themeFill="accent5" w:themeFillTint="66"/>
          <w:vertAlign w:val="superscript"/>
        </w:rPr>
        <w:t xml:space="preserve"> </w:t>
      </w:r>
      <w:r w:rsidR="004D2587" w:rsidRPr="004807F5">
        <w:rPr>
          <w:shd w:val="clear" w:color="auto" w:fill="B4C6E7" w:themeFill="accent5" w:themeFillTint="66"/>
        </w:rPr>
        <w:t>system is non</w:t>
      </w:r>
      <w:r w:rsidR="004D2587" w:rsidRPr="004807F5">
        <w:rPr>
          <w:shd w:val="clear" w:color="auto" w:fill="B4C6E7" w:themeFill="accent5" w:themeFillTint="66"/>
        </w:rPr>
        <w:noBreakHyphen/>
        <w:t xml:space="preserve">inferior in safety and efficacy compared with the </w:t>
      </w:r>
      <w:proofErr w:type="spellStart"/>
      <w:r w:rsidR="004D2587" w:rsidRPr="004807F5">
        <w:rPr>
          <w:shd w:val="clear" w:color="auto" w:fill="B4C6E7" w:themeFill="accent5" w:themeFillTint="66"/>
        </w:rPr>
        <w:t>MitraClip</w:t>
      </w:r>
      <w:proofErr w:type="spellEnd"/>
      <w:r w:rsidR="004D2587" w:rsidRPr="004807F5">
        <w:rPr>
          <w:shd w:val="clear" w:color="auto" w:fill="B4C6E7" w:themeFill="accent5" w:themeFillTint="66"/>
          <w:vertAlign w:val="superscript"/>
        </w:rPr>
        <w:t xml:space="preserve"> </w:t>
      </w:r>
      <w:r w:rsidR="004D2587" w:rsidRPr="004807F5">
        <w:rPr>
          <w:shd w:val="clear" w:color="auto" w:fill="B4C6E7" w:themeFill="accent5" w:themeFillTint="66"/>
        </w:rPr>
        <w:t>system.</w:t>
      </w:r>
      <w:r w:rsidR="004D2587">
        <w:t xml:space="preserve"> </w:t>
      </w:r>
      <w:r w:rsidR="004D2587" w:rsidRPr="00981A4A">
        <w:t xml:space="preserve">For this purpose, the current ADAR provided some new evidence, and altered, to some degree, the presentation of the evidence considered in the previous ADAR. </w:t>
      </w:r>
      <w:r w:rsidR="004D2587" w:rsidRPr="00427322">
        <w:t xml:space="preserve">The structure of the results in the </w:t>
      </w:r>
      <w:r w:rsidR="00981A4A">
        <w:t>ESC report</w:t>
      </w:r>
      <w:r w:rsidR="004D2587" w:rsidRPr="00427322">
        <w:t xml:space="preserve"> are organised, firstly, by study design according to the hierarchy of evidence, starting with the recently published direct comparative evidence, followed by the MAIC results (essentially the same as in the previous ADAR) and concluding with “naïve comparisons” of the outcomes extracted from the single-arm studies. Secondly, for each study design, the evidence is presented by the type of MR (where possible). To facilitate navigation through the multiple pieces of evidence, </w:t>
      </w:r>
      <w:r w:rsidR="00981A4A">
        <w:fldChar w:fldCharType="begin"/>
      </w:r>
      <w:r w:rsidR="00981A4A">
        <w:instrText xml:space="preserve"> REF _Ref113335906 \h </w:instrText>
      </w:r>
      <w:r w:rsidR="00981A4A">
        <w:fldChar w:fldCharType="separate"/>
      </w:r>
      <w:r w:rsidR="00981A4A">
        <w:t xml:space="preserve">Table </w:t>
      </w:r>
      <w:r w:rsidR="00981A4A">
        <w:rPr>
          <w:noProof/>
        </w:rPr>
        <w:t>4</w:t>
      </w:r>
      <w:r w:rsidR="00981A4A">
        <w:fldChar w:fldCharType="end"/>
      </w:r>
      <w:r w:rsidR="00981A4A">
        <w:t xml:space="preserve"> </w:t>
      </w:r>
      <w:r w:rsidR="004D2587" w:rsidRPr="00427322">
        <w:t>was designed to serve as a “road map” for the results.</w:t>
      </w:r>
      <w:r w:rsidR="004D2587" w:rsidRPr="00981A4A">
        <w:t xml:space="preserve"> </w:t>
      </w:r>
      <w:r w:rsidR="004D2587" w:rsidRPr="00427322">
        <w:t>Nevertheless, navigation through the numerous outcomes collected at the different observational timepoints with respect to two population subgroups and subjected to the different methods of analysis and result presentation add complexity</w:t>
      </w:r>
      <w:r w:rsidR="004D2587" w:rsidRPr="00981A4A">
        <w:t>.</w:t>
      </w:r>
    </w:p>
    <w:p w14:paraId="514CDE41" w14:textId="4438CC74" w:rsidR="004D2587" w:rsidRPr="00C42B9B" w:rsidRDefault="004D2587" w:rsidP="00E96796">
      <w:pPr>
        <w:pStyle w:val="Caption"/>
        <w:rPr>
          <w:b w:val="0"/>
          <w:bCs w:val="0"/>
        </w:rPr>
      </w:pPr>
      <w:bookmarkStart w:id="30" w:name="_Ref113335906"/>
      <w:r>
        <w:lastRenderedPageBreak/>
        <w:t xml:space="preserve">Table </w:t>
      </w:r>
      <w:fldSimple w:instr=" SEQ Table \* ARABIC ">
        <w:r w:rsidR="007512A8">
          <w:rPr>
            <w:noProof/>
          </w:rPr>
          <w:t>4</w:t>
        </w:r>
      </w:fldSimple>
      <w:bookmarkEnd w:id="30"/>
      <w:r w:rsidRPr="00C42B9B">
        <w:tab/>
      </w:r>
      <w:r>
        <w:t xml:space="preserve">Structure of the evidence presentation </w:t>
      </w:r>
    </w:p>
    <w:tbl>
      <w:tblPr>
        <w:tblStyle w:val="TableGrid"/>
        <w:tblW w:w="9492" w:type="dxa"/>
        <w:tblLook w:val="04A0" w:firstRow="1" w:lastRow="0" w:firstColumn="1" w:lastColumn="0" w:noHBand="0" w:noVBand="1"/>
      </w:tblPr>
      <w:tblGrid>
        <w:gridCol w:w="1803"/>
        <w:gridCol w:w="1201"/>
        <w:gridCol w:w="2378"/>
        <w:gridCol w:w="2559"/>
        <w:gridCol w:w="1551"/>
      </w:tblGrid>
      <w:tr w:rsidR="00091167" w:rsidRPr="00BE5EFA" w14:paraId="4D229C50" w14:textId="77777777" w:rsidTr="0019519D">
        <w:trPr>
          <w:tblHeader/>
        </w:trPr>
        <w:tc>
          <w:tcPr>
            <w:tcW w:w="1803" w:type="dxa"/>
            <w:vAlign w:val="center"/>
          </w:tcPr>
          <w:p w14:paraId="0CF73DC1" w14:textId="77777777" w:rsidR="004D2587" w:rsidRPr="000E2156" w:rsidRDefault="004D2587" w:rsidP="0019519D">
            <w:pPr>
              <w:keepNext/>
              <w:spacing w:before="40" w:after="40"/>
              <w:rPr>
                <w:rFonts w:ascii="Arial Narrow" w:hAnsi="Arial Narrow"/>
                <w:b/>
                <w:bCs/>
                <w:sz w:val="20"/>
                <w:szCs w:val="20"/>
              </w:rPr>
            </w:pPr>
            <w:r w:rsidRPr="000E2156">
              <w:rPr>
                <w:rFonts w:ascii="Arial Narrow" w:hAnsi="Arial Narrow"/>
                <w:b/>
                <w:bCs/>
                <w:sz w:val="20"/>
                <w:szCs w:val="20"/>
              </w:rPr>
              <w:t xml:space="preserve">Study design/type of analysis </w:t>
            </w:r>
          </w:p>
        </w:tc>
        <w:tc>
          <w:tcPr>
            <w:tcW w:w="1201" w:type="dxa"/>
            <w:vAlign w:val="center"/>
          </w:tcPr>
          <w:p w14:paraId="0408DC4D" w14:textId="77777777" w:rsidR="004D2587" w:rsidRPr="000E2156" w:rsidRDefault="004D2587" w:rsidP="0019519D">
            <w:pPr>
              <w:keepNext/>
              <w:spacing w:before="40" w:after="40"/>
              <w:jc w:val="center"/>
              <w:rPr>
                <w:rFonts w:ascii="Arial Narrow" w:hAnsi="Arial Narrow"/>
                <w:b/>
                <w:bCs/>
                <w:sz w:val="20"/>
                <w:szCs w:val="20"/>
              </w:rPr>
            </w:pPr>
            <w:r w:rsidRPr="000E2156">
              <w:rPr>
                <w:rFonts w:ascii="Arial Narrow" w:hAnsi="Arial Narrow"/>
                <w:b/>
                <w:bCs/>
                <w:sz w:val="20"/>
                <w:szCs w:val="20"/>
              </w:rPr>
              <w:t>Whether new to MSAC1662.1</w:t>
            </w:r>
          </w:p>
        </w:tc>
        <w:tc>
          <w:tcPr>
            <w:tcW w:w="2378" w:type="dxa"/>
            <w:vAlign w:val="center"/>
          </w:tcPr>
          <w:p w14:paraId="62F81883" w14:textId="324C9274" w:rsidR="004D2587" w:rsidRPr="000E2156" w:rsidRDefault="004D2587" w:rsidP="0019519D">
            <w:pPr>
              <w:keepNext/>
              <w:spacing w:before="40" w:after="40"/>
              <w:jc w:val="center"/>
              <w:rPr>
                <w:rFonts w:ascii="Arial Narrow" w:hAnsi="Arial Narrow"/>
                <w:b/>
                <w:bCs/>
                <w:sz w:val="20"/>
                <w:szCs w:val="20"/>
              </w:rPr>
            </w:pPr>
            <w:r w:rsidRPr="000E2156">
              <w:rPr>
                <w:rFonts w:ascii="Arial Narrow" w:hAnsi="Arial Narrow"/>
                <w:b/>
                <w:bCs/>
                <w:sz w:val="20"/>
                <w:szCs w:val="20"/>
              </w:rPr>
              <w:t xml:space="preserve">New evidence </w:t>
            </w:r>
            <w:r>
              <w:rPr>
                <w:rFonts w:ascii="Arial Narrow" w:hAnsi="Arial Narrow"/>
                <w:b/>
                <w:bCs/>
                <w:sz w:val="20"/>
                <w:szCs w:val="20"/>
              </w:rPr>
              <w:t>included in the 1</w:t>
            </w:r>
            <w:r w:rsidRPr="000E2156">
              <w:rPr>
                <w:rFonts w:ascii="Arial Narrow" w:hAnsi="Arial Narrow"/>
                <w:b/>
                <w:bCs/>
                <w:sz w:val="20"/>
                <w:szCs w:val="20"/>
              </w:rPr>
              <w:t>662.1</w:t>
            </w:r>
            <w:r>
              <w:rPr>
                <w:rFonts w:ascii="Arial Narrow" w:hAnsi="Arial Narrow"/>
                <w:b/>
                <w:bCs/>
                <w:sz w:val="20"/>
                <w:szCs w:val="20"/>
              </w:rPr>
              <w:t xml:space="preserve"> ADAR</w:t>
            </w:r>
          </w:p>
        </w:tc>
        <w:tc>
          <w:tcPr>
            <w:tcW w:w="2559" w:type="dxa"/>
            <w:vAlign w:val="center"/>
          </w:tcPr>
          <w:p w14:paraId="62D14FAD" w14:textId="77777777" w:rsidR="004D2587" w:rsidRPr="000E2156" w:rsidRDefault="004D2587" w:rsidP="0019519D">
            <w:pPr>
              <w:keepNext/>
              <w:spacing w:before="40" w:after="40"/>
              <w:jc w:val="center"/>
              <w:rPr>
                <w:rFonts w:ascii="Arial Narrow" w:hAnsi="Arial Narrow"/>
                <w:b/>
                <w:bCs/>
                <w:sz w:val="20"/>
                <w:szCs w:val="20"/>
              </w:rPr>
            </w:pPr>
            <w:r>
              <w:rPr>
                <w:rFonts w:ascii="Arial Narrow" w:hAnsi="Arial Narrow"/>
                <w:b/>
                <w:bCs/>
                <w:sz w:val="20"/>
                <w:szCs w:val="20"/>
              </w:rPr>
              <w:t>Evidence assessed</w:t>
            </w:r>
            <w:r w:rsidRPr="000E2156">
              <w:rPr>
                <w:rFonts w:ascii="Arial Narrow" w:hAnsi="Arial Narrow"/>
                <w:b/>
                <w:bCs/>
                <w:sz w:val="20"/>
                <w:szCs w:val="20"/>
              </w:rPr>
              <w:t xml:space="preserve"> </w:t>
            </w:r>
            <w:r>
              <w:rPr>
                <w:rFonts w:ascii="Arial Narrow" w:hAnsi="Arial Narrow"/>
                <w:b/>
                <w:bCs/>
                <w:sz w:val="20"/>
                <w:szCs w:val="20"/>
              </w:rPr>
              <w:t>and included in ES</w:t>
            </w:r>
          </w:p>
        </w:tc>
        <w:tc>
          <w:tcPr>
            <w:tcW w:w="1551" w:type="dxa"/>
            <w:vAlign w:val="center"/>
          </w:tcPr>
          <w:p w14:paraId="12EA83E1" w14:textId="77777777" w:rsidR="004D2587" w:rsidRPr="000E2156" w:rsidRDefault="004D2587" w:rsidP="0019519D">
            <w:pPr>
              <w:keepNext/>
              <w:spacing w:before="40" w:after="40"/>
              <w:jc w:val="center"/>
              <w:rPr>
                <w:rFonts w:ascii="Arial Narrow" w:hAnsi="Arial Narrow"/>
                <w:b/>
                <w:bCs/>
                <w:sz w:val="20"/>
                <w:szCs w:val="20"/>
              </w:rPr>
            </w:pPr>
            <w:r>
              <w:rPr>
                <w:rFonts w:ascii="Arial Narrow" w:hAnsi="Arial Narrow"/>
                <w:b/>
                <w:bCs/>
                <w:sz w:val="20"/>
                <w:szCs w:val="20"/>
              </w:rPr>
              <w:t>Comments</w:t>
            </w:r>
          </w:p>
        </w:tc>
      </w:tr>
      <w:tr w:rsidR="00091167" w:rsidRPr="00BE5EFA" w14:paraId="01CA26CE" w14:textId="77777777" w:rsidTr="003540E7">
        <w:tc>
          <w:tcPr>
            <w:tcW w:w="1803" w:type="dxa"/>
          </w:tcPr>
          <w:p w14:paraId="1B7D4932" w14:textId="5A896EEC" w:rsidR="004D2587" w:rsidRPr="00BE5EFA" w:rsidRDefault="004D2587" w:rsidP="0019519D">
            <w:pPr>
              <w:keepNext/>
              <w:spacing w:before="40" w:after="40"/>
              <w:rPr>
                <w:rFonts w:ascii="Arial Narrow" w:hAnsi="Arial Narrow"/>
                <w:sz w:val="20"/>
                <w:szCs w:val="20"/>
              </w:rPr>
            </w:pPr>
            <w:r>
              <w:rPr>
                <w:rFonts w:ascii="Arial Narrow" w:hAnsi="Arial Narrow"/>
                <w:sz w:val="20"/>
                <w:szCs w:val="20"/>
              </w:rPr>
              <w:t>Non</w:t>
            </w:r>
            <w:r w:rsidR="00636B8B">
              <w:rPr>
                <w:rFonts w:ascii="Arial Narrow" w:hAnsi="Arial Narrow"/>
                <w:sz w:val="20"/>
                <w:szCs w:val="20"/>
              </w:rPr>
              <w:t>-</w:t>
            </w:r>
            <w:r>
              <w:rPr>
                <w:rFonts w:ascii="Arial Narrow" w:hAnsi="Arial Narrow"/>
                <w:sz w:val="20"/>
                <w:szCs w:val="20"/>
              </w:rPr>
              <w:t>randomised comparative trials in the mixed DMR/FMR subgroup</w:t>
            </w:r>
          </w:p>
        </w:tc>
        <w:tc>
          <w:tcPr>
            <w:tcW w:w="1201" w:type="dxa"/>
          </w:tcPr>
          <w:p w14:paraId="306DB79D" w14:textId="77777777" w:rsidR="004D2587" w:rsidRPr="00BE5EFA" w:rsidRDefault="004D2587" w:rsidP="0019519D">
            <w:pPr>
              <w:keepNext/>
              <w:spacing w:before="40" w:after="40"/>
              <w:rPr>
                <w:rFonts w:ascii="Arial Narrow" w:hAnsi="Arial Narrow"/>
                <w:sz w:val="20"/>
                <w:szCs w:val="20"/>
              </w:rPr>
            </w:pPr>
            <w:r>
              <w:rPr>
                <w:rFonts w:ascii="Arial Narrow" w:hAnsi="Arial Narrow"/>
                <w:sz w:val="20"/>
                <w:szCs w:val="20"/>
              </w:rPr>
              <w:t>Yes</w:t>
            </w:r>
          </w:p>
        </w:tc>
        <w:tc>
          <w:tcPr>
            <w:tcW w:w="2378" w:type="dxa"/>
          </w:tcPr>
          <w:p w14:paraId="7C29E191" w14:textId="77777777" w:rsidR="004D2587" w:rsidRPr="00BE5EFA" w:rsidRDefault="004D2587" w:rsidP="0019519D">
            <w:pPr>
              <w:keepNext/>
              <w:spacing w:before="40" w:after="40"/>
              <w:rPr>
                <w:rFonts w:ascii="Arial Narrow" w:hAnsi="Arial Narrow"/>
                <w:sz w:val="20"/>
                <w:szCs w:val="20"/>
              </w:rPr>
            </w:pPr>
            <w:r>
              <w:rPr>
                <w:rFonts w:ascii="Arial Narrow" w:hAnsi="Arial Narrow"/>
                <w:sz w:val="20"/>
                <w:szCs w:val="20"/>
              </w:rPr>
              <w:t>Two full-text studies (</w:t>
            </w:r>
            <w:r w:rsidRPr="000E2156">
              <w:rPr>
                <w:rFonts w:ascii="Arial Narrow" w:hAnsi="Arial Narrow"/>
                <w:sz w:val="20"/>
                <w:szCs w:val="20"/>
              </w:rPr>
              <w:t xml:space="preserve">Geis 2022, </w:t>
            </w:r>
            <w:proofErr w:type="spellStart"/>
            <w:r w:rsidRPr="000E2156">
              <w:rPr>
                <w:rFonts w:ascii="Arial Narrow" w:hAnsi="Arial Narrow"/>
                <w:sz w:val="20"/>
                <w:szCs w:val="20"/>
              </w:rPr>
              <w:t>Gerçek</w:t>
            </w:r>
            <w:proofErr w:type="spellEnd"/>
            <w:r w:rsidRPr="000E2156">
              <w:rPr>
                <w:rFonts w:ascii="Arial Narrow" w:hAnsi="Arial Narrow"/>
                <w:sz w:val="20"/>
                <w:szCs w:val="20"/>
              </w:rPr>
              <w:t xml:space="preserve"> 2021</w:t>
            </w:r>
            <w:r>
              <w:rPr>
                <w:rFonts w:ascii="Arial Narrow" w:hAnsi="Arial Narrow"/>
                <w:sz w:val="20"/>
                <w:szCs w:val="20"/>
              </w:rPr>
              <w:t>) and a research letter (</w:t>
            </w:r>
            <w:proofErr w:type="spellStart"/>
            <w:r w:rsidRPr="000E2156">
              <w:rPr>
                <w:rFonts w:ascii="Arial Narrow" w:hAnsi="Arial Narrow"/>
                <w:sz w:val="20"/>
                <w:szCs w:val="20"/>
              </w:rPr>
              <w:t>Haschemi</w:t>
            </w:r>
            <w:proofErr w:type="spellEnd"/>
            <w:r w:rsidRPr="000E2156">
              <w:rPr>
                <w:rFonts w:ascii="Arial Narrow" w:hAnsi="Arial Narrow"/>
                <w:sz w:val="20"/>
                <w:szCs w:val="20"/>
              </w:rPr>
              <w:t>, 2022)</w:t>
            </w:r>
            <w:r w:rsidRPr="00957379">
              <w:rPr>
                <w:rFonts w:ascii="Arial Narrow" w:hAnsi="Arial Narrow"/>
                <w:sz w:val="20"/>
                <w:szCs w:val="20"/>
                <w:vertAlign w:val="superscript"/>
              </w:rPr>
              <w:t>1</w:t>
            </w:r>
            <w:r>
              <w:rPr>
                <w:rFonts w:ascii="Arial Narrow" w:hAnsi="Arial Narrow"/>
                <w:sz w:val="20"/>
                <w:szCs w:val="20"/>
              </w:rPr>
              <w:t xml:space="preserve"> were newly presented in the current ADAR</w:t>
            </w:r>
          </w:p>
        </w:tc>
        <w:tc>
          <w:tcPr>
            <w:tcW w:w="2559" w:type="dxa"/>
          </w:tcPr>
          <w:p w14:paraId="6DBF6837" w14:textId="77777777" w:rsidR="004D2587" w:rsidRPr="00BE5EFA" w:rsidRDefault="004D2587" w:rsidP="0019519D">
            <w:pPr>
              <w:keepNext/>
              <w:spacing w:before="40" w:after="40"/>
              <w:rPr>
                <w:rFonts w:ascii="Arial Narrow" w:hAnsi="Arial Narrow"/>
                <w:sz w:val="20"/>
                <w:szCs w:val="20"/>
              </w:rPr>
            </w:pPr>
            <w:r>
              <w:rPr>
                <w:rFonts w:ascii="Arial Narrow" w:hAnsi="Arial Narrow"/>
                <w:sz w:val="20"/>
                <w:szCs w:val="20"/>
              </w:rPr>
              <w:t>Evaluators conducted an independent quality assessment</w:t>
            </w:r>
            <w:r>
              <w:rPr>
                <w:rFonts w:ascii="Arial Narrow" w:hAnsi="Arial Narrow"/>
                <w:sz w:val="20"/>
                <w:szCs w:val="20"/>
                <w:vertAlign w:val="superscript"/>
              </w:rPr>
              <w:t>2</w:t>
            </w:r>
            <w:r>
              <w:rPr>
                <w:rFonts w:ascii="Arial Narrow" w:hAnsi="Arial Narrow"/>
                <w:sz w:val="20"/>
                <w:szCs w:val="20"/>
              </w:rPr>
              <w:t xml:space="preserve"> and excluded </w:t>
            </w:r>
            <w:proofErr w:type="spellStart"/>
            <w:r w:rsidRPr="00E21061">
              <w:rPr>
                <w:rFonts w:ascii="Arial Narrow" w:hAnsi="Arial Narrow"/>
                <w:sz w:val="20"/>
                <w:szCs w:val="20"/>
              </w:rPr>
              <w:t>Gerçek</w:t>
            </w:r>
            <w:proofErr w:type="spellEnd"/>
            <w:r w:rsidRPr="00E21061">
              <w:rPr>
                <w:rFonts w:ascii="Arial Narrow" w:hAnsi="Arial Narrow"/>
                <w:sz w:val="20"/>
                <w:szCs w:val="20"/>
              </w:rPr>
              <w:t xml:space="preserve"> (2021) as associated with severe degree of bias</w:t>
            </w:r>
          </w:p>
        </w:tc>
        <w:tc>
          <w:tcPr>
            <w:tcW w:w="1551" w:type="dxa"/>
          </w:tcPr>
          <w:p w14:paraId="630DFF96" w14:textId="77777777" w:rsidR="004D2587" w:rsidRDefault="004D2587" w:rsidP="0019519D">
            <w:pPr>
              <w:keepNext/>
              <w:spacing w:before="40" w:after="40"/>
              <w:rPr>
                <w:rFonts w:ascii="Arial Narrow" w:hAnsi="Arial Narrow"/>
                <w:sz w:val="20"/>
                <w:szCs w:val="20"/>
              </w:rPr>
            </w:pPr>
            <w:r>
              <w:rPr>
                <w:rFonts w:ascii="Arial Narrow" w:hAnsi="Arial Narrow"/>
                <w:sz w:val="20"/>
                <w:szCs w:val="20"/>
              </w:rPr>
              <w:t>Includes only m</w:t>
            </w:r>
            <w:r w:rsidRPr="00590A0C">
              <w:rPr>
                <w:rFonts w:ascii="Arial Narrow" w:hAnsi="Arial Narrow"/>
                <w:sz w:val="20"/>
                <w:szCs w:val="20"/>
              </w:rPr>
              <w:t xml:space="preserve">ixed </w:t>
            </w:r>
            <w:r>
              <w:rPr>
                <w:rFonts w:ascii="Arial Narrow" w:hAnsi="Arial Narrow"/>
                <w:sz w:val="20"/>
                <w:szCs w:val="20"/>
              </w:rPr>
              <w:t>DMR/FMR subgroup</w:t>
            </w:r>
          </w:p>
          <w:p w14:paraId="2B131634" w14:textId="77777777" w:rsidR="004D2587" w:rsidRPr="00BE5EFA" w:rsidRDefault="004D2587" w:rsidP="0019519D">
            <w:pPr>
              <w:keepNext/>
              <w:spacing w:before="40" w:after="40"/>
              <w:rPr>
                <w:rFonts w:ascii="Arial Narrow" w:hAnsi="Arial Narrow"/>
                <w:sz w:val="20"/>
                <w:szCs w:val="20"/>
              </w:rPr>
            </w:pPr>
          </w:p>
        </w:tc>
      </w:tr>
      <w:tr w:rsidR="00091167" w:rsidRPr="00BE5EFA" w14:paraId="7602026B" w14:textId="77777777" w:rsidTr="004807F5">
        <w:tc>
          <w:tcPr>
            <w:tcW w:w="1803" w:type="dxa"/>
            <w:shd w:val="clear" w:color="auto" w:fill="B4C6E7" w:themeFill="accent5" w:themeFillTint="66"/>
          </w:tcPr>
          <w:p w14:paraId="530FEA91" w14:textId="3B4F9BA8" w:rsidR="004D2587" w:rsidRPr="00BE5EFA" w:rsidRDefault="004D2587" w:rsidP="0019519D">
            <w:pPr>
              <w:keepNext/>
              <w:spacing w:before="40" w:after="40"/>
              <w:rPr>
                <w:rFonts w:ascii="Arial Narrow" w:hAnsi="Arial Narrow"/>
                <w:sz w:val="20"/>
                <w:szCs w:val="20"/>
              </w:rPr>
            </w:pPr>
            <w:r>
              <w:rPr>
                <w:rFonts w:ascii="Arial Narrow" w:hAnsi="Arial Narrow"/>
                <w:sz w:val="20"/>
                <w:szCs w:val="20"/>
              </w:rPr>
              <w:t>MAIC (base-case and sensitivity analyses). All outcomes essentially remained as in the previous ADAR</w:t>
            </w:r>
          </w:p>
        </w:tc>
        <w:tc>
          <w:tcPr>
            <w:tcW w:w="1201" w:type="dxa"/>
            <w:shd w:val="clear" w:color="auto" w:fill="B4C6E7" w:themeFill="accent5" w:themeFillTint="66"/>
          </w:tcPr>
          <w:p w14:paraId="24A68BCD" w14:textId="4733264F" w:rsidR="004D2587" w:rsidRPr="00BE5EFA" w:rsidRDefault="004D2587" w:rsidP="0019519D">
            <w:pPr>
              <w:keepNext/>
              <w:spacing w:before="40" w:after="40"/>
              <w:rPr>
                <w:rFonts w:ascii="Arial Narrow" w:hAnsi="Arial Narrow"/>
                <w:sz w:val="20"/>
                <w:szCs w:val="20"/>
              </w:rPr>
            </w:pPr>
            <w:r>
              <w:rPr>
                <w:rFonts w:ascii="Arial Narrow" w:hAnsi="Arial Narrow"/>
                <w:sz w:val="20"/>
                <w:szCs w:val="20"/>
              </w:rPr>
              <w:t>No</w:t>
            </w:r>
            <w:r w:rsidR="0032489F">
              <w:rPr>
                <w:rFonts w:ascii="Arial Narrow" w:hAnsi="Arial Narrow"/>
                <w:sz w:val="20"/>
                <w:szCs w:val="20"/>
              </w:rPr>
              <w:t xml:space="preserve"> </w:t>
            </w:r>
            <w:r w:rsidRPr="00FD326D">
              <w:rPr>
                <w:rFonts w:ascii="Arial Narrow" w:hAnsi="Arial Narrow"/>
                <w:sz w:val="20"/>
                <w:szCs w:val="20"/>
                <w:vertAlign w:val="superscript"/>
              </w:rPr>
              <w:t>3</w:t>
            </w:r>
            <w:r>
              <w:rPr>
                <w:rFonts w:ascii="Arial Narrow" w:hAnsi="Arial Narrow"/>
                <w:sz w:val="20"/>
                <w:szCs w:val="20"/>
              </w:rPr>
              <w:t xml:space="preserve"> </w:t>
            </w:r>
          </w:p>
        </w:tc>
        <w:tc>
          <w:tcPr>
            <w:tcW w:w="2378" w:type="dxa"/>
            <w:shd w:val="clear" w:color="auto" w:fill="B4C6E7" w:themeFill="accent5" w:themeFillTint="66"/>
          </w:tcPr>
          <w:p w14:paraId="244E0A1F" w14:textId="4987B910" w:rsidR="004D2587" w:rsidRPr="00BE5EFA" w:rsidRDefault="004D2587" w:rsidP="0019519D">
            <w:pPr>
              <w:keepNext/>
              <w:spacing w:before="40" w:after="40"/>
              <w:rPr>
                <w:rFonts w:ascii="Arial Narrow" w:hAnsi="Arial Narrow"/>
                <w:sz w:val="20"/>
                <w:szCs w:val="20"/>
              </w:rPr>
            </w:pPr>
            <w:r>
              <w:rPr>
                <w:rFonts w:ascii="Arial Narrow" w:hAnsi="Arial Narrow"/>
                <w:sz w:val="20"/>
                <w:szCs w:val="20"/>
              </w:rPr>
              <w:t>None. T</w:t>
            </w:r>
            <w:r w:rsidRPr="00E63BA4">
              <w:rPr>
                <w:rFonts w:ascii="Arial Narrow" w:hAnsi="Arial Narrow"/>
                <w:sz w:val="20"/>
                <w:szCs w:val="20"/>
              </w:rPr>
              <w:t xml:space="preserve">he </w:t>
            </w:r>
            <w:r>
              <w:rPr>
                <w:rFonts w:ascii="Arial Narrow" w:hAnsi="Arial Narrow"/>
                <w:sz w:val="20"/>
                <w:szCs w:val="20"/>
              </w:rPr>
              <w:t>current ADAR relied</w:t>
            </w:r>
            <w:r w:rsidRPr="00E63BA4">
              <w:rPr>
                <w:rFonts w:ascii="Arial Narrow" w:hAnsi="Arial Narrow"/>
                <w:sz w:val="20"/>
                <w:szCs w:val="20"/>
              </w:rPr>
              <w:t xml:space="preserve"> on the same small-size, </w:t>
            </w:r>
            <w:r>
              <w:rPr>
                <w:rFonts w:ascii="Arial Narrow" w:hAnsi="Arial Narrow"/>
                <w:sz w:val="20"/>
                <w:szCs w:val="20"/>
              </w:rPr>
              <w:t>single</w:t>
            </w:r>
            <w:r w:rsidRPr="00E63BA4">
              <w:rPr>
                <w:rFonts w:ascii="Arial Narrow" w:hAnsi="Arial Narrow"/>
                <w:sz w:val="20"/>
                <w:szCs w:val="20"/>
              </w:rPr>
              <w:t xml:space="preserve">-arm </w:t>
            </w:r>
            <w:r>
              <w:rPr>
                <w:rFonts w:ascii="Arial Narrow" w:hAnsi="Arial Narrow"/>
                <w:sz w:val="20"/>
                <w:szCs w:val="20"/>
              </w:rPr>
              <w:t xml:space="preserve">feasibility </w:t>
            </w:r>
            <w:r w:rsidRPr="00E63BA4">
              <w:rPr>
                <w:rFonts w:ascii="Arial Narrow" w:hAnsi="Arial Narrow"/>
                <w:sz w:val="20"/>
                <w:szCs w:val="20"/>
              </w:rPr>
              <w:t>study</w:t>
            </w:r>
            <w:r>
              <w:rPr>
                <w:rFonts w:ascii="Arial Narrow" w:hAnsi="Arial Narrow"/>
                <w:sz w:val="20"/>
                <w:szCs w:val="20"/>
              </w:rPr>
              <w:t xml:space="preserve"> </w:t>
            </w:r>
            <w:r w:rsidRPr="00E63BA4">
              <w:rPr>
                <w:rFonts w:ascii="Arial Narrow" w:hAnsi="Arial Narrow"/>
                <w:sz w:val="20"/>
                <w:szCs w:val="20"/>
              </w:rPr>
              <w:t>(</w:t>
            </w:r>
            <w:proofErr w:type="spellStart"/>
            <w:r w:rsidRPr="00E63BA4">
              <w:rPr>
                <w:rFonts w:ascii="Arial Narrow" w:hAnsi="Arial Narrow"/>
                <w:sz w:val="20"/>
                <w:szCs w:val="20"/>
              </w:rPr>
              <w:t>Szerlip</w:t>
            </w:r>
            <w:proofErr w:type="spellEnd"/>
            <w:r w:rsidRPr="00E63BA4">
              <w:rPr>
                <w:rFonts w:ascii="Arial Narrow" w:hAnsi="Arial Narrow"/>
                <w:sz w:val="20"/>
                <w:szCs w:val="20"/>
              </w:rPr>
              <w:t>, 2021)</w:t>
            </w:r>
            <w:r>
              <w:rPr>
                <w:rFonts w:ascii="Arial Narrow" w:hAnsi="Arial Narrow"/>
                <w:sz w:val="20"/>
                <w:szCs w:val="20"/>
              </w:rPr>
              <w:t xml:space="preserve"> and t</w:t>
            </w:r>
            <w:r w:rsidRPr="009967A4">
              <w:rPr>
                <w:rFonts w:ascii="Arial Narrow" w:hAnsi="Arial Narrow"/>
                <w:sz w:val="20"/>
                <w:szCs w:val="20"/>
              </w:rPr>
              <w:t>he unanchored MAIC th</w:t>
            </w:r>
            <w:r>
              <w:rPr>
                <w:rFonts w:ascii="Arial Narrow" w:hAnsi="Arial Narrow"/>
                <w:sz w:val="20"/>
                <w:szCs w:val="20"/>
              </w:rPr>
              <w:t>at</w:t>
            </w:r>
            <w:r w:rsidRPr="009967A4">
              <w:rPr>
                <w:rFonts w:ascii="Arial Narrow" w:hAnsi="Arial Narrow"/>
                <w:sz w:val="20"/>
                <w:szCs w:val="20"/>
              </w:rPr>
              <w:t xml:space="preserve"> carries an unknown risk of bias</w:t>
            </w:r>
          </w:p>
        </w:tc>
        <w:tc>
          <w:tcPr>
            <w:tcW w:w="2559" w:type="dxa"/>
            <w:shd w:val="clear" w:color="auto" w:fill="B4C6E7" w:themeFill="accent5" w:themeFillTint="66"/>
          </w:tcPr>
          <w:p w14:paraId="60E70826" w14:textId="77777777" w:rsidR="004D2587" w:rsidRPr="00BE5EFA" w:rsidRDefault="004D2587" w:rsidP="0019519D">
            <w:pPr>
              <w:keepNext/>
              <w:spacing w:before="40" w:after="40"/>
              <w:rPr>
                <w:rFonts w:ascii="Arial Narrow" w:hAnsi="Arial Narrow"/>
                <w:sz w:val="20"/>
                <w:szCs w:val="20"/>
              </w:rPr>
            </w:pPr>
            <w:r>
              <w:rPr>
                <w:rFonts w:ascii="Arial Narrow" w:hAnsi="Arial Narrow"/>
                <w:sz w:val="20"/>
                <w:szCs w:val="20"/>
              </w:rPr>
              <w:t xml:space="preserve">MAIC safety and effectiveness results from the previous ADAR were replicated in the current ADAR. There were non-essential variations in aggregating the categories of MR severity </w:t>
            </w:r>
          </w:p>
        </w:tc>
        <w:tc>
          <w:tcPr>
            <w:tcW w:w="1551" w:type="dxa"/>
            <w:shd w:val="clear" w:color="auto" w:fill="B4C6E7" w:themeFill="accent5" w:themeFillTint="66"/>
          </w:tcPr>
          <w:p w14:paraId="1A307F2F" w14:textId="7BAE2404" w:rsidR="004D2587" w:rsidRDefault="004D2587" w:rsidP="0019519D">
            <w:pPr>
              <w:keepNext/>
              <w:spacing w:before="40" w:after="40"/>
              <w:rPr>
                <w:rFonts w:ascii="Arial Narrow" w:hAnsi="Arial Narrow"/>
                <w:sz w:val="20"/>
                <w:szCs w:val="20"/>
              </w:rPr>
            </w:pPr>
            <w:r>
              <w:rPr>
                <w:rFonts w:ascii="Arial Narrow" w:hAnsi="Arial Narrow"/>
                <w:sz w:val="20"/>
                <w:szCs w:val="20"/>
              </w:rPr>
              <w:t>FMR and DMR/FMR subgroups</w:t>
            </w:r>
          </w:p>
          <w:p w14:paraId="518BFEB2" w14:textId="77777777" w:rsidR="004D2587" w:rsidRPr="00BE5EFA" w:rsidRDefault="004D2587" w:rsidP="0019519D">
            <w:pPr>
              <w:keepNext/>
              <w:spacing w:before="40" w:after="40"/>
              <w:rPr>
                <w:rFonts w:ascii="Arial Narrow" w:hAnsi="Arial Narrow"/>
                <w:sz w:val="20"/>
                <w:szCs w:val="20"/>
              </w:rPr>
            </w:pPr>
          </w:p>
        </w:tc>
      </w:tr>
      <w:tr w:rsidR="00091167" w:rsidRPr="00BE5EFA" w14:paraId="4C3AA46A" w14:textId="77777777" w:rsidTr="003540E7">
        <w:tc>
          <w:tcPr>
            <w:tcW w:w="1803" w:type="dxa"/>
          </w:tcPr>
          <w:p w14:paraId="3C5FA50D" w14:textId="77777777" w:rsidR="004D2587" w:rsidRDefault="004D2587" w:rsidP="0019519D">
            <w:pPr>
              <w:keepNext/>
              <w:spacing w:before="40" w:after="40"/>
              <w:rPr>
                <w:rFonts w:ascii="Arial Narrow" w:hAnsi="Arial Narrow"/>
                <w:sz w:val="20"/>
                <w:szCs w:val="20"/>
              </w:rPr>
            </w:pPr>
            <w:r>
              <w:rPr>
                <w:rFonts w:ascii="Arial Narrow" w:hAnsi="Arial Narrow"/>
                <w:sz w:val="20"/>
                <w:szCs w:val="20"/>
              </w:rPr>
              <w:t>MAIC (base-case) MR severity</w:t>
            </w:r>
          </w:p>
        </w:tc>
        <w:tc>
          <w:tcPr>
            <w:tcW w:w="1201" w:type="dxa"/>
          </w:tcPr>
          <w:p w14:paraId="3C4BAA3C" w14:textId="77777777" w:rsidR="004D2587" w:rsidRPr="00C55AFE" w:rsidRDefault="004D2587" w:rsidP="0019519D">
            <w:pPr>
              <w:keepNext/>
              <w:spacing w:before="40" w:after="40"/>
              <w:rPr>
                <w:rFonts w:ascii="Arial Narrow" w:hAnsi="Arial Narrow"/>
                <w:sz w:val="20"/>
                <w:szCs w:val="20"/>
                <w:highlight w:val="yellow"/>
              </w:rPr>
            </w:pPr>
            <w:r w:rsidRPr="009911B7">
              <w:rPr>
                <w:rFonts w:ascii="Arial Narrow" w:hAnsi="Arial Narrow"/>
                <w:sz w:val="20"/>
                <w:szCs w:val="20"/>
              </w:rPr>
              <w:t>Yes</w:t>
            </w:r>
          </w:p>
        </w:tc>
        <w:tc>
          <w:tcPr>
            <w:tcW w:w="2378" w:type="dxa"/>
          </w:tcPr>
          <w:p w14:paraId="3DCE875B" w14:textId="77777777" w:rsidR="004D2587" w:rsidRPr="00BE5EFA" w:rsidRDefault="004D2587" w:rsidP="0019519D">
            <w:pPr>
              <w:keepNext/>
              <w:spacing w:before="40" w:after="40"/>
              <w:rPr>
                <w:rFonts w:ascii="Arial Narrow" w:hAnsi="Arial Narrow"/>
                <w:sz w:val="20"/>
                <w:szCs w:val="20"/>
              </w:rPr>
            </w:pPr>
            <w:r w:rsidRPr="004D7191">
              <w:rPr>
                <w:rFonts w:ascii="Arial Narrow" w:hAnsi="Arial Narrow"/>
                <w:sz w:val="20"/>
                <w:szCs w:val="20"/>
              </w:rPr>
              <w:t>MR severity in grades 0 and 1+ were pooled in a single (0-1+) MR severity category.</w:t>
            </w:r>
            <w:r>
              <w:rPr>
                <w:rFonts w:ascii="Arial Narrow" w:hAnsi="Arial Narrow"/>
                <w:sz w:val="20"/>
                <w:szCs w:val="20"/>
              </w:rPr>
              <w:t xml:space="preserve"> R</w:t>
            </w:r>
            <w:r w:rsidRPr="009E5AAF">
              <w:rPr>
                <w:rFonts w:ascii="Arial Narrow" w:hAnsi="Arial Narrow"/>
                <w:sz w:val="20"/>
                <w:szCs w:val="20"/>
              </w:rPr>
              <w:t>esults of logistic regression analyses comparing CLASP (weighted) with COAPT have lost statistical significance, which appears to be the only objective of the additional MAIC exercise</w:t>
            </w:r>
            <w:r>
              <w:rPr>
                <w:rFonts w:ascii="Arial Narrow" w:hAnsi="Arial Narrow"/>
                <w:sz w:val="20"/>
                <w:szCs w:val="20"/>
              </w:rPr>
              <w:t>.</w:t>
            </w:r>
          </w:p>
        </w:tc>
        <w:tc>
          <w:tcPr>
            <w:tcW w:w="2559" w:type="dxa"/>
          </w:tcPr>
          <w:p w14:paraId="372B7371" w14:textId="17B9398B" w:rsidR="004D2587" w:rsidRPr="00BE5EFA" w:rsidRDefault="004D2587" w:rsidP="0019519D">
            <w:pPr>
              <w:keepNext/>
              <w:spacing w:before="40" w:after="40"/>
              <w:rPr>
                <w:rFonts w:ascii="Arial Narrow" w:hAnsi="Arial Narrow"/>
                <w:sz w:val="20"/>
                <w:szCs w:val="20"/>
              </w:rPr>
            </w:pPr>
            <w:r>
              <w:rPr>
                <w:rFonts w:ascii="Arial Narrow" w:hAnsi="Arial Narrow"/>
                <w:sz w:val="20"/>
                <w:szCs w:val="20"/>
              </w:rPr>
              <w:t xml:space="preserve">Pooling </w:t>
            </w:r>
            <w:r w:rsidRPr="004D7191">
              <w:rPr>
                <w:rFonts w:ascii="Arial Narrow" w:hAnsi="Arial Narrow"/>
                <w:sz w:val="20"/>
                <w:szCs w:val="20"/>
              </w:rPr>
              <w:t>grades 0 and 1+ in a single (0-1+) MR severity category</w:t>
            </w:r>
            <w:r>
              <w:rPr>
                <w:rFonts w:ascii="Arial Narrow" w:hAnsi="Arial Narrow"/>
                <w:sz w:val="20"/>
                <w:szCs w:val="20"/>
              </w:rPr>
              <w:t xml:space="preserve"> was meant to address a potential bias from the persistent </w:t>
            </w:r>
            <w:r w:rsidRPr="000E234F">
              <w:rPr>
                <w:rFonts w:ascii="Arial Narrow" w:hAnsi="Arial Narrow"/>
                <w:sz w:val="20"/>
                <w:szCs w:val="20"/>
              </w:rPr>
              <w:t>baseline imbalances</w:t>
            </w:r>
            <w:r>
              <w:rPr>
                <w:rFonts w:ascii="Arial Narrow" w:hAnsi="Arial Narrow"/>
                <w:sz w:val="20"/>
                <w:szCs w:val="20"/>
              </w:rPr>
              <w:t xml:space="preserve"> in MR severity and STS risk scores in the CLASP (weighted) and COAPT populations. </w:t>
            </w:r>
          </w:p>
        </w:tc>
        <w:tc>
          <w:tcPr>
            <w:tcW w:w="1551" w:type="dxa"/>
          </w:tcPr>
          <w:p w14:paraId="18F89789" w14:textId="77777777" w:rsidR="004D2587" w:rsidRPr="00BE5EFA" w:rsidRDefault="004D2587" w:rsidP="0019519D">
            <w:pPr>
              <w:keepNext/>
              <w:spacing w:before="40" w:after="40"/>
              <w:rPr>
                <w:rFonts w:ascii="Arial Narrow" w:hAnsi="Arial Narrow"/>
                <w:sz w:val="20"/>
                <w:szCs w:val="20"/>
              </w:rPr>
            </w:pPr>
            <w:r>
              <w:rPr>
                <w:rFonts w:ascii="Arial Narrow" w:hAnsi="Arial Narrow"/>
                <w:sz w:val="20"/>
                <w:szCs w:val="20"/>
              </w:rPr>
              <w:t xml:space="preserve">Only a base-case analysis was conducted and only in relation to FMR subgroup </w:t>
            </w:r>
          </w:p>
        </w:tc>
      </w:tr>
      <w:tr w:rsidR="00091167" w:rsidRPr="00BE5EFA" w14:paraId="5F98A784" w14:textId="77777777" w:rsidTr="003540E7">
        <w:tc>
          <w:tcPr>
            <w:tcW w:w="1803" w:type="dxa"/>
          </w:tcPr>
          <w:p w14:paraId="32630BBD" w14:textId="77777777" w:rsidR="004D2587" w:rsidRDefault="004D2587" w:rsidP="0019519D">
            <w:pPr>
              <w:keepNext/>
              <w:spacing w:before="40" w:after="40"/>
              <w:rPr>
                <w:rFonts w:ascii="Arial Narrow" w:hAnsi="Arial Narrow"/>
                <w:sz w:val="20"/>
                <w:szCs w:val="20"/>
              </w:rPr>
            </w:pPr>
            <w:r>
              <w:rPr>
                <w:rFonts w:ascii="Arial Narrow" w:hAnsi="Arial Narrow"/>
                <w:sz w:val="20"/>
                <w:szCs w:val="20"/>
              </w:rPr>
              <w:t>MAIC (base-case)</w:t>
            </w:r>
          </w:p>
          <w:p w14:paraId="1CC61FBD" w14:textId="77777777" w:rsidR="004D2587" w:rsidRPr="00BE5EFA" w:rsidRDefault="004D2587" w:rsidP="0019519D">
            <w:pPr>
              <w:keepNext/>
              <w:spacing w:before="40" w:after="40"/>
              <w:rPr>
                <w:rFonts w:ascii="Arial Narrow" w:hAnsi="Arial Narrow"/>
                <w:sz w:val="20"/>
                <w:szCs w:val="20"/>
              </w:rPr>
            </w:pPr>
            <w:r>
              <w:rPr>
                <w:rFonts w:ascii="Arial Narrow" w:hAnsi="Arial Narrow"/>
                <w:sz w:val="20"/>
                <w:szCs w:val="20"/>
              </w:rPr>
              <w:t xml:space="preserve">NYHA class I or II aggregated in a single category </w:t>
            </w:r>
          </w:p>
        </w:tc>
        <w:tc>
          <w:tcPr>
            <w:tcW w:w="1201" w:type="dxa"/>
          </w:tcPr>
          <w:p w14:paraId="77BC5379" w14:textId="77777777" w:rsidR="004D2587" w:rsidRPr="00BE5EFA" w:rsidRDefault="004D2587" w:rsidP="0019519D">
            <w:pPr>
              <w:keepNext/>
              <w:spacing w:before="40" w:after="40"/>
              <w:rPr>
                <w:rFonts w:ascii="Arial Narrow" w:hAnsi="Arial Narrow"/>
                <w:sz w:val="20"/>
                <w:szCs w:val="20"/>
              </w:rPr>
            </w:pPr>
            <w:r>
              <w:rPr>
                <w:rFonts w:ascii="Arial Narrow" w:hAnsi="Arial Narrow"/>
                <w:sz w:val="20"/>
                <w:szCs w:val="20"/>
              </w:rPr>
              <w:t>Yes</w:t>
            </w:r>
          </w:p>
        </w:tc>
        <w:tc>
          <w:tcPr>
            <w:tcW w:w="2378" w:type="dxa"/>
          </w:tcPr>
          <w:p w14:paraId="0EDB438B" w14:textId="77777777" w:rsidR="004D2587" w:rsidRPr="00BE5EFA" w:rsidRDefault="004D2587" w:rsidP="0019519D">
            <w:pPr>
              <w:keepNext/>
              <w:spacing w:before="40" w:after="40"/>
              <w:rPr>
                <w:rFonts w:ascii="Arial Narrow" w:hAnsi="Arial Narrow"/>
                <w:sz w:val="20"/>
                <w:szCs w:val="20"/>
              </w:rPr>
            </w:pPr>
            <w:r>
              <w:rPr>
                <w:rFonts w:ascii="Arial Narrow" w:hAnsi="Arial Narrow"/>
                <w:sz w:val="20"/>
                <w:szCs w:val="20"/>
              </w:rPr>
              <w:t>In the previous ADAR only 12 month NYHA class outcomes were reported for DMR/FMR subgroup. These were replaced with 24 month outcomes in the current ADAR.</w:t>
            </w:r>
          </w:p>
        </w:tc>
        <w:tc>
          <w:tcPr>
            <w:tcW w:w="2559" w:type="dxa"/>
          </w:tcPr>
          <w:p w14:paraId="0CBAE545" w14:textId="61E6C112" w:rsidR="004D2587" w:rsidRPr="00BE5EFA" w:rsidRDefault="004D2587" w:rsidP="0019519D">
            <w:pPr>
              <w:keepNext/>
              <w:spacing w:before="40" w:after="40"/>
              <w:rPr>
                <w:rFonts w:ascii="Arial Narrow" w:hAnsi="Arial Narrow"/>
                <w:sz w:val="20"/>
                <w:szCs w:val="20"/>
              </w:rPr>
            </w:pPr>
            <w:r>
              <w:rPr>
                <w:rFonts w:ascii="Arial Narrow" w:hAnsi="Arial Narrow"/>
                <w:sz w:val="20"/>
                <w:szCs w:val="20"/>
              </w:rPr>
              <w:t>Additional MAIC analyses were undertaken for the 24 month NYHA class I and II in DMR/FMR subgroup. For FMR subgroup MAIC for 24 months was also added for the current ADAR (see NYHA results)</w:t>
            </w:r>
          </w:p>
        </w:tc>
        <w:tc>
          <w:tcPr>
            <w:tcW w:w="1551" w:type="dxa"/>
          </w:tcPr>
          <w:p w14:paraId="78FA3D43" w14:textId="77777777" w:rsidR="004D2587" w:rsidRDefault="004D2587" w:rsidP="0019519D">
            <w:pPr>
              <w:keepNext/>
              <w:spacing w:before="40" w:after="40"/>
              <w:rPr>
                <w:rFonts w:ascii="Arial Narrow" w:hAnsi="Arial Narrow"/>
                <w:sz w:val="20"/>
                <w:szCs w:val="20"/>
              </w:rPr>
            </w:pPr>
            <w:r>
              <w:rPr>
                <w:rFonts w:ascii="Arial Narrow" w:hAnsi="Arial Narrow"/>
                <w:sz w:val="20"/>
                <w:szCs w:val="20"/>
              </w:rPr>
              <w:t>FMR  and DMR/FMR subgroups</w:t>
            </w:r>
          </w:p>
          <w:p w14:paraId="330D3232" w14:textId="77777777" w:rsidR="004D2587" w:rsidRPr="00BE5EFA" w:rsidRDefault="004D2587" w:rsidP="0019519D">
            <w:pPr>
              <w:keepNext/>
              <w:spacing w:before="40" w:after="40"/>
              <w:rPr>
                <w:rFonts w:ascii="Arial Narrow" w:hAnsi="Arial Narrow"/>
                <w:sz w:val="20"/>
                <w:szCs w:val="20"/>
              </w:rPr>
            </w:pPr>
            <w:r>
              <w:rPr>
                <w:rFonts w:ascii="Arial Narrow" w:hAnsi="Arial Narrow"/>
                <w:sz w:val="20"/>
                <w:szCs w:val="20"/>
              </w:rPr>
              <w:t>Only base-case analyses were undertaken</w:t>
            </w:r>
          </w:p>
        </w:tc>
      </w:tr>
      <w:tr w:rsidR="00091167" w:rsidRPr="00BE5EFA" w14:paraId="26C09778" w14:textId="77777777" w:rsidTr="003540E7">
        <w:tc>
          <w:tcPr>
            <w:tcW w:w="1803" w:type="dxa"/>
          </w:tcPr>
          <w:p w14:paraId="150411DA" w14:textId="77777777" w:rsidR="004D2587" w:rsidRDefault="004D2587" w:rsidP="0019519D">
            <w:pPr>
              <w:keepNext/>
              <w:spacing w:before="40" w:after="40"/>
              <w:rPr>
                <w:rFonts w:ascii="Arial Narrow" w:hAnsi="Arial Narrow"/>
                <w:sz w:val="20"/>
                <w:szCs w:val="20"/>
              </w:rPr>
            </w:pPr>
            <w:r>
              <w:rPr>
                <w:rFonts w:ascii="Arial Narrow" w:hAnsi="Arial Narrow"/>
                <w:sz w:val="20"/>
                <w:szCs w:val="20"/>
              </w:rPr>
              <w:t>N</w:t>
            </w:r>
            <w:r w:rsidRPr="000C2152">
              <w:rPr>
                <w:rFonts w:ascii="Arial Narrow" w:hAnsi="Arial Narrow"/>
                <w:sz w:val="20"/>
                <w:szCs w:val="20"/>
              </w:rPr>
              <w:t>aïve comparisons</w:t>
            </w:r>
            <w:r>
              <w:rPr>
                <w:rFonts w:ascii="Arial Narrow" w:hAnsi="Arial Narrow"/>
                <w:sz w:val="20"/>
                <w:szCs w:val="20"/>
              </w:rPr>
              <w:t xml:space="preserve"> of outcomes observed in </w:t>
            </w:r>
            <w:r w:rsidRPr="00DC7C73">
              <w:rPr>
                <w:rFonts w:ascii="Arial Narrow" w:hAnsi="Arial Narrow"/>
                <w:sz w:val="20"/>
                <w:szCs w:val="20"/>
              </w:rPr>
              <w:t>single-arm</w:t>
            </w:r>
            <w:r>
              <w:rPr>
                <w:rFonts w:ascii="Arial Narrow" w:hAnsi="Arial Narrow"/>
                <w:sz w:val="20"/>
                <w:szCs w:val="20"/>
              </w:rPr>
              <w:t xml:space="preserve"> datasets </w:t>
            </w:r>
          </w:p>
        </w:tc>
        <w:tc>
          <w:tcPr>
            <w:tcW w:w="1201" w:type="dxa"/>
          </w:tcPr>
          <w:p w14:paraId="582D9B8E" w14:textId="77777777" w:rsidR="004D2587" w:rsidRPr="00C55AFE" w:rsidRDefault="004D2587" w:rsidP="0019519D">
            <w:pPr>
              <w:keepNext/>
              <w:spacing w:before="40" w:after="40"/>
              <w:rPr>
                <w:rFonts w:ascii="Arial Narrow" w:hAnsi="Arial Narrow"/>
                <w:sz w:val="20"/>
                <w:szCs w:val="20"/>
                <w:highlight w:val="yellow"/>
              </w:rPr>
            </w:pPr>
            <w:r w:rsidRPr="000C2152">
              <w:rPr>
                <w:rFonts w:ascii="Arial Narrow" w:hAnsi="Arial Narrow"/>
                <w:sz w:val="20"/>
                <w:szCs w:val="20"/>
              </w:rPr>
              <w:t>Yes</w:t>
            </w:r>
          </w:p>
        </w:tc>
        <w:tc>
          <w:tcPr>
            <w:tcW w:w="2378" w:type="dxa"/>
          </w:tcPr>
          <w:p w14:paraId="68B57BBD" w14:textId="4B2A4CD1" w:rsidR="004D2587" w:rsidRPr="00BE5EFA" w:rsidRDefault="004D2587" w:rsidP="0019519D">
            <w:pPr>
              <w:keepNext/>
              <w:spacing w:before="40" w:after="40"/>
              <w:rPr>
                <w:rFonts w:ascii="Arial Narrow" w:hAnsi="Arial Narrow"/>
                <w:sz w:val="20"/>
                <w:szCs w:val="20"/>
              </w:rPr>
            </w:pPr>
            <w:r>
              <w:rPr>
                <w:rFonts w:ascii="Arial Narrow" w:hAnsi="Arial Narrow"/>
                <w:sz w:val="20"/>
                <w:szCs w:val="20"/>
              </w:rPr>
              <w:t xml:space="preserve">Study by </w:t>
            </w:r>
            <w:r w:rsidRPr="00DC7C73">
              <w:rPr>
                <w:rFonts w:ascii="Arial Narrow" w:hAnsi="Arial Narrow"/>
                <w:sz w:val="20"/>
                <w:szCs w:val="20"/>
              </w:rPr>
              <w:t xml:space="preserve">Mauri </w:t>
            </w:r>
            <w:r>
              <w:rPr>
                <w:rFonts w:ascii="Arial Narrow" w:hAnsi="Arial Narrow"/>
                <w:sz w:val="20"/>
                <w:szCs w:val="20"/>
              </w:rPr>
              <w:t>(</w:t>
            </w:r>
            <w:r w:rsidRPr="00DC7C73">
              <w:rPr>
                <w:rFonts w:ascii="Arial Narrow" w:hAnsi="Arial Narrow"/>
                <w:sz w:val="20"/>
                <w:szCs w:val="20"/>
              </w:rPr>
              <w:t>2020)</w:t>
            </w:r>
            <w:r>
              <w:rPr>
                <w:rFonts w:ascii="Arial Narrow" w:hAnsi="Arial Narrow"/>
                <w:sz w:val="20"/>
                <w:szCs w:val="20"/>
              </w:rPr>
              <w:t xml:space="preserve"> was previously identified, but excluded from the previous ADAR. 2019 data from the </w:t>
            </w:r>
            <w:proofErr w:type="spellStart"/>
            <w:r w:rsidRPr="00DC7C73">
              <w:rPr>
                <w:rFonts w:ascii="Arial Narrow" w:hAnsi="Arial Narrow"/>
                <w:sz w:val="20"/>
                <w:szCs w:val="20"/>
              </w:rPr>
              <w:t>MitraClip</w:t>
            </w:r>
            <w:proofErr w:type="spellEnd"/>
            <w:r w:rsidRPr="00DC7C73">
              <w:rPr>
                <w:rFonts w:ascii="Arial Narrow" w:hAnsi="Arial Narrow"/>
                <w:sz w:val="20"/>
                <w:szCs w:val="20"/>
              </w:rPr>
              <w:t xml:space="preserve"> STS/ACC TVT registry</w:t>
            </w:r>
            <w:r>
              <w:rPr>
                <w:rFonts w:ascii="Arial Narrow" w:hAnsi="Arial Narrow"/>
                <w:sz w:val="20"/>
                <w:szCs w:val="20"/>
              </w:rPr>
              <w:t xml:space="preserve"> </w:t>
            </w:r>
            <w:r w:rsidRPr="00DC7C73">
              <w:rPr>
                <w:rFonts w:ascii="Arial Narrow" w:hAnsi="Arial Narrow"/>
                <w:sz w:val="20"/>
                <w:szCs w:val="20"/>
              </w:rPr>
              <w:t>(Mack 2022)</w:t>
            </w:r>
            <w:r>
              <w:rPr>
                <w:rFonts w:ascii="Arial Narrow" w:hAnsi="Arial Narrow"/>
                <w:sz w:val="20"/>
                <w:szCs w:val="20"/>
              </w:rPr>
              <w:t xml:space="preserve"> is the newly identified evidence</w:t>
            </w:r>
          </w:p>
        </w:tc>
        <w:tc>
          <w:tcPr>
            <w:tcW w:w="2559" w:type="dxa"/>
          </w:tcPr>
          <w:p w14:paraId="1558E3BF" w14:textId="77777777" w:rsidR="004D2587" w:rsidRPr="00BE5EFA" w:rsidRDefault="004D2587" w:rsidP="0019519D">
            <w:pPr>
              <w:keepNext/>
              <w:spacing w:before="40" w:after="40"/>
              <w:rPr>
                <w:rFonts w:ascii="Arial Narrow" w:hAnsi="Arial Narrow"/>
                <w:sz w:val="20"/>
                <w:szCs w:val="20"/>
              </w:rPr>
            </w:pPr>
            <w:r>
              <w:rPr>
                <w:rFonts w:ascii="Arial Narrow" w:hAnsi="Arial Narrow"/>
                <w:sz w:val="20"/>
                <w:szCs w:val="20"/>
              </w:rPr>
              <w:t>A</w:t>
            </w:r>
            <w:r w:rsidRPr="00DC7C73">
              <w:rPr>
                <w:rFonts w:ascii="Arial Narrow" w:hAnsi="Arial Narrow"/>
                <w:sz w:val="20"/>
                <w:szCs w:val="20"/>
              </w:rPr>
              <w:t xml:space="preserve"> naïve comparison </w:t>
            </w:r>
            <w:r>
              <w:rPr>
                <w:rFonts w:ascii="Arial Narrow" w:hAnsi="Arial Narrow"/>
                <w:sz w:val="20"/>
                <w:szCs w:val="20"/>
              </w:rPr>
              <w:t xml:space="preserve">of </w:t>
            </w:r>
            <w:r w:rsidRPr="00DC7C73">
              <w:rPr>
                <w:rFonts w:ascii="Arial Narrow" w:hAnsi="Arial Narrow"/>
                <w:sz w:val="20"/>
                <w:szCs w:val="20"/>
              </w:rPr>
              <w:t>single-arm result</w:t>
            </w:r>
            <w:r>
              <w:rPr>
                <w:rFonts w:ascii="Arial Narrow" w:hAnsi="Arial Narrow"/>
                <w:sz w:val="20"/>
                <w:szCs w:val="20"/>
              </w:rPr>
              <w:t>s</w:t>
            </w:r>
            <w:r w:rsidRPr="00DC7C73">
              <w:rPr>
                <w:rFonts w:ascii="Arial Narrow" w:hAnsi="Arial Narrow"/>
                <w:sz w:val="20"/>
                <w:szCs w:val="20"/>
              </w:rPr>
              <w:t xml:space="preserve"> </w:t>
            </w:r>
            <w:r>
              <w:rPr>
                <w:rFonts w:ascii="Arial Narrow" w:hAnsi="Arial Narrow"/>
                <w:sz w:val="20"/>
                <w:szCs w:val="20"/>
              </w:rPr>
              <w:t>from</w:t>
            </w:r>
            <w:r w:rsidRPr="00DC7C73">
              <w:rPr>
                <w:rFonts w:ascii="Arial Narrow" w:hAnsi="Arial Narrow"/>
                <w:sz w:val="20"/>
                <w:szCs w:val="20"/>
              </w:rPr>
              <w:t xml:space="preserve"> PASCAL (CLASP and Mauri 2020) and </w:t>
            </w:r>
            <w:proofErr w:type="spellStart"/>
            <w:r w:rsidRPr="00DC7C73">
              <w:rPr>
                <w:rFonts w:ascii="Arial Narrow" w:hAnsi="Arial Narrow"/>
                <w:sz w:val="20"/>
                <w:szCs w:val="20"/>
              </w:rPr>
              <w:t>MitraClip</w:t>
            </w:r>
            <w:proofErr w:type="spellEnd"/>
            <w:r w:rsidRPr="00DC7C73">
              <w:rPr>
                <w:rFonts w:ascii="Arial Narrow" w:hAnsi="Arial Narrow"/>
                <w:sz w:val="20"/>
                <w:szCs w:val="20"/>
              </w:rPr>
              <w:t xml:space="preserve"> arms in COAPT and EVEREST-II</w:t>
            </w:r>
            <w:r>
              <w:rPr>
                <w:rFonts w:ascii="Arial Narrow" w:hAnsi="Arial Narrow"/>
                <w:sz w:val="20"/>
                <w:szCs w:val="20"/>
              </w:rPr>
              <w:t xml:space="preserve"> RCTs that were complemented with the data </w:t>
            </w:r>
            <w:r w:rsidRPr="00DC7C73">
              <w:rPr>
                <w:rFonts w:ascii="Arial Narrow" w:hAnsi="Arial Narrow"/>
                <w:sz w:val="20"/>
                <w:szCs w:val="20"/>
              </w:rPr>
              <w:t xml:space="preserve">from the </w:t>
            </w:r>
            <w:proofErr w:type="spellStart"/>
            <w:r w:rsidRPr="00DC7C73">
              <w:rPr>
                <w:rFonts w:ascii="Arial Narrow" w:hAnsi="Arial Narrow"/>
                <w:sz w:val="20"/>
                <w:szCs w:val="20"/>
              </w:rPr>
              <w:t>MitraClip</w:t>
            </w:r>
            <w:proofErr w:type="spellEnd"/>
            <w:r w:rsidRPr="00DC7C73">
              <w:rPr>
                <w:rFonts w:ascii="Arial Narrow" w:hAnsi="Arial Narrow"/>
                <w:sz w:val="20"/>
                <w:szCs w:val="20"/>
              </w:rPr>
              <w:t xml:space="preserve"> STS/ACC TVT registry (Mack 2022)</w:t>
            </w:r>
          </w:p>
        </w:tc>
        <w:tc>
          <w:tcPr>
            <w:tcW w:w="1551" w:type="dxa"/>
          </w:tcPr>
          <w:p w14:paraId="0E25C0F3" w14:textId="42C93A99" w:rsidR="004D2587" w:rsidRDefault="004D2587" w:rsidP="0019519D">
            <w:pPr>
              <w:keepNext/>
              <w:spacing w:before="40" w:after="40"/>
              <w:rPr>
                <w:rFonts w:ascii="Arial Narrow" w:hAnsi="Arial Narrow"/>
                <w:sz w:val="20"/>
                <w:szCs w:val="20"/>
              </w:rPr>
            </w:pPr>
            <w:r>
              <w:rPr>
                <w:rFonts w:ascii="Arial Narrow" w:hAnsi="Arial Narrow"/>
                <w:sz w:val="20"/>
                <w:szCs w:val="20"/>
              </w:rPr>
              <w:t>FMR and DMR/FMR subgroups</w:t>
            </w:r>
          </w:p>
          <w:p w14:paraId="5967E458" w14:textId="77777777" w:rsidR="004D2587" w:rsidRPr="00BE5EFA" w:rsidRDefault="004D2587" w:rsidP="0019519D">
            <w:pPr>
              <w:keepNext/>
              <w:spacing w:before="40" w:after="40"/>
              <w:rPr>
                <w:rFonts w:ascii="Arial Narrow" w:hAnsi="Arial Narrow"/>
                <w:sz w:val="20"/>
                <w:szCs w:val="20"/>
              </w:rPr>
            </w:pPr>
          </w:p>
        </w:tc>
      </w:tr>
    </w:tbl>
    <w:p w14:paraId="574C8CC9" w14:textId="77777777" w:rsidR="004D2587" w:rsidRDefault="004D2587" w:rsidP="0019519D">
      <w:pPr>
        <w:keepNext/>
        <w:spacing w:before="0" w:after="0" w:line="240" w:lineRule="auto"/>
        <w:rPr>
          <w:rFonts w:ascii="Arial Narrow" w:hAnsi="Arial Narrow"/>
          <w:sz w:val="20"/>
          <w:szCs w:val="20"/>
        </w:rPr>
      </w:pPr>
      <w:r w:rsidRPr="000E2156">
        <w:rPr>
          <w:rFonts w:ascii="Arial Narrow" w:hAnsi="Arial Narrow"/>
          <w:sz w:val="18"/>
          <w:szCs w:val="18"/>
        </w:rPr>
        <w:t>ES=Executive Summary</w:t>
      </w:r>
      <w:r>
        <w:rPr>
          <w:rFonts w:ascii="Arial Narrow" w:hAnsi="Arial Narrow"/>
          <w:sz w:val="18"/>
          <w:szCs w:val="18"/>
        </w:rPr>
        <w:t>;</w:t>
      </w:r>
      <w:r w:rsidRPr="00957379">
        <w:rPr>
          <w:rFonts w:ascii="Arial Narrow" w:hAnsi="Arial Narrow"/>
          <w:sz w:val="20"/>
          <w:szCs w:val="20"/>
        </w:rPr>
        <w:t xml:space="preserve"> </w:t>
      </w:r>
      <w:r w:rsidRPr="00882CE8">
        <w:rPr>
          <w:rFonts w:ascii="Arial Narrow" w:hAnsi="Arial Narrow"/>
          <w:sz w:val="18"/>
          <w:szCs w:val="18"/>
        </w:rPr>
        <w:t>DMR/FMR=</w:t>
      </w:r>
      <w:r w:rsidRPr="005407F1">
        <w:rPr>
          <w:rFonts w:ascii="Arial Narrow" w:hAnsi="Arial Narrow"/>
          <w:sz w:val="18"/>
          <w:szCs w:val="18"/>
        </w:rPr>
        <w:t>Degenerative</w:t>
      </w:r>
      <w:r>
        <w:rPr>
          <w:rFonts w:ascii="Arial Narrow" w:hAnsi="Arial Narrow"/>
          <w:sz w:val="18"/>
          <w:szCs w:val="18"/>
        </w:rPr>
        <w:t>/</w:t>
      </w:r>
      <w:r w:rsidRPr="005407F1">
        <w:rPr>
          <w:rFonts w:ascii="Arial Narrow" w:hAnsi="Arial Narrow"/>
          <w:sz w:val="18"/>
          <w:szCs w:val="18"/>
        </w:rPr>
        <w:t>Functional mitral regurgitation</w:t>
      </w:r>
      <w:r>
        <w:rPr>
          <w:rFonts w:ascii="Arial Narrow" w:hAnsi="Arial Narrow"/>
          <w:sz w:val="18"/>
          <w:szCs w:val="18"/>
        </w:rPr>
        <w:t xml:space="preserve">; </w:t>
      </w:r>
      <w:r w:rsidRPr="00882CE8">
        <w:rPr>
          <w:rFonts w:ascii="Arial Narrow" w:hAnsi="Arial Narrow"/>
          <w:sz w:val="18"/>
          <w:szCs w:val="18"/>
        </w:rPr>
        <w:t>MR</w:t>
      </w:r>
      <w:r>
        <w:rPr>
          <w:rFonts w:ascii="Arial Narrow" w:hAnsi="Arial Narrow"/>
          <w:sz w:val="18"/>
          <w:szCs w:val="18"/>
        </w:rPr>
        <w:t>=</w:t>
      </w:r>
      <w:r w:rsidRPr="00882CE8">
        <w:rPr>
          <w:rFonts w:ascii="Arial Narrow" w:hAnsi="Arial Narrow"/>
          <w:sz w:val="18"/>
          <w:szCs w:val="18"/>
        </w:rPr>
        <w:t>mitral regurgitation</w:t>
      </w:r>
      <w:r>
        <w:rPr>
          <w:rFonts w:ascii="Arial Narrow" w:hAnsi="Arial Narrow"/>
          <w:sz w:val="18"/>
          <w:szCs w:val="18"/>
        </w:rPr>
        <w:t>;</w:t>
      </w:r>
      <w:r w:rsidRPr="00882CE8">
        <w:rPr>
          <w:rFonts w:ascii="Arial Narrow" w:hAnsi="Arial Narrow"/>
          <w:sz w:val="18"/>
          <w:szCs w:val="18"/>
        </w:rPr>
        <w:t xml:space="preserve"> STS</w:t>
      </w:r>
      <w:r>
        <w:rPr>
          <w:rFonts w:ascii="Arial Narrow" w:hAnsi="Arial Narrow"/>
          <w:sz w:val="18"/>
          <w:szCs w:val="18"/>
        </w:rPr>
        <w:t>=</w:t>
      </w:r>
      <w:r w:rsidRPr="00882CE8">
        <w:rPr>
          <w:rFonts w:ascii="Arial Narrow" w:hAnsi="Arial Narrow"/>
          <w:sz w:val="18"/>
          <w:szCs w:val="18"/>
        </w:rPr>
        <w:t>Society of Thoracic Surgeons</w:t>
      </w:r>
    </w:p>
    <w:p w14:paraId="2EC1EA38" w14:textId="37E14E6E" w:rsidR="004D2587" w:rsidRDefault="004D2587" w:rsidP="0019519D">
      <w:pPr>
        <w:keepNext/>
        <w:spacing w:before="0" w:after="0" w:line="240" w:lineRule="auto"/>
        <w:rPr>
          <w:rFonts w:ascii="Arial Narrow" w:hAnsi="Arial Narrow"/>
          <w:sz w:val="20"/>
          <w:szCs w:val="20"/>
          <w:vertAlign w:val="superscript"/>
        </w:rPr>
      </w:pPr>
      <w:r w:rsidRPr="00957379">
        <w:rPr>
          <w:rFonts w:ascii="Arial Narrow" w:hAnsi="Arial Narrow"/>
          <w:sz w:val="20"/>
          <w:szCs w:val="20"/>
          <w:vertAlign w:val="superscript"/>
        </w:rPr>
        <w:t>1</w:t>
      </w:r>
      <w:r>
        <w:rPr>
          <w:rFonts w:ascii="Arial Narrow" w:hAnsi="Arial Narrow"/>
          <w:sz w:val="18"/>
          <w:szCs w:val="18"/>
        </w:rPr>
        <w:t>These studies were included in Appendix D of the 166</w:t>
      </w:r>
      <w:r w:rsidR="00995A12">
        <w:rPr>
          <w:rFonts w:ascii="Arial Narrow" w:hAnsi="Arial Narrow"/>
          <w:sz w:val="18"/>
          <w:szCs w:val="18"/>
        </w:rPr>
        <w:t>2</w:t>
      </w:r>
      <w:r>
        <w:rPr>
          <w:rFonts w:ascii="Arial Narrow" w:hAnsi="Arial Narrow"/>
          <w:sz w:val="18"/>
          <w:szCs w:val="18"/>
        </w:rPr>
        <w:t xml:space="preserve">.1 ADAR; the decision to elevate the comparative studies was made by the </w:t>
      </w:r>
      <w:r w:rsidRPr="00957379">
        <w:rPr>
          <w:rFonts w:ascii="Arial Narrow" w:hAnsi="Arial Narrow"/>
          <w:sz w:val="18"/>
          <w:szCs w:val="18"/>
        </w:rPr>
        <w:t>evaluators</w:t>
      </w:r>
    </w:p>
    <w:p w14:paraId="60431FBD" w14:textId="65713DE8" w:rsidR="004D2587" w:rsidRDefault="004D2587" w:rsidP="0019519D">
      <w:pPr>
        <w:keepNext/>
        <w:spacing w:before="0" w:after="0" w:line="240" w:lineRule="auto"/>
        <w:rPr>
          <w:rFonts w:ascii="Arial Narrow" w:hAnsi="Arial Narrow"/>
          <w:sz w:val="18"/>
          <w:szCs w:val="18"/>
        </w:rPr>
      </w:pPr>
      <w:r>
        <w:rPr>
          <w:rFonts w:ascii="Arial Narrow" w:hAnsi="Arial Narrow"/>
          <w:sz w:val="20"/>
          <w:szCs w:val="20"/>
          <w:vertAlign w:val="superscript"/>
        </w:rPr>
        <w:t>2</w:t>
      </w:r>
      <w:r>
        <w:rPr>
          <w:rFonts w:ascii="Arial Narrow" w:hAnsi="Arial Narrow"/>
          <w:sz w:val="18"/>
          <w:szCs w:val="18"/>
        </w:rPr>
        <w:t>T</w:t>
      </w:r>
      <w:r w:rsidRPr="00957379">
        <w:rPr>
          <w:rFonts w:ascii="Arial Narrow" w:hAnsi="Arial Narrow"/>
          <w:sz w:val="18"/>
          <w:szCs w:val="18"/>
        </w:rPr>
        <w:t>wo evaluators</w:t>
      </w:r>
      <w:r>
        <w:rPr>
          <w:rFonts w:ascii="Arial Narrow" w:hAnsi="Arial Narrow"/>
          <w:sz w:val="18"/>
          <w:szCs w:val="18"/>
        </w:rPr>
        <w:t xml:space="preserve"> independently conducted a</w:t>
      </w:r>
      <w:r w:rsidRPr="00957379">
        <w:rPr>
          <w:rFonts w:ascii="Arial Narrow" w:hAnsi="Arial Narrow"/>
          <w:sz w:val="18"/>
          <w:szCs w:val="18"/>
        </w:rPr>
        <w:t xml:space="preserve"> bias assessment using the Cochrane ROBINS-I tool for non</w:t>
      </w:r>
      <w:r w:rsidR="00636B8B">
        <w:rPr>
          <w:rFonts w:ascii="Arial Narrow" w:hAnsi="Arial Narrow"/>
          <w:sz w:val="18"/>
          <w:szCs w:val="18"/>
        </w:rPr>
        <w:t>-</w:t>
      </w:r>
      <w:r w:rsidRPr="00957379">
        <w:rPr>
          <w:rFonts w:ascii="Arial Narrow" w:hAnsi="Arial Narrow"/>
          <w:sz w:val="18"/>
          <w:szCs w:val="18"/>
        </w:rPr>
        <w:t>randomised studies</w:t>
      </w:r>
      <w:r>
        <w:rPr>
          <w:rFonts w:ascii="Arial Narrow" w:hAnsi="Arial Narrow"/>
          <w:sz w:val="18"/>
          <w:szCs w:val="18"/>
        </w:rPr>
        <w:t>;</w:t>
      </w:r>
    </w:p>
    <w:p w14:paraId="0A2574BF" w14:textId="287DBFB6" w:rsidR="004D2587" w:rsidRDefault="004D2587" w:rsidP="0019519D">
      <w:pPr>
        <w:keepNext/>
        <w:spacing w:before="0" w:after="0" w:line="240" w:lineRule="auto"/>
        <w:rPr>
          <w:rFonts w:ascii="Arial Narrow" w:hAnsi="Arial Narrow"/>
          <w:sz w:val="18"/>
          <w:szCs w:val="18"/>
        </w:rPr>
      </w:pPr>
      <w:r w:rsidRPr="00FD326D">
        <w:rPr>
          <w:rFonts w:ascii="Arial Narrow" w:hAnsi="Arial Narrow"/>
          <w:sz w:val="20"/>
          <w:szCs w:val="20"/>
          <w:vertAlign w:val="superscript"/>
        </w:rPr>
        <w:t>3</w:t>
      </w:r>
      <w:r w:rsidRPr="00FD326D">
        <w:rPr>
          <w:rFonts w:ascii="Arial Narrow" w:hAnsi="Arial Narrow"/>
          <w:sz w:val="18"/>
          <w:szCs w:val="18"/>
        </w:rPr>
        <w:t>The inputs (patients’ characteristics used for matching) did not change since the additional results were presented in the pre-ESC response</w:t>
      </w:r>
    </w:p>
    <w:p w14:paraId="09ECBE6E" w14:textId="77777777" w:rsidR="00E13326" w:rsidRDefault="00E13326" w:rsidP="00E13326">
      <w:pPr>
        <w:pStyle w:val="Tablenotes0"/>
        <w:spacing w:before="0" w:after="0" w:line="240" w:lineRule="auto"/>
        <w:rPr>
          <w:lang w:eastAsia="en-AU"/>
        </w:rPr>
      </w:pPr>
      <w:r>
        <w:rPr>
          <w:i/>
        </w:rPr>
        <w:t xml:space="preserve">Content that was unchanged from MSAC’s previous 2021 consideration is </w:t>
      </w:r>
      <w:r w:rsidRPr="00F46D2A">
        <w:rPr>
          <w:i/>
          <w:shd w:val="clear" w:color="auto" w:fill="B4C6E7" w:themeFill="accent5" w:themeFillTint="66"/>
        </w:rPr>
        <w:t>shaded in blue</w:t>
      </w:r>
      <w:r>
        <w:rPr>
          <w:i/>
        </w:rPr>
        <w:t>.</w:t>
      </w:r>
    </w:p>
    <w:p w14:paraId="63C34CF7" w14:textId="66F6761A" w:rsidR="005C1F35" w:rsidRPr="005C1F35" w:rsidRDefault="005C1F35" w:rsidP="00091167">
      <w:pPr>
        <w:pStyle w:val="Heading3"/>
      </w:pPr>
      <w:r>
        <w:t>Comparative studies</w:t>
      </w:r>
      <w:r w:rsidR="007A172B">
        <w:t xml:space="preserve"> in the mixed DMR/FMR population</w:t>
      </w:r>
      <w:r>
        <w:t xml:space="preserve"> </w:t>
      </w:r>
    </w:p>
    <w:p w14:paraId="7A063C32" w14:textId="4460D5E2" w:rsidR="00E6519E" w:rsidRDefault="00981A4A" w:rsidP="00E6519E">
      <w:pPr>
        <w:rPr>
          <w:rFonts w:cstheme="minorHAnsi"/>
        </w:rPr>
      </w:pPr>
      <w:r>
        <w:rPr>
          <w:rFonts w:cstheme="minorHAnsi"/>
        </w:rPr>
        <w:fldChar w:fldCharType="begin"/>
      </w:r>
      <w:r>
        <w:rPr>
          <w:rFonts w:cstheme="minorHAnsi"/>
        </w:rPr>
        <w:instrText xml:space="preserve"> REF _Ref113337317 \h </w:instrText>
      </w:r>
      <w:r>
        <w:rPr>
          <w:rFonts w:cstheme="minorHAnsi"/>
        </w:rPr>
      </w:r>
      <w:r>
        <w:rPr>
          <w:rFonts w:cstheme="minorHAnsi"/>
        </w:rPr>
        <w:fldChar w:fldCharType="separate"/>
      </w:r>
      <w:r>
        <w:t xml:space="preserve">Table </w:t>
      </w:r>
      <w:r>
        <w:rPr>
          <w:noProof/>
        </w:rPr>
        <w:t>5</w:t>
      </w:r>
      <w:r>
        <w:rPr>
          <w:rFonts w:cstheme="minorHAnsi"/>
        </w:rPr>
        <w:fldChar w:fldCharType="end"/>
      </w:r>
      <w:r>
        <w:rPr>
          <w:rFonts w:cstheme="minorHAnsi"/>
        </w:rPr>
        <w:t xml:space="preserve"> </w:t>
      </w:r>
      <w:r w:rsidR="00E6519E">
        <w:rPr>
          <w:rFonts w:cstheme="minorHAnsi"/>
        </w:rPr>
        <w:t>shows the s</w:t>
      </w:r>
      <w:r w:rsidR="00E6519E" w:rsidRPr="00114327">
        <w:rPr>
          <w:rFonts w:cstheme="minorHAnsi"/>
        </w:rPr>
        <w:t xml:space="preserve">afety results </w:t>
      </w:r>
      <w:r w:rsidR="00E6519E">
        <w:rPr>
          <w:rFonts w:cstheme="minorHAnsi"/>
        </w:rPr>
        <w:t xml:space="preserve">(ITT analysis) </w:t>
      </w:r>
      <w:r w:rsidR="00E6519E" w:rsidRPr="00114327">
        <w:rPr>
          <w:rFonts w:cstheme="minorHAnsi"/>
        </w:rPr>
        <w:t>from included non</w:t>
      </w:r>
      <w:r w:rsidR="00636B8B">
        <w:rPr>
          <w:rFonts w:cstheme="minorHAnsi"/>
        </w:rPr>
        <w:t>-</w:t>
      </w:r>
      <w:r w:rsidR="00E6519E" w:rsidRPr="00114327">
        <w:rPr>
          <w:rFonts w:cstheme="minorHAnsi"/>
        </w:rPr>
        <w:t>randomised studies</w:t>
      </w:r>
      <w:r w:rsidR="00E6519E">
        <w:rPr>
          <w:rFonts w:cstheme="minorHAnsi"/>
        </w:rPr>
        <w:t xml:space="preserve"> of </w:t>
      </w:r>
      <w:r w:rsidR="00E6519E" w:rsidRPr="00B41528">
        <w:rPr>
          <w:lang w:eastAsia="en-AU"/>
        </w:rPr>
        <w:t xml:space="preserve">Geis </w:t>
      </w:r>
      <w:r w:rsidR="00E6519E">
        <w:rPr>
          <w:lang w:eastAsia="en-AU"/>
        </w:rPr>
        <w:t>(</w:t>
      </w:r>
      <w:r w:rsidR="00E6519E" w:rsidRPr="00B41528">
        <w:rPr>
          <w:lang w:eastAsia="en-AU"/>
        </w:rPr>
        <w:t>2022</w:t>
      </w:r>
      <w:r w:rsidR="00E6519E">
        <w:rPr>
          <w:lang w:eastAsia="en-AU"/>
        </w:rPr>
        <w:t>)</w:t>
      </w:r>
      <w:r w:rsidR="00E6519E" w:rsidRPr="00B41528">
        <w:rPr>
          <w:lang w:eastAsia="en-AU"/>
        </w:rPr>
        <w:t>,</w:t>
      </w:r>
      <w:r w:rsidR="00E6519E">
        <w:rPr>
          <w:lang w:eastAsia="en-AU"/>
        </w:rPr>
        <w:t xml:space="preserve"> and</w:t>
      </w:r>
      <w:r w:rsidR="00E6519E" w:rsidRPr="00B41528">
        <w:rPr>
          <w:lang w:eastAsia="en-AU"/>
        </w:rPr>
        <w:t xml:space="preserve"> </w:t>
      </w:r>
      <w:proofErr w:type="spellStart"/>
      <w:r w:rsidR="00E6519E" w:rsidRPr="00495CAF">
        <w:rPr>
          <w:lang w:eastAsia="en-AU"/>
        </w:rPr>
        <w:t>Haschemi</w:t>
      </w:r>
      <w:proofErr w:type="spellEnd"/>
      <w:r w:rsidR="00E6519E">
        <w:rPr>
          <w:lang w:eastAsia="en-AU"/>
        </w:rPr>
        <w:t xml:space="preserve"> (</w:t>
      </w:r>
      <w:r w:rsidR="00E6519E" w:rsidRPr="00495CAF">
        <w:rPr>
          <w:lang w:eastAsia="en-AU"/>
        </w:rPr>
        <w:t>2022)</w:t>
      </w:r>
      <w:r w:rsidR="00E6519E">
        <w:rPr>
          <w:rFonts w:cstheme="minorHAnsi"/>
        </w:rPr>
        <w:t>.</w:t>
      </w:r>
    </w:p>
    <w:p w14:paraId="5C4038C2" w14:textId="7D09A7D5" w:rsidR="00E6519E" w:rsidRPr="00B55A4D" w:rsidRDefault="004D2587" w:rsidP="004D2587">
      <w:pPr>
        <w:pStyle w:val="Caption"/>
        <w:rPr>
          <w:rFonts w:cstheme="minorHAnsi"/>
          <w:b w:val="0"/>
          <w:bCs w:val="0"/>
        </w:rPr>
      </w:pPr>
      <w:bookmarkStart w:id="31" w:name="_Ref113337317"/>
      <w:bookmarkStart w:id="32" w:name="_Ref111525645"/>
      <w:r>
        <w:lastRenderedPageBreak/>
        <w:t xml:space="preserve">Table </w:t>
      </w:r>
      <w:fldSimple w:instr=" SEQ Table \* ARABIC ">
        <w:r w:rsidR="007512A8">
          <w:rPr>
            <w:noProof/>
          </w:rPr>
          <w:t>5</w:t>
        </w:r>
      </w:fldSimple>
      <w:bookmarkEnd w:id="31"/>
      <w:bookmarkEnd w:id="32"/>
      <w:r w:rsidR="00E6519E">
        <w:tab/>
        <w:t>S</w:t>
      </w:r>
      <w:r w:rsidR="00E6519E" w:rsidRPr="00B55A4D">
        <w:rPr>
          <w:rFonts w:cstheme="minorHAnsi"/>
        </w:rPr>
        <w:t>afety results (ITT analysis)</w:t>
      </w:r>
      <w:r w:rsidR="00E6519E">
        <w:rPr>
          <w:rFonts w:cstheme="minorHAnsi"/>
        </w:rPr>
        <w:t xml:space="preserve"> from the comparative studies</w:t>
      </w:r>
    </w:p>
    <w:tbl>
      <w:tblPr>
        <w:tblStyle w:val="Style2"/>
        <w:tblW w:w="8784"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786"/>
        <w:gridCol w:w="2895"/>
        <w:gridCol w:w="1134"/>
        <w:gridCol w:w="1417"/>
        <w:gridCol w:w="1418"/>
        <w:gridCol w:w="1134"/>
      </w:tblGrid>
      <w:tr w:rsidR="00E6519E" w:rsidRPr="00A665FB" w14:paraId="17C58C57" w14:textId="77777777" w:rsidTr="005C1F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 w:type="dxa"/>
            <w:tcBorders>
              <w:bottom w:val="single" w:sz="12" w:space="0" w:color="auto"/>
            </w:tcBorders>
          </w:tcPr>
          <w:p w14:paraId="26CE4837" w14:textId="6F5260FC" w:rsidR="00E6519E" w:rsidRPr="00496BC6" w:rsidRDefault="00E6519E" w:rsidP="00091167">
            <w:pPr>
              <w:keepNext/>
              <w:spacing w:before="40" w:after="40"/>
              <w:rPr>
                <w:rFonts w:ascii="Arial Narrow" w:hAnsi="Arial Narrow"/>
                <w:bCs/>
                <w:szCs w:val="20"/>
              </w:rPr>
            </w:pPr>
            <w:r w:rsidRPr="00496BC6">
              <w:rPr>
                <w:rFonts w:ascii="Arial Narrow" w:hAnsi="Arial Narrow"/>
                <w:bCs/>
                <w:szCs w:val="20"/>
              </w:rPr>
              <w:t>Study</w:t>
            </w:r>
          </w:p>
        </w:tc>
        <w:tc>
          <w:tcPr>
            <w:tcW w:w="2895" w:type="dxa"/>
            <w:tcBorders>
              <w:bottom w:val="single" w:sz="12" w:space="0" w:color="auto"/>
            </w:tcBorders>
          </w:tcPr>
          <w:p w14:paraId="52B5225F" w14:textId="77777777" w:rsidR="00E6519E" w:rsidRPr="00496BC6" w:rsidRDefault="00E6519E" w:rsidP="00091167">
            <w:pPr>
              <w:keepNext/>
              <w:spacing w:before="40" w:after="40"/>
              <w:jc w:val="left"/>
              <w:cnfStyle w:val="100000000000" w:firstRow="1" w:lastRow="0" w:firstColumn="0" w:lastColumn="0" w:oddVBand="0" w:evenVBand="0" w:oddHBand="0" w:evenHBand="0" w:firstRowFirstColumn="0" w:firstRowLastColumn="0" w:lastRowFirstColumn="0" w:lastRowLastColumn="0"/>
              <w:rPr>
                <w:rFonts w:ascii="Arial Narrow" w:hAnsi="Arial Narrow"/>
                <w:bCs/>
                <w:szCs w:val="20"/>
              </w:rPr>
            </w:pPr>
            <w:r w:rsidRPr="00496BC6">
              <w:rPr>
                <w:rFonts w:ascii="Arial Narrow" w:hAnsi="Arial Narrow"/>
                <w:bCs/>
                <w:szCs w:val="20"/>
              </w:rPr>
              <w:t>Endpoint</w:t>
            </w:r>
          </w:p>
        </w:tc>
        <w:tc>
          <w:tcPr>
            <w:tcW w:w="1134" w:type="dxa"/>
            <w:tcBorders>
              <w:bottom w:val="single" w:sz="12" w:space="0" w:color="auto"/>
            </w:tcBorders>
          </w:tcPr>
          <w:p w14:paraId="09F47FCA" w14:textId="77777777" w:rsidR="00E6519E" w:rsidRPr="00496BC6" w:rsidRDefault="00E6519E" w:rsidP="00091167">
            <w:pPr>
              <w:keepNext/>
              <w:spacing w:before="40" w:after="40"/>
              <w:cnfStyle w:val="100000000000" w:firstRow="1" w:lastRow="0" w:firstColumn="0" w:lastColumn="0" w:oddVBand="0" w:evenVBand="0" w:oddHBand="0" w:evenHBand="0" w:firstRowFirstColumn="0" w:firstRowLastColumn="0" w:lastRowFirstColumn="0" w:lastRowLastColumn="0"/>
              <w:rPr>
                <w:rFonts w:ascii="Arial Narrow" w:hAnsi="Arial Narrow"/>
                <w:bCs/>
                <w:szCs w:val="20"/>
              </w:rPr>
            </w:pPr>
            <w:r w:rsidRPr="00496BC6">
              <w:rPr>
                <w:rFonts w:ascii="Arial Narrow" w:hAnsi="Arial Narrow"/>
                <w:bCs/>
                <w:szCs w:val="20"/>
              </w:rPr>
              <w:t>Time point</w:t>
            </w:r>
          </w:p>
        </w:tc>
        <w:tc>
          <w:tcPr>
            <w:tcW w:w="1417" w:type="dxa"/>
            <w:tcBorders>
              <w:bottom w:val="single" w:sz="12" w:space="0" w:color="auto"/>
            </w:tcBorders>
          </w:tcPr>
          <w:p w14:paraId="03D723BB" w14:textId="77777777" w:rsidR="00E6519E" w:rsidRPr="00496BC6" w:rsidRDefault="00E6519E" w:rsidP="00091167">
            <w:pPr>
              <w:keepNext/>
              <w:spacing w:before="40" w:after="40"/>
              <w:cnfStyle w:val="100000000000" w:firstRow="1" w:lastRow="0" w:firstColumn="0" w:lastColumn="0" w:oddVBand="0" w:evenVBand="0" w:oddHBand="0" w:evenHBand="0" w:firstRowFirstColumn="0" w:firstRowLastColumn="0" w:lastRowFirstColumn="0" w:lastRowLastColumn="0"/>
              <w:rPr>
                <w:rFonts w:ascii="Arial Narrow" w:hAnsi="Arial Narrow"/>
                <w:bCs/>
                <w:szCs w:val="20"/>
              </w:rPr>
            </w:pPr>
            <w:r w:rsidRPr="00496BC6">
              <w:rPr>
                <w:rFonts w:ascii="Arial Narrow" w:hAnsi="Arial Narrow"/>
                <w:bCs/>
                <w:szCs w:val="20"/>
              </w:rPr>
              <w:t>PASCAL</w:t>
            </w:r>
          </w:p>
        </w:tc>
        <w:tc>
          <w:tcPr>
            <w:tcW w:w="1418" w:type="dxa"/>
            <w:tcBorders>
              <w:bottom w:val="single" w:sz="12" w:space="0" w:color="auto"/>
            </w:tcBorders>
          </w:tcPr>
          <w:p w14:paraId="6F826B03" w14:textId="77777777" w:rsidR="00E6519E" w:rsidRPr="00496BC6" w:rsidRDefault="00E6519E" w:rsidP="00091167">
            <w:pPr>
              <w:keepNext/>
              <w:spacing w:before="40" w:after="40"/>
              <w:cnfStyle w:val="100000000000" w:firstRow="1" w:lastRow="0" w:firstColumn="0" w:lastColumn="0" w:oddVBand="0" w:evenVBand="0" w:oddHBand="0" w:evenHBand="0" w:firstRowFirstColumn="0" w:firstRowLastColumn="0" w:lastRowFirstColumn="0" w:lastRowLastColumn="0"/>
              <w:rPr>
                <w:rFonts w:ascii="Arial Narrow" w:hAnsi="Arial Narrow"/>
                <w:bCs/>
                <w:szCs w:val="20"/>
              </w:rPr>
            </w:pPr>
            <w:proofErr w:type="spellStart"/>
            <w:r w:rsidRPr="00496BC6">
              <w:rPr>
                <w:rFonts w:ascii="Arial Narrow" w:hAnsi="Arial Narrow"/>
                <w:bCs/>
                <w:szCs w:val="20"/>
              </w:rPr>
              <w:t>MitraClip</w:t>
            </w:r>
            <w:proofErr w:type="spellEnd"/>
          </w:p>
        </w:tc>
        <w:tc>
          <w:tcPr>
            <w:tcW w:w="1134" w:type="dxa"/>
            <w:tcBorders>
              <w:bottom w:val="single" w:sz="12" w:space="0" w:color="auto"/>
            </w:tcBorders>
          </w:tcPr>
          <w:p w14:paraId="79504720" w14:textId="77777777" w:rsidR="00E6519E" w:rsidRPr="00496BC6" w:rsidRDefault="00E6519E" w:rsidP="00091167">
            <w:pPr>
              <w:keepNext/>
              <w:spacing w:before="40" w:after="40"/>
              <w:cnfStyle w:val="100000000000" w:firstRow="1" w:lastRow="0" w:firstColumn="0" w:lastColumn="0" w:oddVBand="0" w:evenVBand="0" w:oddHBand="0" w:evenHBand="0" w:firstRowFirstColumn="0" w:firstRowLastColumn="0" w:lastRowFirstColumn="0" w:lastRowLastColumn="0"/>
              <w:rPr>
                <w:rFonts w:ascii="Arial Narrow" w:hAnsi="Arial Narrow"/>
                <w:bCs/>
                <w:szCs w:val="20"/>
              </w:rPr>
            </w:pPr>
            <w:r w:rsidRPr="00496BC6">
              <w:rPr>
                <w:rFonts w:ascii="Arial Narrow" w:hAnsi="Arial Narrow"/>
                <w:bCs/>
                <w:szCs w:val="20"/>
              </w:rPr>
              <w:t>p-value</w:t>
            </w:r>
          </w:p>
        </w:tc>
      </w:tr>
      <w:tr w:rsidR="00E6519E" w:rsidRPr="00A665FB" w14:paraId="133327B8" w14:textId="77777777" w:rsidTr="005C1F35">
        <w:tc>
          <w:tcPr>
            <w:cnfStyle w:val="001000000000" w:firstRow="0" w:lastRow="0" w:firstColumn="1" w:lastColumn="0" w:oddVBand="0" w:evenVBand="0" w:oddHBand="0" w:evenHBand="0" w:firstRowFirstColumn="0" w:firstRowLastColumn="0" w:lastRowFirstColumn="0" w:lastRowLastColumn="0"/>
            <w:tcW w:w="786" w:type="dxa"/>
            <w:vMerge w:val="restart"/>
            <w:tcBorders>
              <w:top w:val="single" w:sz="12" w:space="0" w:color="auto"/>
              <w:bottom w:val="single" w:sz="12" w:space="0" w:color="auto"/>
            </w:tcBorders>
          </w:tcPr>
          <w:p w14:paraId="10A5A6DF" w14:textId="77777777" w:rsidR="00E6519E" w:rsidRPr="00496BC6" w:rsidRDefault="00E6519E" w:rsidP="00091167">
            <w:pPr>
              <w:keepNext/>
              <w:spacing w:before="40" w:after="40"/>
              <w:rPr>
                <w:rFonts w:ascii="Arial Narrow" w:hAnsi="Arial Narrow"/>
                <w:szCs w:val="20"/>
              </w:rPr>
            </w:pPr>
            <w:proofErr w:type="spellStart"/>
            <w:r w:rsidRPr="00496BC6">
              <w:rPr>
                <w:rFonts w:ascii="Arial Narrow" w:hAnsi="Arial Narrow"/>
                <w:szCs w:val="20"/>
              </w:rPr>
              <w:t>Haschemi</w:t>
            </w:r>
            <w:proofErr w:type="spellEnd"/>
            <w:r w:rsidRPr="00496BC6">
              <w:rPr>
                <w:rFonts w:ascii="Arial Narrow" w:hAnsi="Arial Narrow"/>
                <w:szCs w:val="20"/>
              </w:rPr>
              <w:t xml:space="preserve"> 2022</w:t>
            </w:r>
          </w:p>
        </w:tc>
        <w:tc>
          <w:tcPr>
            <w:tcW w:w="2895" w:type="dxa"/>
            <w:tcBorders>
              <w:top w:val="nil"/>
            </w:tcBorders>
          </w:tcPr>
          <w:p w14:paraId="3DFF7481" w14:textId="77777777" w:rsidR="00E6519E" w:rsidRPr="00496BC6" w:rsidRDefault="00E6519E" w:rsidP="00091167">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Single leaflet device attachment</w:t>
            </w:r>
          </w:p>
        </w:tc>
        <w:tc>
          <w:tcPr>
            <w:tcW w:w="1134" w:type="dxa"/>
            <w:vMerge w:val="restart"/>
            <w:tcBorders>
              <w:top w:val="nil"/>
            </w:tcBorders>
          </w:tcPr>
          <w:p w14:paraId="0C255B3F" w14:textId="77777777" w:rsidR="00E6519E" w:rsidRPr="00496BC6" w:rsidRDefault="00E6519E" w:rsidP="00091167">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at discharge</w:t>
            </w:r>
          </w:p>
        </w:tc>
        <w:tc>
          <w:tcPr>
            <w:tcW w:w="1417" w:type="dxa"/>
            <w:tcBorders>
              <w:top w:val="nil"/>
            </w:tcBorders>
          </w:tcPr>
          <w:p w14:paraId="102A4653" w14:textId="77777777" w:rsidR="00E6519E" w:rsidRPr="00496BC6" w:rsidRDefault="00E6519E" w:rsidP="00091167">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1% (1/102)</w:t>
            </w:r>
          </w:p>
        </w:tc>
        <w:tc>
          <w:tcPr>
            <w:tcW w:w="1418" w:type="dxa"/>
            <w:tcBorders>
              <w:top w:val="nil"/>
            </w:tcBorders>
          </w:tcPr>
          <w:p w14:paraId="40D887BD" w14:textId="77777777" w:rsidR="00E6519E" w:rsidRPr="00496BC6" w:rsidRDefault="00E6519E" w:rsidP="00091167">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0.9% (1/112)</w:t>
            </w:r>
          </w:p>
        </w:tc>
        <w:tc>
          <w:tcPr>
            <w:tcW w:w="1134" w:type="dxa"/>
            <w:tcBorders>
              <w:top w:val="nil"/>
            </w:tcBorders>
          </w:tcPr>
          <w:p w14:paraId="4DDC303B" w14:textId="77777777" w:rsidR="00E6519E" w:rsidRPr="00496BC6" w:rsidRDefault="00E6519E" w:rsidP="00091167">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0.94*</w:t>
            </w:r>
          </w:p>
        </w:tc>
      </w:tr>
      <w:tr w:rsidR="00E6519E" w:rsidRPr="00A665FB" w14:paraId="32F3E34C" w14:textId="77777777" w:rsidTr="005C1F35">
        <w:tc>
          <w:tcPr>
            <w:cnfStyle w:val="001000000000" w:firstRow="0" w:lastRow="0" w:firstColumn="1" w:lastColumn="0" w:oddVBand="0" w:evenVBand="0" w:oddHBand="0" w:evenHBand="0" w:firstRowFirstColumn="0" w:firstRowLastColumn="0" w:lastRowFirstColumn="0" w:lastRowLastColumn="0"/>
            <w:tcW w:w="786" w:type="dxa"/>
            <w:vMerge/>
            <w:tcBorders>
              <w:bottom w:val="single" w:sz="12" w:space="0" w:color="auto"/>
            </w:tcBorders>
          </w:tcPr>
          <w:p w14:paraId="2C8780FB" w14:textId="77777777" w:rsidR="00E6519E" w:rsidRPr="00496BC6" w:rsidRDefault="00E6519E" w:rsidP="0019519D">
            <w:pPr>
              <w:keepNext/>
              <w:spacing w:before="40" w:after="40"/>
              <w:rPr>
                <w:rFonts w:ascii="Arial Narrow" w:hAnsi="Arial Narrow"/>
                <w:szCs w:val="20"/>
              </w:rPr>
            </w:pPr>
          </w:p>
        </w:tc>
        <w:tc>
          <w:tcPr>
            <w:tcW w:w="2895" w:type="dxa"/>
          </w:tcPr>
          <w:p w14:paraId="656BED6E" w14:textId="77777777" w:rsidR="00E6519E" w:rsidRPr="00496BC6" w:rsidRDefault="00E6519E" w:rsidP="0019519D">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Stroke</w:t>
            </w:r>
          </w:p>
        </w:tc>
        <w:tc>
          <w:tcPr>
            <w:tcW w:w="1134" w:type="dxa"/>
            <w:vMerge/>
          </w:tcPr>
          <w:p w14:paraId="78808367"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p>
        </w:tc>
        <w:tc>
          <w:tcPr>
            <w:tcW w:w="1417" w:type="dxa"/>
          </w:tcPr>
          <w:p w14:paraId="753DFC94"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1% (1/102)</w:t>
            </w:r>
          </w:p>
        </w:tc>
        <w:tc>
          <w:tcPr>
            <w:tcW w:w="1418" w:type="dxa"/>
          </w:tcPr>
          <w:p w14:paraId="660FA4D6"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0%</w:t>
            </w:r>
          </w:p>
        </w:tc>
        <w:tc>
          <w:tcPr>
            <w:tcW w:w="1134" w:type="dxa"/>
          </w:tcPr>
          <w:p w14:paraId="01339551"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0.2899*</w:t>
            </w:r>
          </w:p>
        </w:tc>
      </w:tr>
      <w:tr w:rsidR="00E6519E" w:rsidRPr="00A665FB" w14:paraId="08237CB3" w14:textId="77777777" w:rsidTr="005C1F35">
        <w:tc>
          <w:tcPr>
            <w:cnfStyle w:val="001000000000" w:firstRow="0" w:lastRow="0" w:firstColumn="1" w:lastColumn="0" w:oddVBand="0" w:evenVBand="0" w:oddHBand="0" w:evenHBand="0" w:firstRowFirstColumn="0" w:firstRowLastColumn="0" w:lastRowFirstColumn="0" w:lastRowLastColumn="0"/>
            <w:tcW w:w="786" w:type="dxa"/>
            <w:vMerge/>
            <w:tcBorders>
              <w:bottom w:val="single" w:sz="12" w:space="0" w:color="auto"/>
            </w:tcBorders>
          </w:tcPr>
          <w:p w14:paraId="5163AE28" w14:textId="77777777" w:rsidR="00E6519E" w:rsidRPr="00496BC6" w:rsidRDefault="00E6519E" w:rsidP="0019519D">
            <w:pPr>
              <w:keepNext/>
              <w:spacing w:before="40" w:after="40"/>
              <w:rPr>
                <w:rFonts w:ascii="Arial Narrow" w:hAnsi="Arial Narrow"/>
                <w:szCs w:val="20"/>
              </w:rPr>
            </w:pPr>
          </w:p>
        </w:tc>
        <w:tc>
          <w:tcPr>
            <w:tcW w:w="2895" w:type="dxa"/>
            <w:tcBorders>
              <w:bottom w:val="single" w:sz="4" w:space="0" w:color="auto"/>
            </w:tcBorders>
          </w:tcPr>
          <w:p w14:paraId="781D07D0" w14:textId="77777777" w:rsidR="00E6519E" w:rsidRPr="00496BC6" w:rsidRDefault="00E6519E" w:rsidP="0019519D">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Pericardial tamponade after transseptal puncture</w:t>
            </w:r>
          </w:p>
        </w:tc>
        <w:tc>
          <w:tcPr>
            <w:tcW w:w="1134" w:type="dxa"/>
            <w:vMerge/>
          </w:tcPr>
          <w:p w14:paraId="0CC19F77"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p>
        </w:tc>
        <w:tc>
          <w:tcPr>
            <w:tcW w:w="1417" w:type="dxa"/>
          </w:tcPr>
          <w:p w14:paraId="7B0F5718"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0%</w:t>
            </w:r>
          </w:p>
        </w:tc>
        <w:tc>
          <w:tcPr>
            <w:tcW w:w="1418" w:type="dxa"/>
          </w:tcPr>
          <w:p w14:paraId="168D1CC5"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0.9% (1/112)</w:t>
            </w:r>
          </w:p>
        </w:tc>
        <w:tc>
          <w:tcPr>
            <w:tcW w:w="1134" w:type="dxa"/>
          </w:tcPr>
          <w:p w14:paraId="3E957E85"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0.3380*</w:t>
            </w:r>
          </w:p>
        </w:tc>
      </w:tr>
      <w:tr w:rsidR="00E6519E" w:rsidRPr="00A665FB" w14:paraId="2BC11BCF" w14:textId="77777777" w:rsidTr="005C1F35">
        <w:tc>
          <w:tcPr>
            <w:cnfStyle w:val="001000000000" w:firstRow="0" w:lastRow="0" w:firstColumn="1" w:lastColumn="0" w:oddVBand="0" w:evenVBand="0" w:oddHBand="0" w:evenHBand="0" w:firstRowFirstColumn="0" w:firstRowLastColumn="0" w:lastRowFirstColumn="0" w:lastRowLastColumn="0"/>
            <w:tcW w:w="786" w:type="dxa"/>
            <w:vMerge/>
            <w:tcBorders>
              <w:bottom w:val="single" w:sz="12" w:space="0" w:color="auto"/>
            </w:tcBorders>
          </w:tcPr>
          <w:p w14:paraId="5473A456" w14:textId="77777777" w:rsidR="00E6519E" w:rsidRPr="00496BC6" w:rsidRDefault="00E6519E" w:rsidP="0019519D">
            <w:pPr>
              <w:keepNext/>
              <w:spacing w:before="40" w:after="40"/>
              <w:rPr>
                <w:rFonts w:ascii="Arial Narrow" w:hAnsi="Arial Narrow"/>
                <w:szCs w:val="20"/>
              </w:rPr>
            </w:pPr>
          </w:p>
        </w:tc>
        <w:tc>
          <w:tcPr>
            <w:tcW w:w="2895" w:type="dxa"/>
            <w:vMerge w:val="restart"/>
            <w:tcBorders>
              <w:bottom w:val="single" w:sz="12" w:space="0" w:color="auto"/>
            </w:tcBorders>
          </w:tcPr>
          <w:p w14:paraId="737451C1" w14:textId="77777777" w:rsidR="00E6519E" w:rsidRPr="00496BC6" w:rsidRDefault="00E6519E" w:rsidP="0019519D">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Mortality</w:t>
            </w:r>
          </w:p>
        </w:tc>
        <w:tc>
          <w:tcPr>
            <w:tcW w:w="1134" w:type="dxa"/>
            <w:tcBorders>
              <w:bottom w:val="single" w:sz="4" w:space="0" w:color="auto"/>
            </w:tcBorders>
          </w:tcPr>
          <w:p w14:paraId="50714323"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In-hospital</w:t>
            </w:r>
          </w:p>
        </w:tc>
        <w:tc>
          <w:tcPr>
            <w:tcW w:w="1417" w:type="dxa"/>
            <w:tcBorders>
              <w:bottom w:val="single" w:sz="4" w:space="0" w:color="auto"/>
            </w:tcBorders>
          </w:tcPr>
          <w:p w14:paraId="24297074"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0.9%</w:t>
            </w:r>
          </w:p>
        </w:tc>
        <w:tc>
          <w:tcPr>
            <w:tcW w:w="1418" w:type="dxa"/>
            <w:tcBorders>
              <w:bottom w:val="single" w:sz="4" w:space="0" w:color="auto"/>
            </w:tcBorders>
          </w:tcPr>
          <w:p w14:paraId="64CBEAB4"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0.9%</w:t>
            </w:r>
          </w:p>
        </w:tc>
        <w:tc>
          <w:tcPr>
            <w:tcW w:w="1134" w:type="dxa"/>
            <w:tcBorders>
              <w:bottom w:val="single" w:sz="4" w:space="0" w:color="auto"/>
            </w:tcBorders>
          </w:tcPr>
          <w:p w14:paraId="7DF7F00D"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0.947</w:t>
            </w:r>
          </w:p>
        </w:tc>
      </w:tr>
      <w:tr w:rsidR="00E6519E" w:rsidRPr="00A665FB" w14:paraId="1B3E0228" w14:textId="77777777" w:rsidTr="005C1F35">
        <w:tc>
          <w:tcPr>
            <w:cnfStyle w:val="001000000000" w:firstRow="0" w:lastRow="0" w:firstColumn="1" w:lastColumn="0" w:oddVBand="0" w:evenVBand="0" w:oddHBand="0" w:evenHBand="0" w:firstRowFirstColumn="0" w:firstRowLastColumn="0" w:lastRowFirstColumn="0" w:lastRowLastColumn="0"/>
            <w:tcW w:w="786" w:type="dxa"/>
            <w:vMerge/>
            <w:tcBorders>
              <w:bottom w:val="single" w:sz="12" w:space="0" w:color="auto"/>
            </w:tcBorders>
          </w:tcPr>
          <w:p w14:paraId="2A549C0F" w14:textId="77777777" w:rsidR="00E6519E" w:rsidRPr="00496BC6" w:rsidRDefault="00E6519E" w:rsidP="0019519D">
            <w:pPr>
              <w:keepNext/>
              <w:spacing w:before="40" w:after="40"/>
              <w:rPr>
                <w:rFonts w:ascii="Arial Narrow" w:hAnsi="Arial Narrow"/>
                <w:szCs w:val="20"/>
              </w:rPr>
            </w:pPr>
          </w:p>
        </w:tc>
        <w:tc>
          <w:tcPr>
            <w:tcW w:w="2895" w:type="dxa"/>
            <w:vMerge/>
            <w:tcBorders>
              <w:bottom w:val="single" w:sz="12" w:space="0" w:color="auto"/>
            </w:tcBorders>
          </w:tcPr>
          <w:p w14:paraId="0AF3A659" w14:textId="77777777" w:rsidR="00E6519E" w:rsidRPr="00496BC6" w:rsidRDefault="00E6519E" w:rsidP="0019519D">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p>
        </w:tc>
        <w:tc>
          <w:tcPr>
            <w:tcW w:w="1134" w:type="dxa"/>
            <w:tcBorders>
              <w:bottom w:val="single" w:sz="12" w:space="0" w:color="auto"/>
            </w:tcBorders>
          </w:tcPr>
          <w:p w14:paraId="40414EF7"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30-day</w:t>
            </w:r>
          </w:p>
        </w:tc>
        <w:tc>
          <w:tcPr>
            <w:tcW w:w="1417" w:type="dxa"/>
            <w:tcBorders>
              <w:bottom w:val="single" w:sz="12" w:space="0" w:color="auto"/>
            </w:tcBorders>
          </w:tcPr>
          <w:p w14:paraId="247F4122"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2%</w:t>
            </w:r>
          </w:p>
        </w:tc>
        <w:tc>
          <w:tcPr>
            <w:tcW w:w="1418" w:type="dxa"/>
            <w:tcBorders>
              <w:bottom w:val="single" w:sz="12" w:space="0" w:color="auto"/>
            </w:tcBorders>
          </w:tcPr>
          <w:p w14:paraId="40F2824E"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2%</w:t>
            </w:r>
          </w:p>
        </w:tc>
        <w:tc>
          <w:tcPr>
            <w:tcW w:w="1134" w:type="dxa"/>
            <w:tcBorders>
              <w:bottom w:val="single" w:sz="12" w:space="0" w:color="auto"/>
            </w:tcBorders>
          </w:tcPr>
          <w:p w14:paraId="327DB2B8"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0.947</w:t>
            </w:r>
          </w:p>
        </w:tc>
      </w:tr>
      <w:tr w:rsidR="00E6519E" w:rsidRPr="00A665FB" w14:paraId="73A3BBE0" w14:textId="77777777" w:rsidTr="005C1F35">
        <w:tc>
          <w:tcPr>
            <w:cnfStyle w:val="001000000000" w:firstRow="0" w:lastRow="0" w:firstColumn="1" w:lastColumn="0" w:oddVBand="0" w:evenVBand="0" w:oddHBand="0" w:evenHBand="0" w:firstRowFirstColumn="0" w:firstRowLastColumn="0" w:lastRowFirstColumn="0" w:lastRowLastColumn="0"/>
            <w:tcW w:w="786" w:type="dxa"/>
            <w:vMerge w:val="restart"/>
            <w:tcBorders>
              <w:top w:val="single" w:sz="12" w:space="0" w:color="auto"/>
            </w:tcBorders>
          </w:tcPr>
          <w:p w14:paraId="34E56CAF" w14:textId="77777777" w:rsidR="00E6519E" w:rsidRPr="00496BC6" w:rsidRDefault="00E6519E" w:rsidP="00091167">
            <w:pPr>
              <w:keepNext/>
              <w:spacing w:before="40" w:after="40"/>
              <w:rPr>
                <w:rFonts w:ascii="Arial Narrow" w:hAnsi="Arial Narrow"/>
                <w:szCs w:val="20"/>
              </w:rPr>
            </w:pPr>
            <w:r w:rsidRPr="00496BC6">
              <w:rPr>
                <w:rFonts w:ascii="Arial Narrow" w:hAnsi="Arial Narrow"/>
                <w:szCs w:val="20"/>
              </w:rPr>
              <w:t>Geis</w:t>
            </w:r>
          </w:p>
          <w:p w14:paraId="6087393C" w14:textId="77777777" w:rsidR="00E6519E" w:rsidRPr="00496BC6" w:rsidRDefault="00E6519E" w:rsidP="00091167">
            <w:pPr>
              <w:keepNext/>
              <w:spacing w:before="40" w:after="40"/>
              <w:rPr>
                <w:rFonts w:ascii="Arial Narrow" w:hAnsi="Arial Narrow"/>
                <w:szCs w:val="20"/>
              </w:rPr>
            </w:pPr>
            <w:r w:rsidRPr="00496BC6">
              <w:rPr>
                <w:rFonts w:ascii="Arial Narrow" w:hAnsi="Arial Narrow"/>
                <w:szCs w:val="20"/>
              </w:rPr>
              <w:t>2022</w:t>
            </w:r>
          </w:p>
        </w:tc>
        <w:tc>
          <w:tcPr>
            <w:tcW w:w="2895" w:type="dxa"/>
            <w:tcBorders>
              <w:top w:val="single" w:sz="12" w:space="0" w:color="auto"/>
            </w:tcBorders>
            <w:vAlign w:val="top"/>
          </w:tcPr>
          <w:p w14:paraId="3EAB8D76" w14:textId="77777777" w:rsidR="00E6519E" w:rsidRPr="00496BC6" w:rsidRDefault="00E6519E" w:rsidP="00091167">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In-hospital mortality</w:t>
            </w:r>
          </w:p>
        </w:tc>
        <w:tc>
          <w:tcPr>
            <w:tcW w:w="1134" w:type="dxa"/>
            <w:vMerge w:val="restart"/>
            <w:tcBorders>
              <w:top w:val="single" w:sz="12" w:space="0" w:color="auto"/>
            </w:tcBorders>
          </w:tcPr>
          <w:p w14:paraId="565EB977" w14:textId="77777777" w:rsidR="00E6519E" w:rsidRPr="00496BC6" w:rsidRDefault="00E6519E" w:rsidP="00091167">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at discharge</w:t>
            </w:r>
          </w:p>
        </w:tc>
        <w:tc>
          <w:tcPr>
            <w:tcW w:w="1417" w:type="dxa"/>
            <w:tcBorders>
              <w:top w:val="single" w:sz="12" w:space="0" w:color="auto"/>
            </w:tcBorders>
          </w:tcPr>
          <w:p w14:paraId="0AFDDCA8" w14:textId="77777777" w:rsidR="00E6519E" w:rsidRPr="00496BC6" w:rsidRDefault="00E6519E" w:rsidP="00091167">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0% (0/41)</w:t>
            </w:r>
          </w:p>
        </w:tc>
        <w:tc>
          <w:tcPr>
            <w:tcW w:w="1418" w:type="dxa"/>
            <w:tcBorders>
              <w:top w:val="single" w:sz="12" w:space="0" w:color="auto"/>
            </w:tcBorders>
          </w:tcPr>
          <w:p w14:paraId="4806C504" w14:textId="77777777" w:rsidR="00E6519E" w:rsidRPr="00496BC6" w:rsidRDefault="00E6519E" w:rsidP="00091167">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6.1% (5/82)</w:t>
            </w:r>
          </w:p>
        </w:tc>
        <w:tc>
          <w:tcPr>
            <w:tcW w:w="1134" w:type="dxa"/>
            <w:tcBorders>
              <w:top w:val="single" w:sz="12" w:space="0" w:color="auto"/>
            </w:tcBorders>
          </w:tcPr>
          <w:p w14:paraId="46C0F5D5" w14:textId="77777777" w:rsidR="00E6519E" w:rsidRPr="00496BC6" w:rsidRDefault="00E6519E" w:rsidP="00091167">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0.1682</w:t>
            </w:r>
          </w:p>
        </w:tc>
      </w:tr>
      <w:tr w:rsidR="00E6519E" w:rsidRPr="00A665FB" w14:paraId="04BB37DB" w14:textId="77777777" w:rsidTr="005C1F35">
        <w:tc>
          <w:tcPr>
            <w:cnfStyle w:val="001000000000" w:firstRow="0" w:lastRow="0" w:firstColumn="1" w:lastColumn="0" w:oddVBand="0" w:evenVBand="0" w:oddHBand="0" w:evenHBand="0" w:firstRowFirstColumn="0" w:firstRowLastColumn="0" w:lastRowFirstColumn="0" w:lastRowLastColumn="0"/>
            <w:tcW w:w="786" w:type="dxa"/>
            <w:vMerge/>
          </w:tcPr>
          <w:p w14:paraId="6B6B75DC" w14:textId="77777777" w:rsidR="00E6519E" w:rsidRPr="00496BC6" w:rsidRDefault="00E6519E" w:rsidP="0019519D">
            <w:pPr>
              <w:keepNext/>
              <w:spacing w:before="40" w:after="40"/>
              <w:rPr>
                <w:rFonts w:ascii="Arial Narrow" w:hAnsi="Arial Narrow"/>
                <w:szCs w:val="20"/>
              </w:rPr>
            </w:pPr>
          </w:p>
        </w:tc>
        <w:tc>
          <w:tcPr>
            <w:tcW w:w="2895" w:type="dxa"/>
            <w:tcBorders>
              <w:bottom w:val="single" w:sz="4" w:space="0" w:color="auto"/>
            </w:tcBorders>
            <w:vAlign w:val="top"/>
          </w:tcPr>
          <w:p w14:paraId="149571EF" w14:textId="77777777" w:rsidR="00E6519E" w:rsidRPr="00496BC6" w:rsidRDefault="00E6519E" w:rsidP="0019519D">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Cerebrovascular accident</w:t>
            </w:r>
          </w:p>
        </w:tc>
        <w:tc>
          <w:tcPr>
            <w:tcW w:w="1134" w:type="dxa"/>
            <w:vMerge/>
          </w:tcPr>
          <w:p w14:paraId="44409ECA"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p>
        </w:tc>
        <w:tc>
          <w:tcPr>
            <w:tcW w:w="1417" w:type="dxa"/>
            <w:tcBorders>
              <w:bottom w:val="single" w:sz="4" w:space="0" w:color="auto"/>
            </w:tcBorders>
          </w:tcPr>
          <w:p w14:paraId="7E18715D"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0% (0/41)</w:t>
            </w:r>
          </w:p>
        </w:tc>
        <w:tc>
          <w:tcPr>
            <w:tcW w:w="1418" w:type="dxa"/>
            <w:tcBorders>
              <w:bottom w:val="single" w:sz="4" w:space="0" w:color="auto"/>
            </w:tcBorders>
          </w:tcPr>
          <w:p w14:paraId="0AC1EFA7"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2.44% (2/82)</w:t>
            </w:r>
          </w:p>
        </w:tc>
        <w:tc>
          <w:tcPr>
            <w:tcW w:w="1134" w:type="dxa"/>
            <w:tcBorders>
              <w:bottom w:val="single" w:sz="4" w:space="0" w:color="auto"/>
            </w:tcBorders>
          </w:tcPr>
          <w:p w14:paraId="4D139EAD"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0.5519</w:t>
            </w:r>
          </w:p>
        </w:tc>
      </w:tr>
      <w:tr w:rsidR="00E6519E" w:rsidRPr="00A665FB" w14:paraId="3834CD63" w14:textId="77777777" w:rsidTr="005C1F35">
        <w:tc>
          <w:tcPr>
            <w:cnfStyle w:val="001000000000" w:firstRow="0" w:lastRow="0" w:firstColumn="1" w:lastColumn="0" w:oddVBand="0" w:evenVBand="0" w:oddHBand="0" w:evenHBand="0" w:firstRowFirstColumn="0" w:firstRowLastColumn="0" w:lastRowFirstColumn="0" w:lastRowLastColumn="0"/>
            <w:tcW w:w="786" w:type="dxa"/>
            <w:vMerge/>
          </w:tcPr>
          <w:p w14:paraId="1D5A7A58" w14:textId="77777777" w:rsidR="00E6519E" w:rsidRPr="00496BC6" w:rsidRDefault="00E6519E" w:rsidP="0019519D">
            <w:pPr>
              <w:keepNext/>
              <w:spacing w:before="40" w:after="40"/>
              <w:rPr>
                <w:rFonts w:ascii="Arial Narrow" w:hAnsi="Arial Narrow"/>
                <w:szCs w:val="20"/>
              </w:rPr>
            </w:pPr>
          </w:p>
        </w:tc>
        <w:tc>
          <w:tcPr>
            <w:tcW w:w="2895" w:type="dxa"/>
            <w:tcBorders>
              <w:bottom w:val="single" w:sz="12" w:space="0" w:color="auto"/>
            </w:tcBorders>
            <w:vAlign w:val="top"/>
          </w:tcPr>
          <w:p w14:paraId="331434C5" w14:textId="77777777" w:rsidR="00E6519E" w:rsidRPr="00496BC6" w:rsidRDefault="00E6519E" w:rsidP="0019519D">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Severe bleeding**</w:t>
            </w:r>
          </w:p>
        </w:tc>
        <w:tc>
          <w:tcPr>
            <w:tcW w:w="1134" w:type="dxa"/>
            <w:vMerge/>
            <w:tcBorders>
              <w:bottom w:val="single" w:sz="12" w:space="0" w:color="auto"/>
            </w:tcBorders>
          </w:tcPr>
          <w:p w14:paraId="29394940"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p>
        </w:tc>
        <w:tc>
          <w:tcPr>
            <w:tcW w:w="1417" w:type="dxa"/>
            <w:tcBorders>
              <w:bottom w:val="single" w:sz="12" w:space="0" w:color="auto"/>
            </w:tcBorders>
          </w:tcPr>
          <w:p w14:paraId="15BBF45E"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0% (0/41)</w:t>
            </w:r>
          </w:p>
        </w:tc>
        <w:tc>
          <w:tcPr>
            <w:tcW w:w="1418" w:type="dxa"/>
            <w:tcBorders>
              <w:bottom w:val="single" w:sz="12" w:space="0" w:color="auto"/>
            </w:tcBorders>
          </w:tcPr>
          <w:p w14:paraId="669A8500"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2.44% (2/82)</w:t>
            </w:r>
          </w:p>
        </w:tc>
        <w:tc>
          <w:tcPr>
            <w:tcW w:w="1134" w:type="dxa"/>
            <w:tcBorders>
              <w:bottom w:val="single" w:sz="12" w:space="0" w:color="auto"/>
            </w:tcBorders>
          </w:tcPr>
          <w:p w14:paraId="50ED3C72"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0.5519</w:t>
            </w:r>
          </w:p>
        </w:tc>
      </w:tr>
      <w:tr w:rsidR="00E6519E" w:rsidRPr="00A665FB" w14:paraId="4A646634" w14:textId="77777777" w:rsidTr="005C1F35">
        <w:tc>
          <w:tcPr>
            <w:cnfStyle w:val="001000000000" w:firstRow="0" w:lastRow="0" w:firstColumn="1" w:lastColumn="0" w:oddVBand="0" w:evenVBand="0" w:oddHBand="0" w:evenHBand="0" w:firstRowFirstColumn="0" w:firstRowLastColumn="0" w:lastRowFirstColumn="0" w:lastRowLastColumn="0"/>
            <w:tcW w:w="786" w:type="dxa"/>
            <w:vMerge/>
          </w:tcPr>
          <w:p w14:paraId="5CB81EFD" w14:textId="77777777" w:rsidR="00E6519E" w:rsidRPr="00496BC6" w:rsidRDefault="00E6519E" w:rsidP="0019519D">
            <w:pPr>
              <w:keepNext/>
              <w:spacing w:before="40" w:after="40"/>
              <w:rPr>
                <w:rFonts w:ascii="Arial Narrow" w:hAnsi="Arial Narrow"/>
                <w:szCs w:val="20"/>
              </w:rPr>
            </w:pPr>
          </w:p>
        </w:tc>
        <w:tc>
          <w:tcPr>
            <w:tcW w:w="2895" w:type="dxa"/>
            <w:tcBorders>
              <w:top w:val="single" w:sz="12" w:space="0" w:color="auto"/>
            </w:tcBorders>
            <w:vAlign w:val="top"/>
          </w:tcPr>
          <w:p w14:paraId="1E89A974" w14:textId="77777777" w:rsidR="00E6519E" w:rsidRPr="00496BC6" w:rsidRDefault="00E6519E" w:rsidP="0019519D">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Death, HF rehospitalisation, mitral valve reintervention</w:t>
            </w:r>
          </w:p>
        </w:tc>
        <w:tc>
          <w:tcPr>
            <w:tcW w:w="1134" w:type="dxa"/>
            <w:vMerge w:val="restart"/>
            <w:tcBorders>
              <w:top w:val="single" w:sz="12" w:space="0" w:color="auto"/>
            </w:tcBorders>
          </w:tcPr>
          <w:p w14:paraId="22367CF1" w14:textId="2E61ECFF"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1-4 months</w:t>
            </w:r>
          </w:p>
          <w:p w14:paraId="1F63ED10"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(median 50-58</w:t>
            </w:r>
          </w:p>
          <w:p w14:paraId="578A4B8A"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days)</w:t>
            </w:r>
          </w:p>
        </w:tc>
        <w:tc>
          <w:tcPr>
            <w:tcW w:w="1417" w:type="dxa"/>
            <w:tcBorders>
              <w:top w:val="single" w:sz="12" w:space="0" w:color="auto"/>
            </w:tcBorders>
          </w:tcPr>
          <w:p w14:paraId="6F80C6F8"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14.63% (6/41)</w:t>
            </w:r>
          </w:p>
        </w:tc>
        <w:tc>
          <w:tcPr>
            <w:tcW w:w="1418" w:type="dxa"/>
            <w:tcBorders>
              <w:top w:val="single" w:sz="12" w:space="0" w:color="auto"/>
            </w:tcBorders>
          </w:tcPr>
          <w:p w14:paraId="3A5E1021"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23.17% (19/82)</w:t>
            </w:r>
          </w:p>
        </w:tc>
        <w:tc>
          <w:tcPr>
            <w:tcW w:w="1134" w:type="dxa"/>
            <w:tcBorders>
              <w:top w:val="single" w:sz="12" w:space="0" w:color="auto"/>
            </w:tcBorders>
          </w:tcPr>
          <w:p w14:paraId="459D9B87"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0.3447</w:t>
            </w:r>
          </w:p>
        </w:tc>
      </w:tr>
      <w:tr w:rsidR="00E6519E" w:rsidRPr="00A665FB" w14:paraId="28E50D90" w14:textId="77777777" w:rsidTr="005C1F35">
        <w:tc>
          <w:tcPr>
            <w:cnfStyle w:val="001000000000" w:firstRow="0" w:lastRow="0" w:firstColumn="1" w:lastColumn="0" w:oddVBand="0" w:evenVBand="0" w:oddHBand="0" w:evenHBand="0" w:firstRowFirstColumn="0" w:firstRowLastColumn="0" w:lastRowFirstColumn="0" w:lastRowLastColumn="0"/>
            <w:tcW w:w="786" w:type="dxa"/>
            <w:vMerge/>
          </w:tcPr>
          <w:p w14:paraId="08B1C2C5" w14:textId="77777777" w:rsidR="00E6519E" w:rsidRPr="00496BC6" w:rsidRDefault="00E6519E" w:rsidP="0019519D">
            <w:pPr>
              <w:keepNext/>
              <w:spacing w:before="40" w:after="40"/>
              <w:rPr>
                <w:rFonts w:ascii="Arial Narrow" w:hAnsi="Arial Narrow"/>
                <w:szCs w:val="20"/>
              </w:rPr>
            </w:pPr>
          </w:p>
        </w:tc>
        <w:tc>
          <w:tcPr>
            <w:tcW w:w="2895" w:type="dxa"/>
            <w:vAlign w:val="top"/>
          </w:tcPr>
          <w:p w14:paraId="2689A5EE" w14:textId="77777777" w:rsidR="00E6519E" w:rsidRPr="00496BC6" w:rsidRDefault="00E6519E" w:rsidP="0019519D">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 xml:space="preserve">       Mortality</w:t>
            </w:r>
          </w:p>
        </w:tc>
        <w:tc>
          <w:tcPr>
            <w:tcW w:w="1134" w:type="dxa"/>
            <w:vMerge/>
          </w:tcPr>
          <w:p w14:paraId="09AF754E"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p>
        </w:tc>
        <w:tc>
          <w:tcPr>
            <w:tcW w:w="1417" w:type="dxa"/>
          </w:tcPr>
          <w:p w14:paraId="2B33DCA5"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7.32% (3/41)</w:t>
            </w:r>
          </w:p>
        </w:tc>
        <w:tc>
          <w:tcPr>
            <w:tcW w:w="1418" w:type="dxa"/>
          </w:tcPr>
          <w:p w14:paraId="7FA47F54"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8.54% (7/82)</w:t>
            </w:r>
          </w:p>
        </w:tc>
        <w:tc>
          <w:tcPr>
            <w:tcW w:w="1134" w:type="dxa"/>
          </w:tcPr>
          <w:p w14:paraId="64B5AE1A"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1.00</w:t>
            </w:r>
          </w:p>
        </w:tc>
      </w:tr>
      <w:tr w:rsidR="00E6519E" w:rsidRPr="00A665FB" w14:paraId="3BADD60D" w14:textId="77777777" w:rsidTr="005C1F35">
        <w:tc>
          <w:tcPr>
            <w:cnfStyle w:val="001000000000" w:firstRow="0" w:lastRow="0" w:firstColumn="1" w:lastColumn="0" w:oddVBand="0" w:evenVBand="0" w:oddHBand="0" w:evenHBand="0" w:firstRowFirstColumn="0" w:firstRowLastColumn="0" w:lastRowFirstColumn="0" w:lastRowLastColumn="0"/>
            <w:tcW w:w="786" w:type="dxa"/>
            <w:vMerge/>
          </w:tcPr>
          <w:p w14:paraId="76461949" w14:textId="77777777" w:rsidR="00E6519E" w:rsidRPr="00496BC6" w:rsidRDefault="00E6519E" w:rsidP="0019519D">
            <w:pPr>
              <w:keepNext/>
              <w:spacing w:before="40" w:after="40"/>
              <w:rPr>
                <w:rFonts w:ascii="Arial Narrow" w:hAnsi="Arial Narrow"/>
                <w:szCs w:val="20"/>
              </w:rPr>
            </w:pPr>
          </w:p>
        </w:tc>
        <w:tc>
          <w:tcPr>
            <w:tcW w:w="2895" w:type="dxa"/>
            <w:tcBorders>
              <w:bottom w:val="single" w:sz="4" w:space="0" w:color="auto"/>
            </w:tcBorders>
            <w:vAlign w:val="top"/>
          </w:tcPr>
          <w:p w14:paraId="7A450CC3" w14:textId="77777777" w:rsidR="00E6519E" w:rsidRPr="00496BC6" w:rsidRDefault="00E6519E" w:rsidP="0019519D">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 xml:space="preserve">       HF hospitalisation</w:t>
            </w:r>
          </w:p>
        </w:tc>
        <w:tc>
          <w:tcPr>
            <w:tcW w:w="1134" w:type="dxa"/>
            <w:vMerge/>
          </w:tcPr>
          <w:p w14:paraId="46078FCC"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p>
        </w:tc>
        <w:tc>
          <w:tcPr>
            <w:tcW w:w="1417" w:type="dxa"/>
            <w:tcBorders>
              <w:bottom w:val="single" w:sz="4" w:space="0" w:color="auto"/>
            </w:tcBorders>
          </w:tcPr>
          <w:p w14:paraId="2B2461CC"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9.76% (4/41)</w:t>
            </w:r>
          </w:p>
        </w:tc>
        <w:tc>
          <w:tcPr>
            <w:tcW w:w="1418" w:type="dxa"/>
            <w:tcBorders>
              <w:bottom w:val="single" w:sz="4" w:space="0" w:color="auto"/>
            </w:tcBorders>
          </w:tcPr>
          <w:p w14:paraId="2DC89D09"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15.85 (13/82)</w:t>
            </w:r>
          </w:p>
        </w:tc>
        <w:tc>
          <w:tcPr>
            <w:tcW w:w="1134" w:type="dxa"/>
            <w:tcBorders>
              <w:bottom w:val="single" w:sz="4" w:space="0" w:color="auto"/>
            </w:tcBorders>
          </w:tcPr>
          <w:p w14:paraId="043D3884"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0.4188</w:t>
            </w:r>
          </w:p>
        </w:tc>
      </w:tr>
      <w:tr w:rsidR="00E6519E" w:rsidRPr="00A665FB" w14:paraId="7EE26BF0" w14:textId="77777777" w:rsidTr="005C1F35">
        <w:tc>
          <w:tcPr>
            <w:cnfStyle w:val="001000000000" w:firstRow="0" w:lastRow="0" w:firstColumn="1" w:lastColumn="0" w:oddVBand="0" w:evenVBand="0" w:oddHBand="0" w:evenHBand="0" w:firstRowFirstColumn="0" w:firstRowLastColumn="0" w:lastRowFirstColumn="0" w:lastRowLastColumn="0"/>
            <w:tcW w:w="786" w:type="dxa"/>
            <w:vMerge/>
          </w:tcPr>
          <w:p w14:paraId="16F9901C" w14:textId="77777777" w:rsidR="00E6519E" w:rsidRPr="00496BC6" w:rsidRDefault="00E6519E" w:rsidP="0019519D">
            <w:pPr>
              <w:keepNext/>
              <w:spacing w:before="40" w:after="40"/>
              <w:rPr>
                <w:rFonts w:ascii="Arial Narrow" w:hAnsi="Arial Narrow"/>
                <w:szCs w:val="20"/>
              </w:rPr>
            </w:pPr>
          </w:p>
        </w:tc>
        <w:tc>
          <w:tcPr>
            <w:tcW w:w="2895" w:type="dxa"/>
            <w:tcBorders>
              <w:bottom w:val="single" w:sz="12" w:space="0" w:color="auto"/>
            </w:tcBorders>
            <w:vAlign w:val="top"/>
          </w:tcPr>
          <w:p w14:paraId="7F1A3E69" w14:textId="77777777" w:rsidR="00E6519E" w:rsidRPr="00496BC6" w:rsidRDefault="00E6519E" w:rsidP="0019519D">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 xml:space="preserve">       Mitral valve reintervention</w:t>
            </w:r>
          </w:p>
        </w:tc>
        <w:tc>
          <w:tcPr>
            <w:tcW w:w="1134" w:type="dxa"/>
            <w:vMerge/>
            <w:tcBorders>
              <w:bottom w:val="single" w:sz="12" w:space="0" w:color="auto"/>
            </w:tcBorders>
          </w:tcPr>
          <w:p w14:paraId="2CD943D9"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p>
        </w:tc>
        <w:tc>
          <w:tcPr>
            <w:tcW w:w="1417" w:type="dxa"/>
            <w:tcBorders>
              <w:bottom w:val="single" w:sz="12" w:space="0" w:color="auto"/>
            </w:tcBorders>
          </w:tcPr>
          <w:p w14:paraId="260C9F7F"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0% (0/41)</w:t>
            </w:r>
          </w:p>
        </w:tc>
        <w:tc>
          <w:tcPr>
            <w:tcW w:w="1418" w:type="dxa"/>
            <w:tcBorders>
              <w:bottom w:val="single" w:sz="12" w:space="0" w:color="auto"/>
            </w:tcBorders>
          </w:tcPr>
          <w:p w14:paraId="4D4F7F70"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3.66% (3/82)</w:t>
            </w:r>
          </w:p>
        </w:tc>
        <w:tc>
          <w:tcPr>
            <w:tcW w:w="1134" w:type="dxa"/>
            <w:tcBorders>
              <w:bottom w:val="single" w:sz="12" w:space="0" w:color="auto"/>
            </w:tcBorders>
          </w:tcPr>
          <w:p w14:paraId="7DD8BD48"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0.5501</w:t>
            </w:r>
          </w:p>
        </w:tc>
      </w:tr>
      <w:tr w:rsidR="00E6519E" w:rsidRPr="00A665FB" w14:paraId="7A32E274" w14:textId="77777777" w:rsidTr="005C1F35">
        <w:tc>
          <w:tcPr>
            <w:cnfStyle w:val="001000000000" w:firstRow="0" w:lastRow="0" w:firstColumn="1" w:lastColumn="0" w:oddVBand="0" w:evenVBand="0" w:oddHBand="0" w:evenHBand="0" w:firstRowFirstColumn="0" w:firstRowLastColumn="0" w:lastRowFirstColumn="0" w:lastRowLastColumn="0"/>
            <w:tcW w:w="786" w:type="dxa"/>
            <w:vMerge/>
          </w:tcPr>
          <w:p w14:paraId="4F53CEE5" w14:textId="77777777" w:rsidR="00E6519E" w:rsidRPr="00496BC6" w:rsidRDefault="00E6519E" w:rsidP="0019519D">
            <w:pPr>
              <w:keepNext/>
              <w:spacing w:before="40" w:after="40"/>
              <w:rPr>
                <w:rFonts w:ascii="Arial Narrow" w:hAnsi="Arial Narrow"/>
                <w:szCs w:val="20"/>
              </w:rPr>
            </w:pPr>
          </w:p>
        </w:tc>
        <w:tc>
          <w:tcPr>
            <w:tcW w:w="2895" w:type="dxa"/>
            <w:tcBorders>
              <w:top w:val="single" w:sz="12" w:space="0" w:color="auto"/>
            </w:tcBorders>
            <w:vAlign w:val="top"/>
          </w:tcPr>
          <w:p w14:paraId="5D351902" w14:textId="77777777" w:rsidR="00E6519E" w:rsidRPr="00496BC6" w:rsidRDefault="00E6519E" w:rsidP="0019519D">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Death, HF rehospitalisation, mitral valve reintervention</w:t>
            </w:r>
          </w:p>
        </w:tc>
        <w:tc>
          <w:tcPr>
            <w:tcW w:w="1134" w:type="dxa"/>
            <w:vMerge w:val="restart"/>
            <w:tcBorders>
              <w:top w:val="single" w:sz="12" w:space="0" w:color="auto"/>
            </w:tcBorders>
          </w:tcPr>
          <w:p w14:paraId="590D3831"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6-18 months</w:t>
            </w:r>
          </w:p>
          <w:p w14:paraId="6B31A12A"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(median 360</w:t>
            </w:r>
          </w:p>
          <w:p w14:paraId="6A00C1A4"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days)</w:t>
            </w:r>
          </w:p>
        </w:tc>
        <w:tc>
          <w:tcPr>
            <w:tcW w:w="1417" w:type="dxa"/>
            <w:tcBorders>
              <w:top w:val="single" w:sz="12" w:space="0" w:color="auto"/>
            </w:tcBorders>
          </w:tcPr>
          <w:p w14:paraId="3A11944F"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34.15% (14/41)</w:t>
            </w:r>
          </w:p>
        </w:tc>
        <w:tc>
          <w:tcPr>
            <w:tcW w:w="1418" w:type="dxa"/>
            <w:tcBorders>
              <w:top w:val="single" w:sz="12" w:space="0" w:color="auto"/>
            </w:tcBorders>
          </w:tcPr>
          <w:p w14:paraId="4F736B79"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42.68% (35/82)</w:t>
            </w:r>
          </w:p>
        </w:tc>
        <w:tc>
          <w:tcPr>
            <w:tcW w:w="1134" w:type="dxa"/>
            <w:tcBorders>
              <w:top w:val="single" w:sz="12" w:space="0" w:color="auto"/>
            </w:tcBorders>
          </w:tcPr>
          <w:p w14:paraId="19EED375"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0.4361</w:t>
            </w:r>
          </w:p>
        </w:tc>
      </w:tr>
      <w:tr w:rsidR="00E6519E" w:rsidRPr="00A665FB" w14:paraId="7FA0E071" w14:textId="77777777" w:rsidTr="005C1F35">
        <w:tc>
          <w:tcPr>
            <w:cnfStyle w:val="001000000000" w:firstRow="0" w:lastRow="0" w:firstColumn="1" w:lastColumn="0" w:oddVBand="0" w:evenVBand="0" w:oddHBand="0" w:evenHBand="0" w:firstRowFirstColumn="0" w:firstRowLastColumn="0" w:lastRowFirstColumn="0" w:lastRowLastColumn="0"/>
            <w:tcW w:w="786" w:type="dxa"/>
            <w:vMerge/>
          </w:tcPr>
          <w:p w14:paraId="0D2669C4" w14:textId="77777777" w:rsidR="00E6519E" w:rsidRPr="00496BC6" w:rsidRDefault="00E6519E" w:rsidP="0019519D">
            <w:pPr>
              <w:keepNext/>
              <w:spacing w:before="40" w:after="40"/>
              <w:rPr>
                <w:rFonts w:ascii="Arial Narrow" w:hAnsi="Arial Narrow"/>
                <w:szCs w:val="20"/>
              </w:rPr>
            </w:pPr>
          </w:p>
        </w:tc>
        <w:tc>
          <w:tcPr>
            <w:tcW w:w="2895" w:type="dxa"/>
            <w:vAlign w:val="top"/>
          </w:tcPr>
          <w:p w14:paraId="15B42DCB" w14:textId="77777777" w:rsidR="00E6519E" w:rsidRPr="00496BC6" w:rsidRDefault="00E6519E" w:rsidP="0019519D">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 xml:space="preserve">      Mortality</w:t>
            </w:r>
          </w:p>
        </w:tc>
        <w:tc>
          <w:tcPr>
            <w:tcW w:w="1134" w:type="dxa"/>
            <w:vMerge/>
          </w:tcPr>
          <w:p w14:paraId="3C4D70F4"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p>
        </w:tc>
        <w:tc>
          <w:tcPr>
            <w:tcW w:w="1417" w:type="dxa"/>
          </w:tcPr>
          <w:p w14:paraId="01F320ED"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19.51% (8/41)</w:t>
            </w:r>
          </w:p>
        </w:tc>
        <w:tc>
          <w:tcPr>
            <w:tcW w:w="1418" w:type="dxa"/>
          </w:tcPr>
          <w:p w14:paraId="6742E73B"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15.85% (13/82)</w:t>
            </w:r>
          </w:p>
        </w:tc>
        <w:tc>
          <w:tcPr>
            <w:tcW w:w="1134" w:type="dxa"/>
          </w:tcPr>
          <w:p w14:paraId="0CADB90D"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0.6189</w:t>
            </w:r>
          </w:p>
        </w:tc>
      </w:tr>
      <w:tr w:rsidR="00E6519E" w:rsidRPr="00A665FB" w14:paraId="356F3881" w14:textId="77777777" w:rsidTr="005C1F35">
        <w:tc>
          <w:tcPr>
            <w:cnfStyle w:val="001000000000" w:firstRow="0" w:lastRow="0" w:firstColumn="1" w:lastColumn="0" w:oddVBand="0" w:evenVBand="0" w:oddHBand="0" w:evenHBand="0" w:firstRowFirstColumn="0" w:firstRowLastColumn="0" w:lastRowFirstColumn="0" w:lastRowLastColumn="0"/>
            <w:tcW w:w="786" w:type="dxa"/>
            <w:vMerge/>
          </w:tcPr>
          <w:p w14:paraId="59CF3C25" w14:textId="77777777" w:rsidR="00E6519E" w:rsidRPr="00496BC6" w:rsidRDefault="00E6519E" w:rsidP="0019519D">
            <w:pPr>
              <w:keepNext/>
              <w:spacing w:before="40" w:after="40"/>
              <w:rPr>
                <w:rFonts w:ascii="Arial Narrow" w:hAnsi="Arial Narrow"/>
                <w:szCs w:val="20"/>
              </w:rPr>
            </w:pPr>
          </w:p>
        </w:tc>
        <w:tc>
          <w:tcPr>
            <w:tcW w:w="2895" w:type="dxa"/>
            <w:vAlign w:val="top"/>
          </w:tcPr>
          <w:p w14:paraId="7E434342" w14:textId="77777777" w:rsidR="00E6519E" w:rsidRPr="00496BC6" w:rsidRDefault="00E6519E" w:rsidP="0019519D">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 xml:space="preserve">      HF hospitalisation</w:t>
            </w:r>
          </w:p>
        </w:tc>
        <w:tc>
          <w:tcPr>
            <w:tcW w:w="1134" w:type="dxa"/>
            <w:vMerge/>
          </w:tcPr>
          <w:p w14:paraId="757849C9"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p>
        </w:tc>
        <w:tc>
          <w:tcPr>
            <w:tcW w:w="1417" w:type="dxa"/>
          </w:tcPr>
          <w:p w14:paraId="22B3AC51"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14.63% (6/41)</w:t>
            </w:r>
          </w:p>
        </w:tc>
        <w:tc>
          <w:tcPr>
            <w:tcW w:w="1418" w:type="dxa"/>
          </w:tcPr>
          <w:p w14:paraId="61E6627C"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30.49% (25/82)</w:t>
            </w:r>
          </w:p>
        </w:tc>
        <w:tc>
          <w:tcPr>
            <w:tcW w:w="1134" w:type="dxa"/>
          </w:tcPr>
          <w:p w14:paraId="5E5D1EB0"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0.0774</w:t>
            </w:r>
          </w:p>
        </w:tc>
      </w:tr>
      <w:tr w:rsidR="00E6519E" w:rsidRPr="00A665FB" w14:paraId="79D7843E" w14:textId="77777777" w:rsidTr="005C1F35">
        <w:tc>
          <w:tcPr>
            <w:cnfStyle w:val="001000000000" w:firstRow="0" w:lastRow="0" w:firstColumn="1" w:lastColumn="0" w:oddVBand="0" w:evenVBand="0" w:oddHBand="0" w:evenHBand="0" w:firstRowFirstColumn="0" w:firstRowLastColumn="0" w:lastRowFirstColumn="0" w:lastRowLastColumn="0"/>
            <w:tcW w:w="786" w:type="dxa"/>
            <w:vMerge/>
          </w:tcPr>
          <w:p w14:paraId="06D77C4B" w14:textId="77777777" w:rsidR="00E6519E" w:rsidRPr="00496BC6" w:rsidRDefault="00E6519E" w:rsidP="0019519D">
            <w:pPr>
              <w:keepNext/>
              <w:spacing w:before="40" w:after="40"/>
              <w:rPr>
                <w:rFonts w:ascii="Arial Narrow" w:hAnsi="Arial Narrow"/>
                <w:szCs w:val="20"/>
              </w:rPr>
            </w:pPr>
          </w:p>
        </w:tc>
        <w:tc>
          <w:tcPr>
            <w:tcW w:w="2895" w:type="dxa"/>
            <w:vAlign w:val="top"/>
          </w:tcPr>
          <w:p w14:paraId="13C7EB0B" w14:textId="77777777" w:rsidR="00E6519E" w:rsidRPr="00496BC6" w:rsidRDefault="00E6519E" w:rsidP="0019519D">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 xml:space="preserve">      Mitral valve reintervention</w:t>
            </w:r>
          </w:p>
        </w:tc>
        <w:tc>
          <w:tcPr>
            <w:tcW w:w="1134" w:type="dxa"/>
            <w:vMerge/>
          </w:tcPr>
          <w:p w14:paraId="7790B566"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p>
        </w:tc>
        <w:tc>
          <w:tcPr>
            <w:tcW w:w="1417" w:type="dxa"/>
          </w:tcPr>
          <w:p w14:paraId="058BF0EF"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2.44% (1/41)</w:t>
            </w:r>
          </w:p>
        </w:tc>
        <w:tc>
          <w:tcPr>
            <w:tcW w:w="1418" w:type="dxa"/>
          </w:tcPr>
          <w:p w14:paraId="64A6C36F"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6.1% (5/82)</w:t>
            </w:r>
          </w:p>
        </w:tc>
        <w:tc>
          <w:tcPr>
            <w:tcW w:w="1134" w:type="dxa"/>
          </w:tcPr>
          <w:p w14:paraId="6CA46585" w14:textId="77777777" w:rsidR="00E6519E" w:rsidRPr="00496BC6" w:rsidRDefault="00E6519E" w:rsidP="0019519D">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96BC6">
              <w:rPr>
                <w:rFonts w:ascii="Arial Narrow" w:hAnsi="Arial Narrow"/>
                <w:szCs w:val="20"/>
              </w:rPr>
              <w:t>0.6625</w:t>
            </w:r>
          </w:p>
        </w:tc>
      </w:tr>
    </w:tbl>
    <w:p w14:paraId="5BF93223" w14:textId="77777777" w:rsidR="00E6519E" w:rsidRPr="00496BC6" w:rsidRDefault="00E6519E" w:rsidP="00091167">
      <w:pPr>
        <w:pStyle w:val="Tablenotes"/>
        <w:keepNext/>
      </w:pPr>
      <w:r w:rsidRPr="00496BC6">
        <w:rPr>
          <w:rFonts w:cstheme="minorHAnsi"/>
        </w:rPr>
        <w:t>HF=</w:t>
      </w:r>
      <w:r w:rsidRPr="00496BC6">
        <w:t xml:space="preserve"> heart failure;</w:t>
      </w:r>
    </w:p>
    <w:p w14:paraId="02054D0C" w14:textId="260C14DB" w:rsidR="00E6519E" w:rsidRPr="00496BC6" w:rsidRDefault="00E6519E" w:rsidP="00091167">
      <w:pPr>
        <w:pStyle w:val="Tablenotes"/>
        <w:keepNext/>
        <w:tabs>
          <w:tab w:val="left" w:pos="284"/>
        </w:tabs>
      </w:pPr>
      <w:r w:rsidRPr="00496BC6">
        <w:t>*</w:t>
      </w:r>
      <w:r w:rsidRPr="00496BC6">
        <w:tab/>
        <w:t>Calculated by evaluators;</w:t>
      </w:r>
    </w:p>
    <w:p w14:paraId="20698128" w14:textId="241D7188" w:rsidR="00E6519E" w:rsidRPr="00496BC6" w:rsidRDefault="00E6519E" w:rsidP="00091167">
      <w:pPr>
        <w:pStyle w:val="Tablenotes"/>
        <w:keepNext/>
        <w:tabs>
          <w:tab w:val="left" w:pos="284"/>
        </w:tabs>
      </w:pPr>
      <w:r w:rsidRPr="00496BC6">
        <w:t xml:space="preserve">** </w:t>
      </w:r>
      <w:r w:rsidRPr="00496BC6">
        <w:tab/>
        <w:t>Major, extensive, life-threatening, or fatal bleeding;</w:t>
      </w:r>
    </w:p>
    <w:p w14:paraId="0A8C8D11" w14:textId="6B560C30" w:rsidR="00E6519E" w:rsidRPr="00496BC6" w:rsidRDefault="00E6519E" w:rsidP="00091167">
      <w:pPr>
        <w:pStyle w:val="Tablenotes"/>
        <w:keepNext/>
      </w:pPr>
      <w:r w:rsidRPr="00496BC6">
        <w:t xml:space="preserve">Source: </w:t>
      </w:r>
      <w:proofErr w:type="spellStart"/>
      <w:r w:rsidRPr="00496BC6">
        <w:t>Haschemi</w:t>
      </w:r>
      <w:proofErr w:type="spellEnd"/>
      <w:r w:rsidRPr="00496BC6">
        <w:t xml:space="preserve"> (2022); Geis (2022);</w:t>
      </w:r>
    </w:p>
    <w:p w14:paraId="39FC6DCD" w14:textId="5968D9F3" w:rsidR="00E6519E" w:rsidRDefault="00E6519E" w:rsidP="00E6519E">
      <w:pPr>
        <w:rPr>
          <w:rFonts w:cstheme="minorHAnsi"/>
          <w:i/>
          <w:iCs/>
        </w:rPr>
      </w:pPr>
      <w:r w:rsidRPr="0019523F">
        <w:rPr>
          <w:rFonts w:cstheme="minorHAnsi"/>
        </w:rPr>
        <w:t xml:space="preserve">Notwithstanding insufficient reporting in </w:t>
      </w:r>
      <w:proofErr w:type="spellStart"/>
      <w:r w:rsidRPr="0019523F">
        <w:rPr>
          <w:lang w:eastAsia="en-AU"/>
        </w:rPr>
        <w:t>Haschemi</w:t>
      </w:r>
      <w:proofErr w:type="spellEnd"/>
      <w:r w:rsidRPr="0019523F">
        <w:rPr>
          <w:lang w:eastAsia="en-AU"/>
        </w:rPr>
        <w:t xml:space="preserve"> (2022)</w:t>
      </w:r>
      <w:r w:rsidRPr="0019523F">
        <w:rPr>
          <w:rFonts w:cstheme="minorHAnsi"/>
        </w:rPr>
        <w:t xml:space="preserve"> that precluded detailed assessment of allocation of patients to PASCAL or </w:t>
      </w:r>
      <w:proofErr w:type="spellStart"/>
      <w:r w:rsidRPr="0019523F">
        <w:rPr>
          <w:rFonts w:cstheme="minorHAnsi"/>
        </w:rPr>
        <w:t>MitraClip</w:t>
      </w:r>
      <w:proofErr w:type="spellEnd"/>
      <w:r w:rsidRPr="0019523F">
        <w:rPr>
          <w:rFonts w:cstheme="minorHAnsi"/>
        </w:rPr>
        <w:t xml:space="preserve"> devices, no statistically significant differences in any of the safety outcomes were observed between PASCAL and </w:t>
      </w:r>
      <w:proofErr w:type="spellStart"/>
      <w:r w:rsidRPr="0019523F">
        <w:rPr>
          <w:rFonts w:cstheme="minorHAnsi"/>
        </w:rPr>
        <w:t>MitraClip</w:t>
      </w:r>
      <w:proofErr w:type="spellEnd"/>
      <w:r w:rsidRPr="0019523F">
        <w:rPr>
          <w:rFonts w:cstheme="minorHAnsi"/>
        </w:rPr>
        <w:t xml:space="preserve">. Both single leaflet attachments were fixed with a second device and there was no difference in either in-hospital or the 30-day mortality </w:t>
      </w:r>
      <w:r w:rsidR="003A5063">
        <w:rPr>
          <w:rFonts w:cstheme="minorHAnsi"/>
        </w:rPr>
        <w:t xml:space="preserve">that was </w:t>
      </w:r>
      <w:r w:rsidRPr="0019523F">
        <w:rPr>
          <w:rFonts w:cstheme="minorHAnsi"/>
        </w:rPr>
        <w:t>0.9% and 2% respectively in both groups (P=0.947).</w:t>
      </w:r>
      <w:r w:rsidR="00C8774D">
        <w:rPr>
          <w:rFonts w:cstheme="minorHAnsi"/>
        </w:rPr>
        <w:t xml:space="preserve"> </w:t>
      </w:r>
      <w:r w:rsidRPr="0019523F">
        <w:rPr>
          <w:rFonts w:cstheme="minorHAnsi"/>
        </w:rPr>
        <w:t xml:space="preserve">In the Geis (2022) retrospectively matched cohort study, five out of 82 patients (6.1%) in the </w:t>
      </w:r>
      <w:proofErr w:type="spellStart"/>
      <w:r w:rsidRPr="0019523F">
        <w:rPr>
          <w:rFonts w:cstheme="minorHAnsi"/>
        </w:rPr>
        <w:t>MitraClip</w:t>
      </w:r>
      <w:proofErr w:type="spellEnd"/>
      <w:r w:rsidRPr="0019523F">
        <w:rPr>
          <w:rFonts w:cstheme="minorHAnsi"/>
        </w:rPr>
        <w:t xml:space="preserve"> group died before hospital discharge. This included a death during the procedure. In the PASCAL group, no patient</w:t>
      </w:r>
      <w:r w:rsidR="005B3B46" w:rsidRPr="0019523F">
        <w:rPr>
          <w:rFonts w:cstheme="minorHAnsi"/>
        </w:rPr>
        <w:t>s</w:t>
      </w:r>
      <w:r w:rsidRPr="0019523F">
        <w:rPr>
          <w:rFonts w:cstheme="minorHAnsi"/>
        </w:rPr>
        <w:t xml:space="preserve"> died during hospital stay. </w:t>
      </w:r>
      <w:r w:rsidRPr="00427322">
        <w:rPr>
          <w:rFonts w:cstheme="minorHAnsi"/>
        </w:rPr>
        <w:t xml:space="preserve">The difference in in-hospital mortality was not statistically significant (P = 0.1682), but since neither </w:t>
      </w:r>
      <w:r w:rsidR="004D2587" w:rsidRPr="00427322">
        <w:rPr>
          <w:rFonts w:cstheme="minorHAnsi"/>
        </w:rPr>
        <w:t xml:space="preserve">a </w:t>
      </w:r>
      <w:r w:rsidRPr="00427322">
        <w:rPr>
          <w:rFonts w:cstheme="minorHAnsi"/>
        </w:rPr>
        <w:t>non-inferiority margin nor the corresponding sample size estimation were provided, it is not clear how reliable this statistic is and to what degree it could be attributed to the baseline differences between the groups.</w:t>
      </w:r>
    </w:p>
    <w:p w14:paraId="34793388" w14:textId="2F65C490" w:rsidR="00FC3F63" w:rsidRPr="000F6EFC" w:rsidRDefault="00750D64" w:rsidP="00FC3F63">
      <w:pPr>
        <w:pStyle w:val="Heading3"/>
      </w:pPr>
      <w:r w:rsidRPr="00496BC6">
        <w:t>R</w:t>
      </w:r>
      <w:r w:rsidR="006B118F" w:rsidRPr="00496BC6">
        <w:t xml:space="preserve">andomised trials in the </w:t>
      </w:r>
      <w:r w:rsidR="00FC3F63" w:rsidRPr="000F6EFC">
        <w:t xml:space="preserve">DMR population </w:t>
      </w:r>
      <w:r w:rsidRPr="00496BC6">
        <w:t>(not evaluated</w:t>
      </w:r>
      <w:r w:rsidR="006B118F" w:rsidRPr="00496BC6">
        <w:t>)</w:t>
      </w:r>
    </w:p>
    <w:p w14:paraId="375239EB" w14:textId="7433C73A" w:rsidR="00FC3F63" w:rsidRPr="00496BC6" w:rsidRDefault="00FC3F63" w:rsidP="00633136">
      <w:r w:rsidRPr="00496BC6">
        <w:t xml:space="preserve">At the time of the ADAR submission there was one ongoing RCT comparing PASCAL </w:t>
      </w:r>
      <w:r w:rsidR="00E84496" w:rsidRPr="00496BC6">
        <w:t>and</w:t>
      </w:r>
      <w:r w:rsidRPr="00496BC6">
        <w:t xml:space="preserve"> </w:t>
      </w:r>
      <w:proofErr w:type="spellStart"/>
      <w:r w:rsidRPr="00496BC6">
        <w:t>MitraClip</w:t>
      </w:r>
      <w:proofErr w:type="spellEnd"/>
      <w:r w:rsidRPr="00496BC6">
        <w:t xml:space="preserve"> in DMR patients, the CLASP IID study. The CLASP IID study is a randomised, open label study comparing the PASCAL system with the </w:t>
      </w:r>
      <w:proofErr w:type="spellStart"/>
      <w:r w:rsidRPr="00496BC6">
        <w:t>MitraClip</w:t>
      </w:r>
      <w:proofErr w:type="spellEnd"/>
      <w:r w:rsidRPr="00496BC6">
        <w:t xml:space="preserve"> system in patients with DMR. Patients with DMR severity 3+ or 4+ who had prohibitive surgical risk were randomised 2:1 and treated with either PASCAL or </w:t>
      </w:r>
      <w:proofErr w:type="spellStart"/>
      <w:r w:rsidRPr="00496BC6">
        <w:t>MitraClip</w:t>
      </w:r>
      <w:proofErr w:type="spellEnd"/>
      <w:r w:rsidRPr="00496BC6">
        <w:t xml:space="preserve">. In their pre-ESC response, the applicant presented preliminary results from </w:t>
      </w:r>
      <w:r w:rsidR="00E67177" w:rsidRPr="00496BC6">
        <w:t xml:space="preserve">a </w:t>
      </w:r>
      <w:r w:rsidR="00E67177" w:rsidRPr="00496BC6">
        <w:lastRenderedPageBreak/>
        <w:t>pre-specified interim analysis of 180 patients</w:t>
      </w:r>
      <w:r w:rsidR="00633136" w:rsidRPr="00496BC6">
        <w:rPr>
          <w:rStyle w:val="FootnoteReference"/>
        </w:rPr>
        <w:footnoteReference w:id="6"/>
      </w:r>
      <w:r w:rsidR="00E67177" w:rsidRPr="00496BC6">
        <w:t xml:space="preserve">. </w:t>
      </w:r>
      <w:r w:rsidR="00633136" w:rsidRPr="00496BC6">
        <w:t>The primary safety endpoint is a composite MAE comprising of cardiovascular mortality, stroke, myocardial infarction, need for new renal replacement therapy, severe bleeding, and non-elective mitral valve re-intervention (either percutaneous or surgical).</w:t>
      </w:r>
      <w:r w:rsidR="00981A4A">
        <w:t xml:space="preserve"> Composite and component MAE at 30 days are shown in </w:t>
      </w:r>
      <w:r w:rsidR="00981A4A">
        <w:fldChar w:fldCharType="begin"/>
      </w:r>
      <w:r w:rsidR="00981A4A">
        <w:instrText xml:space="preserve"> REF _Ref117510735 \h </w:instrText>
      </w:r>
      <w:r w:rsidR="00981A4A">
        <w:fldChar w:fldCharType="separate"/>
      </w:r>
      <w:r w:rsidR="00981A4A">
        <w:t xml:space="preserve">Table </w:t>
      </w:r>
      <w:r w:rsidR="00981A4A">
        <w:rPr>
          <w:noProof/>
        </w:rPr>
        <w:t>6</w:t>
      </w:r>
      <w:r w:rsidR="00981A4A">
        <w:fldChar w:fldCharType="end"/>
      </w:r>
      <w:r w:rsidR="00981A4A">
        <w:t>.</w:t>
      </w:r>
      <w:r w:rsidR="00E2143C" w:rsidRPr="00496BC6">
        <w:t xml:space="preserve"> These are the same MAEs used for the CLASP study.</w:t>
      </w:r>
      <w:r w:rsidR="00414470">
        <w:t xml:space="preserve"> For the difference in composite MAE, the upper bound of the 95% CI for the point estimate of difference was within the prespecified </w:t>
      </w:r>
      <w:r w:rsidR="00D5564B">
        <w:t>noninferiority</w:t>
      </w:r>
      <w:r w:rsidR="00414470">
        <w:t xml:space="preserve"> margin of 15</w:t>
      </w:r>
      <w:r w:rsidR="00D5564B">
        <w:t>%.</w:t>
      </w:r>
      <w:r w:rsidR="00981A4A">
        <w:t xml:space="preserve"> A summary of survival outcomes at 30 days and 6 months is Shown in </w:t>
      </w:r>
      <w:r w:rsidR="00981A4A">
        <w:fldChar w:fldCharType="begin"/>
      </w:r>
      <w:r w:rsidR="00981A4A">
        <w:instrText xml:space="preserve"> REF _Ref117510840 \h </w:instrText>
      </w:r>
      <w:r w:rsidR="00981A4A">
        <w:fldChar w:fldCharType="separate"/>
      </w:r>
      <w:r w:rsidR="00981A4A">
        <w:t xml:space="preserve">Table </w:t>
      </w:r>
      <w:r w:rsidR="00981A4A">
        <w:rPr>
          <w:noProof/>
        </w:rPr>
        <w:t>7</w:t>
      </w:r>
      <w:r w:rsidR="00981A4A">
        <w:fldChar w:fldCharType="end"/>
      </w:r>
      <w:r w:rsidR="00981A4A">
        <w:t xml:space="preserve">. No statistically significant differences in survival outcomes </w:t>
      </w:r>
      <w:r w:rsidR="008B1FFD">
        <w:t xml:space="preserve">between PASCAL and </w:t>
      </w:r>
      <w:proofErr w:type="spellStart"/>
      <w:r w:rsidR="008B1FFD">
        <w:t>MitraClip</w:t>
      </w:r>
      <w:proofErr w:type="spellEnd"/>
      <w:r w:rsidR="008B1FFD">
        <w:t xml:space="preserve"> were found at 6 months except for cardiovascular mortality.</w:t>
      </w:r>
    </w:p>
    <w:p w14:paraId="050F71A3" w14:textId="3E6F6450" w:rsidR="00A665FB" w:rsidRPr="00496BC6" w:rsidRDefault="00A665FB" w:rsidP="00427322">
      <w:pPr>
        <w:pStyle w:val="Heading4"/>
      </w:pPr>
      <w:r w:rsidRPr="00496BC6">
        <w:t xml:space="preserve">Major adverse events at 30 days </w:t>
      </w:r>
      <w:r w:rsidR="00981A4A">
        <w:t>in the DMR population (not evaluated)</w:t>
      </w:r>
    </w:p>
    <w:p w14:paraId="64FEFA9E" w14:textId="6F936C6F" w:rsidR="008C0FC0" w:rsidRDefault="008C0FC0" w:rsidP="00496BC6">
      <w:pPr>
        <w:pStyle w:val="Caption"/>
      </w:pPr>
      <w:bookmarkStart w:id="33" w:name="_Ref117510735"/>
      <w:r>
        <w:t xml:space="preserve">Table </w:t>
      </w:r>
      <w:fldSimple w:instr=" SEQ Table \* ARABIC ">
        <w:r w:rsidR="007512A8">
          <w:rPr>
            <w:noProof/>
          </w:rPr>
          <w:t>6</w:t>
        </w:r>
      </w:fldSimple>
      <w:bookmarkEnd w:id="33"/>
      <w:r>
        <w:t xml:space="preserve"> </w:t>
      </w:r>
      <w:r w:rsidR="000F6EFC">
        <w:t>M</w:t>
      </w:r>
      <w:r w:rsidRPr="00255E0B">
        <w:t>ajor adverse events at 30 days</w:t>
      </w:r>
      <w:r w:rsidR="000F6EFC">
        <w:t xml:space="preserve"> in the DMR population </w:t>
      </w:r>
      <w:r w:rsidR="00AE2C9D">
        <w:t>(</w:t>
      </w:r>
      <w:bookmarkStart w:id="34" w:name="_Hlk117590774"/>
      <w:r w:rsidR="00AE2C9D" w:rsidRPr="00AE2C9D">
        <w:t>CLASP IID</w:t>
      </w:r>
      <w:bookmarkEnd w:id="34"/>
      <w:r w:rsidR="00AE2C9D">
        <w:t>)</w:t>
      </w:r>
    </w:p>
    <w:tbl>
      <w:tblPr>
        <w:tblStyle w:val="Style2"/>
        <w:tblW w:w="5000" w:type="pct"/>
        <w:tblBorders>
          <w:left w:val="single" w:sz="4" w:space="0" w:color="auto"/>
          <w:right w:val="single" w:sz="4" w:space="0" w:color="auto"/>
          <w:insideV w:val="single" w:sz="4" w:space="0" w:color="auto"/>
        </w:tblBorders>
        <w:tblLook w:val="04A0" w:firstRow="1" w:lastRow="0" w:firstColumn="1" w:lastColumn="0" w:noHBand="0" w:noVBand="1"/>
      </w:tblPr>
      <w:tblGrid>
        <w:gridCol w:w="3045"/>
        <w:gridCol w:w="2320"/>
        <w:gridCol w:w="1980"/>
        <w:gridCol w:w="1978"/>
      </w:tblGrid>
      <w:tr w:rsidR="00414470" w:rsidRPr="00750D64" w14:paraId="3CBFDAF3" w14:textId="4F8CCB1D" w:rsidTr="00414470">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633" w:type="pct"/>
            <w:shd w:val="clear" w:color="auto" w:fill="auto"/>
          </w:tcPr>
          <w:p w14:paraId="529BC201" w14:textId="77777777" w:rsidR="00414470" w:rsidRPr="00C17039" w:rsidRDefault="00414470" w:rsidP="00005BEB">
            <w:pPr>
              <w:pStyle w:val="Tabletext0"/>
              <w:spacing w:before="0" w:after="0"/>
            </w:pPr>
            <w:r w:rsidRPr="00496BC6">
              <w:t>Outcome</w:t>
            </w:r>
          </w:p>
        </w:tc>
        <w:tc>
          <w:tcPr>
            <w:tcW w:w="1244" w:type="pct"/>
            <w:shd w:val="clear" w:color="auto" w:fill="auto"/>
          </w:tcPr>
          <w:p w14:paraId="023590BB" w14:textId="796757A2" w:rsidR="00414470" w:rsidRPr="00496BC6" w:rsidRDefault="00414470" w:rsidP="00005BEB">
            <w:pPr>
              <w:pStyle w:val="Tabletext0"/>
              <w:spacing w:before="0" w:after="0"/>
              <w:jc w:val="center"/>
              <w:cnfStyle w:val="100000000000" w:firstRow="1" w:lastRow="0" w:firstColumn="0" w:lastColumn="0" w:oddVBand="0" w:evenVBand="0" w:oddHBand="0" w:evenHBand="0" w:firstRowFirstColumn="0" w:firstRowLastColumn="0" w:lastRowFirstColumn="0" w:lastRowLastColumn="0"/>
              <w:rPr>
                <w:b w:val="0"/>
              </w:rPr>
            </w:pPr>
            <w:r w:rsidRPr="00496BC6">
              <w:t>PASCAL</w:t>
            </w:r>
            <w:r>
              <w:t>, % (n)</w:t>
            </w:r>
          </w:p>
          <w:p w14:paraId="3C6E72EF" w14:textId="2ABF6E83" w:rsidR="00414470" w:rsidRPr="00C17039" w:rsidRDefault="00414470" w:rsidP="00005BEB">
            <w:pPr>
              <w:pStyle w:val="Tabletext0"/>
              <w:spacing w:before="0" w:after="0"/>
              <w:jc w:val="center"/>
              <w:cnfStyle w:val="100000000000" w:firstRow="1" w:lastRow="0" w:firstColumn="0" w:lastColumn="0" w:oddVBand="0" w:evenVBand="0" w:oddHBand="0" w:evenHBand="0" w:firstRowFirstColumn="0" w:firstRowLastColumn="0" w:lastRowFirstColumn="0" w:lastRowLastColumn="0"/>
            </w:pPr>
            <w:r w:rsidRPr="00496BC6">
              <w:t>N=117</w:t>
            </w:r>
            <w:r w:rsidRPr="00C30158">
              <w:rPr>
                <w:vertAlign w:val="superscript"/>
              </w:rPr>
              <w:t>#</w:t>
            </w:r>
          </w:p>
        </w:tc>
        <w:tc>
          <w:tcPr>
            <w:tcW w:w="1062" w:type="pct"/>
            <w:shd w:val="clear" w:color="auto" w:fill="auto"/>
          </w:tcPr>
          <w:p w14:paraId="59DBC463" w14:textId="5068C68D" w:rsidR="00414470" w:rsidRPr="00496BC6" w:rsidRDefault="00414470" w:rsidP="00005BEB">
            <w:pPr>
              <w:pStyle w:val="Tabletext0"/>
              <w:spacing w:before="0" w:after="0"/>
              <w:jc w:val="center"/>
              <w:cnfStyle w:val="100000000000" w:firstRow="1" w:lastRow="0" w:firstColumn="0" w:lastColumn="0" w:oddVBand="0" w:evenVBand="0" w:oddHBand="0" w:evenHBand="0" w:firstRowFirstColumn="0" w:firstRowLastColumn="0" w:lastRowFirstColumn="0" w:lastRowLastColumn="0"/>
              <w:rPr>
                <w:b w:val="0"/>
              </w:rPr>
            </w:pPr>
            <w:proofErr w:type="spellStart"/>
            <w:r w:rsidRPr="00496BC6">
              <w:t>MitraClip</w:t>
            </w:r>
            <w:proofErr w:type="spellEnd"/>
            <w:r>
              <w:t>, % (n)</w:t>
            </w:r>
          </w:p>
          <w:p w14:paraId="743C1B1B" w14:textId="0A1B314D" w:rsidR="00414470" w:rsidRPr="00C17039" w:rsidRDefault="00414470" w:rsidP="00005BEB">
            <w:pPr>
              <w:pStyle w:val="Tabletext0"/>
              <w:spacing w:before="0" w:after="0"/>
              <w:jc w:val="center"/>
              <w:cnfStyle w:val="100000000000" w:firstRow="1" w:lastRow="0" w:firstColumn="0" w:lastColumn="0" w:oddVBand="0" w:evenVBand="0" w:oddHBand="0" w:evenHBand="0" w:firstRowFirstColumn="0" w:firstRowLastColumn="0" w:lastRowFirstColumn="0" w:lastRowLastColumn="0"/>
            </w:pPr>
            <w:r w:rsidRPr="00496BC6">
              <w:t>N=63</w:t>
            </w:r>
          </w:p>
        </w:tc>
        <w:tc>
          <w:tcPr>
            <w:tcW w:w="1061" w:type="pct"/>
          </w:tcPr>
          <w:p w14:paraId="4F39DF7D" w14:textId="05455209" w:rsidR="00414470" w:rsidRDefault="00414470" w:rsidP="00005BEB">
            <w:pPr>
              <w:pStyle w:val="Tabletext0"/>
              <w:spacing w:before="0" w:after="0"/>
              <w:jc w:val="center"/>
              <w:cnfStyle w:val="100000000000" w:firstRow="1" w:lastRow="0" w:firstColumn="0" w:lastColumn="0" w:oddVBand="0" w:evenVBand="0" w:oddHBand="0" w:evenHBand="0" w:firstRowFirstColumn="0" w:firstRowLastColumn="0" w:lastRowFirstColumn="0" w:lastRowLastColumn="0"/>
              <w:rPr>
                <w:b w:val="0"/>
              </w:rPr>
            </w:pPr>
            <w:r>
              <w:t>Difference, %</w:t>
            </w:r>
          </w:p>
          <w:p w14:paraId="6758F32C" w14:textId="16F844A6" w:rsidR="00414470" w:rsidRPr="00496BC6" w:rsidRDefault="00414470" w:rsidP="00005BEB">
            <w:pPr>
              <w:pStyle w:val="Tabletext0"/>
              <w:spacing w:before="0" w:after="0"/>
              <w:jc w:val="center"/>
              <w:cnfStyle w:val="100000000000" w:firstRow="1" w:lastRow="0" w:firstColumn="0" w:lastColumn="0" w:oddVBand="0" w:evenVBand="0" w:oddHBand="0" w:evenHBand="0" w:firstRowFirstColumn="0" w:firstRowLastColumn="0" w:lastRowFirstColumn="0" w:lastRowLastColumn="0"/>
            </w:pPr>
            <w:r>
              <w:t>(95%CI)</w:t>
            </w:r>
          </w:p>
        </w:tc>
      </w:tr>
      <w:tr w:rsidR="00414470" w:rsidRPr="00750D64" w14:paraId="5E499554" w14:textId="5A75BE71" w:rsidTr="00414470">
        <w:tblPrEx>
          <w:tblBorders>
            <w:left w:val="none" w:sz="0" w:space="0" w:color="auto"/>
            <w:right w:val="none" w:sz="0" w:space="0" w:color="auto"/>
            <w:insideV w:val="none" w:sz="0" w:space="0" w:color="auto"/>
          </w:tblBorders>
        </w:tblPrEx>
        <w:trPr>
          <w:trHeight w:val="428"/>
        </w:trPr>
        <w:tc>
          <w:tcPr>
            <w:cnfStyle w:val="001000000000" w:firstRow="0" w:lastRow="0" w:firstColumn="1" w:lastColumn="0" w:oddVBand="0" w:evenVBand="0" w:oddHBand="0" w:evenHBand="0" w:firstRowFirstColumn="0" w:firstRowLastColumn="0" w:lastRowFirstColumn="0" w:lastRowLastColumn="0"/>
            <w:tcW w:w="1633" w:type="pct"/>
            <w:tcBorders>
              <w:left w:val="single" w:sz="4" w:space="0" w:color="auto"/>
              <w:right w:val="single" w:sz="4" w:space="0" w:color="auto"/>
            </w:tcBorders>
            <w:hideMark/>
          </w:tcPr>
          <w:p w14:paraId="7AB97013" w14:textId="77777777" w:rsidR="00414470" w:rsidRPr="00496BC6" w:rsidRDefault="00414470" w:rsidP="00005BEB">
            <w:pPr>
              <w:pStyle w:val="Tabletext0"/>
              <w:spacing w:before="0" w:after="0"/>
              <w:rPr>
                <w:bCs/>
              </w:rPr>
            </w:pPr>
            <w:r w:rsidRPr="00496BC6">
              <w:rPr>
                <w:bCs/>
              </w:rPr>
              <w:t>Cardiovascular mortality</w:t>
            </w:r>
          </w:p>
        </w:tc>
        <w:tc>
          <w:tcPr>
            <w:tcW w:w="1244" w:type="pct"/>
            <w:tcBorders>
              <w:left w:val="single" w:sz="4" w:space="0" w:color="auto"/>
              <w:right w:val="single" w:sz="4" w:space="0" w:color="auto"/>
            </w:tcBorders>
            <w:hideMark/>
          </w:tcPr>
          <w:p w14:paraId="370D77CC" w14:textId="56711E77" w:rsidR="00414470" w:rsidRPr="00496BC6" w:rsidRDefault="00414470" w:rsidP="00005BEB">
            <w:pPr>
              <w:pStyle w:val="Tabletext0"/>
              <w:spacing w:before="0" w:after="0"/>
              <w:jc w:val="center"/>
              <w:cnfStyle w:val="000000000000" w:firstRow="0" w:lastRow="0" w:firstColumn="0" w:lastColumn="0" w:oddVBand="0" w:evenVBand="0" w:oddHBand="0" w:evenHBand="0" w:firstRowFirstColumn="0" w:firstRowLastColumn="0" w:lastRowFirstColumn="0" w:lastRowLastColumn="0"/>
              <w:rPr>
                <w:bCs/>
              </w:rPr>
            </w:pPr>
            <w:r w:rsidRPr="00496BC6">
              <w:rPr>
                <w:bCs/>
              </w:rPr>
              <w:t>0.9 (1)</w:t>
            </w:r>
          </w:p>
        </w:tc>
        <w:tc>
          <w:tcPr>
            <w:tcW w:w="1062" w:type="pct"/>
            <w:tcBorders>
              <w:left w:val="single" w:sz="4" w:space="0" w:color="auto"/>
              <w:right w:val="single" w:sz="4" w:space="0" w:color="auto"/>
            </w:tcBorders>
            <w:hideMark/>
          </w:tcPr>
          <w:p w14:paraId="1AB9A05B" w14:textId="4CAA9392" w:rsidR="00414470" w:rsidRPr="00496BC6" w:rsidRDefault="00414470" w:rsidP="00005BEB">
            <w:pPr>
              <w:pStyle w:val="Tabletext0"/>
              <w:spacing w:before="0" w:after="0"/>
              <w:jc w:val="center"/>
              <w:cnfStyle w:val="000000000000" w:firstRow="0" w:lastRow="0" w:firstColumn="0" w:lastColumn="0" w:oddVBand="0" w:evenVBand="0" w:oddHBand="0" w:evenHBand="0" w:firstRowFirstColumn="0" w:firstRowLastColumn="0" w:lastRowFirstColumn="0" w:lastRowLastColumn="0"/>
              <w:rPr>
                <w:bCs/>
              </w:rPr>
            </w:pPr>
            <w:r w:rsidRPr="00496BC6">
              <w:rPr>
                <w:bCs/>
              </w:rPr>
              <w:t>1.6</w:t>
            </w:r>
            <w:r>
              <w:rPr>
                <w:bCs/>
              </w:rPr>
              <w:t xml:space="preserve"> (1</w:t>
            </w:r>
            <w:r w:rsidRPr="00496BC6">
              <w:rPr>
                <w:bCs/>
              </w:rPr>
              <w:t>)</w:t>
            </w:r>
          </w:p>
        </w:tc>
        <w:tc>
          <w:tcPr>
            <w:tcW w:w="1061" w:type="pct"/>
            <w:tcBorders>
              <w:left w:val="single" w:sz="4" w:space="0" w:color="auto"/>
              <w:right w:val="single" w:sz="4" w:space="0" w:color="auto"/>
            </w:tcBorders>
          </w:tcPr>
          <w:p w14:paraId="7217DE9F" w14:textId="1C17C612" w:rsidR="00414470" w:rsidRPr="00496BC6" w:rsidRDefault="00414470" w:rsidP="00005BEB">
            <w:pPr>
              <w:pStyle w:val="Tabletext0"/>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NR</w:t>
            </w:r>
          </w:p>
        </w:tc>
      </w:tr>
      <w:tr w:rsidR="00414470" w:rsidRPr="00750D64" w14:paraId="3AD8F834" w14:textId="18C47758" w:rsidTr="00414470">
        <w:tblPrEx>
          <w:tblBorders>
            <w:left w:val="none" w:sz="0" w:space="0" w:color="auto"/>
            <w:right w:val="none" w:sz="0" w:space="0" w:color="auto"/>
            <w:insideV w:val="none" w:sz="0" w:space="0" w:color="auto"/>
          </w:tblBorders>
        </w:tblPrEx>
        <w:trPr>
          <w:trHeight w:val="428"/>
        </w:trPr>
        <w:tc>
          <w:tcPr>
            <w:cnfStyle w:val="001000000000" w:firstRow="0" w:lastRow="0" w:firstColumn="1" w:lastColumn="0" w:oddVBand="0" w:evenVBand="0" w:oddHBand="0" w:evenHBand="0" w:firstRowFirstColumn="0" w:firstRowLastColumn="0" w:lastRowFirstColumn="0" w:lastRowLastColumn="0"/>
            <w:tcW w:w="1633" w:type="pct"/>
            <w:tcBorders>
              <w:left w:val="single" w:sz="4" w:space="0" w:color="auto"/>
              <w:right w:val="single" w:sz="4" w:space="0" w:color="auto"/>
            </w:tcBorders>
            <w:hideMark/>
          </w:tcPr>
          <w:p w14:paraId="47F2A24A" w14:textId="77777777" w:rsidR="00414470" w:rsidRPr="00496BC6" w:rsidRDefault="00414470" w:rsidP="00005BEB">
            <w:pPr>
              <w:pStyle w:val="Tabletext0"/>
              <w:spacing w:before="0" w:after="0"/>
              <w:rPr>
                <w:bCs/>
              </w:rPr>
            </w:pPr>
            <w:r w:rsidRPr="00496BC6">
              <w:rPr>
                <w:bCs/>
              </w:rPr>
              <w:t>Stroke</w:t>
            </w:r>
          </w:p>
        </w:tc>
        <w:tc>
          <w:tcPr>
            <w:tcW w:w="1244" w:type="pct"/>
            <w:tcBorders>
              <w:left w:val="single" w:sz="4" w:space="0" w:color="auto"/>
              <w:right w:val="single" w:sz="4" w:space="0" w:color="auto"/>
            </w:tcBorders>
            <w:hideMark/>
          </w:tcPr>
          <w:p w14:paraId="4248C481" w14:textId="385FD962" w:rsidR="00414470" w:rsidRPr="00496BC6" w:rsidRDefault="00414470" w:rsidP="00005BEB">
            <w:pPr>
              <w:pStyle w:val="Tabletext0"/>
              <w:spacing w:before="0" w:after="0"/>
              <w:jc w:val="center"/>
              <w:cnfStyle w:val="000000000000" w:firstRow="0" w:lastRow="0" w:firstColumn="0" w:lastColumn="0" w:oddVBand="0" w:evenVBand="0" w:oddHBand="0" w:evenHBand="0" w:firstRowFirstColumn="0" w:firstRowLastColumn="0" w:lastRowFirstColumn="0" w:lastRowLastColumn="0"/>
              <w:rPr>
                <w:bCs/>
              </w:rPr>
            </w:pPr>
            <w:r w:rsidRPr="00496BC6">
              <w:rPr>
                <w:bCs/>
              </w:rPr>
              <w:t>0.0 (0)</w:t>
            </w:r>
          </w:p>
        </w:tc>
        <w:tc>
          <w:tcPr>
            <w:tcW w:w="1062" w:type="pct"/>
            <w:tcBorders>
              <w:left w:val="single" w:sz="4" w:space="0" w:color="auto"/>
              <w:right w:val="single" w:sz="4" w:space="0" w:color="auto"/>
            </w:tcBorders>
            <w:hideMark/>
          </w:tcPr>
          <w:p w14:paraId="7CA7579C" w14:textId="25EAF48C" w:rsidR="00414470" w:rsidRPr="00496BC6" w:rsidRDefault="00414470" w:rsidP="00005BEB">
            <w:pPr>
              <w:pStyle w:val="Tabletext0"/>
              <w:spacing w:before="0" w:after="0"/>
              <w:jc w:val="center"/>
              <w:cnfStyle w:val="000000000000" w:firstRow="0" w:lastRow="0" w:firstColumn="0" w:lastColumn="0" w:oddVBand="0" w:evenVBand="0" w:oddHBand="0" w:evenHBand="0" w:firstRowFirstColumn="0" w:firstRowLastColumn="0" w:lastRowFirstColumn="0" w:lastRowLastColumn="0"/>
              <w:rPr>
                <w:bCs/>
              </w:rPr>
            </w:pPr>
            <w:r w:rsidRPr="00496BC6">
              <w:rPr>
                <w:bCs/>
              </w:rPr>
              <w:t>0.0 (0)</w:t>
            </w:r>
          </w:p>
        </w:tc>
        <w:tc>
          <w:tcPr>
            <w:tcW w:w="1061" w:type="pct"/>
            <w:tcBorders>
              <w:left w:val="single" w:sz="4" w:space="0" w:color="auto"/>
              <w:right w:val="single" w:sz="4" w:space="0" w:color="auto"/>
            </w:tcBorders>
          </w:tcPr>
          <w:p w14:paraId="44232EEE" w14:textId="106DDA70" w:rsidR="00414470" w:rsidRPr="00496BC6" w:rsidRDefault="00414470" w:rsidP="00005BEB">
            <w:pPr>
              <w:pStyle w:val="Tabletext0"/>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NR</w:t>
            </w:r>
          </w:p>
        </w:tc>
      </w:tr>
      <w:tr w:rsidR="00414470" w:rsidRPr="00750D64" w14:paraId="26A077F9" w14:textId="14CC30A3" w:rsidTr="00414470">
        <w:tblPrEx>
          <w:tblBorders>
            <w:left w:val="none" w:sz="0" w:space="0" w:color="auto"/>
            <w:right w:val="none" w:sz="0" w:space="0" w:color="auto"/>
            <w:insideV w:val="none" w:sz="0" w:space="0" w:color="auto"/>
          </w:tblBorders>
        </w:tblPrEx>
        <w:trPr>
          <w:trHeight w:val="428"/>
        </w:trPr>
        <w:tc>
          <w:tcPr>
            <w:cnfStyle w:val="001000000000" w:firstRow="0" w:lastRow="0" w:firstColumn="1" w:lastColumn="0" w:oddVBand="0" w:evenVBand="0" w:oddHBand="0" w:evenHBand="0" w:firstRowFirstColumn="0" w:firstRowLastColumn="0" w:lastRowFirstColumn="0" w:lastRowLastColumn="0"/>
            <w:tcW w:w="1633" w:type="pct"/>
            <w:tcBorders>
              <w:left w:val="single" w:sz="4" w:space="0" w:color="auto"/>
              <w:right w:val="single" w:sz="4" w:space="0" w:color="auto"/>
            </w:tcBorders>
            <w:hideMark/>
          </w:tcPr>
          <w:p w14:paraId="30B6B889" w14:textId="77777777" w:rsidR="00414470" w:rsidRPr="00496BC6" w:rsidRDefault="00414470" w:rsidP="00005BEB">
            <w:pPr>
              <w:pStyle w:val="Tabletext0"/>
              <w:spacing w:before="0" w:after="0"/>
              <w:rPr>
                <w:bCs/>
              </w:rPr>
            </w:pPr>
            <w:r w:rsidRPr="00496BC6">
              <w:rPr>
                <w:bCs/>
              </w:rPr>
              <w:t>Myocardial Infarction</w:t>
            </w:r>
          </w:p>
        </w:tc>
        <w:tc>
          <w:tcPr>
            <w:tcW w:w="1244" w:type="pct"/>
            <w:tcBorders>
              <w:left w:val="single" w:sz="4" w:space="0" w:color="auto"/>
              <w:right w:val="single" w:sz="4" w:space="0" w:color="auto"/>
            </w:tcBorders>
            <w:hideMark/>
          </w:tcPr>
          <w:p w14:paraId="6CD22AD8" w14:textId="502347D0" w:rsidR="00414470" w:rsidRPr="00496BC6" w:rsidRDefault="00414470" w:rsidP="00005BEB">
            <w:pPr>
              <w:pStyle w:val="Tabletext0"/>
              <w:spacing w:before="0" w:after="0"/>
              <w:jc w:val="center"/>
              <w:cnfStyle w:val="000000000000" w:firstRow="0" w:lastRow="0" w:firstColumn="0" w:lastColumn="0" w:oddVBand="0" w:evenVBand="0" w:oddHBand="0" w:evenHBand="0" w:firstRowFirstColumn="0" w:firstRowLastColumn="0" w:lastRowFirstColumn="0" w:lastRowLastColumn="0"/>
              <w:rPr>
                <w:bCs/>
              </w:rPr>
            </w:pPr>
            <w:r w:rsidRPr="00496BC6">
              <w:rPr>
                <w:bCs/>
              </w:rPr>
              <w:t>0.0 (0)</w:t>
            </w:r>
          </w:p>
        </w:tc>
        <w:tc>
          <w:tcPr>
            <w:tcW w:w="1062" w:type="pct"/>
            <w:tcBorders>
              <w:left w:val="single" w:sz="4" w:space="0" w:color="auto"/>
              <w:right w:val="single" w:sz="4" w:space="0" w:color="auto"/>
            </w:tcBorders>
            <w:hideMark/>
          </w:tcPr>
          <w:p w14:paraId="55C2A0D2" w14:textId="32C0079C" w:rsidR="00414470" w:rsidRPr="00496BC6" w:rsidRDefault="00414470" w:rsidP="00005BEB">
            <w:pPr>
              <w:pStyle w:val="Tabletext0"/>
              <w:spacing w:before="0" w:after="0"/>
              <w:jc w:val="center"/>
              <w:cnfStyle w:val="000000000000" w:firstRow="0" w:lastRow="0" w:firstColumn="0" w:lastColumn="0" w:oddVBand="0" w:evenVBand="0" w:oddHBand="0" w:evenHBand="0" w:firstRowFirstColumn="0" w:firstRowLastColumn="0" w:lastRowFirstColumn="0" w:lastRowLastColumn="0"/>
              <w:rPr>
                <w:bCs/>
              </w:rPr>
            </w:pPr>
            <w:r w:rsidRPr="00496BC6">
              <w:rPr>
                <w:bCs/>
              </w:rPr>
              <w:t>0.0</w:t>
            </w:r>
            <w:r>
              <w:rPr>
                <w:bCs/>
              </w:rPr>
              <w:t xml:space="preserve"> </w:t>
            </w:r>
            <w:r w:rsidRPr="00496BC6">
              <w:rPr>
                <w:bCs/>
              </w:rPr>
              <w:t>(0)</w:t>
            </w:r>
          </w:p>
        </w:tc>
        <w:tc>
          <w:tcPr>
            <w:tcW w:w="1061" w:type="pct"/>
            <w:tcBorders>
              <w:left w:val="single" w:sz="4" w:space="0" w:color="auto"/>
              <w:right w:val="single" w:sz="4" w:space="0" w:color="auto"/>
            </w:tcBorders>
          </w:tcPr>
          <w:p w14:paraId="78729E53" w14:textId="7A3E201E" w:rsidR="00414470" w:rsidRPr="00496BC6" w:rsidRDefault="00414470" w:rsidP="00005BEB">
            <w:pPr>
              <w:pStyle w:val="Tabletext0"/>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NR</w:t>
            </w:r>
          </w:p>
        </w:tc>
      </w:tr>
      <w:tr w:rsidR="00414470" w:rsidRPr="00750D64" w14:paraId="28E1414C" w14:textId="6030D06F" w:rsidTr="00414470">
        <w:tblPrEx>
          <w:tblBorders>
            <w:left w:val="none" w:sz="0" w:space="0" w:color="auto"/>
            <w:right w:val="none" w:sz="0" w:space="0" w:color="auto"/>
            <w:insideV w:val="none" w:sz="0" w:space="0" w:color="auto"/>
          </w:tblBorders>
        </w:tblPrEx>
        <w:trPr>
          <w:trHeight w:val="428"/>
        </w:trPr>
        <w:tc>
          <w:tcPr>
            <w:cnfStyle w:val="001000000000" w:firstRow="0" w:lastRow="0" w:firstColumn="1" w:lastColumn="0" w:oddVBand="0" w:evenVBand="0" w:oddHBand="0" w:evenHBand="0" w:firstRowFirstColumn="0" w:firstRowLastColumn="0" w:lastRowFirstColumn="0" w:lastRowLastColumn="0"/>
            <w:tcW w:w="1633" w:type="pct"/>
            <w:tcBorders>
              <w:left w:val="single" w:sz="4" w:space="0" w:color="auto"/>
              <w:right w:val="single" w:sz="4" w:space="0" w:color="auto"/>
            </w:tcBorders>
            <w:hideMark/>
          </w:tcPr>
          <w:p w14:paraId="75276392" w14:textId="77777777" w:rsidR="00414470" w:rsidRPr="00496BC6" w:rsidRDefault="00414470" w:rsidP="00005BEB">
            <w:pPr>
              <w:pStyle w:val="Tabletext0"/>
              <w:spacing w:before="0" w:after="0"/>
              <w:rPr>
                <w:bCs/>
              </w:rPr>
            </w:pPr>
            <w:r w:rsidRPr="00496BC6">
              <w:rPr>
                <w:bCs/>
              </w:rPr>
              <w:t>New need for renal replacement therapy</w:t>
            </w:r>
          </w:p>
        </w:tc>
        <w:tc>
          <w:tcPr>
            <w:tcW w:w="1244" w:type="pct"/>
            <w:tcBorders>
              <w:left w:val="single" w:sz="4" w:space="0" w:color="auto"/>
              <w:right w:val="single" w:sz="4" w:space="0" w:color="auto"/>
            </w:tcBorders>
            <w:hideMark/>
          </w:tcPr>
          <w:p w14:paraId="0323C942" w14:textId="7486CDC7" w:rsidR="00414470" w:rsidRPr="00496BC6" w:rsidRDefault="00414470" w:rsidP="00005BEB">
            <w:pPr>
              <w:pStyle w:val="Tabletext0"/>
              <w:spacing w:before="0" w:after="0"/>
              <w:jc w:val="center"/>
              <w:cnfStyle w:val="000000000000" w:firstRow="0" w:lastRow="0" w:firstColumn="0" w:lastColumn="0" w:oddVBand="0" w:evenVBand="0" w:oddHBand="0" w:evenHBand="0" w:firstRowFirstColumn="0" w:firstRowLastColumn="0" w:lastRowFirstColumn="0" w:lastRowLastColumn="0"/>
              <w:rPr>
                <w:bCs/>
              </w:rPr>
            </w:pPr>
            <w:r w:rsidRPr="00496BC6">
              <w:rPr>
                <w:bCs/>
              </w:rPr>
              <w:t>0.0 (0)</w:t>
            </w:r>
          </w:p>
        </w:tc>
        <w:tc>
          <w:tcPr>
            <w:tcW w:w="1062" w:type="pct"/>
            <w:tcBorders>
              <w:left w:val="single" w:sz="4" w:space="0" w:color="auto"/>
              <w:right w:val="single" w:sz="4" w:space="0" w:color="auto"/>
            </w:tcBorders>
            <w:hideMark/>
          </w:tcPr>
          <w:p w14:paraId="0EECAE24" w14:textId="0BF0C8F6" w:rsidR="00414470" w:rsidRPr="00496BC6" w:rsidRDefault="00414470" w:rsidP="00005BEB">
            <w:pPr>
              <w:pStyle w:val="Tabletext0"/>
              <w:spacing w:before="0" w:after="0"/>
              <w:jc w:val="center"/>
              <w:cnfStyle w:val="000000000000" w:firstRow="0" w:lastRow="0" w:firstColumn="0" w:lastColumn="0" w:oddVBand="0" w:evenVBand="0" w:oddHBand="0" w:evenHBand="0" w:firstRowFirstColumn="0" w:firstRowLastColumn="0" w:lastRowFirstColumn="0" w:lastRowLastColumn="0"/>
              <w:rPr>
                <w:bCs/>
              </w:rPr>
            </w:pPr>
            <w:r w:rsidRPr="00496BC6">
              <w:rPr>
                <w:bCs/>
              </w:rPr>
              <w:t>0.0 (0)</w:t>
            </w:r>
          </w:p>
        </w:tc>
        <w:tc>
          <w:tcPr>
            <w:tcW w:w="1061" w:type="pct"/>
            <w:tcBorders>
              <w:left w:val="single" w:sz="4" w:space="0" w:color="auto"/>
              <w:right w:val="single" w:sz="4" w:space="0" w:color="auto"/>
            </w:tcBorders>
          </w:tcPr>
          <w:p w14:paraId="4BB91CF2" w14:textId="415C7DD0" w:rsidR="00414470" w:rsidRPr="00496BC6" w:rsidRDefault="00414470" w:rsidP="00005BEB">
            <w:pPr>
              <w:pStyle w:val="Tabletext0"/>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NR</w:t>
            </w:r>
          </w:p>
        </w:tc>
      </w:tr>
      <w:tr w:rsidR="00414470" w:rsidRPr="00750D64" w14:paraId="6EEFD8B6" w14:textId="17985BF7" w:rsidTr="00414470">
        <w:tblPrEx>
          <w:tblBorders>
            <w:left w:val="none" w:sz="0" w:space="0" w:color="auto"/>
            <w:right w:val="none" w:sz="0" w:space="0" w:color="auto"/>
            <w:insideV w:val="none" w:sz="0" w:space="0" w:color="auto"/>
          </w:tblBorders>
        </w:tblPrEx>
        <w:trPr>
          <w:trHeight w:val="428"/>
        </w:trPr>
        <w:tc>
          <w:tcPr>
            <w:cnfStyle w:val="001000000000" w:firstRow="0" w:lastRow="0" w:firstColumn="1" w:lastColumn="0" w:oddVBand="0" w:evenVBand="0" w:oddHBand="0" w:evenHBand="0" w:firstRowFirstColumn="0" w:firstRowLastColumn="0" w:lastRowFirstColumn="0" w:lastRowLastColumn="0"/>
            <w:tcW w:w="1633" w:type="pct"/>
            <w:tcBorders>
              <w:left w:val="single" w:sz="4" w:space="0" w:color="auto"/>
              <w:right w:val="single" w:sz="4" w:space="0" w:color="auto"/>
            </w:tcBorders>
            <w:hideMark/>
          </w:tcPr>
          <w:p w14:paraId="6492BD26" w14:textId="77777777" w:rsidR="00414470" w:rsidRPr="00496BC6" w:rsidRDefault="00414470" w:rsidP="00005BEB">
            <w:pPr>
              <w:pStyle w:val="Tabletext0"/>
              <w:spacing w:before="0" w:after="0"/>
              <w:rPr>
                <w:bCs/>
              </w:rPr>
            </w:pPr>
            <w:r w:rsidRPr="00496BC6">
              <w:rPr>
                <w:bCs/>
              </w:rPr>
              <w:t>Non-elective mitral valve re-intervention (percutaneous or surgical)</w:t>
            </w:r>
          </w:p>
        </w:tc>
        <w:tc>
          <w:tcPr>
            <w:tcW w:w="1244" w:type="pct"/>
            <w:tcBorders>
              <w:left w:val="single" w:sz="4" w:space="0" w:color="auto"/>
              <w:right w:val="single" w:sz="4" w:space="0" w:color="auto"/>
            </w:tcBorders>
            <w:hideMark/>
          </w:tcPr>
          <w:p w14:paraId="6C6F5203" w14:textId="7291359D" w:rsidR="00414470" w:rsidRPr="00496BC6" w:rsidRDefault="00414470" w:rsidP="00005BEB">
            <w:pPr>
              <w:pStyle w:val="Tabletext0"/>
              <w:spacing w:before="0" w:after="0"/>
              <w:jc w:val="center"/>
              <w:cnfStyle w:val="000000000000" w:firstRow="0" w:lastRow="0" w:firstColumn="0" w:lastColumn="0" w:oddVBand="0" w:evenVBand="0" w:oddHBand="0" w:evenHBand="0" w:firstRowFirstColumn="0" w:firstRowLastColumn="0" w:lastRowFirstColumn="0" w:lastRowLastColumn="0"/>
              <w:rPr>
                <w:bCs/>
              </w:rPr>
            </w:pPr>
            <w:r w:rsidRPr="00496BC6">
              <w:rPr>
                <w:bCs/>
              </w:rPr>
              <w:t>0.9 (1)</w:t>
            </w:r>
          </w:p>
        </w:tc>
        <w:tc>
          <w:tcPr>
            <w:tcW w:w="1062" w:type="pct"/>
            <w:tcBorders>
              <w:left w:val="single" w:sz="4" w:space="0" w:color="auto"/>
              <w:right w:val="single" w:sz="4" w:space="0" w:color="auto"/>
            </w:tcBorders>
            <w:hideMark/>
          </w:tcPr>
          <w:p w14:paraId="05AA3CEC" w14:textId="32DED87D" w:rsidR="00414470" w:rsidRPr="00496BC6" w:rsidRDefault="00414470" w:rsidP="00005BEB">
            <w:pPr>
              <w:pStyle w:val="Tabletext0"/>
              <w:spacing w:before="0" w:after="0"/>
              <w:jc w:val="center"/>
              <w:cnfStyle w:val="000000000000" w:firstRow="0" w:lastRow="0" w:firstColumn="0" w:lastColumn="0" w:oddVBand="0" w:evenVBand="0" w:oddHBand="0" w:evenHBand="0" w:firstRowFirstColumn="0" w:firstRowLastColumn="0" w:lastRowFirstColumn="0" w:lastRowLastColumn="0"/>
              <w:rPr>
                <w:bCs/>
              </w:rPr>
            </w:pPr>
            <w:r w:rsidRPr="00496BC6">
              <w:rPr>
                <w:bCs/>
              </w:rPr>
              <w:t>0.0</w:t>
            </w:r>
            <w:r>
              <w:rPr>
                <w:bCs/>
              </w:rPr>
              <w:t xml:space="preserve"> </w:t>
            </w:r>
            <w:r w:rsidRPr="00496BC6">
              <w:rPr>
                <w:bCs/>
              </w:rPr>
              <w:t>(0)</w:t>
            </w:r>
          </w:p>
        </w:tc>
        <w:tc>
          <w:tcPr>
            <w:tcW w:w="1061" w:type="pct"/>
            <w:tcBorders>
              <w:left w:val="single" w:sz="4" w:space="0" w:color="auto"/>
              <w:right w:val="single" w:sz="4" w:space="0" w:color="auto"/>
            </w:tcBorders>
          </w:tcPr>
          <w:p w14:paraId="4B0CC35C" w14:textId="69145E10" w:rsidR="00414470" w:rsidRPr="00496BC6" w:rsidRDefault="00414470" w:rsidP="00005BEB">
            <w:pPr>
              <w:pStyle w:val="Tabletext0"/>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NR</w:t>
            </w:r>
          </w:p>
        </w:tc>
      </w:tr>
      <w:tr w:rsidR="00414470" w:rsidRPr="00750D64" w14:paraId="54C3126D" w14:textId="43AF75D7" w:rsidTr="00414470">
        <w:tblPrEx>
          <w:tblBorders>
            <w:left w:val="none" w:sz="0" w:space="0" w:color="auto"/>
            <w:right w:val="none" w:sz="0" w:space="0" w:color="auto"/>
            <w:insideV w:val="none" w:sz="0" w:space="0" w:color="auto"/>
          </w:tblBorders>
        </w:tblPrEx>
        <w:trPr>
          <w:trHeight w:val="428"/>
        </w:trPr>
        <w:tc>
          <w:tcPr>
            <w:cnfStyle w:val="001000000000" w:firstRow="0" w:lastRow="0" w:firstColumn="1" w:lastColumn="0" w:oddVBand="0" w:evenVBand="0" w:oddHBand="0" w:evenHBand="0" w:firstRowFirstColumn="0" w:firstRowLastColumn="0" w:lastRowFirstColumn="0" w:lastRowLastColumn="0"/>
            <w:tcW w:w="1633" w:type="pct"/>
            <w:tcBorders>
              <w:left w:val="single" w:sz="4" w:space="0" w:color="auto"/>
              <w:bottom w:val="single" w:sz="4" w:space="0" w:color="auto"/>
              <w:right w:val="single" w:sz="4" w:space="0" w:color="auto"/>
            </w:tcBorders>
            <w:hideMark/>
          </w:tcPr>
          <w:p w14:paraId="0259BA0D" w14:textId="69C76951" w:rsidR="00414470" w:rsidRPr="00496BC6" w:rsidRDefault="00414470" w:rsidP="00005BEB">
            <w:pPr>
              <w:pStyle w:val="Tabletext0"/>
              <w:spacing w:before="0" w:after="0"/>
              <w:rPr>
                <w:bCs/>
              </w:rPr>
            </w:pPr>
            <w:r w:rsidRPr="00496BC6">
              <w:rPr>
                <w:bCs/>
              </w:rPr>
              <w:t xml:space="preserve">Severe bleeding </w:t>
            </w:r>
          </w:p>
        </w:tc>
        <w:tc>
          <w:tcPr>
            <w:tcW w:w="1244" w:type="pct"/>
            <w:tcBorders>
              <w:left w:val="single" w:sz="4" w:space="0" w:color="auto"/>
              <w:bottom w:val="single" w:sz="4" w:space="0" w:color="auto"/>
              <w:right w:val="single" w:sz="4" w:space="0" w:color="auto"/>
            </w:tcBorders>
            <w:hideMark/>
          </w:tcPr>
          <w:p w14:paraId="474348FB" w14:textId="47C2BEA6" w:rsidR="00414470" w:rsidRPr="00496BC6" w:rsidRDefault="00414470" w:rsidP="00005BEB">
            <w:pPr>
              <w:pStyle w:val="Tabletext0"/>
              <w:spacing w:before="0" w:after="0"/>
              <w:jc w:val="center"/>
              <w:cnfStyle w:val="000000000000" w:firstRow="0" w:lastRow="0" w:firstColumn="0" w:lastColumn="0" w:oddVBand="0" w:evenVBand="0" w:oddHBand="0" w:evenHBand="0" w:firstRowFirstColumn="0" w:firstRowLastColumn="0" w:lastRowFirstColumn="0" w:lastRowLastColumn="0"/>
              <w:rPr>
                <w:bCs/>
              </w:rPr>
            </w:pPr>
            <w:r w:rsidRPr="00496BC6">
              <w:rPr>
                <w:bCs/>
              </w:rPr>
              <w:t>2.6 (3)</w:t>
            </w:r>
          </w:p>
        </w:tc>
        <w:tc>
          <w:tcPr>
            <w:tcW w:w="1062" w:type="pct"/>
            <w:tcBorders>
              <w:left w:val="single" w:sz="4" w:space="0" w:color="auto"/>
              <w:bottom w:val="single" w:sz="4" w:space="0" w:color="auto"/>
              <w:right w:val="single" w:sz="4" w:space="0" w:color="auto"/>
            </w:tcBorders>
            <w:hideMark/>
          </w:tcPr>
          <w:p w14:paraId="7B53B13B" w14:textId="159A4925" w:rsidR="00414470" w:rsidRPr="00496BC6" w:rsidRDefault="00414470" w:rsidP="00005BEB">
            <w:pPr>
              <w:pStyle w:val="Tabletext0"/>
              <w:spacing w:before="0" w:after="0"/>
              <w:jc w:val="center"/>
              <w:cnfStyle w:val="000000000000" w:firstRow="0" w:lastRow="0" w:firstColumn="0" w:lastColumn="0" w:oddVBand="0" w:evenVBand="0" w:oddHBand="0" w:evenHBand="0" w:firstRowFirstColumn="0" w:firstRowLastColumn="0" w:lastRowFirstColumn="0" w:lastRowLastColumn="0"/>
              <w:rPr>
                <w:bCs/>
              </w:rPr>
            </w:pPr>
            <w:r w:rsidRPr="00496BC6">
              <w:rPr>
                <w:bCs/>
              </w:rPr>
              <w:t>3.2</w:t>
            </w:r>
            <w:r>
              <w:rPr>
                <w:bCs/>
              </w:rPr>
              <w:t xml:space="preserve"> </w:t>
            </w:r>
            <w:r w:rsidRPr="00496BC6">
              <w:rPr>
                <w:bCs/>
              </w:rPr>
              <w:t>(2)</w:t>
            </w:r>
          </w:p>
        </w:tc>
        <w:tc>
          <w:tcPr>
            <w:tcW w:w="1061" w:type="pct"/>
            <w:tcBorders>
              <w:left w:val="single" w:sz="4" w:space="0" w:color="auto"/>
              <w:bottom w:val="single" w:sz="4" w:space="0" w:color="auto"/>
              <w:right w:val="single" w:sz="4" w:space="0" w:color="auto"/>
            </w:tcBorders>
          </w:tcPr>
          <w:p w14:paraId="3D4895A4" w14:textId="610B76B7" w:rsidR="00414470" w:rsidRPr="00496BC6" w:rsidRDefault="00414470" w:rsidP="00005BEB">
            <w:pPr>
              <w:pStyle w:val="Tabletext0"/>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NR</w:t>
            </w:r>
          </w:p>
        </w:tc>
      </w:tr>
      <w:tr w:rsidR="00414470" w:rsidRPr="00750D64" w14:paraId="74AC04CA" w14:textId="24A19AEF" w:rsidTr="00414470">
        <w:tblPrEx>
          <w:tblBorders>
            <w:left w:val="none" w:sz="0" w:space="0" w:color="auto"/>
            <w:right w:val="none" w:sz="0" w:space="0" w:color="auto"/>
            <w:insideV w:val="none" w:sz="0" w:space="0" w:color="auto"/>
          </w:tblBorders>
        </w:tblPrEx>
        <w:trPr>
          <w:trHeight w:val="428"/>
        </w:trPr>
        <w:tc>
          <w:tcPr>
            <w:cnfStyle w:val="001000000000" w:firstRow="0" w:lastRow="0" w:firstColumn="1" w:lastColumn="0" w:oddVBand="0" w:evenVBand="0" w:oddHBand="0" w:evenHBand="0" w:firstRowFirstColumn="0" w:firstRowLastColumn="0" w:lastRowFirstColumn="0" w:lastRowLastColumn="0"/>
            <w:tcW w:w="1633" w:type="pct"/>
            <w:tcBorders>
              <w:left w:val="single" w:sz="4" w:space="0" w:color="auto"/>
              <w:bottom w:val="single" w:sz="4" w:space="0" w:color="auto"/>
              <w:right w:val="single" w:sz="4" w:space="0" w:color="auto"/>
            </w:tcBorders>
          </w:tcPr>
          <w:p w14:paraId="1E1E9E25" w14:textId="2BAAF285" w:rsidR="00414470" w:rsidRPr="00496BC6" w:rsidRDefault="00414470" w:rsidP="00005BEB">
            <w:pPr>
              <w:pStyle w:val="Tabletext0"/>
              <w:spacing w:before="0" w:after="0"/>
              <w:rPr>
                <w:bCs/>
              </w:rPr>
            </w:pPr>
            <w:r w:rsidRPr="00496BC6">
              <w:rPr>
                <w:bCs/>
              </w:rPr>
              <w:t xml:space="preserve">Composite MAE at 30-days </w:t>
            </w:r>
          </w:p>
        </w:tc>
        <w:tc>
          <w:tcPr>
            <w:tcW w:w="1244" w:type="pct"/>
            <w:tcBorders>
              <w:left w:val="single" w:sz="4" w:space="0" w:color="auto"/>
              <w:bottom w:val="single" w:sz="4" w:space="0" w:color="auto"/>
              <w:right w:val="single" w:sz="4" w:space="0" w:color="auto"/>
            </w:tcBorders>
          </w:tcPr>
          <w:p w14:paraId="17A5C42A" w14:textId="1518AE77" w:rsidR="00414470" w:rsidRPr="00496BC6" w:rsidRDefault="00414470" w:rsidP="00005BEB">
            <w:pPr>
              <w:pStyle w:val="Tabletext0"/>
              <w:spacing w:before="0" w:after="0"/>
              <w:jc w:val="center"/>
              <w:cnfStyle w:val="000000000000" w:firstRow="0" w:lastRow="0" w:firstColumn="0" w:lastColumn="0" w:oddVBand="0" w:evenVBand="0" w:oddHBand="0" w:evenHBand="0" w:firstRowFirstColumn="0" w:firstRowLastColumn="0" w:lastRowFirstColumn="0" w:lastRowLastColumn="0"/>
              <w:rPr>
                <w:bCs/>
              </w:rPr>
            </w:pPr>
            <w:r w:rsidRPr="00496BC6">
              <w:rPr>
                <w:bCs/>
              </w:rPr>
              <w:t>3.4 (4)</w:t>
            </w:r>
          </w:p>
        </w:tc>
        <w:tc>
          <w:tcPr>
            <w:tcW w:w="1062" w:type="pct"/>
            <w:tcBorders>
              <w:left w:val="single" w:sz="4" w:space="0" w:color="auto"/>
              <w:bottom w:val="single" w:sz="4" w:space="0" w:color="auto"/>
              <w:right w:val="single" w:sz="4" w:space="0" w:color="auto"/>
            </w:tcBorders>
          </w:tcPr>
          <w:p w14:paraId="4D63471D" w14:textId="50689035" w:rsidR="00414470" w:rsidRPr="00496BC6" w:rsidRDefault="00414470" w:rsidP="00005BEB">
            <w:pPr>
              <w:pStyle w:val="Tabletext0"/>
              <w:spacing w:before="0" w:after="0"/>
              <w:jc w:val="center"/>
              <w:cnfStyle w:val="000000000000" w:firstRow="0" w:lastRow="0" w:firstColumn="0" w:lastColumn="0" w:oddVBand="0" w:evenVBand="0" w:oddHBand="0" w:evenHBand="0" w:firstRowFirstColumn="0" w:firstRowLastColumn="0" w:lastRowFirstColumn="0" w:lastRowLastColumn="0"/>
              <w:rPr>
                <w:bCs/>
              </w:rPr>
            </w:pPr>
            <w:r w:rsidRPr="00496BC6">
              <w:rPr>
                <w:bCs/>
              </w:rPr>
              <w:t>4.8 (3)</w:t>
            </w:r>
          </w:p>
        </w:tc>
        <w:tc>
          <w:tcPr>
            <w:tcW w:w="1061" w:type="pct"/>
            <w:tcBorders>
              <w:left w:val="single" w:sz="4" w:space="0" w:color="auto"/>
              <w:bottom w:val="single" w:sz="4" w:space="0" w:color="auto"/>
              <w:right w:val="single" w:sz="4" w:space="0" w:color="auto"/>
            </w:tcBorders>
          </w:tcPr>
          <w:p w14:paraId="66C17AF2" w14:textId="270D9DB9" w:rsidR="00414470" w:rsidRPr="00414470" w:rsidRDefault="00414470" w:rsidP="00005BEB">
            <w:pPr>
              <w:pStyle w:val="Tabletext0"/>
              <w:spacing w:before="0" w:after="0"/>
              <w:jc w:val="center"/>
              <w:cnfStyle w:val="000000000000" w:firstRow="0" w:lastRow="0" w:firstColumn="0" w:lastColumn="0" w:oddVBand="0" w:evenVBand="0" w:oddHBand="0" w:evenHBand="0" w:firstRowFirstColumn="0" w:firstRowLastColumn="0" w:lastRowFirstColumn="0" w:lastRowLastColumn="0"/>
              <w:rPr>
                <w:bCs/>
                <w:vertAlign w:val="superscript"/>
              </w:rPr>
            </w:pPr>
            <w:r>
              <w:rPr>
                <w:bCs/>
              </w:rPr>
              <w:t>-1.3 (5.1)</w:t>
            </w:r>
            <w:r w:rsidRPr="00414470">
              <w:rPr>
                <w:bCs/>
                <w:vertAlign w:val="superscript"/>
              </w:rPr>
              <w:t>^</w:t>
            </w:r>
          </w:p>
        </w:tc>
      </w:tr>
    </w:tbl>
    <w:p w14:paraId="14362D0D" w14:textId="77777777" w:rsidR="00AE2C9D" w:rsidRDefault="00AE2C9D" w:rsidP="001F3774">
      <w:pPr>
        <w:pStyle w:val="TableFooter"/>
      </w:pPr>
      <w:r>
        <w:t>#One patient withdrew prior to 30-day follow-up without an MAE.</w:t>
      </w:r>
    </w:p>
    <w:p w14:paraId="7D6B0EEE" w14:textId="77777777" w:rsidR="00AE2C9D" w:rsidRDefault="00AE2C9D" w:rsidP="001F3774">
      <w:pPr>
        <w:pStyle w:val="TableFooter"/>
      </w:pPr>
      <w:r>
        <w:t>^ one-sided 95% CI upper bound limit</w:t>
      </w:r>
    </w:p>
    <w:p w14:paraId="3EBB5A04" w14:textId="60404BB4" w:rsidR="00FC3F63" w:rsidRDefault="00ED6C1C" w:rsidP="00ED6C1C">
      <w:pPr>
        <w:pStyle w:val="Heading4"/>
      </w:pPr>
      <w:r>
        <w:t>Overall survival</w:t>
      </w:r>
      <w:r w:rsidR="000F6EFC">
        <w:t xml:space="preserve"> in the DMR population (not evaluated)</w:t>
      </w:r>
    </w:p>
    <w:p w14:paraId="1A065077" w14:textId="6B13AC0E" w:rsidR="00F95F8E" w:rsidRDefault="00F95F8E" w:rsidP="00496BC6">
      <w:pPr>
        <w:pStyle w:val="Caption"/>
      </w:pPr>
      <w:bookmarkStart w:id="35" w:name="_Ref117510840"/>
      <w:r>
        <w:t xml:space="preserve">Table </w:t>
      </w:r>
      <w:fldSimple w:instr=" SEQ Table \* ARABIC ">
        <w:r w:rsidR="007512A8">
          <w:rPr>
            <w:noProof/>
          </w:rPr>
          <w:t>7</w:t>
        </w:r>
      </w:fldSimple>
      <w:bookmarkEnd w:id="35"/>
      <w:r>
        <w:t xml:space="preserve"> </w:t>
      </w:r>
      <w:r w:rsidRPr="00A7030B">
        <w:t xml:space="preserve">Summary of survival outcomes in </w:t>
      </w:r>
      <w:r>
        <w:t>CLASP IID (DMR population</w:t>
      </w:r>
      <w:r w:rsidR="00AE2C9D">
        <w:t xml:space="preserve">, </w:t>
      </w:r>
      <w:r w:rsidR="00AE2C9D" w:rsidRPr="00AE2C9D">
        <w:t>CLASP IID</w:t>
      </w:r>
      <w:r>
        <w:t>)</w:t>
      </w:r>
    </w:p>
    <w:tbl>
      <w:tblPr>
        <w:tblStyle w:val="TableGrid1"/>
        <w:tblW w:w="5008" w:type="pct"/>
        <w:tblCellMar>
          <w:left w:w="28" w:type="dxa"/>
          <w:right w:w="28" w:type="dxa"/>
        </w:tblCellMar>
        <w:tblLook w:val="04A0" w:firstRow="1" w:lastRow="0" w:firstColumn="1" w:lastColumn="0" w:noHBand="0" w:noVBand="1"/>
      </w:tblPr>
      <w:tblGrid>
        <w:gridCol w:w="1272"/>
        <w:gridCol w:w="850"/>
        <w:gridCol w:w="814"/>
        <w:gridCol w:w="1031"/>
        <w:gridCol w:w="17"/>
        <w:gridCol w:w="973"/>
        <w:gridCol w:w="992"/>
        <w:gridCol w:w="992"/>
        <w:gridCol w:w="1419"/>
        <w:gridCol w:w="13"/>
        <w:gridCol w:w="952"/>
        <w:gridCol w:w="13"/>
      </w:tblGrid>
      <w:tr w:rsidR="008472CC" w:rsidRPr="00B1011F" w14:paraId="4D5A2392" w14:textId="77777777" w:rsidTr="00496BC6">
        <w:trPr>
          <w:gridAfter w:val="1"/>
          <w:cnfStyle w:val="100000000000" w:firstRow="1" w:lastRow="0" w:firstColumn="0" w:lastColumn="0" w:oddVBand="0" w:evenVBand="0" w:oddHBand="0" w:evenHBand="0" w:firstRowFirstColumn="0" w:firstRowLastColumn="0" w:lastRowFirstColumn="0" w:lastRowLastColumn="0"/>
          <w:wAfter w:w="7" w:type="pct"/>
          <w:tblHeader/>
        </w:trPr>
        <w:tc>
          <w:tcPr>
            <w:tcW w:w="681" w:type="pct"/>
            <w:vAlign w:val="center"/>
          </w:tcPr>
          <w:p w14:paraId="22542244" w14:textId="12E0656D" w:rsidR="008472CC" w:rsidRPr="00B84117" w:rsidRDefault="008472CC" w:rsidP="00005BEB">
            <w:pPr>
              <w:pStyle w:val="In-tableHeading"/>
              <w:spacing w:before="0"/>
            </w:pPr>
          </w:p>
        </w:tc>
        <w:tc>
          <w:tcPr>
            <w:tcW w:w="1443" w:type="pct"/>
            <w:gridSpan w:val="3"/>
            <w:vAlign w:val="center"/>
          </w:tcPr>
          <w:p w14:paraId="544150BC" w14:textId="77777777" w:rsidR="00AB18AD" w:rsidRPr="00427322" w:rsidRDefault="008472CC" w:rsidP="00005BEB">
            <w:pPr>
              <w:pStyle w:val="TableText"/>
              <w:spacing w:before="0" w:after="0"/>
              <w:rPr>
                <w:b/>
                <w:bCs/>
              </w:rPr>
            </w:pPr>
            <w:r w:rsidRPr="00427322">
              <w:rPr>
                <w:b/>
                <w:bCs/>
              </w:rPr>
              <w:t xml:space="preserve">PASCAL (N=117) </w:t>
            </w:r>
          </w:p>
          <w:p w14:paraId="10B35329" w14:textId="74DCC368" w:rsidR="008472CC" w:rsidRPr="00427322" w:rsidRDefault="008472CC" w:rsidP="00005BEB">
            <w:pPr>
              <w:pStyle w:val="TableText"/>
              <w:spacing w:before="0" w:after="0"/>
              <w:rPr>
                <w:b/>
                <w:bCs/>
              </w:rPr>
            </w:pPr>
            <w:r w:rsidRPr="00427322">
              <w:rPr>
                <w:b/>
                <w:bCs/>
              </w:rPr>
              <w:t>mean (±SE)</w:t>
            </w:r>
          </w:p>
        </w:tc>
        <w:tc>
          <w:tcPr>
            <w:tcW w:w="1592" w:type="pct"/>
            <w:gridSpan w:val="4"/>
            <w:vAlign w:val="center"/>
          </w:tcPr>
          <w:p w14:paraId="4A8A182C" w14:textId="299CA365" w:rsidR="008472CC" w:rsidRPr="00427322" w:rsidRDefault="008472CC" w:rsidP="00005BEB">
            <w:pPr>
              <w:pStyle w:val="TableText"/>
              <w:spacing w:before="0" w:after="0"/>
              <w:rPr>
                <w:b/>
                <w:bCs/>
              </w:rPr>
            </w:pPr>
            <w:proofErr w:type="spellStart"/>
            <w:r w:rsidRPr="00427322">
              <w:rPr>
                <w:b/>
                <w:bCs/>
              </w:rPr>
              <w:t>MitraClip</w:t>
            </w:r>
            <w:proofErr w:type="spellEnd"/>
            <w:r w:rsidRPr="00427322">
              <w:rPr>
                <w:b/>
                <w:bCs/>
              </w:rPr>
              <w:t xml:space="preserve"> (N=63)</w:t>
            </w:r>
          </w:p>
        </w:tc>
        <w:tc>
          <w:tcPr>
            <w:tcW w:w="760" w:type="pct"/>
            <w:vAlign w:val="center"/>
          </w:tcPr>
          <w:p w14:paraId="2ECE2661" w14:textId="557FD7A3" w:rsidR="008472CC" w:rsidRPr="00427322" w:rsidRDefault="00AE2C9D" w:rsidP="00005BEB">
            <w:pPr>
              <w:pStyle w:val="TableText"/>
              <w:spacing w:before="0" w:after="0"/>
              <w:rPr>
                <w:b/>
                <w:bCs/>
              </w:rPr>
            </w:pPr>
            <w:r>
              <w:rPr>
                <w:b/>
                <w:bCs/>
              </w:rPr>
              <w:t>D</w:t>
            </w:r>
            <w:r w:rsidR="008472CC" w:rsidRPr="00427322">
              <w:rPr>
                <w:b/>
                <w:bCs/>
              </w:rPr>
              <w:t xml:space="preserve">ifference </w:t>
            </w:r>
          </w:p>
        </w:tc>
        <w:tc>
          <w:tcPr>
            <w:tcW w:w="517" w:type="pct"/>
            <w:gridSpan w:val="2"/>
            <w:vAlign w:val="center"/>
          </w:tcPr>
          <w:p w14:paraId="35A31B46" w14:textId="49DF4141" w:rsidR="00F95F8E" w:rsidRPr="00427322" w:rsidRDefault="00F95F8E" w:rsidP="00005BEB">
            <w:pPr>
              <w:pStyle w:val="TableText"/>
              <w:spacing w:before="0" w:after="0"/>
              <w:rPr>
                <w:b/>
                <w:bCs/>
              </w:rPr>
            </w:pPr>
            <w:r w:rsidRPr="00427322">
              <w:rPr>
                <w:b/>
                <w:bCs/>
              </w:rPr>
              <w:t>P-value</w:t>
            </w:r>
          </w:p>
        </w:tc>
      </w:tr>
      <w:tr w:rsidR="00F95F8E" w:rsidRPr="00B1011F" w14:paraId="6BF20F00" w14:textId="77777777" w:rsidTr="00496BC6">
        <w:tc>
          <w:tcPr>
            <w:tcW w:w="681" w:type="pct"/>
            <w:vAlign w:val="center"/>
          </w:tcPr>
          <w:p w14:paraId="16137B66" w14:textId="0118B3A5" w:rsidR="00F95F8E" w:rsidRPr="00B1011F" w:rsidRDefault="00853CA5" w:rsidP="00005BEB">
            <w:pPr>
              <w:pStyle w:val="Tabletext0"/>
              <w:spacing w:before="0" w:after="0"/>
            </w:pPr>
            <w:r>
              <w:t>Freedom from:</w:t>
            </w:r>
          </w:p>
        </w:tc>
        <w:tc>
          <w:tcPr>
            <w:tcW w:w="455" w:type="pct"/>
            <w:vAlign w:val="center"/>
          </w:tcPr>
          <w:p w14:paraId="0471A5FD" w14:textId="4DE2A110" w:rsidR="00F95F8E" w:rsidRPr="00B1011F" w:rsidRDefault="00F95F8E" w:rsidP="00005BEB">
            <w:pPr>
              <w:pStyle w:val="Tabletext0"/>
              <w:spacing w:before="0" w:after="0"/>
            </w:pPr>
            <w:r>
              <w:t>30-day</w:t>
            </w:r>
          </w:p>
        </w:tc>
        <w:tc>
          <w:tcPr>
            <w:tcW w:w="436" w:type="pct"/>
            <w:vAlign w:val="center"/>
          </w:tcPr>
          <w:p w14:paraId="16F99BA7" w14:textId="4428F30F" w:rsidR="00F95F8E" w:rsidRPr="00B1011F" w:rsidRDefault="00F95F8E" w:rsidP="00005BEB">
            <w:pPr>
              <w:pStyle w:val="Tabletext0"/>
              <w:spacing w:before="0" w:after="0"/>
            </w:pPr>
            <w:r>
              <w:t>6-month</w:t>
            </w:r>
          </w:p>
        </w:tc>
        <w:tc>
          <w:tcPr>
            <w:tcW w:w="561" w:type="pct"/>
            <w:gridSpan w:val="2"/>
            <w:vAlign w:val="center"/>
          </w:tcPr>
          <w:p w14:paraId="00D506C0" w14:textId="16660178" w:rsidR="00F95F8E" w:rsidRPr="00B1011F" w:rsidRDefault="00F95F8E" w:rsidP="00005BEB">
            <w:pPr>
              <w:pStyle w:val="Tabletext0"/>
              <w:spacing w:before="0" w:after="0"/>
            </w:pPr>
            <w:r>
              <w:t>mean c</w:t>
            </w:r>
            <w:r w:rsidRPr="00B1011F">
              <w:t>hange (SD)</w:t>
            </w:r>
          </w:p>
        </w:tc>
        <w:tc>
          <w:tcPr>
            <w:tcW w:w="521" w:type="pct"/>
            <w:vAlign w:val="center"/>
          </w:tcPr>
          <w:p w14:paraId="0770A641" w14:textId="42869872" w:rsidR="00F95F8E" w:rsidRPr="00B1011F" w:rsidRDefault="00F95F8E" w:rsidP="00005BEB">
            <w:pPr>
              <w:pStyle w:val="Tabletext0"/>
              <w:spacing w:before="0" w:after="0"/>
            </w:pPr>
            <w:r>
              <w:t>30-day</w:t>
            </w:r>
          </w:p>
        </w:tc>
        <w:tc>
          <w:tcPr>
            <w:tcW w:w="531" w:type="pct"/>
            <w:vAlign w:val="center"/>
          </w:tcPr>
          <w:p w14:paraId="07A6CF6E" w14:textId="7939B3F3" w:rsidR="00F95F8E" w:rsidRPr="00B1011F" w:rsidRDefault="00F95F8E" w:rsidP="00005BEB">
            <w:pPr>
              <w:pStyle w:val="Tabletext0"/>
              <w:spacing w:before="0" w:after="0"/>
            </w:pPr>
            <w:r>
              <w:t>6-month</w:t>
            </w:r>
          </w:p>
        </w:tc>
        <w:tc>
          <w:tcPr>
            <w:tcW w:w="531" w:type="pct"/>
            <w:vAlign w:val="center"/>
          </w:tcPr>
          <w:p w14:paraId="25705656" w14:textId="4C84FE4D" w:rsidR="00F95F8E" w:rsidRPr="00B1011F" w:rsidRDefault="00F95F8E" w:rsidP="00005BEB">
            <w:pPr>
              <w:pStyle w:val="Tabletext0"/>
              <w:spacing w:before="0" w:after="0"/>
            </w:pPr>
            <w:r>
              <w:t>mean c</w:t>
            </w:r>
            <w:r w:rsidRPr="00B1011F">
              <w:t>hange (SD)</w:t>
            </w:r>
          </w:p>
        </w:tc>
        <w:tc>
          <w:tcPr>
            <w:tcW w:w="767" w:type="pct"/>
            <w:gridSpan w:val="2"/>
            <w:vAlign w:val="center"/>
          </w:tcPr>
          <w:p w14:paraId="61ACF93E" w14:textId="29AB919D" w:rsidR="00F95F8E" w:rsidRPr="00B1011F" w:rsidRDefault="00981A4A" w:rsidP="00005BEB">
            <w:pPr>
              <w:pStyle w:val="Tabletext0"/>
              <w:spacing w:before="0" w:after="0"/>
            </w:pPr>
            <w:r w:rsidRPr="00981A4A">
              <w:t>Mean difference (95% CI)</w:t>
            </w:r>
          </w:p>
        </w:tc>
        <w:tc>
          <w:tcPr>
            <w:tcW w:w="517" w:type="pct"/>
            <w:gridSpan w:val="2"/>
            <w:vAlign w:val="center"/>
          </w:tcPr>
          <w:p w14:paraId="43E2B978" w14:textId="67245660" w:rsidR="00F95F8E" w:rsidRPr="00B1011F" w:rsidRDefault="00853CA5" w:rsidP="00005BEB">
            <w:pPr>
              <w:pStyle w:val="Tabletext0"/>
              <w:spacing w:before="0" w:after="0"/>
            </w:pPr>
            <w:r>
              <w:t>6-month intergroup</w:t>
            </w:r>
          </w:p>
        </w:tc>
      </w:tr>
      <w:tr w:rsidR="00F95F8E" w:rsidRPr="00B1011F" w14:paraId="2FF446D1" w14:textId="77777777" w:rsidTr="00496BC6">
        <w:tc>
          <w:tcPr>
            <w:tcW w:w="681" w:type="pct"/>
            <w:vAlign w:val="center"/>
          </w:tcPr>
          <w:p w14:paraId="40366E1C" w14:textId="30312B47" w:rsidR="00F95F8E" w:rsidRPr="00B1011F" w:rsidRDefault="00AB18AD" w:rsidP="00005BEB">
            <w:pPr>
              <w:pStyle w:val="Tabletext0"/>
              <w:spacing w:before="0" w:after="0"/>
            </w:pPr>
            <w:r>
              <w:t>All-cause mortality</w:t>
            </w:r>
          </w:p>
        </w:tc>
        <w:tc>
          <w:tcPr>
            <w:tcW w:w="455" w:type="pct"/>
            <w:vAlign w:val="center"/>
          </w:tcPr>
          <w:p w14:paraId="032AEC70" w14:textId="003D143E" w:rsidR="00F95F8E" w:rsidRPr="00B1011F" w:rsidRDefault="00F95F8E" w:rsidP="00005BEB">
            <w:pPr>
              <w:pStyle w:val="Tabletext0"/>
              <w:spacing w:before="0" w:after="0"/>
            </w:pPr>
            <w:r>
              <w:t>98.3 (1.2)</w:t>
            </w:r>
          </w:p>
        </w:tc>
        <w:tc>
          <w:tcPr>
            <w:tcW w:w="436" w:type="pct"/>
            <w:vAlign w:val="center"/>
          </w:tcPr>
          <w:p w14:paraId="20BD2403" w14:textId="1009D894" w:rsidR="00F95F8E" w:rsidRPr="00B1011F" w:rsidRDefault="00F95F8E" w:rsidP="00005BEB">
            <w:pPr>
              <w:pStyle w:val="Tabletext0"/>
              <w:spacing w:before="0" w:after="0"/>
            </w:pPr>
            <w:r>
              <w:t>94.9 (2.0)</w:t>
            </w:r>
          </w:p>
        </w:tc>
        <w:tc>
          <w:tcPr>
            <w:tcW w:w="561" w:type="pct"/>
            <w:gridSpan w:val="2"/>
            <w:vAlign w:val="center"/>
          </w:tcPr>
          <w:p w14:paraId="131B37B9" w14:textId="5E6EABF6" w:rsidR="00F95F8E" w:rsidRPr="00B1011F" w:rsidRDefault="00F95F8E" w:rsidP="00005BEB">
            <w:pPr>
              <w:pStyle w:val="Tabletext0"/>
              <w:spacing w:before="0" w:after="0"/>
            </w:pPr>
            <w:r>
              <w:t>NR</w:t>
            </w:r>
          </w:p>
        </w:tc>
        <w:tc>
          <w:tcPr>
            <w:tcW w:w="521" w:type="pct"/>
            <w:vAlign w:val="center"/>
          </w:tcPr>
          <w:p w14:paraId="16357A45" w14:textId="7D01A566" w:rsidR="00F95F8E" w:rsidRPr="00B1011F" w:rsidRDefault="00F95F8E" w:rsidP="00005BEB">
            <w:pPr>
              <w:pStyle w:val="Tabletext0"/>
              <w:spacing w:before="0" w:after="0"/>
            </w:pPr>
            <w:r>
              <w:t>98.4 (1.6)</w:t>
            </w:r>
          </w:p>
        </w:tc>
        <w:tc>
          <w:tcPr>
            <w:tcW w:w="531" w:type="pct"/>
            <w:vAlign w:val="center"/>
          </w:tcPr>
          <w:p w14:paraId="1CA0562D" w14:textId="1DED378F" w:rsidR="00F95F8E" w:rsidRPr="00B1011F" w:rsidRDefault="00F95F8E" w:rsidP="00005BEB">
            <w:pPr>
              <w:pStyle w:val="Tabletext0"/>
              <w:spacing w:before="0" w:after="0"/>
            </w:pPr>
            <w:r>
              <w:t>93.7 (3.1)</w:t>
            </w:r>
          </w:p>
        </w:tc>
        <w:tc>
          <w:tcPr>
            <w:tcW w:w="531" w:type="pct"/>
            <w:vAlign w:val="center"/>
          </w:tcPr>
          <w:p w14:paraId="4E16BD29" w14:textId="326C65F3" w:rsidR="00F95F8E" w:rsidRPr="00B1011F" w:rsidRDefault="00F95F8E" w:rsidP="00005BEB">
            <w:pPr>
              <w:pStyle w:val="Tabletext0"/>
              <w:spacing w:before="0" w:after="0"/>
            </w:pPr>
            <w:r>
              <w:t>NR</w:t>
            </w:r>
          </w:p>
        </w:tc>
        <w:tc>
          <w:tcPr>
            <w:tcW w:w="767" w:type="pct"/>
            <w:gridSpan w:val="2"/>
            <w:vAlign w:val="center"/>
          </w:tcPr>
          <w:p w14:paraId="5963AC4E" w14:textId="1E0908FD" w:rsidR="00F95F8E" w:rsidRPr="00B1011F" w:rsidRDefault="00F95F8E" w:rsidP="00005BEB">
            <w:pPr>
              <w:pStyle w:val="Tabletext0"/>
              <w:spacing w:before="0" w:after="0"/>
            </w:pPr>
            <w:r>
              <w:t>N</w:t>
            </w:r>
            <w:r w:rsidR="00AB18AD">
              <w:t>R</w:t>
            </w:r>
          </w:p>
        </w:tc>
        <w:tc>
          <w:tcPr>
            <w:tcW w:w="517" w:type="pct"/>
            <w:gridSpan w:val="2"/>
            <w:vAlign w:val="center"/>
          </w:tcPr>
          <w:p w14:paraId="5FD60114" w14:textId="7D11FF9C" w:rsidR="00F95F8E" w:rsidRPr="00B1011F" w:rsidRDefault="00F95F8E" w:rsidP="00005BEB">
            <w:pPr>
              <w:pStyle w:val="Tabletext0"/>
              <w:spacing w:before="0" w:after="0"/>
            </w:pPr>
            <w:r>
              <w:t>0.737</w:t>
            </w:r>
          </w:p>
        </w:tc>
      </w:tr>
      <w:tr w:rsidR="00AB18AD" w:rsidRPr="00B1011F" w14:paraId="6D1F6F1E" w14:textId="77777777" w:rsidTr="00F95F8E">
        <w:tc>
          <w:tcPr>
            <w:tcW w:w="681" w:type="pct"/>
            <w:vAlign w:val="center"/>
          </w:tcPr>
          <w:p w14:paraId="129FD016" w14:textId="2EDAF7DA" w:rsidR="00AB18AD" w:rsidRDefault="00AB18AD" w:rsidP="00005BEB">
            <w:pPr>
              <w:pStyle w:val="Tabletext0"/>
              <w:spacing w:before="0" w:after="0"/>
            </w:pPr>
            <w:r>
              <w:t>HFH</w:t>
            </w:r>
          </w:p>
        </w:tc>
        <w:tc>
          <w:tcPr>
            <w:tcW w:w="455" w:type="pct"/>
            <w:vAlign w:val="center"/>
          </w:tcPr>
          <w:p w14:paraId="17FE9457" w14:textId="7E0A8099" w:rsidR="00AB18AD" w:rsidRDefault="00AB18AD" w:rsidP="00005BEB">
            <w:pPr>
              <w:pStyle w:val="Tabletext0"/>
              <w:spacing w:before="0" w:after="0"/>
            </w:pPr>
            <w:r>
              <w:t>100 (0.0)</w:t>
            </w:r>
          </w:p>
        </w:tc>
        <w:tc>
          <w:tcPr>
            <w:tcW w:w="436" w:type="pct"/>
            <w:vAlign w:val="center"/>
          </w:tcPr>
          <w:p w14:paraId="1C8D97DD" w14:textId="73F468B0" w:rsidR="00AB18AD" w:rsidRDefault="00AB18AD" w:rsidP="00005BEB">
            <w:pPr>
              <w:pStyle w:val="Tabletext0"/>
              <w:spacing w:before="0" w:after="0"/>
            </w:pPr>
            <w:r>
              <w:t>98.3 (1.2)</w:t>
            </w:r>
          </w:p>
        </w:tc>
        <w:tc>
          <w:tcPr>
            <w:tcW w:w="561" w:type="pct"/>
            <w:gridSpan w:val="2"/>
            <w:vAlign w:val="center"/>
          </w:tcPr>
          <w:p w14:paraId="7F07ACFB" w14:textId="02611291" w:rsidR="00AB18AD" w:rsidRDefault="00AB18AD" w:rsidP="00005BEB">
            <w:pPr>
              <w:pStyle w:val="Tabletext0"/>
              <w:spacing w:before="0" w:after="0"/>
            </w:pPr>
            <w:r>
              <w:t>NR</w:t>
            </w:r>
          </w:p>
        </w:tc>
        <w:tc>
          <w:tcPr>
            <w:tcW w:w="521" w:type="pct"/>
            <w:vAlign w:val="center"/>
          </w:tcPr>
          <w:p w14:paraId="6484261F" w14:textId="6111E412" w:rsidR="00AB18AD" w:rsidRDefault="00AB18AD" w:rsidP="00005BEB">
            <w:pPr>
              <w:pStyle w:val="Tabletext0"/>
              <w:spacing w:before="0" w:after="0"/>
            </w:pPr>
            <w:r>
              <w:t>98.4 (1.6)</w:t>
            </w:r>
          </w:p>
        </w:tc>
        <w:tc>
          <w:tcPr>
            <w:tcW w:w="531" w:type="pct"/>
            <w:vAlign w:val="center"/>
          </w:tcPr>
          <w:p w14:paraId="3CB766BA" w14:textId="06676481" w:rsidR="00AB18AD" w:rsidRDefault="00AB18AD" w:rsidP="00005BEB">
            <w:pPr>
              <w:pStyle w:val="Tabletext0"/>
              <w:spacing w:before="0" w:after="0"/>
            </w:pPr>
            <w:r>
              <w:t>96.8 (2.2)</w:t>
            </w:r>
          </w:p>
        </w:tc>
        <w:tc>
          <w:tcPr>
            <w:tcW w:w="531" w:type="pct"/>
            <w:vAlign w:val="center"/>
          </w:tcPr>
          <w:p w14:paraId="62ECC3E3" w14:textId="47876ACD" w:rsidR="00AB18AD" w:rsidRDefault="00AB18AD" w:rsidP="00005BEB">
            <w:pPr>
              <w:pStyle w:val="Tabletext0"/>
              <w:spacing w:before="0" w:after="0"/>
            </w:pPr>
            <w:r>
              <w:t>NR</w:t>
            </w:r>
          </w:p>
        </w:tc>
        <w:tc>
          <w:tcPr>
            <w:tcW w:w="767" w:type="pct"/>
            <w:gridSpan w:val="2"/>
            <w:vAlign w:val="center"/>
          </w:tcPr>
          <w:p w14:paraId="3023BEE5" w14:textId="04AB5EDE" w:rsidR="00AB18AD" w:rsidRDefault="00AB18AD" w:rsidP="00005BEB">
            <w:pPr>
              <w:pStyle w:val="Tabletext0"/>
              <w:spacing w:before="0" w:after="0"/>
            </w:pPr>
            <w:r>
              <w:t>NR</w:t>
            </w:r>
          </w:p>
        </w:tc>
        <w:tc>
          <w:tcPr>
            <w:tcW w:w="517" w:type="pct"/>
            <w:gridSpan w:val="2"/>
            <w:vAlign w:val="center"/>
          </w:tcPr>
          <w:p w14:paraId="665F3274" w14:textId="29471D15" w:rsidR="00AB18AD" w:rsidRDefault="00AB18AD" w:rsidP="00005BEB">
            <w:pPr>
              <w:pStyle w:val="Tabletext0"/>
              <w:spacing w:before="0" w:after="0"/>
            </w:pPr>
            <w:r>
              <w:t>0.524</w:t>
            </w:r>
          </w:p>
        </w:tc>
      </w:tr>
      <w:tr w:rsidR="00AB18AD" w:rsidRPr="00B1011F" w14:paraId="3F970901" w14:textId="77777777" w:rsidTr="00F95F8E">
        <w:tc>
          <w:tcPr>
            <w:tcW w:w="681" w:type="pct"/>
            <w:vAlign w:val="center"/>
          </w:tcPr>
          <w:p w14:paraId="2D79CBEE" w14:textId="5543AC23" w:rsidR="00AB18AD" w:rsidRDefault="00AB18AD" w:rsidP="00005BEB">
            <w:pPr>
              <w:pStyle w:val="Tabletext0"/>
              <w:spacing w:before="0" w:after="0"/>
            </w:pPr>
            <w:r>
              <w:t>Cardiovascular mortality</w:t>
            </w:r>
          </w:p>
        </w:tc>
        <w:tc>
          <w:tcPr>
            <w:tcW w:w="455" w:type="pct"/>
            <w:vAlign w:val="center"/>
          </w:tcPr>
          <w:p w14:paraId="3491318B" w14:textId="4CECF870" w:rsidR="00AB18AD" w:rsidRDefault="00AB18AD" w:rsidP="00005BEB">
            <w:pPr>
              <w:pStyle w:val="Tabletext0"/>
              <w:spacing w:before="0" w:after="0"/>
            </w:pPr>
            <w:r>
              <w:t>99.1 (0.9)</w:t>
            </w:r>
          </w:p>
        </w:tc>
        <w:tc>
          <w:tcPr>
            <w:tcW w:w="436" w:type="pct"/>
            <w:vAlign w:val="center"/>
          </w:tcPr>
          <w:p w14:paraId="4126714C" w14:textId="06F8CF51" w:rsidR="00AB18AD" w:rsidRDefault="00AB18AD" w:rsidP="00005BEB">
            <w:pPr>
              <w:pStyle w:val="Tabletext0"/>
              <w:spacing w:before="0" w:after="0"/>
            </w:pPr>
            <w:r>
              <w:t>99.1 (0.9)</w:t>
            </w:r>
          </w:p>
        </w:tc>
        <w:tc>
          <w:tcPr>
            <w:tcW w:w="561" w:type="pct"/>
            <w:gridSpan w:val="2"/>
            <w:vAlign w:val="center"/>
          </w:tcPr>
          <w:p w14:paraId="7AD5353E" w14:textId="3FA22385" w:rsidR="00AB18AD" w:rsidRDefault="00AB18AD" w:rsidP="00005BEB">
            <w:pPr>
              <w:pStyle w:val="Tabletext0"/>
              <w:spacing w:before="0" w:after="0"/>
            </w:pPr>
            <w:r>
              <w:t>NR</w:t>
            </w:r>
          </w:p>
        </w:tc>
        <w:tc>
          <w:tcPr>
            <w:tcW w:w="521" w:type="pct"/>
            <w:vAlign w:val="center"/>
          </w:tcPr>
          <w:p w14:paraId="6068740C" w14:textId="23116A82" w:rsidR="00AB18AD" w:rsidRDefault="00AB18AD" w:rsidP="00005BEB">
            <w:pPr>
              <w:pStyle w:val="Tabletext0"/>
              <w:spacing w:before="0" w:after="0"/>
            </w:pPr>
            <w:r>
              <w:t>98.4 (1.6)</w:t>
            </w:r>
          </w:p>
        </w:tc>
        <w:tc>
          <w:tcPr>
            <w:tcW w:w="531" w:type="pct"/>
            <w:vAlign w:val="center"/>
          </w:tcPr>
          <w:p w14:paraId="2238D930" w14:textId="1F47AB23" w:rsidR="00AB18AD" w:rsidRDefault="00AB18AD" w:rsidP="00005BEB">
            <w:pPr>
              <w:pStyle w:val="Tabletext0"/>
              <w:spacing w:before="0" w:after="0"/>
            </w:pPr>
            <w:r>
              <w:t>93.7 (3.1)</w:t>
            </w:r>
          </w:p>
        </w:tc>
        <w:tc>
          <w:tcPr>
            <w:tcW w:w="531" w:type="pct"/>
            <w:vAlign w:val="center"/>
          </w:tcPr>
          <w:p w14:paraId="79F0BE55" w14:textId="29C122B0" w:rsidR="00AB18AD" w:rsidRDefault="00AB18AD" w:rsidP="00005BEB">
            <w:pPr>
              <w:pStyle w:val="Tabletext0"/>
              <w:spacing w:before="0" w:after="0"/>
            </w:pPr>
            <w:r>
              <w:t>NR</w:t>
            </w:r>
          </w:p>
        </w:tc>
        <w:tc>
          <w:tcPr>
            <w:tcW w:w="767" w:type="pct"/>
            <w:gridSpan w:val="2"/>
            <w:vAlign w:val="center"/>
          </w:tcPr>
          <w:p w14:paraId="23C2B00D" w14:textId="0E33B7ED" w:rsidR="00AB18AD" w:rsidRDefault="00AB18AD" w:rsidP="00005BEB">
            <w:pPr>
              <w:pStyle w:val="Tabletext0"/>
              <w:spacing w:before="0" w:after="0"/>
            </w:pPr>
            <w:r>
              <w:t>NR</w:t>
            </w:r>
          </w:p>
        </w:tc>
        <w:tc>
          <w:tcPr>
            <w:tcW w:w="517" w:type="pct"/>
            <w:gridSpan w:val="2"/>
            <w:vAlign w:val="center"/>
          </w:tcPr>
          <w:p w14:paraId="7EE8AF39" w14:textId="3209F293" w:rsidR="00AB18AD" w:rsidRPr="00496BC6" w:rsidRDefault="00AB18AD" w:rsidP="00005BEB">
            <w:pPr>
              <w:pStyle w:val="Tabletext0"/>
              <w:spacing w:before="0" w:after="0"/>
              <w:rPr>
                <w:b/>
                <w:bCs/>
              </w:rPr>
            </w:pPr>
            <w:r w:rsidRPr="00496BC6">
              <w:rPr>
                <w:b/>
                <w:bCs/>
              </w:rPr>
              <w:t>0.035</w:t>
            </w:r>
          </w:p>
        </w:tc>
      </w:tr>
      <w:tr w:rsidR="00AB18AD" w:rsidRPr="00B1011F" w14:paraId="52CCD7B0" w14:textId="77777777" w:rsidTr="00F95F8E">
        <w:tc>
          <w:tcPr>
            <w:tcW w:w="681" w:type="pct"/>
            <w:vAlign w:val="center"/>
          </w:tcPr>
          <w:p w14:paraId="7B64B9C3" w14:textId="5AFFE562" w:rsidR="00AB18AD" w:rsidRDefault="00AB18AD" w:rsidP="00005BEB">
            <w:pPr>
              <w:pStyle w:val="Tabletext0"/>
              <w:spacing w:before="0" w:after="0"/>
            </w:pPr>
            <w:r>
              <w:t>MAE</w:t>
            </w:r>
          </w:p>
        </w:tc>
        <w:tc>
          <w:tcPr>
            <w:tcW w:w="455" w:type="pct"/>
            <w:vAlign w:val="center"/>
          </w:tcPr>
          <w:p w14:paraId="62376174" w14:textId="36DA6B83" w:rsidR="00AB18AD" w:rsidRDefault="00AB18AD" w:rsidP="00005BEB">
            <w:pPr>
              <w:pStyle w:val="Tabletext0"/>
              <w:spacing w:before="0" w:after="0"/>
            </w:pPr>
            <w:r>
              <w:t>96.6</w:t>
            </w:r>
            <w:r w:rsidR="00853CA5">
              <w:t xml:space="preserve"> (1.7)</w:t>
            </w:r>
          </w:p>
        </w:tc>
        <w:tc>
          <w:tcPr>
            <w:tcW w:w="436" w:type="pct"/>
            <w:vAlign w:val="center"/>
          </w:tcPr>
          <w:p w14:paraId="01A28379" w14:textId="556A8B34" w:rsidR="00AB18AD" w:rsidRDefault="00853CA5" w:rsidP="00005BEB">
            <w:pPr>
              <w:pStyle w:val="Tabletext0"/>
              <w:spacing w:before="0" w:after="0"/>
            </w:pPr>
            <w:r>
              <w:t>93.9 (2.2)</w:t>
            </w:r>
          </w:p>
        </w:tc>
        <w:tc>
          <w:tcPr>
            <w:tcW w:w="561" w:type="pct"/>
            <w:gridSpan w:val="2"/>
            <w:vAlign w:val="center"/>
          </w:tcPr>
          <w:p w14:paraId="529A74C0" w14:textId="6FD95384" w:rsidR="00AB18AD" w:rsidRDefault="00853CA5" w:rsidP="00005BEB">
            <w:pPr>
              <w:pStyle w:val="Tabletext0"/>
              <w:spacing w:before="0" w:after="0"/>
            </w:pPr>
            <w:r>
              <w:t>NR</w:t>
            </w:r>
          </w:p>
        </w:tc>
        <w:tc>
          <w:tcPr>
            <w:tcW w:w="521" w:type="pct"/>
            <w:vAlign w:val="center"/>
          </w:tcPr>
          <w:p w14:paraId="0A7DC1A5" w14:textId="63F12F0A" w:rsidR="00AB18AD" w:rsidRDefault="00853CA5" w:rsidP="00005BEB">
            <w:pPr>
              <w:pStyle w:val="Tabletext0"/>
              <w:spacing w:before="0" w:after="0"/>
            </w:pPr>
            <w:r>
              <w:t>95.2 (2.7)</w:t>
            </w:r>
          </w:p>
        </w:tc>
        <w:tc>
          <w:tcPr>
            <w:tcW w:w="531" w:type="pct"/>
            <w:vAlign w:val="center"/>
          </w:tcPr>
          <w:p w14:paraId="157A985B" w14:textId="71BD3227" w:rsidR="00AB18AD" w:rsidRDefault="00853CA5" w:rsidP="00005BEB">
            <w:pPr>
              <w:pStyle w:val="Tabletext0"/>
              <w:spacing w:before="0" w:after="0"/>
            </w:pPr>
            <w:r>
              <w:t>88.9 (4.0)</w:t>
            </w:r>
          </w:p>
        </w:tc>
        <w:tc>
          <w:tcPr>
            <w:tcW w:w="531" w:type="pct"/>
            <w:vAlign w:val="center"/>
          </w:tcPr>
          <w:p w14:paraId="1B33A47E" w14:textId="025AD7A6" w:rsidR="00AB18AD" w:rsidRDefault="00853CA5" w:rsidP="00005BEB">
            <w:pPr>
              <w:pStyle w:val="Tabletext0"/>
              <w:spacing w:before="0" w:after="0"/>
            </w:pPr>
            <w:r>
              <w:t>NR</w:t>
            </w:r>
          </w:p>
        </w:tc>
        <w:tc>
          <w:tcPr>
            <w:tcW w:w="767" w:type="pct"/>
            <w:gridSpan w:val="2"/>
            <w:vAlign w:val="center"/>
          </w:tcPr>
          <w:p w14:paraId="273A298D" w14:textId="610F9C09" w:rsidR="00AB18AD" w:rsidRDefault="00853CA5" w:rsidP="00005BEB">
            <w:pPr>
              <w:pStyle w:val="Tabletext0"/>
              <w:spacing w:before="0" w:after="0"/>
            </w:pPr>
            <w:r>
              <w:t>NR</w:t>
            </w:r>
          </w:p>
        </w:tc>
        <w:tc>
          <w:tcPr>
            <w:tcW w:w="517" w:type="pct"/>
            <w:gridSpan w:val="2"/>
            <w:vAlign w:val="center"/>
          </w:tcPr>
          <w:p w14:paraId="7D58CD67" w14:textId="76D1413E" w:rsidR="00AB18AD" w:rsidRDefault="00853CA5" w:rsidP="00005BEB">
            <w:pPr>
              <w:pStyle w:val="Tabletext0"/>
              <w:spacing w:before="0" w:after="0"/>
            </w:pPr>
            <w:r>
              <w:t>0.231</w:t>
            </w:r>
          </w:p>
        </w:tc>
      </w:tr>
    </w:tbl>
    <w:p w14:paraId="27BCD91E" w14:textId="7B4CF508" w:rsidR="00ED6C1C" w:rsidRPr="00C30158" w:rsidRDefault="00C30158" w:rsidP="00427322">
      <w:pPr>
        <w:pStyle w:val="Tablenotes0"/>
        <w:rPr>
          <w:lang w:val="en-US"/>
        </w:rPr>
      </w:pPr>
      <w:r>
        <w:rPr>
          <w:lang w:val="en-US"/>
        </w:rPr>
        <w:t xml:space="preserve">NR: Not Reported, HFH: Heart Failure Hospitalization. </w:t>
      </w:r>
      <w:r w:rsidR="00A665FB" w:rsidRPr="00496BC6">
        <w:rPr>
          <w:lang w:val="en-US"/>
        </w:rPr>
        <w:t>Source: Pre-ESC response by Applicant, Lim (2022)</w:t>
      </w:r>
    </w:p>
    <w:p w14:paraId="0DFB7584" w14:textId="69313887" w:rsidR="00646367" w:rsidRDefault="00646367" w:rsidP="00AF7DAE">
      <w:pPr>
        <w:pStyle w:val="Heading3"/>
      </w:pPr>
      <w:bookmarkStart w:id="36" w:name="_Hlk115172655"/>
      <w:r>
        <w:lastRenderedPageBreak/>
        <w:t>MAIC</w:t>
      </w:r>
      <w:r w:rsidR="006C4BE4">
        <w:t xml:space="preserve"> </w:t>
      </w:r>
      <w:bookmarkEnd w:id="36"/>
      <w:r w:rsidR="00336F11">
        <w:t>of the safety outcomes</w:t>
      </w:r>
      <w:r w:rsidR="006C4BE4">
        <w:t xml:space="preserve"> </w:t>
      </w:r>
    </w:p>
    <w:p w14:paraId="02D80C3E" w14:textId="105D037B" w:rsidR="00646367" w:rsidRDefault="00646367" w:rsidP="00646367">
      <w:pPr>
        <w:spacing w:after="240"/>
      </w:pPr>
      <w:r>
        <w:t xml:space="preserve">Safety outcomes used in the MAIC analyses </w:t>
      </w:r>
      <w:r w:rsidRPr="003E2369">
        <w:t>include</w:t>
      </w:r>
      <w:r w:rsidR="00AD4429">
        <w:t>d</w:t>
      </w:r>
      <w:r w:rsidRPr="003E2369">
        <w:t xml:space="preserve"> overall survival</w:t>
      </w:r>
      <w:r>
        <w:t xml:space="preserve"> (OS)</w:t>
      </w:r>
      <w:r w:rsidR="00B50440">
        <w:t xml:space="preserve"> and</w:t>
      </w:r>
      <w:r w:rsidRPr="003E2369">
        <w:t xml:space="preserve"> MAEs at 30 days</w:t>
      </w:r>
      <w:r>
        <w:t>.</w:t>
      </w:r>
      <w:r w:rsidRPr="000058CC">
        <w:t xml:space="preserve"> </w:t>
      </w:r>
      <w:r>
        <w:t xml:space="preserve">Unanchored MAIC analyses of overall survival and MAEs </w:t>
      </w:r>
      <w:r w:rsidRPr="00F86B1E">
        <w:t>included both the results of the base-case and sensitivity matching</w:t>
      </w:r>
      <w:r>
        <w:t xml:space="preserve">. In the pre-ESC response, the results presented in the previous ADAR were updated according to the “reconstructed” definition of MAE in the CLASP study. </w:t>
      </w:r>
      <w:r w:rsidR="006C4BE4">
        <w:t xml:space="preserve">Only these </w:t>
      </w:r>
      <w:r w:rsidR="00D35DE2">
        <w:t xml:space="preserve">MAE </w:t>
      </w:r>
      <w:r w:rsidR="006C4BE4">
        <w:t xml:space="preserve">results are included </w:t>
      </w:r>
      <w:r w:rsidR="004D2587">
        <w:t>below</w:t>
      </w:r>
      <w:r w:rsidR="006C4BE4">
        <w:t>.</w:t>
      </w:r>
    </w:p>
    <w:p w14:paraId="66E23C2C" w14:textId="5BF1D272" w:rsidR="00646367" w:rsidRDefault="00646367" w:rsidP="00AF7DAE">
      <w:pPr>
        <w:pStyle w:val="Heading4"/>
      </w:pPr>
      <w:r w:rsidRPr="00537345">
        <w:t>Overall survival</w:t>
      </w:r>
      <w:r w:rsidR="001B37F1" w:rsidRPr="001B37F1">
        <w:t xml:space="preserve"> in the FMR population (CLASP vs COAPT)</w:t>
      </w:r>
    </w:p>
    <w:p w14:paraId="102B4B8A" w14:textId="2DFEB9D5" w:rsidR="00646367" w:rsidRDefault="00646367" w:rsidP="004807F5">
      <w:pPr>
        <w:shd w:val="clear" w:color="auto" w:fill="B4C6E7" w:themeFill="accent5" w:themeFillTint="66"/>
      </w:pPr>
      <w:r>
        <w:t xml:space="preserve">The Kaplan-Meier (K-M) curves for overall survival </w:t>
      </w:r>
      <w:r w:rsidR="00D56500">
        <w:t xml:space="preserve">(OS) </w:t>
      </w:r>
      <w:r>
        <w:t xml:space="preserve">to 24 months in the CLASP and COAPT studies </w:t>
      </w:r>
      <w:r w:rsidR="004D2587">
        <w:t>remain unchanged from the</w:t>
      </w:r>
      <w:r>
        <w:t xml:space="preserve"> previous ADAR </w:t>
      </w:r>
      <w:r w:rsidR="004D2587">
        <w:t xml:space="preserve">and </w:t>
      </w:r>
      <w:r w:rsidR="00D56500">
        <w:t>are</w:t>
      </w:r>
      <w:r w:rsidR="004D2587">
        <w:t xml:space="preserve"> presented in </w:t>
      </w:r>
      <w:r w:rsidR="00663160">
        <w:fldChar w:fldCharType="begin"/>
      </w:r>
      <w:r w:rsidR="00663160">
        <w:instrText xml:space="preserve"> REF _Ref111528767 \h </w:instrText>
      </w:r>
      <w:r w:rsidR="00CD759E">
        <w:instrText xml:space="preserve"> \* MERGEFORMAT </w:instrText>
      </w:r>
      <w:r w:rsidR="00663160">
        <w:fldChar w:fldCharType="separate"/>
      </w:r>
      <w:r w:rsidR="0019519D">
        <w:rPr>
          <w:b/>
          <w:bCs/>
          <w:lang w:val="en-US"/>
        </w:rPr>
        <w:fldChar w:fldCharType="begin"/>
      </w:r>
      <w:r w:rsidR="0019519D">
        <w:instrText xml:space="preserve"> REF _Ref113353283 \h </w:instrText>
      </w:r>
      <w:r w:rsidR="0019519D">
        <w:rPr>
          <w:b/>
          <w:bCs/>
          <w:lang w:val="en-US"/>
        </w:rPr>
      </w:r>
      <w:r w:rsidR="0019519D">
        <w:rPr>
          <w:b/>
          <w:bCs/>
          <w:lang w:val="en-US"/>
        </w:rPr>
        <w:fldChar w:fldCharType="separate"/>
      </w:r>
      <w:r w:rsidR="0019519D">
        <w:t xml:space="preserve">Figure </w:t>
      </w:r>
      <w:r w:rsidR="0019519D">
        <w:rPr>
          <w:noProof/>
        </w:rPr>
        <w:t>1</w:t>
      </w:r>
      <w:r w:rsidR="0019519D">
        <w:rPr>
          <w:b/>
          <w:bCs/>
          <w:lang w:val="en-US"/>
        </w:rPr>
        <w:fldChar w:fldCharType="end"/>
      </w:r>
      <w:r w:rsidR="00663160">
        <w:fldChar w:fldCharType="end"/>
      </w:r>
      <w:r w:rsidR="0093454E">
        <w:t xml:space="preserve"> and </w:t>
      </w:r>
      <w:r w:rsidR="0093454E">
        <w:fldChar w:fldCharType="begin"/>
      </w:r>
      <w:r w:rsidR="0093454E">
        <w:instrText xml:space="preserve"> REF _Ref113386466 \h </w:instrText>
      </w:r>
      <w:r w:rsidR="0093454E">
        <w:fldChar w:fldCharType="separate"/>
      </w:r>
      <w:r w:rsidR="0093454E">
        <w:t xml:space="preserve">Figure </w:t>
      </w:r>
      <w:r w:rsidR="0093454E">
        <w:rPr>
          <w:noProof/>
        </w:rPr>
        <w:t>2</w:t>
      </w:r>
      <w:r w:rsidR="0093454E">
        <w:fldChar w:fldCharType="end"/>
      </w:r>
      <w:r w:rsidR="0093454E">
        <w:t>.</w:t>
      </w:r>
    </w:p>
    <w:p w14:paraId="6F86A019" w14:textId="6FF6CFA6" w:rsidR="002B2ADD" w:rsidRPr="00427322" w:rsidRDefault="002E4F96">
      <w:r w:rsidRPr="00427322">
        <w:t xml:space="preserve">The MAIC estimated that overall survival at 24 months for </w:t>
      </w:r>
      <w:proofErr w:type="spellStart"/>
      <w:r w:rsidRPr="00427322">
        <w:t>TMVr</w:t>
      </w:r>
      <w:proofErr w:type="spellEnd"/>
      <w:r w:rsidRPr="00427322">
        <w:t xml:space="preserve"> using PASCAL (CLASP and CLASP weighted) at approximately 90%. This was much higher than the reported overall survival of 72.3% for the FMR subpopulation in the CLASP study. </w:t>
      </w:r>
      <w:r w:rsidR="006E1F86" w:rsidRPr="00427322">
        <w:t>Although i</w:t>
      </w:r>
      <w:r w:rsidRPr="00427322">
        <w:t>t is reasonable to expect that population matching would impact on the survival estimate</w:t>
      </w:r>
      <w:r w:rsidR="00BF119B">
        <w:t>,</w:t>
      </w:r>
      <w:r w:rsidRPr="00427322">
        <w:t xml:space="preserve"> the difference of survival improving by almost 18% is a substantial change that should be explained.</w:t>
      </w:r>
      <w:r w:rsidR="00D762AB" w:rsidRPr="00427322">
        <w:t xml:space="preserve"> Additionally, although the number of patients at risk for CLASP at zero months was consistent with the FMR subpopulation (n=85), the numbers of patients at risk 12 (n=57 vs n=64) and 24 months (n=20 vs n=29) differed from the FMR subpopulation (</w:t>
      </w:r>
      <w:r w:rsidR="00D762AB" w:rsidRPr="00427322">
        <w:fldChar w:fldCharType="begin"/>
      </w:r>
      <w:r w:rsidR="00D762AB" w:rsidRPr="00427322">
        <w:instrText xml:space="preserve"> REF _Ref113386466 \h  \* MERGEFORMAT </w:instrText>
      </w:r>
      <w:r w:rsidR="00D762AB" w:rsidRPr="00427322">
        <w:fldChar w:fldCharType="separate"/>
      </w:r>
      <w:r w:rsidR="00D762AB" w:rsidRPr="00427322">
        <w:t xml:space="preserve">Figure </w:t>
      </w:r>
      <w:r w:rsidR="00D762AB" w:rsidRPr="00427322">
        <w:rPr>
          <w:noProof/>
        </w:rPr>
        <w:t>2</w:t>
      </w:r>
      <w:r w:rsidR="00D762AB" w:rsidRPr="00427322">
        <w:fldChar w:fldCharType="end"/>
      </w:r>
      <w:r w:rsidR="00D762AB" w:rsidRPr="00427322">
        <w:t xml:space="preserve">). </w:t>
      </w:r>
      <w:r w:rsidR="00004F17" w:rsidRPr="00427322">
        <w:t xml:space="preserve">Additionally, </w:t>
      </w:r>
      <w:r w:rsidRPr="00427322">
        <w:t>the K-M curve</w:t>
      </w:r>
      <w:r w:rsidR="006E1F86" w:rsidRPr="00427322">
        <w:t>s</w:t>
      </w:r>
      <w:r w:rsidRPr="00427322">
        <w:t xml:space="preserve"> for CLASP</w:t>
      </w:r>
      <w:r w:rsidR="00004F17" w:rsidRPr="00427322">
        <w:t xml:space="preserve"> (</w:t>
      </w:r>
      <w:r w:rsidR="00004F17" w:rsidRPr="00427322">
        <w:fldChar w:fldCharType="begin"/>
      </w:r>
      <w:r w:rsidR="00004F17" w:rsidRPr="00427322">
        <w:instrText xml:space="preserve"> REF _Ref113386749 \h  \* MERGEFORMAT </w:instrText>
      </w:r>
      <w:r w:rsidR="00004F17" w:rsidRPr="00427322">
        <w:fldChar w:fldCharType="separate"/>
      </w:r>
      <w:r w:rsidR="00004F17" w:rsidRPr="00427322">
        <w:t xml:space="preserve">Figure </w:t>
      </w:r>
      <w:r w:rsidR="00004F17" w:rsidRPr="00427322">
        <w:rPr>
          <w:noProof/>
        </w:rPr>
        <w:t>1</w:t>
      </w:r>
      <w:r w:rsidR="00004F17" w:rsidRPr="00427322">
        <w:fldChar w:fldCharType="end"/>
      </w:r>
      <w:r w:rsidR="00004F17" w:rsidRPr="00427322">
        <w:t>)</w:t>
      </w:r>
      <w:r w:rsidRPr="00427322">
        <w:t xml:space="preserve"> remains fixed at just under 90% from the 12</w:t>
      </w:r>
      <w:r w:rsidRPr="00427322">
        <w:rPr>
          <w:vertAlign w:val="superscript"/>
        </w:rPr>
        <w:t>th</w:t>
      </w:r>
      <w:r w:rsidRPr="00427322">
        <w:t xml:space="preserve"> month through the 24</w:t>
      </w:r>
      <w:r w:rsidRPr="00427322">
        <w:rPr>
          <w:vertAlign w:val="superscript"/>
        </w:rPr>
        <w:t>th</w:t>
      </w:r>
      <w:r w:rsidRPr="00427322">
        <w:t xml:space="preserve"> month and beyond</w:t>
      </w:r>
      <w:r w:rsidR="00004F17" w:rsidRPr="00427322">
        <w:t xml:space="preserve"> in the MAIC</w:t>
      </w:r>
      <w:r w:rsidRPr="00427322">
        <w:t xml:space="preserve">. </w:t>
      </w:r>
      <w:r w:rsidR="00004F17" w:rsidRPr="00427322">
        <w:t xml:space="preserve">However, the number of patients at risk in </w:t>
      </w:r>
      <w:r w:rsidRPr="00427322">
        <w:t>the first (coloured in red) decline from 57 at 12</w:t>
      </w:r>
      <w:r w:rsidRPr="00427322">
        <w:rPr>
          <w:vertAlign w:val="superscript"/>
        </w:rPr>
        <w:t>th</w:t>
      </w:r>
      <w:r w:rsidRPr="00427322">
        <w:t xml:space="preserve"> month to 20 at the 24</w:t>
      </w:r>
      <w:r w:rsidRPr="00427322">
        <w:rPr>
          <w:vertAlign w:val="superscript"/>
        </w:rPr>
        <w:t>th</w:t>
      </w:r>
      <w:r w:rsidRPr="00427322">
        <w:t xml:space="preserve"> month.</w:t>
      </w:r>
    </w:p>
    <w:p w14:paraId="704EF938" w14:textId="565B5C81" w:rsidR="00646367" w:rsidRDefault="00646367" w:rsidP="00921FBD">
      <w:pPr>
        <w:pStyle w:val="Caption"/>
        <w:keepNext w:val="0"/>
        <w:shd w:val="clear" w:color="auto" w:fill="B4C6E7" w:themeFill="accent5" w:themeFillTint="66"/>
      </w:pPr>
      <w:bookmarkStart w:id="37" w:name="_Ref113386749"/>
      <w:bookmarkStart w:id="38" w:name="_Ref113353283"/>
      <w:bookmarkStart w:id="39" w:name="_Hlk136341195"/>
      <w:r>
        <w:t xml:space="preserve">Figure </w:t>
      </w:r>
      <w:fldSimple w:instr=" SEQ Figure \* ARABIC ">
        <w:r w:rsidR="006E1F86">
          <w:rPr>
            <w:noProof/>
          </w:rPr>
          <w:t>1</w:t>
        </w:r>
      </w:fldSimple>
      <w:bookmarkEnd w:id="37"/>
      <w:bookmarkEnd w:id="38"/>
      <w:r>
        <w:tab/>
        <w:t>K-M overall survival in CLASP original numbers at risk; weighted numbers for MAIC and COAPT original numbers at risk (base case)</w:t>
      </w:r>
      <w:bookmarkEnd w:id="39"/>
      <w:r w:rsidRPr="00CD4D66">
        <w:t xml:space="preserve"> </w:t>
      </w:r>
    </w:p>
    <w:p w14:paraId="133D292F" w14:textId="0EF8FEE8" w:rsidR="00E80FC7" w:rsidRDefault="00921FBD" w:rsidP="00921FBD">
      <w:pPr>
        <w:rPr>
          <w:rFonts w:ascii="Arial Narrow" w:hAnsi="Arial Narrow"/>
          <w:sz w:val="18"/>
          <w:szCs w:val="18"/>
        </w:rPr>
      </w:pPr>
      <w:r>
        <w:rPr>
          <w:noProof/>
        </w:rPr>
        <w:drawing>
          <wp:inline distT="0" distB="0" distL="0" distR="0" wp14:anchorId="6DF71866" wp14:editId="5A56D335">
            <wp:extent cx="5926455" cy="3723005"/>
            <wp:effectExtent l="0" t="0" r="0" b="0"/>
            <wp:docPr id="1" name="Picture 1" descr="K-M overall survival in CLASP original numbers at risk; weighted numbers for MAIC and COAPT original numbers at risk (base ca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M overall survival in CLASP original numbers at risk; weighted numbers for MAIC and COAPT original numbers at risk (base case) "/>
                    <pic:cNvPicPr/>
                  </pic:nvPicPr>
                  <pic:blipFill>
                    <a:blip r:embed="rId15"/>
                    <a:stretch>
                      <a:fillRect/>
                    </a:stretch>
                  </pic:blipFill>
                  <pic:spPr>
                    <a:xfrm>
                      <a:off x="0" y="0"/>
                      <a:ext cx="5926455" cy="3723005"/>
                    </a:xfrm>
                    <a:prstGeom prst="rect">
                      <a:avLst/>
                    </a:prstGeom>
                  </pic:spPr>
                </pic:pic>
              </a:graphicData>
            </a:graphic>
          </wp:inline>
        </w:drawing>
      </w:r>
      <w:r w:rsidR="00E80FC7" w:rsidRPr="00E75418">
        <w:rPr>
          <w:rFonts w:ascii="Arial Narrow" w:hAnsi="Arial Narrow"/>
          <w:sz w:val="18"/>
          <w:szCs w:val="18"/>
        </w:rPr>
        <w:t xml:space="preserve">Source: </w:t>
      </w:r>
      <w:r w:rsidR="00E75418" w:rsidRPr="00E75418">
        <w:rPr>
          <w:rFonts w:ascii="Arial Narrow" w:hAnsi="Arial Narrow"/>
          <w:sz w:val="18"/>
          <w:szCs w:val="18"/>
        </w:rPr>
        <w:t>ADAR</w:t>
      </w:r>
    </w:p>
    <w:p w14:paraId="07F37FBB" w14:textId="513C1C33" w:rsidR="006E1F86" w:rsidRDefault="006E1F86" w:rsidP="00A64CAC">
      <w:pPr>
        <w:pStyle w:val="Caption"/>
        <w:keepLines/>
        <w:shd w:val="clear" w:color="auto" w:fill="B4C6E7" w:themeFill="accent5" w:themeFillTint="66"/>
      </w:pPr>
      <w:bookmarkStart w:id="40" w:name="_Ref113386466"/>
      <w:bookmarkStart w:id="41" w:name="_Ref113386462"/>
      <w:r>
        <w:lastRenderedPageBreak/>
        <w:t xml:space="preserve">Figure </w:t>
      </w:r>
      <w:fldSimple w:instr=" SEQ Figure \* ARABIC ">
        <w:r>
          <w:rPr>
            <w:noProof/>
          </w:rPr>
          <w:t>2</w:t>
        </w:r>
      </w:fldSimple>
      <w:bookmarkEnd w:id="40"/>
      <w:r>
        <w:tab/>
      </w:r>
      <w:r w:rsidRPr="006E1F86">
        <w:t>Kaplan-Meier curve of overall survival to 24 months in the CLASP study</w:t>
      </w:r>
      <w:bookmarkEnd w:id="41"/>
    </w:p>
    <w:p w14:paraId="790A87A1" w14:textId="6056F9A2" w:rsidR="00BA5F7E" w:rsidRPr="00E80FC7" w:rsidRDefault="00E80FC7" w:rsidP="00A64CAC">
      <w:pPr>
        <w:keepNext/>
        <w:keepLines/>
        <w:rPr>
          <w:b/>
          <w:bCs/>
        </w:rPr>
      </w:pPr>
      <w:r>
        <w:rPr>
          <w:rFonts w:ascii="Calibri" w:eastAsia="Calibri" w:hAnsi="Calibri" w:cs="Arial"/>
          <w:b/>
          <w:bCs/>
          <w:noProof/>
        </w:rPr>
        <w:t>Redacted</w:t>
      </w:r>
      <w:r>
        <w:rPr>
          <w:rStyle w:val="FootnoteReference"/>
          <w:rFonts w:ascii="Calibri" w:eastAsia="Calibri" w:hAnsi="Calibri" w:cs="Arial"/>
          <w:b/>
          <w:bCs/>
          <w:noProof/>
        </w:rPr>
        <w:footnoteReference w:id="7"/>
      </w:r>
    </w:p>
    <w:p w14:paraId="20BBDE1E" w14:textId="2205C56D" w:rsidR="00646367" w:rsidRPr="00B74C19" w:rsidRDefault="00FB3390" w:rsidP="00921FBD">
      <w:r>
        <w:fldChar w:fldCharType="begin"/>
      </w:r>
      <w:r>
        <w:instrText xml:space="preserve"> REF _Ref113338286 \h </w:instrText>
      </w:r>
      <w:r>
        <w:fldChar w:fldCharType="separate"/>
      </w:r>
      <w:r w:rsidR="0019519D">
        <w:t xml:space="preserve">Table </w:t>
      </w:r>
      <w:r w:rsidR="0019519D">
        <w:rPr>
          <w:noProof/>
        </w:rPr>
        <w:t>8</w:t>
      </w:r>
      <w:r>
        <w:fldChar w:fldCharType="end"/>
      </w:r>
      <w:r w:rsidR="00646367">
        <w:t xml:space="preserve"> </w:t>
      </w:r>
      <w:r w:rsidR="00646367" w:rsidRPr="00B74C19">
        <w:t xml:space="preserve">replicates the hazard ratios as reported in the </w:t>
      </w:r>
      <w:r w:rsidR="00646367">
        <w:t>previous</w:t>
      </w:r>
      <w:r w:rsidR="00646367" w:rsidRPr="00B74C19">
        <w:t xml:space="preserve"> ADAR</w:t>
      </w:r>
      <w:r w:rsidR="00646367">
        <w:t>,</w:t>
      </w:r>
      <w:r w:rsidR="00646367" w:rsidRPr="00B74C19">
        <w:t xml:space="preserve"> indicating that those treated with </w:t>
      </w:r>
      <w:r w:rsidR="00646367">
        <w:t xml:space="preserve">the </w:t>
      </w:r>
      <w:r w:rsidR="00646367" w:rsidRPr="00B74C19">
        <w:t xml:space="preserve">PASCAL system had better overall survival compared with the </w:t>
      </w:r>
      <w:proofErr w:type="spellStart"/>
      <w:r w:rsidR="00646367" w:rsidRPr="00B74C19">
        <w:t>MitraClip</w:t>
      </w:r>
      <w:proofErr w:type="spellEnd"/>
      <w:r w:rsidR="00646367" w:rsidRPr="00B74C19">
        <w:t xml:space="preserve"> population, which was statistically significant based on the 95% CI values. </w:t>
      </w:r>
    </w:p>
    <w:p w14:paraId="6244F9A4" w14:textId="13694C42" w:rsidR="00646367" w:rsidRDefault="00FB3390" w:rsidP="00CD759E">
      <w:pPr>
        <w:pStyle w:val="Caption"/>
      </w:pPr>
      <w:bookmarkStart w:id="42" w:name="_Ref113338286"/>
      <w:r>
        <w:t xml:space="preserve">Table </w:t>
      </w:r>
      <w:fldSimple w:instr=" SEQ Table \* ARABIC ">
        <w:r w:rsidR="007512A8">
          <w:rPr>
            <w:noProof/>
          </w:rPr>
          <w:t>8</w:t>
        </w:r>
      </w:fldSimple>
      <w:bookmarkEnd w:id="42"/>
      <w:r w:rsidR="00646367">
        <w:tab/>
        <w:t>OS h</w:t>
      </w:r>
      <w:r w:rsidR="00646367" w:rsidRPr="00AB54AF">
        <w:t>azard ratios with 95% CI’s for the comparison of CLASP (PASCAL) with COAPT (</w:t>
      </w:r>
      <w:proofErr w:type="spellStart"/>
      <w:r w:rsidR="00646367" w:rsidRPr="00AB54AF">
        <w:t>MitraClip</w:t>
      </w:r>
      <w:proofErr w:type="spellEnd"/>
      <w:r w:rsidR="00646367" w:rsidRPr="00AB54AF">
        <w:t xml:space="preserve">) </w:t>
      </w:r>
    </w:p>
    <w:tbl>
      <w:tblPr>
        <w:tblStyle w:val="TableGrid27"/>
        <w:tblW w:w="9067" w:type="dxa"/>
        <w:tblLook w:val="04A0" w:firstRow="1" w:lastRow="0" w:firstColumn="1" w:lastColumn="0" w:noHBand="0" w:noVBand="1"/>
      </w:tblPr>
      <w:tblGrid>
        <w:gridCol w:w="3681"/>
        <w:gridCol w:w="2410"/>
        <w:gridCol w:w="2976"/>
      </w:tblGrid>
      <w:tr w:rsidR="00646367" w:rsidRPr="00F83D38" w14:paraId="689AD056" w14:textId="77777777" w:rsidTr="00091167">
        <w:trPr>
          <w:tblHeader/>
        </w:trPr>
        <w:tc>
          <w:tcPr>
            <w:tcW w:w="3681" w:type="dxa"/>
            <w:vAlign w:val="center"/>
          </w:tcPr>
          <w:p w14:paraId="0B29F321" w14:textId="77777777" w:rsidR="00646367" w:rsidRPr="00F83D38" w:rsidRDefault="00646367" w:rsidP="00CD759E">
            <w:pPr>
              <w:pStyle w:val="TableHeading"/>
              <w:spacing w:before="40" w:after="40"/>
            </w:pPr>
            <w:r>
              <w:t>Matching</w:t>
            </w:r>
          </w:p>
        </w:tc>
        <w:tc>
          <w:tcPr>
            <w:tcW w:w="2410" w:type="dxa"/>
            <w:vAlign w:val="center"/>
          </w:tcPr>
          <w:p w14:paraId="6360F7B4" w14:textId="77777777" w:rsidR="00646367" w:rsidRPr="00F83D38" w:rsidRDefault="00646367" w:rsidP="00CD759E">
            <w:pPr>
              <w:pStyle w:val="TableHeading"/>
              <w:spacing w:before="40" w:after="40"/>
              <w:jc w:val="center"/>
            </w:pPr>
            <w:r w:rsidRPr="00F83D38">
              <w:t>Method</w:t>
            </w:r>
          </w:p>
        </w:tc>
        <w:tc>
          <w:tcPr>
            <w:tcW w:w="2976" w:type="dxa"/>
          </w:tcPr>
          <w:p w14:paraId="1A0B8F82" w14:textId="77777777" w:rsidR="00646367" w:rsidRDefault="00646367" w:rsidP="00CD759E">
            <w:pPr>
              <w:pStyle w:val="TableHeading"/>
              <w:spacing w:before="40" w:after="40"/>
              <w:jc w:val="center"/>
            </w:pPr>
            <w:r w:rsidRPr="00F83D38">
              <w:t>Hazard ratio (95% CI)</w:t>
            </w:r>
          </w:p>
          <w:p w14:paraId="488D1CE8" w14:textId="5EB062AA" w:rsidR="00646367" w:rsidRPr="00126986" w:rsidRDefault="00646367" w:rsidP="00CD759E">
            <w:pPr>
              <w:pStyle w:val="TableHeading"/>
              <w:spacing w:before="40" w:after="40"/>
              <w:jc w:val="center"/>
              <w:rPr>
                <w:b w:val="0"/>
                <w:bCs/>
                <w:i/>
                <w:iCs/>
              </w:rPr>
            </w:pPr>
            <w:r w:rsidRPr="00126986">
              <w:rPr>
                <w:b w:val="0"/>
                <w:i/>
                <w:iCs/>
              </w:rPr>
              <w:t xml:space="preserve">As in the </w:t>
            </w:r>
            <w:r w:rsidR="00FB3390">
              <w:rPr>
                <w:b w:val="0"/>
                <w:i/>
                <w:iCs/>
              </w:rPr>
              <w:t>previous</w:t>
            </w:r>
            <w:r w:rsidRPr="00126986">
              <w:rPr>
                <w:b w:val="0"/>
                <w:i/>
                <w:iCs/>
              </w:rPr>
              <w:t xml:space="preserve"> ADAR</w:t>
            </w:r>
          </w:p>
        </w:tc>
      </w:tr>
      <w:tr w:rsidR="00646367" w:rsidRPr="00F83D38" w14:paraId="1A518917" w14:textId="77777777" w:rsidTr="00091167">
        <w:tc>
          <w:tcPr>
            <w:tcW w:w="3681" w:type="dxa"/>
            <w:vMerge w:val="restart"/>
          </w:tcPr>
          <w:p w14:paraId="16376E34" w14:textId="77777777" w:rsidR="00646367" w:rsidRDefault="00646367" w:rsidP="004807F5">
            <w:pPr>
              <w:pStyle w:val="Tabletext0"/>
              <w:keepNext/>
              <w:shd w:val="clear" w:color="auto" w:fill="B4C6E7" w:themeFill="accent5" w:themeFillTint="66"/>
            </w:pPr>
            <w:r>
              <w:t xml:space="preserve">Base case </w:t>
            </w:r>
          </w:p>
          <w:p w14:paraId="678B7723" w14:textId="77777777" w:rsidR="00646367" w:rsidRPr="00F83D38" w:rsidRDefault="00646367" w:rsidP="004807F5">
            <w:pPr>
              <w:pStyle w:val="Tabletext0"/>
              <w:keepNext/>
              <w:shd w:val="clear" w:color="auto" w:fill="B4C6E7" w:themeFill="accent5" w:themeFillTint="66"/>
            </w:pPr>
            <w:r>
              <w:t>(</w:t>
            </w:r>
            <w:r w:rsidRPr="00126986">
              <w:t>MI, COPD, CVA/TIA, NYHA class, and LVEF</w:t>
            </w:r>
            <w:r>
              <w:t>)</w:t>
            </w:r>
          </w:p>
        </w:tc>
        <w:tc>
          <w:tcPr>
            <w:tcW w:w="2410" w:type="dxa"/>
          </w:tcPr>
          <w:p w14:paraId="6C666708" w14:textId="77777777" w:rsidR="00646367" w:rsidRPr="00F83D38" w:rsidRDefault="00646367" w:rsidP="004807F5">
            <w:pPr>
              <w:pStyle w:val="Tabletext0"/>
              <w:keepNext/>
              <w:shd w:val="clear" w:color="auto" w:fill="B4C6E7" w:themeFill="accent5" w:themeFillTint="66"/>
              <w:jc w:val="center"/>
            </w:pPr>
            <w:r>
              <w:t>U</w:t>
            </w:r>
            <w:r w:rsidRPr="00F83D38">
              <w:t>nadjusted Cox model</w:t>
            </w:r>
          </w:p>
        </w:tc>
        <w:tc>
          <w:tcPr>
            <w:tcW w:w="2976" w:type="dxa"/>
            <w:shd w:val="clear" w:color="auto" w:fill="B4C6E7" w:themeFill="accent5" w:themeFillTint="66"/>
          </w:tcPr>
          <w:p w14:paraId="2F8B9EA2" w14:textId="77777777" w:rsidR="00646367" w:rsidRPr="00F83D38" w:rsidRDefault="00646367" w:rsidP="004807F5">
            <w:pPr>
              <w:pStyle w:val="Tabletext0"/>
              <w:keepNext/>
              <w:shd w:val="clear" w:color="auto" w:fill="B4C6E7" w:themeFill="accent5" w:themeFillTint="66"/>
              <w:jc w:val="center"/>
            </w:pPr>
            <w:r w:rsidRPr="00F83D38">
              <w:t>0.44 (0.22 to 0.88)</w:t>
            </w:r>
          </w:p>
        </w:tc>
      </w:tr>
      <w:tr w:rsidR="00646367" w:rsidRPr="00F83D38" w14:paraId="04CF6803" w14:textId="77777777" w:rsidTr="00091167">
        <w:tc>
          <w:tcPr>
            <w:tcW w:w="3681" w:type="dxa"/>
            <w:vMerge/>
          </w:tcPr>
          <w:p w14:paraId="450501D6" w14:textId="77777777" w:rsidR="00646367" w:rsidRPr="00F83D38" w:rsidRDefault="00646367" w:rsidP="004807F5">
            <w:pPr>
              <w:pStyle w:val="Tabletext0"/>
              <w:keepNext/>
              <w:shd w:val="clear" w:color="auto" w:fill="B4C6E7" w:themeFill="accent5" w:themeFillTint="66"/>
            </w:pPr>
          </w:p>
        </w:tc>
        <w:tc>
          <w:tcPr>
            <w:tcW w:w="2410" w:type="dxa"/>
          </w:tcPr>
          <w:p w14:paraId="6C243758" w14:textId="77777777" w:rsidR="00646367" w:rsidRPr="00F83D38" w:rsidRDefault="00646367" w:rsidP="004807F5">
            <w:pPr>
              <w:pStyle w:val="Tabletext0"/>
              <w:keepNext/>
              <w:shd w:val="clear" w:color="auto" w:fill="B4C6E7" w:themeFill="accent5" w:themeFillTint="66"/>
              <w:jc w:val="center"/>
            </w:pPr>
            <w:r>
              <w:t>W</w:t>
            </w:r>
            <w:r w:rsidRPr="00F83D38">
              <w:t>eighted Cox model</w:t>
            </w:r>
          </w:p>
        </w:tc>
        <w:tc>
          <w:tcPr>
            <w:tcW w:w="2976" w:type="dxa"/>
            <w:shd w:val="clear" w:color="auto" w:fill="B4C6E7" w:themeFill="accent5" w:themeFillTint="66"/>
          </w:tcPr>
          <w:p w14:paraId="446C2B8C" w14:textId="77777777" w:rsidR="00646367" w:rsidRPr="00F83D38" w:rsidRDefault="00646367" w:rsidP="004807F5">
            <w:pPr>
              <w:pStyle w:val="Tabletext0"/>
              <w:keepNext/>
              <w:shd w:val="clear" w:color="auto" w:fill="B4C6E7" w:themeFill="accent5" w:themeFillTint="66"/>
              <w:jc w:val="center"/>
            </w:pPr>
            <w:r w:rsidRPr="00F83D38">
              <w:t>0.33 (0.15 to 0.76)</w:t>
            </w:r>
          </w:p>
        </w:tc>
      </w:tr>
      <w:tr w:rsidR="00646367" w:rsidRPr="00F83D38" w14:paraId="22BAC051" w14:textId="77777777" w:rsidTr="00091167">
        <w:tc>
          <w:tcPr>
            <w:tcW w:w="3681" w:type="dxa"/>
            <w:vMerge w:val="restart"/>
          </w:tcPr>
          <w:p w14:paraId="23D5FFE0" w14:textId="77777777" w:rsidR="00646367" w:rsidRDefault="00646367" w:rsidP="004807F5">
            <w:pPr>
              <w:pStyle w:val="Tabletext0"/>
              <w:keepNext/>
              <w:shd w:val="clear" w:color="auto" w:fill="B4C6E7" w:themeFill="accent5" w:themeFillTint="66"/>
            </w:pPr>
            <w:r>
              <w:t>Sensitivity analysis</w:t>
            </w:r>
          </w:p>
          <w:p w14:paraId="63C60479" w14:textId="77777777" w:rsidR="00646367" w:rsidRPr="0026142F" w:rsidRDefault="00646367" w:rsidP="004807F5">
            <w:pPr>
              <w:pStyle w:val="Tabletext0"/>
              <w:keepNext/>
              <w:shd w:val="clear" w:color="auto" w:fill="B4C6E7" w:themeFill="accent5" w:themeFillTint="66"/>
            </w:pPr>
            <w:r>
              <w:t>(as above + STS score)</w:t>
            </w:r>
          </w:p>
        </w:tc>
        <w:tc>
          <w:tcPr>
            <w:tcW w:w="2410" w:type="dxa"/>
          </w:tcPr>
          <w:p w14:paraId="3EA67677" w14:textId="77777777" w:rsidR="00646367" w:rsidRPr="00F83D38" w:rsidRDefault="00646367" w:rsidP="004807F5">
            <w:pPr>
              <w:pStyle w:val="Tabletext0"/>
              <w:keepNext/>
              <w:shd w:val="clear" w:color="auto" w:fill="B4C6E7" w:themeFill="accent5" w:themeFillTint="66"/>
              <w:jc w:val="center"/>
            </w:pPr>
            <w:r>
              <w:t>U</w:t>
            </w:r>
            <w:r w:rsidRPr="0026142F">
              <w:t>nadjusted Cox model</w:t>
            </w:r>
          </w:p>
        </w:tc>
        <w:tc>
          <w:tcPr>
            <w:tcW w:w="2976" w:type="dxa"/>
            <w:shd w:val="clear" w:color="auto" w:fill="B4C6E7" w:themeFill="accent5" w:themeFillTint="66"/>
          </w:tcPr>
          <w:p w14:paraId="131B8B46" w14:textId="77777777" w:rsidR="00646367" w:rsidRPr="00F83D38" w:rsidRDefault="00646367" w:rsidP="004807F5">
            <w:pPr>
              <w:pStyle w:val="Tabletext0"/>
              <w:keepNext/>
              <w:shd w:val="clear" w:color="auto" w:fill="B4C6E7" w:themeFill="accent5" w:themeFillTint="66"/>
              <w:jc w:val="center"/>
            </w:pPr>
            <w:r w:rsidRPr="0026142F">
              <w:t>0.44 (0.22 to 0.88)</w:t>
            </w:r>
          </w:p>
        </w:tc>
      </w:tr>
      <w:tr w:rsidR="00646367" w:rsidRPr="00F83D38" w14:paraId="741C80E9" w14:textId="77777777" w:rsidTr="00091167">
        <w:tc>
          <w:tcPr>
            <w:tcW w:w="3681" w:type="dxa"/>
            <w:vMerge/>
          </w:tcPr>
          <w:p w14:paraId="7170ACA1" w14:textId="77777777" w:rsidR="00646367" w:rsidRPr="0026142F" w:rsidRDefault="00646367" w:rsidP="004807F5">
            <w:pPr>
              <w:pStyle w:val="Tabletext0"/>
              <w:keepNext/>
              <w:shd w:val="clear" w:color="auto" w:fill="B4C6E7" w:themeFill="accent5" w:themeFillTint="66"/>
            </w:pPr>
          </w:p>
        </w:tc>
        <w:tc>
          <w:tcPr>
            <w:tcW w:w="2410" w:type="dxa"/>
          </w:tcPr>
          <w:p w14:paraId="0A9B8817" w14:textId="77777777" w:rsidR="00646367" w:rsidRPr="00F83D38" w:rsidRDefault="00646367" w:rsidP="004807F5">
            <w:pPr>
              <w:pStyle w:val="Tabletext0"/>
              <w:keepNext/>
              <w:shd w:val="clear" w:color="auto" w:fill="B4C6E7" w:themeFill="accent5" w:themeFillTint="66"/>
              <w:jc w:val="center"/>
            </w:pPr>
            <w:r>
              <w:t>W</w:t>
            </w:r>
            <w:r w:rsidRPr="0026142F">
              <w:t>eighted Cox model</w:t>
            </w:r>
          </w:p>
        </w:tc>
        <w:tc>
          <w:tcPr>
            <w:tcW w:w="2976" w:type="dxa"/>
            <w:shd w:val="clear" w:color="auto" w:fill="B4C6E7" w:themeFill="accent5" w:themeFillTint="66"/>
          </w:tcPr>
          <w:p w14:paraId="0BC0878A" w14:textId="77777777" w:rsidR="00646367" w:rsidRPr="00F83D38" w:rsidRDefault="00646367" w:rsidP="004807F5">
            <w:pPr>
              <w:pStyle w:val="Tabletext0"/>
              <w:keepNext/>
              <w:shd w:val="clear" w:color="auto" w:fill="B4C6E7" w:themeFill="accent5" w:themeFillTint="66"/>
              <w:jc w:val="center"/>
            </w:pPr>
            <w:r w:rsidRPr="0026142F">
              <w:t>0.</w:t>
            </w:r>
            <w:r>
              <w:t>40</w:t>
            </w:r>
            <w:r w:rsidRPr="0026142F">
              <w:t xml:space="preserve"> (0.16 to 0.9</w:t>
            </w:r>
            <w:r>
              <w:t>8</w:t>
            </w:r>
            <w:r w:rsidRPr="0026142F">
              <w:t>)</w:t>
            </w:r>
          </w:p>
        </w:tc>
      </w:tr>
    </w:tbl>
    <w:p w14:paraId="048A6B4D" w14:textId="77777777" w:rsidR="00646367" w:rsidRPr="00AA31C8" w:rsidRDefault="00646367" w:rsidP="00646367">
      <w:pPr>
        <w:pStyle w:val="Tablenotes"/>
      </w:pPr>
      <w:r w:rsidRPr="00AA31C8">
        <w:t xml:space="preserve">CI=confidence interval; OS=overall survival </w:t>
      </w:r>
    </w:p>
    <w:p w14:paraId="21F50178" w14:textId="0DD914A7" w:rsidR="00646367" w:rsidRDefault="00646367" w:rsidP="00646367">
      <w:pPr>
        <w:pStyle w:val="Tablenotes"/>
      </w:pPr>
      <w:r w:rsidRPr="00AA31C8">
        <w:t>Source: Table 2-29 and Table 2-30 of the 1662.1 ADAR</w:t>
      </w:r>
      <w:r w:rsidR="00C36F38">
        <w:t>; Table 4 PSD</w:t>
      </w:r>
    </w:p>
    <w:p w14:paraId="5BFA02F0" w14:textId="0181BC42" w:rsidR="00FB3390" w:rsidRPr="00427322" w:rsidRDefault="00FB3390" w:rsidP="00646367">
      <w:pPr>
        <w:pStyle w:val="Tablenotes"/>
      </w:pPr>
      <w:r w:rsidRPr="00427322">
        <w:t xml:space="preserve">Cells </w:t>
      </w:r>
      <w:r w:rsidRPr="00427322">
        <w:rPr>
          <w:shd w:val="clear" w:color="auto" w:fill="B4C6E7" w:themeFill="accent5" w:themeFillTint="66"/>
        </w:rPr>
        <w:t>shaded in blue</w:t>
      </w:r>
      <w:r w:rsidRPr="00427322">
        <w:t xml:space="preserve"> represent results previously considered by MSAC</w:t>
      </w:r>
    </w:p>
    <w:p w14:paraId="51043546" w14:textId="64434381" w:rsidR="00646367" w:rsidRPr="007C72A2" w:rsidRDefault="00646367" w:rsidP="007C72A2">
      <w:pPr>
        <w:pStyle w:val="Heading4"/>
      </w:pPr>
      <w:r w:rsidRPr="007C72A2">
        <w:t>Major adverse events (MAEs) at 30 days</w:t>
      </w:r>
      <w:r w:rsidR="00C36F38">
        <w:t xml:space="preserve"> in the FMR population</w:t>
      </w:r>
      <w:r w:rsidR="00A51667">
        <w:t xml:space="preserve"> </w:t>
      </w:r>
      <w:r w:rsidR="00A51667" w:rsidRPr="001B37F1">
        <w:t>(CLASP vs COAPT)</w:t>
      </w:r>
      <w:r w:rsidR="00C36F38">
        <w:t xml:space="preserve"> </w:t>
      </w:r>
      <w:r w:rsidRPr="007C72A2">
        <w:t xml:space="preserve"> </w:t>
      </w:r>
    </w:p>
    <w:p w14:paraId="297CA4B5" w14:textId="30F5AC86" w:rsidR="00646367" w:rsidRDefault="00FB3390" w:rsidP="004807F5">
      <w:pPr>
        <w:shd w:val="clear" w:color="auto" w:fill="B4C6E7" w:themeFill="accent5" w:themeFillTint="66"/>
      </w:pPr>
      <w:r>
        <w:fldChar w:fldCharType="begin"/>
      </w:r>
      <w:r>
        <w:instrText xml:space="preserve"> REF _Ref113338305 \h </w:instrText>
      </w:r>
      <w:r w:rsidR="00004F17">
        <w:instrText xml:space="preserve"> \* MERGEFORMAT </w:instrText>
      </w:r>
      <w:r>
        <w:fldChar w:fldCharType="separate"/>
      </w:r>
      <w:r w:rsidR="0019519D">
        <w:t xml:space="preserve">Table </w:t>
      </w:r>
      <w:r w:rsidR="0019519D">
        <w:rPr>
          <w:noProof/>
        </w:rPr>
        <w:t>9</w:t>
      </w:r>
      <w:r>
        <w:fldChar w:fldCharType="end"/>
      </w:r>
      <w:r w:rsidR="003E40CB">
        <w:t xml:space="preserve"> shows 30-day MAE rates and results of </w:t>
      </w:r>
      <w:r w:rsidR="00646367">
        <w:t xml:space="preserve">logistic regression analyses in the </w:t>
      </w:r>
      <w:r w:rsidR="003E40CB">
        <w:t xml:space="preserve">FMR </w:t>
      </w:r>
      <w:r w:rsidR="00646367">
        <w:t>population matched by the selected baseline characteristics</w:t>
      </w:r>
      <w:r w:rsidR="003E40CB">
        <w:t>. Both base-case and sensitivity analyses were using the reconstructed MAE outcomes</w:t>
      </w:r>
      <w:r w:rsidR="00646367">
        <w:t xml:space="preserve">. </w:t>
      </w:r>
      <w:r w:rsidR="003E40CB">
        <w:t>These r</w:t>
      </w:r>
      <w:r w:rsidR="00646367">
        <w:t xml:space="preserve">esults </w:t>
      </w:r>
      <w:r>
        <w:t>remain unchanged from the previous ADAR.</w:t>
      </w:r>
      <w:r w:rsidR="003E40CB">
        <w:t xml:space="preserve"> </w:t>
      </w:r>
    </w:p>
    <w:p w14:paraId="2DC78B46" w14:textId="4B6810D9" w:rsidR="00646367" w:rsidRDefault="00FB3390" w:rsidP="00FB3390">
      <w:pPr>
        <w:pStyle w:val="Caption"/>
      </w:pPr>
      <w:bookmarkStart w:id="43" w:name="_Ref113338305"/>
      <w:r>
        <w:t xml:space="preserve">Table </w:t>
      </w:r>
      <w:fldSimple w:instr=" SEQ Table \* ARABIC ">
        <w:r w:rsidR="007512A8">
          <w:rPr>
            <w:noProof/>
          </w:rPr>
          <w:t>9</w:t>
        </w:r>
      </w:fldSimple>
      <w:bookmarkEnd w:id="43"/>
      <w:r w:rsidR="00646367">
        <w:tab/>
        <w:t>MAIC of reconstructed MAEs</w:t>
      </w:r>
      <w:r w:rsidR="0057086C">
        <w:t>*</w:t>
      </w:r>
      <w:r w:rsidR="00646367">
        <w:t xml:space="preserve"> </w:t>
      </w:r>
      <w:r w:rsidR="0057086C">
        <w:t>in</w:t>
      </w:r>
      <w:r w:rsidR="00646367">
        <w:t xml:space="preserve"> CLASP and COAPT at 30-days</w:t>
      </w:r>
    </w:p>
    <w:tbl>
      <w:tblPr>
        <w:tblStyle w:val="Style2"/>
        <w:tblW w:w="0" w:type="auto"/>
        <w:tblBorders>
          <w:left w:val="single" w:sz="4" w:space="0" w:color="auto"/>
          <w:right w:val="single" w:sz="4" w:space="0" w:color="auto"/>
          <w:insideV w:val="single" w:sz="4" w:space="0" w:color="auto"/>
        </w:tblBorders>
        <w:tblLook w:val="04A0" w:firstRow="1" w:lastRow="0" w:firstColumn="1" w:lastColumn="0" w:noHBand="0" w:noVBand="1"/>
      </w:tblPr>
      <w:tblGrid>
        <w:gridCol w:w="2944"/>
        <w:gridCol w:w="2242"/>
        <w:gridCol w:w="1915"/>
        <w:gridCol w:w="1915"/>
      </w:tblGrid>
      <w:tr w:rsidR="00646367" w:rsidRPr="00F32A99" w14:paraId="5C03909F" w14:textId="77777777" w:rsidTr="003540E7">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944" w:type="dxa"/>
          </w:tcPr>
          <w:p w14:paraId="5B36B5E6" w14:textId="77777777" w:rsidR="00646367" w:rsidRPr="00F32A99" w:rsidRDefault="00646367" w:rsidP="00091167">
            <w:pPr>
              <w:keepNext/>
              <w:spacing w:before="40" w:after="40"/>
              <w:rPr>
                <w:rFonts w:ascii="Arial Narrow" w:hAnsi="Arial Narrow"/>
                <w:bCs/>
              </w:rPr>
            </w:pPr>
            <w:r w:rsidRPr="00F32A99">
              <w:rPr>
                <w:rFonts w:ascii="Arial Narrow" w:hAnsi="Arial Narrow"/>
                <w:bCs/>
              </w:rPr>
              <w:t>Outcome</w:t>
            </w:r>
          </w:p>
        </w:tc>
        <w:tc>
          <w:tcPr>
            <w:tcW w:w="2242" w:type="dxa"/>
          </w:tcPr>
          <w:p w14:paraId="5CED1E9B" w14:textId="77777777" w:rsidR="00646367" w:rsidRPr="00F32A99" w:rsidRDefault="00646367" w:rsidP="00091167">
            <w:pPr>
              <w:keepNext/>
              <w:spacing w:before="40" w:after="40"/>
              <w:cnfStyle w:val="100000000000" w:firstRow="1" w:lastRow="0" w:firstColumn="0" w:lastColumn="0" w:oddVBand="0" w:evenVBand="0" w:oddHBand="0" w:evenHBand="0" w:firstRowFirstColumn="0" w:firstRowLastColumn="0" w:lastRowFirstColumn="0" w:lastRowLastColumn="0"/>
              <w:rPr>
                <w:rFonts w:ascii="Arial Narrow" w:hAnsi="Arial Narrow"/>
                <w:bCs/>
              </w:rPr>
            </w:pPr>
            <w:r w:rsidRPr="00F32A99">
              <w:rPr>
                <w:rFonts w:ascii="Arial Narrow" w:hAnsi="Arial Narrow"/>
                <w:bCs/>
              </w:rPr>
              <w:t>CLASP (weighted)</w:t>
            </w:r>
          </w:p>
        </w:tc>
        <w:tc>
          <w:tcPr>
            <w:tcW w:w="1915" w:type="dxa"/>
          </w:tcPr>
          <w:p w14:paraId="0FBC0949" w14:textId="77777777" w:rsidR="00646367" w:rsidRPr="00F32A99" w:rsidRDefault="00646367" w:rsidP="00091167">
            <w:pPr>
              <w:keepNext/>
              <w:spacing w:before="40" w:after="40"/>
              <w:cnfStyle w:val="100000000000" w:firstRow="1" w:lastRow="0" w:firstColumn="0" w:lastColumn="0" w:oddVBand="0" w:evenVBand="0" w:oddHBand="0" w:evenHBand="0" w:firstRowFirstColumn="0" w:firstRowLastColumn="0" w:lastRowFirstColumn="0" w:lastRowLastColumn="0"/>
              <w:rPr>
                <w:rFonts w:ascii="Arial Narrow" w:hAnsi="Arial Narrow"/>
                <w:bCs/>
              </w:rPr>
            </w:pPr>
            <w:r w:rsidRPr="00F32A99">
              <w:rPr>
                <w:rFonts w:ascii="Arial Narrow" w:hAnsi="Arial Narrow"/>
                <w:bCs/>
              </w:rPr>
              <w:t>COAPT</w:t>
            </w:r>
          </w:p>
        </w:tc>
        <w:tc>
          <w:tcPr>
            <w:tcW w:w="1915" w:type="dxa"/>
          </w:tcPr>
          <w:p w14:paraId="3BBCFB5A" w14:textId="77777777" w:rsidR="00646367" w:rsidRPr="00F32A99" w:rsidRDefault="00646367" w:rsidP="00091167">
            <w:pPr>
              <w:keepNext/>
              <w:spacing w:before="40" w:after="40"/>
              <w:cnfStyle w:val="100000000000" w:firstRow="1" w:lastRow="0" w:firstColumn="0" w:lastColumn="0" w:oddVBand="0" w:evenVBand="0" w:oddHBand="0" w:evenHBand="0" w:firstRowFirstColumn="0" w:firstRowLastColumn="0" w:lastRowFirstColumn="0" w:lastRowLastColumn="0"/>
              <w:rPr>
                <w:rFonts w:ascii="Arial Narrow" w:hAnsi="Arial Narrow"/>
                <w:bCs/>
              </w:rPr>
            </w:pPr>
            <w:r w:rsidRPr="00F32A99">
              <w:rPr>
                <w:rFonts w:ascii="Arial Narrow" w:hAnsi="Arial Narrow"/>
                <w:bCs/>
              </w:rPr>
              <w:t>OR (95% CI)</w:t>
            </w:r>
          </w:p>
        </w:tc>
      </w:tr>
      <w:tr w:rsidR="00646367" w:rsidRPr="00F32A99" w14:paraId="09EBDEFE" w14:textId="77777777" w:rsidTr="00091167">
        <w:tc>
          <w:tcPr>
            <w:cnfStyle w:val="001000000000" w:firstRow="0" w:lastRow="0" w:firstColumn="1" w:lastColumn="0" w:oddVBand="0" w:evenVBand="0" w:oddHBand="0" w:evenHBand="0" w:firstRowFirstColumn="0" w:firstRowLastColumn="0" w:lastRowFirstColumn="0" w:lastRowLastColumn="0"/>
            <w:tcW w:w="2944" w:type="dxa"/>
          </w:tcPr>
          <w:p w14:paraId="0FD0174E" w14:textId="77777777" w:rsidR="00646367" w:rsidRPr="00F32A99" w:rsidRDefault="00646367" w:rsidP="00091167">
            <w:pPr>
              <w:keepNext/>
              <w:spacing w:before="40" w:after="40"/>
              <w:rPr>
                <w:rFonts w:ascii="Arial Narrow" w:hAnsi="Arial Narrow"/>
              </w:rPr>
            </w:pPr>
            <w:r w:rsidRPr="00F32A99">
              <w:rPr>
                <w:rFonts w:ascii="Arial Narrow" w:hAnsi="Arial Narrow"/>
                <w:lang w:eastAsia="en-AU"/>
              </w:rPr>
              <w:t>MAE at 30-days (base case)</w:t>
            </w:r>
          </w:p>
        </w:tc>
        <w:tc>
          <w:tcPr>
            <w:tcW w:w="2242" w:type="dxa"/>
            <w:shd w:val="clear" w:color="auto" w:fill="B4C6E7" w:themeFill="accent5" w:themeFillTint="66"/>
          </w:tcPr>
          <w:p w14:paraId="3D1AC242" w14:textId="77777777" w:rsidR="00646367" w:rsidRPr="00F32A99" w:rsidRDefault="00646367" w:rsidP="00091167">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32A99">
              <w:rPr>
                <w:rFonts w:ascii="Arial Narrow" w:hAnsi="Arial Narrow"/>
              </w:rPr>
              <w:t>2.91%</w:t>
            </w:r>
          </w:p>
        </w:tc>
        <w:tc>
          <w:tcPr>
            <w:tcW w:w="1915" w:type="dxa"/>
            <w:shd w:val="clear" w:color="auto" w:fill="B4C6E7" w:themeFill="accent5" w:themeFillTint="66"/>
          </w:tcPr>
          <w:p w14:paraId="469B3D49" w14:textId="77777777" w:rsidR="00646367" w:rsidRPr="00F32A99" w:rsidRDefault="00646367" w:rsidP="00091167">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32A99">
              <w:rPr>
                <w:rFonts w:ascii="Arial Narrow" w:hAnsi="Arial Narrow"/>
              </w:rPr>
              <w:t>2.98%</w:t>
            </w:r>
          </w:p>
        </w:tc>
        <w:tc>
          <w:tcPr>
            <w:tcW w:w="1915" w:type="dxa"/>
            <w:shd w:val="clear" w:color="auto" w:fill="B4C6E7" w:themeFill="accent5" w:themeFillTint="66"/>
          </w:tcPr>
          <w:p w14:paraId="4C8AF528" w14:textId="77777777" w:rsidR="00646367" w:rsidRPr="00F32A99" w:rsidRDefault="00646367" w:rsidP="00091167">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32A99">
              <w:rPr>
                <w:rFonts w:ascii="Arial Narrow" w:hAnsi="Arial Narrow"/>
              </w:rPr>
              <w:t>0.98 (0.20, 4.87)</w:t>
            </w:r>
          </w:p>
        </w:tc>
      </w:tr>
      <w:tr w:rsidR="00646367" w:rsidRPr="00F32A99" w14:paraId="53DD8FF0" w14:textId="77777777" w:rsidTr="00091167">
        <w:tc>
          <w:tcPr>
            <w:cnfStyle w:val="001000000000" w:firstRow="0" w:lastRow="0" w:firstColumn="1" w:lastColumn="0" w:oddVBand="0" w:evenVBand="0" w:oddHBand="0" w:evenHBand="0" w:firstRowFirstColumn="0" w:firstRowLastColumn="0" w:lastRowFirstColumn="0" w:lastRowLastColumn="0"/>
            <w:tcW w:w="2944" w:type="dxa"/>
          </w:tcPr>
          <w:p w14:paraId="38D6797C" w14:textId="77777777" w:rsidR="00646367" w:rsidRPr="00F32A99" w:rsidRDefault="00646367" w:rsidP="00091167">
            <w:pPr>
              <w:keepNext/>
              <w:spacing w:before="40" w:after="40"/>
              <w:rPr>
                <w:rFonts w:ascii="Arial Narrow" w:hAnsi="Arial Narrow"/>
                <w:lang w:eastAsia="en-AU"/>
              </w:rPr>
            </w:pPr>
            <w:r w:rsidRPr="00F32A99">
              <w:rPr>
                <w:rFonts w:ascii="Arial Narrow" w:hAnsi="Arial Narrow"/>
                <w:lang w:eastAsia="en-AU"/>
              </w:rPr>
              <w:t>MAE at 30-days (sensitivity)</w:t>
            </w:r>
          </w:p>
        </w:tc>
        <w:tc>
          <w:tcPr>
            <w:tcW w:w="2242" w:type="dxa"/>
            <w:shd w:val="clear" w:color="auto" w:fill="B4C6E7" w:themeFill="accent5" w:themeFillTint="66"/>
          </w:tcPr>
          <w:p w14:paraId="16FF6144" w14:textId="77777777" w:rsidR="00646367" w:rsidRPr="00F32A99" w:rsidRDefault="00646367" w:rsidP="00091167">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32A99">
              <w:rPr>
                <w:rFonts w:ascii="Arial Narrow" w:hAnsi="Arial Narrow"/>
              </w:rPr>
              <w:t>3.54%</w:t>
            </w:r>
          </w:p>
        </w:tc>
        <w:tc>
          <w:tcPr>
            <w:tcW w:w="1915" w:type="dxa"/>
            <w:shd w:val="clear" w:color="auto" w:fill="B4C6E7" w:themeFill="accent5" w:themeFillTint="66"/>
          </w:tcPr>
          <w:p w14:paraId="5E4331A9" w14:textId="77777777" w:rsidR="00646367" w:rsidRPr="00F32A99" w:rsidRDefault="00646367" w:rsidP="00091167">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32A99">
              <w:rPr>
                <w:rFonts w:ascii="Arial Narrow" w:hAnsi="Arial Narrow"/>
              </w:rPr>
              <w:t>2.98%</w:t>
            </w:r>
          </w:p>
        </w:tc>
        <w:tc>
          <w:tcPr>
            <w:tcW w:w="1915" w:type="dxa"/>
            <w:shd w:val="clear" w:color="auto" w:fill="B4C6E7" w:themeFill="accent5" w:themeFillTint="66"/>
          </w:tcPr>
          <w:p w14:paraId="52D516EE" w14:textId="77777777" w:rsidR="00646367" w:rsidRPr="00F32A99" w:rsidRDefault="00646367" w:rsidP="00091167">
            <w:pPr>
              <w:keepNext/>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32A99">
              <w:rPr>
                <w:rFonts w:ascii="Arial Narrow" w:hAnsi="Arial Narrow"/>
              </w:rPr>
              <w:t>1.19 (0.22, 6.43)</w:t>
            </w:r>
          </w:p>
        </w:tc>
      </w:tr>
    </w:tbl>
    <w:p w14:paraId="75E7BE1B" w14:textId="77777777" w:rsidR="00646367" w:rsidRPr="00AA31C8" w:rsidRDefault="00646367" w:rsidP="00091167">
      <w:pPr>
        <w:pStyle w:val="Tablenotes"/>
        <w:keepNext/>
      </w:pPr>
      <w:r w:rsidRPr="00AA31C8">
        <w:t>CI=confidence interval; MAE=major adverse event; MAIC, matching adjusted indirect comparison; OR, odds ratio</w:t>
      </w:r>
    </w:p>
    <w:p w14:paraId="5674FC6E" w14:textId="51370871" w:rsidR="00646367" w:rsidRDefault="00646367" w:rsidP="00091167">
      <w:pPr>
        <w:pStyle w:val="Tablenotes"/>
        <w:keepNext/>
      </w:pPr>
      <w:r w:rsidRPr="00AA31C8">
        <w:t>Source: Table 2-24; Attachment 2.4 – Additional MAIC analyses</w:t>
      </w:r>
      <w:r w:rsidR="00FD79ED">
        <w:t>; Table 6 PSD</w:t>
      </w:r>
    </w:p>
    <w:p w14:paraId="474BB007" w14:textId="6A890040" w:rsidR="0057086C" w:rsidRDefault="0057086C" w:rsidP="00FB3390">
      <w:pPr>
        <w:pStyle w:val="Tablenotes"/>
        <w:keepNext/>
      </w:pPr>
      <w:r>
        <w:t>*</w:t>
      </w:r>
      <w:r w:rsidRPr="0057086C">
        <w:t>“reconstructed” MAE outcome</w:t>
      </w:r>
      <w:r>
        <w:t xml:space="preserve"> in CLASP </w:t>
      </w:r>
      <w:r w:rsidRPr="0057086C">
        <w:t xml:space="preserve">included all-cause mortality, stroke, myocardial infarction, and reintervention for study device-related complications </w:t>
      </w:r>
      <w:r>
        <w:t xml:space="preserve">and </w:t>
      </w:r>
      <w:r w:rsidRPr="0057086C">
        <w:t>was compared against the secondary endpoint from the COAPT study: “death from any cause, stroke, myocardial infarction, and nonelective cardiovascular surgery for a device-related complication”.</w:t>
      </w:r>
    </w:p>
    <w:p w14:paraId="78C52E46" w14:textId="77777777" w:rsidR="00FB3390" w:rsidRPr="00427322" w:rsidRDefault="00FB3390" w:rsidP="00FB3390">
      <w:pPr>
        <w:pStyle w:val="Tablenotes"/>
      </w:pPr>
      <w:r w:rsidRPr="00427322">
        <w:t xml:space="preserve">Cells </w:t>
      </w:r>
      <w:r w:rsidRPr="00427322">
        <w:rPr>
          <w:shd w:val="clear" w:color="auto" w:fill="B4C6E7" w:themeFill="accent5" w:themeFillTint="66"/>
        </w:rPr>
        <w:t>shaded in blue</w:t>
      </w:r>
      <w:r w:rsidRPr="00427322">
        <w:t xml:space="preserve"> represent results previously considered by MSAC</w:t>
      </w:r>
    </w:p>
    <w:p w14:paraId="180394C2" w14:textId="66C6C353" w:rsidR="00A337F9" w:rsidRDefault="00646367" w:rsidP="00A64CAC">
      <w:pPr>
        <w:spacing w:before="240"/>
      </w:pPr>
      <w:r w:rsidRPr="004807F5">
        <w:rPr>
          <w:shd w:val="clear" w:color="auto" w:fill="B4C6E7" w:themeFill="accent5" w:themeFillTint="66"/>
          <w:lang w:eastAsia="en-AU"/>
        </w:rPr>
        <w:t xml:space="preserve">PASCAL patients had slightly lower odds of experiencing an MAE at 30 days in the base-case (2.91% vs 2.98% in </w:t>
      </w:r>
      <w:proofErr w:type="spellStart"/>
      <w:r w:rsidRPr="004807F5">
        <w:rPr>
          <w:shd w:val="clear" w:color="auto" w:fill="B4C6E7" w:themeFill="accent5" w:themeFillTint="66"/>
          <w:lang w:eastAsia="en-AU"/>
        </w:rPr>
        <w:t>MitraClip</w:t>
      </w:r>
      <w:proofErr w:type="spellEnd"/>
      <w:r w:rsidRPr="004807F5">
        <w:rPr>
          <w:shd w:val="clear" w:color="auto" w:fill="B4C6E7" w:themeFill="accent5" w:themeFillTint="66"/>
          <w:lang w:eastAsia="en-AU"/>
        </w:rPr>
        <w:t>), however the difference was not significant (OR, 0.98; 95% CI, 0.20 –</w:t>
      </w:r>
      <w:r w:rsidRPr="004807F5">
        <w:rPr>
          <w:shd w:val="clear" w:color="auto" w:fill="B4C6E7" w:themeFill="accent5" w:themeFillTint="66"/>
        </w:rPr>
        <w:t xml:space="preserve"> 4.87). In contrast, in the sensitivity analysis, where </w:t>
      </w:r>
      <w:r w:rsidRPr="004807F5">
        <w:rPr>
          <w:shd w:val="clear" w:color="auto" w:fill="B4C6E7" w:themeFill="accent5" w:themeFillTint="66"/>
          <w:lang w:eastAsia="en-AU"/>
        </w:rPr>
        <w:t>STS scores were included in the match,</w:t>
      </w:r>
      <w:r w:rsidRPr="004807F5">
        <w:rPr>
          <w:shd w:val="clear" w:color="auto" w:fill="B4C6E7" w:themeFill="accent5" w:themeFillTint="66"/>
        </w:rPr>
        <w:t xml:space="preserve"> the </w:t>
      </w:r>
      <w:r w:rsidRPr="004807F5">
        <w:rPr>
          <w:shd w:val="clear" w:color="auto" w:fill="B4C6E7" w:themeFill="accent5" w:themeFillTint="66"/>
          <w:lang w:eastAsia="en-AU"/>
        </w:rPr>
        <w:t>odds of experiencing an MAE at 30 days were higher in PASCAL patients but the difference remained non-significant (OR, 1.19; 95% CI, 0.22 –</w:t>
      </w:r>
      <w:r w:rsidRPr="004807F5">
        <w:rPr>
          <w:shd w:val="clear" w:color="auto" w:fill="B4C6E7" w:themeFill="accent5" w:themeFillTint="66"/>
        </w:rPr>
        <w:t xml:space="preserve"> 6.43).</w:t>
      </w:r>
      <w:r>
        <w:t xml:space="preserve"> </w:t>
      </w:r>
      <w:r w:rsidR="00E31A2B" w:rsidRPr="00427322">
        <w:t xml:space="preserve">Change of direction </w:t>
      </w:r>
      <w:r w:rsidR="00CD759E" w:rsidRPr="00427322">
        <w:t xml:space="preserve">likely </w:t>
      </w:r>
      <w:r w:rsidR="00E31A2B" w:rsidRPr="00427322">
        <w:t>confirms the assumption that STS score is likely to be a covariate that needs to be controlled for.</w:t>
      </w:r>
      <w:r w:rsidR="00E31A2B">
        <w:t xml:space="preserve"> </w:t>
      </w:r>
    </w:p>
    <w:p w14:paraId="19AD04F6" w14:textId="0348FB69" w:rsidR="00AB370E" w:rsidRDefault="00AB370E" w:rsidP="00AB370E">
      <w:pPr>
        <w:pStyle w:val="Heading4"/>
      </w:pPr>
      <w:r w:rsidRPr="00537345">
        <w:t>Overall survival</w:t>
      </w:r>
      <w:r w:rsidRPr="001B37F1">
        <w:t xml:space="preserve"> in the </w:t>
      </w:r>
      <w:r w:rsidR="00DB6AA9">
        <w:t>mixed</w:t>
      </w:r>
      <w:r w:rsidRPr="001B37F1">
        <w:t xml:space="preserve"> population (CLASP vs </w:t>
      </w:r>
      <w:r w:rsidR="00DB6AA9">
        <w:t>EVEREST-II</w:t>
      </w:r>
      <w:r w:rsidRPr="001B37F1">
        <w:t>)</w:t>
      </w:r>
    </w:p>
    <w:p w14:paraId="68613E14" w14:textId="5A5FDA65" w:rsidR="00646367" w:rsidRDefault="00646367" w:rsidP="004807F5">
      <w:pPr>
        <w:shd w:val="clear" w:color="auto" w:fill="B4C6E7" w:themeFill="accent5" w:themeFillTint="66"/>
      </w:pPr>
      <w:r>
        <w:t xml:space="preserve">The Kaplan-Meier (K-M) curves for overall survival to 36 months in the CLASP and EVEREST-II </w:t>
      </w:r>
      <w:r w:rsidR="00FB3390">
        <w:t>remain unchanged from the previous ADAR and are presented in</w:t>
      </w:r>
      <w:r w:rsidR="0093454E">
        <w:t xml:space="preserve"> </w:t>
      </w:r>
      <w:r w:rsidR="0093454E">
        <w:fldChar w:fldCharType="begin"/>
      </w:r>
      <w:r w:rsidR="0093454E">
        <w:instrText xml:space="preserve"> REF _Ref113353297 \h </w:instrText>
      </w:r>
      <w:r w:rsidR="0093454E">
        <w:fldChar w:fldCharType="separate"/>
      </w:r>
      <w:r w:rsidR="0093454E">
        <w:t xml:space="preserve">Figure </w:t>
      </w:r>
      <w:r w:rsidR="0093454E">
        <w:rPr>
          <w:noProof/>
        </w:rPr>
        <w:t>3</w:t>
      </w:r>
      <w:r w:rsidR="0093454E">
        <w:fldChar w:fldCharType="end"/>
      </w:r>
      <w:r>
        <w:t xml:space="preserve">. </w:t>
      </w:r>
      <w:r w:rsidRPr="00427322">
        <w:t xml:space="preserve">The difference between the </w:t>
      </w:r>
      <w:r w:rsidRPr="00427322">
        <w:lastRenderedPageBreak/>
        <w:t>survival curves in the base-case and sensitivity analyses</w:t>
      </w:r>
      <w:r w:rsidR="003C3C23" w:rsidRPr="00427322">
        <w:t xml:space="preserve"> were minor and unlikely to change decision-making </w:t>
      </w:r>
      <w:r w:rsidRPr="00427322">
        <w:t xml:space="preserve">on the graphs, so the K-M for the sensitivity analysis is not replicated </w:t>
      </w:r>
      <w:r w:rsidR="00FB3390" w:rsidRPr="00427322">
        <w:t>here</w:t>
      </w:r>
      <w:r w:rsidRPr="00427322">
        <w:t>.</w:t>
      </w:r>
      <w:r>
        <w:t xml:space="preserve"> </w:t>
      </w:r>
    </w:p>
    <w:p w14:paraId="5B5A76E2" w14:textId="3F82BB08" w:rsidR="00921FBD" w:rsidRPr="00921FBD" w:rsidRDefault="00646367" w:rsidP="00921FBD">
      <w:pPr>
        <w:pStyle w:val="Caption"/>
        <w:shd w:val="clear" w:color="auto" w:fill="B4C6E7" w:themeFill="accent5" w:themeFillTint="66"/>
      </w:pPr>
      <w:bookmarkStart w:id="44" w:name="_Ref113353297"/>
      <w:bookmarkStart w:id="45" w:name="_Hlk136341136"/>
      <w:r>
        <w:t xml:space="preserve">Figure </w:t>
      </w:r>
      <w:fldSimple w:instr=" SEQ Figure \* ARABIC ">
        <w:r w:rsidR="006E1F86">
          <w:rPr>
            <w:noProof/>
          </w:rPr>
          <w:t>3</w:t>
        </w:r>
      </w:fldSimple>
      <w:bookmarkEnd w:id="44"/>
      <w:r>
        <w:tab/>
        <w:t>K-M overall survival in CLASP original numbers at risk; weighted numbers for MAIC; EVEREST-II original numbers at risk (base case</w:t>
      </w:r>
      <w:bookmarkEnd w:id="45"/>
      <w:r>
        <w:t>)</w:t>
      </w:r>
      <w:r w:rsidRPr="00CD4D66">
        <w:t xml:space="preserve"> </w:t>
      </w:r>
    </w:p>
    <w:p w14:paraId="61752E59" w14:textId="0DEC5123" w:rsidR="00E75418" w:rsidRDefault="00921FBD" w:rsidP="00921FBD">
      <w:pPr>
        <w:pStyle w:val="TableFigureFooter"/>
      </w:pPr>
      <w:r>
        <w:rPr>
          <w:noProof/>
        </w:rPr>
        <w:drawing>
          <wp:inline distT="0" distB="0" distL="0" distR="0" wp14:anchorId="090503D4" wp14:editId="01E0F17B">
            <wp:extent cx="5926455" cy="3049905"/>
            <wp:effectExtent l="0" t="0" r="0" b="0"/>
            <wp:docPr id="2" name="Picture 2" descr="K-M overall survival in CLASP original numbers at risk; weighted numbers for MAIC; EVEREST-II original numbers at risk (base ca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M overall survival in CLASP original numbers at risk; weighted numbers for MAIC; EVEREST-II original numbers at risk (base case) "/>
                    <pic:cNvPicPr/>
                  </pic:nvPicPr>
                  <pic:blipFill>
                    <a:blip r:embed="rId16"/>
                    <a:stretch>
                      <a:fillRect/>
                    </a:stretch>
                  </pic:blipFill>
                  <pic:spPr>
                    <a:xfrm>
                      <a:off x="0" y="0"/>
                      <a:ext cx="5926455" cy="3049905"/>
                    </a:xfrm>
                    <a:prstGeom prst="rect">
                      <a:avLst/>
                    </a:prstGeom>
                  </pic:spPr>
                </pic:pic>
              </a:graphicData>
            </a:graphic>
          </wp:inline>
        </w:drawing>
      </w:r>
      <w:r w:rsidR="00E75418">
        <w:t>Source: ADAR</w:t>
      </w:r>
    </w:p>
    <w:p w14:paraId="180BCB1B" w14:textId="04EDC6C6" w:rsidR="00646367" w:rsidRPr="008B1FFD" w:rsidRDefault="00646367" w:rsidP="00646367">
      <w:r w:rsidRPr="00427322">
        <w:t>The same concern, as in relation to the FMR population (</w:t>
      </w:r>
      <w:r w:rsidRPr="00427322">
        <w:fldChar w:fldCharType="begin"/>
      </w:r>
      <w:r w:rsidRPr="00427322">
        <w:instrText xml:space="preserve"> REF _Ref111528767 \h </w:instrText>
      </w:r>
      <w:r w:rsidR="00FB3390" w:rsidRPr="00427322">
        <w:instrText xml:space="preserve"> \* MERGEFORMAT </w:instrText>
      </w:r>
      <w:r w:rsidRPr="00427322">
        <w:fldChar w:fldCharType="separate"/>
      </w:r>
      <w:r w:rsidR="0019519D" w:rsidRPr="00427322">
        <w:rPr>
          <w:b/>
          <w:bCs/>
          <w:lang w:val="en-US"/>
        </w:rPr>
        <w:fldChar w:fldCharType="begin"/>
      </w:r>
      <w:r w:rsidR="0019519D" w:rsidRPr="00427322">
        <w:instrText xml:space="preserve"> REF _Ref113353283 \h </w:instrText>
      </w:r>
      <w:r w:rsidR="008B1FFD">
        <w:rPr>
          <w:b/>
          <w:bCs/>
          <w:lang w:val="en-US"/>
        </w:rPr>
        <w:instrText xml:space="preserve"> \* MERGEFORMAT </w:instrText>
      </w:r>
      <w:r w:rsidR="0019519D" w:rsidRPr="00427322">
        <w:rPr>
          <w:b/>
          <w:bCs/>
          <w:lang w:val="en-US"/>
        </w:rPr>
      </w:r>
      <w:r w:rsidR="0019519D" w:rsidRPr="00427322">
        <w:rPr>
          <w:b/>
          <w:bCs/>
          <w:lang w:val="en-US"/>
        </w:rPr>
        <w:fldChar w:fldCharType="separate"/>
      </w:r>
      <w:r w:rsidR="0019519D" w:rsidRPr="008B1FFD">
        <w:t xml:space="preserve">Figure </w:t>
      </w:r>
      <w:r w:rsidR="0019519D" w:rsidRPr="008B1FFD">
        <w:rPr>
          <w:noProof/>
        </w:rPr>
        <w:t>1</w:t>
      </w:r>
      <w:r w:rsidR="0019519D" w:rsidRPr="00427322">
        <w:rPr>
          <w:b/>
          <w:bCs/>
          <w:lang w:val="en-US"/>
        </w:rPr>
        <w:fldChar w:fldCharType="end"/>
      </w:r>
      <w:r w:rsidRPr="00427322">
        <w:fldChar w:fldCharType="end"/>
      </w:r>
      <w:r w:rsidRPr="00427322">
        <w:t>), applies to the mixed population. A simple visual examination of the above graph demonstrates that the K-M curve for CLASP remain fixed at just under 90% from the 12</w:t>
      </w:r>
      <w:r w:rsidRPr="00427322">
        <w:rPr>
          <w:vertAlign w:val="superscript"/>
        </w:rPr>
        <w:t>th</w:t>
      </w:r>
      <w:r w:rsidRPr="00427322">
        <w:t xml:space="preserve"> month through the 24</w:t>
      </w:r>
      <w:r w:rsidRPr="00427322">
        <w:rPr>
          <w:vertAlign w:val="superscript"/>
        </w:rPr>
        <w:t>th</w:t>
      </w:r>
      <w:r w:rsidRPr="00427322">
        <w:t xml:space="preserve"> month and </w:t>
      </w:r>
      <w:r w:rsidR="00D56500" w:rsidRPr="00427322">
        <w:t>beyond</w:t>
      </w:r>
      <w:r w:rsidRPr="00427322">
        <w:t xml:space="preserve">. This </w:t>
      </w:r>
      <w:r w:rsidR="003C3C23" w:rsidRPr="00427322">
        <w:t>despite the</w:t>
      </w:r>
      <w:r w:rsidRPr="00427322">
        <w:t xml:space="preserve"> first r</w:t>
      </w:r>
      <w:r w:rsidR="00D56500" w:rsidRPr="00427322">
        <w:t>o</w:t>
      </w:r>
      <w:r w:rsidRPr="00427322">
        <w:t>w of CLASP numbers at risk (unadjusted numbers) that decline from 92 at the 12</w:t>
      </w:r>
      <w:r w:rsidRPr="00427322">
        <w:rPr>
          <w:vertAlign w:val="superscript"/>
        </w:rPr>
        <w:t>th</w:t>
      </w:r>
      <w:r w:rsidRPr="00427322">
        <w:t xml:space="preserve"> month to 40 at the 24</w:t>
      </w:r>
      <w:r w:rsidRPr="00427322">
        <w:rPr>
          <w:vertAlign w:val="superscript"/>
        </w:rPr>
        <w:t>th</w:t>
      </w:r>
      <w:r w:rsidRPr="00427322">
        <w:t xml:space="preserve"> month. However, unlike in the FMR population where </w:t>
      </w:r>
      <w:r w:rsidRPr="008B1FFD">
        <w:t xml:space="preserve">“a clear separation of the survival curves evident in the graph”, </w:t>
      </w:r>
      <w:r w:rsidRPr="00427322">
        <w:t xml:space="preserve">the EVEREST-II survival curves are </w:t>
      </w:r>
      <w:r w:rsidR="003C3C23" w:rsidRPr="00427322">
        <w:t>very similar to both the</w:t>
      </w:r>
      <w:r w:rsidRPr="00427322">
        <w:t xml:space="preserve"> adjusted or unadjusted survival curves in CLASP.</w:t>
      </w:r>
      <w:r w:rsidRPr="008B1FFD">
        <w:t xml:space="preserve">  </w:t>
      </w:r>
    </w:p>
    <w:p w14:paraId="1F328949" w14:textId="70C989D9" w:rsidR="00A64CAC" w:rsidRPr="00A64CAC" w:rsidRDefault="00FB3390" w:rsidP="00A64CAC">
      <w:pPr>
        <w:rPr>
          <w:i/>
          <w:iCs/>
        </w:rPr>
      </w:pPr>
      <w:r w:rsidRPr="004807F5">
        <w:rPr>
          <w:shd w:val="clear" w:color="auto" w:fill="B4C6E7" w:themeFill="accent5" w:themeFillTint="66"/>
        </w:rPr>
        <w:fldChar w:fldCharType="begin"/>
      </w:r>
      <w:r w:rsidRPr="004807F5">
        <w:rPr>
          <w:shd w:val="clear" w:color="auto" w:fill="B4C6E7" w:themeFill="accent5" w:themeFillTint="66"/>
        </w:rPr>
        <w:instrText xml:space="preserve"> REF _Ref113339223 \h </w:instrText>
      </w:r>
      <w:r w:rsidR="00915811">
        <w:rPr>
          <w:shd w:val="clear" w:color="auto" w:fill="B4C6E7" w:themeFill="accent5" w:themeFillTint="66"/>
        </w:rPr>
        <w:instrText xml:space="preserve"> \* MERGEFORMAT </w:instrText>
      </w:r>
      <w:r w:rsidRPr="004807F5">
        <w:rPr>
          <w:shd w:val="clear" w:color="auto" w:fill="B4C6E7" w:themeFill="accent5" w:themeFillTint="66"/>
        </w:rPr>
      </w:r>
      <w:r w:rsidRPr="004807F5">
        <w:rPr>
          <w:shd w:val="clear" w:color="auto" w:fill="B4C6E7" w:themeFill="accent5" w:themeFillTint="66"/>
        </w:rPr>
        <w:fldChar w:fldCharType="separate"/>
      </w:r>
      <w:r w:rsidR="008B1FFD" w:rsidRPr="00427322">
        <w:rPr>
          <w:shd w:val="clear" w:color="auto" w:fill="B4C6E7" w:themeFill="accent5" w:themeFillTint="66"/>
        </w:rPr>
        <w:t xml:space="preserve">Table </w:t>
      </w:r>
      <w:r w:rsidR="008B1FFD" w:rsidRPr="00427322">
        <w:rPr>
          <w:noProof/>
          <w:shd w:val="clear" w:color="auto" w:fill="B4C6E7" w:themeFill="accent5" w:themeFillTint="66"/>
        </w:rPr>
        <w:t>10</w:t>
      </w:r>
      <w:r w:rsidRPr="004807F5">
        <w:rPr>
          <w:shd w:val="clear" w:color="auto" w:fill="B4C6E7" w:themeFill="accent5" w:themeFillTint="66"/>
        </w:rPr>
        <w:fldChar w:fldCharType="end"/>
      </w:r>
      <w:r w:rsidR="00646367" w:rsidRPr="004807F5">
        <w:rPr>
          <w:shd w:val="clear" w:color="auto" w:fill="B4C6E7" w:themeFill="accent5" w:themeFillTint="66"/>
        </w:rPr>
        <w:t xml:space="preserve"> </w:t>
      </w:r>
      <w:r w:rsidRPr="004807F5">
        <w:rPr>
          <w:shd w:val="clear" w:color="auto" w:fill="B4C6E7" w:themeFill="accent5" w:themeFillTint="66"/>
        </w:rPr>
        <w:t>presents</w:t>
      </w:r>
      <w:r w:rsidR="00646367" w:rsidRPr="004807F5">
        <w:rPr>
          <w:shd w:val="clear" w:color="auto" w:fill="B4C6E7" w:themeFill="accent5" w:themeFillTint="66"/>
        </w:rPr>
        <w:t xml:space="preserve"> the hazard ratios </w:t>
      </w:r>
      <w:r w:rsidRPr="004807F5">
        <w:rPr>
          <w:shd w:val="clear" w:color="auto" w:fill="B4C6E7" w:themeFill="accent5" w:themeFillTint="66"/>
        </w:rPr>
        <w:t>for overall survival in the mixed FMR/DMR population (unchanged from the previous ADAR)</w:t>
      </w:r>
      <w:r w:rsidR="00646367" w:rsidRPr="004807F5">
        <w:rPr>
          <w:shd w:val="clear" w:color="auto" w:fill="B4C6E7" w:themeFill="accent5" w:themeFillTint="66"/>
        </w:rPr>
        <w:t xml:space="preserve">. </w:t>
      </w:r>
      <w:r w:rsidRPr="004807F5">
        <w:rPr>
          <w:shd w:val="clear" w:color="auto" w:fill="B4C6E7" w:themeFill="accent5" w:themeFillTint="66"/>
        </w:rPr>
        <w:t>The r</w:t>
      </w:r>
      <w:r w:rsidR="00646367" w:rsidRPr="004807F5">
        <w:rPr>
          <w:shd w:val="clear" w:color="auto" w:fill="B4C6E7" w:themeFill="accent5" w:themeFillTint="66"/>
        </w:rPr>
        <w:t xml:space="preserve">esults suggest that while there is a statistically significant difference in survival between the two treatments in the base-case analysis, it disappears in the sensitivity analysis in which populations were matched on FMR only. </w:t>
      </w:r>
      <w:r w:rsidR="00646367" w:rsidRPr="00427322">
        <w:rPr>
          <w:shd w:val="clear" w:color="auto" w:fill="B4C6E7" w:themeFill="accent5" w:themeFillTint="66"/>
        </w:rPr>
        <w:t>Removing the Diabetes, MI, COPD, NYHA class, LVEF produced a different conclusion</w:t>
      </w:r>
      <w:r w:rsidR="00915811" w:rsidRPr="00427322">
        <w:rPr>
          <w:shd w:val="clear" w:color="auto" w:fill="B4C6E7" w:themeFill="accent5" w:themeFillTint="66"/>
        </w:rPr>
        <w:t xml:space="preserve">. </w:t>
      </w:r>
      <w:r w:rsidR="00915811" w:rsidRPr="0018029A">
        <w:t xml:space="preserve">This suggests </w:t>
      </w:r>
      <w:r w:rsidR="00646367" w:rsidRPr="00427322">
        <w:t>the importance of FMR/DMR split in the population, may also indicate that one or more of the baseline characteristics selected for matching is a prognostic variable. Unlike conventional statistical modelling, MAIC by its very nature does not extend to examination of the interaction between the parameters to explore this hypothesis.</w:t>
      </w:r>
      <w:bookmarkStart w:id="46" w:name="_Ref113339223"/>
      <w:r w:rsidR="00A64CAC">
        <w:br w:type="page"/>
      </w:r>
    </w:p>
    <w:p w14:paraId="78FE98CC" w14:textId="0A093B3F" w:rsidR="00646367" w:rsidRDefault="00FB3390" w:rsidP="00646367">
      <w:pPr>
        <w:pStyle w:val="Caption"/>
      </w:pPr>
      <w:r>
        <w:lastRenderedPageBreak/>
        <w:t xml:space="preserve">Table </w:t>
      </w:r>
      <w:fldSimple w:instr=" SEQ Table \* ARABIC ">
        <w:r w:rsidR="007512A8">
          <w:rPr>
            <w:noProof/>
          </w:rPr>
          <w:t>10</w:t>
        </w:r>
      </w:fldSimple>
      <w:bookmarkEnd w:id="46"/>
      <w:r w:rsidR="00646367">
        <w:tab/>
        <w:t>OS h</w:t>
      </w:r>
      <w:r w:rsidR="00646367" w:rsidRPr="00AB54AF">
        <w:t xml:space="preserve">azard ratios with 95% CI’s for the comparison of CLASP (PASCAL) with </w:t>
      </w:r>
      <w:proofErr w:type="spellStart"/>
      <w:r w:rsidR="00B6191E">
        <w:t>MitraClip</w:t>
      </w:r>
      <w:proofErr w:type="spellEnd"/>
      <w:r w:rsidR="00B6191E">
        <w:t xml:space="preserve"> (EVEREST-II</w:t>
      </w:r>
      <w:r w:rsidR="00646367" w:rsidRPr="00AB54AF">
        <w:t xml:space="preserve">) </w:t>
      </w:r>
    </w:p>
    <w:tbl>
      <w:tblPr>
        <w:tblStyle w:val="TableGrid27"/>
        <w:tblW w:w="9067" w:type="dxa"/>
        <w:tblLook w:val="04A0" w:firstRow="1" w:lastRow="0" w:firstColumn="1" w:lastColumn="0" w:noHBand="0" w:noVBand="1"/>
      </w:tblPr>
      <w:tblGrid>
        <w:gridCol w:w="3681"/>
        <w:gridCol w:w="2410"/>
        <w:gridCol w:w="2976"/>
      </w:tblGrid>
      <w:tr w:rsidR="00646367" w:rsidRPr="00F83D38" w14:paraId="4C0FFFC1" w14:textId="77777777" w:rsidTr="003540E7">
        <w:trPr>
          <w:tblHeader/>
        </w:trPr>
        <w:tc>
          <w:tcPr>
            <w:tcW w:w="3681" w:type="dxa"/>
          </w:tcPr>
          <w:p w14:paraId="5A38D22E" w14:textId="77777777" w:rsidR="00646367" w:rsidRPr="00F83D38" w:rsidRDefault="00646367" w:rsidP="003540E7">
            <w:pPr>
              <w:pStyle w:val="TableHeading"/>
              <w:spacing w:before="40" w:after="40"/>
            </w:pPr>
            <w:r>
              <w:t>Matching</w:t>
            </w:r>
          </w:p>
        </w:tc>
        <w:tc>
          <w:tcPr>
            <w:tcW w:w="2410" w:type="dxa"/>
          </w:tcPr>
          <w:p w14:paraId="50E40328" w14:textId="77777777" w:rsidR="00646367" w:rsidRPr="00F83D38" w:rsidRDefault="00646367" w:rsidP="003540E7">
            <w:pPr>
              <w:pStyle w:val="TableHeading"/>
              <w:spacing w:before="40" w:after="40"/>
              <w:jc w:val="center"/>
            </w:pPr>
            <w:r w:rsidRPr="00F83D38">
              <w:t>Method</w:t>
            </w:r>
          </w:p>
        </w:tc>
        <w:tc>
          <w:tcPr>
            <w:tcW w:w="2976" w:type="dxa"/>
          </w:tcPr>
          <w:p w14:paraId="5659E434" w14:textId="77777777" w:rsidR="00646367" w:rsidRDefault="00646367" w:rsidP="003540E7">
            <w:pPr>
              <w:pStyle w:val="TableHeading"/>
              <w:spacing w:before="40" w:after="40"/>
              <w:jc w:val="center"/>
            </w:pPr>
            <w:r w:rsidRPr="00F83D38">
              <w:t>Hazard ratio (95% CI)</w:t>
            </w:r>
          </w:p>
          <w:p w14:paraId="51949474" w14:textId="77777777" w:rsidR="00646367" w:rsidRPr="00126986" w:rsidRDefault="00646367" w:rsidP="003540E7">
            <w:pPr>
              <w:pStyle w:val="TableHeading"/>
              <w:spacing w:before="40" w:after="40"/>
              <w:jc w:val="center"/>
              <w:rPr>
                <w:b w:val="0"/>
                <w:bCs/>
                <w:i/>
                <w:iCs/>
              </w:rPr>
            </w:pPr>
            <w:r w:rsidRPr="00126986">
              <w:rPr>
                <w:b w:val="0"/>
                <w:i/>
                <w:iCs/>
              </w:rPr>
              <w:t>As in the original ADAR</w:t>
            </w:r>
          </w:p>
        </w:tc>
      </w:tr>
      <w:tr w:rsidR="00646367" w:rsidRPr="00F83D38" w14:paraId="66925B86" w14:textId="77777777" w:rsidTr="00091167">
        <w:tc>
          <w:tcPr>
            <w:tcW w:w="3681" w:type="dxa"/>
            <w:vMerge w:val="restart"/>
          </w:tcPr>
          <w:p w14:paraId="1CD3723F" w14:textId="77777777" w:rsidR="00646367" w:rsidRDefault="00646367" w:rsidP="003540E7">
            <w:pPr>
              <w:pStyle w:val="Tabletext0"/>
            </w:pPr>
            <w:r>
              <w:t xml:space="preserve">Base case </w:t>
            </w:r>
          </w:p>
          <w:p w14:paraId="76D29A46" w14:textId="77777777" w:rsidR="00646367" w:rsidRPr="00F83D38" w:rsidRDefault="00646367" w:rsidP="003540E7">
            <w:pPr>
              <w:pStyle w:val="Tabletext0"/>
            </w:pPr>
            <w:r>
              <w:t>(</w:t>
            </w:r>
            <w:r w:rsidRPr="00F5227E">
              <w:t xml:space="preserve">FMR, Diabetes, MI, COPD, NYHA </w:t>
            </w:r>
            <w:proofErr w:type="spellStart"/>
            <w:r w:rsidRPr="00F5227E">
              <w:t>class,LVEF</w:t>
            </w:r>
            <w:proofErr w:type="spellEnd"/>
            <w:r>
              <w:t>)</w:t>
            </w:r>
          </w:p>
        </w:tc>
        <w:tc>
          <w:tcPr>
            <w:tcW w:w="2410" w:type="dxa"/>
          </w:tcPr>
          <w:p w14:paraId="087562E6" w14:textId="77777777" w:rsidR="00646367" w:rsidRPr="00F83D38" w:rsidRDefault="00646367" w:rsidP="003540E7">
            <w:pPr>
              <w:pStyle w:val="Tabletext0"/>
              <w:jc w:val="center"/>
            </w:pPr>
            <w:r>
              <w:t>U</w:t>
            </w:r>
            <w:r w:rsidRPr="00F83D38">
              <w:t>nadjusted Cox model</w:t>
            </w:r>
          </w:p>
        </w:tc>
        <w:tc>
          <w:tcPr>
            <w:tcW w:w="2976" w:type="dxa"/>
            <w:shd w:val="clear" w:color="auto" w:fill="B4C6E7" w:themeFill="accent5" w:themeFillTint="66"/>
          </w:tcPr>
          <w:p w14:paraId="1A5FC196" w14:textId="77777777" w:rsidR="00646367" w:rsidRPr="00E42AC5" w:rsidRDefault="00646367" w:rsidP="003540E7">
            <w:pPr>
              <w:pStyle w:val="Tabletext0"/>
              <w:jc w:val="center"/>
            </w:pPr>
            <w:r w:rsidRPr="00D22D3F">
              <w:t>0.94 (0.43 to 2.02)</w:t>
            </w:r>
          </w:p>
        </w:tc>
      </w:tr>
      <w:tr w:rsidR="00646367" w:rsidRPr="00F83D38" w14:paraId="0DC737B8" w14:textId="77777777" w:rsidTr="00091167">
        <w:tc>
          <w:tcPr>
            <w:tcW w:w="3681" w:type="dxa"/>
            <w:vMerge/>
          </w:tcPr>
          <w:p w14:paraId="17CE2130" w14:textId="77777777" w:rsidR="00646367" w:rsidRPr="00F83D38" w:rsidRDefault="00646367" w:rsidP="003540E7">
            <w:pPr>
              <w:pStyle w:val="Tabletext0"/>
            </w:pPr>
          </w:p>
        </w:tc>
        <w:tc>
          <w:tcPr>
            <w:tcW w:w="2410" w:type="dxa"/>
          </w:tcPr>
          <w:p w14:paraId="59DBEB6E" w14:textId="77777777" w:rsidR="00646367" w:rsidRPr="00F83D38" w:rsidRDefault="00646367" w:rsidP="003540E7">
            <w:pPr>
              <w:pStyle w:val="Tabletext0"/>
              <w:jc w:val="center"/>
            </w:pPr>
            <w:r>
              <w:t>W</w:t>
            </w:r>
            <w:r w:rsidRPr="00F83D38">
              <w:t>eighted Cox model</w:t>
            </w:r>
          </w:p>
        </w:tc>
        <w:tc>
          <w:tcPr>
            <w:tcW w:w="2976" w:type="dxa"/>
            <w:shd w:val="clear" w:color="auto" w:fill="B4C6E7" w:themeFill="accent5" w:themeFillTint="66"/>
          </w:tcPr>
          <w:p w14:paraId="64E3AF41" w14:textId="77777777" w:rsidR="00646367" w:rsidRPr="00E42AC5" w:rsidRDefault="00646367" w:rsidP="003540E7">
            <w:pPr>
              <w:pStyle w:val="Tabletext0"/>
              <w:jc w:val="center"/>
            </w:pPr>
            <w:r w:rsidRPr="00D22D3F">
              <w:t>0.31 (0.11 to 0.85)</w:t>
            </w:r>
          </w:p>
        </w:tc>
      </w:tr>
      <w:tr w:rsidR="00646367" w:rsidRPr="00F83D38" w14:paraId="3F77B4D6" w14:textId="77777777" w:rsidTr="00091167">
        <w:tc>
          <w:tcPr>
            <w:tcW w:w="3681" w:type="dxa"/>
            <w:vMerge w:val="restart"/>
          </w:tcPr>
          <w:p w14:paraId="2EB13EEC" w14:textId="77777777" w:rsidR="00646367" w:rsidRDefault="00646367" w:rsidP="003540E7">
            <w:pPr>
              <w:pStyle w:val="Tabletext0"/>
            </w:pPr>
            <w:r>
              <w:t>Sensitivity analysis</w:t>
            </w:r>
          </w:p>
          <w:p w14:paraId="60C7BC99" w14:textId="77777777" w:rsidR="00646367" w:rsidRPr="0026142F" w:rsidRDefault="00646367" w:rsidP="003540E7">
            <w:pPr>
              <w:pStyle w:val="Tabletext0"/>
            </w:pPr>
            <w:r>
              <w:t>(FMR only)</w:t>
            </w:r>
          </w:p>
        </w:tc>
        <w:tc>
          <w:tcPr>
            <w:tcW w:w="2410" w:type="dxa"/>
          </w:tcPr>
          <w:p w14:paraId="699B23C1" w14:textId="77777777" w:rsidR="00646367" w:rsidRPr="00F83D38" w:rsidRDefault="00646367" w:rsidP="003540E7">
            <w:pPr>
              <w:pStyle w:val="Tabletext0"/>
              <w:jc w:val="center"/>
            </w:pPr>
            <w:r>
              <w:t>U</w:t>
            </w:r>
            <w:r w:rsidRPr="0026142F">
              <w:t>nadjusted Cox model</w:t>
            </w:r>
          </w:p>
        </w:tc>
        <w:tc>
          <w:tcPr>
            <w:tcW w:w="2976" w:type="dxa"/>
            <w:shd w:val="clear" w:color="auto" w:fill="B4C6E7" w:themeFill="accent5" w:themeFillTint="66"/>
          </w:tcPr>
          <w:p w14:paraId="7FB78BB6" w14:textId="77777777" w:rsidR="00646367" w:rsidRPr="00F83D38" w:rsidRDefault="00646367" w:rsidP="003540E7">
            <w:pPr>
              <w:pStyle w:val="Tabletext0"/>
              <w:jc w:val="center"/>
            </w:pPr>
            <w:r w:rsidRPr="00061105">
              <w:t>0.94 (0.43 to 2.02)</w:t>
            </w:r>
          </w:p>
        </w:tc>
      </w:tr>
      <w:tr w:rsidR="00646367" w:rsidRPr="00F83D38" w14:paraId="75D95F68" w14:textId="77777777" w:rsidTr="00091167">
        <w:tc>
          <w:tcPr>
            <w:tcW w:w="3681" w:type="dxa"/>
            <w:vMerge/>
          </w:tcPr>
          <w:p w14:paraId="6E6148FC" w14:textId="77777777" w:rsidR="00646367" w:rsidRPr="0026142F" w:rsidRDefault="00646367" w:rsidP="003540E7">
            <w:pPr>
              <w:pStyle w:val="Tabletext0"/>
            </w:pPr>
          </w:p>
        </w:tc>
        <w:tc>
          <w:tcPr>
            <w:tcW w:w="2410" w:type="dxa"/>
          </w:tcPr>
          <w:p w14:paraId="2539E42F" w14:textId="77777777" w:rsidR="00646367" w:rsidRPr="00F83D38" w:rsidRDefault="00646367" w:rsidP="003540E7">
            <w:pPr>
              <w:pStyle w:val="Tabletext0"/>
              <w:jc w:val="center"/>
            </w:pPr>
            <w:r>
              <w:t>W</w:t>
            </w:r>
            <w:r w:rsidRPr="0026142F">
              <w:t>eighted Cox model</w:t>
            </w:r>
          </w:p>
        </w:tc>
        <w:tc>
          <w:tcPr>
            <w:tcW w:w="2976" w:type="dxa"/>
            <w:shd w:val="clear" w:color="auto" w:fill="B4C6E7" w:themeFill="accent5" w:themeFillTint="66"/>
          </w:tcPr>
          <w:p w14:paraId="38F3A3A2" w14:textId="77777777" w:rsidR="00646367" w:rsidRPr="00F83D38" w:rsidRDefault="00646367" w:rsidP="003540E7">
            <w:pPr>
              <w:pStyle w:val="Tabletext0"/>
              <w:jc w:val="center"/>
            </w:pPr>
            <w:r w:rsidRPr="00265E26">
              <w:t>0.52 (0.20 to 1.38)</w:t>
            </w:r>
          </w:p>
        </w:tc>
      </w:tr>
    </w:tbl>
    <w:p w14:paraId="2F2E05A7" w14:textId="77777777" w:rsidR="00646367" w:rsidRDefault="00646367" w:rsidP="00646367">
      <w:pPr>
        <w:pStyle w:val="Tablenotes"/>
      </w:pPr>
      <w:r w:rsidRPr="00856276">
        <w:t>CI</w:t>
      </w:r>
      <w:r>
        <w:t>=</w:t>
      </w:r>
      <w:r w:rsidRPr="00856276">
        <w:t xml:space="preserve">confidence interval; </w:t>
      </w:r>
      <w:r>
        <w:t xml:space="preserve">FMR=functional mitral regurgitation; </w:t>
      </w:r>
    </w:p>
    <w:p w14:paraId="139BAEAA" w14:textId="7C78ED2E" w:rsidR="00646367" w:rsidRDefault="00646367" w:rsidP="00646367">
      <w:pPr>
        <w:pStyle w:val="Tablenotes"/>
      </w:pPr>
      <w:r>
        <w:t>Source: Table 2-31 and Table 2-32 of the 1662.1 ADAR</w:t>
      </w:r>
      <w:r w:rsidR="008741AD">
        <w:t>; Table 4 in PSD</w:t>
      </w:r>
    </w:p>
    <w:p w14:paraId="299FC931" w14:textId="77777777" w:rsidR="00E13326" w:rsidRPr="00427322" w:rsidRDefault="00E13326" w:rsidP="00E13326">
      <w:pPr>
        <w:pStyle w:val="Tablenotes"/>
      </w:pPr>
      <w:r w:rsidRPr="00427322">
        <w:t xml:space="preserve">Cells </w:t>
      </w:r>
      <w:r w:rsidRPr="00427322">
        <w:rPr>
          <w:shd w:val="clear" w:color="auto" w:fill="B4C6E7" w:themeFill="accent5" w:themeFillTint="66"/>
        </w:rPr>
        <w:t>shaded in blue</w:t>
      </w:r>
      <w:r w:rsidRPr="00427322">
        <w:t xml:space="preserve"> represent results previously considered by MSAC</w:t>
      </w:r>
    </w:p>
    <w:p w14:paraId="56885ED0" w14:textId="3C8D9E4C" w:rsidR="00646367" w:rsidRPr="008B1FFD" w:rsidRDefault="00646367" w:rsidP="00A64CAC">
      <w:pPr>
        <w:shd w:val="clear" w:color="auto" w:fill="B4C6E7" w:themeFill="accent5" w:themeFillTint="66"/>
        <w:spacing w:before="240"/>
      </w:pPr>
      <w:r w:rsidRPr="00427322">
        <w:t xml:space="preserve">The commentary to the previous ADAR noted the </w:t>
      </w:r>
      <w:r w:rsidR="00915811" w:rsidRPr="00427322">
        <w:t xml:space="preserve">inconsistency </w:t>
      </w:r>
      <w:r w:rsidRPr="00427322">
        <w:t xml:space="preserve">in the </w:t>
      </w:r>
      <w:r w:rsidR="00915811" w:rsidRPr="00427322">
        <w:t>approach to</w:t>
      </w:r>
      <w:r w:rsidRPr="00427322">
        <w:t xml:space="preserve"> sensitivity analyses across the populations. When discussing </w:t>
      </w:r>
      <w:r w:rsidR="00DB6AA9" w:rsidRPr="00427322">
        <w:t xml:space="preserve">the </w:t>
      </w:r>
      <w:r w:rsidR="008741AD" w:rsidRPr="00427322">
        <w:t xml:space="preserve">sensitivity analysis of </w:t>
      </w:r>
      <w:r w:rsidRPr="00427322">
        <w:t>overall survival</w:t>
      </w:r>
      <w:r w:rsidR="00FB3390" w:rsidRPr="00427322">
        <w:t>, the</w:t>
      </w:r>
      <w:r w:rsidRPr="00427322">
        <w:t xml:space="preserve"> ADAR referred to this as</w:t>
      </w:r>
      <w:r w:rsidRPr="008B1FFD">
        <w:t xml:space="preserve"> ‘adjusting the CLASP population to better match the EVEREST-II (</w:t>
      </w:r>
      <w:proofErr w:type="spellStart"/>
      <w:r w:rsidRPr="008B1FFD">
        <w:t>MitraClip</w:t>
      </w:r>
      <w:proofErr w:type="spellEnd"/>
      <w:r w:rsidRPr="008B1FFD">
        <w:t xml:space="preserve">) population’ but </w:t>
      </w:r>
      <w:r w:rsidRPr="00427322">
        <w:t>[the mixed]</w:t>
      </w:r>
      <w:r w:rsidRPr="008B1FFD">
        <w:t xml:space="preserve"> population is matched on FMR status only so many more characteristics become dissimilar than in the base case scenario. </w:t>
      </w:r>
    </w:p>
    <w:p w14:paraId="48AA2E19" w14:textId="7A2D0CB0" w:rsidR="00646367" w:rsidRPr="00427322" w:rsidRDefault="00915811" w:rsidP="00646367">
      <w:r w:rsidRPr="00427322">
        <w:rPr>
          <w:shd w:val="clear" w:color="auto" w:fill="B4C6E7" w:themeFill="accent5" w:themeFillTint="66"/>
        </w:rPr>
        <w:t>Unchanged from the previous ADAR,</w:t>
      </w:r>
      <w:r w:rsidR="00646367" w:rsidRPr="00427322">
        <w:rPr>
          <w:shd w:val="clear" w:color="auto" w:fill="B4C6E7" w:themeFill="accent5" w:themeFillTint="66"/>
        </w:rPr>
        <w:t xml:space="preserve"> the survival analyses data presented had some inconsistencies which could not be checked and, in the absence of </w:t>
      </w:r>
      <w:r w:rsidR="00FB3390" w:rsidRPr="00427322">
        <w:rPr>
          <w:shd w:val="clear" w:color="auto" w:fill="B4C6E7" w:themeFill="accent5" w:themeFillTint="66"/>
        </w:rPr>
        <w:t>a</w:t>
      </w:r>
      <w:r w:rsidR="00646367" w:rsidRPr="00427322">
        <w:rPr>
          <w:shd w:val="clear" w:color="auto" w:fill="B4C6E7" w:themeFill="accent5" w:themeFillTint="66"/>
        </w:rPr>
        <w:t xml:space="preserve"> common comparator, the results could not be validated. In addition, in relation to </w:t>
      </w:r>
      <w:r w:rsidR="00FB3390" w:rsidRPr="00427322">
        <w:rPr>
          <w:shd w:val="clear" w:color="auto" w:fill="B4C6E7" w:themeFill="accent5" w:themeFillTint="66"/>
        </w:rPr>
        <w:t xml:space="preserve">the </w:t>
      </w:r>
      <w:r w:rsidR="00646367" w:rsidRPr="00427322">
        <w:rPr>
          <w:shd w:val="clear" w:color="auto" w:fill="B4C6E7" w:themeFill="accent5" w:themeFillTint="66"/>
        </w:rPr>
        <w:t>EVEREST-II study, the baseline characteristics and outcomes were not reported separately by the type of MR</w:t>
      </w:r>
      <w:r w:rsidRPr="00427322">
        <w:rPr>
          <w:shd w:val="clear" w:color="auto" w:fill="B4C6E7" w:themeFill="accent5" w:themeFillTint="66"/>
        </w:rPr>
        <w:t>.</w:t>
      </w:r>
      <w:r w:rsidRPr="00427322">
        <w:t xml:space="preserve"> This affected</w:t>
      </w:r>
      <w:r w:rsidR="00646367" w:rsidRPr="00427322">
        <w:t xml:space="preserve"> </w:t>
      </w:r>
      <w:r w:rsidR="00FB3390" w:rsidRPr="00427322">
        <w:t xml:space="preserve">the </w:t>
      </w:r>
      <w:r w:rsidR="00646367" w:rsidRPr="00427322">
        <w:t xml:space="preserve">applicability of </w:t>
      </w:r>
      <w:r w:rsidR="00FB3390" w:rsidRPr="00427322">
        <w:t xml:space="preserve">the </w:t>
      </w:r>
      <w:r w:rsidR="00646367" w:rsidRPr="00427322">
        <w:t xml:space="preserve">MAIC results to the MBS items 38461 and 38463 eligibility criteria. </w:t>
      </w:r>
    </w:p>
    <w:p w14:paraId="1BA1CBDB" w14:textId="2F260F62" w:rsidR="00610D02" w:rsidRPr="007C72A2" w:rsidRDefault="00610D02" w:rsidP="00610D02">
      <w:pPr>
        <w:pStyle w:val="Heading4"/>
      </w:pPr>
      <w:r w:rsidRPr="007C72A2">
        <w:t>Major adverse events at 30 days</w:t>
      </w:r>
      <w:r>
        <w:t xml:space="preserve"> in the DMR/FMR population </w:t>
      </w:r>
      <w:r w:rsidRPr="001B37F1">
        <w:t xml:space="preserve">(CLASP vs </w:t>
      </w:r>
      <w:r>
        <w:t>EVEREST-II</w:t>
      </w:r>
      <w:r w:rsidRPr="001B37F1">
        <w:t>)</w:t>
      </w:r>
      <w:r>
        <w:t xml:space="preserve"> </w:t>
      </w:r>
      <w:r w:rsidRPr="007C72A2">
        <w:t xml:space="preserve"> </w:t>
      </w:r>
    </w:p>
    <w:p w14:paraId="6C3B8FCE" w14:textId="60F48485" w:rsidR="00646367" w:rsidRPr="004807F5" w:rsidRDefault="00646367" w:rsidP="00646367">
      <w:pPr>
        <w:rPr>
          <w:i/>
          <w:iCs/>
        </w:rPr>
      </w:pPr>
      <w:r w:rsidRPr="004807F5">
        <w:rPr>
          <w:shd w:val="clear" w:color="auto" w:fill="B4C6E7" w:themeFill="accent5" w:themeFillTint="66"/>
        </w:rPr>
        <w:t>The observed MAE rate in CLASP and EVEREST-II studies were 8.1% and 15% respectively. This is largely because of the incomparability in the MAE definitions between the studies</w:t>
      </w:r>
      <w:r w:rsidR="00915811" w:rsidRPr="004807F5">
        <w:rPr>
          <w:shd w:val="clear" w:color="auto" w:fill="B4C6E7" w:themeFill="accent5" w:themeFillTint="66"/>
        </w:rPr>
        <w:t>.</w:t>
      </w:r>
      <w:r w:rsidR="00915811">
        <w:t xml:space="preserve"> </w:t>
      </w:r>
      <w:r w:rsidR="00CE6617" w:rsidRPr="00EB3824">
        <w:rPr>
          <w:shd w:val="clear" w:color="auto" w:fill="B4C6E7" w:themeFill="accent5" w:themeFillTint="66"/>
        </w:rPr>
        <w:t xml:space="preserve">Unchanged from the previous </w:t>
      </w:r>
      <w:r w:rsidR="00195444">
        <w:rPr>
          <w:shd w:val="clear" w:color="auto" w:fill="B4C6E7" w:themeFill="accent5" w:themeFillTint="66"/>
        </w:rPr>
        <w:t xml:space="preserve">2021 </w:t>
      </w:r>
      <w:r w:rsidR="00CE6617" w:rsidRPr="00EB3824">
        <w:rPr>
          <w:shd w:val="clear" w:color="auto" w:fill="B4C6E7" w:themeFill="accent5" w:themeFillTint="66"/>
        </w:rPr>
        <w:t>MSAC consideration, the reconstructed EVEREST II MAE definition excluded transfusions for the purposes of comparing results in DMR/FMR mixed population.</w:t>
      </w:r>
      <w:r w:rsidR="00CE6617" w:rsidRPr="007A172B">
        <w:rPr>
          <w:i/>
          <w:iCs/>
        </w:rPr>
        <w:t xml:space="preserve"> </w:t>
      </w:r>
      <w:r w:rsidR="00CE6617" w:rsidRPr="00427322">
        <w:t>This makes the MAE outcomes from the MAIC result incomparable with results of the naïve comparisons.</w:t>
      </w:r>
      <w:r w:rsidR="00CE6617" w:rsidRPr="00427322">
        <w:rPr>
          <w:shd w:val="clear" w:color="auto" w:fill="B4C6E7" w:themeFill="accent5" w:themeFillTint="66"/>
        </w:rPr>
        <w:t xml:space="preserve"> Notably, transfusions comprised the largest single component of the MAEs at 30 days in the EVEREST-II </w:t>
      </w:r>
      <w:proofErr w:type="spellStart"/>
      <w:r w:rsidR="00CE6617" w:rsidRPr="00427322">
        <w:rPr>
          <w:shd w:val="clear" w:color="auto" w:fill="B4C6E7" w:themeFill="accent5" w:themeFillTint="66"/>
        </w:rPr>
        <w:t>MitraClip</w:t>
      </w:r>
      <w:proofErr w:type="spellEnd"/>
      <w:r w:rsidR="00CE6617" w:rsidRPr="00427322">
        <w:rPr>
          <w:shd w:val="clear" w:color="auto" w:fill="B4C6E7" w:themeFill="accent5" w:themeFillTint="66"/>
        </w:rPr>
        <w:t xml:space="preserve"> population.</w:t>
      </w:r>
      <w:r w:rsidR="00CE6617" w:rsidRPr="008B1FFD">
        <w:rPr>
          <w:shd w:val="clear" w:color="auto" w:fill="B4C6E7" w:themeFill="accent5" w:themeFillTint="66"/>
        </w:rPr>
        <w:t xml:space="preserve"> </w:t>
      </w:r>
    </w:p>
    <w:p w14:paraId="6B18F65B" w14:textId="37AFE311" w:rsidR="00A64CAC" w:rsidRPr="00A64CAC" w:rsidRDefault="00646367" w:rsidP="00A64CAC">
      <w:pPr>
        <w:shd w:val="clear" w:color="auto" w:fill="B4C6E7" w:themeFill="accent5" w:themeFillTint="66"/>
      </w:pPr>
      <w:r>
        <w:t xml:space="preserve">Both studies included serious bleeding in the MAEs, which is </w:t>
      </w:r>
      <w:r>
        <w:rPr>
          <w:lang w:eastAsia="en-AU"/>
        </w:rPr>
        <w:t xml:space="preserve">defined as major, extensive or life-threatening bleeding, according to the MVARC. </w:t>
      </w:r>
      <w:r>
        <w:t xml:space="preserve">However, in the CLASP study </w:t>
      </w:r>
      <w:r>
        <w:rPr>
          <w:lang w:eastAsia="en-AU"/>
        </w:rPr>
        <w:t xml:space="preserve">the least severe of these categories (major bleeding) </w:t>
      </w:r>
      <w:r w:rsidR="00D56500">
        <w:rPr>
          <w:lang w:eastAsia="en-AU"/>
        </w:rPr>
        <w:t>wa</w:t>
      </w:r>
      <w:r>
        <w:rPr>
          <w:lang w:eastAsia="en-AU"/>
        </w:rPr>
        <w:t xml:space="preserve">s defined as either a drop in haemoglobin level of </w:t>
      </w:r>
      <w:r>
        <w:rPr>
          <w:rFonts w:cs="Calibri Light"/>
          <w:lang w:eastAsia="en-AU"/>
        </w:rPr>
        <w:t>≥</w:t>
      </w:r>
      <w:r>
        <w:rPr>
          <w:lang w:eastAsia="en-AU"/>
        </w:rPr>
        <w:t xml:space="preserve">3 g/dL or requiring transfusion of </w:t>
      </w:r>
      <w:r>
        <w:rPr>
          <w:rFonts w:cs="Calibri Light"/>
          <w:lang w:eastAsia="en-AU"/>
        </w:rPr>
        <w:t>≥</w:t>
      </w:r>
      <w:r>
        <w:rPr>
          <w:lang w:eastAsia="en-AU"/>
        </w:rPr>
        <w:t xml:space="preserve">3 units of whole blood or packed red blood cells </w:t>
      </w:r>
      <w:r w:rsidRPr="00091167">
        <w:rPr>
          <w:lang w:eastAsia="en-AU"/>
        </w:rPr>
        <w:t>and</w:t>
      </w:r>
      <w:r>
        <w:rPr>
          <w:lang w:eastAsia="en-AU"/>
        </w:rPr>
        <w:t xml:space="preserve"> does not meet criteria of extensive or life-threatening bleeding. In comparison, the EVEREST-II definition of bleeding includes all patients who required a transfusion of </w:t>
      </w:r>
      <w:r>
        <w:rPr>
          <w:rFonts w:cs="Calibri Light"/>
          <w:lang w:eastAsia="en-AU"/>
        </w:rPr>
        <w:t>≥</w:t>
      </w:r>
      <w:r>
        <w:rPr>
          <w:lang w:eastAsia="en-AU"/>
        </w:rPr>
        <w:t xml:space="preserve">2 units of blood. </w:t>
      </w:r>
      <w:r>
        <w:t>The difference in criteria for major bleeding biases the MAE outcome in favour of CLASP. In the pre-ESC response</w:t>
      </w:r>
      <w:r w:rsidR="00D56500">
        <w:t xml:space="preserve"> to the previous ADAR</w:t>
      </w:r>
      <w:r>
        <w:t>, the applicant performed additional MAIC analyses with the transfusion events excluded from the MAE count in the EVEREST</w:t>
      </w:r>
      <w:r w:rsidR="00341965">
        <w:t>-</w:t>
      </w:r>
      <w:r>
        <w:t xml:space="preserve">II population. Events of severe bleeding observed in the CLASP study were retained, which may bias the MAE outcome in favour of </w:t>
      </w:r>
      <w:proofErr w:type="spellStart"/>
      <w:r>
        <w:t>MitraClip</w:t>
      </w:r>
      <w:proofErr w:type="spellEnd"/>
      <w:r>
        <w:t xml:space="preserve">. Results of the MAIC using the reconstructed definition of MAE are presented in </w:t>
      </w:r>
      <w:r w:rsidR="00FB3390">
        <w:fldChar w:fldCharType="begin"/>
      </w:r>
      <w:r w:rsidR="00FB3390">
        <w:instrText xml:space="preserve"> REF _Ref113339237 \h </w:instrText>
      </w:r>
      <w:r w:rsidR="00CE6617">
        <w:instrText xml:space="preserve"> \* MERGEFORMAT </w:instrText>
      </w:r>
      <w:r w:rsidR="00FB3390">
        <w:fldChar w:fldCharType="separate"/>
      </w:r>
      <w:r w:rsidR="008B1FFD">
        <w:t xml:space="preserve">Table </w:t>
      </w:r>
      <w:r w:rsidR="008B1FFD">
        <w:rPr>
          <w:noProof/>
        </w:rPr>
        <w:t>11</w:t>
      </w:r>
      <w:r w:rsidR="00FB3390">
        <w:fldChar w:fldCharType="end"/>
      </w:r>
      <w:r w:rsidR="00341965">
        <w:t>, which corresponds to Table</w:t>
      </w:r>
      <w:r w:rsidR="00AA54F3">
        <w:t xml:space="preserve"> 7 and Table </w:t>
      </w:r>
      <w:r w:rsidR="00341965">
        <w:t xml:space="preserve">8 in </w:t>
      </w:r>
      <w:r w:rsidR="00FB3390">
        <w:t xml:space="preserve">the MSAC 1662 </w:t>
      </w:r>
      <w:r w:rsidR="00341965">
        <w:t>PSD.</w:t>
      </w:r>
      <w:bookmarkStart w:id="47" w:name="_Ref113339237"/>
      <w:r w:rsidR="00A64CAC">
        <w:br w:type="page"/>
      </w:r>
    </w:p>
    <w:p w14:paraId="21B67813" w14:textId="5DF069D5" w:rsidR="00646367" w:rsidRDefault="00646367" w:rsidP="004807F5">
      <w:pPr>
        <w:pStyle w:val="Caption"/>
        <w:shd w:val="clear" w:color="auto" w:fill="B4C6E7" w:themeFill="accent5" w:themeFillTint="66"/>
      </w:pPr>
      <w:r>
        <w:lastRenderedPageBreak/>
        <w:t xml:space="preserve">Table </w:t>
      </w:r>
      <w:fldSimple w:instr=" SEQ Table \* ARABIC ">
        <w:r w:rsidR="007512A8">
          <w:rPr>
            <w:noProof/>
          </w:rPr>
          <w:t>11</w:t>
        </w:r>
      </w:fldSimple>
      <w:bookmarkEnd w:id="47"/>
      <w:r>
        <w:tab/>
      </w:r>
      <w:r w:rsidRPr="00156B9F">
        <w:t xml:space="preserve">MAIC of reconstructed MAEs between CLASP and </w:t>
      </w:r>
      <w:r>
        <w:t xml:space="preserve">EVEREST-II </w:t>
      </w:r>
      <w:r w:rsidRPr="00156B9F">
        <w:t>at 30-days</w:t>
      </w:r>
    </w:p>
    <w:tbl>
      <w:tblPr>
        <w:tblStyle w:val="Style2"/>
        <w:tblW w:w="0" w:type="auto"/>
        <w:tblBorders>
          <w:left w:val="single" w:sz="4" w:space="0" w:color="auto"/>
          <w:right w:val="single" w:sz="4" w:space="0" w:color="auto"/>
          <w:insideV w:val="single" w:sz="4" w:space="0" w:color="auto"/>
        </w:tblBorders>
        <w:tblLook w:val="04A0" w:firstRow="1" w:lastRow="0" w:firstColumn="1" w:lastColumn="0" w:noHBand="0" w:noVBand="1"/>
      </w:tblPr>
      <w:tblGrid>
        <w:gridCol w:w="2944"/>
        <w:gridCol w:w="2242"/>
        <w:gridCol w:w="1915"/>
        <w:gridCol w:w="1915"/>
      </w:tblGrid>
      <w:tr w:rsidR="00646367" w:rsidRPr="009A31ED" w14:paraId="05D9B8D9" w14:textId="77777777" w:rsidTr="003540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tcPr>
          <w:p w14:paraId="70292FFD" w14:textId="77777777" w:rsidR="00646367" w:rsidRPr="009A31ED" w:rsidRDefault="00646367" w:rsidP="004807F5">
            <w:pPr>
              <w:shd w:val="clear" w:color="auto" w:fill="B4C6E7" w:themeFill="accent5" w:themeFillTint="66"/>
              <w:spacing w:before="40" w:after="40" w:line="240" w:lineRule="auto"/>
              <w:rPr>
                <w:rFonts w:ascii="Arial Narrow" w:hAnsi="Arial Narrow" w:cstheme="minorHAnsi"/>
                <w:bCs/>
              </w:rPr>
            </w:pPr>
            <w:r w:rsidRPr="009A31ED">
              <w:rPr>
                <w:rFonts w:ascii="Arial Narrow" w:hAnsi="Arial Narrow" w:cstheme="minorHAnsi"/>
                <w:bCs/>
              </w:rPr>
              <w:t>Outcome</w:t>
            </w:r>
          </w:p>
        </w:tc>
        <w:tc>
          <w:tcPr>
            <w:tcW w:w="2242" w:type="dxa"/>
          </w:tcPr>
          <w:p w14:paraId="7722FADD" w14:textId="77777777" w:rsidR="00646367" w:rsidRPr="009A31ED" w:rsidRDefault="00646367" w:rsidP="004807F5">
            <w:pPr>
              <w:shd w:val="clear" w:color="auto" w:fill="B4C6E7" w:themeFill="accent5" w:themeFillTint="66"/>
              <w:spacing w:before="40" w:after="40"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cstheme="minorHAnsi"/>
                <w:bCs/>
              </w:rPr>
            </w:pPr>
            <w:r w:rsidRPr="009A31ED">
              <w:rPr>
                <w:rFonts w:ascii="Arial Narrow" w:hAnsi="Arial Narrow" w:cstheme="minorHAnsi"/>
                <w:bCs/>
              </w:rPr>
              <w:t>CLASP (weighted)</w:t>
            </w:r>
          </w:p>
        </w:tc>
        <w:tc>
          <w:tcPr>
            <w:tcW w:w="1915" w:type="dxa"/>
          </w:tcPr>
          <w:p w14:paraId="13FED72A" w14:textId="77777777" w:rsidR="00646367" w:rsidRPr="009A31ED" w:rsidRDefault="00646367" w:rsidP="004807F5">
            <w:pPr>
              <w:shd w:val="clear" w:color="auto" w:fill="B4C6E7" w:themeFill="accent5" w:themeFillTint="66"/>
              <w:spacing w:before="40" w:after="40"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cstheme="minorHAnsi"/>
                <w:bCs/>
              </w:rPr>
            </w:pPr>
            <w:r w:rsidRPr="009A31ED">
              <w:rPr>
                <w:rFonts w:ascii="Arial Narrow" w:hAnsi="Arial Narrow" w:cstheme="minorHAnsi"/>
                <w:bCs/>
              </w:rPr>
              <w:t>EVEREST-II</w:t>
            </w:r>
          </w:p>
        </w:tc>
        <w:tc>
          <w:tcPr>
            <w:tcW w:w="1915" w:type="dxa"/>
          </w:tcPr>
          <w:p w14:paraId="329128DF" w14:textId="77777777" w:rsidR="00646367" w:rsidRPr="009A31ED" w:rsidRDefault="00646367" w:rsidP="004807F5">
            <w:pPr>
              <w:shd w:val="clear" w:color="auto" w:fill="B4C6E7" w:themeFill="accent5" w:themeFillTint="66"/>
              <w:spacing w:before="40" w:after="40"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cstheme="minorHAnsi"/>
                <w:bCs/>
              </w:rPr>
            </w:pPr>
            <w:r w:rsidRPr="009A31ED">
              <w:rPr>
                <w:rFonts w:ascii="Arial Narrow" w:hAnsi="Arial Narrow" w:cstheme="minorHAnsi"/>
                <w:bCs/>
              </w:rPr>
              <w:t>OR (95% CI)</w:t>
            </w:r>
          </w:p>
        </w:tc>
      </w:tr>
      <w:tr w:rsidR="00646367" w:rsidRPr="009A31ED" w14:paraId="4DF2EACE" w14:textId="77777777" w:rsidTr="00091167">
        <w:tc>
          <w:tcPr>
            <w:cnfStyle w:val="001000000000" w:firstRow="0" w:lastRow="0" w:firstColumn="1" w:lastColumn="0" w:oddVBand="0" w:evenVBand="0" w:oddHBand="0" w:evenHBand="0" w:firstRowFirstColumn="0" w:firstRowLastColumn="0" w:lastRowFirstColumn="0" w:lastRowLastColumn="0"/>
            <w:tcW w:w="2944" w:type="dxa"/>
          </w:tcPr>
          <w:p w14:paraId="0C951B67" w14:textId="77777777" w:rsidR="00646367" w:rsidRPr="009A31ED" w:rsidRDefault="00646367" w:rsidP="004807F5">
            <w:pPr>
              <w:shd w:val="clear" w:color="auto" w:fill="B4C6E7" w:themeFill="accent5" w:themeFillTint="66"/>
              <w:spacing w:before="40" w:after="40"/>
              <w:rPr>
                <w:rFonts w:ascii="Arial Narrow" w:hAnsi="Arial Narrow"/>
              </w:rPr>
            </w:pPr>
            <w:r w:rsidRPr="009A31ED">
              <w:rPr>
                <w:rFonts w:ascii="Arial Narrow" w:hAnsi="Arial Narrow"/>
                <w:lang w:eastAsia="en-AU"/>
              </w:rPr>
              <w:t>MAE at 30-days (base case)</w:t>
            </w:r>
          </w:p>
        </w:tc>
        <w:tc>
          <w:tcPr>
            <w:tcW w:w="2242" w:type="dxa"/>
            <w:shd w:val="clear" w:color="auto" w:fill="B4C6E7" w:themeFill="accent5" w:themeFillTint="66"/>
          </w:tcPr>
          <w:p w14:paraId="4F48E53B" w14:textId="77777777" w:rsidR="00646367" w:rsidRPr="009A31ED" w:rsidRDefault="00646367" w:rsidP="004807F5">
            <w:pPr>
              <w:shd w:val="clear" w:color="auto" w:fill="B4C6E7" w:themeFill="accent5" w:themeFillTint="66"/>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A31ED">
              <w:rPr>
                <w:rFonts w:ascii="Arial Narrow" w:hAnsi="Arial Narrow"/>
              </w:rPr>
              <w:t>4.38%</w:t>
            </w:r>
          </w:p>
        </w:tc>
        <w:tc>
          <w:tcPr>
            <w:tcW w:w="1915" w:type="dxa"/>
            <w:shd w:val="clear" w:color="auto" w:fill="B4C6E7" w:themeFill="accent5" w:themeFillTint="66"/>
          </w:tcPr>
          <w:p w14:paraId="3A8EE5B8" w14:textId="77777777" w:rsidR="00646367" w:rsidRPr="009A31ED" w:rsidRDefault="00646367" w:rsidP="004807F5">
            <w:pPr>
              <w:shd w:val="clear" w:color="auto" w:fill="B4C6E7" w:themeFill="accent5" w:themeFillTint="66"/>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A31ED">
              <w:rPr>
                <w:rFonts w:ascii="Arial Narrow" w:hAnsi="Arial Narrow"/>
              </w:rPr>
              <w:t>5%</w:t>
            </w:r>
          </w:p>
        </w:tc>
        <w:tc>
          <w:tcPr>
            <w:tcW w:w="1915" w:type="dxa"/>
            <w:shd w:val="clear" w:color="auto" w:fill="B4C6E7" w:themeFill="accent5" w:themeFillTint="66"/>
          </w:tcPr>
          <w:p w14:paraId="170FA328" w14:textId="77777777" w:rsidR="00646367" w:rsidRPr="009A31ED" w:rsidRDefault="00646367" w:rsidP="004807F5">
            <w:pPr>
              <w:shd w:val="clear" w:color="auto" w:fill="B4C6E7" w:themeFill="accent5" w:themeFillTint="66"/>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A31ED">
              <w:rPr>
                <w:rFonts w:ascii="Arial Narrow" w:hAnsi="Arial Narrow"/>
              </w:rPr>
              <w:t>0.87 (0.21, 3.58)</w:t>
            </w:r>
          </w:p>
        </w:tc>
      </w:tr>
      <w:tr w:rsidR="00646367" w:rsidRPr="009A31ED" w14:paraId="0393D381" w14:textId="77777777" w:rsidTr="00091167">
        <w:tc>
          <w:tcPr>
            <w:cnfStyle w:val="001000000000" w:firstRow="0" w:lastRow="0" w:firstColumn="1" w:lastColumn="0" w:oddVBand="0" w:evenVBand="0" w:oddHBand="0" w:evenHBand="0" w:firstRowFirstColumn="0" w:firstRowLastColumn="0" w:lastRowFirstColumn="0" w:lastRowLastColumn="0"/>
            <w:tcW w:w="2944" w:type="dxa"/>
          </w:tcPr>
          <w:p w14:paraId="7B26C04B" w14:textId="77777777" w:rsidR="00646367" w:rsidRPr="009A31ED" w:rsidRDefault="00646367" w:rsidP="004807F5">
            <w:pPr>
              <w:shd w:val="clear" w:color="auto" w:fill="B4C6E7" w:themeFill="accent5" w:themeFillTint="66"/>
              <w:spacing w:before="40" w:after="40"/>
              <w:rPr>
                <w:rFonts w:ascii="Arial Narrow" w:hAnsi="Arial Narrow"/>
                <w:lang w:eastAsia="en-AU"/>
              </w:rPr>
            </w:pPr>
            <w:r w:rsidRPr="009A31ED">
              <w:rPr>
                <w:rFonts w:ascii="Arial Narrow" w:hAnsi="Arial Narrow"/>
                <w:lang w:eastAsia="en-AU"/>
              </w:rPr>
              <w:t>MAE at 30-days (sensitivity)</w:t>
            </w:r>
          </w:p>
        </w:tc>
        <w:tc>
          <w:tcPr>
            <w:tcW w:w="2242" w:type="dxa"/>
            <w:shd w:val="clear" w:color="auto" w:fill="B4C6E7" w:themeFill="accent5" w:themeFillTint="66"/>
          </w:tcPr>
          <w:p w14:paraId="18ABE6D3" w14:textId="77777777" w:rsidR="00646367" w:rsidRPr="009A31ED" w:rsidRDefault="00646367" w:rsidP="004807F5">
            <w:pPr>
              <w:shd w:val="clear" w:color="auto" w:fill="B4C6E7" w:themeFill="accent5" w:themeFillTint="66"/>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A31ED">
              <w:rPr>
                <w:rFonts w:ascii="Arial Narrow" w:hAnsi="Arial Narrow"/>
              </w:rPr>
              <w:t>4.73%</w:t>
            </w:r>
          </w:p>
        </w:tc>
        <w:tc>
          <w:tcPr>
            <w:tcW w:w="1915" w:type="dxa"/>
            <w:shd w:val="clear" w:color="auto" w:fill="B4C6E7" w:themeFill="accent5" w:themeFillTint="66"/>
          </w:tcPr>
          <w:p w14:paraId="15C2DD95" w14:textId="77777777" w:rsidR="00646367" w:rsidRPr="009A31ED" w:rsidRDefault="00646367" w:rsidP="004807F5">
            <w:pPr>
              <w:shd w:val="clear" w:color="auto" w:fill="B4C6E7" w:themeFill="accent5" w:themeFillTint="66"/>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A31ED">
              <w:rPr>
                <w:rFonts w:ascii="Arial Narrow" w:hAnsi="Arial Narrow"/>
              </w:rPr>
              <w:t>5%</w:t>
            </w:r>
          </w:p>
        </w:tc>
        <w:tc>
          <w:tcPr>
            <w:tcW w:w="1915" w:type="dxa"/>
            <w:shd w:val="clear" w:color="auto" w:fill="B4C6E7" w:themeFill="accent5" w:themeFillTint="66"/>
          </w:tcPr>
          <w:p w14:paraId="6FBB680E" w14:textId="77777777" w:rsidR="00646367" w:rsidRPr="009A31ED" w:rsidRDefault="00646367" w:rsidP="004807F5">
            <w:pPr>
              <w:shd w:val="clear" w:color="auto" w:fill="B4C6E7" w:themeFill="accent5" w:themeFillTint="66"/>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A31ED">
              <w:rPr>
                <w:rFonts w:ascii="Arial Narrow" w:hAnsi="Arial Narrow"/>
              </w:rPr>
              <w:t>0.94 (0.28, 3.13)</w:t>
            </w:r>
          </w:p>
        </w:tc>
      </w:tr>
    </w:tbl>
    <w:p w14:paraId="5925BD6D" w14:textId="77777777" w:rsidR="00646367" w:rsidRPr="00E44D8B" w:rsidRDefault="00646367" w:rsidP="004807F5">
      <w:pPr>
        <w:pStyle w:val="Tablenotes"/>
        <w:shd w:val="clear" w:color="auto" w:fill="B4C6E7" w:themeFill="accent5" w:themeFillTint="66"/>
        <w:spacing w:before="0" w:after="0"/>
      </w:pPr>
      <w:r w:rsidRPr="00E44D8B">
        <w:t>CI=confidence interval; MAE=major adverse event; MAIC=matching adjusted indirect comparison; OR=odds ratio</w:t>
      </w:r>
    </w:p>
    <w:p w14:paraId="17E0D5F8" w14:textId="2CA7D715" w:rsidR="00646367" w:rsidRDefault="00646367" w:rsidP="004807F5">
      <w:pPr>
        <w:pStyle w:val="Tablenotes"/>
        <w:shd w:val="clear" w:color="auto" w:fill="B4C6E7" w:themeFill="accent5" w:themeFillTint="66"/>
        <w:spacing w:before="0" w:after="0"/>
      </w:pPr>
      <w:r w:rsidRPr="00E44D8B">
        <w:t>Source: Table 2-27, Attachment 2.4 – Additional MAIC analyses</w:t>
      </w:r>
    </w:p>
    <w:p w14:paraId="5DF601F1" w14:textId="77777777" w:rsidR="00E13326" w:rsidRPr="00427322" w:rsidRDefault="00E13326" w:rsidP="00E13326">
      <w:pPr>
        <w:pStyle w:val="Tablenotes"/>
      </w:pPr>
      <w:r w:rsidRPr="00427322">
        <w:t xml:space="preserve">Cells </w:t>
      </w:r>
      <w:r w:rsidRPr="00427322">
        <w:rPr>
          <w:shd w:val="clear" w:color="auto" w:fill="B4C6E7" w:themeFill="accent5" w:themeFillTint="66"/>
        </w:rPr>
        <w:t>shaded in blue</w:t>
      </w:r>
      <w:r w:rsidRPr="00427322">
        <w:t xml:space="preserve"> represent results previously considered by MSAC</w:t>
      </w:r>
    </w:p>
    <w:p w14:paraId="271D241C" w14:textId="317980BB" w:rsidR="00531D1A" w:rsidRPr="00993BF5" w:rsidRDefault="00646367" w:rsidP="004807F5">
      <w:pPr>
        <w:shd w:val="clear" w:color="auto" w:fill="B4C6E7" w:themeFill="accent5" w:themeFillTint="66"/>
        <w:rPr>
          <w:u w:val="single"/>
        </w:rPr>
      </w:pPr>
      <w:r>
        <w:t xml:space="preserve">With reconstructed MAE definition, the difference in MAE rates between PASCAL and </w:t>
      </w:r>
      <w:proofErr w:type="spellStart"/>
      <w:r>
        <w:t>MitraClip</w:t>
      </w:r>
      <w:proofErr w:type="spellEnd"/>
      <w:r>
        <w:t xml:space="preserve"> patients was no longer statistically significant. </w:t>
      </w:r>
    </w:p>
    <w:p w14:paraId="4D70DA09" w14:textId="77777777" w:rsidR="005C1F35" w:rsidRDefault="005C1F35" w:rsidP="002F74F3">
      <w:pPr>
        <w:pStyle w:val="Heading3"/>
      </w:pPr>
      <w:r>
        <w:t>Single-arm studies (Naïve comparisons)</w:t>
      </w:r>
    </w:p>
    <w:p w14:paraId="329264C5" w14:textId="51FA0875" w:rsidR="005C1F35" w:rsidRDefault="005C1F35" w:rsidP="005C1F35">
      <w:r>
        <w:t xml:space="preserve">The </w:t>
      </w:r>
      <w:r w:rsidR="0062136A">
        <w:t>current</w:t>
      </w:r>
      <w:r>
        <w:t xml:space="preserve"> ADAR complimented the MAIC analyses</w:t>
      </w:r>
      <w:r w:rsidRPr="00090B91">
        <w:t xml:space="preserve"> </w:t>
      </w:r>
      <w:r>
        <w:t xml:space="preserve">with a naïve single-arm comparison of results for PASCAL (CLASP and Mauri 2020) and </w:t>
      </w:r>
      <w:proofErr w:type="spellStart"/>
      <w:r>
        <w:t>MitraClip</w:t>
      </w:r>
      <w:proofErr w:type="spellEnd"/>
      <w:r>
        <w:t xml:space="preserve"> (the </w:t>
      </w:r>
      <w:proofErr w:type="spellStart"/>
      <w:r>
        <w:t>TMVr</w:t>
      </w:r>
      <w:proofErr w:type="spellEnd"/>
      <w:r>
        <w:t xml:space="preserve"> arms in COAPT and EVEREST-II trials). </w:t>
      </w:r>
      <w:r w:rsidRPr="008B1FFD">
        <w:t xml:space="preserve">The </w:t>
      </w:r>
      <w:proofErr w:type="spellStart"/>
      <w:r w:rsidRPr="008B1FFD">
        <w:t>MitraClip</w:t>
      </w:r>
      <w:proofErr w:type="spellEnd"/>
      <w:r w:rsidRPr="008B1FFD">
        <w:t xml:space="preserve"> results from the registry (Mack 2022) were also included. </w:t>
      </w:r>
      <w:r w:rsidR="0062136A" w:rsidRPr="00427322">
        <w:t xml:space="preserve">The </w:t>
      </w:r>
      <w:r w:rsidRPr="00427322">
        <w:t xml:space="preserve">Mauri (2020) and Mack (2022) studies were not assessed for quality, and although the baseline patient characteristics were extracted (Appendix B) there </w:t>
      </w:r>
      <w:r w:rsidR="00D56500" w:rsidRPr="00427322">
        <w:t xml:space="preserve">was </w:t>
      </w:r>
      <w:r w:rsidRPr="00427322">
        <w:t>no attempt to assess the eligibility of the study populations for the MBS items 38461 or 38463 or to compare their populations with the populations from other trials</w:t>
      </w:r>
      <w:r w:rsidRPr="0062136A">
        <w:rPr>
          <w:i/>
          <w:iCs/>
        </w:rPr>
        <w:t xml:space="preserve"> </w:t>
      </w:r>
      <w:r w:rsidRPr="00427322">
        <w:t>in the main body of the evidence. Nevertheless, the single-arm results (rather than results of non</w:t>
      </w:r>
      <w:r w:rsidR="00636B8B">
        <w:t>-</w:t>
      </w:r>
      <w:r w:rsidRPr="00427322">
        <w:t xml:space="preserve">randomised comparative studies) </w:t>
      </w:r>
      <w:bookmarkStart w:id="48" w:name="_Hlk110442147"/>
      <w:r w:rsidRPr="00427322">
        <w:t xml:space="preserve">appear to be the main basis for the clinical claim of noninferiority of PASCAL in terms of both safety and efficacy to the </w:t>
      </w:r>
      <w:proofErr w:type="spellStart"/>
      <w:r w:rsidRPr="00427322">
        <w:t>MitraClip</w:t>
      </w:r>
      <w:proofErr w:type="spellEnd"/>
      <w:r w:rsidRPr="00427322">
        <w:t xml:space="preserve"> </w:t>
      </w:r>
      <w:r w:rsidR="00FB3390" w:rsidRPr="00427322">
        <w:t>device</w:t>
      </w:r>
      <w:r w:rsidRPr="00427322">
        <w:t xml:space="preserve">. </w:t>
      </w:r>
      <w:bookmarkEnd w:id="48"/>
    </w:p>
    <w:p w14:paraId="3530B0C9" w14:textId="7CCBAA8B" w:rsidR="005C1F35" w:rsidRDefault="005C1F35" w:rsidP="005C1F35">
      <w:r w:rsidRPr="004807F5">
        <w:rPr>
          <w:shd w:val="clear" w:color="auto" w:fill="B4C6E7" w:themeFill="accent5" w:themeFillTint="66"/>
        </w:rPr>
        <w:t xml:space="preserve">CLASP study results were presented for the entire study population and also separately by the FMR and DMR subgroups. The FMR subgroup of </w:t>
      </w:r>
      <w:r w:rsidR="00FB3390" w:rsidRPr="004807F5">
        <w:rPr>
          <w:shd w:val="clear" w:color="auto" w:fill="B4C6E7" w:themeFill="accent5" w:themeFillTint="66"/>
        </w:rPr>
        <w:t xml:space="preserve">the </w:t>
      </w:r>
      <w:r w:rsidRPr="004807F5">
        <w:rPr>
          <w:shd w:val="clear" w:color="auto" w:fill="B4C6E7" w:themeFill="accent5" w:themeFillTint="66"/>
        </w:rPr>
        <w:t>CLASP trial could be compared with the COAPT population that included only FMR patients.</w:t>
      </w:r>
      <w:r>
        <w:t xml:space="preserve"> </w:t>
      </w:r>
      <w:r w:rsidR="0062136A">
        <w:t>The r</w:t>
      </w:r>
      <w:r>
        <w:t xml:space="preserve">esults for the mixed FMR and DMR population in EVEREST-II, Mauri, (2020) and Mack, (2022) were not disaggregated making any meaningful comparison difficult. </w:t>
      </w:r>
      <w:r w:rsidRPr="00427322">
        <w:t xml:space="preserve">Regardless of insufficient reporting, the informative value of naïve comparisons for decision making is </w:t>
      </w:r>
      <w:r w:rsidR="001C4084" w:rsidRPr="00427322">
        <w:t xml:space="preserve">limited </w:t>
      </w:r>
      <w:r w:rsidRPr="00427322">
        <w:t>because of the degree of potential bias associated with outcomes assembled across heterogenous populations, settings and study designs.</w:t>
      </w:r>
      <w:r w:rsidRPr="008B1FFD">
        <w:t xml:space="preserve"> </w:t>
      </w:r>
      <w:r w:rsidRPr="00427322">
        <w:t xml:space="preserve">Given inherent uncertainties of non-comparative results only selected summary tables </w:t>
      </w:r>
      <w:r w:rsidR="001C4084" w:rsidRPr="00427322">
        <w:t>are presented</w:t>
      </w:r>
      <w:r w:rsidRPr="00427322">
        <w:t>.</w:t>
      </w:r>
      <w:r>
        <w:t xml:space="preserve"> </w:t>
      </w:r>
    </w:p>
    <w:p w14:paraId="27FAD2FB" w14:textId="77777777" w:rsidR="005C1F35" w:rsidRDefault="005C1F35" w:rsidP="00427322">
      <w:pPr>
        <w:pStyle w:val="Heading4"/>
      </w:pPr>
      <w:r>
        <w:t>Overall survival</w:t>
      </w:r>
    </w:p>
    <w:p w14:paraId="5C7CB75B" w14:textId="79457356" w:rsidR="005C1F35" w:rsidRDefault="005C1F35" w:rsidP="004807F5">
      <w:pPr>
        <w:shd w:val="clear" w:color="auto" w:fill="B4C6E7" w:themeFill="accent5" w:themeFillTint="66"/>
        <w:spacing w:after="240"/>
      </w:pPr>
      <w:r>
        <w:t xml:space="preserve">As in the </w:t>
      </w:r>
      <w:r w:rsidR="0062136A">
        <w:t>previous</w:t>
      </w:r>
      <w:r>
        <w:t xml:space="preserve"> ADAR, t</w:t>
      </w:r>
      <w:r w:rsidRPr="00F86B1E">
        <w:t xml:space="preserve">he safety outcomes included in the </w:t>
      </w:r>
      <w:r w:rsidR="0062136A">
        <w:t>current A</w:t>
      </w:r>
      <w:r w:rsidRPr="00F86B1E">
        <w:t>DAR were overall survival, major adverse events (MAEs), stroke and myocardial infarction (MI) observed by 30 days</w:t>
      </w:r>
      <w:r>
        <w:t>.</w:t>
      </w:r>
    </w:p>
    <w:p w14:paraId="27184F8B" w14:textId="6AB05857" w:rsidR="00A64CAC" w:rsidRPr="00A64CAC" w:rsidRDefault="005C1F35" w:rsidP="00A64CAC">
      <w:pPr>
        <w:spacing w:after="240"/>
      </w:pPr>
      <w:r w:rsidRPr="004807F5">
        <w:rPr>
          <w:shd w:val="clear" w:color="auto" w:fill="B4C6E7" w:themeFill="accent5" w:themeFillTint="66"/>
        </w:rPr>
        <w:t xml:space="preserve">A naïve comparison of overall survival in the CLASP, COAPT and EVEREST-II studies is presented in </w:t>
      </w:r>
      <w:r w:rsidR="002A1816" w:rsidRPr="004807F5">
        <w:rPr>
          <w:shd w:val="clear" w:color="auto" w:fill="B4C6E7" w:themeFill="accent5" w:themeFillTint="66"/>
        </w:rPr>
        <w:fldChar w:fldCharType="begin"/>
      </w:r>
      <w:r w:rsidR="002A1816" w:rsidRPr="004807F5">
        <w:rPr>
          <w:shd w:val="clear" w:color="auto" w:fill="B4C6E7" w:themeFill="accent5" w:themeFillTint="66"/>
        </w:rPr>
        <w:instrText xml:space="preserve"> REF _Ref99099276 \h </w:instrText>
      </w:r>
      <w:r w:rsidR="00CA608B" w:rsidRPr="004807F5">
        <w:rPr>
          <w:shd w:val="clear" w:color="auto" w:fill="B4C6E7" w:themeFill="accent5" w:themeFillTint="66"/>
        </w:rPr>
        <w:instrText xml:space="preserve"> \* MERGEFORMAT </w:instrText>
      </w:r>
      <w:r w:rsidR="002A1816" w:rsidRPr="004807F5">
        <w:rPr>
          <w:shd w:val="clear" w:color="auto" w:fill="B4C6E7" w:themeFill="accent5" w:themeFillTint="66"/>
        </w:rPr>
      </w:r>
      <w:r w:rsidR="002A1816" w:rsidRPr="004807F5">
        <w:rPr>
          <w:shd w:val="clear" w:color="auto" w:fill="B4C6E7" w:themeFill="accent5" w:themeFillTint="66"/>
        </w:rPr>
        <w:fldChar w:fldCharType="separate"/>
      </w:r>
      <w:r w:rsidR="008B1FFD" w:rsidRPr="00427322">
        <w:rPr>
          <w:shd w:val="clear" w:color="auto" w:fill="B4C6E7" w:themeFill="accent5" w:themeFillTint="66"/>
        </w:rPr>
        <w:t xml:space="preserve">Table </w:t>
      </w:r>
      <w:r w:rsidR="008B1FFD" w:rsidRPr="00427322">
        <w:rPr>
          <w:noProof/>
          <w:shd w:val="clear" w:color="auto" w:fill="B4C6E7" w:themeFill="accent5" w:themeFillTint="66"/>
        </w:rPr>
        <w:t>12</w:t>
      </w:r>
      <w:r w:rsidR="002A1816" w:rsidRPr="004807F5">
        <w:rPr>
          <w:shd w:val="clear" w:color="auto" w:fill="B4C6E7" w:themeFill="accent5" w:themeFillTint="66"/>
        </w:rPr>
        <w:fldChar w:fldCharType="end"/>
      </w:r>
      <w:r w:rsidR="002A1816" w:rsidRPr="004807F5">
        <w:rPr>
          <w:shd w:val="clear" w:color="auto" w:fill="B4C6E7" w:themeFill="accent5" w:themeFillTint="66"/>
        </w:rPr>
        <w:t xml:space="preserve"> (</w:t>
      </w:r>
      <w:r w:rsidRPr="004807F5">
        <w:rPr>
          <w:shd w:val="clear" w:color="auto" w:fill="B4C6E7" w:themeFill="accent5" w:themeFillTint="66"/>
        </w:rPr>
        <w:t>FMR</w:t>
      </w:r>
      <w:r w:rsidR="002A1816" w:rsidRPr="004807F5">
        <w:rPr>
          <w:shd w:val="clear" w:color="auto" w:fill="B4C6E7" w:themeFill="accent5" w:themeFillTint="66"/>
        </w:rPr>
        <w:t xml:space="preserve">) and </w:t>
      </w:r>
      <w:r w:rsidR="002A1816" w:rsidRPr="004807F5">
        <w:rPr>
          <w:shd w:val="clear" w:color="auto" w:fill="B4C6E7" w:themeFill="accent5" w:themeFillTint="66"/>
        </w:rPr>
        <w:fldChar w:fldCharType="begin"/>
      </w:r>
      <w:r w:rsidR="002A1816" w:rsidRPr="004807F5">
        <w:rPr>
          <w:shd w:val="clear" w:color="auto" w:fill="B4C6E7" w:themeFill="accent5" w:themeFillTint="66"/>
        </w:rPr>
        <w:instrText xml:space="preserve"> REF _Ref111526531 \h </w:instrText>
      </w:r>
      <w:r w:rsidR="00CA608B" w:rsidRPr="004807F5">
        <w:rPr>
          <w:shd w:val="clear" w:color="auto" w:fill="B4C6E7" w:themeFill="accent5" w:themeFillTint="66"/>
        </w:rPr>
        <w:instrText xml:space="preserve"> \* MERGEFORMAT </w:instrText>
      </w:r>
      <w:r w:rsidR="002A1816" w:rsidRPr="004807F5">
        <w:rPr>
          <w:shd w:val="clear" w:color="auto" w:fill="B4C6E7" w:themeFill="accent5" w:themeFillTint="66"/>
        </w:rPr>
      </w:r>
      <w:r w:rsidR="002A1816" w:rsidRPr="004807F5">
        <w:rPr>
          <w:shd w:val="clear" w:color="auto" w:fill="B4C6E7" w:themeFill="accent5" w:themeFillTint="66"/>
        </w:rPr>
        <w:fldChar w:fldCharType="separate"/>
      </w:r>
      <w:r w:rsidR="008B1FFD" w:rsidRPr="00427322">
        <w:rPr>
          <w:shd w:val="clear" w:color="auto" w:fill="B4C6E7" w:themeFill="accent5" w:themeFillTint="66"/>
        </w:rPr>
        <w:t xml:space="preserve">Table </w:t>
      </w:r>
      <w:r w:rsidR="008B1FFD" w:rsidRPr="00427322">
        <w:rPr>
          <w:noProof/>
          <w:shd w:val="clear" w:color="auto" w:fill="B4C6E7" w:themeFill="accent5" w:themeFillTint="66"/>
        </w:rPr>
        <w:t>13</w:t>
      </w:r>
      <w:r w:rsidR="002A1816" w:rsidRPr="004807F5">
        <w:rPr>
          <w:shd w:val="clear" w:color="auto" w:fill="B4C6E7" w:themeFill="accent5" w:themeFillTint="66"/>
        </w:rPr>
        <w:fldChar w:fldCharType="end"/>
      </w:r>
      <w:r w:rsidR="002A1816" w:rsidRPr="004807F5">
        <w:rPr>
          <w:shd w:val="clear" w:color="auto" w:fill="B4C6E7" w:themeFill="accent5" w:themeFillTint="66"/>
        </w:rPr>
        <w:t xml:space="preserve"> (</w:t>
      </w:r>
      <w:r w:rsidRPr="004807F5">
        <w:rPr>
          <w:shd w:val="clear" w:color="auto" w:fill="B4C6E7" w:themeFill="accent5" w:themeFillTint="66"/>
        </w:rPr>
        <w:t>mixed populations</w:t>
      </w:r>
      <w:r w:rsidR="002A1816" w:rsidRPr="004807F5">
        <w:rPr>
          <w:shd w:val="clear" w:color="auto" w:fill="B4C6E7" w:themeFill="accent5" w:themeFillTint="66"/>
        </w:rPr>
        <w:t>)</w:t>
      </w:r>
      <w:r w:rsidRPr="004807F5">
        <w:rPr>
          <w:shd w:val="clear" w:color="auto" w:fill="B4C6E7" w:themeFill="accent5" w:themeFillTint="66"/>
        </w:rPr>
        <w:t>.</w:t>
      </w:r>
      <w:r>
        <w:t xml:space="preserve"> </w:t>
      </w:r>
      <w:bookmarkStart w:id="49" w:name="_Hlk110600696"/>
      <w:r>
        <w:t xml:space="preserve">At 12 months, PASCAL patients from the FMR subgroup in CLASP had a higher rate of overall survival than patients treated with </w:t>
      </w:r>
      <w:proofErr w:type="spellStart"/>
      <w:r>
        <w:t>MitraClip</w:t>
      </w:r>
      <w:proofErr w:type="spellEnd"/>
      <w:r>
        <w:t xml:space="preserve"> in COAPT; the survival rates between PASCAL and </w:t>
      </w:r>
      <w:proofErr w:type="spellStart"/>
      <w:r>
        <w:t>MitraClip</w:t>
      </w:r>
      <w:proofErr w:type="spellEnd"/>
      <w:r>
        <w:t xml:space="preserve"> were similar at 24 months. </w:t>
      </w:r>
      <w:r w:rsidR="0062136A" w:rsidRPr="000A1906">
        <w:t>The n</w:t>
      </w:r>
      <w:r w:rsidRPr="000A1906">
        <w:t xml:space="preserve">aïve comparison does not explain to what degree the overall survival difference in favour of PASCAL at 12 months can be explained by the baseline differences in patient characteristics (i.e. </w:t>
      </w:r>
      <w:proofErr w:type="spellStart"/>
      <w:r w:rsidRPr="000A1906">
        <w:t>MitraClip</w:t>
      </w:r>
      <w:proofErr w:type="spellEnd"/>
      <w:r w:rsidRPr="000A1906">
        <w:t xml:space="preserve"> patients being of poorer health).</w:t>
      </w:r>
      <w:r w:rsidRPr="00712E8C">
        <w:t xml:space="preserve"> </w:t>
      </w:r>
      <w:bookmarkStart w:id="50" w:name="_Ref99099276"/>
      <w:bookmarkStart w:id="51" w:name="_Toc105505206"/>
      <w:bookmarkEnd w:id="49"/>
      <w:r w:rsidR="00A64CAC">
        <w:br w:type="page"/>
      </w:r>
    </w:p>
    <w:p w14:paraId="1E482CB1" w14:textId="71A6CD21" w:rsidR="005C1F35" w:rsidRDefault="0062136A" w:rsidP="005C1F35">
      <w:pPr>
        <w:pStyle w:val="Caption"/>
      </w:pPr>
      <w:r>
        <w:lastRenderedPageBreak/>
        <w:t xml:space="preserve">Table </w:t>
      </w:r>
      <w:fldSimple w:instr=" SEQ Table \* ARABIC ">
        <w:r w:rsidR="007512A8">
          <w:rPr>
            <w:noProof/>
          </w:rPr>
          <w:t>12</w:t>
        </w:r>
      </w:fldSimple>
      <w:bookmarkEnd w:id="50"/>
      <w:r>
        <w:tab/>
      </w:r>
      <w:r w:rsidR="005C1F35">
        <w:t xml:space="preserve">Naïve comparison of overall survival </w:t>
      </w:r>
      <w:bookmarkEnd w:id="51"/>
      <w:r w:rsidR="005C1F35">
        <w:t xml:space="preserve">in PASCAL and </w:t>
      </w:r>
      <w:proofErr w:type="spellStart"/>
      <w:r w:rsidR="005C1F35">
        <w:t>MitraClip</w:t>
      </w:r>
      <w:proofErr w:type="spellEnd"/>
      <w:r w:rsidR="005C1F35">
        <w:t xml:space="preserve"> studies (FMR population)</w:t>
      </w:r>
    </w:p>
    <w:tbl>
      <w:tblPr>
        <w:tblStyle w:val="MSAC"/>
        <w:tblW w:w="4950" w:type="pct"/>
        <w:tblCellMar>
          <w:left w:w="28" w:type="dxa"/>
          <w:right w:w="28" w:type="dxa"/>
        </w:tblCellMar>
        <w:tblLook w:val="04A0" w:firstRow="1" w:lastRow="0" w:firstColumn="1" w:lastColumn="0" w:noHBand="0" w:noVBand="1"/>
      </w:tblPr>
      <w:tblGrid>
        <w:gridCol w:w="2916"/>
        <w:gridCol w:w="3144"/>
        <w:gridCol w:w="3170"/>
      </w:tblGrid>
      <w:tr w:rsidR="005C1F35" w:rsidRPr="0062136A" w14:paraId="224B914B" w14:textId="77777777" w:rsidTr="004807F5">
        <w:trPr>
          <w:cnfStyle w:val="100000000000" w:firstRow="1" w:lastRow="0" w:firstColumn="0" w:lastColumn="0" w:oddVBand="0" w:evenVBand="0" w:oddHBand="0" w:evenHBand="0" w:firstRowFirstColumn="0" w:firstRowLastColumn="0" w:lastRowFirstColumn="0" w:lastRowLastColumn="0"/>
        </w:trPr>
        <w:tc>
          <w:tcPr>
            <w:tcW w:w="0" w:type="pct"/>
          </w:tcPr>
          <w:p w14:paraId="308AC7FF" w14:textId="77777777" w:rsidR="005C1F35" w:rsidRPr="0062136A" w:rsidRDefault="005C1F35" w:rsidP="0062136A">
            <w:pPr>
              <w:spacing w:before="40" w:after="40"/>
              <w:rPr>
                <w:rFonts w:ascii="Arial Narrow" w:hAnsi="Arial Narrow" w:cstheme="minorHAnsi"/>
              </w:rPr>
            </w:pPr>
            <w:r w:rsidRPr="0062136A">
              <w:rPr>
                <w:rFonts w:ascii="Arial Narrow" w:hAnsi="Arial Narrow" w:cstheme="minorHAnsi"/>
                <w:bCs/>
              </w:rPr>
              <w:t>Safety event</w:t>
            </w:r>
          </w:p>
        </w:tc>
        <w:tc>
          <w:tcPr>
            <w:tcW w:w="0" w:type="pct"/>
            <w:shd w:val="clear" w:color="auto" w:fill="B4C6E7" w:themeFill="accent5" w:themeFillTint="66"/>
            <w:vAlign w:val="top"/>
          </w:tcPr>
          <w:p w14:paraId="1B7FEDE9" w14:textId="2DE8BD1C" w:rsidR="005C1F35" w:rsidRPr="0062136A" w:rsidRDefault="005C1F35" w:rsidP="0062136A">
            <w:pPr>
              <w:spacing w:before="40" w:after="40"/>
              <w:jc w:val="center"/>
              <w:rPr>
                <w:rFonts w:ascii="Arial Narrow" w:hAnsi="Arial Narrow" w:cstheme="minorHAnsi"/>
                <w:b w:val="0"/>
                <w:bCs/>
              </w:rPr>
            </w:pPr>
            <w:r w:rsidRPr="0062136A">
              <w:rPr>
                <w:rFonts w:ascii="Arial Narrow" w:hAnsi="Arial Narrow" w:cstheme="minorHAnsi"/>
              </w:rPr>
              <w:t>CLASP</w:t>
            </w:r>
            <w:r w:rsidR="0062136A">
              <w:rPr>
                <w:rFonts w:ascii="Arial Narrow" w:hAnsi="Arial Narrow" w:cstheme="minorHAnsi"/>
              </w:rPr>
              <w:t xml:space="preserve"> </w:t>
            </w:r>
            <w:r w:rsidRPr="0062136A">
              <w:rPr>
                <w:rFonts w:ascii="Arial Narrow" w:hAnsi="Arial Narrow" w:cstheme="minorHAnsi"/>
              </w:rPr>
              <w:t>(PASCAL)</w:t>
            </w:r>
            <w:r w:rsidRPr="0062136A">
              <w:rPr>
                <w:rFonts w:ascii="Arial Narrow" w:hAnsi="Arial Narrow" w:cstheme="minorHAnsi"/>
                <w:bCs/>
              </w:rPr>
              <w:t xml:space="preserve"> </w:t>
            </w:r>
          </w:p>
          <w:p w14:paraId="15D6B9D2" w14:textId="77777777" w:rsidR="005C1F35" w:rsidRPr="0062136A" w:rsidRDefault="005C1F35" w:rsidP="0062136A">
            <w:pPr>
              <w:spacing w:before="40" w:after="40"/>
              <w:jc w:val="center"/>
              <w:rPr>
                <w:rFonts w:ascii="Arial Narrow" w:hAnsi="Arial Narrow" w:cstheme="minorHAnsi"/>
              </w:rPr>
            </w:pPr>
            <w:r w:rsidRPr="0062136A">
              <w:rPr>
                <w:rFonts w:ascii="Arial Narrow" w:hAnsi="Arial Narrow" w:cstheme="minorHAnsi"/>
                <w:bCs/>
              </w:rPr>
              <w:t>FMR (N=85)</w:t>
            </w:r>
          </w:p>
        </w:tc>
        <w:tc>
          <w:tcPr>
            <w:tcW w:w="0" w:type="pct"/>
            <w:vAlign w:val="top"/>
          </w:tcPr>
          <w:p w14:paraId="3DA41B47" w14:textId="594F1124" w:rsidR="005C1F35" w:rsidRPr="0062136A" w:rsidRDefault="005C1F35" w:rsidP="0062136A">
            <w:pPr>
              <w:spacing w:before="40" w:after="40"/>
              <w:jc w:val="center"/>
              <w:rPr>
                <w:rFonts w:ascii="Arial Narrow" w:hAnsi="Arial Narrow" w:cstheme="minorHAnsi"/>
                <w:bCs/>
              </w:rPr>
            </w:pPr>
            <w:r w:rsidRPr="0062136A">
              <w:rPr>
                <w:rFonts w:ascii="Arial Narrow" w:hAnsi="Arial Narrow" w:cstheme="minorHAnsi"/>
              </w:rPr>
              <w:t>COAPT</w:t>
            </w:r>
            <w:r w:rsidR="0062136A">
              <w:rPr>
                <w:rFonts w:ascii="Arial Narrow" w:hAnsi="Arial Narrow" w:cstheme="minorHAnsi"/>
              </w:rPr>
              <w:t xml:space="preserve"> </w:t>
            </w:r>
            <w:r w:rsidRPr="0062136A">
              <w:rPr>
                <w:rFonts w:ascii="Arial Narrow" w:hAnsi="Arial Narrow" w:cstheme="minorHAnsi"/>
              </w:rPr>
              <w:t>(</w:t>
            </w:r>
            <w:proofErr w:type="spellStart"/>
            <w:r w:rsidRPr="0062136A">
              <w:rPr>
                <w:rFonts w:ascii="Arial Narrow" w:hAnsi="Arial Narrow" w:cstheme="minorHAnsi"/>
              </w:rPr>
              <w:t>MitraClip</w:t>
            </w:r>
            <w:proofErr w:type="spellEnd"/>
            <w:r w:rsidRPr="0062136A">
              <w:rPr>
                <w:rFonts w:ascii="Arial Narrow" w:hAnsi="Arial Narrow" w:cstheme="minorHAnsi"/>
              </w:rPr>
              <w:t>)</w:t>
            </w:r>
            <w:r w:rsidRPr="0062136A">
              <w:rPr>
                <w:rFonts w:ascii="Arial Narrow" w:hAnsi="Arial Narrow" w:cstheme="minorHAnsi"/>
                <w:b w:val="0"/>
                <w:bCs/>
              </w:rPr>
              <w:t xml:space="preserve"> </w:t>
            </w:r>
          </w:p>
          <w:p w14:paraId="5BB74E81" w14:textId="77777777" w:rsidR="005C1F35" w:rsidRPr="0062136A" w:rsidRDefault="005C1F35" w:rsidP="0062136A">
            <w:pPr>
              <w:spacing w:before="40" w:after="40"/>
              <w:jc w:val="center"/>
              <w:rPr>
                <w:rFonts w:ascii="Arial Narrow" w:hAnsi="Arial Narrow" w:cstheme="minorHAnsi"/>
                <w:b w:val="0"/>
                <w:bCs/>
              </w:rPr>
            </w:pPr>
            <w:r w:rsidRPr="0062136A">
              <w:rPr>
                <w:rFonts w:ascii="Arial Narrow" w:hAnsi="Arial Narrow" w:cstheme="minorHAnsi"/>
                <w:bCs/>
              </w:rPr>
              <w:t>FMR (N=302)</w:t>
            </w:r>
          </w:p>
        </w:tc>
      </w:tr>
      <w:tr w:rsidR="005C1F35" w:rsidRPr="0062136A" w14:paraId="2C6D67A5" w14:textId="77777777" w:rsidTr="004807F5">
        <w:tc>
          <w:tcPr>
            <w:tcW w:w="0" w:type="pct"/>
          </w:tcPr>
          <w:p w14:paraId="4811A956" w14:textId="77777777" w:rsidR="005C1F35" w:rsidRPr="0062136A" w:rsidRDefault="005C1F35" w:rsidP="0062136A">
            <w:pPr>
              <w:spacing w:before="40" w:after="40"/>
              <w:rPr>
                <w:rFonts w:ascii="Arial Narrow" w:hAnsi="Arial Narrow"/>
              </w:rPr>
            </w:pPr>
            <w:r w:rsidRPr="0062136A">
              <w:rPr>
                <w:rFonts w:ascii="Arial Narrow" w:hAnsi="Arial Narrow"/>
              </w:rPr>
              <w:t>Overall survival at 12 months</w:t>
            </w:r>
          </w:p>
        </w:tc>
        <w:tc>
          <w:tcPr>
            <w:tcW w:w="0" w:type="pct"/>
            <w:shd w:val="clear" w:color="auto" w:fill="B4C6E7" w:themeFill="accent5" w:themeFillTint="66"/>
          </w:tcPr>
          <w:p w14:paraId="689A1FD5" w14:textId="77777777" w:rsidR="005C1F35" w:rsidRPr="0062136A" w:rsidRDefault="005C1F35" w:rsidP="0062136A">
            <w:pPr>
              <w:spacing w:before="40" w:after="40"/>
              <w:jc w:val="center"/>
              <w:rPr>
                <w:rFonts w:ascii="Arial Narrow" w:hAnsi="Arial Narrow"/>
              </w:rPr>
            </w:pPr>
            <w:r w:rsidRPr="0062136A">
              <w:rPr>
                <w:rFonts w:ascii="Arial Narrow" w:hAnsi="Arial Narrow"/>
              </w:rPr>
              <w:t>89.4%</w:t>
            </w:r>
          </w:p>
        </w:tc>
        <w:tc>
          <w:tcPr>
            <w:tcW w:w="0" w:type="pct"/>
          </w:tcPr>
          <w:p w14:paraId="7BC4152D" w14:textId="77777777" w:rsidR="005C1F35" w:rsidRPr="0062136A" w:rsidRDefault="005C1F35" w:rsidP="0062136A">
            <w:pPr>
              <w:spacing w:before="40" w:after="40"/>
              <w:jc w:val="center"/>
              <w:rPr>
                <w:rFonts w:ascii="Arial Narrow" w:hAnsi="Arial Narrow"/>
              </w:rPr>
            </w:pPr>
            <w:r w:rsidRPr="0062136A">
              <w:rPr>
                <w:rFonts w:ascii="Arial Narrow" w:hAnsi="Arial Narrow"/>
              </w:rPr>
              <w:t>80.9%</w:t>
            </w:r>
          </w:p>
        </w:tc>
      </w:tr>
      <w:tr w:rsidR="005C1F35" w:rsidRPr="0062136A" w14:paraId="265DF79C" w14:textId="77777777" w:rsidTr="004807F5">
        <w:tc>
          <w:tcPr>
            <w:tcW w:w="0" w:type="pct"/>
          </w:tcPr>
          <w:p w14:paraId="7C2DE800" w14:textId="77777777" w:rsidR="005C1F35" w:rsidRPr="0062136A" w:rsidRDefault="005C1F35" w:rsidP="0062136A">
            <w:pPr>
              <w:spacing w:before="40" w:after="40"/>
              <w:rPr>
                <w:rFonts w:ascii="Arial Narrow" w:hAnsi="Arial Narrow"/>
              </w:rPr>
            </w:pPr>
            <w:r w:rsidRPr="0062136A">
              <w:rPr>
                <w:rFonts w:ascii="Arial Narrow" w:hAnsi="Arial Narrow"/>
              </w:rPr>
              <w:t>Overall survival at 24 months</w:t>
            </w:r>
          </w:p>
        </w:tc>
        <w:tc>
          <w:tcPr>
            <w:tcW w:w="0" w:type="pct"/>
            <w:shd w:val="clear" w:color="auto" w:fill="B4C6E7" w:themeFill="accent5" w:themeFillTint="66"/>
          </w:tcPr>
          <w:p w14:paraId="082A37A6" w14:textId="77777777" w:rsidR="005C1F35" w:rsidRPr="0062136A" w:rsidRDefault="005C1F35" w:rsidP="0062136A">
            <w:pPr>
              <w:spacing w:before="40" w:after="40"/>
              <w:jc w:val="center"/>
              <w:rPr>
                <w:rFonts w:ascii="Arial Narrow" w:hAnsi="Arial Narrow"/>
              </w:rPr>
            </w:pPr>
            <w:r w:rsidRPr="0062136A">
              <w:rPr>
                <w:rFonts w:ascii="Arial Narrow" w:hAnsi="Arial Narrow"/>
              </w:rPr>
              <w:t>72.3%</w:t>
            </w:r>
          </w:p>
        </w:tc>
        <w:tc>
          <w:tcPr>
            <w:tcW w:w="0" w:type="pct"/>
            <w:shd w:val="clear" w:color="auto" w:fill="B4C6E7" w:themeFill="accent5" w:themeFillTint="66"/>
          </w:tcPr>
          <w:p w14:paraId="56A5814B" w14:textId="2C5AA2D7" w:rsidR="005C1F35" w:rsidRPr="0062136A" w:rsidRDefault="005C1F35" w:rsidP="0062136A">
            <w:pPr>
              <w:spacing w:before="40" w:after="40"/>
              <w:jc w:val="center"/>
              <w:rPr>
                <w:rFonts w:ascii="Arial Narrow" w:hAnsi="Arial Narrow"/>
                <w:strike/>
              </w:rPr>
            </w:pPr>
            <w:r w:rsidRPr="0062136A">
              <w:rPr>
                <w:rFonts w:ascii="Arial Narrow" w:hAnsi="Arial Narrow"/>
                <w:i/>
                <w:iCs/>
              </w:rPr>
              <w:t>70.9%</w:t>
            </w:r>
          </w:p>
        </w:tc>
      </w:tr>
    </w:tbl>
    <w:p w14:paraId="7DF0DB95" w14:textId="77777777" w:rsidR="005C1F35" w:rsidRDefault="005C1F35" w:rsidP="005C1F35">
      <w:pPr>
        <w:pStyle w:val="Tablenotes"/>
      </w:pPr>
      <w:r>
        <w:t>DMR=degenerative mitral regurgitation; FMR=functional mitral regurgitation; NR=not reported</w:t>
      </w:r>
    </w:p>
    <w:p w14:paraId="1C24E103" w14:textId="77777777" w:rsidR="005C1F35" w:rsidRDefault="005C1F35" w:rsidP="005C1F35">
      <w:pPr>
        <w:pStyle w:val="Tablenotes"/>
      </w:pPr>
      <w:r>
        <w:t xml:space="preserve">Notes: </w:t>
      </w:r>
      <w:r w:rsidRPr="00FD758B">
        <w:t>a</w:t>
      </w:r>
      <w:r>
        <w:t xml:space="preserve"> For procedures reported in 2018</w:t>
      </w:r>
    </w:p>
    <w:p w14:paraId="7573A468" w14:textId="77777777" w:rsidR="00E13326" w:rsidRPr="00427322" w:rsidRDefault="00E13326" w:rsidP="00E13326">
      <w:pPr>
        <w:pStyle w:val="Tablenotes"/>
      </w:pPr>
      <w:r w:rsidRPr="00427322">
        <w:t xml:space="preserve">Cells </w:t>
      </w:r>
      <w:r w:rsidRPr="00427322">
        <w:rPr>
          <w:shd w:val="clear" w:color="auto" w:fill="B4C6E7" w:themeFill="accent5" w:themeFillTint="66"/>
        </w:rPr>
        <w:t>shaded in blue</w:t>
      </w:r>
      <w:r w:rsidRPr="00427322">
        <w:t xml:space="preserve"> represent results previously considered by MSAC</w:t>
      </w:r>
    </w:p>
    <w:p w14:paraId="29515DFA" w14:textId="13171819" w:rsidR="005C1F35" w:rsidRDefault="005C1F35" w:rsidP="005C1F35">
      <w:bookmarkStart w:id="52" w:name="_Hlk110600732"/>
      <w:r>
        <w:t xml:space="preserve">At 12 months, </w:t>
      </w:r>
      <w:r w:rsidR="0062136A">
        <w:t xml:space="preserve">the </w:t>
      </w:r>
      <w:r>
        <w:t xml:space="preserve">mixed patient population in CLASP had a higher rate of overall survival than patients from the </w:t>
      </w:r>
      <w:proofErr w:type="spellStart"/>
      <w:r>
        <w:t>MitraClip</w:t>
      </w:r>
      <w:proofErr w:type="spellEnd"/>
      <w:r>
        <w:t xml:space="preserve"> registry (Mack 2022) but a similar rate to the </w:t>
      </w:r>
      <w:proofErr w:type="spellStart"/>
      <w:r>
        <w:t>MitraClip</w:t>
      </w:r>
      <w:proofErr w:type="spellEnd"/>
      <w:r>
        <w:t xml:space="preserve"> patients from EVEREST-II. At 24 months, however, patients in the EVEREST-II study, had a higher rate of overall survival compared to CLASP. </w:t>
      </w:r>
    </w:p>
    <w:p w14:paraId="318F05A8" w14:textId="7A0FA2AD" w:rsidR="005C1F35" w:rsidRDefault="0062136A" w:rsidP="005C1F35">
      <w:pPr>
        <w:pStyle w:val="Caption"/>
      </w:pPr>
      <w:bookmarkStart w:id="53" w:name="_Ref111526531"/>
      <w:bookmarkEnd w:id="52"/>
      <w:r>
        <w:t xml:space="preserve">Table </w:t>
      </w:r>
      <w:fldSimple w:instr=" SEQ Table \* ARABIC ">
        <w:r w:rsidR="007512A8">
          <w:rPr>
            <w:noProof/>
          </w:rPr>
          <w:t>13</w:t>
        </w:r>
      </w:fldSimple>
      <w:bookmarkEnd w:id="53"/>
      <w:r>
        <w:tab/>
      </w:r>
      <w:r w:rsidR="005C1F35">
        <w:t xml:space="preserve">Naïve comparison of overall survival in PASCAL and </w:t>
      </w:r>
      <w:proofErr w:type="spellStart"/>
      <w:r w:rsidR="005C1F35">
        <w:t>MitraClip</w:t>
      </w:r>
      <w:proofErr w:type="spellEnd"/>
      <w:r w:rsidR="005C1F35">
        <w:t xml:space="preserve"> studies (mixed population)</w:t>
      </w:r>
    </w:p>
    <w:tbl>
      <w:tblPr>
        <w:tblStyle w:val="MSAC"/>
        <w:tblW w:w="4950" w:type="pct"/>
        <w:tblCellMar>
          <w:left w:w="28" w:type="dxa"/>
          <w:right w:w="28" w:type="dxa"/>
        </w:tblCellMar>
        <w:tblLook w:val="04A0" w:firstRow="1" w:lastRow="0" w:firstColumn="1" w:lastColumn="0" w:noHBand="0" w:noVBand="1"/>
      </w:tblPr>
      <w:tblGrid>
        <w:gridCol w:w="2121"/>
        <w:gridCol w:w="2349"/>
        <w:gridCol w:w="2385"/>
        <w:gridCol w:w="2375"/>
      </w:tblGrid>
      <w:tr w:rsidR="005C1F35" w:rsidRPr="0062136A" w14:paraId="508DD3B0" w14:textId="77777777" w:rsidTr="004807F5">
        <w:trPr>
          <w:cnfStyle w:val="100000000000" w:firstRow="1" w:lastRow="0" w:firstColumn="0" w:lastColumn="0" w:oddVBand="0" w:evenVBand="0" w:oddHBand="0" w:evenHBand="0" w:firstRowFirstColumn="0" w:firstRowLastColumn="0" w:lastRowFirstColumn="0" w:lastRowLastColumn="0"/>
        </w:trPr>
        <w:tc>
          <w:tcPr>
            <w:tcW w:w="0" w:type="pct"/>
            <w:vMerge w:val="restart"/>
          </w:tcPr>
          <w:p w14:paraId="56D8BC98" w14:textId="77777777" w:rsidR="005C1F35" w:rsidRPr="0062136A" w:rsidRDefault="005C1F35" w:rsidP="0062136A">
            <w:pPr>
              <w:spacing w:before="40" w:after="40"/>
              <w:jc w:val="center"/>
              <w:rPr>
                <w:rFonts w:ascii="Arial Narrow" w:hAnsi="Arial Narrow" w:cstheme="minorHAnsi"/>
              </w:rPr>
            </w:pPr>
            <w:r w:rsidRPr="0062136A">
              <w:rPr>
                <w:rFonts w:ascii="Arial Narrow" w:hAnsi="Arial Narrow" w:cstheme="minorHAnsi"/>
                <w:bCs/>
              </w:rPr>
              <w:t>Safety event</w:t>
            </w:r>
          </w:p>
        </w:tc>
        <w:tc>
          <w:tcPr>
            <w:tcW w:w="0" w:type="pct"/>
            <w:shd w:val="clear" w:color="auto" w:fill="B4C6E7" w:themeFill="accent5" w:themeFillTint="66"/>
            <w:vAlign w:val="top"/>
          </w:tcPr>
          <w:p w14:paraId="53C806C2" w14:textId="77777777" w:rsidR="005C1F35" w:rsidRPr="0062136A" w:rsidRDefault="005C1F35" w:rsidP="0062136A">
            <w:pPr>
              <w:spacing w:before="40" w:after="40"/>
              <w:jc w:val="center"/>
              <w:rPr>
                <w:rFonts w:ascii="Arial Narrow" w:hAnsi="Arial Narrow" w:cstheme="minorHAnsi"/>
                <w:b w:val="0"/>
              </w:rPr>
            </w:pPr>
            <w:r w:rsidRPr="0062136A">
              <w:rPr>
                <w:rFonts w:ascii="Arial Narrow" w:hAnsi="Arial Narrow" w:cstheme="minorHAnsi"/>
              </w:rPr>
              <w:t>CLASP</w:t>
            </w:r>
          </w:p>
          <w:p w14:paraId="3BB81DC3" w14:textId="77777777" w:rsidR="005C1F35" w:rsidRPr="0062136A" w:rsidRDefault="005C1F35" w:rsidP="0062136A">
            <w:pPr>
              <w:spacing w:before="40" w:after="40"/>
              <w:jc w:val="center"/>
              <w:rPr>
                <w:rFonts w:ascii="Arial Narrow" w:hAnsi="Arial Narrow" w:cstheme="minorHAnsi"/>
              </w:rPr>
            </w:pPr>
            <w:r w:rsidRPr="0062136A">
              <w:rPr>
                <w:rFonts w:ascii="Arial Narrow" w:hAnsi="Arial Narrow" w:cstheme="minorHAnsi"/>
              </w:rPr>
              <w:t>(PASCAL)</w:t>
            </w:r>
          </w:p>
        </w:tc>
        <w:tc>
          <w:tcPr>
            <w:tcW w:w="0" w:type="pct"/>
            <w:vAlign w:val="top"/>
          </w:tcPr>
          <w:p w14:paraId="215AA127" w14:textId="77777777" w:rsidR="005C1F35" w:rsidRPr="0062136A" w:rsidRDefault="005C1F35" w:rsidP="0062136A">
            <w:pPr>
              <w:spacing w:before="40" w:after="40"/>
              <w:jc w:val="center"/>
              <w:rPr>
                <w:rFonts w:ascii="Arial Narrow" w:hAnsi="Arial Narrow" w:cstheme="minorHAnsi"/>
                <w:b w:val="0"/>
              </w:rPr>
            </w:pPr>
            <w:r w:rsidRPr="0062136A">
              <w:rPr>
                <w:rFonts w:ascii="Arial Narrow" w:hAnsi="Arial Narrow" w:cstheme="minorHAnsi"/>
              </w:rPr>
              <w:t>EVEREST-II</w:t>
            </w:r>
          </w:p>
          <w:p w14:paraId="2CE50A72" w14:textId="77777777" w:rsidR="005C1F35" w:rsidRPr="0062136A" w:rsidRDefault="005C1F35" w:rsidP="0062136A">
            <w:pPr>
              <w:spacing w:before="40" w:after="40"/>
              <w:jc w:val="center"/>
              <w:rPr>
                <w:rFonts w:ascii="Arial Narrow" w:hAnsi="Arial Narrow" w:cstheme="minorHAnsi"/>
                <w:b w:val="0"/>
              </w:rPr>
            </w:pPr>
            <w:r w:rsidRPr="0062136A">
              <w:rPr>
                <w:rFonts w:ascii="Arial Narrow" w:hAnsi="Arial Narrow" w:cstheme="minorHAnsi"/>
              </w:rPr>
              <w:t>(</w:t>
            </w:r>
            <w:proofErr w:type="spellStart"/>
            <w:r w:rsidRPr="0062136A">
              <w:rPr>
                <w:rFonts w:ascii="Arial Narrow" w:hAnsi="Arial Narrow" w:cstheme="minorHAnsi"/>
              </w:rPr>
              <w:t>MitraClip</w:t>
            </w:r>
            <w:proofErr w:type="spellEnd"/>
            <w:r w:rsidRPr="0062136A">
              <w:rPr>
                <w:rFonts w:ascii="Arial Narrow" w:hAnsi="Arial Narrow" w:cstheme="minorHAnsi"/>
              </w:rPr>
              <w:t>)</w:t>
            </w:r>
          </w:p>
        </w:tc>
        <w:tc>
          <w:tcPr>
            <w:tcW w:w="0" w:type="pct"/>
            <w:vAlign w:val="top"/>
          </w:tcPr>
          <w:p w14:paraId="69CE7082" w14:textId="77777777" w:rsidR="005C1F35" w:rsidRPr="0062136A" w:rsidRDefault="005C1F35" w:rsidP="0062136A">
            <w:pPr>
              <w:spacing w:before="40" w:after="40"/>
              <w:jc w:val="center"/>
              <w:rPr>
                <w:rFonts w:ascii="Arial Narrow" w:hAnsi="Arial Narrow" w:cstheme="minorHAnsi"/>
                <w:b w:val="0"/>
              </w:rPr>
            </w:pPr>
            <w:r w:rsidRPr="0062136A">
              <w:rPr>
                <w:rFonts w:ascii="Arial Narrow" w:hAnsi="Arial Narrow" w:cstheme="minorHAnsi"/>
              </w:rPr>
              <w:t>Mack 2022</w:t>
            </w:r>
          </w:p>
          <w:p w14:paraId="2FBF14CD" w14:textId="77777777" w:rsidR="005C1F35" w:rsidRPr="0062136A" w:rsidRDefault="005C1F35" w:rsidP="0062136A">
            <w:pPr>
              <w:spacing w:before="40" w:after="40"/>
              <w:jc w:val="center"/>
              <w:rPr>
                <w:rFonts w:ascii="Arial Narrow" w:hAnsi="Arial Narrow" w:cstheme="minorHAnsi"/>
              </w:rPr>
            </w:pPr>
            <w:r w:rsidRPr="0062136A">
              <w:rPr>
                <w:rFonts w:ascii="Arial Narrow" w:hAnsi="Arial Narrow" w:cstheme="minorHAnsi"/>
              </w:rPr>
              <w:t>(</w:t>
            </w:r>
            <w:proofErr w:type="spellStart"/>
            <w:r w:rsidRPr="0062136A">
              <w:rPr>
                <w:rFonts w:ascii="Arial Narrow" w:hAnsi="Arial Narrow" w:cstheme="minorHAnsi"/>
              </w:rPr>
              <w:t>MitraClip</w:t>
            </w:r>
            <w:proofErr w:type="spellEnd"/>
            <w:r w:rsidRPr="0062136A">
              <w:rPr>
                <w:rFonts w:ascii="Arial Narrow" w:hAnsi="Arial Narrow" w:cstheme="minorHAnsi"/>
              </w:rPr>
              <w:t>)</w:t>
            </w:r>
          </w:p>
        </w:tc>
      </w:tr>
      <w:tr w:rsidR="005C1F35" w:rsidRPr="0062136A" w14:paraId="0AFFCB20" w14:textId="77777777" w:rsidTr="004807F5">
        <w:tc>
          <w:tcPr>
            <w:tcW w:w="0" w:type="pct"/>
            <w:vMerge/>
            <w:vAlign w:val="top"/>
          </w:tcPr>
          <w:p w14:paraId="6BFEF142" w14:textId="77777777" w:rsidR="005C1F35" w:rsidRPr="0062136A" w:rsidRDefault="005C1F35" w:rsidP="0062136A">
            <w:pPr>
              <w:spacing w:before="40" w:after="40"/>
              <w:jc w:val="center"/>
              <w:rPr>
                <w:rFonts w:ascii="Arial Narrow" w:hAnsi="Arial Narrow" w:cstheme="minorHAnsi"/>
                <w:b/>
                <w:bCs/>
              </w:rPr>
            </w:pPr>
          </w:p>
        </w:tc>
        <w:tc>
          <w:tcPr>
            <w:tcW w:w="0" w:type="pct"/>
            <w:shd w:val="clear" w:color="auto" w:fill="B4C6E7" w:themeFill="accent5" w:themeFillTint="66"/>
            <w:vAlign w:val="top"/>
          </w:tcPr>
          <w:p w14:paraId="2E7A6784" w14:textId="77777777" w:rsidR="005C1F35" w:rsidRPr="0062136A" w:rsidRDefault="005C1F35" w:rsidP="0062136A">
            <w:pPr>
              <w:spacing w:before="40" w:after="40"/>
              <w:jc w:val="center"/>
              <w:rPr>
                <w:rFonts w:ascii="Arial Narrow" w:hAnsi="Arial Narrow" w:cstheme="minorHAnsi"/>
                <w:b/>
                <w:bCs/>
              </w:rPr>
            </w:pPr>
            <w:r w:rsidRPr="0062136A">
              <w:rPr>
                <w:rFonts w:ascii="Arial Narrow" w:hAnsi="Arial Narrow" w:cstheme="minorHAnsi"/>
                <w:b/>
                <w:bCs/>
              </w:rPr>
              <w:t xml:space="preserve"> N=124</w:t>
            </w:r>
          </w:p>
        </w:tc>
        <w:tc>
          <w:tcPr>
            <w:tcW w:w="0" w:type="pct"/>
            <w:vAlign w:val="top"/>
          </w:tcPr>
          <w:p w14:paraId="28E1F438" w14:textId="77777777" w:rsidR="005C1F35" w:rsidRPr="0062136A" w:rsidRDefault="005C1F35" w:rsidP="0062136A">
            <w:pPr>
              <w:spacing w:before="40" w:after="40"/>
              <w:jc w:val="center"/>
              <w:rPr>
                <w:rFonts w:ascii="Arial Narrow" w:hAnsi="Arial Narrow" w:cstheme="minorHAnsi"/>
                <w:b/>
                <w:bCs/>
              </w:rPr>
            </w:pPr>
            <w:r w:rsidRPr="0062136A">
              <w:rPr>
                <w:rFonts w:ascii="Arial Narrow" w:hAnsi="Arial Narrow" w:cstheme="minorHAnsi"/>
                <w:b/>
                <w:bCs/>
              </w:rPr>
              <w:t>N=184</w:t>
            </w:r>
          </w:p>
        </w:tc>
        <w:tc>
          <w:tcPr>
            <w:tcW w:w="0" w:type="pct"/>
            <w:vAlign w:val="top"/>
          </w:tcPr>
          <w:p w14:paraId="7F62C3D5" w14:textId="77777777" w:rsidR="005C1F35" w:rsidRPr="0062136A" w:rsidRDefault="005C1F35" w:rsidP="0062136A">
            <w:pPr>
              <w:spacing w:before="40" w:after="40"/>
              <w:jc w:val="center"/>
              <w:rPr>
                <w:rFonts w:ascii="Arial Narrow" w:hAnsi="Arial Narrow" w:cstheme="minorHAnsi"/>
                <w:b/>
                <w:bCs/>
              </w:rPr>
            </w:pPr>
            <w:r w:rsidRPr="0062136A">
              <w:rPr>
                <w:rFonts w:ascii="Arial Narrow" w:hAnsi="Arial Narrow" w:cstheme="minorHAnsi"/>
                <w:b/>
                <w:bCs/>
              </w:rPr>
              <w:t xml:space="preserve">N=6,958 </w:t>
            </w:r>
            <w:r w:rsidRPr="0062136A">
              <w:rPr>
                <w:rFonts w:ascii="Arial Narrow" w:hAnsi="Arial Narrow" w:cstheme="minorHAnsi"/>
                <w:b/>
                <w:bCs/>
                <w:vertAlign w:val="superscript"/>
              </w:rPr>
              <w:t>a</w:t>
            </w:r>
          </w:p>
        </w:tc>
      </w:tr>
      <w:tr w:rsidR="005C1F35" w:rsidRPr="0062136A" w14:paraId="397C0785" w14:textId="77777777" w:rsidTr="004807F5">
        <w:tc>
          <w:tcPr>
            <w:tcW w:w="0" w:type="pct"/>
          </w:tcPr>
          <w:p w14:paraId="12205123" w14:textId="77777777" w:rsidR="005C1F35" w:rsidRPr="0062136A" w:rsidRDefault="005C1F35" w:rsidP="0062136A">
            <w:pPr>
              <w:spacing w:before="40" w:after="40"/>
              <w:rPr>
                <w:rFonts w:ascii="Arial Narrow" w:hAnsi="Arial Narrow"/>
              </w:rPr>
            </w:pPr>
            <w:r w:rsidRPr="0062136A">
              <w:rPr>
                <w:rFonts w:ascii="Arial Narrow" w:hAnsi="Arial Narrow"/>
              </w:rPr>
              <w:t>Overall survival at 12 months</w:t>
            </w:r>
          </w:p>
        </w:tc>
        <w:tc>
          <w:tcPr>
            <w:tcW w:w="0" w:type="pct"/>
            <w:shd w:val="clear" w:color="auto" w:fill="B4C6E7" w:themeFill="accent5" w:themeFillTint="66"/>
          </w:tcPr>
          <w:p w14:paraId="7CD55C44" w14:textId="77777777" w:rsidR="005C1F35" w:rsidRPr="0062136A" w:rsidRDefault="005C1F35" w:rsidP="0062136A">
            <w:pPr>
              <w:spacing w:before="40" w:after="40"/>
              <w:jc w:val="center"/>
              <w:rPr>
                <w:rFonts w:ascii="Arial Narrow" w:hAnsi="Arial Narrow"/>
              </w:rPr>
            </w:pPr>
            <w:r w:rsidRPr="0062136A">
              <w:rPr>
                <w:rFonts w:ascii="Arial Narrow" w:hAnsi="Arial Narrow"/>
              </w:rPr>
              <w:t>91.9%</w:t>
            </w:r>
          </w:p>
        </w:tc>
        <w:tc>
          <w:tcPr>
            <w:tcW w:w="0" w:type="pct"/>
          </w:tcPr>
          <w:p w14:paraId="20419185" w14:textId="77777777" w:rsidR="005C1F35" w:rsidRPr="0062136A" w:rsidRDefault="005C1F35" w:rsidP="0062136A">
            <w:pPr>
              <w:spacing w:before="40" w:after="40"/>
              <w:jc w:val="center"/>
              <w:rPr>
                <w:rFonts w:ascii="Arial Narrow" w:hAnsi="Arial Narrow"/>
              </w:rPr>
            </w:pPr>
            <w:r w:rsidRPr="0062136A">
              <w:rPr>
                <w:rFonts w:ascii="Arial Narrow" w:hAnsi="Arial Narrow"/>
              </w:rPr>
              <w:t>89%</w:t>
            </w:r>
          </w:p>
        </w:tc>
        <w:tc>
          <w:tcPr>
            <w:tcW w:w="0" w:type="pct"/>
          </w:tcPr>
          <w:p w14:paraId="0E7855B0" w14:textId="77777777" w:rsidR="005C1F35" w:rsidRPr="0062136A" w:rsidRDefault="005C1F35" w:rsidP="0062136A">
            <w:pPr>
              <w:spacing w:before="40" w:after="40"/>
              <w:jc w:val="center"/>
              <w:rPr>
                <w:rFonts w:ascii="Arial Narrow" w:hAnsi="Arial Narrow"/>
              </w:rPr>
            </w:pPr>
            <w:r w:rsidRPr="0062136A">
              <w:rPr>
                <w:rFonts w:ascii="Arial Narrow" w:hAnsi="Arial Narrow"/>
              </w:rPr>
              <w:t>78.1%</w:t>
            </w:r>
          </w:p>
        </w:tc>
      </w:tr>
      <w:tr w:rsidR="005C1F35" w:rsidRPr="0062136A" w14:paraId="4483B848" w14:textId="77777777" w:rsidTr="004807F5">
        <w:tc>
          <w:tcPr>
            <w:tcW w:w="0" w:type="pct"/>
          </w:tcPr>
          <w:p w14:paraId="66395733" w14:textId="77777777" w:rsidR="005C1F35" w:rsidRPr="0062136A" w:rsidRDefault="005C1F35" w:rsidP="0062136A">
            <w:pPr>
              <w:spacing w:before="40" w:after="40"/>
              <w:rPr>
                <w:rFonts w:ascii="Arial Narrow" w:hAnsi="Arial Narrow"/>
              </w:rPr>
            </w:pPr>
            <w:r w:rsidRPr="0062136A">
              <w:rPr>
                <w:rFonts w:ascii="Arial Narrow" w:hAnsi="Arial Narrow"/>
              </w:rPr>
              <w:t>Overall survival at 24 months</w:t>
            </w:r>
          </w:p>
        </w:tc>
        <w:tc>
          <w:tcPr>
            <w:tcW w:w="0" w:type="pct"/>
            <w:shd w:val="clear" w:color="auto" w:fill="B4C6E7" w:themeFill="accent5" w:themeFillTint="66"/>
          </w:tcPr>
          <w:p w14:paraId="40D33038" w14:textId="77777777" w:rsidR="005C1F35" w:rsidRPr="0062136A" w:rsidRDefault="005C1F35" w:rsidP="0062136A">
            <w:pPr>
              <w:spacing w:before="40" w:after="40"/>
              <w:jc w:val="center"/>
              <w:rPr>
                <w:rFonts w:ascii="Arial Narrow" w:hAnsi="Arial Narrow"/>
              </w:rPr>
            </w:pPr>
            <w:r w:rsidRPr="0062136A">
              <w:rPr>
                <w:rFonts w:ascii="Arial Narrow" w:hAnsi="Arial Narrow"/>
              </w:rPr>
              <w:t>80.3%</w:t>
            </w:r>
          </w:p>
        </w:tc>
        <w:tc>
          <w:tcPr>
            <w:tcW w:w="0" w:type="pct"/>
          </w:tcPr>
          <w:p w14:paraId="00EDB561" w14:textId="77777777" w:rsidR="005C1F35" w:rsidRPr="0062136A" w:rsidRDefault="005C1F35" w:rsidP="0062136A">
            <w:pPr>
              <w:spacing w:before="40" w:after="40"/>
              <w:jc w:val="center"/>
              <w:rPr>
                <w:rFonts w:ascii="Arial Narrow" w:hAnsi="Arial Narrow"/>
              </w:rPr>
            </w:pPr>
            <w:r w:rsidRPr="0062136A">
              <w:rPr>
                <w:rFonts w:ascii="Arial Narrow" w:hAnsi="Arial Narrow"/>
              </w:rPr>
              <w:t>89%</w:t>
            </w:r>
          </w:p>
        </w:tc>
        <w:tc>
          <w:tcPr>
            <w:tcW w:w="0" w:type="pct"/>
          </w:tcPr>
          <w:p w14:paraId="3A540655" w14:textId="77777777" w:rsidR="005C1F35" w:rsidRPr="0062136A" w:rsidRDefault="005C1F35" w:rsidP="0062136A">
            <w:pPr>
              <w:spacing w:before="40" w:after="40"/>
              <w:jc w:val="center"/>
              <w:rPr>
                <w:rFonts w:ascii="Arial Narrow" w:hAnsi="Arial Narrow"/>
              </w:rPr>
            </w:pPr>
            <w:r w:rsidRPr="0062136A">
              <w:rPr>
                <w:rFonts w:ascii="Arial Narrow" w:hAnsi="Arial Narrow"/>
              </w:rPr>
              <w:t>NR</w:t>
            </w:r>
          </w:p>
        </w:tc>
      </w:tr>
    </w:tbl>
    <w:p w14:paraId="0C417974" w14:textId="77777777" w:rsidR="005C1F35" w:rsidRDefault="005C1F35" w:rsidP="00005BEB">
      <w:pPr>
        <w:pStyle w:val="Tablenotes"/>
        <w:spacing w:before="0"/>
      </w:pPr>
      <w:r>
        <w:t>DMR=degenerative mitral regurgitation; FMR=functional mitral regurgitation; NR=not reported</w:t>
      </w:r>
    </w:p>
    <w:p w14:paraId="46DCFBB5" w14:textId="559079C2" w:rsidR="005C1F35" w:rsidRDefault="005C1F35" w:rsidP="0062136A">
      <w:pPr>
        <w:pStyle w:val="Tablenotes"/>
        <w:tabs>
          <w:tab w:val="left" w:pos="284"/>
        </w:tabs>
      </w:pPr>
      <w:proofErr w:type="spellStart"/>
      <w:r w:rsidRPr="005A658E">
        <w:rPr>
          <w:vertAlign w:val="superscript"/>
        </w:rPr>
        <w:t>a</w:t>
      </w:r>
      <w:proofErr w:type="spellEnd"/>
      <w:r w:rsidRPr="005A658E">
        <w:rPr>
          <w:vertAlign w:val="superscript"/>
        </w:rPr>
        <w:t xml:space="preserve"> </w:t>
      </w:r>
      <w:r w:rsidR="0062136A">
        <w:rPr>
          <w:vertAlign w:val="superscript"/>
        </w:rPr>
        <w:tab/>
      </w:r>
      <w:r>
        <w:t>For procedures reported in 2018</w:t>
      </w:r>
    </w:p>
    <w:p w14:paraId="5F788F63" w14:textId="77777777" w:rsidR="00E13326" w:rsidRPr="00427322" w:rsidRDefault="00E13326" w:rsidP="00E13326">
      <w:pPr>
        <w:pStyle w:val="Tablenotes"/>
      </w:pPr>
      <w:r w:rsidRPr="00427322">
        <w:t xml:space="preserve">Cells </w:t>
      </w:r>
      <w:r w:rsidRPr="00427322">
        <w:rPr>
          <w:shd w:val="clear" w:color="auto" w:fill="B4C6E7" w:themeFill="accent5" w:themeFillTint="66"/>
        </w:rPr>
        <w:t>shaded in blue</w:t>
      </w:r>
      <w:r w:rsidRPr="00427322">
        <w:t xml:space="preserve"> represent results previously considered by MSAC</w:t>
      </w:r>
    </w:p>
    <w:p w14:paraId="735E38AF" w14:textId="5005FEC5" w:rsidR="005C1F35" w:rsidRPr="00427322" w:rsidRDefault="005C1F35" w:rsidP="005C1F35">
      <w:r w:rsidRPr="00427322">
        <w:t xml:space="preserve">A meaningful comparison of OS rates in the mixed population is complicated by the differences in the split of FMR to DMR subgroups across the studies. The CLASP trial enrolled predominantly FMR population (69%), while the EVEREST-II trial enrolled 73% of DMR patients which is close to 68.3% of DMR patients from the </w:t>
      </w:r>
      <w:proofErr w:type="spellStart"/>
      <w:r w:rsidRPr="00427322">
        <w:t>MitraClip</w:t>
      </w:r>
      <w:proofErr w:type="spellEnd"/>
      <w:r w:rsidRPr="00427322">
        <w:t xml:space="preserve"> registry (Mack 2022).</w:t>
      </w:r>
    </w:p>
    <w:p w14:paraId="00B18857" w14:textId="77777777" w:rsidR="005C1F35" w:rsidRPr="00F205A2" w:rsidRDefault="005C1F35" w:rsidP="00427322">
      <w:pPr>
        <w:pStyle w:val="Heading4"/>
      </w:pPr>
      <w:r w:rsidRPr="00F205A2">
        <w:t>Major adverse events</w:t>
      </w:r>
    </w:p>
    <w:p w14:paraId="6E55D484" w14:textId="6DC6B9F2" w:rsidR="00A64CAC" w:rsidRPr="00A64CAC" w:rsidRDefault="005C1F35" w:rsidP="00A64CAC">
      <w:pPr>
        <w:spacing w:after="240"/>
      </w:pPr>
      <w:r>
        <w:t xml:space="preserve">MAE results reported in </w:t>
      </w:r>
      <w:r w:rsidR="002A1816">
        <w:t xml:space="preserve">the </w:t>
      </w:r>
      <w:r>
        <w:t xml:space="preserve">single-arm studies are presented in </w:t>
      </w:r>
      <w:r w:rsidR="002A1816">
        <w:fldChar w:fldCharType="begin"/>
      </w:r>
      <w:r w:rsidR="002A1816">
        <w:instrText xml:space="preserve"> REF _Ref111526732 \h </w:instrText>
      </w:r>
      <w:r w:rsidR="002A1816">
        <w:fldChar w:fldCharType="separate"/>
      </w:r>
      <w:r w:rsidR="00061716">
        <w:t xml:space="preserve">Table </w:t>
      </w:r>
      <w:r w:rsidR="00061716">
        <w:rPr>
          <w:noProof/>
        </w:rPr>
        <w:t>14</w:t>
      </w:r>
      <w:r w:rsidR="002A1816">
        <w:fldChar w:fldCharType="end"/>
      </w:r>
      <w:r w:rsidR="002A1816">
        <w:t xml:space="preserve"> (FMR) and </w:t>
      </w:r>
      <w:r w:rsidR="002A1816">
        <w:fldChar w:fldCharType="begin"/>
      </w:r>
      <w:r w:rsidR="002A1816">
        <w:instrText xml:space="preserve"> REF _Ref111526811 \h </w:instrText>
      </w:r>
      <w:r w:rsidR="002A1816">
        <w:fldChar w:fldCharType="separate"/>
      </w:r>
      <w:r w:rsidR="00061716">
        <w:t xml:space="preserve">Table </w:t>
      </w:r>
      <w:r w:rsidR="00061716">
        <w:rPr>
          <w:noProof/>
        </w:rPr>
        <w:t>15</w:t>
      </w:r>
      <w:r w:rsidR="002A1816">
        <w:fldChar w:fldCharType="end"/>
      </w:r>
      <w:r w:rsidR="002A1816">
        <w:t xml:space="preserve"> (</w:t>
      </w:r>
      <w:r>
        <w:t xml:space="preserve">mixed population). </w:t>
      </w:r>
      <w:bookmarkStart w:id="54" w:name="_Ref111526732"/>
      <w:r w:rsidR="00A64CAC">
        <w:br w:type="page"/>
      </w:r>
    </w:p>
    <w:p w14:paraId="59B3AEC4" w14:textId="0A3A0170" w:rsidR="005C1F35" w:rsidRDefault="0062136A" w:rsidP="005C1F35">
      <w:pPr>
        <w:pStyle w:val="Caption"/>
      </w:pPr>
      <w:r>
        <w:lastRenderedPageBreak/>
        <w:t xml:space="preserve">Table </w:t>
      </w:r>
      <w:fldSimple w:instr=" SEQ Table \* ARABIC ">
        <w:r w:rsidR="007512A8">
          <w:rPr>
            <w:noProof/>
          </w:rPr>
          <w:t>14</w:t>
        </w:r>
      </w:fldSimple>
      <w:bookmarkEnd w:id="54"/>
      <w:r>
        <w:tab/>
      </w:r>
      <w:r w:rsidR="005C1F35">
        <w:t xml:space="preserve">Naïve comparison of MAEs reported in the included single-arm studies (FMR population) </w:t>
      </w:r>
    </w:p>
    <w:tbl>
      <w:tblPr>
        <w:tblStyle w:val="MSAC"/>
        <w:tblW w:w="5019" w:type="pct"/>
        <w:tblLayout w:type="fixed"/>
        <w:tblCellMar>
          <w:left w:w="28" w:type="dxa"/>
          <w:right w:w="28" w:type="dxa"/>
        </w:tblCellMar>
        <w:tblLook w:val="04A0" w:firstRow="1" w:lastRow="0" w:firstColumn="1" w:lastColumn="0" w:noHBand="0" w:noVBand="1"/>
      </w:tblPr>
      <w:tblGrid>
        <w:gridCol w:w="2632"/>
        <w:gridCol w:w="1681"/>
        <w:gridCol w:w="1683"/>
        <w:gridCol w:w="1681"/>
        <w:gridCol w:w="1681"/>
      </w:tblGrid>
      <w:tr w:rsidR="005C1F35" w:rsidRPr="0062136A" w14:paraId="0EBCD0B1" w14:textId="77777777" w:rsidTr="0062136A">
        <w:trPr>
          <w:cnfStyle w:val="100000000000" w:firstRow="1" w:lastRow="0" w:firstColumn="0" w:lastColumn="0" w:oddVBand="0" w:evenVBand="0" w:oddHBand="0" w:evenHBand="0" w:firstRowFirstColumn="0" w:firstRowLastColumn="0" w:lastRowFirstColumn="0" w:lastRowLastColumn="0"/>
          <w:cantSplit/>
        </w:trPr>
        <w:tc>
          <w:tcPr>
            <w:tcW w:w="1407" w:type="pct"/>
            <w:vMerge w:val="restart"/>
          </w:tcPr>
          <w:p w14:paraId="5D44884B" w14:textId="77777777" w:rsidR="005C1F35" w:rsidRPr="0062136A" w:rsidRDefault="005C1F35" w:rsidP="0062136A">
            <w:pPr>
              <w:spacing w:before="40" w:after="40"/>
              <w:rPr>
                <w:rFonts w:ascii="Arial Narrow" w:hAnsi="Arial Narrow" w:cstheme="minorHAnsi"/>
              </w:rPr>
            </w:pPr>
            <w:r w:rsidRPr="0062136A">
              <w:rPr>
                <w:rFonts w:ascii="Arial Narrow" w:hAnsi="Arial Narrow" w:cstheme="minorHAnsi"/>
                <w:bCs/>
              </w:rPr>
              <w:t>Safety event, n (%)</w:t>
            </w:r>
          </w:p>
        </w:tc>
        <w:tc>
          <w:tcPr>
            <w:tcW w:w="898" w:type="pct"/>
          </w:tcPr>
          <w:p w14:paraId="292D7F16" w14:textId="77777777" w:rsidR="005C1F35" w:rsidRPr="0062136A" w:rsidRDefault="005C1F35" w:rsidP="0062136A">
            <w:pPr>
              <w:spacing w:before="40" w:after="40"/>
              <w:jc w:val="center"/>
              <w:rPr>
                <w:rFonts w:ascii="Arial Narrow" w:hAnsi="Arial Narrow" w:cstheme="minorHAnsi"/>
                <w:b w:val="0"/>
              </w:rPr>
            </w:pPr>
            <w:r w:rsidRPr="0062136A">
              <w:rPr>
                <w:rFonts w:ascii="Arial Narrow" w:hAnsi="Arial Narrow" w:cstheme="minorHAnsi"/>
              </w:rPr>
              <w:t>CLASP</w:t>
            </w:r>
          </w:p>
          <w:p w14:paraId="517140AA" w14:textId="77777777" w:rsidR="005C1F35" w:rsidRPr="0062136A" w:rsidRDefault="005C1F35" w:rsidP="0062136A">
            <w:pPr>
              <w:spacing w:before="40" w:after="40"/>
              <w:jc w:val="center"/>
              <w:rPr>
                <w:rFonts w:ascii="Arial Narrow" w:hAnsi="Arial Narrow" w:cstheme="minorHAnsi"/>
              </w:rPr>
            </w:pPr>
            <w:r w:rsidRPr="0062136A">
              <w:rPr>
                <w:rFonts w:ascii="Arial Narrow" w:hAnsi="Arial Narrow" w:cstheme="minorHAnsi"/>
              </w:rPr>
              <w:t>(PASCAL)</w:t>
            </w:r>
          </w:p>
        </w:tc>
        <w:tc>
          <w:tcPr>
            <w:tcW w:w="898" w:type="pct"/>
            <w:tcBorders>
              <w:right w:val="single" w:sz="12" w:space="0" w:color="auto"/>
            </w:tcBorders>
          </w:tcPr>
          <w:p w14:paraId="00CA9327" w14:textId="77777777" w:rsidR="005C1F35" w:rsidRPr="0062136A" w:rsidRDefault="005C1F35" w:rsidP="0062136A">
            <w:pPr>
              <w:spacing w:before="40" w:after="40"/>
              <w:jc w:val="center"/>
              <w:rPr>
                <w:rFonts w:ascii="Arial Narrow" w:hAnsi="Arial Narrow" w:cstheme="minorHAnsi"/>
                <w:b w:val="0"/>
              </w:rPr>
            </w:pPr>
            <w:r w:rsidRPr="0062136A">
              <w:rPr>
                <w:rFonts w:ascii="Arial Narrow" w:hAnsi="Arial Narrow" w:cstheme="minorHAnsi"/>
              </w:rPr>
              <w:t>COAPT</w:t>
            </w:r>
          </w:p>
          <w:p w14:paraId="767BE707" w14:textId="77777777" w:rsidR="005C1F35" w:rsidRPr="0062136A" w:rsidRDefault="005C1F35" w:rsidP="0062136A">
            <w:pPr>
              <w:spacing w:before="40" w:after="40"/>
              <w:jc w:val="center"/>
              <w:rPr>
                <w:rFonts w:ascii="Arial Narrow" w:hAnsi="Arial Narrow" w:cstheme="minorHAnsi"/>
              </w:rPr>
            </w:pPr>
            <w:r w:rsidRPr="0062136A">
              <w:rPr>
                <w:rFonts w:ascii="Arial Narrow" w:hAnsi="Arial Narrow" w:cstheme="minorHAnsi"/>
              </w:rPr>
              <w:t>(</w:t>
            </w:r>
            <w:proofErr w:type="spellStart"/>
            <w:r w:rsidRPr="0062136A">
              <w:rPr>
                <w:rFonts w:ascii="Arial Narrow" w:hAnsi="Arial Narrow" w:cstheme="minorHAnsi"/>
              </w:rPr>
              <w:t>MitraClip</w:t>
            </w:r>
            <w:proofErr w:type="spellEnd"/>
            <w:r w:rsidRPr="0062136A">
              <w:rPr>
                <w:rFonts w:ascii="Arial Narrow" w:hAnsi="Arial Narrow" w:cstheme="minorHAnsi"/>
              </w:rPr>
              <w:t>)</w:t>
            </w:r>
          </w:p>
        </w:tc>
        <w:tc>
          <w:tcPr>
            <w:tcW w:w="898" w:type="pct"/>
            <w:tcBorders>
              <w:left w:val="single" w:sz="12" w:space="0" w:color="auto"/>
            </w:tcBorders>
          </w:tcPr>
          <w:p w14:paraId="0A5AE9AA" w14:textId="77777777" w:rsidR="005C1F35" w:rsidRPr="0062136A" w:rsidRDefault="005C1F35" w:rsidP="0062136A">
            <w:pPr>
              <w:spacing w:before="40" w:after="40"/>
              <w:jc w:val="center"/>
              <w:rPr>
                <w:rFonts w:ascii="Arial Narrow" w:hAnsi="Arial Narrow" w:cstheme="minorHAnsi"/>
                <w:b w:val="0"/>
              </w:rPr>
            </w:pPr>
            <w:r w:rsidRPr="0062136A">
              <w:rPr>
                <w:rFonts w:ascii="Arial Narrow" w:hAnsi="Arial Narrow" w:cstheme="minorHAnsi"/>
              </w:rPr>
              <w:t>CLASP</w:t>
            </w:r>
          </w:p>
          <w:p w14:paraId="5CC2CFFC" w14:textId="77777777" w:rsidR="005C1F35" w:rsidRPr="0062136A" w:rsidRDefault="005C1F35" w:rsidP="0062136A">
            <w:pPr>
              <w:spacing w:before="40" w:after="40"/>
              <w:jc w:val="center"/>
              <w:rPr>
                <w:rFonts w:ascii="Arial Narrow" w:hAnsi="Arial Narrow" w:cstheme="minorHAnsi"/>
              </w:rPr>
            </w:pPr>
            <w:r w:rsidRPr="0062136A">
              <w:rPr>
                <w:rFonts w:ascii="Arial Narrow" w:hAnsi="Arial Narrow" w:cstheme="minorHAnsi"/>
              </w:rPr>
              <w:t>(PASCAL)</w:t>
            </w:r>
          </w:p>
        </w:tc>
        <w:tc>
          <w:tcPr>
            <w:tcW w:w="898" w:type="pct"/>
          </w:tcPr>
          <w:p w14:paraId="38B1DD59" w14:textId="77777777" w:rsidR="005C1F35" w:rsidRPr="0062136A" w:rsidRDefault="005C1F35" w:rsidP="0062136A">
            <w:pPr>
              <w:spacing w:before="40" w:after="40"/>
              <w:jc w:val="center"/>
              <w:rPr>
                <w:rFonts w:ascii="Arial Narrow" w:hAnsi="Arial Narrow" w:cstheme="minorHAnsi"/>
                <w:b w:val="0"/>
              </w:rPr>
            </w:pPr>
            <w:r w:rsidRPr="0062136A">
              <w:rPr>
                <w:rFonts w:ascii="Arial Narrow" w:hAnsi="Arial Narrow" w:cstheme="minorHAnsi"/>
              </w:rPr>
              <w:t>COAPT</w:t>
            </w:r>
          </w:p>
          <w:p w14:paraId="1A858144" w14:textId="77777777" w:rsidR="005C1F35" w:rsidRPr="0062136A" w:rsidRDefault="005C1F35" w:rsidP="0062136A">
            <w:pPr>
              <w:spacing w:before="40" w:after="40"/>
              <w:jc w:val="center"/>
              <w:rPr>
                <w:rFonts w:ascii="Arial Narrow" w:hAnsi="Arial Narrow" w:cstheme="minorHAnsi"/>
              </w:rPr>
            </w:pPr>
            <w:r w:rsidRPr="0062136A">
              <w:rPr>
                <w:rFonts w:ascii="Arial Narrow" w:hAnsi="Arial Narrow" w:cstheme="minorHAnsi"/>
              </w:rPr>
              <w:t>(</w:t>
            </w:r>
            <w:proofErr w:type="spellStart"/>
            <w:r w:rsidRPr="0062136A">
              <w:rPr>
                <w:rFonts w:ascii="Arial Narrow" w:hAnsi="Arial Narrow" w:cstheme="minorHAnsi"/>
              </w:rPr>
              <w:t>MitraClip</w:t>
            </w:r>
            <w:proofErr w:type="spellEnd"/>
            <w:r w:rsidRPr="0062136A">
              <w:rPr>
                <w:rFonts w:ascii="Arial Narrow" w:hAnsi="Arial Narrow" w:cstheme="minorHAnsi"/>
              </w:rPr>
              <w:t>)</w:t>
            </w:r>
          </w:p>
        </w:tc>
      </w:tr>
      <w:tr w:rsidR="005C1F35" w:rsidRPr="0062136A" w14:paraId="722B0F9A" w14:textId="77777777" w:rsidTr="0062136A">
        <w:trPr>
          <w:cantSplit/>
        </w:trPr>
        <w:tc>
          <w:tcPr>
            <w:tcW w:w="1407" w:type="pct"/>
            <w:vMerge/>
          </w:tcPr>
          <w:p w14:paraId="7C9ED89C" w14:textId="77777777" w:rsidR="005C1F35" w:rsidRPr="0062136A" w:rsidRDefault="005C1F35" w:rsidP="0062136A">
            <w:pPr>
              <w:spacing w:before="40" w:after="40"/>
              <w:rPr>
                <w:rFonts w:ascii="Arial Narrow" w:hAnsi="Arial Narrow" w:cstheme="minorHAnsi"/>
                <w:b/>
                <w:bCs/>
              </w:rPr>
            </w:pPr>
          </w:p>
        </w:tc>
        <w:tc>
          <w:tcPr>
            <w:tcW w:w="898" w:type="pct"/>
          </w:tcPr>
          <w:p w14:paraId="74E8CF5B" w14:textId="77777777" w:rsidR="005C1F35" w:rsidRPr="0062136A" w:rsidRDefault="005C1F35" w:rsidP="0062136A">
            <w:pPr>
              <w:spacing w:before="40" w:after="40"/>
              <w:jc w:val="center"/>
              <w:rPr>
                <w:rFonts w:ascii="Arial Narrow" w:hAnsi="Arial Narrow" w:cstheme="minorHAnsi"/>
                <w:b/>
                <w:bCs/>
              </w:rPr>
            </w:pPr>
            <w:r w:rsidRPr="0062136A">
              <w:rPr>
                <w:rFonts w:ascii="Arial Narrow" w:hAnsi="Arial Narrow" w:cstheme="minorHAnsi"/>
                <w:b/>
                <w:bCs/>
              </w:rPr>
              <w:t xml:space="preserve"> (N=85)</w:t>
            </w:r>
          </w:p>
        </w:tc>
        <w:tc>
          <w:tcPr>
            <w:tcW w:w="898" w:type="pct"/>
            <w:tcBorders>
              <w:right w:val="single" w:sz="12" w:space="0" w:color="auto"/>
            </w:tcBorders>
          </w:tcPr>
          <w:p w14:paraId="2267CB79" w14:textId="77777777" w:rsidR="005C1F35" w:rsidRPr="0062136A" w:rsidRDefault="005C1F35" w:rsidP="0062136A">
            <w:pPr>
              <w:spacing w:before="40" w:after="40"/>
              <w:jc w:val="center"/>
              <w:rPr>
                <w:rFonts w:ascii="Arial Narrow" w:hAnsi="Arial Narrow" w:cstheme="minorHAnsi"/>
                <w:b/>
                <w:bCs/>
              </w:rPr>
            </w:pPr>
            <w:r w:rsidRPr="0062136A">
              <w:rPr>
                <w:rFonts w:ascii="Arial Narrow" w:hAnsi="Arial Narrow" w:cstheme="minorHAnsi"/>
                <w:b/>
                <w:bCs/>
              </w:rPr>
              <w:t>(N=302)</w:t>
            </w:r>
          </w:p>
        </w:tc>
        <w:tc>
          <w:tcPr>
            <w:tcW w:w="898" w:type="pct"/>
            <w:tcBorders>
              <w:left w:val="single" w:sz="12" w:space="0" w:color="auto"/>
            </w:tcBorders>
          </w:tcPr>
          <w:p w14:paraId="02F5ACB7" w14:textId="77777777" w:rsidR="005C1F35" w:rsidRPr="0062136A" w:rsidRDefault="005C1F35" w:rsidP="0062136A">
            <w:pPr>
              <w:spacing w:before="40" w:after="40"/>
              <w:jc w:val="center"/>
              <w:rPr>
                <w:rFonts w:ascii="Arial Narrow" w:hAnsi="Arial Narrow" w:cstheme="minorHAnsi"/>
                <w:b/>
                <w:bCs/>
              </w:rPr>
            </w:pPr>
            <w:r w:rsidRPr="0062136A">
              <w:rPr>
                <w:rFonts w:ascii="Arial Narrow" w:hAnsi="Arial Narrow" w:cstheme="minorHAnsi"/>
                <w:b/>
                <w:bCs/>
              </w:rPr>
              <w:t xml:space="preserve"> (N=85)</w:t>
            </w:r>
          </w:p>
        </w:tc>
        <w:tc>
          <w:tcPr>
            <w:tcW w:w="898" w:type="pct"/>
          </w:tcPr>
          <w:p w14:paraId="25EF8E19" w14:textId="77777777" w:rsidR="005C1F35" w:rsidRPr="0062136A" w:rsidRDefault="005C1F35" w:rsidP="0062136A">
            <w:pPr>
              <w:spacing w:before="40" w:after="40"/>
              <w:jc w:val="center"/>
              <w:rPr>
                <w:rFonts w:ascii="Arial Narrow" w:hAnsi="Arial Narrow" w:cstheme="minorHAnsi"/>
                <w:b/>
                <w:bCs/>
              </w:rPr>
            </w:pPr>
            <w:r w:rsidRPr="0062136A">
              <w:rPr>
                <w:rFonts w:ascii="Arial Narrow" w:hAnsi="Arial Narrow" w:cstheme="minorHAnsi"/>
                <w:b/>
                <w:bCs/>
              </w:rPr>
              <w:t>(N=302)</w:t>
            </w:r>
          </w:p>
        </w:tc>
      </w:tr>
      <w:tr w:rsidR="005C1F35" w:rsidRPr="0062136A" w14:paraId="39246137" w14:textId="77777777" w:rsidTr="0062136A">
        <w:trPr>
          <w:cantSplit/>
        </w:trPr>
        <w:tc>
          <w:tcPr>
            <w:tcW w:w="1407" w:type="pct"/>
            <w:vMerge/>
          </w:tcPr>
          <w:p w14:paraId="79027277" w14:textId="77777777" w:rsidR="005C1F35" w:rsidRPr="0062136A" w:rsidRDefault="005C1F35" w:rsidP="0062136A">
            <w:pPr>
              <w:spacing w:before="40" w:after="40"/>
              <w:rPr>
                <w:rFonts w:ascii="Arial Narrow" w:hAnsi="Arial Narrow" w:cstheme="minorHAnsi"/>
                <w:bCs/>
              </w:rPr>
            </w:pPr>
          </w:p>
        </w:tc>
        <w:tc>
          <w:tcPr>
            <w:tcW w:w="1797" w:type="pct"/>
            <w:gridSpan w:val="2"/>
            <w:tcBorders>
              <w:right w:val="single" w:sz="12" w:space="0" w:color="auto"/>
            </w:tcBorders>
          </w:tcPr>
          <w:p w14:paraId="6DEE323E" w14:textId="77777777" w:rsidR="005C1F35" w:rsidRPr="0062136A" w:rsidRDefault="005C1F35" w:rsidP="0062136A">
            <w:pPr>
              <w:spacing w:before="40" w:after="40"/>
              <w:jc w:val="center"/>
              <w:rPr>
                <w:rFonts w:ascii="Arial Narrow" w:hAnsi="Arial Narrow" w:cstheme="minorHAnsi"/>
                <w:bCs/>
              </w:rPr>
            </w:pPr>
            <w:r w:rsidRPr="0062136A">
              <w:rPr>
                <w:rFonts w:ascii="Arial Narrow" w:hAnsi="Arial Narrow" w:cstheme="minorHAnsi"/>
                <w:bCs/>
              </w:rPr>
              <w:t>30 days</w:t>
            </w:r>
          </w:p>
        </w:tc>
        <w:tc>
          <w:tcPr>
            <w:tcW w:w="1797" w:type="pct"/>
            <w:gridSpan w:val="2"/>
            <w:tcBorders>
              <w:left w:val="single" w:sz="12" w:space="0" w:color="auto"/>
            </w:tcBorders>
          </w:tcPr>
          <w:p w14:paraId="660A6DD5" w14:textId="77777777" w:rsidR="005C1F35" w:rsidRPr="0062136A" w:rsidRDefault="005C1F35" w:rsidP="0062136A">
            <w:pPr>
              <w:spacing w:before="40" w:after="40"/>
              <w:jc w:val="center"/>
              <w:rPr>
                <w:rFonts w:ascii="Arial Narrow" w:hAnsi="Arial Narrow" w:cstheme="minorHAnsi"/>
                <w:bCs/>
              </w:rPr>
            </w:pPr>
            <w:r w:rsidRPr="0062136A">
              <w:rPr>
                <w:rFonts w:ascii="Arial Narrow" w:hAnsi="Arial Narrow" w:cstheme="minorHAnsi"/>
                <w:bCs/>
              </w:rPr>
              <w:t>24 months</w:t>
            </w:r>
          </w:p>
        </w:tc>
      </w:tr>
      <w:tr w:rsidR="005C1F35" w:rsidRPr="0062136A" w14:paraId="1B43C1E5" w14:textId="77777777" w:rsidTr="0062136A">
        <w:trPr>
          <w:cantSplit/>
        </w:trPr>
        <w:tc>
          <w:tcPr>
            <w:tcW w:w="1407" w:type="pct"/>
          </w:tcPr>
          <w:p w14:paraId="43B256D8" w14:textId="77777777" w:rsidR="005C1F35" w:rsidRPr="0062136A" w:rsidRDefault="005C1F35" w:rsidP="0062136A">
            <w:pPr>
              <w:spacing w:before="40" w:after="40"/>
              <w:rPr>
                <w:rFonts w:ascii="Arial Narrow" w:hAnsi="Arial Narrow" w:cstheme="minorHAnsi"/>
                <w:bCs/>
              </w:rPr>
            </w:pPr>
            <w:r w:rsidRPr="0062136A">
              <w:rPr>
                <w:rFonts w:ascii="Arial Narrow" w:hAnsi="Arial Narrow" w:cstheme="minorHAnsi"/>
                <w:bCs/>
              </w:rPr>
              <w:t>Any MAE</w:t>
            </w:r>
          </w:p>
        </w:tc>
        <w:tc>
          <w:tcPr>
            <w:tcW w:w="898" w:type="pct"/>
          </w:tcPr>
          <w:p w14:paraId="2BBA6A78" w14:textId="77777777" w:rsidR="005C1F35" w:rsidRPr="0062136A" w:rsidRDefault="005C1F35" w:rsidP="0062136A">
            <w:pPr>
              <w:spacing w:before="40" w:after="40"/>
              <w:jc w:val="center"/>
              <w:rPr>
                <w:rFonts w:ascii="Arial Narrow" w:hAnsi="Arial Narrow" w:cstheme="minorHAnsi"/>
                <w:bCs/>
              </w:rPr>
            </w:pPr>
            <w:r w:rsidRPr="0062136A">
              <w:rPr>
                <w:rFonts w:ascii="Arial Narrow" w:hAnsi="Arial Narrow" w:cstheme="minorHAnsi"/>
                <w:bCs/>
              </w:rPr>
              <w:t>9 (10.6)</w:t>
            </w:r>
          </w:p>
        </w:tc>
        <w:tc>
          <w:tcPr>
            <w:tcW w:w="898" w:type="pct"/>
            <w:tcBorders>
              <w:right w:val="single" w:sz="12" w:space="0" w:color="auto"/>
            </w:tcBorders>
          </w:tcPr>
          <w:p w14:paraId="29935ACE" w14:textId="77777777" w:rsidR="005C1F35" w:rsidRPr="0062136A" w:rsidRDefault="005C1F35" w:rsidP="0062136A">
            <w:pPr>
              <w:spacing w:before="40" w:after="40"/>
              <w:jc w:val="center"/>
              <w:rPr>
                <w:rFonts w:ascii="Arial Narrow" w:hAnsi="Arial Narrow" w:cstheme="minorHAnsi"/>
                <w:bCs/>
              </w:rPr>
            </w:pPr>
            <w:r w:rsidRPr="0062136A">
              <w:rPr>
                <w:rFonts w:ascii="Arial Narrow" w:hAnsi="Arial Narrow" w:cstheme="minorHAnsi"/>
                <w:bCs/>
              </w:rPr>
              <w:t>NR (3.07^)</w:t>
            </w:r>
          </w:p>
        </w:tc>
        <w:tc>
          <w:tcPr>
            <w:tcW w:w="898" w:type="pct"/>
            <w:tcBorders>
              <w:left w:val="single" w:sz="12" w:space="0" w:color="auto"/>
            </w:tcBorders>
          </w:tcPr>
          <w:p w14:paraId="150F692E" w14:textId="77777777" w:rsidR="005C1F35" w:rsidRPr="0062136A" w:rsidRDefault="005C1F35" w:rsidP="0062136A">
            <w:pPr>
              <w:spacing w:before="40" w:after="40"/>
              <w:jc w:val="center"/>
              <w:rPr>
                <w:rFonts w:ascii="Arial Narrow" w:hAnsi="Arial Narrow" w:cstheme="minorHAnsi"/>
                <w:bCs/>
              </w:rPr>
            </w:pPr>
            <w:r w:rsidRPr="0062136A">
              <w:rPr>
                <w:rFonts w:ascii="Arial Narrow" w:hAnsi="Arial Narrow" w:cstheme="minorHAnsi"/>
                <w:bCs/>
              </w:rPr>
              <w:t>17 (20.0)</w:t>
            </w:r>
          </w:p>
        </w:tc>
        <w:tc>
          <w:tcPr>
            <w:tcW w:w="898" w:type="pct"/>
          </w:tcPr>
          <w:p w14:paraId="0B42C31C" w14:textId="77777777" w:rsidR="005C1F35" w:rsidRPr="0062136A" w:rsidRDefault="005C1F35" w:rsidP="0062136A">
            <w:pPr>
              <w:spacing w:before="40" w:after="40"/>
              <w:jc w:val="center"/>
              <w:rPr>
                <w:rFonts w:ascii="Arial Narrow" w:hAnsi="Arial Narrow" w:cstheme="minorHAnsi"/>
                <w:bCs/>
              </w:rPr>
            </w:pPr>
            <w:r w:rsidRPr="0062136A">
              <w:rPr>
                <w:rFonts w:ascii="Arial Narrow" w:hAnsi="Arial Narrow"/>
              </w:rPr>
              <w:t>NR</w:t>
            </w:r>
          </w:p>
        </w:tc>
      </w:tr>
      <w:tr w:rsidR="005C1F35" w:rsidRPr="0062136A" w14:paraId="50A4BF37" w14:textId="77777777" w:rsidTr="0062136A">
        <w:trPr>
          <w:cantSplit/>
        </w:trPr>
        <w:tc>
          <w:tcPr>
            <w:tcW w:w="1407" w:type="pct"/>
          </w:tcPr>
          <w:p w14:paraId="117234ED" w14:textId="77777777" w:rsidR="005C1F35" w:rsidRPr="0062136A" w:rsidRDefault="005C1F35" w:rsidP="0062136A">
            <w:pPr>
              <w:spacing w:before="40" w:after="40"/>
              <w:ind w:left="179"/>
              <w:rPr>
                <w:rFonts w:ascii="Arial Narrow" w:hAnsi="Arial Narrow"/>
              </w:rPr>
            </w:pPr>
            <w:r w:rsidRPr="0062136A">
              <w:rPr>
                <w:rFonts w:ascii="Arial Narrow" w:hAnsi="Arial Narrow"/>
              </w:rPr>
              <w:t>Mortality (all cause)</w:t>
            </w:r>
          </w:p>
        </w:tc>
        <w:tc>
          <w:tcPr>
            <w:tcW w:w="898" w:type="pct"/>
          </w:tcPr>
          <w:p w14:paraId="65652D8E" w14:textId="77777777" w:rsidR="005C1F35" w:rsidRPr="0062136A" w:rsidRDefault="005C1F35" w:rsidP="0062136A">
            <w:pPr>
              <w:spacing w:before="40" w:after="40"/>
              <w:jc w:val="center"/>
              <w:rPr>
                <w:rFonts w:ascii="Arial Narrow" w:hAnsi="Arial Narrow"/>
              </w:rPr>
            </w:pPr>
            <w:r w:rsidRPr="0062136A">
              <w:rPr>
                <w:rFonts w:ascii="Arial Narrow" w:hAnsi="Arial Narrow"/>
              </w:rPr>
              <w:t>1 (1.2)</w:t>
            </w:r>
          </w:p>
        </w:tc>
        <w:tc>
          <w:tcPr>
            <w:tcW w:w="898" w:type="pct"/>
            <w:tcBorders>
              <w:right w:val="single" w:sz="12" w:space="0" w:color="auto"/>
            </w:tcBorders>
          </w:tcPr>
          <w:p w14:paraId="75918908" w14:textId="77777777" w:rsidR="005C1F35" w:rsidRPr="0062136A" w:rsidRDefault="005C1F35" w:rsidP="0062136A">
            <w:pPr>
              <w:spacing w:before="40" w:after="40"/>
              <w:jc w:val="center"/>
              <w:rPr>
                <w:rFonts w:ascii="Arial Narrow" w:hAnsi="Arial Narrow"/>
              </w:rPr>
            </w:pPr>
            <w:r w:rsidRPr="0062136A">
              <w:rPr>
                <w:rFonts w:ascii="Arial Narrow" w:hAnsi="Arial Narrow"/>
              </w:rPr>
              <w:t>7 (2.3</w:t>
            </w:r>
            <w:r w:rsidRPr="0062136A">
              <w:rPr>
                <w:rFonts w:ascii="Arial Narrow" w:hAnsi="Arial Narrow"/>
                <w:vertAlign w:val="superscript"/>
              </w:rPr>
              <w:t>#</w:t>
            </w:r>
            <w:r w:rsidRPr="0062136A">
              <w:rPr>
                <w:rFonts w:ascii="Arial Narrow" w:hAnsi="Arial Narrow"/>
              </w:rPr>
              <w:t>)</w:t>
            </w:r>
          </w:p>
        </w:tc>
        <w:tc>
          <w:tcPr>
            <w:tcW w:w="898" w:type="pct"/>
            <w:tcBorders>
              <w:left w:val="single" w:sz="12" w:space="0" w:color="auto"/>
            </w:tcBorders>
          </w:tcPr>
          <w:p w14:paraId="6B43000C" w14:textId="77777777" w:rsidR="005C1F35" w:rsidRPr="0062136A" w:rsidRDefault="005C1F35" w:rsidP="0062136A">
            <w:pPr>
              <w:spacing w:before="40" w:after="40"/>
              <w:jc w:val="center"/>
              <w:rPr>
                <w:rFonts w:ascii="Arial Narrow" w:hAnsi="Arial Narrow"/>
                <w:i/>
                <w:iCs/>
              </w:rPr>
            </w:pPr>
            <w:r w:rsidRPr="0062136A">
              <w:rPr>
                <w:rFonts w:ascii="Arial Narrow" w:hAnsi="Arial Narrow" w:cstheme="minorHAnsi"/>
                <w:bCs/>
                <w:i/>
                <w:iCs/>
              </w:rPr>
              <w:t>17 (20.0)</w:t>
            </w:r>
          </w:p>
        </w:tc>
        <w:tc>
          <w:tcPr>
            <w:tcW w:w="898" w:type="pct"/>
          </w:tcPr>
          <w:p w14:paraId="0465CE37" w14:textId="77777777" w:rsidR="005C1F35" w:rsidRPr="0062136A" w:rsidRDefault="005C1F35" w:rsidP="0062136A">
            <w:pPr>
              <w:spacing w:before="40" w:after="40"/>
              <w:jc w:val="center"/>
              <w:rPr>
                <w:rFonts w:ascii="Arial Narrow" w:hAnsi="Arial Narrow"/>
                <w:i/>
                <w:iCs/>
              </w:rPr>
            </w:pPr>
            <w:r w:rsidRPr="0062136A">
              <w:rPr>
                <w:rFonts w:ascii="Arial Narrow" w:hAnsi="Arial Narrow"/>
                <w:i/>
                <w:iCs/>
              </w:rPr>
              <w:t>80 (29.1)</w:t>
            </w:r>
          </w:p>
        </w:tc>
      </w:tr>
      <w:tr w:rsidR="005C1F35" w:rsidRPr="0062136A" w14:paraId="66D801AE" w14:textId="77777777" w:rsidTr="0062136A">
        <w:trPr>
          <w:cantSplit/>
        </w:trPr>
        <w:tc>
          <w:tcPr>
            <w:tcW w:w="1407" w:type="pct"/>
          </w:tcPr>
          <w:p w14:paraId="5B487366" w14:textId="77777777" w:rsidR="005C1F35" w:rsidRPr="0062136A" w:rsidRDefault="005C1F35" w:rsidP="0062136A">
            <w:pPr>
              <w:spacing w:before="40" w:after="40"/>
              <w:ind w:left="179"/>
              <w:rPr>
                <w:rFonts w:ascii="Arial Narrow" w:hAnsi="Arial Narrow"/>
              </w:rPr>
            </w:pPr>
            <w:r w:rsidRPr="0062136A">
              <w:rPr>
                <w:rFonts w:ascii="Arial Narrow" w:hAnsi="Arial Narrow"/>
              </w:rPr>
              <w:t>Cardiovascular mortality</w:t>
            </w:r>
          </w:p>
        </w:tc>
        <w:tc>
          <w:tcPr>
            <w:tcW w:w="898" w:type="pct"/>
          </w:tcPr>
          <w:p w14:paraId="058008C5" w14:textId="77777777" w:rsidR="005C1F35" w:rsidRPr="0062136A" w:rsidRDefault="005C1F35" w:rsidP="0062136A">
            <w:pPr>
              <w:spacing w:before="40" w:after="40"/>
              <w:jc w:val="center"/>
              <w:rPr>
                <w:rFonts w:ascii="Arial Narrow" w:hAnsi="Arial Narrow"/>
              </w:rPr>
            </w:pPr>
            <w:r w:rsidRPr="0062136A">
              <w:rPr>
                <w:rFonts w:ascii="Arial Narrow" w:hAnsi="Arial Narrow"/>
              </w:rPr>
              <w:t>1 (1.2)</w:t>
            </w:r>
          </w:p>
        </w:tc>
        <w:tc>
          <w:tcPr>
            <w:tcW w:w="898" w:type="pct"/>
            <w:tcBorders>
              <w:right w:val="single" w:sz="12" w:space="0" w:color="auto"/>
            </w:tcBorders>
          </w:tcPr>
          <w:p w14:paraId="1BDD1295" w14:textId="77777777" w:rsidR="005C1F35" w:rsidRPr="0062136A" w:rsidRDefault="005C1F35" w:rsidP="0062136A">
            <w:pPr>
              <w:spacing w:before="40" w:after="40"/>
              <w:jc w:val="center"/>
              <w:rPr>
                <w:rFonts w:ascii="Arial Narrow" w:hAnsi="Arial Narrow"/>
              </w:rPr>
            </w:pPr>
            <w:r w:rsidRPr="0062136A">
              <w:rPr>
                <w:rFonts w:ascii="Arial Narrow" w:hAnsi="Arial Narrow"/>
              </w:rPr>
              <w:t>NR</w:t>
            </w:r>
          </w:p>
        </w:tc>
        <w:tc>
          <w:tcPr>
            <w:tcW w:w="898" w:type="pct"/>
            <w:tcBorders>
              <w:left w:val="single" w:sz="12" w:space="0" w:color="auto"/>
            </w:tcBorders>
          </w:tcPr>
          <w:p w14:paraId="0B1EADA2" w14:textId="77777777" w:rsidR="005C1F35" w:rsidRPr="0062136A" w:rsidRDefault="005C1F35" w:rsidP="0062136A">
            <w:pPr>
              <w:spacing w:before="40" w:after="40"/>
              <w:jc w:val="center"/>
              <w:rPr>
                <w:rFonts w:ascii="Arial Narrow" w:hAnsi="Arial Narrow"/>
              </w:rPr>
            </w:pPr>
            <w:r w:rsidRPr="0062136A">
              <w:rPr>
                <w:rFonts w:ascii="Arial Narrow" w:hAnsi="Arial Narrow"/>
              </w:rPr>
              <w:t>10 (11.8)</w:t>
            </w:r>
          </w:p>
        </w:tc>
        <w:tc>
          <w:tcPr>
            <w:tcW w:w="898" w:type="pct"/>
          </w:tcPr>
          <w:p w14:paraId="32F7C89D" w14:textId="77777777" w:rsidR="005C1F35" w:rsidRPr="0062136A" w:rsidRDefault="005C1F35" w:rsidP="0062136A">
            <w:pPr>
              <w:spacing w:before="40" w:after="40"/>
              <w:jc w:val="center"/>
              <w:rPr>
                <w:rFonts w:ascii="Arial Narrow" w:hAnsi="Arial Narrow"/>
              </w:rPr>
            </w:pPr>
            <w:r w:rsidRPr="0062136A">
              <w:rPr>
                <w:rFonts w:ascii="Arial Narrow" w:hAnsi="Arial Narrow"/>
              </w:rPr>
              <w:t>61 (23.5)</w:t>
            </w:r>
          </w:p>
        </w:tc>
      </w:tr>
      <w:tr w:rsidR="005C1F35" w:rsidRPr="0062136A" w14:paraId="32B9D74B" w14:textId="77777777" w:rsidTr="0062136A">
        <w:trPr>
          <w:cantSplit/>
        </w:trPr>
        <w:tc>
          <w:tcPr>
            <w:tcW w:w="1407" w:type="pct"/>
          </w:tcPr>
          <w:p w14:paraId="07C55777" w14:textId="77777777" w:rsidR="005C1F35" w:rsidRPr="0062136A" w:rsidRDefault="005C1F35" w:rsidP="0062136A">
            <w:pPr>
              <w:spacing w:before="40" w:after="40"/>
              <w:ind w:left="179"/>
              <w:rPr>
                <w:rFonts w:ascii="Arial Narrow" w:hAnsi="Arial Narrow"/>
              </w:rPr>
            </w:pPr>
            <w:r w:rsidRPr="0062136A">
              <w:rPr>
                <w:rFonts w:ascii="Arial Narrow" w:hAnsi="Arial Narrow"/>
              </w:rPr>
              <w:t>Stroke</w:t>
            </w:r>
          </w:p>
        </w:tc>
        <w:tc>
          <w:tcPr>
            <w:tcW w:w="898" w:type="pct"/>
          </w:tcPr>
          <w:p w14:paraId="38B92F3F" w14:textId="77777777" w:rsidR="005C1F35" w:rsidRPr="0062136A" w:rsidRDefault="005C1F35" w:rsidP="0062136A">
            <w:pPr>
              <w:spacing w:before="40" w:after="40"/>
              <w:jc w:val="center"/>
              <w:rPr>
                <w:rFonts w:ascii="Arial Narrow" w:hAnsi="Arial Narrow"/>
              </w:rPr>
            </w:pPr>
            <w:r w:rsidRPr="0062136A">
              <w:rPr>
                <w:rFonts w:ascii="Arial Narrow" w:hAnsi="Arial Narrow"/>
              </w:rPr>
              <w:t>1 (1.2)</w:t>
            </w:r>
          </w:p>
        </w:tc>
        <w:tc>
          <w:tcPr>
            <w:tcW w:w="898" w:type="pct"/>
            <w:tcBorders>
              <w:right w:val="single" w:sz="12" w:space="0" w:color="auto"/>
            </w:tcBorders>
          </w:tcPr>
          <w:p w14:paraId="33565483" w14:textId="77777777" w:rsidR="005C1F35" w:rsidRPr="0062136A" w:rsidRDefault="005C1F35" w:rsidP="0062136A">
            <w:pPr>
              <w:spacing w:before="40" w:after="40"/>
              <w:jc w:val="center"/>
              <w:rPr>
                <w:rFonts w:ascii="Arial Narrow" w:hAnsi="Arial Narrow"/>
              </w:rPr>
            </w:pPr>
            <w:r w:rsidRPr="0062136A">
              <w:rPr>
                <w:rFonts w:ascii="Arial Narrow" w:hAnsi="Arial Narrow"/>
              </w:rPr>
              <w:t>2 (0.7</w:t>
            </w:r>
            <w:r w:rsidRPr="0062136A">
              <w:rPr>
                <w:rFonts w:ascii="Arial Narrow" w:hAnsi="Arial Narrow"/>
                <w:vertAlign w:val="superscript"/>
              </w:rPr>
              <w:t>#</w:t>
            </w:r>
            <w:r w:rsidRPr="0062136A">
              <w:rPr>
                <w:rFonts w:ascii="Arial Narrow" w:hAnsi="Arial Narrow"/>
              </w:rPr>
              <w:t>)</w:t>
            </w:r>
          </w:p>
        </w:tc>
        <w:tc>
          <w:tcPr>
            <w:tcW w:w="898" w:type="pct"/>
            <w:tcBorders>
              <w:left w:val="single" w:sz="12" w:space="0" w:color="auto"/>
            </w:tcBorders>
          </w:tcPr>
          <w:p w14:paraId="11F4EA27" w14:textId="77777777" w:rsidR="005C1F35" w:rsidRPr="0062136A" w:rsidRDefault="005C1F35" w:rsidP="0062136A">
            <w:pPr>
              <w:spacing w:before="40" w:after="40"/>
              <w:jc w:val="center"/>
              <w:rPr>
                <w:rFonts w:ascii="Arial Narrow" w:hAnsi="Arial Narrow"/>
              </w:rPr>
            </w:pPr>
            <w:r w:rsidRPr="0062136A">
              <w:rPr>
                <w:rFonts w:ascii="Arial Narrow" w:hAnsi="Arial Narrow"/>
              </w:rPr>
              <w:t>3 (3.5)</w:t>
            </w:r>
          </w:p>
        </w:tc>
        <w:tc>
          <w:tcPr>
            <w:tcW w:w="898" w:type="pct"/>
          </w:tcPr>
          <w:p w14:paraId="7BC7955C" w14:textId="77777777" w:rsidR="005C1F35" w:rsidRPr="0062136A" w:rsidRDefault="005C1F35" w:rsidP="0062136A">
            <w:pPr>
              <w:spacing w:before="40" w:after="40"/>
              <w:jc w:val="center"/>
              <w:rPr>
                <w:rFonts w:ascii="Arial Narrow" w:hAnsi="Arial Narrow"/>
              </w:rPr>
            </w:pPr>
            <w:r w:rsidRPr="0062136A">
              <w:rPr>
                <w:rFonts w:ascii="Arial Narrow" w:hAnsi="Arial Narrow"/>
              </w:rPr>
              <w:t>11 (4.4)</w:t>
            </w:r>
          </w:p>
        </w:tc>
      </w:tr>
      <w:tr w:rsidR="005C1F35" w:rsidRPr="0062136A" w14:paraId="3F7FF6D1" w14:textId="77777777" w:rsidTr="0062136A">
        <w:trPr>
          <w:cantSplit/>
        </w:trPr>
        <w:tc>
          <w:tcPr>
            <w:tcW w:w="1407" w:type="pct"/>
          </w:tcPr>
          <w:p w14:paraId="1E852F3D" w14:textId="77777777" w:rsidR="005C1F35" w:rsidRPr="0062136A" w:rsidRDefault="005C1F35" w:rsidP="0062136A">
            <w:pPr>
              <w:spacing w:before="40" w:after="40"/>
              <w:ind w:left="179"/>
              <w:rPr>
                <w:rFonts w:ascii="Arial Narrow" w:hAnsi="Arial Narrow"/>
              </w:rPr>
            </w:pPr>
            <w:r w:rsidRPr="0062136A">
              <w:rPr>
                <w:rFonts w:ascii="Arial Narrow" w:hAnsi="Arial Narrow"/>
              </w:rPr>
              <w:t>Myocardial infarction</w:t>
            </w:r>
          </w:p>
        </w:tc>
        <w:tc>
          <w:tcPr>
            <w:tcW w:w="898" w:type="pct"/>
          </w:tcPr>
          <w:p w14:paraId="76720C93" w14:textId="77777777" w:rsidR="005C1F35" w:rsidRPr="0062136A" w:rsidRDefault="005C1F35" w:rsidP="0062136A">
            <w:pPr>
              <w:spacing w:before="40" w:after="40"/>
              <w:jc w:val="center"/>
              <w:rPr>
                <w:rFonts w:ascii="Arial Narrow" w:hAnsi="Arial Narrow"/>
              </w:rPr>
            </w:pPr>
            <w:r w:rsidRPr="0062136A">
              <w:rPr>
                <w:rFonts w:ascii="Arial Narrow" w:hAnsi="Arial Narrow"/>
              </w:rPr>
              <w:t>0</w:t>
            </w:r>
          </w:p>
        </w:tc>
        <w:tc>
          <w:tcPr>
            <w:tcW w:w="898" w:type="pct"/>
            <w:tcBorders>
              <w:right w:val="single" w:sz="12" w:space="0" w:color="auto"/>
            </w:tcBorders>
          </w:tcPr>
          <w:p w14:paraId="1059664E" w14:textId="77777777" w:rsidR="005C1F35" w:rsidRPr="0062136A" w:rsidRDefault="005C1F35" w:rsidP="0062136A">
            <w:pPr>
              <w:spacing w:before="40" w:after="40"/>
              <w:jc w:val="center"/>
              <w:rPr>
                <w:rFonts w:ascii="Arial Narrow" w:hAnsi="Arial Narrow"/>
              </w:rPr>
            </w:pPr>
            <w:r w:rsidRPr="0062136A">
              <w:rPr>
                <w:rFonts w:ascii="Arial Narrow" w:hAnsi="Arial Narrow"/>
              </w:rPr>
              <w:t>3 (1.0</w:t>
            </w:r>
            <w:r w:rsidRPr="0062136A">
              <w:rPr>
                <w:rFonts w:ascii="Arial Narrow" w:hAnsi="Arial Narrow"/>
                <w:vertAlign w:val="superscript"/>
              </w:rPr>
              <w:t>#</w:t>
            </w:r>
            <w:r w:rsidRPr="0062136A">
              <w:rPr>
                <w:rFonts w:ascii="Arial Narrow" w:hAnsi="Arial Narrow"/>
              </w:rPr>
              <w:t>)</w:t>
            </w:r>
          </w:p>
        </w:tc>
        <w:tc>
          <w:tcPr>
            <w:tcW w:w="898" w:type="pct"/>
            <w:tcBorders>
              <w:left w:val="single" w:sz="12" w:space="0" w:color="auto"/>
            </w:tcBorders>
          </w:tcPr>
          <w:p w14:paraId="50B67E66" w14:textId="77777777" w:rsidR="005C1F35" w:rsidRPr="0062136A" w:rsidRDefault="005C1F35" w:rsidP="0062136A">
            <w:pPr>
              <w:spacing w:before="40" w:after="40"/>
              <w:jc w:val="center"/>
              <w:rPr>
                <w:rFonts w:ascii="Arial Narrow" w:hAnsi="Arial Narrow"/>
              </w:rPr>
            </w:pPr>
            <w:r w:rsidRPr="0062136A">
              <w:rPr>
                <w:rFonts w:ascii="Arial Narrow" w:hAnsi="Arial Narrow"/>
              </w:rPr>
              <w:t>1 (1.2)</w:t>
            </w:r>
          </w:p>
        </w:tc>
        <w:tc>
          <w:tcPr>
            <w:tcW w:w="898" w:type="pct"/>
          </w:tcPr>
          <w:p w14:paraId="041BF483" w14:textId="77777777" w:rsidR="005C1F35" w:rsidRPr="0062136A" w:rsidRDefault="005C1F35" w:rsidP="0062136A">
            <w:pPr>
              <w:spacing w:before="40" w:after="40"/>
              <w:jc w:val="center"/>
              <w:rPr>
                <w:rFonts w:ascii="Arial Narrow" w:hAnsi="Arial Narrow"/>
              </w:rPr>
            </w:pPr>
            <w:r w:rsidRPr="0062136A">
              <w:rPr>
                <w:rFonts w:ascii="Arial Narrow" w:hAnsi="Arial Narrow"/>
              </w:rPr>
              <w:t>12 (4.7)</w:t>
            </w:r>
          </w:p>
        </w:tc>
      </w:tr>
      <w:tr w:rsidR="005C1F35" w:rsidRPr="0062136A" w14:paraId="5F16A645" w14:textId="77777777" w:rsidTr="0062136A">
        <w:trPr>
          <w:cantSplit/>
        </w:trPr>
        <w:tc>
          <w:tcPr>
            <w:tcW w:w="1407" w:type="pct"/>
          </w:tcPr>
          <w:p w14:paraId="2B2C96BB" w14:textId="77777777" w:rsidR="005C1F35" w:rsidRPr="0062136A" w:rsidRDefault="005C1F35" w:rsidP="0062136A">
            <w:pPr>
              <w:spacing w:before="40" w:after="40"/>
              <w:ind w:left="179"/>
              <w:rPr>
                <w:rFonts w:ascii="Arial Narrow" w:hAnsi="Arial Narrow"/>
              </w:rPr>
            </w:pPr>
            <w:r w:rsidRPr="0062136A">
              <w:rPr>
                <w:rFonts w:ascii="Arial Narrow" w:hAnsi="Arial Narrow"/>
              </w:rPr>
              <w:t>Need for new renal replacement therapy</w:t>
            </w:r>
          </w:p>
        </w:tc>
        <w:tc>
          <w:tcPr>
            <w:tcW w:w="898" w:type="pct"/>
          </w:tcPr>
          <w:p w14:paraId="689F3F80" w14:textId="77777777" w:rsidR="005C1F35" w:rsidRPr="0062136A" w:rsidRDefault="005C1F35" w:rsidP="0062136A">
            <w:pPr>
              <w:spacing w:before="40" w:after="40"/>
              <w:jc w:val="center"/>
              <w:rPr>
                <w:rFonts w:ascii="Arial Narrow" w:hAnsi="Arial Narrow"/>
              </w:rPr>
            </w:pPr>
            <w:r w:rsidRPr="0062136A">
              <w:rPr>
                <w:rFonts w:ascii="Arial Narrow" w:hAnsi="Arial Narrow"/>
              </w:rPr>
              <w:t>1 (1.2)</w:t>
            </w:r>
          </w:p>
        </w:tc>
        <w:tc>
          <w:tcPr>
            <w:tcW w:w="898" w:type="pct"/>
            <w:tcBorders>
              <w:right w:val="single" w:sz="12" w:space="0" w:color="auto"/>
            </w:tcBorders>
          </w:tcPr>
          <w:p w14:paraId="4053FAD9" w14:textId="77777777" w:rsidR="005C1F35" w:rsidRPr="0062136A" w:rsidRDefault="005C1F35" w:rsidP="0062136A">
            <w:pPr>
              <w:spacing w:before="40" w:after="40"/>
              <w:jc w:val="center"/>
              <w:rPr>
                <w:rFonts w:ascii="Arial Narrow" w:hAnsi="Arial Narrow"/>
              </w:rPr>
            </w:pPr>
            <w:r w:rsidRPr="0062136A">
              <w:rPr>
                <w:rFonts w:ascii="Arial Narrow" w:hAnsi="Arial Narrow"/>
              </w:rPr>
              <w:t>NR</w:t>
            </w:r>
          </w:p>
        </w:tc>
        <w:tc>
          <w:tcPr>
            <w:tcW w:w="898" w:type="pct"/>
            <w:tcBorders>
              <w:left w:val="single" w:sz="12" w:space="0" w:color="auto"/>
            </w:tcBorders>
          </w:tcPr>
          <w:p w14:paraId="70CB3F81" w14:textId="77777777" w:rsidR="005C1F35" w:rsidRPr="0062136A" w:rsidRDefault="005C1F35" w:rsidP="0062136A">
            <w:pPr>
              <w:spacing w:before="40" w:after="40"/>
              <w:jc w:val="center"/>
              <w:rPr>
                <w:rFonts w:ascii="Arial Narrow" w:hAnsi="Arial Narrow"/>
              </w:rPr>
            </w:pPr>
            <w:r w:rsidRPr="0062136A">
              <w:rPr>
                <w:rFonts w:ascii="Arial Narrow" w:hAnsi="Arial Narrow"/>
              </w:rPr>
              <w:t>1 (1.2)</w:t>
            </w:r>
          </w:p>
        </w:tc>
        <w:tc>
          <w:tcPr>
            <w:tcW w:w="898" w:type="pct"/>
          </w:tcPr>
          <w:p w14:paraId="40502E8D" w14:textId="77777777" w:rsidR="005C1F35" w:rsidRPr="0062136A" w:rsidRDefault="005C1F35" w:rsidP="0062136A">
            <w:pPr>
              <w:spacing w:before="40" w:after="40"/>
              <w:jc w:val="center"/>
              <w:rPr>
                <w:rFonts w:ascii="Arial Narrow" w:hAnsi="Arial Narrow"/>
              </w:rPr>
            </w:pPr>
            <w:r w:rsidRPr="0062136A">
              <w:rPr>
                <w:rFonts w:ascii="Arial Narrow" w:hAnsi="Arial Narrow"/>
              </w:rPr>
              <w:t>NR</w:t>
            </w:r>
          </w:p>
        </w:tc>
      </w:tr>
      <w:tr w:rsidR="005C1F35" w:rsidRPr="0062136A" w14:paraId="24FC3900" w14:textId="77777777" w:rsidTr="0062136A">
        <w:trPr>
          <w:cantSplit/>
        </w:trPr>
        <w:tc>
          <w:tcPr>
            <w:tcW w:w="1407" w:type="pct"/>
          </w:tcPr>
          <w:p w14:paraId="02F5971C" w14:textId="77777777" w:rsidR="005C1F35" w:rsidRPr="0062136A" w:rsidRDefault="005C1F35" w:rsidP="0062136A">
            <w:pPr>
              <w:spacing w:before="40" w:after="40"/>
              <w:ind w:left="179"/>
              <w:rPr>
                <w:rFonts w:ascii="Arial Narrow" w:hAnsi="Arial Narrow"/>
              </w:rPr>
            </w:pPr>
            <w:r w:rsidRPr="0062136A">
              <w:rPr>
                <w:rFonts w:ascii="Arial Narrow" w:hAnsi="Arial Narrow"/>
              </w:rPr>
              <w:t>Severe bleeding</w:t>
            </w:r>
          </w:p>
        </w:tc>
        <w:tc>
          <w:tcPr>
            <w:tcW w:w="898" w:type="pct"/>
          </w:tcPr>
          <w:p w14:paraId="22B2D22F" w14:textId="77777777" w:rsidR="005C1F35" w:rsidRPr="0062136A" w:rsidRDefault="005C1F35" w:rsidP="0062136A">
            <w:pPr>
              <w:spacing w:before="40" w:after="40"/>
              <w:jc w:val="center"/>
              <w:rPr>
                <w:rFonts w:ascii="Arial Narrow" w:hAnsi="Arial Narrow"/>
              </w:rPr>
            </w:pPr>
            <w:r w:rsidRPr="0062136A">
              <w:rPr>
                <w:rFonts w:ascii="Arial Narrow" w:hAnsi="Arial Narrow"/>
              </w:rPr>
              <w:t>8 (9.4)</w:t>
            </w:r>
          </w:p>
        </w:tc>
        <w:tc>
          <w:tcPr>
            <w:tcW w:w="898" w:type="pct"/>
            <w:tcBorders>
              <w:right w:val="single" w:sz="12" w:space="0" w:color="auto"/>
            </w:tcBorders>
          </w:tcPr>
          <w:p w14:paraId="413613B8" w14:textId="77777777" w:rsidR="005C1F35" w:rsidRPr="0062136A" w:rsidRDefault="005C1F35" w:rsidP="0062136A">
            <w:pPr>
              <w:spacing w:before="40" w:after="40"/>
              <w:jc w:val="center"/>
              <w:rPr>
                <w:rFonts w:ascii="Arial Narrow" w:hAnsi="Arial Narrow"/>
              </w:rPr>
            </w:pPr>
            <w:r w:rsidRPr="0062136A">
              <w:rPr>
                <w:rFonts w:ascii="Arial Narrow" w:hAnsi="Arial Narrow"/>
              </w:rPr>
              <w:t>NR</w:t>
            </w:r>
          </w:p>
        </w:tc>
        <w:tc>
          <w:tcPr>
            <w:tcW w:w="898" w:type="pct"/>
            <w:tcBorders>
              <w:left w:val="single" w:sz="12" w:space="0" w:color="auto"/>
            </w:tcBorders>
          </w:tcPr>
          <w:p w14:paraId="529F3EA1" w14:textId="77777777" w:rsidR="005C1F35" w:rsidRPr="0062136A" w:rsidRDefault="005C1F35" w:rsidP="0062136A">
            <w:pPr>
              <w:spacing w:before="40" w:after="40"/>
              <w:jc w:val="center"/>
              <w:rPr>
                <w:rFonts w:ascii="Arial Narrow" w:hAnsi="Arial Narrow"/>
              </w:rPr>
            </w:pPr>
            <w:r w:rsidRPr="0062136A">
              <w:rPr>
                <w:rFonts w:ascii="Arial Narrow" w:hAnsi="Arial Narrow"/>
              </w:rPr>
              <w:t>7 (8.2)</w:t>
            </w:r>
          </w:p>
        </w:tc>
        <w:tc>
          <w:tcPr>
            <w:tcW w:w="898" w:type="pct"/>
          </w:tcPr>
          <w:p w14:paraId="42327696" w14:textId="77777777" w:rsidR="005C1F35" w:rsidRPr="0062136A" w:rsidRDefault="005C1F35" w:rsidP="0062136A">
            <w:pPr>
              <w:spacing w:before="40" w:after="40"/>
              <w:jc w:val="center"/>
              <w:rPr>
                <w:rFonts w:ascii="Arial Narrow" w:hAnsi="Arial Narrow"/>
              </w:rPr>
            </w:pPr>
            <w:r w:rsidRPr="0062136A">
              <w:rPr>
                <w:rFonts w:ascii="Arial Narrow" w:hAnsi="Arial Narrow"/>
              </w:rPr>
              <w:t>NR</w:t>
            </w:r>
          </w:p>
        </w:tc>
      </w:tr>
      <w:tr w:rsidR="005C1F35" w:rsidRPr="0062136A" w14:paraId="645170B2" w14:textId="77777777" w:rsidTr="0062136A">
        <w:trPr>
          <w:cantSplit/>
        </w:trPr>
        <w:tc>
          <w:tcPr>
            <w:tcW w:w="1407" w:type="pct"/>
          </w:tcPr>
          <w:p w14:paraId="7B238D0A" w14:textId="77777777" w:rsidR="005C1F35" w:rsidRPr="0062136A" w:rsidRDefault="005C1F35" w:rsidP="0062136A">
            <w:pPr>
              <w:spacing w:before="40" w:after="40"/>
              <w:ind w:left="179"/>
              <w:rPr>
                <w:rFonts w:ascii="Arial Narrow" w:hAnsi="Arial Narrow"/>
              </w:rPr>
            </w:pPr>
            <w:r w:rsidRPr="0062136A">
              <w:rPr>
                <w:rFonts w:ascii="Arial Narrow" w:hAnsi="Arial Narrow"/>
              </w:rPr>
              <w:t>Reintervention for study device-related complications</w:t>
            </w:r>
          </w:p>
        </w:tc>
        <w:tc>
          <w:tcPr>
            <w:tcW w:w="898" w:type="pct"/>
          </w:tcPr>
          <w:p w14:paraId="1DE6A2E2" w14:textId="77777777" w:rsidR="005C1F35" w:rsidRPr="0062136A" w:rsidRDefault="005C1F35" w:rsidP="0062136A">
            <w:pPr>
              <w:spacing w:before="40" w:after="40"/>
              <w:jc w:val="center"/>
              <w:rPr>
                <w:rFonts w:ascii="Arial Narrow" w:hAnsi="Arial Narrow"/>
              </w:rPr>
            </w:pPr>
            <w:r w:rsidRPr="0062136A">
              <w:rPr>
                <w:rFonts w:ascii="Arial Narrow" w:hAnsi="Arial Narrow"/>
              </w:rPr>
              <w:t>1 (1.2)</w:t>
            </w:r>
          </w:p>
        </w:tc>
        <w:tc>
          <w:tcPr>
            <w:tcW w:w="898" w:type="pct"/>
            <w:tcBorders>
              <w:right w:val="single" w:sz="12" w:space="0" w:color="auto"/>
            </w:tcBorders>
          </w:tcPr>
          <w:p w14:paraId="34038175" w14:textId="77777777" w:rsidR="005C1F35" w:rsidRPr="0062136A" w:rsidRDefault="005C1F35" w:rsidP="0062136A">
            <w:pPr>
              <w:spacing w:before="40" w:after="40"/>
              <w:jc w:val="center"/>
              <w:rPr>
                <w:rFonts w:ascii="Arial Narrow" w:hAnsi="Arial Narrow"/>
              </w:rPr>
            </w:pPr>
            <w:r w:rsidRPr="0062136A">
              <w:rPr>
                <w:rFonts w:ascii="Arial Narrow" w:hAnsi="Arial Narrow"/>
              </w:rPr>
              <w:t>3 (1.0)</w:t>
            </w:r>
            <w:r w:rsidRPr="0062136A">
              <w:rPr>
                <w:rFonts w:ascii="Arial Narrow" w:hAnsi="Arial Narrow"/>
                <w:vertAlign w:val="superscript"/>
              </w:rPr>
              <w:t>a</w:t>
            </w:r>
          </w:p>
        </w:tc>
        <w:tc>
          <w:tcPr>
            <w:tcW w:w="898" w:type="pct"/>
            <w:tcBorders>
              <w:left w:val="single" w:sz="12" w:space="0" w:color="auto"/>
            </w:tcBorders>
          </w:tcPr>
          <w:p w14:paraId="058A38AE" w14:textId="77777777" w:rsidR="005C1F35" w:rsidRPr="0062136A" w:rsidRDefault="005C1F35" w:rsidP="0062136A">
            <w:pPr>
              <w:spacing w:before="40" w:after="40"/>
              <w:jc w:val="center"/>
              <w:rPr>
                <w:rFonts w:ascii="Arial Narrow" w:hAnsi="Arial Narrow"/>
              </w:rPr>
            </w:pPr>
            <w:r w:rsidRPr="0062136A">
              <w:rPr>
                <w:rFonts w:ascii="Arial Narrow" w:hAnsi="Arial Narrow"/>
              </w:rPr>
              <w:t>3 (3.5)</w:t>
            </w:r>
          </w:p>
        </w:tc>
        <w:tc>
          <w:tcPr>
            <w:tcW w:w="898" w:type="pct"/>
          </w:tcPr>
          <w:p w14:paraId="22AD1027" w14:textId="77777777" w:rsidR="005C1F35" w:rsidRPr="0062136A" w:rsidRDefault="005C1F35" w:rsidP="0062136A">
            <w:pPr>
              <w:spacing w:before="40" w:after="40"/>
              <w:jc w:val="center"/>
              <w:rPr>
                <w:rFonts w:ascii="Arial Narrow" w:hAnsi="Arial Narrow"/>
              </w:rPr>
            </w:pPr>
            <w:r w:rsidRPr="0062136A">
              <w:rPr>
                <w:rFonts w:ascii="Arial Narrow" w:hAnsi="Arial Narrow"/>
              </w:rPr>
              <w:t>10 (4.0)</w:t>
            </w:r>
            <w:r w:rsidRPr="0062136A">
              <w:rPr>
                <w:rFonts w:ascii="Arial Narrow" w:hAnsi="Arial Narrow"/>
                <w:vertAlign w:val="superscript"/>
              </w:rPr>
              <w:t>a</w:t>
            </w:r>
          </w:p>
        </w:tc>
      </w:tr>
    </w:tbl>
    <w:p w14:paraId="235D5646" w14:textId="77777777" w:rsidR="005C1F35" w:rsidRDefault="005C1F35" w:rsidP="005C1F35">
      <w:pPr>
        <w:pStyle w:val="Tablenotes"/>
      </w:pPr>
      <w:r w:rsidRPr="004948EA">
        <w:t>FMR</w:t>
      </w:r>
      <w:r>
        <w:t>=</w:t>
      </w:r>
      <w:r w:rsidRPr="004948EA">
        <w:t>functional mitral regurgitation; MAE</w:t>
      </w:r>
      <w:r>
        <w:t>=</w:t>
      </w:r>
      <w:r w:rsidRPr="004948EA">
        <w:t xml:space="preserve">major adverse event; </w:t>
      </w:r>
      <w:r>
        <w:t>NR=not reported</w:t>
      </w:r>
    </w:p>
    <w:p w14:paraId="4EC38DB3" w14:textId="77777777" w:rsidR="005C1F35" w:rsidRDefault="005C1F35" w:rsidP="005C1F35">
      <w:pPr>
        <w:pStyle w:val="Tablenotes"/>
      </w:pPr>
      <w:r>
        <w:t>*Results were recalculated using the reconstructed definition of MAE;</w:t>
      </w:r>
      <w:r>
        <w:br/>
        <w:t>^Safety population</w:t>
      </w:r>
    </w:p>
    <w:p w14:paraId="3F1FF6CD" w14:textId="77777777" w:rsidR="005C1F35" w:rsidRDefault="005C1F35" w:rsidP="005C1F35">
      <w:pPr>
        <w:pStyle w:val="Tablenotes"/>
      </w:pPr>
      <w:r>
        <w:t>#Intention-to-treat population</w:t>
      </w:r>
    </w:p>
    <w:p w14:paraId="484BEA18" w14:textId="77777777" w:rsidR="005C1F35" w:rsidRDefault="005C1F35" w:rsidP="005C1F35">
      <w:pPr>
        <w:pStyle w:val="Tablenotes"/>
      </w:pPr>
      <w:r w:rsidRPr="0025125F">
        <w:rPr>
          <w:vertAlign w:val="superscript"/>
        </w:rPr>
        <w:t xml:space="preserve">a </w:t>
      </w:r>
      <w:r>
        <w:t>Defined as unplanned mitral valve intervention.</w:t>
      </w:r>
    </w:p>
    <w:p w14:paraId="38A5DCED" w14:textId="4E19370E" w:rsidR="00A64CAC" w:rsidRPr="00A64CAC" w:rsidRDefault="005C1F35" w:rsidP="00A64CAC">
      <w:pPr>
        <w:spacing w:after="240"/>
      </w:pPr>
      <w:r w:rsidRPr="000534FC">
        <w:t xml:space="preserve">In the FMR population at 30 days post procedure, the rate of MAEs for PASCAL was three times higher than the rate of MAEs for </w:t>
      </w:r>
      <w:proofErr w:type="spellStart"/>
      <w:r w:rsidRPr="000534FC">
        <w:t>MitraClip</w:t>
      </w:r>
      <w:proofErr w:type="spellEnd"/>
      <w:r w:rsidRPr="000534FC">
        <w:t xml:space="preserve">, however there were significant differences in MAE definitions between the studies. </w:t>
      </w:r>
      <w:bookmarkStart w:id="55" w:name="_Hlk110514667"/>
      <w:r w:rsidRPr="000A1906">
        <w:t xml:space="preserve">The </w:t>
      </w:r>
      <w:r w:rsidR="0062136A" w:rsidRPr="000A1906">
        <w:t>a</w:t>
      </w:r>
      <w:r w:rsidRPr="000A1906">
        <w:t>pplicant did not report the MAE counts (only percentages of MAEs adjusted for MAIC purposes) according to the “reconstructed” CLASP MAE definition, therefore no meaningful comparison of rates of MAEs was possible</w:t>
      </w:r>
      <w:r w:rsidRPr="000534FC">
        <w:t xml:space="preserve">. </w:t>
      </w:r>
      <w:bookmarkEnd w:id="55"/>
      <w:r w:rsidRPr="000534FC">
        <w:t xml:space="preserve">At 30 days post procedure one PASCAL patient (1.2%) experienced stroke vs two </w:t>
      </w:r>
      <w:proofErr w:type="spellStart"/>
      <w:r w:rsidRPr="000534FC">
        <w:t>MitraClip</w:t>
      </w:r>
      <w:proofErr w:type="spellEnd"/>
      <w:r w:rsidRPr="000534FC">
        <w:t xml:space="preserve"> patients (0.7%); there were no myocardial infarction events in the CLASP trial and 3 (1.0%) in the much larger COAPT trial. At 24 months the difference in </w:t>
      </w:r>
      <w:r w:rsidR="002A1816">
        <w:t xml:space="preserve">the </w:t>
      </w:r>
      <w:r w:rsidRPr="000534FC">
        <w:t xml:space="preserve">proportion of patients experiencing stroke was in favour of PASCAL (3.5%) vs </w:t>
      </w:r>
      <w:proofErr w:type="spellStart"/>
      <w:r w:rsidRPr="000534FC">
        <w:t>MitraClip</w:t>
      </w:r>
      <w:proofErr w:type="spellEnd"/>
      <w:r w:rsidRPr="000534FC">
        <w:t xml:space="preserve"> (4.4%). Similarly, 1.2% of the CLASP patients had a myocardial infarction vs 4.7% of the COAPT patients. </w:t>
      </w:r>
      <w:r w:rsidRPr="00427322">
        <w:t>It is not clear to what degree the difference in the baseline characteristics is explained by the COAPT patients being of poorer health, as evident by the higher proportions for most comorbidities, the higher Society of Thoracis Surgeons (STS) risk score, and lower left ventricular ejection fraction (LVEF).</w:t>
      </w:r>
      <w:r w:rsidRPr="0062136A">
        <w:rPr>
          <w:i/>
          <w:iCs/>
        </w:rPr>
        <w:t xml:space="preserve"> </w:t>
      </w:r>
      <w:r w:rsidRPr="000534FC">
        <w:t xml:space="preserve">Both CLASP and COAPT trials observed low rates of </w:t>
      </w:r>
      <w:r>
        <w:t>strokes and MIs,</w:t>
      </w:r>
      <w:r w:rsidRPr="000534FC">
        <w:t xml:space="preserve"> </w:t>
      </w:r>
      <w:r>
        <w:t xml:space="preserve">making </w:t>
      </w:r>
      <w:r w:rsidR="002A1816">
        <w:t xml:space="preserve">a </w:t>
      </w:r>
      <w:r>
        <w:t>comparison of the difference in rare events uncertain</w:t>
      </w:r>
      <w:r w:rsidRPr="000534FC">
        <w:t xml:space="preserve">. The rates of reintervention for study device-related complications remained similar between PASCAL and </w:t>
      </w:r>
      <w:proofErr w:type="spellStart"/>
      <w:r w:rsidRPr="000534FC">
        <w:t>MitraClip</w:t>
      </w:r>
      <w:proofErr w:type="spellEnd"/>
      <w:r w:rsidRPr="000534FC">
        <w:t xml:space="preserve"> patients at both observation points.  </w:t>
      </w:r>
      <w:bookmarkStart w:id="56" w:name="_Ref111526811"/>
      <w:r w:rsidR="00A64CAC">
        <w:br w:type="page"/>
      </w:r>
    </w:p>
    <w:p w14:paraId="3FDDDC62" w14:textId="7BD86BA0" w:rsidR="005C1F35" w:rsidRDefault="0062136A" w:rsidP="005C1F35">
      <w:pPr>
        <w:pStyle w:val="Caption"/>
      </w:pPr>
      <w:r>
        <w:lastRenderedPageBreak/>
        <w:t xml:space="preserve">Table </w:t>
      </w:r>
      <w:fldSimple w:instr=" SEQ Table \* ARABIC ">
        <w:r w:rsidR="007512A8">
          <w:rPr>
            <w:noProof/>
          </w:rPr>
          <w:t>15</w:t>
        </w:r>
      </w:fldSimple>
      <w:bookmarkEnd w:id="56"/>
      <w:r>
        <w:tab/>
      </w:r>
      <w:r w:rsidR="005C1F35">
        <w:t xml:space="preserve">Naïve comparison of MAEs reported in the included single-arm studies (mixed FMR/DMR ) </w:t>
      </w:r>
    </w:p>
    <w:tbl>
      <w:tblPr>
        <w:tblStyle w:val="MSAC"/>
        <w:tblW w:w="5226" w:type="pct"/>
        <w:tblLayout w:type="fixed"/>
        <w:tblCellMar>
          <w:left w:w="28" w:type="dxa"/>
          <w:right w:w="28" w:type="dxa"/>
        </w:tblCellMar>
        <w:tblLook w:val="04A0" w:firstRow="1" w:lastRow="0" w:firstColumn="1" w:lastColumn="0" w:noHBand="0" w:noVBand="1"/>
      </w:tblPr>
      <w:tblGrid>
        <w:gridCol w:w="2135"/>
        <w:gridCol w:w="1087"/>
        <w:gridCol w:w="1315"/>
        <w:gridCol w:w="1323"/>
        <w:gridCol w:w="1317"/>
        <w:gridCol w:w="1284"/>
        <w:gridCol w:w="1271"/>
        <w:gridCol w:w="12"/>
      </w:tblGrid>
      <w:tr w:rsidR="0062136A" w:rsidRPr="0062136A" w14:paraId="691D31B3" w14:textId="77777777" w:rsidTr="0062136A">
        <w:trPr>
          <w:cnfStyle w:val="100000000000" w:firstRow="1" w:lastRow="0" w:firstColumn="0" w:lastColumn="0" w:oddVBand="0" w:evenVBand="0" w:oddHBand="0" w:evenHBand="0" w:firstRowFirstColumn="0" w:firstRowLastColumn="0" w:lastRowFirstColumn="0" w:lastRowLastColumn="0"/>
          <w:cantSplit/>
        </w:trPr>
        <w:tc>
          <w:tcPr>
            <w:tcW w:w="1095" w:type="pct"/>
            <w:vMerge w:val="restart"/>
          </w:tcPr>
          <w:p w14:paraId="3D5C7DD5" w14:textId="1C8B241E" w:rsidR="0062136A" w:rsidRPr="0062136A" w:rsidRDefault="0062136A" w:rsidP="0062136A">
            <w:pPr>
              <w:spacing w:before="40" w:after="40"/>
              <w:rPr>
                <w:rFonts w:ascii="Arial Narrow" w:hAnsi="Arial Narrow" w:cstheme="minorHAnsi"/>
              </w:rPr>
            </w:pPr>
            <w:r w:rsidRPr="0062136A">
              <w:rPr>
                <w:rFonts w:ascii="Arial Narrow" w:hAnsi="Arial Narrow" w:cstheme="minorHAnsi"/>
              </w:rPr>
              <w:t>Safety event, n (%)</w:t>
            </w:r>
          </w:p>
        </w:tc>
        <w:tc>
          <w:tcPr>
            <w:tcW w:w="558" w:type="pct"/>
          </w:tcPr>
          <w:p w14:paraId="2054333E" w14:textId="77777777" w:rsidR="0062136A" w:rsidRPr="0062136A" w:rsidRDefault="0062136A" w:rsidP="0062136A">
            <w:pPr>
              <w:spacing w:before="40" w:after="40"/>
              <w:jc w:val="center"/>
              <w:rPr>
                <w:rFonts w:ascii="Arial Narrow" w:hAnsi="Arial Narrow" w:cstheme="minorHAnsi"/>
                <w:b w:val="0"/>
              </w:rPr>
            </w:pPr>
            <w:r w:rsidRPr="0062136A">
              <w:rPr>
                <w:rFonts w:ascii="Arial Narrow" w:hAnsi="Arial Narrow" w:cstheme="minorHAnsi"/>
              </w:rPr>
              <w:t>CLASP</w:t>
            </w:r>
          </w:p>
          <w:p w14:paraId="593E8359" w14:textId="77777777" w:rsidR="0062136A" w:rsidRPr="0062136A" w:rsidRDefault="0062136A" w:rsidP="0062136A">
            <w:pPr>
              <w:spacing w:before="40" w:after="40"/>
              <w:jc w:val="center"/>
              <w:rPr>
                <w:rFonts w:ascii="Arial Narrow" w:hAnsi="Arial Narrow" w:cstheme="minorHAnsi"/>
              </w:rPr>
            </w:pPr>
            <w:r w:rsidRPr="0062136A">
              <w:rPr>
                <w:rFonts w:ascii="Arial Narrow" w:hAnsi="Arial Narrow" w:cstheme="minorHAnsi"/>
              </w:rPr>
              <w:t>(PASCAL)</w:t>
            </w:r>
          </w:p>
        </w:tc>
        <w:tc>
          <w:tcPr>
            <w:tcW w:w="675" w:type="pct"/>
          </w:tcPr>
          <w:p w14:paraId="4E41E584" w14:textId="77777777" w:rsidR="0062136A" w:rsidRPr="0062136A" w:rsidRDefault="0062136A" w:rsidP="0062136A">
            <w:pPr>
              <w:spacing w:before="40" w:after="40"/>
              <w:jc w:val="center"/>
              <w:rPr>
                <w:rFonts w:ascii="Arial Narrow" w:hAnsi="Arial Narrow" w:cstheme="minorHAnsi"/>
                <w:b w:val="0"/>
              </w:rPr>
            </w:pPr>
            <w:r w:rsidRPr="0062136A">
              <w:rPr>
                <w:rFonts w:ascii="Arial Narrow" w:hAnsi="Arial Narrow" w:cstheme="minorHAnsi"/>
              </w:rPr>
              <w:t>Mauri 2020</w:t>
            </w:r>
          </w:p>
          <w:p w14:paraId="510EE047" w14:textId="77777777" w:rsidR="0062136A" w:rsidRPr="0062136A" w:rsidRDefault="0062136A" w:rsidP="0062136A">
            <w:pPr>
              <w:spacing w:before="40" w:after="40"/>
              <w:jc w:val="center"/>
              <w:rPr>
                <w:rFonts w:ascii="Arial Narrow" w:hAnsi="Arial Narrow" w:cstheme="minorHAnsi"/>
              </w:rPr>
            </w:pPr>
            <w:r w:rsidRPr="0062136A">
              <w:rPr>
                <w:rFonts w:ascii="Arial Narrow" w:hAnsi="Arial Narrow" w:cstheme="minorHAnsi"/>
              </w:rPr>
              <w:t>(PASCAL)</w:t>
            </w:r>
          </w:p>
        </w:tc>
        <w:tc>
          <w:tcPr>
            <w:tcW w:w="679" w:type="pct"/>
          </w:tcPr>
          <w:p w14:paraId="42BEF024" w14:textId="77777777" w:rsidR="0062136A" w:rsidRPr="0062136A" w:rsidRDefault="0062136A" w:rsidP="0062136A">
            <w:pPr>
              <w:spacing w:before="40" w:after="40"/>
              <w:jc w:val="center"/>
              <w:rPr>
                <w:rFonts w:ascii="Arial Narrow" w:hAnsi="Arial Narrow" w:cstheme="minorHAnsi"/>
                <w:b w:val="0"/>
              </w:rPr>
            </w:pPr>
            <w:r w:rsidRPr="0062136A">
              <w:rPr>
                <w:rFonts w:ascii="Arial Narrow" w:hAnsi="Arial Narrow" w:cstheme="minorHAnsi"/>
              </w:rPr>
              <w:t>EVEREST-II</w:t>
            </w:r>
          </w:p>
          <w:p w14:paraId="320F6195" w14:textId="77777777" w:rsidR="0062136A" w:rsidRPr="0062136A" w:rsidRDefault="0062136A" w:rsidP="0062136A">
            <w:pPr>
              <w:spacing w:before="40" w:after="40"/>
              <w:jc w:val="center"/>
              <w:rPr>
                <w:rFonts w:ascii="Arial Narrow" w:hAnsi="Arial Narrow" w:cstheme="minorHAnsi"/>
              </w:rPr>
            </w:pPr>
            <w:r w:rsidRPr="0062136A">
              <w:rPr>
                <w:rFonts w:ascii="Arial Narrow" w:hAnsi="Arial Narrow" w:cstheme="minorHAnsi"/>
              </w:rPr>
              <w:t>(</w:t>
            </w:r>
            <w:proofErr w:type="spellStart"/>
            <w:r w:rsidRPr="0062136A">
              <w:rPr>
                <w:rFonts w:ascii="Arial Narrow" w:hAnsi="Arial Narrow" w:cstheme="minorHAnsi"/>
              </w:rPr>
              <w:t>MitraClip</w:t>
            </w:r>
            <w:proofErr w:type="spellEnd"/>
            <w:r w:rsidRPr="0062136A">
              <w:rPr>
                <w:rFonts w:ascii="Arial Narrow" w:hAnsi="Arial Narrow" w:cstheme="minorHAnsi"/>
              </w:rPr>
              <w:t>)</w:t>
            </w:r>
          </w:p>
        </w:tc>
        <w:tc>
          <w:tcPr>
            <w:tcW w:w="676" w:type="pct"/>
            <w:tcBorders>
              <w:right w:val="single" w:sz="12" w:space="0" w:color="auto"/>
            </w:tcBorders>
          </w:tcPr>
          <w:p w14:paraId="131F5611" w14:textId="77777777" w:rsidR="0062136A" w:rsidRPr="0062136A" w:rsidRDefault="0062136A" w:rsidP="0062136A">
            <w:pPr>
              <w:spacing w:before="40" w:after="40"/>
              <w:jc w:val="center"/>
              <w:rPr>
                <w:rFonts w:ascii="Arial Narrow" w:hAnsi="Arial Narrow" w:cstheme="minorHAnsi"/>
              </w:rPr>
            </w:pPr>
            <w:r w:rsidRPr="0062136A">
              <w:rPr>
                <w:rFonts w:ascii="Arial Narrow" w:hAnsi="Arial Narrow" w:cstheme="minorHAnsi"/>
              </w:rPr>
              <w:t>Mack 2022 (</w:t>
            </w:r>
            <w:proofErr w:type="spellStart"/>
            <w:r w:rsidRPr="0062136A">
              <w:rPr>
                <w:rFonts w:ascii="Arial Narrow" w:hAnsi="Arial Narrow" w:cstheme="minorHAnsi"/>
              </w:rPr>
              <w:t>MitraClip</w:t>
            </w:r>
            <w:proofErr w:type="spellEnd"/>
            <w:r w:rsidRPr="0062136A">
              <w:rPr>
                <w:rFonts w:ascii="Arial Narrow" w:hAnsi="Arial Narrow" w:cstheme="minorHAnsi"/>
              </w:rPr>
              <w:t>)</w:t>
            </w:r>
          </w:p>
        </w:tc>
        <w:tc>
          <w:tcPr>
            <w:tcW w:w="659" w:type="pct"/>
            <w:tcBorders>
              <w:left w:val="single" w:sz="12" w:space="0" w:color="auto"/>
            </w:tcBorders>
          </w:tcPr>
          <w:p w14:paraId="343581D9" w14:textId="77777777" w:rsidR="0062136A" w:rsidRPr="0062136A" w:rsidRDefault="0062136A" w:rsidP="0062136A">
            <w:pPr>
              <w:spacing w:before="40" w:after="40"/>
              <w:jc w:val="center"/>
              <w:rPr>
                <w:rFonts w:ascii="Arial Narrow" w:hAnsi="Arial Narrow" w:cstheme="minorHAnsi"/>
                <w:b w:val="0"/>
              </w:rPr>
            </w:pPr>
            <w:r w:rsidRPr="0062136A">
              <w:rPr>
                <w:rFonts w:ascii="Arial Narrow" w:hAnsi="Arial Narrow" w:cstheme="minorHAnsi"/>
              </w:rPr>
              <w:t>CLASP</w:t>
            </w:r>
          </w:p>
          <w:p w14:paraId="03C33A1A" w14:textId="77777777" w:rsidR="0062136A" w:rsidRPr="0062136A" w:rsidRDefault="0062136A" w:rsidP="0062136A">
            <w:pPr>
              <w:spacing w:before="40" w:after="40"/>
              <w:jc w:val="center"/>
              <w:rPr>
                <w:rFonts w:ascii="Arial Narrow" w:hAnsi="Arial Narrow" w:cstheme="minorHAnsi"/>
              </w:rPr>
            </w:pPr>
            <w:r w:rsidRPr="0062136A">
              <w:rPr>
                <w:rFonts w:ascii="Arial Narrow" w:hAnsi="Arial Narrow" w:cstheme="minorHAnsi"/>
              </w:rPr>
              <w:t>(PASCAL)</w:t>
            </w:r>
          </w:p>
        </w:tc>
        <w:tc>
          <w:tcPr>
            <w:tcW w:w="658" w:type="pct"/>
            <w:gridSpan w:val="2"/>
          </w:tcPr>
          <w:p w14:paraId="7398A9DF" w14:textId="77777777" w:rsidR="0062136A" w:rsidRPr="0062136A" w:rsidRDefault="0062136A" w:rsidP="0062136A">
            <w:pPr>
              <w:spacing w:before="40" w:after="40"/>
              <w:jc w:val="center"/>
              <w:rPr>
                <w:rFonts w:ascii="Arial Narrow" w:hAnsi="Arial Narrow" w:cstheme="minorHAnsi"/>
                <w:b w:val="0"/>
              </w:rPr>
            </w:pPr>
            <w:r w:rsidRPr="0062136A">
              <w:rPr>
                <w:rFonts w:ascii="Arial Narrow" w:hAnsi="Arial Narrow" w:cstheme="minorHAnsi"/>
              </w:rPr>
              <w:t>EVEREST-II</w:t>
            </w:r>
          </w:p>
          <w:p w14:paraId="42B9B338" w14:textId="77777777" w:rsidR="0062136A" w:rsidRPr="0062136A" w:rsidRDefault="0062136A" w:rsidP="0062136A">
            <w:pPr>
              <w:spacing w:before="40" w:after="40"/>
              <w:jc w:val="center"/>
              <w:rPr>
                <w:rFonts w:ascii="Arial Narrow" w:hAnsi="Arial Narrow" w:cstheme="minorHAnsi"/>
              </w:rPr>
            </w:pPr>
            <w:r w:rsidRPr="0062136A">
              <w:rPr>
                <w:rFonts w:ascii="Arial Narrow" w:hAnsi="Arial Narrow" w:cstheme="minorHAnsi"/>
              </w:rPr>
              <w:t>(</w:t>
            </w:r>
            <w:proofErr w:type="spellStart"/>
            <w:r w:rsidRPr="0062136A">
              <w:rPr>
                <w:rFonts w:ascii="Arial Narrow" w:hAnsi="Arial Narrow" w:cstheme="minorHAnsi"/>
              </w:rPr>
              <w:t>MitraClip</w:t>
            </w:r>
            <w:proofErr w:type="spellEnd"/>
            <w:r w:rsidRPr="0062136A">
              <w:rPr>
                <w:rFonts w:ascii="Arial Narrow" w:hAnsi="Arial Narrow" w:cstheme="minorHAnsi"/>
              </w:rPr>
              <w:t>)</w:t>
            </w:r>
          </w:p>
        </w:tc>
      </w:tr>
      <w:tr w:rsidR="0062136A" w:rsidRPr="0062136A" w14:paraId="7FA15F42" w14:textId="77777777" w:rsidTr="0062136A">
        <w:trPr>
          <w:cantSplit/>
        </w:trPr>
        <w:tc>
          <w:tcPr>
            <w:tcW w:w="1095" w:type="pct"/>
            <w:vMerge/>
          </w:tcPr>
          <w:p w14:paraId="20088F60" w14:textId="64A4ACEE" w:rsidR="0062136A" w:rsidRPr="0062136A" w:rsidRDefault="0062136A" w:rsidP="0062136A">
            <w:pPr>
              <w:spacing w:before="40" w:after="40"/>
              <w:rPr>
                <w:rFonts w:ascii="Arial Narrow" w:hAnsi="Arial Narrow" w:cstheme="minorHAnsi"/>
                <w:b/>
              </w:rPr>
            </w:pPr>
          </w:p>
        </w:tc>
        <w:tc>
          <w:tcPr>
            <w:tcW w:w="558" w:type="pct"/>
          </w:tcPr>
          <w:p w14:paraId="03710635" w14:textId="77777777" w:rsidR="0062136A" w:rsidRPr="0062136A" w:rsidRDefault="0062136A" w:rsidP="0062136A">
            <w:pPr>
              <w:spacing w:before="40" w:after="40"/>
              <w:jc w:val="center"/>
              <w:rPr>
                <w:rFonts w:ascii="Arial Narrow" w:hAnsi="Arial Narrow" w:cstheme="minorHAnsi"/>
                <w:b/>
              </w:rPr>
            </w:pPr>
            <w:r w:rsidRPr="0062136A">
              <w:rPr>
                <w:rFonts w:ascii="Arial Narrow" w:hAnsi="Arial Narrow" w:cstheme="minorHAnsi"/>
                <w:b/>
              </w:rPr>
              <w:t>N=124</w:t>
            </w:r>
          </w:p>
          <w:p w14:paraId="2207D8CD" w14:textId="77777777" w:rsidR="0062136A" w:rsidRPr="0062136A" w:rsidRDefault="0062136A" w:rsidP="0062136A">
            <w:pPr>
              <w:spacing w:before="40" w:after="40"/>
              <w:jc w:val="center"/>
              <w:rPr>
                <w:rFonts w:ascii="Arial Narrow" w:hAnsi="Arial Narrow" w:cstheme="minorHAnsi"/>
                <w:bCs/>
                <w:i/>
                <w:iCs/>
              </w:rPr>
            </w:pPr>
            <w:r w:rsidRPr="0062136A">
              <w:rPr>
                <w:rFonts w:ascii="Arial Narrow" w:hAnsi="Arial Narrow" w:cstheme="minorHAnsi"/>
                <w:bCs/>
                <w:i/>
                <w:iCs/>
              </w:rPr>
              <w:t>69% FMR</w:t>
            </w:r>
          </w:p>
          <w:p w14:paraId="2214F722" w14:textId="77777777" w:rsidR="0062136A" w:rsidRPr="0062136A" w:rsidRDefault="0062136A" w:rsidP="0062136A">
            <w:pPr>
              <w:spacing w:before="40" w:after="40"/>
              <w:jc w:val="center"/>
              <w:rPr>
                <w:rFonts w:ascii="Arial Narrow" w:hAnsi="Arial Narrow" w:cstheme="minorHAnsi"/>
                <w:b/>
              </w:rPr>
            </w:pPr>
            <w:r w:rsidRPr="0062136A">
              <w:rPr>
                <w:rFonts w:ascii="Arial Narrow" w:hAnsi="Arial Narrow" w:cstheme="minorHAnsi"/>
                <w:bCs/>
                <w:i/>
                <w:iCs/>
              </w:rPr>
              <w:t>31% DMR</w:t>
            </w:r>
          </w:p>
        </w:tc>
        <w:tc>
          <w:tcPr>
            <w:tcW w:w="675" w:type="pct"/>
          </w:tcPr>
          <w:p w14:paraId="195991D8" w14:textId="77777777" w:rsidR="0062136A" w:rsidRPr="0062136A" w:rsidRDefault="0062136A" w:rsidP="0062136A">
            <w:pPr>
              <w:spacing w:before="40" w:after="40"/>
              <w:jc w:val="center"/>
              <w:rPr>
                <w:rFonts w:ascii="Arial Narrow" w:hAnsi="Arial Narrow" w:cstheme="minorHAnsi"/>
                <w:b/>
              </w:rPr>
            </w:pPr>
            <w:r w:rsidRPr="0062136A">
              <w:rPr>
                <w:rFonts w:ascii="Arial Narrow" w:hAnsi="Arial Narrow" w:cstheme="minorHAnsi"/>
                <w:b/>
              </w:rPr>
              <w:t>N=309</w:t>
            </w:r>
          </w:p>
          <w:p w14:paraId="1C3CD1AE" w14:textId="77777777" w:rsidR="0062136A" w:rsidRPr="0062136A" w:rsidRDefault="0062136A" w:rsidP="0062136A">
            <w:pPr>
              <w:spacing w:before="40" w:after="40"/>
              <w:jc w:val="center"/>
              <w:rPr>
                <w:rFonts w:ascii="Arial Narrow" w:hAnsi="Arial Narrow" w:cstheme="minorHAnsi"/>
                <w:bCs/>
                <w:i/>
                <w:iCs/>
              </w:rPr>
            </w:pPr>
            <w:r w:rsidRPr="0062136A">
              <w:rPr>
                <w:rFonts w:ascii="Arial Narrow" w:hAnsi="Arial Narrow" w:cstheme="minorHAnsi"/>
                <w:bCs/>
                <w:i/>
                <w:iCs/>
              </w:rPr>
              <w:t>51.5% FMR</w:t>
            </w:r>
          </w:p>
          <w:p w14:paraId="6444BB41" w14:textId="77777777" w:rsidR="0062136A" w:rsidRPr="0062136A" w:rsidRDefault="0062136A" w:rsidP="0062136A">
            <w:pPr>
              <w:spacing w:before="40" w:after="40"/>
              <w:jc w:val="center"/>
              <w:rPr>
                <w:rFonts w:ascii="Arial Narrow" w:hAnsi="Arial Narrow" w:cstheme="minorHAnsi"/>
                <w:bCs/>
                <w:i/>
                <w:iCs/>
              </w:rPr>
            </w:pPr>
            <w:r w:rsidRPr="0062136A">
              <w:rPr>
                <w:rFonts w:ascii="Arial Narrow" w:hAnsi="Arial Narrow" w:cstheme="minorHAnsi"/>
                <w:bCs/>
                <w:i/>
                <w:iCs/>
              </w:rPr>
              <w:t>32.7% DMR</w:t>
            </w:r>
          </w:p>
          <w:p w14:paraId="3BD08B8C" w14:textId="77777777" w:rsidR="0062136A" w:rsidRPr="0062136A" w:rsidRDefault="0062136A" w:rsidP="0062136A">
            <w:pPr>
              <w:spacing w:before="40" w:after="40"/>
              <w:jc w:val="center"/>
              <w:rPr>
                <w:rFonts w:ascii="Arial Narrow" w:hAnsi="Arial Narrow" w:cstheme="minorHAnsi"/>
              </w:rPr>
            </w:pPr>
            <w:r w:rsidRPr="0062136A">
              <w:rPr>
                <w:rFonts w:ascii="Arial Narrow" w:hAnsi="Arial Narrow" w:cstheme="minorHAnsi"/>
                <w:i/>
                <w:iCs/>
              </w:rPr>
              <w:t>15.9% both</w:t>
            </w:r>
          </w:p>
        </w:tc>
        <w:tc>
          <w:tcPr>
            <w:tcW w:w="679" w:type="pct"/>
          </w:tcPr>
          <w:p w14:paraId="4A865905" w14:textId="77777777" w:rsidR="0062136A" w:rsidRPr="0062136A" w:rsidRDefault="0062136A" w:rsidP="0062136A">
            <w:pPr>
              <w:spacing w:before="40" w:after="40"/>
              <w:jc w:val="center"/>
              <w:rPr>
                <w:rFonts w:ascii="Arial Narrow" w:hAnsi="Arial Narrow" w:cstheme="minorHAnsi"/>
                <w:b/>
              </w:rPr>
            </w:pPr>
            <w:r w:rsidRPr="0062136A">
              <w:rPr>
                <w:rFonts w:ascii="Arial Narrow" w:hAnsi="Arial Narrow" w:cstheme="minorHAnsi"/>
                <w:b/>
              </w:rPr>
              <w:t>N=184</w:t>
            </w:r>
          </w:p>
          <w:p w14:paraId="1F11E285" w14:textId="77777777" w:rsidR="0062136A" w:rsidRPr="0062136A" w:rsidRDefault="0062136A" w:rsidP="0062136A">
            <w:pPr>
              <w:spacing w:before="40" w:after="40"/>
              <w:jc w:val="center"/>
              <w:rPr>
                <w:rFonts w:ascii="Arial Narrow" w:hAnsi="Arial Narrow" w:cstheme="minorHAnsi"/>
                <w:bCs/>
                <w:i/>
                <w:iCs/>
              </w:rPr>
            </w:pPr>
            <w:r w:rsidRPr="0062136A">
              <w:rPr>
                <w:rFonts w:ascii="Arial Narrow" w:hAnsi="Arial Narrow" w:cstheme="minorHAnsi"/>
                <w:bCs/>
                <w:i/>
                <w:iCs/>
              </w:rPr>
              <w:t>27% FMR</w:t>
            </w:r>
          </w:p>
          <w:p w14:paraId="0C2BC9A8" w14:textId="77777777" w:rsidR="0062136A" w:rsidRPr="0062136A" w:rsidRDefault="0062136A" w:rsidP="0062136A">
            <w:pPr>
              <w:spacing w:before="40" w:after="40"/>
              <w:jc w:val="center"/>
              <w:rPr>
                <w:rFonts w:ascii="Arial Narrow" w:hAnsi="Arial Narrow" w:cstheme="minorHAnsi"/>
                <w:b/>
              </w:rPr>
            </w:pPr>
            <w:r w:rsidRPr="0062136A">
              <w:rPr>
                <w:rFonts w:ascii="Arial Narrow" w:hAnsi="Arial Narrow" w:cstheme="minorHAnsi"/>
                <w:bCs/>
                <w:i/>
                <w:iCs/>
              </w:rPr>
              <w:t>73% DMR</w:t>
            </w:r>
          </w:p>
        </w:tc>
        <w:tc>
          <w:tcPr>
            <w:tcW w:w="676" w:type="pct"/>
            <w:tcBorders>
              <w:right w:val="single" w:sz="12" w:space="0" w:color="auto"/>
            </w:tcBorders>
          </w:tcPr>
          <w:p w14:paraId="06E3F47F" w14:textId="77777777" w:rsidR="0062136A" w:rsidRPr="0062136A" w:rsidRDefault="0062136A" w:rsidP="0062136A">
            <w:pPr>
              <w:spacing w:before="40" w:after="40"/>
              <w:jc w:val="center"/>
              <w:rPr>
                <w:rFonts w:ascii="Arial Narrow" w:hAnsi="Arial Narrow" w:cstheme="minorHAnsi"/>
                <w:b/>
              </w:rPr>
            </w:pPr>
            <w:r w:rsidRPr="0062136A">
              <w:rPr>
                <w:rFonts w:ascii="Arial Narrow" w:hAnsi="Arial Narrow" w:cstheme="minorHAnsi"/>
                <w:b/>
              </w:rPr>
              <w:t>N=10,460</w:t>
            </w:r>
          </w:p>
          <w:p w14:paraId="72276408" w14:textId="77777777" w:rsidR="0062136A" w:rsidRPr="0062136A" w:rsidRDefault="0062136A" w:rsidP="0062136A">
            <w:pPr>
              <w:spacing w:before="40" w:after="40"/>
              <w:jc w:val="center"/>
              <w:rPr>
                <w:rFonts w:ascii="Arial Narrow" w:hAnsi="Arial Narrow" w:cstheme="minorHAnsi"/>
                <w:bCs/>
                <w:i/>
                <w:iCs/>
              </w:rPr>
            </w:pPr>
            <w:r w:rsidRPr="0062136A">
              <w:rPr>
                <w:rFonts w:ascii="Arial Narrow" w:hAnsi="Arial Narrow" w:cstheme="minorHAnsi"/>
                <w:bCs/>
                <w:i/>
                <w:iCs/>
              </w:rPr>
              <w:t>15.07% FMR</w:t>
            </w:r>
          </w:p>
          <w:p w14:paraId="6C357413" w14:textId="77777777" w:rsidR="0062136A" w:rsidRPr="0062136A" w:rsidRDefault="0062136A" w:rsidP="0062136A">
            <w:pPr>
              <w:spacing w:before="40" w:after="40"/>
              <w:jc w:val="center"/>
              <w:rPr>
                <w:rFonts w:ascii="Arial Narrow" w:hAnsi="Arial Narrow" w:cstheme="minorHAnsi"/>
                <w:bCs/>
                <w:i/>
                <w:iCs/>
              </w:rPr>
            </w:pPr>
            <w:r w:rsidRPr="0062136A">
              <w:rPr>
                <w:rFonts w:ascii="Arial Narrow" w:hAnsi="Arial Narrow" w:cstheme="minorHAnsi"/>
                <w:bCs/>
                <w:i/>
                <w:iCs/>
              </w:rPr>
              <w:t>68.3% DMR</w:t>
            </w:r>
          </w:p>
          <w:p w14:paraId="59B2EFC4" w14:textId="77777777" w:rsidR="0062136A" w:rsidRPr="0062136A" w:rsidRDefault="0062136A" w:rsidP="0062136A">
            <w:pPr>
              <w:spacing w:before="40" w:after="40"/>
              <w:jc w:val="center"/>
              <w:rPr>
                <w:rFonts w:ascii="Arial Narrow" w:hAnsi="Arial Narrow" w:cstheme="minorHAnsi"/>
                <w:i/>
                <w:iCs/>
              </w:rPr>
            </w:pPr>
            <w:r w:rsidRPr="0062136A">
              <w:rPr>
                <w:rFonts w:ascii="Arial Narrow" w:hAnsi="Arial Narrow" w:cstheme="minorHAnsi"/>
                <w:i/>
                <w:iCs/>
              </w:rPr>
              <w:t>11.2% both</w:t>
            </w:r>
          </w:p>
          <w:p w14:paraId="40A51D93" w14:textId="77777777" w:rsidR="0062136A" w:rsidRPr="0062136A" w:rsidRDefault="0062136A" w:rsidP="0062136A">
            <w:pPr>
              <w:spacing w:before="40" w:after="40"/>
              <w:jc w:val="center"/>
              <w:rPr>
                <w:rFonts w:ascii="Arial Narrow" w:hAnsi="Arial Narrow" w:cstheme="minorHAnsi"/>
                <w:bCs/>
                <w:i/>
                <w:iCs/>
              </w:rPr>
            </w:pPr>
            <w:r w:rsidRPr="0062136A">
              <w:rPr>
                <w:rFonts w:ascii="Arial Narrow" w:hAnsi="Arial Narrow" w:cstheme="minorHAnsi"/>
                <w:bCs/>
                <w:i/>
                <w:iCs/>
              </w:rPr>
              <w:t>4.% none</w:t>
            </w:r>
          </w:p>
        </w:tc>
        <w:tc>
          <w:tcPr>
            <w:tcW w:w="659" w:type="pct"/>
            <w:tcBorders>
              <w:left w:val="single" w:sz="12" w:space="0" w:color="auto"/>
            </w:tcBorders>
          </w:tcPr>
          <w:p w14:paraId="196C7569" w14:textId="77777777" w:rsidR="0062136A" w:rsidRPr="0062136A" w:rsidRDefault="0062136A" w:rsidP="0062136A">
            <w:pPr>
              <w:spacing w:before="40" w:after="40"/>
              <w:jc w:val="center"/>
              <w:rPr>
                <w:rFonts w:ascii="Arial Narrow" w:hAnsi="Arial Narrow" w:cstheme="minorHAnsi"/>
                <w:bCs/>
              </w:rPr>
            </w:pPr>
            <w:r w:rsidRPr="0062136A">
              <w:rPr>
                <w:rFonts w:ascii="Arial Narrow" w:hAnsi="Arial Narrow" w:cstheme="minorHAnsi"/>
                <w:b/>
              </w:rPr>
              <w:t>N=124</w:t>
            </w:r>
          </w:p>
        </w:tc>
        <w:tc>
          <w:tcPr>
            <w:tcW w:w="658" w:type="pct"/>
            <w:gridSpan w:val="2"/>
          </w:tcPr>
          <w:p w14:paraId="70E0EAEC" w14:textId="77777777" w:rsidR="0062136A" w:rsidRPr="0062136A" w:rsidRDefault="0062136A" w:rsidP="0062136A">
            <w:pPr>
              <w:spacing w:before="40" w:after="40"/>
              <w:jc w:val="center"/>
              <w:rPr>
                <w:rFonts w:ascii="Arial Narrow" w:hAnsi="Arial Narrow" w:cstheme="minorHAnsi"/>
                <w:bCs/>
              </w:rPr>
            </w:pPr>
            <w:r w:rsidRPr="0062136A">
              <w:rPr>
                <w:rFonts w:ascii="Arial Narrow" w:hAnsi="Arial Narrow" w:cstheme="minorHAnsi"/>
                <w:b/>
              </w:rPr>
              <w:t>N=184</w:t>
            </w:r>
          </w:p>
        </w:tc>
      </w:tr>
      <w:tr w:rsidR="005C1F35" w:rsidRPr="0062136A" w14:paraId="6FE7897B" w14:textId="77777777" w:rsidTr="0062136A">
        <w:trPr>
          <w:gridAfter w:val="1"/>
          <w:wAfter w:w="6" w:type="pct"/>
          <w:cantSplit/>
        </w:trPr>
        <w:tc>
          <w:tcPr>
            <w:tcW w:w="1095" w:type="pct"/>
          </w:tcPr>
          <w:p w14:paraId="6CD06D2C" w14:textId="77777777" w:rsidR="005C1F35" w:rsidRPr="0062136A" w:rsidRDefault="005C1F35" w:rsidP="0062136A">
            <w:pPr>
              <w:spacing w:before="40" w:after="40"/>
              <w:rPr>
                <w:rFonts w:ascii="Arial Narrow" w:hAnsi="Arial Narrow"/>
              </w:rPr>
            </w:pPr>
          </w:p>
        </w:tc>
        <w:tc>
          <w:tcPr>
            <w:tcW w:w="2588" w:type="pct"/>
            <w:gridSpan w:val="4"/>
            <w:tcBorders>
              <w:right w:val="single" w:sz="12" w:space="0" w:color="auto"/>
            </w:tcBorders>
          </w:tcPr>
          <w:p w14:paraId="12F9171D" w14:textId="77777777" w:rsidR="005C1F35" w:rsidRPr="0062136A" w:rsidRDefault="005C1F35" w:rsidP="0062136A">
            <w:pPr>
              <w:spacing w:before="40" w:after="40"/>
              <w:jc w:val="center"/>
              <w:rPr>
                <w:rFonts w:ascii="Arial Narrow" w:hAnsi="Arial Narrow"/>
              </w:rPr>
            </w:pPr>
            <w:r w:rsidRPr="0062136A">
              <w:rPr>
                <w:rFonts w:ascii="Arial Narrow" w:hAnsi="Arial Narrow"/>
              </w:rPr>
              <w:t>30 days</w:t>
            </w:r>
          </w:p>
        </w:tc>
        <w:tc>
          <w:tcPr>
            <w:tcW w:w="1311" w:type="pct"/>
            <w:gridSpan w:val="2"/>
            <w:tcBorders>
              <w:left w:val="single" w:sz="12" w:space="0" w:color="auto"/>
            </w:tcBorders>
          </w:tcPr>
          <w:p w14:paraId="78F87D30" w14:textId="77777777" w:rsidR="005C1F35" w:rsidRPr="0062136A" w:rsidRDefault="005C1F35" w:rsidP="0062136A">
            <w:pPr>
              <w:spacing w:before="40" w:after="40"/>
              <w:jc w:val="center"/>
              <w:rPr>
                <w:rFonts w:ascii="Arial Narrow" w:hAnsi="Arial Narrow"/>
              </w:rPr>
            </w:pPr>
            <w:r w:rsidRPr="0062136A">
              <w:rPr>
                <w:rFonts w:ascii="Arial Narrow" w:hAnsi="Arial Narrow"/>
              </w:rPr>
              <w:t>12 months</w:t>
            </w:r>
          </w:p>
        </w:tc>
      </w:tr>
      <w:tr w:rsidR="005C1F35" w:rsidRPr="0062136A" w14:paraId="1E4BEFDD" w14:textId="77777777" w:rsidTr="0062136A">
        <w:trPr>
          <w:cantSplit/>
        </w:trPr>
        <w:tc>
          <w:tcPr>
            <w:tcW w:w="1095" w:type="pct"/>
          </w:tcPr>
          <w:p w14:paraId="20921505" w14:textId="77777777" w:rsidR="005C1F35" w:rsidRPr="0062136A" w:rsidRDefault="005C1F35" w:rsidP="0062136A">
            <w:pPr>
              <w:spacing w:before="40" w:after="40"/>
              <w:rPr>
                <w:rFonts w:ascii="Arial Narrow" w:hAnsi="Arial Narrow"/>
              </w:rPr>
            </w:pPr>
            <w:r w:rsidRPr="0062136A">
              <w:rPr>
                <w:rFonts w:ascii="Arial Narrow" w:hAnsi="Arial Narrow"/>
              </w:rPr>
              <w:t>Any MAE</w:t>
            </w:r>
          </w:p>
        </w:tc>
        <w:tc>
          <w:tcPr>
            <w:tcW w:w="558" w:type="pct"/>
          </w:tcPr>
          <w:p w14:paraId="1F3D127F" w14:textId="77777777" w:rsidR="005C1F35" w:rsidRPr="0062136A" w:rsidRDefault="005C1F35" w:rsidP="0062136A">
            <w:pPr>
              <w:spacing w:before="40" w:after="40"/>
              <w:jc w:val="center"/>
              <w:rPr>
                <w:rFonts w:ascii="Arial Narrow" w:hAnsi="Arial Narrow"/>
              </w:rPr>
            </w:pPr>
            <w:r w:rsidRPr="0062136A">
              <w:rPr>
                <w:rFonts w:ascii="Arial Narrow" w:hAnsi="Arial Narrow"/>
              </w:rPr>
              <w:t>10 (8.1)</w:t>
            </w:r>
          </w:p>
        </w:tc>
        <w:tc>
          <w:tcPr>
            <w:tcW w:w="675" w:type="pct"/>
          </w:tcPr>
          <w:p w14:paraId="04FB5607" w14:textId="77777777" w:rsidR="005C1F35" w:rsidRPr="0062136A" w:rsidRDefault="005C1F35" w:rsidP="0062136A">
            <w:pPr>
              <w:spacing w:before="40" w:after="40"/>
              <w:jc w:val="center"/>
              <w:rPr>
                <w:rFonts w:ascii="Arial Narrow" w:hAnsi="Arial Narrow"/>
              </w:rPr>
            </w:pPr>
            <w:r w:rsidRPr="0062136A">
              <w:rPr>
                <w:rFonts w:ascii="Arial Narrow" w:hAnsi="Arial Narrow"/>
              </w:rPr>
              <w:t>12 (4.1)</w:t>
            </w:r>
          </w:p>
        </w:tc>
        <w:tc>
          <w:tcPr>
            <w:tcW w:w="679" w:type="pct"/>
          </w:tcPr>
          <w:p w14:paraId="391FED63" w14:textId="77777777" w:rsidR="005C1F35" w:rsidRPr="0062136A" w:rsidRDefault="005C1F35" w:rsidP="0062136A">
            <w:pPr>
              <w:spacing w:before="40" w:after="40"/>
              <w:jc w:val="center"/>
              <w:rPr>
                <w:rFonts w:ascii="Arial Narrow" w:hAnsi="Arial Narrow"/>
              </w:rPr>
            </w:pPr>
            <w:r w:rsidRPr="0062136A">
              <w:rPr>
                <w:rFonts w:ascii="Arial Narrow" w:hAnsi="Arial Narrow"/>
              </w:rPr>
              <w:t>27 (15)/ 9(5)^</w:t>
            </w:r>
          </w:p>
        </w:tc>
        <w:tc>
          <w:tcPr>
            <w:tcW w:w="676" w:type="pct"/>
            <w:tcBorders>
              <w:right w:val="single" w:sz="12" w:space="0" w:color="auto"/>
            </w:tcBorders>
          </w:tcPr>
          <w:p w14:paraId="18E2B434" w14:textId="77777777" w:rsidR="005C1F35" w:rsidRPr="0062136A" w:rsidRDefault="005C1F35" w:rsidP="0062136A">
            <w:pPr>
              <w:spacing w:before="40" w:after="40"/>
              <w:jc w:val="center"/>
              <w:rPr>
                <w:rFonts w:ascii="Arial Narrow" w:hAnsi="Arial Narrow"/>
              </w:rPr>
            </w:pPr>
            <w:r w:rsidRPr="0062136A">
              <w:rPr>
                <w:rFonts w:ascii="Arial Narrow" w:hAnsi="Arial Narrow"/>
              </w:rPr>
              <w:t>NR</w:t>
            </w:r>
          </w:p>
        </w:tc>
        <w:tc>
          <w:tcPr>
            <w:tcW w:w="659" w:type="pct"/>
            <w:tcBorders>
              <w:left w:val="single" w:sz="12" w:space="0" w:color="auto"/>
            </w:tcBorders>
          </w:tcPr>
          <w:p w14:paraId="4C27DC12" w14:textId="77777777" w:rsidR="005C1F35" w:rsidRPr="0062136A" w:rsidRDefault="005C1F35" w:rsidP="0062136A">
            <w:pPr>
              <w:spacing w:before="40" w:after="40"/>
              <w:jc w:val="center"/>
              <w:rPr>
                <w:rFonts w:ascii="Arial Narrow" w:hAnsi="Arial Narrow"/>
              </w:rPr>
            </w:pPr>
            <w:r w:rsidRPr="0062136A">
              <w:rPr>
                <w:rFonts w:ascii="Arial Narrow" w:hAnsi="Arial Narrow"/>
              </w:rPr>
              <w:t>23 (18.5)</w:t>
            </w:r>
          </w:p>
        </w:tc>
        <w:tc>
          <w:tcPr>
            <w:tcW w:w="658" w:type="pct"/>
            <w:gridSpan w:val="2"/>
          </w:tcPr>
          <w:p w14:paraId="30328CAF" w14:textId="77777777" w:rsidR="005C1F35" w:rsidRPr="0062136A" w:rsidRDefault="005C1F35" w:rsidP="0062136A">
            <w:pPr>
              <w:spacing w:before="40" w:after="40"/>
              <w:jc w:val="center"/>
              <w:rPr>
                <w:rFonts w:ascii="Arial Narrow" w:hAnsi="Arial Narrow"/>
              </w:rPr>
            </w:pPr>
            <w:r w:rsidRPr="0062136A">
              <w:rPr>
                <w:rFonts w:ascii="Arial Narrow" w:hAnsi="Arial Narrow"/>
              </w:rPr>
              <w:t>39 (21.2)</w:t>
            </w:r>
          </w:p>
        </w:tc>
      </w:tr>
      <w:tr w:rsidR="005C1F35" w:rsidRPr="0062136A" w14:paraId="3F16D79D" w14:textId="77777777" w:rsidTr="0062136A">
        <w:trPr>
          <w:cantSplit/>
        </w:trPr>
        <w:tc>
          <w:tcPr>
            <w:tcW w:w="1095" w:type="pct"/>
          </w:tcPr>
          <w:p w14:paraId="623DC667" w14:textId="77777777" w:rsidR="005C1F35" w:rsidRPr="0062136A" w:rsidRDefault="005C1F35" w:rsidP="0062136A">
            <w:pPr>
              <w:spacing w:before="40" w:after="40"/>
              <w:ind w:left="179"/>
              <w:rPr>
                <w:rFonts w:ascii="Arial Narrow" w:hAnsi="Arial Narrow"/>
              </w:rPr>
            </w:pPr>
            <w:r w:rsidRPr="0062136A">
              <w:rPr>
                <w:rFonts w:ascii="Arial Narrow" w:hAnsi="Arial Narrow"/>
              </w:rPr>
              <w:t>Mortality</w:t>
            </w:r>
          </w:p>
        </w:tc>
        <w:tc>
          <w:tcPr>
            <w:tcW w:w="558" w:type="pct"/>
          </w:tcPr>
          <w:p w14:paraId="76F14471" w14:textId="77777777" w:rsidR="005C1F35" w:rsidRPr="0062136A" w:rsidRDefault="005C1F35" w:rsidP="0062136A">
            <w:pPr>
              <w:spacing w:before="40" w:after="40"/>
              <w:jc w:val="center"/>
              <w:rPr>
                <w:rFonts w:ascii="Arial Narrow" w:hAnsi="Arial Narrow"/>
              </w:rPr>
            </w:pPr>
            <w:r w:rsidRPr="0062136A">
              <w:rPr>
                <w:rFonts w:ascii="Arial Narrow" w:hAnsi="Arial Narrow"/>
              </w:rPr>
              <w:t>1 (0.8)</w:t>
            </w:r>
          </w:p>
        </w:tc>
        <w:tc>
          <w:tcPr>
            <w:tcW w:w="675" w:type="pct"/>
          </w:tcPr>
          <w:p w14:paraId="20DB99E4" w14:textId="77777777" w:rsidR="005C1F35" w:rsidRPr="0062136A" w:rsidRDefault="005C1F35" w:rsidP="0062136A">
            <w:pPr>
              <w:spacing w:before="40" w:after="40"/>
              <w:jc w:val="center"/>
              <w:rPr>
                <w:rFonts w:ascii="Arial Narrow" w:hAnsi="Arial Narrow"/>
              </w:rPr>
            </w:pPr>
            <w:r w:rsidRPr="0062136A">
              <w:rPr>
                <w:rFonts w:ascii="Arial Narrow" w:hAnsi="Arial Narrow"/>
              </w:rPr>
              <w:t>5 (2.0)</w:t>
            </w:r>
          </w:p>
        </w:tc>
        <w:tc>
          <w:tcPr>
            <w:tcW w:w="679" w:type="pct"/>
          </w:tcPr>
          <w:p w14:paraId="23AB769A" w14:textId="77777777" w:rsidR="005C1F35" w:rsidRPr="0062136A" w:rsidRDefault="005C1F35" w:rsidP="0062136A">
            <w:pPr>
              <w:spacing w:before="40" w:after="40"/>
              <w:jc w:val="center"/>
              <w:rPr>
                <w:rFonts w:ascii="Arial Narrow" w:hAnsi="Arial Narrow"/>
              </w:rPr>
            </w:pPr>
            <w:r w:rsidRPr="0062136A">
              <w:rPr>
                <w:rFonts w:ascii="Arial Narrow" w:hAnsi="Arial Narrow"/>
              </w:rPr>
              <w:t>2 (1)</w:t>
            </w:r>
          </w:p>
        </w:tc>
        <w:tc>
          <w:tcPr>
            <w:tcW w:w="676" w:type="pct"/>
            <w:tcBorders>
              <w:right w:val="single" w:sz="12" w:space="0" w:color="auto"/>
            </w:tcBorders>
          </w:tcPr>
          <w:p w14:paraId="03F1C352" w14:textId="77777777" w:rsidR="005C1F35" w:rsidRPr="0062136A" w:rsidRDefault="005C1F35" w:rsidP="0062136A">
            <w:pPr>
              <w:spacing w:before="40" w:after="40"/>
              <w:jc w:val="center"/>
              <w:rPr>
                <w:rFonts w:ascii="Arial Narrow" w:hAnsi="Arial Narrow"/>
              </w:rPr>
            </w:pPr>
            <w:r w:rsidRPr="0062136A">
              <w:rPr>
                <w:rFonts w:ascii="Arial Narrow" w:hAnsi="Arial Narrow"/>
              </w:rPr>
              <w:t>429 (4.2)</w:t>
            </w:r>
          </w:p>
        </w:tc>
        <w:tc>
          <w:tcPr>
            <w:tcW w:w="659" w:type="pct"/>
            <w:tcBorders>
              <w:left w:val="single" w:sz="12" w:space="0" w:color="auto"/>
            </w:tcBorders>
          </w:tcPr>
          <w:p w14:paraId="6CDEDE4E" w14:textId="77777777" w:rsidR="005C1F35" w:rsidRPr="0062136A" w:rsidRDefault="005C1F35" w:rsidP="0062136A">
            <w:pPr>
              <w:spacing w:before="40" w:after="40"/>
              <w:jc w:val="center"/>
              <w:rPr>
                <w:rFonts w:ascii="Arial Narrow" w:hAnsi="Arial Narrow"/>
                <w:i/>
                <w:iCs/>
              </w:rPr>
            </w:pPr>
            <w:r w:rsidRPr="0062136A">
              <w:rPr>
                <w:rFonts w:ascii="Arial Narrow" w:hAnsi="Arial Narrow"/>
                <w:i/>
                <w:iCs/>
              </w:rPr>
              <w:t>10 (8.1)</w:t>
            </w:r>
          </w:p>
        </w:tc>
        <w:tc>
          <w:tcPr>
            <w:tcW w:w="658" w:type="pct"/>
            <w:gridSpan w:val="2"/>
          </w:tcPr>
          <w:p w14:paraId="3D03350C" w14:textId="77777777" w:rsidR="005C1F35" w:rsidRPr="0062136A" w:rsidRDefault="005C1F35" w:rsidP="0062136A">
            <w:pPr>
              <w:spacing w:before="40" w:after="40"/>
              <w:jc w:val="center"/>
              <w:rPr>
                <w:rFonts w:ascii="Arial Narrow" w:hAnsi="Arial Narrow"/>
              </w:rPr>
            </w:pPr>
            <w:r w:rsidRPr="0062136A">
              <w:rPr>
                <w:rFonts w:ascii="Arial Narrow" w:hAnsi="Arial Narrow"/>
              </w:rPr>
              <w:t>NR</w:t>
            </w:r>
          </w:p>
        </w:tc>
      </w:tr>
      <w:tr w:rsidR="005C1F35" w:rsidRPr="0062136A" w14:paraId="30C57D8D" w14:textId="77777777" w:rsidTr="0062136A">
        <w:trPr>
          <w:cantSplit/>
        </w:trPr>
        <w:tc>
          <w:tcPr>
            <w:tcW w:w="1095" w:type="pct"/>
          </w:tcPr>
          <w:p w14:paraId="6A5A7C19" w14:textId="77777777" w:rsidR="005C1F35" w:rsidRPr="0062136A" w:rsidRDefault="005C1F35" w:rsidP="0062136A">
            <w:pPr>
              <w:spacing w:before="40" w:after="40"/>
              <w:ind w:left="179"/>
              <w:rPr>
                <w:rFonts w:ascii="Arial Narrow" w:hAnsi="Arial Narrow"/>
              </w:rPr>
            </w:pPr>
            <w:r w:rsidRPr="0062136A">
              <w:rPr>
                <w:rFonts w:ascii="Arial Narrow" w:hAnsi="Arial Narrow"/>
              </w:rPr>
              <w:t>Cardiovascular mortality</w:t>
            </w:r>
          </w:p>
        </w:tc>
        <w:tc>
          <w:tcPr>
            <w:tcW w:w="558" w:type="pct"/>
          </w:tcPr>
          <w:p w14:paraId="2C57B1A9" w14:textId="77777777" w:rsidR="005C1F35" w:rsidRPr="0062136A" w:rsidRDefault="005C1F35" w:rsidP="0062136A">
            <w:pPr>
              <w:spacing w:before="40" w:after="40"/>
              <w:jc w:val="center"/>
              <w:rPr>
                <w:rFonts w:ascii="Arial Narrow" w:hAnsi="Arial Narrow"/>
              </w:rPr>
            </w:pPr>
            <w:r w:rsidRPr="0062136A">
              <w:rPr>
                <w:rFonts w:ascii="Arial Narrow" w:hAnsi="Arial Narrow"/>
              </w:rPr>
              <w:t>1 (0.8)</w:t>
            </w:r>
          </w:p>
        </w:tc>
        <w:tc>
          <w:tcPr>
            <w:tcW w:w="675" w:type="pct"/>
          </w:tcPr>
          <w:p w14:paraId="3B476D6C" w14:textId="77777777" w:rsidR="005C1F35" w:rsidRPr="0062136A" w:rsidRDefault="005C1F35" w:rsidP="0062136A">
            <w:pPr>
              <w:spacing w:before="40" w:after="40"/>
              <w:jc w:val="center"/>
              <w:rPr>
                <w:rFonts w:ascii="Arial Narrow" w:hAnsi="Arial Narrow"/>
              </w:rPr>
            </w:pPr>
            <w:r w:rsidRPr="0062136A">
              <w:rPr>
                <w:rFonts w:ascii="Arial Narrow" w:hAnsi="Arial Narrow"/>
              </w:rPr>
              <w:t>4 (1.4)</w:t>
            </w:r>
          </w:p>
        </w:tc>
        <w:tc>
          <w:tcPr>
            <w:tcW w:w="679" w:type="pct"/>
          </w:tcPr>
          <w:p w14:paraId="3E3D9795" w14:textId="77777777" w:rsidR="005C1F35" w:rsidRPr="0062136A" w:rsidRDefault="005C1F35" w:rsidP="0062136A">
            <w:pPr>
              <w:spacing w:before="40" w:after="40"/>
              <w:jc w:val="center"/>
              <w:rPr>
                <w:rFonts w:ascii="Arial Narrow" w:hAnsi="Arial Narrow"/>
              </w:rPr>
            </w:pPr>
            <w:r w:rsidRPr="0062136A">
              <w:rPr>
                <w:rFonts w:ascii="Arial Narrow" w:hAnsi="Arial Narrow"/>
              </w:rPr>
              <w:t>NR</w:t>
            </w:r>
          </w:p>
        </w:tc>
        <w:tc>
          <w:tcPr>
            <w:tcW w:w="676" w:type="pct"/>
            <w:tcBorders>
              <w:right w:val="single" w:sz="12" w:space="0" w:color="auto"/>
            </w:tcBorders>
          </w:tcPr>
          <w:p w14:paraId="5BED16AE" w14:textId="77777777" w:rsidR="005C1F35" w:rsidRPr="0062136A" w:rsidRDefault="005C1F35" w:rsidP="0062136A">
            <w:pPr>
              <w:spacing w:before="40" w:after="40"/>
              <w:jc w:val="center"/>
              <w:rPr>
                <w:rFonts w:ascii="Arial Narrow" w:hAnsi="Arial Narrow"/>
              </w:rPr>
            </w:pPr>
            <w:r w:rsidRPr="0062136A">
              <w:rPr>
                <w:rFonts w:ascii="Arial Narrow" w:hAnsi="Arial Narrow"/>
              </w:rPr>
              <w:t>NR</w:t>
            </w:r>
          </w:p>
        </w:tc>
        <w:tc>
          <w:tcPr>
            <w:tcW w:w="659" w:type="pct"/>
            <w:tcBorders>
              <w:left w:val="single" w:sz="12" w:space="0" w:color="auto"/>
            </w:tcBorders>
          </w:tcPr>
          <w:p w14:paraId="318BEC1A" w14:textId="77777777" w:rsidR="005C1F35" w:rsidRPr="0062136A" w:rsidRDefault="005C1F35" w:rsidP="0062136A">
            <w:pPr>
              <w:spacing w:before="40" w:after="40"/>
              <w:jc w:val="center"/>
              <w:rPr>
                <w:rFonts w:ascii="Arial Narrow" w:hAnsi="Arial Narrow"/>
                <w:i/>
                <w:iCs/>
              </w:rPr>
            </w:pPr>
            <w:r w:rsidRPr="0062136A">
              <w:rPr>
                <w:rFonts w:ascii="Arial Narrow" w:hAnsi="Arial Narrow"/>
                <w:i/>
                <w:iCs/>
              </w:rPr>
              <w:t>7 (5.6)</w:t>
            </w:r>
          </w:p>
        </w:tc>
        <w:tc>
          <w:tcPr>
            <w:tcW w:w="658" w:type="pct"/>
            <w:gridSpan w:val="2"/>
          </w:tcPr>
          <w:p w14:paraId="5FED6195" w14:textId="77777777" w:rsidR="005C1F35" w:rsidRPr="0062136A" w:rsidRDefault="005C1F35" w:rsidP="0062136A">
            <w:pPr>
              <w:spacing w:before="40" w:after="40"/>
              <w:jc w:val="center"/>
              <w:rPr>
                <w:rFonts w:ascii="Arial Narrow" w:hAnsi="Arial Narrow"/>
              </w:rPr>
            </w:pPr>
            <w:r w:rsidRPr="0062136A">
              <w:rPr>
                <w:rFonts w:ascii="Arial Narrow" w:hAnsi="Arial Narrow"/>
              </w:rPr>
              <w:t>NR</w:t>
            </w:r>
          </w:p>
        </w:tc>
      </w:tr>
      <w:tr w:rsidR="005C1F35" w:rsidRPr="0062136A" w14:paraId="3D1BE4B0" w14:textId="77777777" w:rsidTr="0062136A">
        <w:trPr>
          <w:cantSplit/>
        </w:trPr>
        <w:tc>
          <w:tcPr>
            <w:tcW w:w="1095" w:type="pct"/>
          </w:tcPr>
          <w:p w14:paraId="236E5DB2" w14:textId="77777777" w:rsidR="005C1F35" w:rsidRPr="0062136A" w:rsidRDefault="005C1F35" w:rsidP="0062136A">
            <w:pPr>
              <w:spacing w:before="40" w:after="40"/>
              <w:ind w:left="179"/>
              <w:rPr>
                <w:rFonts w:ascii="Arial Narrow" w:hAnsi="Arial Narrow"/>
              </w:rPr>
            </w:pPr>
            <w:r w:rsidRPr="0062136A">
              <w:rPr>
                <w:rFonts w:ascii="Arial Narrow" w:hAnsi="Arial Narrow"/>
              </w:rPr>
              <w:t>Stroke</w:t>
            </w:r>
          </w:p>
        </w:tc>
        <w:tc>
          <w:tcPr>
            <w:tcW w:w="558" w:type="pct"/>
          </w:tcPr>
          <w:p w14:paraId="5C0D367A" w14:textId="77777777" w:rsidR="005C1F35" w:rsidRPr="0062136A" w:rsidRDefault="005C1F35" w:rsidP="0062136A">
            <w:pPr>
              <w:spacing w:before="40" w:after="40"/>
              <w:jc w:val="center"/>
              <w:rPr>
                <w:rFonts w:ascii="Arial Narrow" w:hAnsi="Arial Narrow"/>
              </w:rPr>
            </w:pPr>
            <w:r w:rsidRPr="0062136A">
              <w:rPr>
                <w:rFonts w:ascii="Arial Narrow" w:hAnsi="Arial Narrow"/>
              </w:rPr>
              <w:t>1 (0.8)</w:t>
            </w:r>
          </w:p>
        </w:tc>
        <w:tc>
          <w:tcPr>
            <w:tcW w:w="675" w:type="pct"/>
          </w:tcPr>
          <w:p w14:paraId="01EFC4BC" w14:textId="77777777" w:rsidR="005C1F35" w:rsidRPr="0062136A" w:rsidRDefault="005C1F35" w:rsidP="0062136A">
            <w:pPr>
              <w:spacing w:before="40" w:after="40"/>
              <w:jc w:val="center"/>
              <w:rPr>
                <w:rFonts w:ascii="Arial Narrow" w:hAnsi="Arial Narrow"/>
              </w:rPr>
            </w:pPr>
            <w:r w:rsidRPr="0062136A">
              <w:rPr>
                <w:rFonts w:ascii="Arial Narrow" w:hAnsi="Arial Narrow"/>
              </w:rPr>
              <w:t>0</w:t>
            </w:r>
          </w:p>
        </w:tc>
        <w:tc>
          <w:tcPr>
            <w:tcW w:w="679" w:type="pct"/>
          </w:tcPr>
          <w:p w14:paraId="665B0EAD" w14:textId="77777777" w:rsidR="005C1F35" w:rsidRPr="0062136A" w:rsidRDefault="005C1F35" w:rsidP="0062136A">
            <w:pPr>
              <w:spacing w:before="40" w:after="40"/>
              <w:jc w:val="center"/>
              <w:rPr>
                <w:rFonts w:ascii="Arial Narrow" w:hAnsi="Arial Narrow"/>
              </w:rPr>
            </w:pPr>
            <w:r w:rsidRPr="0062136A">
              <w:rPr>
                <w:rFonts w:ascii="Arial Narrow" w:hAnsi="Arial Narrow"/>
              </w:rPr>
              <w:t xml:space="preserve">2 (1) </w:t>
            </w:r>
            <w:r w:rsidRPr="0062136A">
              <w:rPr>
                <w:rFonts w:ascii="Arial Narrow" w:hAnsi="Arial Narrow" w:cs="Calibri Light"/>
                <w:vertAlign w:val="superscript"/>
              </w:rPr>
              <w:t>c</w:t>
            </w:r>
          </w:p>
        </w:tc>
        <w:tc>
          <w:tcPr>
            <w:tcW w:w="676" w:type="pct"/>
            <w:tcBorders>
              <w:right w:val="single" w:sz="12" w:space="0" w:color="auto"/>
            </w:tcBorders>
          </w:tcPr>
          <w:p w14:paraId="4E4EED66" w14:textId="77777777" w:rsidR="005C1F35" w:rsidRPr="0062136A" w:rsidRDefault="005C1F35" w:rsidP="0062136A">
            <w:pPr>
              <w:spacing w:before="40" w:after="40"/>
              <w:jc w:val="center"/>
              <w:rPr>
                <w:rFonts w:ascii="Arial Narrow" w:hAnsi="Arial Narrow"/>
              </w:rPr>
            </w:pPr>
            <w:r w:rsidRPr="0062136A">
              <w:rPr>
                <w:rFonts w:ascii="Arial Narrow" w:hAnsi="Arial Narrow"/>
              </w:rPr>
              <w:t>115 (1.1)</w:t>
            </w:r>
          </w:p>
        </w:tc>
        <w:tc>
          <w:tcPr>
            <w:tcW w:w="659" w:type="pct"/>
            <w:tcBorders>
              <w:left w:val="single" w:sz="12" w:space="0" w:color="auto"/>
            </w:tcBorders>
          </w:tcPr>
          <w:p w14:paraId="44F637C6" w14:textId="77777777" w:rsidR="005C1F35" w:rsidRPr="0062136A" w:rsidRDefault="005C1F35" w:rsidP="0062136A">
            <w:pPr>
              <w:spacing w:before="40" w:after="40"/>
              <w:jc w:val="center"/>
              <w:rPr>
                <w:rFonts w:ascii="Arial Narrow" w:hAnsi="Arial Narrow"/>
                <w:i/>
                <w:iCs/>
              </w:rPr>
            </w:pPr>
            <w:r w:rsidRPr="0062136A">
              <w:rPr>
                <w:rFonts w:ascii="Arial Narrow" w:hAnsi="Arial Narrow"/>
                <w:i/>
                <w:iCs/>
              </w:rPr>
              <w:t>2 (1.6)</w:t>
            </w:r>
          </w:p>
        </w:tc>
        <w:tc>
          <w:tcPr>
            <w:tcW w:w="658" w:type="pct"/>
            <w:gridSpan w:val="2"/>
          </w:tcPr>
          <w:p w14:paraId="34C678FA" w14:textId="77777777" w:rsidR="005C1F35" w:rsidRPr="0062136A" w:rsidRDefault="005C1F35" w:rsidP="0062136A">
            <w:pPr>
              <w:spacing w:before="40" w:after="40"/>
              <w:jc w:val="center"/>
              <w:rPr>
                <w:rFonts w:ascii="Arial Narrow" w:hAnsi="Arial Narrow"/>
              </w:rPr>
            </w:pPr>
            <w:r w:rsidRPr="0062136A">
              <w:rPr>
                <w:rFonts w:ascii="Arial Narrow" w:hAnsi="Arial Narrow"/>
              </w:rPr>
              <w:t>NR</w:t>
            </w:r>
          </w:p>
        </w:tc>
      </w:tr>
      <w:tr w:rsidR="005C1F35" w:rsidRPr="0062136A" w14:paraId="3E0FD2AA" w14:textId="77777777" w:rsidTr="0062136A">
        <w:trPr>
          <w:cantSplit/>
        </w:trPr>
        <w:tc>
          <w:tcPr>
            <w:tcW w:w="1095" w:type="pct"/>
          </w:tcPr>
          <w:p w14:paraId="722113EB" w14:textId="77777777" w:rsidR="005C1F35" w:rsidRPr="0062136A" w:rsidRDefault="005C1F35" w:rsidP="0062136A">
            <w:pPr>
              <w:spacing w:before="40" w:after="40"/>
              <w:ind w:left="179"/>
              <w:rPr>
                <w:rFonts w:ascii="Arial Narrow" w:hAnsi="Arial Narrow"/>
              </w:rPr>
            </w:pPr>
            <w:r w:rsidRPr="0062136A">
              <w:rPr>
                <w:rFonts w:ascii="Arial Narrow" w:hAnsi="Arial Narrow"/>
              </w:rPr>
              <w:t>Myocardial infarction</w:t>
            </w:r>
          </w:p>
        </w:tc>
        <w:tc>
          <w:tcPr>
            <w:tcW w:w="558" w:type="pct"/>
          </w:tcPr>
          <w:p w14:paraId="7A06125B" w14:textId="77777777" w:rsidR="005C1F35" w:rsidRPr="0062136A" w:rsidRDefault="005C1F35" w:rsidP="0062136A">
            <w:pPr>
              <w:spacing w:before="40" w:after="40"/>
              <w:jc w:val="center"/>
              <w:rPr>
                <w:rFonts w:ascii="Arial Narrow" w:hAnsi="Arial Narrow"/>
              </w:rPr>
            </w:pPr>
            <w:r w:rsidRPr="0062136A">
              <w:rPr>
                <w:rFonts w:ascii="Arial Narrow" w:hAnsi="Arial Narrow"/>
              </w:rPr>
              <w:t>0</w:t>
            </w:r>
          </w:p>
        </w:tc>
        <w:tc>
          <w:tcPr>
            <w:tcW w:w="675" w:type="pct"/>
          </w:tcPr>
          <w:p w14:paraId="55FB3427" w14:textId="77777777" w:rsidR="005C1F35" w:rsidRPr="0062136A" w:rsidRDefault="005C1F35" w:rsidP="0062136A">
            <w:pPr>
              <w:spacing w:before="40" w:after="40"/>
              <w:jc w:val="center"/>
              <w:rPr>
                <w:rFonts w:ascii="Arial Narrow" w:hAnsi="Arial Narrow"/>
              </w:rPr>
            </w:pPr>
            <w:r w:rsidRPr="0062136A">
              <w:rPr>
                <w:rFonts w:ascii="Arial Narrow" w:hAnsi="Arial Narrow"/>
              </w:rPr>
              <w:t>NR</w:t>
            </w:r>
          </w:p>
        </w:tc>
        <w:tc>
          <w:tcPr>
            <w:tcW w:w="679" w:type="pct"/>
          </w:tcPr>
          <w:p w14:paraId="210CA931" w14:textId="77777777" w:rsidR="005C1F35" w:rsidRPr="0062136A" w:rsidRDefault="005C1F35" w:rsidP="0062136A">
            <w:pPr>
              <w:spacing w:before="40" w:after="40"/>
              <w:jc w:val="center"/>
              <w:rPr>
                <w:rFonts w:ascii="Arial Narrow" w:hAnsi="Arial Narrow"/>
              </w:rPr>
            </w:pPr>
            <w:r w:rsidRPr="0062136A">
              <w:rPr>
                <w:rFonts w:ascii="Arial Narrow" w:hAnsi="Arial Narrow"/>
              </w:rPr>
              <w:t>0</w:t>
            </w:r>
          </w:p>
        </w:tc>
        <w:tc>
          <w:tcPr>
            <w:tcW w:w="676" w:type="pct"/>
            <w:tcBorders>
              <w:right w:val="single" w:sz="12" w:space="0" w:color="auto"/>
            </w:tcBorders>
          </w:tcPr>
          <w:p w14:paraId="7DC37B4A" w14:textId="77777777" w:rsidR="005C1F35" w:rsidRPr="0062136A" w:rsidRDefault="005C1F35" w:rsidP="0062136A">
            <w:pPr>
              <w:spacing w:before="40" w:after="40"/>
              <w:jc w:val="center"/>
              <w:rPr>
                <w:rFonts w:ascii="Arial Narrow" w:hAnsi="Arial Narrow"/>
              </w:rPr>
            </w:pPr>
            <w:r w:rsidRPr="0062136A">
              <w:rPr>
                <w:rFonts w:ascii="Arial Narrow" w:hAnsi="Arial Narrow"/>
              </w:rPr>
              <w:t>NR</w:t>
            </w:r>
          </w:p>
        </w:tc>
        <w:tc>
          <w:tcPr>
            <w:tcW w:w="659" w:type="pct"/>
            <w:tcBorders>
              <w:left w:val="single" w:sz="12" w:space="0" w:color="auto"/>
            </w:tcBorders>
          </w:tcPr>
          <w:p w14:paraId="4F5DB274" w14:textId="77777777" w:rsidR="005C1F35" w:rsidRPr="0062136A" w:rsidRDefault="005C1F35" w:rsidP="0062136A">
            <w:pPr>
              <w:spacing w:before="40" w:after="40"/>
              <w:jc w:val="center"/>
              <w:rPr>
                <w:rFonts w:ascii="Arial Narrow" w:hAnsi="Arial Narrow"/>
                <w:i/>
                <w:iCs/>
              </w:rPr>
            </w:pPr>
            <w:r w:rsidRPr="0062136A">
              <w:rPr>
                <w:rFonts w:ascii="Arial Narrow" w:hAnsi="Arial Narrow"/>
                <w:i/>
                <w:iCs/>
              </w:rPr>
              <w:t>2 (1.6)</w:t>
            </w:r>
          </w:p>
        </w:tc>
        <w:tc>
          <w:tcPr>
            <w:tcW w:w="658" w:type="pct"/>
            <w:gridSpan w:val="2"/>
          </w:tcPr>
          <w:p w14:paraId="5893ED9F" w14:textId="77777777" w:rsidR="005C1F35" w:rsidRPr="0062136A" w:rsidRDefault="005C1F35" w:rsidP="0062136A">
            <w:pPr>
              <w:spacing w:before="40" w:after="40"/>
              <w:jc w:val="center"/>
              <w:rPr>
                <w:rFonts w:ascii="Arial Narrow" w:hAnsi="Arial Narrow"/>
              </w:rPr>
            </w:pPr>
            <w:r w:rsidRPr="0062136A">
              <w:rPr>
                <w:rFonts w:ascii="Arial Narrow" w:hAnsi="Arial Narrow"/>
              </w:rPr>
              <w:t>NR</w:t>
            </w:r>
          </w:p>
        </w:tc>
      </w:tr>
      <w:tr w:rsidR="005C1F35" w:rsidRPr="0062136A" w14:paraId="7FD83DE1" w14:textId="77777777" w:rsidTr="0062136A">
        <w:trPr>
          <w:cantSplit/>
        </w:trPr>
        <w:tc>
          <w:tcPr>
            <w:tcW w:w="1095" w:type="pct"/>
          </w:tcPr>
          <w:p w14:paraId="00119ECD" w14:textId="77777777" w:rsidR="005C1F35" w:rsidRPr="0062136A" w:rsidRDefault="005C1F35" w:rsidP="0062136A">
            <w:pPr>
              <w:spacing w:before="40" w:after="40"/>
              <w:ind w:left="179"/>
              <w:rPr>
                <w:rFonts w:ascii="Arial Narrow" w:hAnsi="Arial Narrow"/>
              </w:rPr>
            </w:pPr>
            <w:r w:rsidRPr="0062136A">
              <w:rPr>
                <w:rFonts w:ascii="Arial Narrow" w:hAnsi="Arial Narrow"/>
              </w:rPr>
              <w:t>Need for new renal replacement therapy</w:t>
            </w:r>
          </w:p>
        </w:tc>
        <w:tc>
          <w:tcPr>
            <w:tcW w:w="558" w:type="pct"/>
          </w:tcPr>
          <w:p w14:paraId="3F05C62F" w14:textId="77777777" w:rsidR="005C1F35" w:rsidRPr="0062136A" w:rsidRDefault="005C1F35" w:rsidP="0062136A">
            <w:pPr>
              <w:spacing w:before="40" w:after="40"/>
              <w:jc w:val="center"/>
              <w:rPr>
                <w:rFonts w:ascii="Arial Narrow" w:hAnsi="Arial Narrow"/>
              </w:rPr>
            </w:pPr>
            <w:r w:rsidRPr="0062136A">
              <w:rPr>
                <w:rFonts w:ascii="Arial Narrow" w:hAnsi="Arial Narrow"/>
              </w:rPr>
              <w:t>1 (0.8)</w:t>
            </w:r>
          </w:p>
        </w:tc>
        <w:tc>
          <w:tcPr>
            <w:tcW w:w="675" w:type="pct"/>
          </w:tcPr>
          <w:p w14:paraId="5B90DD41" w14:textId="77777777" w:rsidR="005C1F35" w:rsidRPr="0062136A" w:rsidRDefault="005C1F35" w:rsidP="0062136A">
            <w:pPr>
              <w:spacing w:before="40" w:after="40"/>
              <w:jc w:val="center"/>
              <w:rPr>
                <w:rFonts w:ascii="Arial Narrow" w:hAnsi="Arial Narrow"/>
              </w:rPr>
            </w:pPr>
            <w:r w:rsidRPr="0062136A">
              <w:rPr>
                <w:rFonts w:ascii="Arial Narrow" w:hAnsi="Arial Narrow"/>
              </w:rPr>
              <w:t>2 (0.7)</w:t>
            </w:r>
          </w:p>
        </w:tc>
        <w:tc>
          <w:tcPr>
            <w:tcW w:w="679" w:type="pct"/>
          </w:tcPr>
          <w:p w14:paraId="5F84E878" w14:textId="77777777" w:rsidR="005C1F35" w:rsidRPr="0062136A" w:rsidRDefault="005C1F35" w:rsidP="0062136A">
            <w:pPr>
              <w:spacing w:before="40" w:after="40"/>
              <w:jc w:val="center"/>
              <w:rPr>
                <w:rFonts w:ascii="Arial Narrow" w:hAnsi="Arial Narrow"/>
              </w:rPr>
            </w:pPr>
            <w:r w:rsidRPr="0062136A">
              <w:rPr>
                <w:rFonts w:ascii="Arial Narrow" w:hAnsi="Arial Narrow"/>
              </w:rPr>
              <w:t xml:space="preserve">1 (&lt;1) </w:t>
            </w:r>
            <w:r w:rsidRPr="0062136A">
              <w:rPr>
                <w:rFonts w:ascii="Arial Narrow" w:hAnsi="Arial Narrow" w:cs="Calibri Light"/>
                <w:vertAlign w:val="superscript"/>
              </w:rPr>
              <w:t>b</w:t>
            </w:r>
          </w:p>
        </w:tc>
        <w:tc>
          <w:tcPr>
            <w:tcW w:w="676" w:type="pct"/>
            <w:tcBorders>
              <w:right w:val="single" w:sz="12" w:space="0" w:color="auto"/>
            </w:tcBorders>
          </w:tcPr>
          <w:p w14:paraId="08D725FA" w14:textId="77777777" w:rsidR="005C1F35" w:rsidRPr="0062136A" w:rsidRDefault="005C1F35" w:rsidP="0062136A">
            <w:pPr>
              <w:spacing w:before="40" w:after="40"/>
              <w:jc w:val="center"/>
              <w:rPr>
                <w:rFonts w:ascii="Arial Narrow" w:hAnsi="Arial Narrow"/>
              </w:rPr>
            </w:pPr>
            <w:r w:rsidRPr="0062136A">
              <w:rPr>
                <w:rFonts w:ascii="Arial Narrow" w:hAnsi="Arial Narrow"/>
              </w:rPr>
              <w:t>96 (1.0)</w:t>
            </w:r>
          </w:p>
        </w:tc>
        <w:tc>
          <w:tcPr>
            <w:tcW w:w="659" w:type="pct"/>
            <w:tcBorders>
              <w:left w:val="single" w:sz="12" w:space="0" w:color="auto"/>
            </w:tcBorders>
          </w:tcPr>
          <w:p w14:paraId="40D8AE41" w14:textId="77777777" w:rsidR="005C1F35" w:rsidRPr="0062136A" w:rsidRDefault="005C1F35" w:rsidP="0062136A">
            <w:pPr>
              <w:spacing w:before="40" w:after="40"/>
              <w:jc w:val="center"/>
              <w:rPr>
                <w:rFonts w:ascii="Arial Narrow" w:hAnsi="Arial Narrow"/>
                <w:i/>
                <w:iCs/>
              </w:rPr>
            </w:pPr>
            <w:r w:rsidRPr="0062136A">
              <w:rPr>
                <w:rFonts w:ascii="Arial Narrow" w:hAnsi="Arial Narrow"/>
                <w:i/>
                <w:iCs/>
              </w:rPr>
              <w:t>1 (0.8)</w:t>
            </w:r>
          </w:p>
        </w:tc>
        <w:tc>
          <w:tcPr>
            <w:tcW w:w="658" w:type="pct"/>
            <w:gridSpan w:val="2"/>
          </w:tcPr>
          <w:p w14:paraId="53A1C390" w14:textId="77777777" w:rsidR="005C1F35" w:rsidRPr="0062136A" w:rsidRDefault="005C1F35" w:rsidP="0062136A">
            <w:pPr>
              <w:spacing w:before="40" w:after="40"/>
              <w:jc w:val="center"/>
              <w:rPr>
                <w:rFonts w:ascii="Arial Narrow" w:hAnsi="Arial Narrow"/>
              </w:rPr>
            </w:pPr>
            <w:r w:rsidRPr="0062136A">
              <w:rPr>
                <w:rFonts w:ascii="Arial Narrow" w:hAnsi="Arial Narrow"/>
              </w:rPr>
              <w:t>NR</w:t>
            </w:r>
          </w:p>
        </w:tc>
      </w:tr>
      <w:tr w:rsidR="005C1F35" w:rsidRPr="0062136A" w14:paraId="52D7D7B7" w14:textId="77777777" w:rsidTr="0062136A">
        <w:trPr>
          <w:cantSplit/>
        </w:trPr>
        <w:tc>
          <w:tcPr>
            <w:tcW w:w="1095" w:type="pct"/>
          </w:tcPr>
          <w:p w14:paraId="25CAE763" w14:textId="77777777" w:rsidR="005C1F35" w:rsidRPr="0062136A" w:rsidRDefault="005C1F35" w:rsidP="0062136A">
            <w:pPr>
              <w:spacing w:before="40" w:after="40"/>
              <w:ind w:left="179"/>
              <w:rPr>
                <w:rFonts w:ascii="Arial Narrow" w:hAnsi="Arial Narrow"/>
              </w:rPr>
            </w:pPr>
            <w:r w:rsidRPr="0062136A">
              <w:rPr>
                <w:rFonts w:ascii="Arial Narrow" w:hAnsi="Arial Narrow"/>
              </w:rPr>
              <w:t>Severe bleeding</w:t>
            </w:r>
          </w:p>
        </w:tc>
        <w:tc>
          <w:tcPr>
            <w:tcW w:w="558" w:type="pct"/>
          </w:tcPr>
          <w:p w14:paraId="741B842C" w14:textId="77777777" w:rsidR="005C1F35" w:rsidRPr="0062136A" w:rsidRDefault="005C1F35" w:rsidP="0062136A">
            <w:pPr>
              <w:spacing w:before="40" w:after="40"/>
              <w:jc w:val="center"/>
              <w:rPr>
                <w:rFonts w:ascii="Arial Narrow" w:hAnsi="Arial Narrow"/>
              </w:rPr>
            </w:pPr>
            <w:r w:rsidRPr="0062136A">
              <w:rPr>
                <w:rFonts w:ascii="Arial Narrow" w:hAnsi="Arial Narrow"/>
              </w:rPr>
              <w:t>9 (7.3)</w:t>
            </w:r>
          </w:p>
        </w:tc>
        <w:tc>
          <w:tcPr>
            <w:tcW w:w="675" w:type="pct"/>
          </w:tcPr>
          <w:p w14:paraId="5EAA8990" w14:textId="77777777" w:rsidR="005C1F35" w:rsidRPr="0062136A" w:rsidRDefault="005C1F35" w:rsidP="0062136A">
            <w:pPr>
              <w:spacing w:before="40" w:after="40"/>
              <w:jc w:val="center"/>
              <w:rPr>
                <w:rFonts w:ascii="Arial Narrow" w:hAnsi="Arial Narrow"/>
              </w:rPr>
            </w:pPr>
            <w:r w:rsidRPr="0062136A">
              <w:rPr>
                <w:rFonts w:ascii="Arial Narrow" w:hAnsi="Arial Narrow"/>
              </w:rPr>
              <w:t>7 (2.4)</w:t>
            </w:r>
          </w:p>
        </w:tc>
        <w:tc>
          <w:tcPr>
            <w:tcW w:w="679" w:type="pct"/>
          </w:tcPr>
          <w:p w14:paraId="4F6C43A3" w14:textId="77777777" w:rsidR="005C1F35" w:rsidRPr="0062136A" w:rsidRDefault="005C1F35" w:rsidP="0062136A">
            <w:pPr>
              <w:spacing w:before="40" w:after="40"/>
              <w:jc w:val="center"/>
              <w:rPr>
                <w:rFonts w:ascii="Arial Narrow" w:hAnsi="Arial Narrow"/>
              </w:rPr>
            </w:pPr>
            <w:r w:rsidRPr="0062136A">
              <w:rPr>
                <w:rFonts w:ascii="Arial Narrow" w:hAnsi="Arial Narrow"/>
              </w:rPr>
              <w:t xml:space="preserve">24 (13) </w:t>
            </w:r>
            <w:r w:rsidRPr="0062136A">
              <w:rPr>
                <w:rFonts w:ascii="Arial Narrow" w:hAnsi="Arial Narrow"/>
                <w:vertAlign w:val="superscript"/>
              </w:rPr>
              <w:t>d</w:t>
            </w:r>
          </w:p>
        </w:tc>
        <w:tc>
          <w:tcPr>
            <w:tcW w:w="676" w:type="pct"/>
            <w:tcBorders>
              <w:right w:val="single" w:sz="12" w:space="0" w:color="auto"/>
            </w:tcBorders>
          </w:tcPr>
          <w:p w14:paraId="076B9464" w14:textId="77777777" w:rsidR="005C1F35" w:rsidRPr="0062136A" w:rsidRDefault="005C1F35" w:rsidP="0062136A">
            <w:pPr>
              <w:spacing w:before="40" w:after="40"/>
              <w:jc w:val="center"/>
              <w:rPr>
                <w:rFonts w:ascii="Arial Narrow" w:hAnsi="Arial Narrow"/>
              </w:rPr>
            </w:pPr>
            <w:r w:rsidRPr="0062136A">
              <w:rPr>
                <w:rFonts w:ascii="Arial Narrow" w:hAnsi="Arial Narrow"/>
              </w:rPr>
              <w:t>464 (4.5)</w:t>
            </w:r>
          </w:p>
        </w:tc>
        <w:tc>
          <w:tcPr>
            <w:tcW w:w="659" w:type="pct"/>
            <w:tcBorders>
              <w:left w:val="single" w:sz="12" w:space="0" w:color="auto"/>
            </w:tcBorders>
          </w:tcPr>
          <w:p w14:paraId="45288171" w14:textId="77777777" w:rsidR="005C1F35" w:rsidRPr="0062136A" w:rsidRDefault="005C1F35" w:rsidP="0062136A">
            <w:pPr>
              <w:spacing w:before="40" w:after="40"/>
              <w:jc w:val="center"/>
              <w:rPr>
                <w:rFonts w:ascii="Arial Narrow" w:hAnsi="Arial Narrow"/>
                <w:i/>
                <w:iCs/>
              </w:rPr>
            </w:pPr>
            <w:r w:rsidRPr="0062136A">
              <w:rPr>
                <w:rFonts w:ascii="Arial Narrow" w:hAnsi="Arial Narrow"/>
                <w:i/>
                <w:iCs/>
              </w:rPr>
              <w:t>14 (11.3)</w:t>
            </w:r>
          </w:p>
        </w:tc>
        <w:tc>
          <w:tcPr>
            <w:tcW w:w="658" w:type="pct"/>
            <w:gridSpan w:val="2"/>
          </w:tcPr>
          <w:p w14:paraId="3DFA9FF9" w14:textId="77777777" w:rsidR="005C1F35" w:rsidRPr="0062136A" w:rsidRDefault="005C1F35" w:rsidP="0062136A">
            <w:pPr>
              <w:spacing w:before="40" w:after="40"/>
              <w:jc w:val="center"/>
              <w:rPr>
                <w:rFonts w:ascii="Arial Narrow" w:hAnsi="Arial Narrow"/>
              </w:rPr>
            </w:pPr>
            <w:r w:rsidRPr="0062136A">
              <w:rPr>
                <w:rFonts w:ascii="Arial Narrow" w:hAnsi="Arial Narrow"/>
              </w:rPr>
              <w:t>NR</w:t>
            </w:r>
          </w:p>
        </w:tc>
      </w:tr>
      <w:tr w:rsidR="005C1F35" w:rsidRPr="0062136A" w14:paraId="02F89B73" w14:textId="77777777" w:rsidTr="0062136A">
        <w:trPr>
          <w:cantSplit/>
        </w:trPr>
        <w:tc>
          <w:tcPr>
            <w:tcW w:w="1095" w:type="pct"/>
          </w:tcPr>
          <w:p w14:paraId="3D7B7387" w14:textId="77777777" w:rsidR="005C1F35" w:rsidRPr="0062136A" w:rsidRDefault="005C1F35" w:rsidP="0062136A">
            <w:pPr>
              <w:spacing w:before="40" w:after="40"/>
              <w:ind w:left="179"/>
              <w:rPr>
                <w:rFonts w:ascii="Arial Narrow" w:hAnsi="Arial Narrow"/>
              </w:rPr>
            </w:pPr>
            <w:r w:rsidRPr="0062136A">
              <w:rPr>
                <w:rFonts w:ascii="Arial Narrow" w:hAnsi="Arial Narrow"/>
              </w:rPr>
              <w:t>Reintervention for study device-related complications</w:t>
            </w:r>
          </w:p>
        </w:tc>
        <w:tc>
          <w:tcPr>
            <w:tcW w:w="558" w:type="pct"/>
          </w:tcPr>
          <w:p w14:paraId="440BD909" w14:textId="77777777" w:rsidR="005C1F35" w:rsidRPr="0062136A" w:rsidRDefault="005C1F35" w:rsidP="0062136A">
            <w:pPr>
              <w:spacing w:before="40" w:after="40"/>
              <w:jc w:val="center"/>
              <w:rPr>
                <w:rFonts w:ascii="Arial Narrow" w:hAnsi="Arial Narrow"/>
              </w:rPr>
            </w:pPr>
            <w:r w:rsidRPr="0062136A">
              <w:rPr>
                <w:rFonts w:ascii="Arial Narrow" w:hAnsi="Arial Narrow"/>
              </w:rPr>
              <w:t>1 (0.8)</w:t>
            </w:r>
            <w:r w:rsidRPr="0062136A">
              <w:rPr>
                <w:rFonts w:ascii="Arial Narrow" w:hAnsi="Arial Narrow"/>
                <w:vertAlign w:val="superscript"/>
              </w:rPr>
              <w:t>a</w:t>
            </w:r>
          </w:p>
        </w:tc>
        <w:tc>
          <w:tcPr>
            <w:tcW w:w="675" w:type="pct"/>
          </w:tcPr>
          <w:p w14:paraId="159203B1" w14:textId="77777777" w:rsidR="005C1F35" w:rsidRPr="0062136A" w:rsidRDefault="005C1F35" w:rsidP="0062136A">
            <w:pPr>
              <w:spacing w:before="40" w:after="40"/>
              <w:jc w:val="center"/>
              <w:rPr>
                <w:rFonts w:ascii="Arial Narrow" w:hAnsi="Arial Narrow"/>
              </w:rPr>
            </w:pPr>
            <w:r w:rsidRPr="0062136A">
              <w:rPr>
                <w:rFonts w:ascii="Arial Narrow" w:hAnsi="Arial Narrow"/>
              </w:rPr>
              <w:t>1 (0.3)</w:t>
            </w:r>
          </w:p>
        </w:tc>
        <w:tc>
          <w:tcPr>
            <w:tcW w:w="679" w:type="pct"/>
          </w:tcPr>
          <w:p w14:paraId="1DA4537A" w14:textId="77777777" w:rsidR="005C1F35" w:rsidRPr="0062136A" w:rsidRDefault="005C1F35" w:rsidP="0062136A">
            <w:pPr>
              <w:spacing w:before="40" w:after="40"/>
              <w:jc w:val="center"/>
              <w:rPr>
                <w:rFonts w:ascii="Arial Narrow" w:hAnsi="Arial Narrow"/>
              </w:rPr>
            </w:pPr>
            <w:r w:rsidRPr="0062136A">
              <w:rPr>
                <w:rFonts w:ascii="Arial Narrow" w:hAnsi="Arial Narrow"/>
              </w:rPr>
              <w:t>0</w:t>
            </w:r>
          </w:p>
        </w:tc>
        <w:tc>
          <w:tcPr>
            <w:tcW w:w="676" w:type="pct"/>
            <w:tcBorders>
              <w:right w:val="single" w:sz="12" w:space="0" w:color="auto"/>
            </w:tcBorders>
          </w:tcPr>
          <w:p w14:paraId="44232F4F" w14:textId="77777777" w:rsidR="005C1F35" w:rsidRPr="0062136A" w:rsidRDefault="005C1F35" w:rsidP="0062136A">
            <w:pPr>
              <w:spacing w:before="40" w:after="40"/>
              <w:jc w:val="center"/>
              <w:rPr>
                <w:rFonts w:ascii="Arial Narrow" w:hAnsi="Arial Narrow"/>
              </w:rPr>
            </w:pPr>
            <w:r w:rsidRPr="0062136A">
              <w:rPr>
                <w:rFonts w:ascii="Arial Narrow" w:hAnsi="Arial Narrow"/>
              </w:rPr>
              <w:t>123 (1.2)</w:t>
            </w:r>
          </w:p>
        </w:tc>
        <w:tc>
          <w:tcPr>
            <w:tcW w:w="659" w:type="pct"/>
            <w:tcBorders>
              <w:left w:val="single" w:sz="12" w:space="0" w:color="auto"/>
            </w:tcBorders>
          </w:tcPr>
          <w:p w14:paraId="14DAC830" w14:textId="77777777" w:rsidR="005C1F35" w:rsidRPr="0062136A" w:rsidRDefault="005C1F35" w:rsidP="0062136A">
            <w:pPr>
              <w:spacing w:before="40" w:after="40"/>
              <w:jc w:val="center"/>
              <w:rPr>
                <w:rFonts w:ascii="Arial Narrow" w:hAnsi="Arial Narrow"/>
                <w:i/>
                <w:iCs/>
              </w:rPr>
            </w:pPr>
            <w:r w:rsidRPr="0062136A">
              <w:rPr>
                <w:rFonts w:ascii="Arial Narrow" w:hAnsi="Arial Narrow"/>
                <w:i/>
                <w:iCs/>
              </w:rPr>
              <w:t>2 (1.6)</w:t>
            </w:r>
          </w:p>
        </w:tc>
        <w:tc>
          <w:tcPr>
            <w:tcW w:w="658" w:type="pct"/>
            <w:gridSpan w:val="2"/>
          </w:tcPr>
          <w:p w14:paraId="283E8ECA" w14:textId="77777777" w:rsidR="005C1F35" w:rsidRPr="0062136A" w:rsidRDefault="005C1F35" w:rsidP="0062136A">
            <w:pPr>
              <w:spacing w:before="40" w:after="40"/>
              <w:jc w:val="center"/>
              <w:rPr>
                <w:rFonts w:ascii="Arial Narrow" w:hAnsi="Arial Narrow"/>
              </w:rPr>
            </w:pPr>
            <w:r w:rsidRPr="0062136A">
              <w:rPr>
                <w:rFonts w:ascii="Arial Narrow" w:hAnsi="Arial Narrow"/>
              </w:rPr>
              <w:t>NR</w:t>
            </w:r>
          </w:p>
        </w:tc>
      </w:tr>
    </w:tbl>
    <w:p w14:paraId="167049DF" w14:textId="77777777" w:rsidR="005C1F35" w:rsidRDefault="005C1F35" w:rsidP="005C1F35">
      <w:pPr>
        <w:pStyle w:val="Tablenotes"/>
      </w:pPr>
      <w:r>
        <w:t>MAE=major adverse event; NR=not reported</w:t>
      </w:r>
    </w:p>
    <w:p w14:paraId="6CCEA13D" w14:textId="77777777" w:rsidR="005C1F35" w:rsidRDefault="005C1F35" w:rsidP="005C1F35">
      <w:pPr>
        <w:pStyle w:val="Tablenotes"/>
      </w:pPr>
      <w:r>
        <w:t>^</w:t>
      </w:r>
      <w:r w:rsidRPr="000D59C3">
        <w:t>Any MAE excluding transfusion</w:t>
      </w:r>
    </w:p>
    <w:p w14:paraId="4E0C9EF7" w14:textId="77777777" w:rsidR="005C1F35" w:rsidRDefault="005C1F35" w:rsidP="005C1F35">
      <w:pPr>
        <w:pStyle w:val="Tablenotes"/>
      </w:pPr>
      <w:r w:rsidRPr="0025125F">
        <w:rPr>
          <w:vertAlign w:val="superscript"/>
        </w:rPr>
        <w:t xml:space="preserve">a </w:t>
      </w:r>
      <w:r>
        <w:t>Defined as unplanned mitral valve intervention.</w:t>
      </w:r>
    </w:p>
    <w:p w14:paraId="553B42AB" w14:textId="77777777" w:rsidR="005C1F35" w:rsidRDefault="005C1F35" w:rsidP="005C1F35">
      <w:pPr>
        <w:pStyle w:val="Tablenotes"/>
      </w:pPr>
      <w:r w:rsidRPr="0025125F">
        <w:rPr>
          <w:vertAlign w:val="superscript"/>
        </w:rPr>
        <w:t xml:space="preserve">b </w:t>
      </w:r>
      <w:r>
        <w:t>Defined as renal failure.</w:t>
      </w:r>
    </w:p>
    <w:p w14:paraId="5D798B43" w14:textId="77777777" w:rsidR="005C1F35" w:rsidRDefault="005C1F35" w:rsidP="005C1F35">
      <w:pPr>
        <w:pStyle w:val="Tablenotes"/>
      </w:pPr>
      <w:r w:rsidRPr="0025125F">
        <w:rPr>
          <w:vertAlign w:val="superscript"/>
        </w:rPr>
        <w:t xml:space="preserve">c </w:t>
      </w:r>
      <w:r>
        <w:t>One stroke occurred in a patient who underwent randomisation but was not treated.</w:t>
      </w:r>
    </w:p>
    <w:p w14:paraId="1AE06DD2" w14:textId="77777777" w:rsidR="005C1F35" w:rsidRDefault="005C1F35" w:rsidP="005C1F35">
      <w:pPr>
        <w:pStyle w:val="Tablenotes"/>
      </w:pPr>
      <w:r w:rsidRPr="0025125F">
        <w:rPr>
          <w:vertAlign w:val="superscript"/>
        </w:rPr>
        <w:t xml:space="preserve">d </w:t>
      </w:r>
      <w:r>
        <w:t>Defined as transfusion of ≥2 units of blood.</w:t>
      </w:r>
    </w:p>
    <w:p w14:paraId="53643FA6" w14:textId="4433D6E5" w:rsidR="005C1F35" w:rsidRPr="00427322" w:rsidRDefault="005C1F35" w:rsidP="005C1F35">
      <w:r w:rsidRPr="00427322">
        <w:t>A</w:t>
      </w:r>
      <w:r w:rsidR="00D56500" w:rsidRPr="00427322">
        <w:t>s above, a</w:t>
      </w:r>
      <w:r w:rsidRPr="00427322">
        <w:t xml:space="preserve"> meaningful comparison of MAE rates in the mixed population is further complicated by the differences in the split of FMR to DMR subgroups across the studies. </w:t>
      </w:r>
    </w:p>
    <w:p w14:paraId="47EAAB4E" w14:textId="2C1FD6E7" w:rsidR="005C1F35" w:rsidRDefault="005C1F35" w:rsidP="005C1F35">
      <w:r>
        <w:t>As in the FMR population,</w:t>
      </w:r>
      <w:r w:rsidRPr="004D1239">
        <w:t xml:space="preserve"> low rates of </w:t>
      </w:r>
      <w:r>
        <w:t>MAEs</w:t>
      </w:r>
      <w:r w:rsidRPr="004D1239">
        <w:t xml:space="preserve"> </w:t>
      </w:r>
      <w:r>
        <w:t xml:space="preserve">(with exception of bleeding), were observed across the studies at 30 days. </w:t>
      </w:r>
      <w:r w:rsidRPr="004D1239">
        <w:t>The</w:t>
      </w:r>
      <w:r>
        <w:t>re were no</w:t>
      </w:r>
      <w:r w:rsidRPr="004D1239">
        <w:t xml:space="preserve"> reintervention</w:t>
      </w:r>
      <w:r>
        <w:t>s</w:t>
      </w:r>
      <w:r w:rsidRPr="004D1239">
        <w:t xml:space="preserve"> for </w:t>
      </w:r>
      <w:proofErr w:type="spellStart"/>
      <w:r>
        <w:t>MitraClip</w:t>
      </w:r>
      <w:proofErr w:type="spellEnd"/>
      <w:r>
        <w:t xml:space="preserve"> </w:t>
      </w:r>
      <w:r w:rsidRPr="004D1239">
        <w:t>related complications</w:t>
      </w:r>
      <w:r>
        <w:t xml:space="preserve"> in EVEREST-II trial, and a single patient in each the CLASP and Mauri (2020) studies (0.8% and 0.3% respectively) required a reintervention </w:t>
      </w:r>
      <w:r w:rsidRPr="00531D18">
        <w:t xml:space="preserve">for </w:t>
      </w:r>
      <w:r>
        <w:t>PASCAL</w:t>
      </w:r>
      <w:r w:rsidRPr="00531D18">
        <w:t>-related complications</w:t>
      </w:r>
      <w:r>
        <w:t>. In comparison to PASCAL studies, the</w:t>
      </w:r>
      <w:r w:rsidRPr="004D1239">
        <w:t xml:space="preserve"> </w:t>
      </w:r>
      <w:proofErr w:type="spellStart"/>
      <w:r>
        <w:t>MitraClip</w:t>
      </w:r>
      <w:proofErr w:type="spellEnd"/>
      <w:r>
        <w:t xml:space="preserve"> </w:t>
      </w:r>
      <w:r w:rsidRPr="004D1239">
        <w:t xml:space="preserve">related rates </w:t>
      </w:r>
      <w:r>
        <w:t xml:space="preserve">of </w:t>
      </w:r>
      <w:r w:rsidRPr="004D1239">
        <w:t>complications</w:t>
      </w:r>
      <w:r>
        <w:t xml:space="preserve">  (1.2%) as reported in the </w:t>
      </w:r>
      <w:r>
        <w:rPr>
          <w:lang w:eastAsia="en-AU"/>
        </w:rPr>
        <w:t>STS/ACC TVTR</w:t>
      </w:r>
      <w:r>
        <w:t xml:space="preserve"> registry were higher, however, the rate of severe bleeding, was observed in 4.5% of all </w:t>
      </w:r>
      <w:proofErr w:type="spellStart"/>
      <w:r>
        <w:t>MitraClip</w:t>
      </w:r>
      <w:proofErr w:type="spellEnd"/>
      <w:r>
        <w:t xml:space="preserve"> cases in the registry in comparison to 7.3% of such instances observed in the CLASP study. </w:t>
      </w:r>
      <w:r w:rsidRPr="00427322">
        <w:t>It is not clear whether the collection and interpretation of the outcomes obtained for the registry purposes (Mack, 2022), is identical the outcomes in the core evidence (EVEREST-II). Some of the sites that provided data for the registry might still be having an early experience with the device</w:t>
      </w:r>
      <w:r w:rsidRPr="00480926">
        <w:t xml:space="preserve">. </w:t>
      </w:r>
    </w:p>
    <w:p w14:paraId="10BAADAD" w14:textId="4C60E663" w:rsidR="005C1F35" w:rsidRDefault="005C1F35" w:rsidP="005C1F35">
      <w:pPr>
        <w:rPr>
          <w:i/>
          <w:iCs/>
        </w:rPr>
      </w:pPr>
      <w:r w:rsidRPr="004807F5">
        <w:rPr>
          <w:shd w:val="clear" w:color="auto" w:fill="B4C6E7" w:themeFill="accent5" w:themeFillTint="66"/>
        </w:rPr>
        <w:t xml:space="preserve">The commentary to the 1662 ADAR noted the absence of assessment of the long-term safety outcomes, in particular </w:t>
      </w:r>
      <w:r w:rsidRPr="004807F5">
        <w:rPr>
          <w:rFonts w:cstheme="majorHAnsi"/>
          <w:shd w:val="clear" w:color="auto" w:fill="B4C6E7" w:themeFill="accent5" w:themeFillTint="66"/>
        </w:rPr>
        <w:t>device-related complications</w:t>
      </w:r>
      <w:r w:rsidRPr="004807F5">
        <w:rPr>
          <w:shd w:val="clear" w:color="auto" w:fill="B4C6E7" w:themeFill="accent5" w:themeFillTint="66"/>
        </w:rPr>
        <w:t xml:space="preserve">. </w:t>
      </w:r>
      <w:r w:rsidRPr="00FA5987">
        <w:t>A</w:t>
      </w:r>
      <w:r w:rsidR="00566B47">
        <w:t>n A</w:t>
      </w:r>
      <w:r w:rsidRPr="00FA5987">
        <w:t xml:space="preserve">ppendix to the </w:t>
      </w:r>
      <w:r w:rsidR="00566B47">
        <w:t>current</w:t>
      </w:r>
      <w:r w:rsidRPr="00FA5987">
        <w:t xml:space="preserve"> ADAR included a naïve comparison of the PASCAL safety</w:t>
      </w:r>
      <w:r>
        <w:t>, procedural</w:t>
      </w:r>
      <w:r w:rsidRPr="00FA5987">
        <w:t xml:space="preserve"> </w:t>
      </w:r>
      <w:r>
        <w:t xml:space="preserve">and clinical efficacy </w:t>
      </w:r>
      <w:r w:rsidRPr="00FA5987">
        <w:t>outcomes reported in the small sample</w:t>
      </w:r>
      <w:r>
        <w:t>-</w:t>
      </w:r>
      <w:r w:rsidRPr="00FA5987">
        <w:t xml:space="preserve">size single-arm studies (Besler 2020, Barth 2020, </w:t>
      </w:r>
      <w:proofErr w:type="spellStart"/>
      <w:r w:rsidRPr="00FA5987">
        <w:t>Praz</w:t>
      </w:r>
      <w:proofErr w:type="spellEnd"/>
      <w:r w:rsidRPr="00FA5987">
        <w:t xml:space="preserve"> 2017 and </w:t>
      </w:r>
      <w:proofErr w:type="spellStart"/>
      <w:r w:rsidRPr="00FA5987">
        <w:t>Moonen</w:t>
      </w:r>
      <w:proofErr w:type="spellEnd"/>
      <w:r w:rsidRPr="00FA5987">
        <w:t xml:space="preserve"> 2022) identified in the literature review but not included in the main body of the </w:t>
      </w:r>
      <w:r w:rsidR="00566B47">
        <w:t>current ADAR</w:t>
      </w:r>
      <w:r w:rsidRPr="00FA5987">
        <w:t xml:space="preserve">. </w:t>
      </w:r>
      <w:r w:rsidRPr="00427322">
        <w:t xml:space="preserve">The studies were not assessed for quality, </w:t>
      </w:r>
      <w:r w:rsidR="00361990">
        <w:t>and</w:t>
      </w:r>
      <w:r w:rsidRPr="00427322">
        <w:t xml:space="preserve"> baseline characteristics of the population were not compared either with the core evidence or with MBS item eligibility criteria. The sample sizes for these studies range</w:t>
      </w:r>
      <w:r w:rsidR="002A1816" w:rsidRPr="00427322">
        <w:t>d</w:t>
      </w:r>
      <w:r w:rsidRPr="00427322">
        <w:t xml:space="preserve"> from 17 to 50</w:t>
      </w:r>
      <w:r w:rsidR="002A1816" w:rsidRPr="00427322">
        <w:t xml:space="preserve"> and</w:t>
      </w:r>
      <w:r w:rsidRPr="00427322">
        <w:t xml:space="preserve"> the period of follow up range</w:t>
      </w:r>
      <w:r w:rsidR="002A1816" w:rsidRPr="00427322">
        <w:t>d</w:t>
      </w:r>
      <w:r w:rsidRPr="00427322">
        <w:t xml:space="preserve"> from 30 days and 24 months. Therefore, it does not appear that the long-term safety outcomes for treatment with PASCAL are reported in the literature.</w:t>
      </w:r>
    </w:p>
    <w:p w14:paraId="079DB6FE" w14:textId="037767BA" w:rsidR="003540E7" w:rsidRDefault="003540E7" w:rsidP="002A18BE">
      <w:pPr>
        <w:pStyle w:val="Heading2"/>
        <w:numPr>
          <w:ilvl w:val="0"/>
          <w:numId w:val="0"/>
        </w:numPr>
      </w:pPr>
      <w:bookmarkStart w:id="57" w:name="_Toc69491425"/>
      <w:r>
        <w:lastRenderedPageBreak/>
        <w:t>1</w:t>
      </w:r>
      <w:r w:rsidR="00F35C7B">
        <w:t>2</w:t>
      </w:r>
      <w:r>
        <w:t>.</w:t>
      </w:r>
      <w:r>
        <w:tab/>
        <w:t>Comparative effectiveness</w:t>
      </w:r>
    </w:p>
    <w:p w14:paraId="7498A228" w14:textId="77777777" w:rsidR="007108D0" w:rsidRPr="005C1F35" w:rsidRDefault="007108D0" w:rsidP="007108D0">
      <w:pPr>
        <w:pStyle w:val="Heading3"/>
      </w:pPr>
      <w:r>
        <w:t xml:space="preserve">Comparative studies in the mixed DMR/FMR population </w:t>
      </w:r>
    </w:p>
    <w:p w14:paraId="71A84A30" w14:textId="002343AE" w:rsidR="002B72E4" w:rsidRPr="004A2EE0" w:rsidRDefault="002B72E4" w:rsidP="002B72E4">
      <w:pPr>
        <w:rPr>
          <w:rFonts w:cstheme="minorHAnsi"/>
        </w:rPr>
      </w:pPr>
      <w:r>
        <w:rPr>
          <w:rFonts w:cstheme="minorHAnsi"/>
        </w:rPr>
        <w:fldChar w:fldCharType="begin"/>
      </w:r>
      <w:r>
        <w:rPr>
          <w:rFonts w:cstheme="minorHAnsi"/>
        </w:rPr>
        <w:instrText xml:space="preserve"> REF _Ref113337535 \h </w:instrText>
      </w:r>
      <w:r>
        <w:rPr>
          <w:rFonts w:cstheme="minorHAnsi"/>
        </w:rPr>
      </w:r>
      <w:r>
        <w:rPr>
          <w:rFonts w:cstheme="minorHAnsi"/>
        </w:rPr>
        <w:fldChar w:fldCharType="separate"/>
      </w:r>
      <w:r w:rsidR="00480926">
        <w:t xml:space="preserve">Table </w:t>
      </w:r>
      <w:r w:rsidR="00480926">
        <w:rPr>
          <w:noProof/>
        </w:rPr>
        <w:t>16</w:t>
      </w:r>
      <w:r>
        <w:rPr>
          <w:rFonts w:cstheme="minorHAnsi"/>
        </w:rPr>
        <w:fldChar w:fldCharType="end"/>
      </w:r>
      <w:r w:rsidRPr="004A2EE0">
        <w:rPr>
          <w:rFonts w:cstheme="minorHAnsi"/>
        </w:rPr>
        <w:t xml:space="preserve"> shows technical,</w:t>
      </w:r>
      <w:r w:rsidRPr="004A2EE0">
        <w:t xml:space="preserve"> device, procedural</w:t>
      </w:r>
      <w:r w:rsidRPr="004A2EE0">
        <w:rPr>
          <w:rFonts w:cstheme="minorHAnsi"/>
        </w:rPr>
        <w:t xml:space="preserve"> success and clinical efficacy outcomes from the included comparative, non</w:t>
      </w:r>
      <w:r w:rsidR="00636B8B">
        <w:rPr>
          <w:rFonts w:cstheme="minorHAnsi"/>
        </w:rPr>
        <w:t>-</w:t>
      </w:r>
      <w:r w:rsidRPr="004A2EE0">
        <w:rPr>
          <w:rFonts w:cstheme="minorHAnsi"/>
        </w:rPr>
        <w:t xml:space="preserve">randomised studies of </w:t>
      </w:r>
      <w:r w:rsidRPr="004A2EE0">
        <w:rPr>
          <w:lang w:eastAsia="en-AU"/>
        </w:rPr>
        <w:t xml:space="preserve">Geis (2022) and </w:t>
      </w:r>
      <w:proofErr w:type="spellStart"/>
      <w:r w:rsidRPr="004A2EE0">
        <w:rPr>
          <w:lang w:eastAsia="en-AU"/>
        </w:rPr>
        <w:t>Haschemi</w:t>
      </w:r>
      <w:proofErr w:type="spellEnd"/>
      <w:r w:rsidRPr="004A2EE0">
        <w:rPr>
          <w:lang w:eastAsia="en-AU"/>
        </w:rPr>
        <w:t xml:space="preserve"> (2022)</w:t>
      </w:r>
      <w:r w:rsidRPr="004A2EE0">
        <w:rPr>
          <w:rFonts w:cstheme="minorHAnsi"/>
        </w:rPr>
        <w:t>.</w:t>
      </w:r>
    </w:p>
    <w:p w14:paraId="60331446" w14:textId="1FE92CA1" w:rsidR="002B72E4" w:rsidRPr="00E6519E" w:rsidRDefault="002B72E4" w:rsidP="002B72E4">
      <w:pPr>
        <w:pStyle w:val="Caption"/>
        <w:rPr>
          <w:i/>
          <w:iCs/>
        </w:rPr>
      </w:pPr>
      <w:bookmarkStart w:id="58" w:name="_Ref113337535"/>
      <w:bookmarkStart w:id="59" w:name="_Ref111525131"/>
      <w:r>
        <w:t xml:space="preserve">Table </w:t>
      </w:r>
      <w:fldSimple w:instr=" SEQ Table \* ARABIC ">
        <w:r w:rsidR="007512A8">
          <w:rPr>
            <w:noProof/>
          </w:rPr>
          <w:t>16</w:t>
        </w:r>
      </w:fldSimple>
      <w:bookmarkEnd w:id="58"/>
      <w:bookmarkEnd w:id="59"/>
      <w:r w:rsidRPr="00427322">
        <w:tab/>
        <w:t xml:space="preserve">Rates of technical, device, procedural success, and clinical </w:t>
      </w:r>
      <w:r w:rsidRPr="00427322">
        <w:rPr>
          <w:rFonts w:cstheme="minorHAnsi"/>
        </w:rPr>
        <w:t>efficacy</w:t>
      </w:r>
      <w:r w:rsidRPr="00427322">
        <w:t xml:space="preserve"> outcomes</w:t>
      </w:r>
      <w:r w:rsidRPr="00E6519E">
        <w:rPr>
          <w:i/>
          <w:iCs/>
        </w:rPr>
        <w:t xml:space="preserve"> </w:t>
      </w:r>
    </w:p>
    <w:tbl>
      <w:tblPr>
        <w:tblStyle w:val="Style2"/>
        <w:tblW w:w="5000" w:type="pct"/>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1106"/>
        <w:gridCol w:w="1591"/>
        <w:gridCol w:w="1592"/>
        <w:gridCol w:w="1922"/>
        <w:gridCol w:w="1934"/>
        <w:gridCol w:w="1178"/>
      </w:tblGrid>
      <w:tr w:rsidR="002B72E4" w:rsidRPr="00E6519E" w14:paraId="12C003C9" w14:textId="77777777" w:rsidTr="00032E3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93" w:type="pct"/>
            <w:tcBorders>
              <w:bottom w:val="single" w:sz="12" w:space="0" w:color="auto"/>
            </w:tcBorders>
          </w:tcPr>
          <w:p w14:paraId="229DBB31" w14:textId="77777777" w:rsidR="002B72E4" w:rsidRPr="00E6519E" w:rsidRDefault="002B72E4" w:rsidP="00032E3D">
            <w:pPr>
              <w:spacing w:before="40" w:after="40" w:line="240" w:lineRule="auto"/>
              <w:rPr>
                <w:rFonts w:ascii="Arial Narrow" w:hAnsi="Arial Narrow"/>
                <w:b w:val="0"/>
                <w:bCs/>
                <w:i/>
                <w:iCs/>
                <w:szCs w:val="20"/>
              </w:rPr>
            </w:pPr>
            <w:r w:rsidRPr="00E6519E">
              <w:rPr>
                <w:rFonts w:ascii="Arial Narrow" w:hAnsi="Arial Narrow"/>
                <w:bCs/>
                <w:i/>
                <w:iCs/>
                <w:szCs w:val="20"/>
              </w:rPr>
              <w:t xml:space="preserve">Study </w:t>
            </w:r>
          </w:p>
        </w:tc>
        <w:tc>
          <w:tcPr>
            <w:tcW w:w="853" w:type="pct"/>
            <w:tcBorders>
              <w:bottom w:val="single" w:sz="12" w:space="0" w:color="auto"/>
            </w:tcBorders>
          </w:tcPr>
          <w:p w14:paraId="182300A6" w14:textId="77777777" w:rsidR="002B72E4" w:rsidRPr="00E6519E" w:rsidRDefault="002B72E4" w:rsidP="00032E3D">
            <w:pPr>
              <w:spacing w:before="40" w:after="40" w:line="240" w:lineRule="auto"/>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bCs/>
                <w:i/>
                <w:iCs/>
                <w:szCs w:val="20"/>
              </w:rPr>
            </w:pPr>
            <w:r w:rsidRPr="00E6519E">
              <w:rPr>
                <w:rFonts w:ascii="Arial Narrow" w:hAnsi="Arial Narrow"/>
                <w:bCs/>
                <w:i/>
                <w:iCs/>
                <w:szCs w:val="20"/>
              </w:rPr>
              <w:t>Endpoint</w:t>
            </w:r>
          </w:p>
        </w:tc>
        <w:tc>
          <w:tcPr>
            <w:tcW w:w="854" w:type="pct"/>
            <w:tcBorders>
              <w:bottom w:val="single" w:sz="12" w:space="0" w:color="auto"/>
            </w:tcBorders>
          </w:tcPr>
          <w:p w14:paraId="11DC9C7A" w14:textId="77777777" w:rsidR="002B72E4" w:rsidRPr="00E6519E" w:rsidRDefault="002B72E4" w:rsidP="00032E3D">
            <w:pPr>
              <w:spacing w:before="40" w:after="40" w:line="240" w:lineRule="auto"/>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bCs/>
                <w:i/>
                <w:iCs/>
                <w:szCs w:val="20"/>
              </w:rPr>
            </w:pPr>
            <w:r w:rsidRPr="00E6519E">
              <w:rPr>
                <w:rFonts w:ascii="Arial Narrow" w:hAnsi="Arial Narrow"/>
                <w:bCs/>
                <w:i/>
                <w:iCs/>
                <w:szCs w:val="20"/>
              </w:rPr>
              <w:t>Time point</w:t>
            </w:r>
          </w:p>
        </w:tc>
        <w:tc>
          <w:tcPr>
            <w:tcW w:w="1031" w:type="pct"/>
            <w:tcBorders>
              <w:bottom w:val="single" w:sz="12" w:space="0" w:color="auto"/>
            </w:tcBorders>
          </w:tcPr>
          <w:p w14:paraId="576BA253" w14:textId="77777777" w:rsidR="002B72E4" w:rsidRPr="00E6519E" w:rsidRDefault="002B72E4" w:rsidP="00032E3D">
            <w:pPr>
              <w:spacing w:before="40" w:after="40"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b w:val="0"/>
                <w:bCs/>
                <w:i/>
                <w:iCs/>
                <w:szCs w:val="20"/>
              </w:rPr>
            </w:pPr>
            <w:r w:rsidRPr="00E6519E">
              <w:rPr>
                <w:rFonts w:ascii="Arial Narrow" w:hAnsi="Arial Narrow"/>
                <w:bCs/>
                <w:i/>
                <w:iCs/>
                <w:szCs w:val="20"/>
              </w:rPr>
              <w:t>PASCAL</w:t>
            </w:r>
          </w:p>
        </w:tc>
        <w:tc>
          <w:tcPr>
            <w:tcW w:w="1037" w:type="pct"/>
            <w:tcBorders>
              <w:bottom w:val="single" w:sz="12" w:space="0" w:color="auto"/>
            </w:tcBorders>
          </w:tcPr>
          <w:p w14:paraId="573F3839" w14:textId="77777777" w:rsidR="002B72E4" w:rsidRPr="00E6519E" w:rsidRDefault="002B72E4" w:rsidP="00032E3D">
            <w:pPr>
              <w:spacing w:before="40" w:after="40"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b w:val="0"/>
                <w:bCs/>
                <w:i/>
                <w:iCs/>
                <w:szCs w:val="20"/>
              </w:rPr>
            </w:pPr>
            <w:proofErr w:type="spellStart"/>
            <w:r w:rsidRPr="00E6519E">
              <w:rPr>
                <w:rFonts w:ascii="Arial Narrow" w:hAnsi="Arial Narrow"/>
                <w:bCs/>
                <w:i/>
                <w:iCs/>
                <w:szCs w:val="20"/>
              </w:rPr>
              <w:t>MitraClip</w:t>
            </w:r>
            <w:proofErr w:type="spellEnd"/>
          </w:p>
        </w:tc>
        <w:tc>
          <w:tcPr>
            <w:tcW w:w="632" w:type="pct"/>
            <w:tcBorders>
              <w:bottom w:val="single" w:sz="12" w:space="0" w:color="auto"/>
            </w:tcBorders>
          </w:tcPr>
          <w:p w14:paraId="2F5CB607" w14:textId="77777777" w:rsidR="002B72E4" w:rsidRPr="00E6519E" w:rsidRDefault="002B72E4" w:rsidP="00032E3D">
            <w:pPr>
              <w:spacing w:before="40" w:after="40"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b w:val="0"/>
                <w:bCs/>
                <w:i/>
                <w:iCs/>
                <w:szCs w:val="20"/>
              </w:rPr>
            </w:pPr>
            <w:r w:rsidRPr="00E6519E">
              <w:rPr>
                <w:rFonts w:ascii="Arial Narrow" w:hAnsi="Arial Narrow"/>
                <w:bCs/>
                <w:i/>
                <w:iCs/>
                <w:szCs w:val="20"/>
              </w:rPr>
              <w:t>p-value</w:t>
            </w:r>
          </w:p>
        </w:tc>
      </w:tr>
      <w:tr w:rsidR="002B72E4" w:rsidRPr="00E6519E" w14:paraId="362E376E" w14:textId="77777777" w:rsidTr="00032E3D">
        <w:trPr>
          <w:cantSplit/>
        </w:trPr>
        <w:tc>
          <w:tcPr>
            <w:cnfStyle w:val="001000000000" w:firstRow="0" w:lastRow="0" w:firstColumn="1" w:lastColumn="0" w:oddVBand="0" w:evenVBand="0" w:oddHBand="0" w:evenHBand="0" w:firstRowFirstColumn="0" w:firstRowLastColumn="0" w:lastRowFirstColumn="0" w:lastRowLastColumn="0"/>
            <w:tcW w:w="593" w:type="pct"/>
            <w:vMerge w:val="restart"/>
            <w:tcBorders>
              <w:top w:val="single" w:sz="12" w:space="0" w:color="auto"/>
            </w:tcBorders>
          </w:tcPr>
          <w:p w14:paraId="6B5DF64E" w14:textId="77777777" w:rsidR="002B72E4" w:rsidRPr="00E6519E" w:rsidRDefault="002B72E4" w:rsidP="00032E3D">
            <w:pPr>
              <w:spacing w:before="40" w:after="40"/>
              <w:rPr>
                <w:rFonts w:ascii="Arial Narrow" w:hAnsi="Arial Narrow"/>
                <w:i/>
                <w:iCs/>
                <w:szCs w:val="20"/>
              </w:rPr>
            </w:pPr>
            <w:proofErr w:type="spellStart"/>
            <w:r w:rsidRPr="00E6519E">
              <w:rPr>
                <w:rFonts w:ascii="Arial Narrow" w:hAnsi="Arial Narrow"/>
                <w:i/>
                <w:iCs/>
                <w:szCs w:val="20"/>
              </w:rPr>
              <w:t>Haschemi</w:t>
            </w:r>
            <w:proofErr w:type="spellEnd"/>
            <w:r w:rsidRPr="00E6519E">
              <w:rPr>
                <w:rFonts w:ascii="Arial Narrow" w:hAnsi="Arial Narrow"/>
                <w:i/>
                <w:iCs/>
                <w:szCs w:val="20"/>
              </w:rPr>
              <w:t xml:space="preserve"> 2022</w:t>
            </w:r>
          </w:p>
        </w:tc>
        <w:tc>
          <w:tcPr>
            <w:tcW w:w="853" w:type="pct"/>
            <w:tcBorders>
              <w:top w:val="single" w:sz="12" w:space="0" w:color="auto"/>
            </w:tcBorders>
          </w:tcPr>
          <w:p w14:paraId="0EBF08B2"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Technical success</w:t>
            </w:r>
          </w:p>
        </w:tc>
        <w:tc>
          <w:tcPr>
            <w:tcW w:w="854" w:type="pct"/>
            <w:tcBorders>
              <w:top w:val="single" w:sz="12" w:space="0" w:color="auto"/>
            </w:tcBorders>
          </w:tcPr>
          <w:p w14:paraId="51BD5FF7"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Immediately post-procedure</w:t>
            </w:r>
          </w:p>
        </w:tc>
        <w:tc>
          <w:tcPr>
            <w:tcW w:w="1031" w:type="pct"/>
            <w:tcBorders>
              <w:top w:val="single" w:sz="12" w:space="0" w:color="auto"/>
            </w:tcBorders>
          </w:tcPr>
          <w:p w14:paraId="6917759F"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97%</w:t>
            </w:r>
          </w:p>
        </w:tc>
        <w:tc>
          <w:tcPr>
            <w:tcW w:w="1037" w:type="pct"/>
            <w:tcBorders>
              <w:top w:val="single" w:sz="12" w:space="0" w:color="auto"/>
            </w:tcBorders>
          </w:tcPr>
          <w:p w14:paraId="44084E5F"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98%</w:t>
            </w:r>
          </w:p>
        </w:tc>
        <w:tc>
          <w:tcPr>
            <w:tcW w:w="632" w:type="pct"/>
            <w:tcBorders>
              <w:top w:val="single" w:sz="12" w:space="0" w:color="auto"/>
            </w:tcBorders>
          </w:tcPr>
          <w:p w14:paraId="0DB364C9"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0.576</w:t>
            </w:r>
          </w:p>
        </w:tc>
      </w:tr>
      <w:tr w:rsidR="002B72E4" w:rsidRPr="00E6519E" w14:paraId="0AF6B945" w14:textId="77777777" w:rsidTr="00032E3D">
        <w:trPr>
          <w:cantSplit/>
        </w:trPr>
        <w:tc>
          <w:tcPr>
            <w:cnfStyle w:val="001000000000" w:firstRow="0" w:lastRow="0" w:firstColumn="1" w:lastColumn="0" w:oddVBand="0" w:evenVBand="0" w:oddHBand="0" w:evenHBand="0" w:firstRowFirstColumn="0" w:firstRowLastColumn="0" w:lastRowFirstColumn="0" w:lastRowLastColumn="0"/>
            <w:tcW w:w="593" w:type="pct"/>
            <w:vMerge/>
          </w:tcPr>
          <w:p w14:paraId="26114A95" w14:textId="77777777" w:rsidR="002B72E4" w:rsidRPr="00E6519E" w:rsidRDefault="002B72E4" w:rsidP="00032E3D">
            <w:pPr>
              <w:spacing w:before="40" w:after="40"/>
              <w:rPr>
                <w:rFonts w:ascii="Arial Narrow" w:hAnsi="Arial Narrow"/>
                <w:i/>
                <w:iCs/>
                <w:szCs w:val="20"/>
              </w:rPr>
            </w:pPr>
          </w:p>
        </w:tc>
        <w:tc>
          <w:tcPr>
            <w:tcW w:w="853" w:type="pct"/>
          </w:tcPr>
          <w:p w14:paraId="006704E2"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Procedural success</w:t>
            </w:r>
          </w:p>
        </w:tc>
        <w:tc>
          <w:tcPr>
            <w:tcW w:w="854" w:type="pct"/>
          </w:tcPr>
          <w:p w14:paraId="0B3301E9"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Discharge</w:t>
            </w:r>
          </w:p>
        </w:tc>
        <w:tc>
          <w:tcPr>
            <w:tcW w:w="1031" w:type="pct"/>
          </w:tcPr>
          <w:p w14:paraId="3EDCF6C7"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88%</w:t>
            </w:r>
          </w:p>
        </w:tc>
        <w:tc>
          <w:tcPr>
            <w:tcW w:w="1037" w:type="pct"/>
          </w:tcPr>
          <w:p w14:paraId="3DF3FBD0"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92%</w:t>
            </w:r>
          </w:p>
        </w:tc>
        <w:tc>
          <w:tcPr>
            <w:tcW w:w="632" w:type="pct"/>
          </w:tcPr>
          <w:p w14:paraId="541028B6"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0.836</w:t>
            </w:r>
          </w:p>
        </w:tc>
      </w:tr>
      <w:tr w:rsidR="002B72E4" w:rsidRPr="00E6519E" w14:paraId="50A598BD" w14:textId="77777777" w:rsidTr="00032E3D">
        <w:trPr>
          <w:cantSplit/>
        </w:trPr>
        <w:tc>
          <w:tcPr>
            <w:cnfStyle w:val="001000000000" w:firstRow="0" w:lastRow="0" w:firstColumn="1" w:lastColumn="0" w:oddVBand="0" w:evenVBand="0" w:oddHBand="0" w:evenHBand="0" w:firstRowFirstColumn="0" w:firstRowLastColumn="0" w:lastRowFirstColumn="0" w:lastRowLastColumn="0"/>
            <w:tcW w:w="593" w:type="pct"/>
            <w:vMerge/>
            <w:vAlign w:val="top"/>
          </w:tcPr>
          <w:p w14:paraId="362E35CD" w14:textId="77777777" w:rsidR="002B72E4" w:rsidRPr="00E6519E" w:rsidRDefault="002B72E4" w:rsidP="00032E3D">
            <w:pPr>
              <w:spacing w:before="40" w:after="40"/>
              <w:rPr>
                <w:rFonts w:ascii="Arial Narrow" w:hAnsi="Arial Narrow"/>
                <w:i/>
                <w:iCs/>
                <w:szCs w:val="20"/>
              </w:rPr>
            </w:pPr>
          </w:p>
        </w:tc>
        <w:tc>
          <w:tcPr>
            <w:tcW w:w="853" w:type="pct"/>
            <w:vAlign w:val="top"/>
          </w:tcPr>
          <w:p w14:paraId="25D2D9FB"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MR ≤1</w:t>
            </w:r>
          </w:p>
        </w:tc>
        <w:tc>
          <w:tcPr>
            <w:tcW w:w="854" w:type="pct"/>
            <w:vAlign w:val="top"/>
          </w:tcPr>
          <w:p w14:paraId="25014A3A"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Discharge</w:t>
            </w:r>
          </w:p>
        </w:tc>
        <w:tc>
          <w:tcPr>
            <w:tcW w:w="1031" w:type="pct"/>
          </w:tcPr>
          <w:p w14:paraId="3D8956F5"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70%</w:t>
            </w:r>
          </w:p>
        </w:tc>
        <w:tc>
          <w:tcPr>
            <w:tcW w:w="1037" w:type="pct"/>
          </w:tcPr>
          <w:p w14:paraId="58D9BE35"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73%</w:t>
            </w:r>
          </w:p>
        </w:tc>
        <w:tc>
          <w:tcPr>
            <w:tcW w:w="632" w:type="pct"/>
            <w:vAlign w:val="top"/>
          </w:tcPr>
          <w:p w14:paraId="3462E2DA"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0.6294*</w:t>
            </w:r>
          </w:p>
        </w:tc>
      </w:tr>
      <w:tr w:rsidR="002B72E4" w:rsidRPr="00E6519E" w14:paraId="6E9619F8" w14:textId="77777777" w:rsidTr="00032E3D">
        <w:trPr>
          <w:cantSplit/>
        </w:trPr>
        <w:tc>
          <w:tcPr>
            <w:cnfStyle w:val="001000000000" w:firstRow="0" w:lastRow="0" w:firstColumn="1" w:lastColumn="0" w:oddVBand="0" w:evenVBand="0" w:oddHBand="0" w:evenHBand="0" w:firstRowFirstColumn="0" w:firstRowLastColumn="0" w:lastRowFirstColumn="0" w:lastRowLastColumn="0"/>
            <w:tcW w:w="593" w:type="pct"/>
            <w:vMerge/>
            <w:vAlign w:val="top"/>
          </w:tcPr>
          <w:p w14:paraId="7BE178CD" w14:textId="77777777" w:rsidR="002B72E4" w:rsidRPr="00E6519E" w:rsidRDefault="002B72E4" w:rsidP="00032E3D">
            <w:pPr>
              <w:spacing w:before="40" w:after="40"/>
              <w:rPr>
                <w:rFonts w:ascii="Arial Narrow" w:hAnsi="Arial Narrow"/>
                <w:i/>
                <w:iCs/>
                <w:szCs w:val="20"/>
              </w:rPr>
            </w:pPr>
          </w:p>
        </w:tc>
        <w:tc>
          <w:tcPr>
            <w:tcW w:w="853" w:type="pct"/>
            <w:vAlign w:val="top"/>
          </w:tcPr>
          <w:p w14:paraId="13E45121"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 xml:space="preserve">MR </w:t>
            </w:r>
            <w:r w:rsidRPr="00427322">
              <w:rPr>
                <w:rFonts w:ascii="Arial Narrow" w:hAnsi="Arial Narrow" w:cs="Calibri Light"/>
                <w:szCs w:val="20"/>
              </w:rPr>
              <w:t>≤2</w:t>
            </w:r>
          </w:p>
        </w:tc>
        <w:tc>
          <w:tcPr>
            <w:tcW w:w="854" w:type="pct"/>
            <w:vAlign w:val="top"/>
          </w:tcPr>
          <w:p w14:paraId="39090DD2"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Discharge</w:t>
            </w:r>
          </w:p>
        </w:tc>
        <w:tc>
          <w:tcPr>
            <w:tcW w:w="1031" w:type="pct"/>
          </w:tcPr>
          <w:p w14:paraId="2B63F8EC"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94%</w:t>
            </w:r>
          </w:p>
        </w:tc>
        <w:tc>
          <w:tcPr>
            <w:tcW w:w="1037" w:type="pct"/>
          </w:tcPr>
          <w:p w14:paraId="35514216"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95%</w:t>
            </w:r>
          </w:p>
        </w:tc>
        <w:tc>
          <w:tcPr>
            <w:tcW w:w="632" w:type="pct"/>
            <w:vAlign w:val="top"/>
          </w:tcPr>
          <w:p w14:paraId="0961235B"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0.7498*</w:t>
            </w:r>
          </w:p>
        </w:tc>
      </w:tr>
      <w:tr w:rsidR="002B72E4" w:rsidRPr="00E6519E" w14:paraId="0A5D1BC6" w14:textId="77777777" w:rsidTr="00032E3D">
        <w:trPr>
          <w:cantSplit/>
        </w:trPr>
        <w:tc>
          <w:tcPr>
            <w:cnfStyle w:val="001000000000" w:firstRow="0" w:lastRow="0" w:firstColumn="1" w:lastColumn="0" w:oddVBand="0" w:evenVBand="0" w:oddHBand="0" w:evenHBand="0" w:firstRowFirstColumn="0" w:firstRowLastColumn="0" w:lastRowFirstColumn="0" w:lastRowLastColumn="0"/>
            <w:tcW w:w="593" w:type="pct"/>
            <w:vMerge/>
            <w:vAlign w:val="top"/>
          </w:tcPr>
          <w:p w14:paraId="0F6F3CFA" w14:textId="77777777" w:rsidR="002B72E4" w:rsidRPr="00E6519E" w:rsidRDefault="002B72E4" w:rsidP="00032E3D">
            <w:pPr>
              <w:spacing w:before="40" w:after="40"/>
              <w:rPr>
                <w:rFonts w:ascii="Arial Narrow" w:hAnsi="Arial Narrow"/>
                <w:i/>
                <w:iCs/>
                <w:szCs w:val="20"/>
              </w:rPr>
            </w:pPr>
          </w:p>
        </w:tc>
        <w:tc>
          <w:tcPr>
            <w:tcW w:w="853" w:type="pct"/>
            <w:vAlign w:val="top"/>
          </w:tcPr>
          <w:p w14:paraId="3982FC4B"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MR ≤1</w:t>
            </w:r>
          </w:p>
        </w:tc>
        <w:tc>
          <w:tcPr>
            <w:tcW w:w="854" w:type="pct"/>
            <w:vAlign w:val="top"/>
          </w:tcPr>
          <w:p w14:paraId="711588EF"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30 days</w:t>
            </w:r>
          </w:p>
        </w:tc>
        <w:tc>
          <w:tcPr>
            <w:tcW w:w="1031" w:type="pct"/>
            <w:vAlign w:val="top"/>
          </w:tcPr>
          <w:p w14:paraId="623321CC"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69%</w:t>
            </w:r>
          </w:p>
        </w:tc>
        <w:tc>
          <w:tcPr>
            <w:tcW w:w="1037" w:type="pct"/>
            <w:vAlign w:val="top"/>
          </w:tcPr>
          <w:p w14:paraId="5EA47B61"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70%</w:t>
            </w:r>
          </w:p>
        </w:tc>
        <w:tc>
          <w:tcPr>
            <w:tcW w:w="632" w:type="pct"/>
            <w:vAlign w:val="top"/>
          </w:tcPr>
          <w:p w14:paraId="671E2422"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0.8742*</w:t>
            </w:r>
          </w:p>
        </w:tc>
      </w:tr>
      <w:tr w:rsidR="002B72E4" w:rsidRPr="00E6519E" w14:paraId="4BA31805" w14:textId="77777777" w:rsidTr="00032E3D">
        <w:trPr>
          <w:cantSplit/>
        </w:trPr>
        <w:tc>
          <w:tcPr>
            <w:cnfStyle w:val="001000000000" w:firstRow="0" w:lastRow="0" w:firstColumn="1" w:lastColumn="0" w:oddVBand="0" w:evenVBand="0" w:oddHBand="0" w:evenHBand="0" w:firstRowFirstColumn="0" w:firstRowLastColumn="0" w:lastRowFirstColumn="0" w:lastRowLastColumn="0"/>
            <w:tcW w:w="593" w:type="pct"/>
            <w:vMerge/>
            <w:vAlign w:val="top"/>
          </w:tcPr>
          <w:p w14:paraId="30FF323A" w14:textId="77777777" w:rsidR="002B72E4" w:rsidRPr="00E6519E" w:rsidRDefault="002B72E4" w:rsidP="00032E3D">
            <w:pPr>
              <w:spacing w:before="40" w:after="40"/>
              <w:rPr>
                <w:rFonts w:ascii="Arial Narrow" w:hAnsi="Arial Narrow"/>
                <w:i/>
                <w:iCs/>
                <w:szCs w:val="20"/>
              </w:rPr>
            </w:pPr>
          </w:p>
        </w:tc>
        <w:tc>
          <w:tcPr>
            <w:tcW w:w="853" w:type="pct"/>
            <w:vAlign w:val="top"/>
          </w:tcPr>
          <w:p w14:paraId="4936B6DB"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 xml:space="preserve">MR </w:t>
            </w:r>
            <w:r w:rsidRPr="00427322">
              <w:rPr>
                <w:rFonts w:ascii="Arial Narrow" w:hAnsi="Arial Narrow" w:cs="Calibri Light"/>
                <w:szCs w:val="20"/>
              </w:rPr>
              <w:t>≤2</w:t>
            </w:r>
          </w:p>
        </w:tc>
        <w:tc>
          <w:tcPr>
            <w:tcW w:w="854" w:type="pct"/>
            <w:vAlign w:val="top"/>
          </w:tcPr>
          <w:p w14:paraId="5311DCF4"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30 days</w:t>
            </w:r>
          </w:p>
        </w:tc>
        <w:tc>
          <w:tcPr>
            <w:tcW w:w="1031" w:type="pct"/>
            <w:vAlign w:val="top"/>
          </w:tcPr>
          <w:p w14:paraId="6F565DF8"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92%</w:t>
            </w:r>
          </w:p>
        </w:tc>
        <w:tc>
          <w:tcPr>
            <w:tcW w:w="1037" w:type="pct"/>
            <w:vAlign w:val="top"/>
          </w:tcPr>
          <w:p w14:paraId="5F5FF16C"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93%</w:t>
            </w:r>
          </w:p>
        </w:tc>
        <w:tc>
          <w:tcPr>
            <w:tcW w:w="632" w:type="pct"/>
            <w:vAlign w:val="top"/>
          </w:tcPr>
          <w:p w14:paraId="7EBD9FA9"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0.975</w:t>
            </w:r>
          </w:p>
        </w:tc>
      </w:tr>
      <w:tr w:rsidR="002B72E4" w:rsidRPr="00E6519E" w14:paraId="382074AD" w14:textId="77777777" w:rsidTr="00032E3D">
        <w:trPr>
          <w:cantSplit/>
        </w:trPr>
        <w:tc>
          <w:tcPr>
            <w:cnfStyle w:val="001000000000" w:firstRow="0" w:lastRow="0" w:firstColumn="1" w:lastColumn="0" w:oddVBand="0" w:evenVBand="0" w:oddHBand="0" w:evenHBand="0" w:firstRowFirstColumn="0" w:firstRowLastColumn="0" w:lastRowFirstColumn="0" w:lastRowLastColumn="0"/>
            <w:tcW w:w="593" w:type="pct"/>
            <w:vMerge/>
            <w:vAlign w:val="top"/>
          </w:tcPr>
          <w:p w14:paraId="4ADD5AF2" w14:textId="77777777" w:rsidR="002B72E4" w:rsidRPr="00E6519E" w:rsidRDefault="002B72E4" w:rsidP="00032E3D">
            <w:pPr>
              <w:spacing w:before="40" w:after="40"/>
              <w:rPr>
                <w:rFonts w:ascii="Arial Narrow" w:hAnsi="Arial Narrow"/>
                <w:i/>
                <w:iCs/>
                <w:szCs w:val="20"/>
              </w:rPr>
            </w:pPr>
          </w:p>
        </w:tc>
        <w:tc>
          <w:tcPr>
            <w:tcW w:w="853" w:type="pct"/>
            <w:vAlign w:val="top"/>
          </w:tcPr>
          <w:p w14:paraId="28F6DBAB"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NYHA functional class I-II</w:t>
            </w:r>
          </w:p>
        </w:tc>
        <w:tc>
          <w:tcPr>
            <w:tcW w:w="854" w:type="pct"/>
            <w:vAlign w:val="top"/>
          </w:tcPr>
          <w:p w14:paraId="2155FC39"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30 days</w:t>
            </w:r>
          </w:p>
        </w:tc>
        <w:tc>
          <w:tcPr>
            <w:tcW w:w="1031" w:type="pct"/>
            <w:vAlign w:val="top"/>
          </w:tcPr>
          <w:p w14:paraId="7AB9ED05"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78%</w:t>
            </w:r>
          </w:p>
        </w:tc>
        <w:tc>
          <w:tcPr>
            <w:tcW w:w="1037" w:type="pct"/>
            <w:vAlign w:val="top"/>
          </w:tcPr>
          <w:p w14:paraId="49C6E29C"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86%</w:t>
            </w:r>
          </w:p>
        </w:tc>
        <w:tc>
          <w:tcPr>
            <w:tcW w:w="632" w:type="pct"/>
            <w:vAlign w:val="top"/>
          </w:tcPr>
          <w:p w14:paraId="6DF05602"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0.131*</w:t>
            </w:r>
          </w:p>
        </w:tc>
      </w:tr>
      <w:tr w:rsidR="002B72E4" w:rsidRPr="00E6519E" w14:paraId="7574E713" w14:textId="77777777" w:rsidTr="00032E3D">
        <w:trPr>
          <w:cantSplit/>
        </w:trPr>
        <w:tc>
          <w:tcPr>
            <w:cnfStyle w:val="001000000000" w:firstRow="0" w:lastRow="0" w:firstColumn="1" w:lastColumn="0" w:oddVBand="0" w:evenVBand="0" w:oddHBand="0" w:evenHBand="0" w:firstRowFirstColumn="0" w:firstRowLastColumn="0" w:lastRowFirstColumn="0" w:lastRowLastColumn="0"/>
            <w:tcW w:w="593" w:type="pct"/>
            <w:vMerge/>
            <w:tcBorders>
              <w:bottom w:val="single" w:sz="12" w:space="0" w:color="auto"/>
            </w:tcBorders>
            <w:vAlign w:val="top"/>
          </w:tcPr>
          <w:p w14:paraId="5028E4B1" w14:textId="77777777" w:rsidR="002B72E4" w:rsidRPr="00E6519E" w:rsidRDefault="002B72E4" w:rsidP="00032E3D">
            <w:pPr>
              <w:spacing w:before="40" w:after="40"/>
              <w:rPr>
                <w:rFonts w:ascii="Arial Narrow" w:hAnsi="Arial Narrow"/>
                <w:i/>
                <w:iCs/>
                <w:szCs w:val="20"/>
              </w:rPr>
            </w:pPr>
          </w:p>
        </w:tc>
        <w:tc>
          <w:tcPr>
            <w:tcW w:w="853" w:type="pct"/>
            <w:tcBorders>
              <w:bottom w:val="single" w:sz="12" w:space="0" w:color="auto"/>
            </w:tcBorders>
            <w:vAlign w:val="top"/>
          </w:tcPr>
          <w:p w14:paraId="4BDA3DF4"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NYHA functional class III-IV</w:t>
            </w:r>
          </w:p>
        </w:tc>
        <w:tc>
          <w:tcPr>
            <w:tcW w:w="854" w:type="pct"/>
            <w:tcBorders>
              <w:bottom w:val="single" w:sz="12" w:space="0" w:color="auto"/>
            </w:tcBorders>
            <w:vAlign w:val="top"/>
          </w:tcPr>
          <w:p w14:paraId="0E87A9D0"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30 days</w:t>
            </w:r>
          </w:p>
        </w:tc>
        <w:tc>
          <w:tcPr>
            <w:tcW w:w="1031" w:type="pct"/>
            <w:tcBorders>
              <w:bottom w:val="single" w:sz="12" w:space="0" w:color="auto"/>
            </w:tcBorders>
            <w:vAlign w:val="top"/>
          </w:tcPr>
          <w:p w14:paraId="058A40D2"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22%</w:t>
            </w:r>
          </w:p>
        </w:tc>
        <w:tc>
          <w:tcPr>
            <w:tcW w:w="1037" w:type="pct"/>
            <w:tcBorders>
              <w:bottom w:val="single" w:sz="12" w:space="0" w:color="auto"/>
            </w:tcBorders>
            <w:vAlign w:val="top"/>
          </w:tcPr>
          <w:p w14:paraId="23E56ADE"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14%</w:t>
            </w:r>
          </w:p>
        </w:tc>
        <w:tc>
          <w:tcPr>
            <w:tcW w:w="632" w:type="pct"/>
            <w:tcBorders>
              <w:bottom w:val="single" w:sz="12" w:space="0" w:color="auto"/>
            </w:tcBorders>
            <w:vAlign w:val="top"/>
          </w:tcPr>
          <w:p w14:paraId="3341916E"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0.112</w:t>
            </w:r>
          </w:p>
        </w:tc>
      </w:tr>
      <w:tr w:rsidR="002B72E4" w:rsidRPr="00E6519E" w14:paraId="573EBDAC" w14:textId="77777777" w:rsidTr="00032E3D">
        <w:trPr>
          <w:cantSplit/>
        </w:trPr>
        <w:tc>
          <w:tcPr>
            <w:cnfStyle w:val="001000000000" w:firstRow="0" w:lastRow="0" w:firstColumn="1" w:lastColumn="0" w:oddVBand="0" w:evenVBand="0" w:oddHBand="0" w:evenHBand="0" w:firstRowFirstColumn="0" w:firstRowLastColumn="0" w:lastRowFirstColumn="0" w:lastRowLastColumn="0"/>
            <w:tcW w:w="593" w:type="pct"/>
            <w:vMerge w:val="restart"/>
            <w:tcBorders>
              <w:top w:val="single" w:sz="12" w:space="0" w:color="auto"/>
            </w:tcBorders>
          </w:tcPr>
          <w:p w14:paraId="20D1B3FF" w14:textId="77777777" w:rsidR="002B72E4" w:rsidRPr="00E6519E" w:rsidRDefault="002B72E4" w:rsidP="00032E3D">
            <w:pPr>
              <w:spacing w:before="40" w:after="40"/>
              <w:rPr>
                <w:rFonts w:ascii="Arial Narrow" w:hAnsi="Arial Narrow"/>
                <w:i/>
                <w:iCs/>
                <w:szCs w:val="20"/>
              </w:rPr>
            </w:pPr>
            <w:r w:rsidRPr="00E6519E">
              <w:rPr>
                <w:rFonts w:ascii="Arial Narrow" w:hAnsi="Arial Narrow"/>
                <w:i/>
                <w:iCs/>
                <w:szCs w:val="20"/>
              </w:rPr>
              <w:t>Geis 2022</w:t>
            </w:r>
          </w:p>
        </w:tc>
        <w:tc>
          <w:tcPr>
            <w:tcW w:w="853" w:type="pct"/>
            <w:tcBorders>
              <w:top w:val="single" w:sz="12" w:space="0" w:color="auto"/>
            </w:tcBorders>
            <w:vAlign w:val="top"/>
          </w:tcPr>
          <w:p w14:paraId="27F30D4A"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Technical success</w:t>
            </w:r>
          </w:p>
        </w:tc>
        <w:tc>
          <w:tcPr>
            <w:tcW w:w="854" w:type="pct"/>
            <w:tcBorders>
              <w:top w:val="single" w:sz="12" w:space="0" w:color="auto"/>
            </w:tcBorders>
            <w:vAlign w:val="top"/>
          </w:tcPr>
          <w:p w14:paraId="32518695"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Immediately post-procedure</w:t>
            </w:r>
          </w:p>
        </w:tc>
        <w:tc>
          <w:tcPr>
            <w:tcW w:w="1031" w:type="pct"/>
            <w:tcBorders>
              <w:top w:val="single" w:sz="12" w:space="0" w:color="auto"/>
            </w:tcBorders>
          </w:tcPr>
          <w:p w14:paraId="7CA4CC88"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90.24% (37/41)</w:t>
            </w:r>
          </w:p>
        </w:tc>
        <w:tc>
          <w:tcPr>
            <w:tcW w:w="1037" w:type="pct"/>
            <w:tcBorders>
              <w:top w:val="single" w:sz="12" w:space="0" w:color="auto"/>
            </w:tcBorders>
          </w:tcPr>
          <w:p w14:paraId="59476568"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95.12% (78/82)</w:t>
            </w:r>
          </w:p>
        </w:tc>
        <w:tc>
          <w:tcPr>
            <w:tcW w:w="632" w:type="pct"/>
            <w:tcBorders>
              <w:top w:val="single" w:sz="12" w:space="0" w:color="auto"/>
            </w:tcBorders>
          </w:tcPr>
          <w:p w14:paraId="230A251E"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0.4388</w:t>
            </w:r>
          </w:p>
        </w:tc>
      </w:tr>
      <w:tr w:rsidR="002B72E4" w:rsidRPr="00E6519E" w14:paraId="50FC4C4A" w14:textId="77777777" w:rsidTr="00032E3D">
        <w:trPr>
          <w:cantSplit/>
        </w:trPr>
        <w:tc>
          <w:tcPr>
            <w:cnfStyle w:val="001000000000" w:firstRow="0" w:lastRow="0" w:firstColumn="1" w:lastColumn="0" w:oddVBand="0" w:evenVBand="0" w:oddHBand="0" w:evenHBand="0" w:firstRowFirstColumn="0" w:firstRowLastColumn="0" w:lastRowFirstColumn="0" w:lastRowLastColumn="0"/>
            <w:tcW w:w="593" w:type="pct"/>
            <w:vMerge/>
          </w:tcPr>
          <w:p w14:paraId="1CFF5E28" w14:textId="77777777" w:rsidR="002B72E4" w:rsidRPr="00E6519E" w:rsidRDefault="002B72E4" w:rsidP="00032E3D">
            <w:pPr>
              <w:spacing w:before="40" w:after="40"/>
              <w:rPr>
                <w:rFonts w:ascii="Arial Narrow" w:hAnsi="Arial Narrow"/>
                <w:i/>
                <w:iCs/>
                <w:szCs w:val="20"/>
              </w:rPr>
            </w:pPr>
          </w:p>
        </w:tc>
        <w:tc>
          <w:tcPr>
            <w:tcW w:w="853" w:type="pct"/>
            <w:vAlign w:val="top"/>
          </w:tcPr>
          <w:p w14:paraId="0BCBE2E0"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Device success</w:t>
            </w:r>
          </w:p>
        </w:tc>
        <w:tc>
          <w:tcPr>
            <w:tcW w:w="854" w:type="pct"/>
            <w:vAlign w:val="top"/>
          </w:tcPr>
          <w:p w14:paraId="27CB63A6"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Discharge</w:t>
            </w:r>
          </w:p>
        </w:tc>
        <w:tc>
          <w:tcPr>
            <w:tcW w:w="1031" w:type="pct"/>
          </w:tcPr>
          <w:p w14:paraId="40BA9A97"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90.24% (37/41)</w:t>
            </w:r>
          </w:p>
        </w:tc>
        <w:tc>
          <w:tcPr>
            <w:tcW w:w="1037" w:type="pct"/>
          </w:tcPr>
          <w:p w14:paraId="51C9710A"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89.02% (72/83)</w:t>
            </w:r>
          </w:p>
        </w:tc>
        <w:tc>
          <w:tcPr>
            <w:tcW w:w="632" w:type="pct"/>
          </w:tcPr>
          <w:p w14:paraId="380272D6"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1.000</w:t>
            </w:r>
          </w:p>
        </w:tc>
      </w:tr>
      <w:tr w:rsidR="002B72E4" w:rsidRPr="00E6519E" w14:paraId="2F954289" w14:textId="77777777" w:rsidTr="00032E3D">
        <w:trPr>
          <w:cantSplit/>
        </w:trPr>
        <w:tc>
          <w:tcPr>
            <w:cnfStyle w:val="001000000000" w:firstRow="0" w:lastRow="0" w:firstColumn="1" w:lastColumn="0" w:oddVBand="0" w:evenVBand="0" w:oddHBand="0" w:evenHBand="0" w:firstRowFirstColumn="0" w:firstRowLastColumn="0" w:lastRowFirstColumn="0" w:lastRowLastColumn="0"/>
            <w:tcW w:w="593" w:type="pct"/>
            <w:vMerge/>
          </w:tcPr>
          <w:p w14:paraId="7A0796D5" w14:textId="77777777" w:rsidR="002B72E4" w:rsidRPr="00E6519E" w:rsidRDefault="002B72E4" w:rsidP="00032E3D">
            <w:pPr>
              <w:spacing w:before="40" w:after="40"/>
              <w:rPr>
                <w:rFonts w:ascii="Arial Narrow" w:hAnsi="Arial Narrow"/>
                <w:i/>
                <w:iCs/>
                <w:szCs w:val="20"/>
              </w:rPr>
            </w:pPr>
          </w:p>
        </w:tc>
        <w:tc>
          <w:tcPr>
            <w:tcW w:w="853" w:type="pct"/>
            <w:vAlign w:val="top"/>
          </w:tcPr>
          <w:p w14:paraId="1032756C"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Procedural success</w:t>
            </w:r>
          </w:p>
        </w:tc>
        <w:tc>
          <w:tcPr>
            <w:tcW w:w="854" w:type="pct"/>
            <w:vAlign w:val="top"/>
          </w:tcPr>
          <w:p w14:paraId="7ACF7670"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Discharge</w:t>
            </w:r>
          </w:p>
        </w:tc>
        <w:tc>
          <w:tcPr>
            <w:tcW w:w="1031" w:type="pct"/>
          </w:tcPr>
          <w:p w14:paraId="03FFAE76"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87.8% (36/41)</w:t>
            </w:r>
          </w:p>
        </w:tc>
        <w:tc>
          <w:tcPr>
            <w:tcW w:w="1037" w:type="pct"/>
          </w:tcPr>
          <w:p w14:paraId="02D49D71"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80.49% (66/82)</w:t>
            </w:r>
          </w:p>
        </w:tc>
        <w:tc>
          <w:tcPr>
            <w:tcW w:w="632" w:type="pct"/>
          </w:tcPr>
          <w:p w14:paraId="31A8B0D9"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0.4465</w:t>
            </w:r>
          </w:p>
        </w:tc>
      </w:tr>
      <w:tr w:rsidR="002B72E4" w:rsidRPr="00E6519E" w14:paraId="506DB764" w14:textId="77777777" w:rsidTr="00032E3D">
        <w:trPr>
          <w:cantSplit/>
        </w:trPr>
        <w:tc>
          <w:tcPr>
            <w:cnfStyle w:val="001000000000" w:firstRow="0" w:lastRow="0" w:firstColumn="1" w:lastColumn="0" w:oddVBand="0" w:evenVBand="0" w:oddHBand="0" w:evenHBand="0" w:firstRowFirstColumn="0" w:firstRowLastColumn="0" w:lastRowFirstColumn="0" w:lastRowLastColumn="0"/>
            <w:tcW w:w="593" w:type="pct"/>
            <w:vMerge/>
            <w:vAlign w:val="top"/>
          </w:tcPr>
          <w:p w14:paraId="0C265A1D" w14:textId="77777777" w:rsidR="002B72E4" w:rsidRPr="00E6519E" w:rsidRDefault="002B72E4" w:rsidP="00032E3D">
            <w:pPr>
              <w:spacing w:before="40" w:after="40"/>
              <w:rPr>
                <w:rFonts w:ascii="Arial Narrow" w:hAnsi="Arial Narrow"/>
                <w:i/>
                <w:iCs/>
                <w:szCs w:val="20"/>
              </w:rPr>
            </w:pPr>
          </w:p>
        </w:tc>
        <w:tc>
          <w:tcPr>
            <w:tcW w:w="853" w:type="pct"/>
            <w:vAlign w:val="top"/>
          </w:tcPr>
          <w:p w14:paraId="365BC3EE"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MR ≤1</w:t>
            </w:r>
          </w:p>
        </w:tc>
        <w:tc>
          <w:tcPr>
            <w:tcW w:w="854" w:type="pct"/>
            <w:vAlign w:val="top"/>
          </w:tcPr>
          <w:p w14:paraId="7978608B"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Discharge</w:t>
            </w:r>
          </w:p>
        </w:tc>
        <w:tc>
          <w:tcPr>
            <w:tcW w:w="1031" w:type="pct"/>
          </w:tcPr>
          <w:p w14:paraId="1A1CA198"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56.1% (23/41)</w:t>
            </w:r>
          </w:p>
        </w:tc>
        <w:tc>
          <w:tcPr>
            <w:tcW w:w="1037" w:type="pct"/>
          </w:tcPr>
          <w:p w14:paraId="577009AD"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65.85% (54/82)</w:t>
            </w:r>
          </w:p>
        </w:tc>
        <w:tc>
          <w:tcPr>
            <w:tcW w:w="632" w:type="pct"/>
          </w:tcPr>
          <w:p w14:paraId="00301A4D"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0.3265</w:t>
            </w:r>
          </w:p>
        </w:tc>
      </w:tr>
      <w:tr w:rsidR="002B72E4" w:rsidRPr="00E6519E" w14:paraId="400A409E" w14:textId="77777777" w:rsidTr="00032E3D">
        <w:trPr>
          <w:cantSplit/>
        </w:trPr>
        <w:tc>
          <w:tcPr>
            <w:cnfStyle w:val="001000000000" w:firstRow="0" w:lastRow="0" w:firstColumn="1" w:lastColumn="0" w:oddVBand="0" w:evenVBand="0" w:oddHBand="0" w:evenHBand="0" w:firstRowFirstColumn="0" w:firstRowLastColumn="0" w:lastRowFirstColumn="0" w:lastRowLastColumn="0"/>
            <w:tcW w:w="593" w:type="pct"/>
            <w:vMerge/>
            <w:vAlign w:val="top"/>
          </w:tcPr>
          <w:p w14:paraId="1C2152BF" w14:textId="77777777" w:rsidR="002B72E4" w:rsidRPr="00E6519E" w:rsidRDefault="002B72E4" w:rsidP="00032E3D">
            <w:pPr>
              <w:spacing w:before="40" w:after="40"/>
              <w:rPr>
                <w:rFonts w:ascii="Arial Narrow" w:hAnsi="Arial Narrow"/>
                <w:i/>
                <w:iCs/>
                <w:szCs w:val="20"/>
              </w:rPr>
            </w:pPr>
          </w:p>
        </w:tc>
        <w:tc>
          <w:tcPr>
            <w:tcW w:w="853" w:type="pct"/>
            <w:vAlign w:val="top"/>
          </w:tcPr>
          <w:p w14:paraId="45701BF7"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 xml:space="preserve">MR </w:t>
            </w:r>
            <w:r w:rsidRPr="00427322">
              <w:rPr>
                <w:rFonts w:ascii="Arial Narrow" w:hAnsi="Arial Narrow" w:cs="Calibri Light"/>
                <w:szCs w:val="20"/>
              </w:rPr>
              <w:t>≤2</w:t>
            </w:r>
          </w:p>
        </w:tc>
        <w:tc>
          <w:tcPr>
            <w:tcW w:w="854" w:type="pct"/>
            <w:vAlign w:val="top"/>
          </w:tcPr>
          <w:p w14:paraId="78ED9D81"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Discharge</w:t>
            </w:r>
          </w:p>
        </w:tc>
        <w:tc>
          <w:tcPr>
            <w:tcW w:w="1031" w:type="pct"/>
          </w:tcPr>
          <w:p w14:paraId="4EC068B4"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90.24% (37/41)</w:t>
            </w:r>
          </w:p>
        </w:tc>
        <w:tc>
          <w:tcPr>
            <w:tcW w:w="1037" w:type="pct"/>
          </w:tcPr>
          <w:p w14:paraId="467DB18F"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91.46% (75/82)</w:t>
            </w:r>
          </w:p>
        </w:tc>
        <w:tc>
          <w:tcPr>
            <w:tcW w:w="632" w:type="pct"/>
          </w:tcPr>
          <w:p w14:paraId="5F119191"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1.000</w:t>
            </w:r>
          </w:p>
        </w:tc>
      </w:tr>
      <w:tr w:rsidR="002B72E4" w:rsidRPr="00E6519E" w14:paraId="26432E29" w14:textId="77777777" w:rsidTr="00032E3D">
        <w:trPr>
          <w:cantSplit/>
        </w:trPr>
        <w:tc>
          <w:tcPr>
            <w:cnfStyle w:val="001000000000" w:firstRow="0" w:lastRow="0" w:firstColumn="1" w:lastColumn="0" w:oddVBand="0" w:evenVBand="0" w:oddHBand="0" w:evenHBand="0" w:firstRowFirstColumn="0" w:firstRowLastColumn="0" w:lastRowFirstColumn="0" w:lastRowLastColumn="0"/>
            <w:tcW w:w="593" w:type="pct"/>
            <w:vMerge/>
            <w:vAlign w:val="top"/>
          </w:tcPr>
          <w:p w14:paraId="645DB82D" w14:textId="77777777" w:rsidR="002B72E4" w:rsidRPr="00E6519E" w:rsidRDefault="002B72E4" w:rsidP="00032E3D">
            <w:pPr>
              <w:spacing w:before="40" w:after="40"/>
              <w:rPr>
                <w:rFonts w:ascii="Arial Narrow" w:hAnsi="Arial Narrow"/>
                <w:i/>
                <w:iCs/>
                <w:szCs w:val="20"/>
              </w:rPr>
            </w:pPr>
          </w:p>
        </w:tc>
        <w:tc>
          <w:tcPr>
            <w:tcW w:w="853" w:type="pct"/>
            <w:vAlign w:val="top"/>
          </w:tcPr>
          <w:p w14:paraId="7A6F7AD3"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MR ≤1</w:t>
            </w:r>
          </w:p>
        </w:tc>
        <w:tc>
          <w:tcPr>
            <w:tcW w:w="854" w:type="pct"/>
            <w:vMerge w:val="restart"/>
            <w:vAlign w:val="top"/>
          </w:tcPr>
          <w:p w14:paraId="21C7E0BF"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At short follow-up (1-4 months)</w:t>
            </w:r>
          </w:p>
        </w:tc>
        <w:tc>
          <w:tcPr>
            <w:tcW w:w="1031" w:type="pct"/>
          </w:tcPr>
          <w:p w14:paraId="0C05CF0A"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50% (13/26)</w:t>
            </w:r>
          </w:p>
        </w:tc>
        <w:tc>
          <w:tcPr>
            <w:tcW w:w="1037" w:type="pct"/>
          </w:tcPr>
          <w:p w14:paraId="55E46954"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57.9% (33/57)</w:t>
            </w:r>
          </w:p>
        </w:tc>
        <w:tc>
          <w:tcPr>
            <w:tcW w:w="632" w:type="pct"/>
          </w:tcPr>
          <w:p w14:paraId="36A9AC49"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0.5044*</w:t>
            </w:r>
          </w:p>
        </w:tc>
      </w:tr>
      <w:tr w:rsidR="002B72E4" w:rsidRPr="00E6519E" w14:paraId="02A5D788" w14:textId="77777777" w:rsidTr="00032E3D">
        <w:trPr>
          <w:cantSplit/>
        </w:trPr>
        <w:tc>
          <w:tcPr>
            <w:cnfStyle w:val="001000000000" w:firstRow="0" w:lastRow="0" w:firstColumn="1" w:lastColumn="0" w:oddVBand="0" w:evenVBand="0" w:oddHBand="0" w:evenHBand="0" w:firstRowFirstColumn="0" w:firstRowLastColumn="0" w:lastRowFirstColumn="0" w:lastRowLastColumn="0"/>
            <w:tcW w:w="593" w:type="pct"/>
            <w:vMerge/>
          </w:tcPr>
          <w:p w14:paraId="7A4E92DD" w14:textId="77777777" w:rsidR="002B72E4" w:rsidRPr="00E6519E" w:rsidRDefault="002B72E4" w:rsidP="00032E3D">
            <w:pPr>
              <w:spacing w:before="40" w:after="40"/>
              <w:jc w:val="center"/>
              <w:rPr>
                <w:rFonts w:ascii="Arial Narrow" w:hAnsi="Arial Narrow"/>
                <w:i/>
                <w:iCs/>
                <w:szCs w:val="20"/>
              </w:rPr>
            </w:pPr>
          </w:p>
        </w:tc>
        <w:tc>
          <w:tcPr>
            <w:tcW w:w="853" w:type="pct"/>
            <w:vAlign w:val="top"/>
          </w:tcPr>
          <w:p w14:paraId="33651C6D"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 xml:space="preserve">MR </w:t>
            </w:r>
            <w:r w:rsidRPr="00427322">
              <w:rPr>
                <w:rFonts w:ascii="Arial Narrow" w:hAnsi="Arial Narrow" w:cs="Calibri Light"/>
                <w:szCs w:val="20"/>
              </w:rPr>
              <w:t>≤2</w:t>
            </w:r>
          </w:p>
        </w:tc>
        <w:tc>
          <w:tcPr>
            <w:tcW w:w="854" w:type="pct"/>
            <w:vMerge/>
            <w:vAlign w:val="top"/>
          </w:tcPr>
          <w:p w14:paraId="49004A0E"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p>
        </w:tc>
        <w:tc>
          <w:tcPr>
            <w:tcW w:w="1031" w:type="pct"/>
          </w:tcPr>
          <w:p w14:paraId="2B25C75D"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92.3% (24/26)</w:t>
            </w:r>
          </w:p>
        </w:tc>
        <w:tc>
          <w:tcPr>
            <w:tcW w:w="1037" w:type="pct"/>
          </w:tcPr>
          <w:p w14:paraId="635E112D"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89.5% (51/57)</w:t>
            </w:r>
          </w:p>
        </w:tc>
        <w:tc>
          <w:tcPr>
            <w:tcW w:w="632" w:type="pct"/>
          </w:tcPr>
          <w:p w14:paraId="2AC5D5BF"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0.6901*</w:t>
            </w:r>
          </w:p>
        </w:tc>
      </w:tr>
      <w:tr w:rsidR="002B72E4" w:rsidRPr="00E6519E" w14:paraId="0B93CF16" w14:textId="77777777" w:rsidTr="00032E3D">
        <w:trPr>
          <w:cantSplit/>
        </w:trPr>
        <w:tc>
          <w:tcPr>
            <w:cnfStyle w:val="001000000000" w:firstRow="0" w:lastRow="0" w:firstColumn="1" w:lastColumn="0" w:oddVBand="0" w:evenVBand="0" w:oddHBand="0" w:evenHBand="0" w:firstRowFirstColumn="0" w:firstRowLastColumn="0" w:lastRowFirstColumn="0" w:lastRowLastColumn="0"/>
            <w:tcW w:w="593" w:type="pct"/>
            <w:vMerge/>
            <w:vAlign w:val="top"/>
          </w:tcPr>
          <w:p w14:paraId="2F4A3966" w14:textId="77777777" w:rsidR="002B72E4" w:rsidRPr="00E6519E" w:rsidRDefault="002B72E4" w:rsidP="00032E3D">
            <w:pPr>
              <w:spacing w:before="40" w:after="40"/>
              <w:rPr>
                <w:rFonts w:ascii="Arial Narrow" w:hAnsi="Arial Narrow"/>
                <w:i/>
                <w:iCs/>
                <w:szCs w:val="20"/>
              </w:rPr>
            </w:pPr>
          </w:p>
        </w:tc>
        <w:tc>
          <w:tcPr>
            <w:tcW w:w="853" w:type="pct"/>
            <w:vAlign w:val="top"/>
          </w:tcPr>
          <w:p w14:paraId="4D88D25A"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MR ≤1</w:t>
            </w:r>
          </w:p>
        </w:tc>
        <w:tc>
          <w:tcPr>
            <w:tcW w:w="854" w:type="pct"/>
            <w:vMerge w:val="restart"/>
            <w:vAlign w:val="top"/>
          </w:tcPr>
          <w:p w14:paraId="14FA9E70"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At long (6-18 months) follow-up</w:t>
            </w:r>
          </w:p>
        </w:tc>
        <w:tc>
          <w:tcPr>
            <w:tcW w:w="1031" w:type="pct"/>
          </w:tcPr>
          <w:p w14:paraId="6D9CFD0F"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61.9% (13/21)</w:t>
            </w:r>
          </w:p>
        </w:tc>
        <w:tc>
          <w:tcPr>
            <w:tcW w:w="1037" w:type="pct"/>
          </w:tcPr>
          <w:p w14:paraId="3AA52881"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55.1% (27/49)</w:t>
            </w:r>
          </w:p>
        </w:tc>
        <w:tc>
          <w:tcPr>
            <w:tcW w:w="632" w:type="pct"/>
          </w:tcPr>
          <w:p w14:paraId="6D0FA0AC"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0.6009*</w:t>
            </w:r>
          </w:p>
        </w:tc>
      </w:tr>
      <w:tr w:rsidR="002B72E4" w:rsidRPr="00E6519E" w14:paraId="0E8B5D2A" w14:textId="77777777" w:rsidTr="00032E3D">
        <w:trPr>
          <w:cantSplit/>
        </w:trPr>
        <w:tc>
          <w:tcPr>
            <w:cnfStyle w:val="001000000000" w:firstRow="0" w:lastRow="0" w:firstColumn="1" w:lastColumn="0" w:oddVBand="0" w:evenVBand="0" w:oddHBand="0" w:evenHBand="0" w:firstRowFirstColumn="0" w:firstRowLastColumn="0" w:lastRowFirstColumn="0" w:lastRowLastColumn="0"/>
            <w:tcW w:w="593" w:type="pct"/>
            <w:vMerge/>
            <w:vAlign w:val="top"/>
          </w:tcPr>
          <w:p w14:paraId="407C4859" w14:textId="77777777" w:rsidR="002B72E4" w:rsidRPr="00E6519E" w:rsidRDefault="002B72E4" w:rsidP="00032E3D">
            <w:pPr>
              <w:spacing w:before="40" w:after="40"/>
              <w:rPr>
                <w:rFonts w:ascii="Arial Narrow" w:hAnsi="Arial Narrow"/>
                <w:i/>
                <w:iCs/>
                <w:szCs w:val="20"/>
              </w:rPr>
            </w:pPr>
          </w:p>
        </w:tc>
        <w:tc>
          <w:tcPr>
            <w:tcW w:w="853" w:type="pct"/>
            <w:vAlign w:val="top"/>
          </w:tcPr>
          <w:p w14:paraId="7AF05180"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 xml:space="preserve">MR </w:t>
            </w:r>
            <w:r w:rsidRPr="00427322">
              <w:rPr>
                <w:rFonts w:ascii="Arial Narrow" w:hAnsi="Arial Narrow" w:cs="Calibri Light"/>
                <w:szCs w:val="20"/>
              </w:rPr>
              <w:t>≤2</w:t>
            </w:r>
          </w:p>
        </w:tc>
        <w:tc>
          <w:tcPr>
            <w:tcW w:w="854" w:type="pct"/>
            <w:vMerge/>
            <w:vAlign w:val="top"/>
          </w:tcPr>
          <w:p w14:paraId="70738D2A"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p>
        </w:tc>
        <w:tc>
          <w:tcPr>
            <w:tcW w:w="1031" w:type="pct"/>
          </w:tcPr>
          <w:p w14:paraId="1BFB733B"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95.2% (20/21)</w:t>
            </w:r>
          </w:p>
        </w:tc>
        <w:tc>
          <w:tcPr>
            <w:tcW w:w="1037" w:type="pct"/>
          </w:tcPr>
          <w:p w14:paraId="1880525D"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93.9% (46/49)</w:t>
            </w:r>
          </w:p>
        </w:tc>
        <w:tc>
          <w:tcPr>
            <w:tcW w:w="632" w:type="pct"/>
          </w:tcPr>
          <w:p w14:paraId="0DE4688B"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0.8311*</w:t>
            </w:r>
          </w:p>
        </w:tc>
      </w:tr>
      <w:tr w:rsidR="002B72E4" w:rsidRPr="00E6519E" w14:paraId="0158361E" w14:textId="77777777" w:rsidTr="00032E3D">
        <w:trPr>
          <w:cantSplit/>
        </w:trPr>
        <w:tc>
          <w:tcPr>
            <w:cnfStyle w:val="001000000000" w:firstRow="0" w:lastRow="0" w:firstColumn="1" w:lastColumn="0" w:oddVBand="0" w:evenVBand="0" w:oddHBand="0" w:evenHBand="0" w:firstRowFirstColumn="0" w:firstRowLastColumn="0" w:lastRowFirstColumn="0" w:lastRowLastColumn="0"/>
            <w:tcW w:w="593" w:type="pct"/>
            <w:vMerge/>
            <w:vAlign w:val="top"/>
          </w:tcPr>
          <w:p w14:paraId="1381BE5F" w14:textId="77777777" w:rsidR="002B72E4" w:rsidRPr="00E6519E" w:rsidRDefault="002B72E4" w:rsidP="00032E3D">
            <w:pPr>
              <w:spacing w:before="40" w:after="40"/>
              <w:rPr>
                <w:rFonts w:ascii="Arial Narrow" w:hAnsi="Arial Narrow"/>
                <w:i/>
                <w:iCs/>
                <w:szCs w:val="20"/>
              </w:rPr>
            </w:pPr>
          </w:p>
        </w:tc>
        <w:tc>
          <w:tcPr>
            <w:tcW w:w="853" w:type="pct"/>
            <w:vAlign w:val="top"/>
          </w:tcPr>
          <w:p w14:paraId="7370F922"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NYHA functional class ≤ 2</w:t>
            </w:r>
          </w:p>
        </w:tc>
        <w:tc>
          <w:tcPr>
            <w:tcW w:w="854" w:type="pct"/>
            <w:vAlign w:val="top"/>
          </w:tcPr>
          <w:p w14:paraId="50127726"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At short follow-up (1-4 months)</w:t>
            </w:r>
          </w:p>
        </w:tc>
        <w:tc>
          <w:tcPr>
            <w:tcW w:w="1031" w:type="pct"/>
          </w:tcPr>
          <w:p w14:paraId="6F71D8EC"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50% (13/26)</w:t>
            </w:r>
          </w:p>
        </w:tc>
        <w:tc>
          <w:tcPr>
            <w:tcW w:w="1037" w:type="pct"/>
          </w:tcPr>
          <w:p w14:paraId="7D9BDA0E"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61.02% (36/59)</w:t>
            </w:r>
          </w:p>
        </w:tc>
        <w:tc>
          <w:tcPr>
            <w:tcW w:w="632" w:type="pct"/>
          </w:tcPr>
          <w:p w14:paraId="5F0942E5"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0.3538</w:t>
            </w:r>
          </w:p>
        </w:tc>
      </w:tr>
      <w:tr w:rsidR="002B72E4" w:rsidRPr="00E6519E" w14:paraId="0AABBC84" w14:textId="77777777" w:rsidTr="00032E3D">
        <w:trPr>
          <w:cantSplit/>
        </w:trPr>
        <w:tc>
          <w:tcPr>
            <w:cnfStyle w:val="001000000000" w:firstRow="0" w:lastRow="0" w:firstColumn="1" w:lastColumn="0" w:oddVBand="0" w:evenVBand="0" w:oddHBand="0" w:evenHBand="0" w:firstRowFirstColumn="0" w:firstRowLastColumn="0" w:lastRowFirstColumn="0" w:lastRowLastColumn="0"/>
            <w:tcW w:w="593" w:type="pct"/>
            <w:vMerge/>
            <w:vAlign w:val="top"/>
          </w:tcPr>
          <w:p w14:paraId="3020D818" w14:textId="77777777" w:rsidR="002B72E4" w:rsidRPr="00E6519E" w:rsidRDefault="002B72E4" w:rsidP="00032E3D">
            <w:pPr>
              <w:spacing w:before="40" w:after="40"/>
              <w:rPr>
                <w:rFonts w:ascii="Arial Narrow" w:hAnsi="Arial Narrow"/>
                <w:i/>
                <w:iCs/>
                <w:szCs w:val="20"/>
              </w:rPr>
            </w:pPr>
          </w:p>
        </w:tc>
        <w:tc>
          <w:tcPr>
            <w:tcW w:w="853" w:type="pct"/>
            <w:vAlign w:val="top"/>
          </w:tcPr>
          <w:p w14:paraId="770ED739"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NYHA functional class ≤ 2</w:t>
            </w:r>
          </w:p>
        </w:tc>
        <w:tc>
          <w:tcPr>
            <w:tcW w:w="854" w:type="pct"/>
            <w:vAlign w:val="top"/>
          </w:tcPr>
          <w:p w14:paraId="0F63AE7E" w14:textId="77777777" w:rsidR="002B72E4" w:rsidRPr="00427322" w:rsidRDefault="002B72E4" w:rsidP="00032E3D">
            <w:pPr>
              <w:spacing w:before="40" w:after="40"/>
              <w:jc w:val="left"/>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At long (6-18 months) follow-up</w:t>
            </w:r>
          </w:p>
        </w:tc>
        <w:tc>
          <w:tcPr>
            <w:tcW w:w="1031" w:type="pct"/>
          </w:tcPr>
          <w:p w14:paraId="7E29CE8B"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57.14% (12/21)</w:t>
            </w:r>
          </w:p>
        </w:tc>
        <w:tc>
          <w:tcPr>
            <w:tcW w:w="1037" w:type="pct"/>
          </w:tcPr>
          <w:p w14:paraId="24E5A23C"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64.82% (35/54)</w:t>
            </w:r>
          </w:p>
        </w:tc>
        <w:tc>
          <w:tcPr>
            <w:tcW w:w="632" w:type="pct"/>
          </w:tcPr>
          <w:p w14:paraId="188D9577" w14:textId="77777777" w:rsidR="002B72E4" w:rsidRPr="00427322" w:rsidRDefault="002B72E4"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szCs w:val="20"/>
              </w:rPr>
            </w:pPr>
            <w:r w:rsidRPr="00427322">
              <w:rPr>
                <w:rFonts w:ascii="Arial Narrow" w:hAnsi="Arial Narrow"/>
                <w:szCs w:val="20"/>
              </w:rPr>
              <w:t>0.5998</w:t>
            </w:r>
          </w:p>
        </w:tc>
      </w:tr>
    </w:tbl>
    <w:p w14:paraId="796BD5F6" w14:textId="77777777" w:rsidR="002B72E4" w:rsidRPr="00427322" w:rsidRDefault="002B72E4" w:rsidP="002B72E4">
      <w:pPr>
        <w:pStyle w:val="TableFigureFooter"/>
        <w:spacing w:before="0" w:after="0"/>
        <w:rPr>
          <w:szCs w:val="18"/>
        </w:rPr>
      </w:pPr>
      <w:r w:rsidRPr="00427322">
        <w:rPr>
          <w:szCs w:val="18"/>
        </w:rPr>
        <w:t>NYHA=New York Heart Association; MR=mitral regurgitation;</w:t>
      </w:r>
    </w:p>
    <w:p w14:paraId="401E9708" w14:textId="20058DDE" w:rsidR="002B72E4" w:rsidRPr="00A64CAC" w:rsidRDefault="002B72E4" w:rsidP="00A64CAC">
      <w:pPr>
        <w:pStyle w:val="BodyText"/>
        <w:spacing w:before="0" w:after="0" w:line="240" w:lineRule="auto"/>
        <w:rPr>
          <w:rFonts w:ascii="Arial Narrow" w:hAnsi="Arial Narrow"/>
          <w:sz w:val="18"/>
          <w:szCs w:val="18"/>
          <w:lang w:eastAsia="en-AU"/>
        </w:rPr>
      </w:pPr>
      <w:r w:rsidRPr="00427322">
        <w:rPr>
          <w:rFonts w:ascii="Arial Narrow" w:hAnsi="Arial Narrow"/>
          <w:sz w:val="18"/>
          <w:szCs w:val="18"/>
          <w:lang w:eastAsia="en-AU"/>
        </w:rPr>
        <w:t>*calculated by evaluators</w:t>
      </w:r>
    </w:p>
    <w:p w14:paraId="7094D815" w14:textId="77777777" w:rsidR="002B72E4" w:rsidRPr="00AD4429" w:rsidRDefault="002B72E4" w:rsidP="00A64CAC">
      <w:pPr>
        <w:spacing w:before="240"/>
        <w:rPr>
          <w:rFonts w:cstheme="minorHAnsi"/>
        </w:rPr>
      </w:pPr>
      <w:r w:rsidRPr="00AD4429">
        <w:rPr>
          <w:lang w:eastAsia="en-AU"/>
        </w:rPr>
        <w:t xml:space="preserve">In the </w:t>
      </w:r>
      <w:proofErr w:type="spellStart"/>
      <w:r w:rsidRPr="00AD4429">
        <w:rPr>
          <w:lang w:eastAsia="en-AU"/>
        </w:rPr>
        <w:t>Haschemi</w:t>
      </w:r>
      <w:proofErr w:type="spellEnd"/>
      <w:r w:rsidRPr="00AD4429">
        <w:rPr>
          <w:lang w:eastAsia="en-AU"/>
        </w:rPr>
        <w:t xml:space="preserve"> (2022)</w:t>
      </w:r>
      <w:r w:rsidRPr="00AD4429">
        <w:rPr>
          <w:rFonts w:cstheme="minorHAnsi"/>
        </w:rPr>
        <w:t xml:space="preserve"> study, there were no statistically significant differences between the PASCAL and </w:t>
      </w:r>
      <w:proofErr w:type="spellStart"/>
      <w:r w:rsidRPr="00AD4429">
        <w:rPr>
          <w:rFonts w:cstheme="minorHAnsi"/>
        </w:rPr>
        <w:t>MitraClip</w:t>
      </w:r>
      <w:proofErr w:type="spellEnd"/>
      <w:r w:rsidRPr="00AD4429">
        <w:rPr>
          <w:rFonts w:cstheme="minorHAnsi"/>
        </w:rPr>
        <w:t xml:space="preserve"> groups with respect to technical or procedural success; and also with respect to the proportion of patients with MR severity either at discharge, or at the 30 days observation point. More patients from </w:t>
      </w:r>
      <w:proofErr w:type="spellStart"/>
      <w:r w:rsidRPr="00AD4429">
        <w:rPr>
          <w:rFonts w:cstheme="minorHAnsi"/>
        </w:rPr>
        <w:t>MitraClip</w:t>
      </w:r>
      <w:proofErr w:type="spellEnd"/>
      <w:r w:rsidRPr="00AD4429">
        <w:rPr>
          <w:rFonts w:cstheme="minorHAnsi"/>
        </w:rPr>
        <w:t xml:space="preserve"> group achieved a higher NYHA functional class at 30 days, but the difference did not reach statistical significance.</w:t>
      </w:r>
    </w:p>
    <w:p w14:paraId="19329717" w14:textId="77777777" w:rsidR="002B72E4" w:rsidRDefault="002B72E4" w:rsidP="002B72E4">
      <w:pPr>
        <w:rPr>
          <w:rFonts w:cstheme="minorHAnsi"/>
          <w:i/>
          <w:iCs/>
        </w:rPr>
      </w:pPr>
      <w:r w:rsidRPr="00AD4429">
        <w:rPr>
          <w:rFonts w:cstheme="minorHAnsi"/>
        </w:rPr>
        <w:t xml:space="preserve">Likewise, </w:t>
      </w:r>
      <w:r w:rsidRPr="00AD4429">
        <w:rPr>
          <w:lang w:eastAsia="en-AU"/>
        </w:rPr>
        <w:t xml:space="preserve">in the </w:t>
      </w:r>
      <w:r w:rsidRPr="00AD4429">
        <w:rPr>
          <w:rFonts w:cstheme="minorHAnsi"/>
        </w:rPr>
        <w:t>Geis</w:t>
      </w:r>
      <w:r w:rsidRPr="00AD4429">
        <w:rPr>
          <w:lang w:eastAsia="en-AU"/>
        </w:rPr>
        <w:t xml:space="preserve"> (2022)</w:t>
      </w:r>
      <w:r w:rsidRPr="00AD4429">
        <w:rPr>
          <w:rFonts w:cstheme="minorHAnsi"/>
        </w:rPr>
        <w:t xml:space="preserve"> study, there were no statistically significant difference</w:t>
      </w:r>
      <w:r>
        <w:rPr>
          <w:rFonts w:cstheme="minorHAnsi"/>
        </w:rPr>
        <w:t>s</w:t>
      </w:r>
      <w:r w:rsidRPr="00AD4429">
        <w:rPr>
          <w:rFonts w:cstheme="minorHAnsi"/>
        </w:rPr>
        <w:t xml:space="preserve"> between the PASCAL and </w:t>
      </w:r>
      <w:proofErr w:type="spellStart"/>
      <w:r w:rsidRPr="00AD4429">
        <w:rPr>
          <w:rFonts w:cstheme="minorHAnsi"/>
        </w:rPr>
        <w:t>MitraClip</w:t>
      </w:r>
      <w:proofErr w:type="spellEnd"/>
      <w:r w:rsidRPr="00AD4429">
        <w:rPr>
          <w:rFonts w:cstheme="minorHAnsi"/>
        </w:rPr>
        <w:t xml:space="preserve"> groups with respect to technical or procedural success and MR severity at discharge. However the authors claimed that, while at follow-up no statistical difference regarding mild, moderate, or severe MR grades was apparent, the number of patients with no or trace residual MR was significantly higher among patients in the PASCAL intention-to-treat group at either follow-up </w:t>
      </w:r>
      <w:r w:rsidRPr="00AD4429">
        <w:rPr>
          <w:rFonts w:cstheme="minorHAnsi"/>
        </w:rPr>
        <w:lastRenderedPageBreak/>
        <w:t>time point (First follow-up: P = 0.0081; Second follow-up: P = 0.0017).</w:t>
      </w:r>
      <w:r w:rsidRPr="00E6519E">
        <w:rPr>
          <w:rFonts w:cstheme="minorHAnsi"/>
          <w:i/>
          <w:iCs/>
        </w:rPr>
        <w:t xml:space="preserve"> </w:t>
      </w:r>
      <w:r w:rsidRPr="00427322">
        <w:rPr>
          <w:rFonts w:cstheme="minorHAnsi"/>
        </w:rPr>
        <w:t xml:space="preserve">Given the small size of the sample, significant loss to follow-up and </w:t>
      </w:r>
      <w:r w:rsidRPr="00427322">
        <w:t>time-varying confounding, the validity of these results is uncertain.</w:t>
      </w:r>
      <w:r w:rsidRPr="00E6519E">
        <w:rPr>
          <w:rFonts w:cstheme="minorHAnsi"/>
          <w:i/>
          <w:iCs/>
        </w:rPr>
        <w:t xml:space="preserve"> </w:t>
      </w:r>
    </w:p>
    <w:p w14:paraId="5238DE56" w14:textId="59B10044" w:rsidR="00C1377E" w:rsidRDefault="00C1377E" w:rsidP="00C1377E">
      <w:r w:rsidRPr="0019523F">
        <w:rPr>
          <w:rFonts w:cstheme="minorHAnsi"/>
        </w:rPr>
        <w:t xml:space="preserve">In Geis (2022) there was no statistically significant difference between PASCAL and </w:t>
      </w:r>
      <w:proofErr w:type="spellStart"/>
      <w:r w:rsidRPr="0019523F">
        <w:rPr>
          <w:rFonts w:cstheme="minorHAnsi"/>
        </w:rPr>
        <w:t>MitraClip</w:t>
      </w:r>
      <w:proofErr w:type="spellEnd"/>
      <w:r w:rsidRPr="0019523F">
        <w:rPr>
          <w:rFonts w:cstheme="minorHAnsi"/>
        </w:rPr>
        <w:t xml:space="preserve"> patients (ITT sample) in either a </w:t>
      </w:r>
      <w:r w:rsidRPr="0019523F">
        <w:t xml:space="preserve">composite endpoint (death, </w:t>
      </w:r>
      <w:r w:rsidRPr="0019523F">
        <w:rPr>
          <w:rFonts w:cstheme="minorHAnsi"/>
        </w:rPr>
        <w:t>hospitali</w:t>
      </w:r>
      <w:r>
        <w:rPr>
          <w:rFonts w:cstheme="minorHAnsi"/>
        </w:rPr>
        <w:t>s</w:t>
      </w:r>
      <w:r w:rsidRPr="0019523F">
        <w:rPr>
          <w:rFonts w:cstheme="minorHAnsi"/>
        </w:rPr>
        <w:t>ation due to heart failure</w:t>
      </w:r>
      <w:r w:rsidRPr="0019523F">
        <w:t>, and MV re-intervention) or its individual components</w:t>
      </w:r>
      <w:r w:rsidRPr="0019523F">
        <w:rPr>
          <w:rFonts w:cstheme="minorHAnsi"/>
        </w:rPr>
        <w:t xml:space="preserve">. Geis (2022) also conducted </w:t>
      </w:r>
      <w:r>
        <w:rPr>
          <w:rFonts w:cstheme="minorHAnsi"/>
        </w:rPr>
        <w:t xml:space="preserve">a </w:t>
      </w:r>
      <w:r w:rsidRPr="0019523F">
        <w:t>Cox hazard model for the composite endpoint and a set of</w:t>
      </w:r>
      <w:r w:rsidRPr="0019523F">
        <w:rPr>
          <w:rFonts w:cstheme="minorHAnsi"/>
        </w:rPr>
        <w:t xml:space="preserve"> analyses in </w:t>
      </w:r>
      <w:r>
        <w:rPr>
          <w:rFonts w:cstheme="minorHAnsi"/>
        </w:rPr>
        <w:t>propensity score</w:t>
      </w:r>
      <w:r w:rsidRPr="0019523F">
        <w:rPr>
          <w:rFonts w:cstheme="minorHAnsi"/>
        </w:rPr>
        <w:t xml:space="preserve"> matched subgroups (univariate and multivariate logistic regressions) in relation to both the composite endpoint and its individual endpoints: </w:t>
      </w:r>
      <w:r w:rsidRPr="0019523F">
        <w:t xml:space="preserve">death, </w:t>
      </w:r>
      <w:r w:rsidRPr="0019523F">
        <w:rPr>
          <w:rFonts w:cstheme="minorHAnsi"/>
        </w:rPr>
        <w:t>hospitali</w:t>
      </w:r>
      <w:r>
        <w:rPr>
          <w:rFonts w:cstheme="minorHAnsi"/>
        </w:rPr>
        <w:t>s</w:t>
      </w:r>
      <w:r w:rsidRPr="0019523F">
        <w:rPr>
          <w:rFonts w:cstheme="minorHAnsi"/>
        </w:rPr>
        <w:t>ation due to heart failure</w:t>
      </w:r>
      <w:r w:rsidRPr="0019523F">
        <w:t>, and MV re-intervention</w:t>
      </w:r>
      <w:r w:rsidRPr="0019523F">
        <w:rPr>
          <w:rFonts w:cstheme="minorHAnsi"/>
        </w:rPr>
        <w:t xml:space="preserve">. In addition, the difference in proportions of stroke and the degree of absolute MR reduction were investigated. Statistically, there was no significant difference in any of the clinical outcomes between </w:t>
      </w:r>
      <w:proofErr w:type="spellStart"/>
      <w:r w:rsidRPr="0019523F">
        <w:rPr>
          <w:rFonts w:cstheme="minorHAnsi"/>
        </w:rPr>
        <w:t>MitraClip</w:t>
      </w:r>
      <w:proofErr w:type="spellEnd"/>
      <w:r w:rsidRPr="0019523F">
        <w:rPr>
          <w:rFonts w:cstheme="minorHAnsi"/>
        </w:rPr>
        <w:t>-treated and PASCAL-treated groups.</w:t>
      </w:r>
      <w:r w:rsidRPr="0019523F">
        <w:t xml:space="preserve"> Neither of the parameters for sex, age, </w:t>
      </w:r>
      <w:proofErr w:type="spellStart"/>
      <w:r w:rsidRPr="0019523F">
        <w:t>EuroSCORE</w:t>
      </w:r>
      <w:proofErr w:type="spellEnd"/>
      <w:r w:rsidRPr="0019523F">
        <w:t xml:space="preserve"> II, nor the </w:t>
      </w:r>
      <w:proofErr w:type="spellStart"/>
      <w:r w:rsidRPr="0019523F">
        <w:t>TMVr</w:t>
      </w:r>
      <w:proofErr w:type="spellEnd"/>
      <w:r w:rsidRPr="0019523F">
        <w:t xml:space="preserve"> system was found statistically significant in the Cox hazard mode</w:t>
      </w:r>
      <w:r>
        <w:t>l</w:t>
      </w:r>
      <w:r w:rsidRPr="0019523F">
        <w:t>.</w:t>
      </w:r>
    </w:p>
    <w:p w14:paraId="5A35446F" w14:textId="23B997FD" w:rsidR="00BF4105" w:rsidRDefault="00750D64" w:rsidP="00496BC6">
      <w:pPr>
        <w:pStyle w:val="Heading3"/>
      </w:pPr>
      <w:r>
        <w:t>R</w:t>
      </w:r>
      <w:r w:rsidR="00AB18AD">
        <w:t>andomised trials</w:t>
      </w:r>
      <w:r w:rsidR="007108D0">
        <w:t xml:space="preserve"> in the DMR population</w:t>
      </w:r>
      <w:r>
        <w:t xml:space="preserve"> (not evaluated)</w:t>
      </w:r>
    </w:p>
    <w:p w14:paraId="39F0E049" w14:textId="77777777" w:rsidR="00216F0F" w:rsidRDefault="00216F0F" w:rsidP="00216F0F">
      <w:pPr>
        <w:pStyle w:val="Heading4"/>
      </w:pPr>
      <w:r>
        <w:t>MR severity at 6 months in the DMR population</w:t>
      </w:r>
    </w:p>
    <w:p w14:paraId="0A175064" w14:textId="21F2B924" w:rsidR="00F23C63" w:rsidRPr="00496BC6" w:rsidRDefault="00480926" w:rsidP="00F23C63">
      <w:pPr>
        <w:spacing w:after="240"/>
      </w:pPr>
      <w:r>
        <w:fldChar w:fldCharType="begin"/>
      </w:r>
      <w:r>
        <w:instrText xml:space="preserve"> REF _Ref117512699 \h </w:instrText>
      </w:r>
      <w:r>
        <w:fldChar w:fldCharType="separate"/>
      </w:r>
      <w:r>
        <w:t xml:space="preserve">Table </w:t>
      </w:r>
      <w:r>
        <w:rPr>
          <w:noProof/>
        </w:rPr>
        <w:t>17</w:t>
      </w:r>
      <w:r>
        <w:fldChar w:fldCharType="end"/>
      </w:r>
      <w:r>
        <w:t xml:space="preserve"> shows results from the</w:t>
      </w:r>
      <w:r w:rsidR="00F23C63" w:rsidRPr="00496BC6">
        <w:t xml:space="preserve"> CLASP IID of patients with MR severity ≤2+ at 6 months</w:t>
      </w:r>
      <w:r>
        <w:t>.</w:t>
      </w:r>
      <w:r w:rsidR="00F23C63" w:rsidRPr="00496BC6">
        <w:t xml:space="preserve"> </w:t>
      </w:r>
      <w:r w:rsidR="00216F0F">
        <w:t>PASCAL patients had a slightly greater reduction with a difference of</w:t>
      </w:r>
      <w:r w:rsidR="00F23C63" w:rsidRPr="00496BC6">
        <w:t xml:space="preserve"> -0.3%</w:t>
      </w:r>
      <w:r>
        <w:t xml:space="preserve"> however t</w:t>
      </w:r>
      <w:r w:rsidR="00F23C63" w:rsidRPr="00496BC6">
        <w:t>he lower bound of the one-sided confidence interval (6.2%) was within the pre-specified non-inferiority margin of 18%.</w:t>
      </w:r>
    </w:p>
    <w:p w14:paraId="122E9085" w14:textId="1D37DB04" w:rsidR="00882A82" w:rsidRDefault="00BA29BA" w:rsidP="00F23C63">
      <w:pPr>
        <w:spacing w:after="240"/>
        <w:rPr>
          <w:lang w:val="fr-FR"/>
        </w:rPr>
      </w:pPr>
      <w:r>
        <w:t xml:space="preserve">A subset sample of core laboratory evaluated echocardiograms was </w:t>
      </w:r>
      <w:r w:rsidR="00216F0F">
        <w:t>analysed</w:t>
      </w:r>
      <w:r>
        <w:t xml:space="preserve"> to show MR reduction</w:t>
      </w:r>
      <w:r w:rsidR="009E0480">
        <w:t xml:space="preserve"> ≤1+</w:t>
      </w:r>
      <w:r>
        <w:t xml:space="preserve"> at effectiveness endpoints up to 6 months (</w:t>
      </w:r>
      <w:r>
        <w:fldChar w:fldCharType="begin"/>
      </w:r>
      <w:r>
        <w:instrText xml:space="preserve"> REF _Ref117517095 \h </w:instrText>
      </w:r>
      <w:r>
        <w:fldChar w:fldCharType="separate"/>
      </w:r>
      <w:r>
        <w:t xml:space="preserve">Table </w:t>
      </w:r>
      <w:r>
        <w:rPr>
          <w:noProof/>
        </w:rPr>
        <w:t>18</w:t>
      </w:r>
      <w:r>
        <w:fldChar w:fldCharType="end"/>
      </w:r>
      <w:r>
        <w:t xml:space="preserve">). The same subset was used to present results for </w:t>
      </w:r>
      <w:r w:rsidRPr="00496BC6">
        <w:t xml:space="preserve">Functional outcomes (assessed by NYHA class) </w:t>
      </w:r>
      <w:r>
        <w:t>(</w:t>
      </w:r>
      <w:r>
        <w:fldChar w:fldCharType="begin"/>
      </w:r>
      <w:r>
        <w:instrText xml:space="preserve"> REF _Ref117517168 \h </w:instrText>
      </w:r>
      <w:r>
        <w:fldChar w:fldCharType="separate"/>
      </w:r>
      <w:r>
        <w:t xml:space="preserve">Table </w:t>
      </w:r>
      <w:r>
        <w:rPr>
          <w:noProof/>
        </w:rPr>
        <w:t>19</w:t>
      </w:r>
      <w:r>
        <w:fldChar w:fldCharType="end"/>
      </w:r>
      <w:r>
        <w:t>)</w:t>
      </w:r>
      <w:r w:rsidR="00337600">
        <w:t>.</w:t>
      </w:r>
    </w:p>
    <w:p w14:paraId="75757324" w14:textId="06D3B64B" w:rsidR="009E0480" w:rsidRDefault="009E0480" w:rsidP="00F23C63">
      <w:pPr>
        <w:spacing w:after="240"/>
        <w:rPr>
          <w:lang w:val="fr-FR"/>
        </w:rPr>
      </w:pPr>
      <w:r>
        <w:rPr>
          <w:lang w:val="fr-FR"/>
        </w:rPr>
        <w:t>In the PASCAL arm</w:t>
      </w:r>
      <w:r w:rsidR="00B0013C">
        <w:rPr>
          <w:lang w:val="fr-FR"/>
        </w:rPr>
        <w:t>,</w:t>
      </w:r>
      <w:r>
        <w:rPr>
          <w:lang w:val="fr-FR"/>
        </w:rPr>
        <w:t xml:space="preserve"> no </w:t>
      </w:r>
      <w:proofErr w:type="spellStart"/>
      <w:r>
        <w:rPr>
          <w:lang w:val="fr-FR"/>
        </w:rPr>
        <w:t>statistically</w:t>
      </w:r>
      <w:proofErr w:type="spellEnd"/>
      <w:r>
        <w:rPr>
          <w:lang w:val="fr-FR"/>
        </w:rPr>
        <w:t xml:space="preserve"> </w:t>
      </w:r>
      <w:proofErr w:type="spellStart"/>
      <w:r>
        <w:rPr>
          <w:lang w:val="fr-FR"/>
        </w:rPr>
        <w:t>significant</w:t>
      </w:r>
      <w:proofErr w:type="spellEnd"/>
      <w:r>
        <w:rPr>
          <w:lang w:val="fr-FR"/>
        </w:rPr>
        <w:t xml:space="preserve"> </w:t>
      </w:r>
      <w:proofErr w:type="spellStart"/>
      <w:r>
        <w:rPr>
          <w:lang w:val="fr-FR"/>
        </w:rPr>
        <w:t>differences</w:t>
      </w:r>
      <w:proofErr w:type="spellEnd"/>
      <w:r>
        <w:rPr>
          <w:lang w:val="fr-FR"/>
        </w:rPr>
        <w:t xml:space="preserve"> in the proportion of patients </w:t>
      </w:r>
      <w:proofErr w:type="spellStart"/>
      <w:r>
        <w:rPr>
          <w:lang w:val="fr-FR"/>
        </w:rPr>
        <w:t>with</w:t>
      </w:r>
      <w:proofErr w:type="spellEnd"/>
      <w:r>
        <w:rPr>
          <w:lang w:val="fr-FR"/>
        </w:rPr>
        <w:t xml:space="preserve"> MR </w:t>
      </w:r>
      <w:proofErr w:type="spellStart"/>
      <w:r>
        <w:rPr>
          <w:lang w:val="fr-FR"/>
        </w:rPr>
        <w:t>severity</w:t>
      </w:r>
      <w:proofErr w:type="spellEnd"/>
      <w:r>
        <w:rPr>
          <w:lang w:val="fr-FR"/>
        </w:rPr>
        <w:t xml:space="preserve"> </w:t>
      </w:r>
      <w:r>
        <w:t xml:space="preserve">≤1+ were found between discharge and 30-days (p=0.096) and from 30-days to 6-months (p=0.317). However, in the </w:t>
      </w:r>
      <w:proofErr w:type="spellStart"/>
      <w:r>
        <w:t>MitraClip</w:t>
      </w:r>
      <w:proofErr w:type="spellEnd"/>
      <w:r>
        <w:t xml:space="preserve"> arm significant reductions were found in the proportion of patients with MR severity ≤1+ at 30-days from discharge (p=0.014) and between 6-months and 30-days (p=0.003). </w:t>
      </w:r>
      <w:proofErr w:type="spellStart"/>
      <w:r>
        <w:rPr>
          <w:lang w:val="fr-FR"/>
        </w:rPr>
        <w:t>Differences</w:t>
      </w:r>
      <w:proofErr w:type="spellEnd"/>
      <w:r>
        <w:rPr>
          <w:lang w:val="fr-FR"/>
        </w:rPr>
        <w:t xml:space="preserve"> in </w:t>
      </w:r>
      <w:proofErr w:type="spellStart"/>
      <w:r>
        <w:rPr>
          <w:lang w:val="fr-FR"/>
        </w:rPr>
        <w:t>sustained</w:t>
      </w:r>
      <w:proofErr w:type="spellEnd"/>
      <w:r>
        <w:rPr>
          <w:lang w:val="fr-FR"/>
        </w:rPr>
        <w:t xml:space="preserve"> </w:t>
      </w:r>
      <w:proofErr w:type="spellStart"/>
      <w:r>
        <w:rPr>
          <w:lang w:val="fr-FR"/>
        </w:rPr>
        <w:t>reduction</w:t>
      </w:r>
      <w:proofErr w:type="spellEnd"/>
      <w:r>
        <w:rPr>
          <w:lang w:val="fr-FR"/>
        </w:rPr>
        <w:t xml:space="preserve"> of MR </w:t>
      </w:r>
      <w:proofErr w:type="spellStart"/>
      <w:r>
        <w:rPr>
          <w:lang w:val="fr-FR"/>
        </w:rPr>
        <w:t>severity</w:t>
      </w:r>
      <w:proofErr w:type="spellEnd"/>
      <w:r>
        <w:rPr>
          <w:lang w:val="fr-FR"/>
        </w:rPr>
        <w:t xml:space="preserve"> </w:t>
      </w:r>
      <w:proofErr w:type="spellStart"/>
      <w:r>
        <w:rPr>
          <w:lang w:val="fr-FR"/>
        </w:rPr>
        <w:t>between</w:t>
      </w:r>
      <w:proofErr w:type="spellEnd"/>
      <w:r>
        <w:rPr>
          <w:lang w:val="fr-FR"/>
        </w:rPr>
        <w:t xml:space="preserve"> </w:t>
      </w:r>
      <w:proofErr w:type="spellStart"/>
      <w:r>
        <w:rPr>
          <w:lang w:val="fr-FR"/>
        </w:rPr>
        <w:t>arms</w:t>
      </w:r>
      <w:proofErr w:type="spellEnd"/>
      <w:r>
        <w:rPr>
          <w:lang w:val="fr-FR"/>
        </w:rPr>
        <w:t xml:space="preserve"> </w:t>
      </w:r>
      <w:proofErr w:type="spellStart"/>
      <w:r>
        <w:rPr>
          <w:lang w:val="fr-FR"/>
        </w:rPr>
        <w:t>were</w:t>
      </w:r>
      <w:proofErr w:type="spellEnd"/>
      <w:r>
        <w:rPr>
          <w:lang w:val="fr-FR"/>
        </w:rPr>
        <w:t xml:space="preserve"> not </w:t>
      </w:r>
      <w:proofErr w:type="spellStart"/>
      <w:r>
        <w:rPr>
          <w:lang w:val="fr-FR"/>
        </w:rPr>
        <w:t>tested</w:t>
      </w:r>
      <w:proofErr w:type="spellEnd"/>
      <w:r>
        <w:rPr>
          <w:lang w:val="fr-FR"/>
        </w:rPr>
        <w:t>.</w:t>
      </w:r>
    </w:p>
    <w:p w14:paraId="32089324" w14:textId="70983E05" w:rsidR="00480926" w:rsidRDefault="00480926" w:rsidP="00427322">
      <w:pPr>
        <w:pStyle w:val="Caption"/>
      </w:pPr>
      <w:bookmarkStart w:id="60" w:name="_Ref117512699"/>
      <w:r>
        <w:t xml:space="preserve">Table </w:t>
      </w:r>
      <w:fldSimple w:instr=" SEQ Table \* ARABIC ">
        <w:r>
          <w:rPr>
            <w:noProof/>
          </w:rPr>
          <w:t>17</w:t>
        </w:r>
      </w:fldSimple>
      <w:bookmarkEnd w:id="60"/>
      <w:r>
        <w:t xml:space="preserve"> </w:t>
      </w:r>
      <w:r w:rsidRPr="00B933B6">
        <w:t>MR severity ≤ 2+ at 6 months in the DMR population</w:t>
      </w:r>
      <w:r w:rsidR="00AE2C9D">
        <w:t xml:space="preserve"> (</w:t>
      </w:r>
      <w:r w:rsidR="00AE2C9D" w:rsidRPr="00AE2C9D">
        <w:t>CLASP IID</w:t>
      </w:r>
      <w:r w:rsidR="00AE2C9D">
        <w:t>)</w:t>
      </w:r>
    </w:p>
    <w:tbl>
      <w:tblPr>
        <w:tblStyle w:val="TableGrid25"/>
        <w:tblW w:w="5000" w:type="pct"/>
        <w:tblLook w:val="04A0" w:firstRow="1" w:lastRow="0" w:firstColumn="1" w:lastColumn="0" w:noHBand="0" w:noVBand="1"/>
        <w:tblDescription w:val="Percentage of patients with MR grade 2+ or lower"/>
      </w:tblPr>
      <w:tblGrid>
        <w:gridCol w:w="2060"/>
        <w:gridCol w:w="1503"/>
        <w:gridCol w:w="1990"/>
        <w:gridCol w:w="1885"/>
        <w:gridCol w:w="1885"/>
      </w:tblGrid>
      <w:tr w:rsidR="008B735E" w:rsidRPr="005602F8" w14:paraId="17D85B66" w14:textId="0EDD0E5A" w:rsidTr="00496BC6">
        <w:trPr>
          <w:tblHeader/>
        </w:trPr>
        <w:tc>
          <w:tcPr>
            <w:tcW w:w="1105" w:type="pct"/>
            <w:vAlign w:val="center"/>
          </w:tcPr>
          <w:p w14:paraId="40D2572B" w14:textId="58BDE225" w:rsidR="008B735E" w:rsidRPr="00216F0F" w:rsidRDefault="00216F0F" w:rsidP="00216F0F">
            <w:pPr>
              <w:pStyle w:val="Tabletext0"/>
              <w:rPr>
                <w:b/>
                <w:bCs/>
              </w:rPr>
            </w:pPr>
            <w:r w:rsidRPr="00216F0F">
              <w:rPr>
                <w:b/>
                <w:bCs/>
              </w:rPr>
              <w:t>MR Severity</w:t>
            </w:r>
          </w:p>
        </w:tc>
        <w:tc>
          <w:tcPr>
            <w:tcW w:w="806" w:type="pct"/>
            <w:vAlign w:val="center"/>
          </w:tcPr>
          <w:p w14:paraId="66E34BB1" w14:textId="77777777" w:rsidR="008B735E" w:rsidRPr="00216F0F" w:rsidRDefault="008B735E" w:rsidP="00216F0F">
            <w:pPr>
              <w:pStyle w:val="Tabletext0"/>
              <w:rPr>
                <w:b/>
                <w:bCs/>
              </w:rPr>
            </w:pPr>
            <w:r w:rsidRPr="00216F0F">
              <w:rPr>
                <w:b/>
                <w:bCs/>
              </w:rPr>
              <w:t>Follow-up</w:t>
            </w:r>
          </w:p>
        </w:tc>
        <w:tc>
          <w:tcPr>
            <w:tcW w:w="1067" w:type="pct"/>
            <w:vAlign w:val="center"/>
          </w:tcPr>
          <w:p w14:paraId="00DBB831" w14:textId="2F61B99C" w:rsidR="008B735E" w:rsidRPr="00216F0F" w:rsidRDefault="008B735E" w:rsidP="00216F0F">
            <w:pPr>
              <w:pStyle w:val="Tabletext0"/>
              <w:rPr>
                <w:b/>
                <w:bCs/>
              </w:rPr>
            </w:pPr>
            <w:r w:rsidRPr="00216F0F">
              <w:rPr>
                <w:b/>
                <w:bCs/>
              </w:rPr>
              <w:t>PASCAL, % (n/N)</w:t>
            </w:r>
          </w:p>
        </w:tc>
        <w:tc>
          <w:tcPr>
            <w:tcW w:w="1011" w:type="pct"/>
            <w:vAlign w:val="center"/>
          </w:tcPr>
          <w:p w14:paraId="0835ED2C" w14:textId="7E2690C2" w:rsidR="008B735E" w:rsidRPr="00216F0F" w:rsidRDefault="008B735E" w:rsidP="00216F0F">
            <w:pPr>
              <w:pStyle w:val="Tabletext0"/>
              <w:rPr>
                <w:b/>
                <w:bCs/>
              </w:rPr>
            </w:pPr>
            <w:proofErr w:type="spellStart"/>
            <w:r w:rsidRPr="00216F0F">
              <w:rPr>
                <w:b/>
                <w:bCs/>
              </w:rPr>
              <w:t>MitraClip</w:t>
            </w:r>
            <w:proofErr w:type="spellEnd"/>
            <w:r w:rsidRPr="00216F0F">
              <w:rPr>
                <w:b/>
                <w:bCs/>
              </w:rPr>
              <w:t>, % (n/N)</w:t>
            </w:r>
          </w:p>
        </w:tc>
        <w:tc>
          <w:tcPr>
            <w:tcW w:w="1011" w:type="pct"/>
          </w:tcPr>
          <w:p w14:paraId="324CE235" w14:textId="77777777" w:rsidR="008B735E" w:rsidRPr="00216F0F" w:rsidRDefault="008B735E" w:rsidP="00216F0F">
            <w:pPr>
              <w:pStyle w:val="Tabletext0"/>
              <w:rPr>
                <w:b/>
                <w:bCs/>
              </w:rPr>
            </w:pPr>
            <w:r w:rsidRPr="00216F0F">
              <w:rPr>
                <w:b/>
                <w:bCs/>
              </w:rPr>
              <w:t>Difference, %</w:t>
            </w:r>
          </w:p>
          <w:p w14:paraId="517C5561" w14:textId="0D91ED65" w:rsidR="008B735E" w:rsidRPr="00216F0F" w:rsidRDefault="008B735E" w:rsidP="00216F0F">
            <w:pPr>
              <w:pStyle w:val="Tabletext0"/>
              <w:rPr>
                <w:b/>
                <w:bCs/>
              </w:rPr>
            </w:pPr>
            <w:r w:rsidRPr="00216F0F">
              <w:rPr>
                <w:b/>
                <w:bCs/>
              </w:rPr>
              <w:t xml:space="preserve"> (95% LCB)</w:t>
            </w:r>
          </w:p>
        </w:tc>
      </w:tr>
      <w:tr w:rsidR="008B735E" w:rsidRPr="005602F8" w14:paraId="05E8E56B" w14:textId="29E45D68" w:rsidTr="00216F0F">
        <w:trPr>
          <w:trHeight w:val="564"/>
          <w:tblHeader/>
        </w:trPr>
        <w:tc>
          <w:tcPr>
            <w:tcW w:w="1105" w:type="pct"/>
            <w:vAlign w:val="center"/>
          </w:tcPr>
          <w:p w14:paraId="62370FB0" w14:textId="0799977C" w:rsidR="008B735E" w:rsidRPr="00BF4105" w:rsidRDefault="008B735E" w:rsidP="00216F0F">
            <w:pPr>
              <w:pStyle w:val="Tabletext0"/>
              <w:jc w:val="center"/>
            </w:pPr>
            <w:r>
              <w:t>≤2+</w:t>
            </w:r>
          </w:p>
        </w:tc>
        <w:tc>
          <w:tcPr>
            <w:tcW w:w="806" w:type="pct"/>
            <w:vAlign w:val="center"/>
          </w:tcPr>
          <w:p w14:paraId="414BF78D" w14:textId="10643656" w:rsidR="008B735E" w:rsidRPr="00BF4105" w:rsidRDefault="008B735E" w:rsidP="00216F0F">
            <w:pPr>
              <w:pStyle w:val="Tabletext0"/>
              <w:jc w:val="center"/>
            </w:pPr>
            <w:r w:rsidRPr="00BF4105">
              <w:t>6 months</w:t>
            </w:r>
          </w:p>
        </w:tc>
        <w:tc>
          <w:tcPr>
            <w:tcW w:w="1067" w:type="pct"/>
            <w:shd w:val="clear" w:color="auto" w:fill="auto"/>
            <w:vAlign w:val="center"/>
          </w:tcPr>
          <w:p w14:paraId="22A3ECC4" w14:textId="1D8FB698" w:rsidR="008B735E" w:rsidRPr="00BF4105" w:rsidRDefault="008B735E" w:rsidP="00216F0F">
            <w:pPr>
              <w:pStyle w:val="Tabletext0"/>
              <w:jc w:val="center"/>
            </w:pPr>
            <w:r w:rsidRPr="00BF4105">
              <w:t>9</w:t>
            </w:r>
            <w:r>
              <w:t>6.5 (110/114)</w:t>
            </w:r>
          </w:p>
        </w:tc>
        <w:tc>
          <w:tcPr>
            <w:tcW w:w="1011" w:type="pct"/>
            <w:shd w:val="clear" w:color="auto" w:fill="auto"/>
            <w:vAlign w:val="center"/>
          </w:tcPr>
          <w:p w14:paraId="05BEDB1F" w14:textId="15D878B5" w:rsidR="008B735E" w:rsidRPr="00BF4105" w:rsidRDefault="008B735E" w:rsidP="00216F0F">
            <w:pPr>
              <w:pStyle w:val="Tabletext0"/>
              <w:jc w:val="center"/>
            </w:pPr>
            <w:r>
              <w:t>96.8 (60/62)</w:t>
            </w:r>
          </w:p>
        </w:tc>
        <w:tc>
          <w:tcPr>
            <w:tcW w:w="1011" w:type="pct"/>
            <w:vAlign w:val="center"/>
          </w:tcPr>
          <w:p w14:paraId="38E0193A" w14:textId="76F6353C" w:rsidR="008B735E" w:rsidRDefault="008B735E" w:rsidP="00216F0F">
            <w:pPr>
              <w:pStyle w:val="Tabletext0"/>
              <w:jc w:val="center"/>
            </w:pPr>
            <w:r>
              <w:t>-0.3 (-6.2)</w:t>
            </w:r>
          </w:p>
        </w:tc>
      </w:tr>
    </w:tbl>
    <w:p w14:paraId="1F2EDD57" w14:textId="77777777" w:rsidR="00AD34F5" w:rsidRPr="00DE508B" w:rsidRDefault="008B735E" w:rsidP="00427322">
      <w:pPr>
        <w:pStyle w:val="Tablenotes0"/>
      </w:pPr>
      <w:r w:rsidRPr="00DE508B">
        <w:t>LCB= one-sided 95% lower confidence band</w:t>
      </w:r>
    </w:p>
    <w:p w14:paraId="55E23851" w14:textId="7F3818B2" w:rsidR="00AD34F5" w:rsidRPr="00005BEB" w:rsidRDefault="00AD34F5" w:rsidP="00005BEB">
      <w:pPr>
        <w:pStyle w:val="Tablenotes0"/>
      </w:pPr>
      <w:r w:rsidRPr="00DE508B">
        <w:t xml:space="preserve">Source: </w:t>
      </w:r>
      <w:r w:rsidRPr="00427322">
        <w:t>Pre-ESC response by Applicant, Lim (2022)</w:t>
      </w:r>
    </w:p>
    <w:p w14:paraId="7B4E1E80" w14:textId="332DFF18" w:rsidR="00C76010" w:rsidRDefault="00C76010" w:rsidP="00427322">
      <w:pPr>
        <w:pStyle w:val="Caption"/>
      </w:pPr>
      <w:bookmarkStart w:id="61" w:name="_Ref117517095"/>
      <w:r>
        <w:t xml:space="preserve">Table </w:t>
      </w:r>
      <w:fldSimple w:instr=" SEQ Table \* ARABIC ">
        <w:r>
          <w:rPr>
            <w:noProof/>
          </w:rPr>
          <w:t>18</w:t>
        </w:r>
      </w:fldSimple>
      <w:bookmarkEnd w:id="61"/>
      <w:r>
        <w:t xml:space="preserve"> MR reduction in DMR population (core lab</w:t>
      </w:r>
      <w:r w:rsidR="007512A8" w:rsidRPr="00427322">
        <w:rPr>
          <w:vertAlign w:val="superscript"/>
        </w:rPr>
        <w:t>#</w:t>
      </w:r>
      <w:r>
        <w:t xml:space="preserve"> sample)</w:t>
      </w:r>
    </w:p>
    <w:tbl>
      <w:tblPr>
        <w:tblStyle w:val="Style2"/>
        <w:tblW w:w="5000" w:type="pct"/>
        <w:tblBorders>
          <w:left w:val="single" w:sz="4" w:space="0" w:color="auto"/>
          <w:right w:val="single" w:sz="4" w:space="0" w:color="auto"/>
          <w:insideV w:val="single" w:sz="4" w:space="0" w:color="auto"/>
        </w:tblBorders>
        <w:tblLook w:val="04A0" w:firstRow="1" w:lastRow="0" w:firstColumn="1" w:lastColumn="0" w:noHBand="0" w:noVBand="1"/>
      </w:tblPr>
      <w:tblGrid>
        <w:gridCol w:w="2150"/>
        <w:gridCol w:w="891"/>
        <w:gridCol w:w="1009"/>
        <w:gridCol w:w="764"/>
        <w:gridCol w:w="912"/>
        <w:gridCol w:w="891"/>
        <w:gridCol w:w="1009"/>
        <w:gridCol w:w="768"/>
        <w:gridCol w:w="929"/>
      </w:tblGrid>
      <w:tr w:rsidR="00337600" w:rsidRPr="00AD34F5" w14:paraId="1AC99E30" w14:textId="77777777" w:rsidTr="00216F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53" w:type="pct"/>
            <w:shd w:val="clear" w:color="auto" w:fill="FFFFFF" w:themeFill="background1"/>
          </w:tcPr>
          <w:p w14:paraId="14960465" w14:textId="77777777" w:rsidR="00AD34F5" w:rsidRPr="00DE508B" w:rsidRDefault="00AD34F5" w:rsidP="00216F0F">
            <w:pPr>
              <w:pStyle w:val="Tabletext0"/>
              <w:jc w:val="center"/>
            </w:pPr>
            <w:r w:rsidRPr="00427322">
              <w:t>MR severity</w:t>
            </w:r>
          </w:p>
        </w:tc>
        <w:tc>
          <w:tcPr>
            <w:tcW w:w="1918" w:type="pct"/>
            <w:gridSpan w:val="4"/>
            <w:shd w:val="clear" w:color="auto" w:fill="FFFFFF" w:themeFill="background1"/>
          </w:tcPr>
          <w:p w14:paraId="5A334B5E" w14:textId="2588D533" w:rsidR="00AD34F5" w:rsidRPr="00DE508B" w:rsidRDefault="00456169" w:rsidP="00216F0F">
            <w:pPr>
              <w:pStyle w:val="Tabletext0"/>
              <w:jc w:val="center"/>
              <w:cnfStyle w:val="100000000000" w:firstRow="1" w:lastRow="0" w:firstColumn="0" w:lastColumn="0" w:oddVBand="0" w:evenVBand="0" w:oddHBand="0" w:evenHBand="0" w:firstRowFirstColumn="0" w:firstRowLastColumn="0" w:lastRowFirstColumn="0" w:lastRowLastColumn="0"/>
            </w:pPr>
            <w:r>
              <w:t>PASCAL</w:t>
            </w:r>
            <w:r w:rsidR="007512A8">
              <w:t>, % (N=86)</w:t>
            </w:r>
          </w:p>
        </w:tc>
        <w:tc>
          <w:tcPr>
            <w:tcW w:w="1929" w:type="pct"/>
            <w:gridSpan w:val="4"/>
            <w:shd w:val="clear" w:color="auto" w:fill="FFFFFF" w:themeFill="background1"/>
          </w:tcPr>
          <w:p w14:paraId="7CDF3A39" w14:textId="58F89389" w:rsidR="00AD34F5" w:rsidRPr="00DE508B" w:rsidRDefault="00456169" w:rsidP="00216F0F">
            <w:pPr>
              <w:pStyle w:val="Tabletext0"/>
              <w:jc w:val="center"/>
              <w:cnfStyle w:val="100000000000" w:firstRow="1" w:lastRow="0" w:firstColumn="0" w:lastColumn="0" w:oddVBand="0" w:evenVBand="0" w:oddHBand="0" w:evenHBand="0" w:firstRowFirstColumn="0" w:firstRowLastColumn="0" w:lastRowFirstColumn="0" w:lastRowLastColumn="0"/>
            </w:pPr>
            <w:proofErr w:type="spellStart"/>
            <w:r>
              <w:t>MitraClip</w:t>
            </w:r>
            <w:proofErr w:type="spellEnd"/>
            <w:r w:rsidR="007512A8">
              <w:t>, % (N=52)</w:t>
            </w:r>
          </w:p>
        </w:tc>
      </w:tr>
      <w:tr w:rsidR="001B21D3" w:rsidRPr="00AD34F5" w14:paraId="775D7531" w14:textId="77777777" w:rsidTr="00216F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53" w:type="pct"/>
            <w:shd w:val="clear" w:color="auto" w:fill="FFFFFF" w:themeFill="background1"/>
          </w:tcPr>
          <w:p w14:paraId="43C6461E" w14:textId="20ECC6BD" w:rsidR="00456169" w:rsidRPr="00DE508B" w:rsidRDefault="00456169" w:rsidP="00216F0F">
            <w:pPr>
              <w:pStyle w:val="Tabletext0"/>
              <w:jc w:val="center"/>
            </w:pPr>
          </w:p>
        </w:tc>
        <w:tc>
          <w:tcPr>
            <w:tcW w:w="478" w:type="pct"/>
            <w:shd w:val="clear" w:color="auto" w:fill="FFFFFF" w:themeFill="background1"/>
          </w:tcPr>
          <w:p w14:paraId="67D8AA84" w14:textId="5C95154E" w:rsidR="00456169" w:rsidRPr="00AD34F5" w:rsidRDefault="00456169" w:rsidP="00216F0F">
            <w:pPr>
              <w:pStyle w:val="Tabletext0"/>
              <w:jc w:val="center"/>
              <w:cnfStyle w:val="100000000000" w:firstRow="1" w:lastRow="0" w:firstColumn="0" w:lastColumn="0" w:oddVBand="0" w:evenVBand="0" w:oddHBand="0" w:evenHBand="0" w:firstRowFirstColumn="0" w:firstRowLastColumn="0" w:lastRowFirstColumn="0" w:lastRowLastColumn="0"/>
            </w:pPr>
            <w:r>
              <w:t>Baseline</w:t>
            </w:r>
          </w:p>
        </w:tc>
        <w:tc>
          <w:tcPr>
            <w:tcW w:w="541" w:type="pct"/>
            <w:shd w:val="clear" w:color="auto" w:fill="FFFFFF" w:themeFill="background1"/>
          </w:tcPr>
          <w:p w14:paraId="7E128761" w14:textId="4B12DD46" w:rsidR="00456169" w:rsidRPr="00AD34F5" w:rsidRDefault="00456169" w:rsidP="00216F0F">
            <w:pPr>
              <w:pStyle w:val="Tabletext0"/>
              <w:jc w:val="center"/>
              <w:cnfStyle w:val="100000000000" w:firstRow="1" w:lastRow="0" w:firstColumn="0" w:lastColumn="0" w:oddVBand="0" w:evenVBand="0" w:oddHBand="0" w:evenHBand="0" w:firstRowFirstColumn="0" w:firstRowLastColumn="0" w:lastRowFirstColumn="0" w:lastRowLastColumn="0"/>
            </w:pPr>
            <w:r>
              <w:t>Discharge</w:t>
            </w:r>
          </w:p>
        </w:tc>
        <w:tc>
          <w:tcPr>
            <w:tcW w:w="410" w:type="pct"/>
            <w:shd w:val="clear" w:color="auto" w:fill="FFFFFF" w:themeFill="background1"/>
          </w:tcPr>
          <w:p w14:paraId="7FD5BF2D" w14:textId="6A7934C0" w:rsidR="00456169" w:rsidRPr="00AD34F5" w:rsidRDefault="00456169" w:rsidP="00216F0F">
            <w:pPr>
              <w:pStyle w:val="Tabletext0"/>
              <w:jc w:val="center"/>
              <w:cnfStyle w:val="100000000000" w:firstRow="1" w:lastRow="0" w:firstColumn="0" w:lastColumn="0" w:oddVBand="0" w:evenVBand="0" w:oddHBand="0" w:evenHBand="0" w:firstRowFirstColumn="0" w:firstRowLastColumn="0" w:lastRowFirstColumn="0" w:lastRowLastColumn="0"/>
            </w:pPr>
            <w:r>
              <w:t>30-day</w:t>
            </w:r>
          </w:p>
        </w:tc>
        <w:tc>
          <w:tcPr>
            <w:tcW w:w="489" w:type="pct"/>
            <w:shd w:val="clear" w:color="auto" w:fill="FFFFFF" w:themeFill="background1"/>
          </w:tcPr>
          <w:p w14:paraId="287CCCF5" w14:textId="22FBF521" w:rsidR="00456169" w:rsidRPr="00DE508B" w:rsidRDefault="00456169" w:rsidP="00216F0F">
            <w:pPr>
              <w:pStyle w:val="Tabletext0"/>
              <w:jc w:val="center"/>
              <w:cnfStyle w:val="100000000000" w:firstRow="1" w:lastRow="0" w:firstColumn="0" w:lastColumn="0" w:oddVBand="0" w:evenVBand="0" w:oddHBand="0" w:evenHBand="0" w:firstRowFirstColumn="0" w:firstRowLastColumn="0" w:lastRowFirstColumn="0" w:lastRowLastColumn="0"/>
            </w:pPr>
            <w:r>
              <w:t>6-month</w:t>
            </w:r>
          </w:p>
        </w:tc>
        <w:tc>
          <w:tcPr>
            <w:tcW w:w="478" w:type="pct"/>
            <w:shd w:val="clear" w:color="auto" w:fill="FFFFFF" w:themeFill="background1"/>
          </w:tcPr>
          <w:p w14:paraId="3F578B93" w14:textId="379BC5E8" w:rsidR="00456169" w:rsidRPr="00AD34F5" w:rsidRDefault="00456169" w:rsidP="00216F0F">
            <w:pPr>
              <w:pStyle w:val="Tabletext0"/>
              <w:jc w:val="center"/>
              <w:cnfStyle w:val="100000000000" w:firstRow="1" w:lastRow="0" w:firstColumn="0" w:lastColumn="0" w:oddVBand="0" w:evenVBand="0" w:oddHBand="0" w:evenHBand="0" w:firstRowFirstColumn="0" w:firstRowLastColumn="0" w:lastRowFirstColumn="0" w:lastRowLastColumn="0"/>
            </w:pPr>
            <w:r>
              <w:t>Baseline</w:t>
            </w:r>
          </w:p>
        </w:tc>
        <w:tc>
          <w:tcPr>
            <w:tcW w:w="541" w:type="pct"/>
            <w:shd w:val="clear" w:color="auto" w:fill="FFFFFF" w:themeFill="background1"/>
          </w:tcPr>
          <w:p w14:paraId="1C926809" w14:textId="6E04187D" w:rsidR="00456169" w:rsidRPr="00AD34F5" w:rsidRDefault="00456169" w:rsidP="00216F0F">
            <w:pPr>
              <w:pStyle w:val="Tabletext0"/>
              <w:jc w:val="center"/>
              <w:cnfStyle w:val="100000000000" w:firstRow="1" w:lastRow="0" w:firstColumn="0" w:lastColumn="0" w:oddVBand="0" w:evenVBand="0" w:oddHBand="0" w:evenHBand="0" w:firstRowFirstColumn="0" w:firstRowLastColumn="0" w:lastRowFirstColumn="0" w:lastRowLastColumn="0"/>
            </w:pPr>
            <w:r>
              <w:t>Discharge</w:t>
            </w:r>
          </w:p>
        </w:tc>
        <w:tc>
          <w:tcPr>
            <w:tcW w:w="412" w:type="pct"/>
            <w:shd w:val="clear" w:color="auto" w:fill="FFFFFF" w:themeFill="background1"/>
          </w:tcPr>
          <w:p w14:paraId="37ADEEBF" w14:textId="2D314B70" w:rsidR="00456169" w:rsidRPr="00AD34F5" w:rsidRDefault="00456169" w:rsidP="00216F0F">
            <w:pPr>
              <w:pStyle w:val="Tabletext0"/>
              <w:jc w:val="center"/>
              <w:cnfStyle w:val="100000000000" w:firstRow="1" w:lastRow="0" w:firstColumn="0" w:lastColumn="0" w:oddVBand="0" w:evenVBand="0" w:oddHBand="0" w:evenHBand="0" w:firstRowFirstColumn="0" w:firstRowLastColumn="0" w:lastRowFirstColumn="0" w:lastRowLastColumn="0"/>
            </w:pPr>
            <w:r>
              <w:t>30-day</w:t>
            </w:r>
          </w:p>
        </w:tc>
        <w:tc>
          <w:tcPr>
            <w:tcW w:w="498" w:type="pct"/>
            <w:shd w:val="clear" w:color="auto" w:fill="FFFFFF" w:themeFill="background1"/>
          </w:tcPr>
          <w:p w14:paraId="56CFA799" w14:textId="2FB62D35" w:rsidR="00456169" w:rsidRPr="00DE508B" w:rsidRDefault="00456169" w:rsidP="00216F0F">
            <w:pPr>
              <w:pStyle w:val="Tabletext0"/>
              <w:jc w:val="center"/>
              <w:cnfStyle w:val="100000000000" w:firstRow="1" w:lastRow="0" w:firstColumn="0" w:lastColumn="0" w:oddVBand="0" w:evenVBand="0" w:oddHBand="0" w:evenHBand="0" w:firstRowFirstColumn="0" w:firstRowLastColumn="0" w:lastRowFirstColumn="0" w:lastRowLastColumn="0"/>
            </w:pPr>
            <w:r>
              <w:t>6-month</w:t>
            </w:r>
          </w:p>
        </w:tc>
      </w:tr>
      <w:tr w:rsidR="001B21D3" w:rsidRPr="00AD34F5" w14:paraId="33ADB790" w14:textId="77777777" w:rsidTr="00216F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53" w:type="pct"/>
            <w:shd w:val="clear" w:color="auto" w:fill="FFFFFF" w:themeFill="background1"/>
          </w:tcPr>
          <w:p w14:paraId="5765C61F" w14:textId="4DA13737" w:rsidR="00456169" w:rsidRPr="00427322" w:rsidRDefault="00456169" w:rsidP="00216F0F">
            <w:pPr>
              <w:pStyle w:val="Tabletext0"/>
              <w:jc w:val="center"/>
              <w:rPr>
                <w:b w:val="0"/>
              </w:rPr>
            </w:pPr>
            <w:r w:rsidRPr="00427322">
              <w:rPr>
                <w:b w:val="0"/>
              </w:rPr>
              <w:t>None/trace or mild (0-1+)</w:t>
            </w:r>
          </w:p>
        </w:tc>
        <w:tc>
          <w:tcPr>
            <w:tcW w:w="478" w:type="pct"/>
            <w:shd w:val="clear" w:color="auto" w:fill="FFFFFF" w:themeFill="background1"/>
          </w:tcPr>
          <w:p w14:paraId="4C5423B9" w14:textId="264B358A" w:rsidR="00456169" w:rsidRPr="00427322" w:rsidRDefault="00456169" w:rsidP="00216F0F">
            <w:pPr>
              <w:pStyle w:val="Tabletext0"/>
              <w:jc w:val="center"/>
              <w:cnfStyle w:val="100000000000" w:firstRow="1" w:lastRow="0" w:firstColumn="0" w:lastColumn="0" w:oddVBand="0" w:evenVBand="0" w:oddHBand="0" w:evenHBand="0" w:firstRowFirstColumn="0" w:firstRowLastColumn="0" w:lastRowFirstColumn="0" w:lastRowLastColumn="0"/>
              <w:rPr>
                <w:b w:val="0"/>
              </w:rPr>
            </w:pPr>
            <w:r w:rsidRPr="00427322">
              <w:rPr>
                <w:b w:val="0"/>
              </w:rPr>
              <w:t>0</w:t>
            </w:r>
          </w:p>
        </w:tc>
        <w:tc>
          <w:tcPr>
            <w:tcW w:w="541" w:type="pct"/>
            <w:shd w:val="clear" w:color="auto" w:fill="FFFFFF" w:themeFill="background1"/>
          </w:tcPr>
          <w:p w14:paraId="52EB537C" w14:textId="06457292" w:rsidR="00456169" w:rsidRPr="00427322" w:rsidRDefault="00800C9C" w:rsidP="00216F0F">
            <w:pPr>
              <w:pStyle w:val="Tabletext0"/>
              <w:jc w:val="center"/>
              <w:cnfStyle w:val="100000000000" w:firstRow="1" w:lastRow="0" w:firstColumn="0" w:lastColumn="0" w:oddVBand="0" w:evenVBand="0" w:oddHBand="0" w:evenHBand="0" w:firstRowFirstColumn="0" w:firstRowLastColumn="0" w:lastRowFirstColumn="0" w:lastRowLastColumn="0"/>
              <w:rPr>
                <w:b w:val="0"/>
              </w:rPr>
            </w:pPr>
            <w:r w:rsidRPr="00427322">
              <w:rPr>
                <w:b w:val="0"/>
              </w:rPr>
              <w:t>87.2</w:t>
            </w:r>
          </w:p>
        </w:tc>
        <w:tc>
          <w:tcPr>
            <w:tcW w:w="410" w:type="pct"/>
            <w:shd w:val="clear" w:color="auto" w:fill="FFFFFF" w:themeFill="background1"/>
          </w:tcPr>
          <w:p w14:paraId="0AF81685" w14:textId="5BA154DA" w:rsidR="00456169" w:rsidRPr="00427322" w:rsidRDefault="00800C9C" w:rsidP="00216F0F">
            <w:pPr>
              <w:pStyle w:val="Tabletext0"/>
              <w:jc w:val="center"/>
              <w:cnfStyle w:val="100000000000" w:firstRow="1" w:lastRow="0" w:firstColumn="0" w:lastColumn="0" w:oddVBand="0" w:evenVBand="0" w:oddHBand="0" w:evenHBand="0" w:firstRowFirstColumn="0" w:firstRowLastColumn="0" w:lastRowFirstColumn="0" w:lastRowLastColumn="0"/>
              <w:rPr>
                <w:b w:val="0"/>
              </w:rPr>
            </w:pPr>
            <w:r w:rsidRPr="00427322">
              <w:rPr>
                <w:b w:val="0"/>
              </w:rPr>
              <w:t>81.4</w:t>
            </w:r>
          </w:p>
        </w:tc>
        <w:tc>
          <w:tcPr>
            <w:tcW w:w="489" w:type="pct"/>
            <w:shd w:val="clear" w:color="auto" w:fill="FFFFFF" w:themeFill="background1"/>
          </w:tcPr>
          <w:p w14:paraId="766E6DB2" w14:textId="6CB17418" w:rsidR="00456169" w:rsidRPr="00427322" w:rsidRDefault="00800C9C" w:rsidP="00216F0F">
            <w:pPr>
              <w:pStyle w:val="Tabletext0"/>
              <w:jc w:val="center"/>
              <w:cnfStyle w:val="100000000000" w:firstRow="1" w:lastRow="0" w:firstColumn="0" w:lastColumn="0" w:oddVBand="0" w:evenVBand="0" w:oddHBand="0" w:evenHBand="0" w:firstRowFirstColumn="0" w:firstRowLastColumn="0" w:lastRowFirstColumn="0" w:lastRowLastColumn="0"/>
              <w:rPr>
                <w:b w:val="0"/>
              </w:rPr>
            </w:pPr>
            <w:r w:rsidRPr="00427322">
              <w:rPr>
                <w:b w:val="0"/>
              </w:rPr>
              <w:t>83.7</w:t>
            </w:r>
          </w:p>
        </w:tc>
        <w:tc>
          <w:tcPr>
            <w:tcW w:w="478" w:type="pct"/>
            <w:shd w:val="clear" w:color="auto" w:fill="FFFFFF" w:themeFill="background1"/>
          </w:tcPr>
          <w:p w14:paraId="79E9739C" w14:textId="1AC98CE0" w:rsidR="00456169" w:rsidRPr="00427322" w:rsidRDefault="00800C9C" w:rsidP="00216F0F">
            <w:pPr>
              <w:pStyle w:val="Tabletext0"/>
              <w:jc w:val="center"/>
              <w:cnfStyle w:val="100000000000" w:firstRow="1" w:lastRow="0" w:firstColumn="0" w:lastColumn="0" w:oddVBand="0" w:evenVBand="0" w:oddHBand="0" w:evenHBand="0" w:firstRowFirstColumn="0" w:firstRowLastColumn="0" w:lastRowFirstColumn="0" w:lastRowLastColumn="0"/>
              <w:rPr>
                <w:b w:val="0"/>
              </w:rPr>
            </w:pPr>
            <w:r w:rsidRPr="00427322">
              <w:rPr>
                <w:b w:val="0"/>
              </w:rPr>
              <w:t>0.0</w:t>
            </w:r>
          </w:p>
        </w:tc>
        <w:tc>
          <w:tcPr>
            <w:tcW w:w="541" w:type="pct"/>
            <w:shd w:val="clear" w:color="auto" w:fill="FFFFFF" w:themeFill="background1"/>
          </w:tcPr>
          <w:p w14:paraId="0C050FC0" w14:textId="374992F3" w:rsidR="00456169" w:rsidRPr="00427322" w:rsidRDefault="00800C9C" w:rsidP="00216F0F">
            <w:pPr>
              <w:pStyle w:val="Tabletext0"/>
              <w:jc w:val="center"/>
              <w:cnfStyle w:val="100000000000" w:firstRow="1" w:lastRow="0" w:firstColumn="0" w:lastColumn="0" w:oddVBand="0" w:evenVBand="0" w:oddHBand="0" w:evenHBand="0" w:firstRowFirstColumn="0" w:firstRowLastColumn="0" w:lastRowFirstColumn="0" w:lastRowLastColumn="0"/>
              <w:rPr>
                <w:b w:val="0"/>
              </w:rPr>
            </w:pPr>
            <w:r w:rsidRPr="00427322">
              <w:rPr>
                <w:b w:val="0"/>
              </w:rPr>
              <w:t>88.5</w:t>
            </w:r>
          </w:p>
        </w:tc>
        <w:tc>
          <w:tcPr>
            <w:tcW w:w="412" w:type="pct"/>
            <w:shd w:val="clear" w:color="auto" w:fill="FFFFFF" w:themeFill="background1"/>
          </w:tcPr>
          <w:p w14:paraId="3939F7C4" w14:textId="3B9A00D8" w:rsidR="00456169" w:rsidRPr="00427322" w:rsidRDefault="00800C9C" w:rsidP="00216F0F">
            <w:pPr>
              <w:pStyle w:val="Tabletext0"/>
              <w:jc w:val="center"/>
              <w:cnfStyle w:val="100000000000" w:firstRow="1" w:lastRow="0" w:firstColumn="0" w:lastColumn="0" w:oddVBand="0" w:evenVBand="0" w:oddHBand="0" w:evenHBand="0" w:firstRowFirstColumn="0" w:firstRowLastColumn="0" w:lastRowFirstColumn="0" w:lastRowLastColumn="0"/>
              <w:rPr>
                <w:b w:val="0"/>
              </w:rPr>
            </w:pPr>
            <w:r w:rsidRPr="00427322">
              <w:rPr>
                <w:b w:val="0"/>
              </w:rPr>
              <w:t>76.9</w:t>
            </w:r>
          </w:p>
        </w:tc>
        <w:tc>
          <w:tcPr>
            <w:tcW w:w="498" w:type="pct"/>
            <w:shd w:val="clear" w:color="auto" w:fill="FFFFFF" w:themeFill="background1"/>
          </w:tcPr>
          <w:p w14:paraId="05734F16" w14:textId="18EF5872" w:rsidR="00456169" w:rsidRPr="00427322" w:rsidRDefault="00800C9C" w:rsidP="00216F0F">
            <w:pPr>
              <w:pStyle w:val="Tabletext0"/>
              <w:jc w:val="center"/>
              <w:cnfStyle w:val="100000000000" w:firstRow="1" w:lastRow="0" w:firstColumn="0" w:lastColumn="0" w:oddVBand="0" w:evenVBand="0" w:oddHBand="0" w:evenHBand="0" w:firstRowFirstColumn="0" w:firstRowLastColumn="0" w:lastRowFirstColumn="0" w:lastRowLastColumn="0"/>
              <w:rPr>
                <w:b w:val="0"/>
              </w:rPr>
            </w:pPr>
            <w:r w:rsidRPr="00427322">
              <w:rPr>
                <w:b w:val="0"/>
              </w:rPr>
              <w:t>71.2</w:t>
            </w:r>
          </w:p>
        </w:tc>
      </w:tr>
      <w:tr w:rsidR="001B21D3" w:rsidRPr="00AD34F5" w14:paraId="41AA7FC2" w14:textId="77777777" w:rsidTr="00216F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53" w:type="pct"/>
            <w:shd w:val="clear" w:color="auto" w:fill="FFFFFF" w:themeFill="background1"/>
          </w:tcPr>
          <w:p w14:paraId="2A67EE79" w14:textId="7E340DE4" w:rsidR="00456169" w:rsidRPr="00427322" w:rsidRDefault="00800C9C" w:rsidP="00216F0F">
            <w:pPr>
              <w:pStyle w:val="Tabletext0"/>
              <w:jc w:val="center"/>
              <w:rPr>
                <w:b w:val="0"/>
              </w:rPr>
            </w:pPr>
            <w:r w:rsidRPr="00427322">
              <w:rPr>
                <w:b w:val="0"/>
              </w:rPr>
              <w:t>≥2+</w:t>
            </w:r>
          </w:p>
        </w:tc>
        <w:tc>
          <w:tcPr>
            <w:tcW w:w="478" w:type="pct"/>
            <w:shd w:val="clear" w:color="auto" w:fill="FFFFFF" w:themeFill="background1"/>
          </w:tcPr>
          <w:p w14:paraId="70D2F284" w14:textId="56A28B5F" w:rsidR="00456169" w:rsidRPr="00427322" w:rsidRDefault="00800C9C" w:rsidP="00216F0F">
            <w:pPr>
              <w:pStyle w:val="Tabletext0"/>
              <w:jc w:val="center"/>
              <w:cnfStyle w:val="100000000000" w:firstRow="1" w:lastRow="0" w:firstColumn="0" w:lastColumn="0" w:oddVBand="0" w:evenVBand="0" w:oddHBand="0" w:evenHBand="0" w:firstRowFirstColumn="0" w:firstRowLastColumn="0" w:lastRowFirstColumn="0" w:lastRowLastColumn="0"/>
              <w:rPr>
                <w:b w:val="0"/>
              </w:rPr>
            </w:pPr>
            <w:r w:rsidRPr="00427322">
              <w:rPr>
                <w:b w:val="0"/>
              </w:rPr>
              <w:t>100.0</w:t>
            </w:r>
          </w:p>
        </w:tc>
        <w:tc>
          <w:tcPr>
            <w:tcW w:w="541" w:type="pct"/>
            <w:shd w:val="clear" w:color="auto" w:fill="FFFFFF" w:themeFill="background1"/>
          </w:tcPr>
          <w:p w14:paraId="67AE9F59" w14:textId="16EF2554" w:rsidR="00456169" w:rsidRPr="00427322" w:rsidRDefault="00800C9C" w:rsidP="00216F0F">
            <w:pPr>
              <w:pStyle w:val="Tabletext0"/>
              <w:jc w:val="center"/>
              <w:cnfStyle w:val="100000000000" w:firstRow="1" w:lastRow="0" w:firstColumn="0" w:lastColumn="0" w:oddVBand="0" w:evenVBand="0" w:oddHBand="0" w:evenHBand="0" w:firstRowFirstColumn="0" w:firstRowLastColumn="0" w:lastRowFirstColumn="0" w:lastRowLastColumn="0"/>
              <w:rPr>
                <w:b w:val="0"/>
              </w:rPr>
            </w:pPr>
            <w:r w:rsidRPr="00427322">
              <w:rPr>
                <w:b w:val="0"/>
              </w:rPr>
              <w:t>12.8</w:t>
            </w:r>
          </w:p>
        </w:tc>
        <w:tc>
          <w:tcPr>
            <w:tcW w:w="410" w:type="pct"/>
            <w:shd w:val="clear" w:color="auto" w:fill="FFFFFF" w:themeFill="background1"/>
          </w:tcPr>
          <w:p w14:paraId="178EE8CE" w14:textId="597135FD" w:rsidR="00456169" w:rsidRPr="00427322" w:rsidRDefault="00800C9C" w:rsidP="00216F0F">
            <w:pPr>
              <w:pStyle w:val="Tabletext0"/>
              <w:jc w:val="center"/>
              <w:cnfStyle w:val="100000000000" w:firstRow="1" w:lastRow="0" w:firstColumn="0" w:lastColumn="0" w:oddVBand="0" w:evenVBand="0" w:oddHBand="0" w:evenHBand="0" w:firstRowFirstColumn="0" w:firstRowLastColumn="0" w:lastRowFirstColumn="0" w:lastRowLastColumn="0"/>
              <w:rPr>
                <w:b w:val="0"/>
              </w:rPr>
            </w:pPr>
            <w:r w:rsidRPr="00427322">
              <w:rPr>
                <w:b w:val="0"/>
              </w:rPr>
              <w:t>18.6</w:t>
            </w:r>
          </w:p>
        </w:tc>
        <w:tc>
          <w:tcPr>
            <w:tcW w:w="489" w:type="pct"/>
            <w:shd w:val="clear" w:color="auto" w:fill="FFFFFF" w:themeFill="background1"/>
          </w:tcPr>
          <w:p w14:paraId="703465A8" w14:textId="4A0A4E85" w:rsidR="00456169" w:rsidRPr="00427322" w:rsidRDefault="00800C9C" w:rsidP="00216F0F">
            <w:pPr>
              <w:pStyle w:val="Tabletext0"/>
              <w:jc w:val="center"/>
              <w:cnfStyle w:val="100000000000" w:firstRow="1" w:lastRow="0" w:firstColumn="0" w:lastColumn="0" w:oddVBand="0" w:evenVBand="0" w:oddHBand="0" w:evenHBand="0" w:firstRowFirstColumn="0" w:firstRowLastColumn="0" w:lastRowFirstColumn="0" w:lastRowLastColumn="0"/>
              <w:rPr>
                <w:b w:val="0"/>
              </w:rPr>
            </w:pPr>
            <w:r w:rsidRPr="00427322">
              <w:rPr>
                <w:b w:val="0"/>
              </w:rPr>
              <w:t>16.3</w:t>
            </w:r>
          </w:p>
        </w:tc>
        <w:tc>
          <w:tcPr>
            <w:tcW w:w="478" w:type="pct"/>
            <w:shd w:val="clear" w:color="auto" w:fill="FFFFFF" w:themeFill="background1"/>
          </w:tcPr>
          <w:p w14:paraId="05CF2A1B" w14:textId="6BDA7A6E" w:rsidR="00456169" w:rsidRPr="00427322" w:rsidRDefault="00800C9C" w:rsidP="00216F0F">
            <w:pPr>
              <w:pStyle w:val="Tabletext0"/>
              <w:jc w:val="center"/>
              <w:cnfStyle w:val="100000000000" w:firstRow="1" w:lastRow="0" w:firstColumn="0" w:lastColumn="0" w:oddVBand="0" w:evenVBand="0" w:oddHBand="0" w:evenHBand="0" w:firstRowFirstColumn="0" w:firstRowLastColumn="0" w:lastRowFirstColumn="0" w:lastRowLastColumn="0"/>
              <w:rPr>
                <w:b w:val="0"/>
              </w:rPr>
            </w:pPr>
            <w:r w:rsidRPr="00427322">
              <w:rPr>
                <w:b w:val="0"/>
              </w:rPr>
              <w:t>100.0</w:t>
            </w:r>
          </w:p>
        </w:tc>
        <w:tc>
          <w:tcPr>
            <w:tcW w:w="541" w:type="pct"/>
            <w:shd w:val="clear" w:color="auto" w:fill="FFFFFF" w:themeFill="background1"/>
          </w:tcPr>
          <w:p w14:paraId="778EFEF5" w14:textId="314AE9CE" w:rsidR="00456169" w:rsidRPr="00427322" w:rsidRDefault="00800C9C" w:rsidP="00216F0F">
            <w:pPr>
              <w:pStyle w:val="Tabletext0"/>
              <w:jc w:val="center"/>
              <w:cnfStyle w:val="100000000000" w:firstRow="1" w:lastRow="0" w:firstColumn="0" w:lastColumn="0" w:oddVBand="0" w:evenVBand="0" w:oddHBand="0" w:evenHBand="0" w:firstRowFirstColumn="0" w:firstRowLastColumn="0" w:lastRowFirstColumn="0" w:lastRowLastColumn="0"/>
              <w:rPr>
                <w:b w:val="0"/>
              </w:rPr>
            </w:pPr>
            <w:r w:rsidRPr="00427322">
              <w:rPr>
                <w:b w:val="0"/>
              </w:rPr>
              <w:t>11.5</w:t>
            </w:r>
          </w:p>
        </w:tc>
        <w:tc>
          <w:tcPr>
            <w:tcW w:w="412" w:type="pct"/>
            <w:shd w:val="clear" w:color="auto" w:fill="FFFFFF" w:themeFill="background1"/>
          </w:tcPr>
          <w:p w14:paraId="43D80333" w14:textId="2FED2558" w:rsidR="00456169" w:rsidRPr="00427322" w:rsidRDefault="00800C9C" w:rsidP="00216F0F">
            <w:pPr>
              <w:pStyle w:val="Tabletext0"/>
              <w:jc w:val="center"/>
              <w:cnfStyle w:val="100000000000" w:firstRow="1" w:lastRow="0" w:firstColumn="0" w:lastColumn="0" w:oddVBand="0" w:evenVBand="0" w:oddHBand="0" w:evenHBand="0" w:firstRowFirstColumn="0" w:firstRowLastColumn="0" w:lastRowFirstColumn="0" w:lastRowLastColumn="0"/>
              <w:rPr>
                <w:b w:val="0"/>
              </w:rPr>
            </w:pPr>
            <w:r w:rsidRPr="00427322">
              <w:rPr>
                <w:b w:val="0"/>
              </w:rPr>
              <w:t>23.1</w:t>
            </w:r>
          </w:p>
        </w:tc>
        <w:tc>
          <w:tcPr>
            <w:tcW w:w="498" w:type="pct"/>
            <w:shd w:val="clear" w:color="auto" w:fill="FFFFFF" w:themeFill="background1"/>
          </w:tcPr>
          <w:p w14:paraId="252CC5BC" w14:textId="03EC779A" w:rsidR="00456169" w:rsidRPr="00427322" w:rsidRDefault="00800C9C" w:rsidP="00216F0F">
            <w:pPr>
              <w:pStyle w:val="Tabletext0"/>
              <w:jc w:val="center"/>
              <w:cnfStyle w:val="100000000000" w:firstRow="1" w:lastRow="0" w:firstColumn="0" w:lastColumn="0" w:oddVBand="0" w:evenVBand="0" w:oddHBand="0" w:evenHBand="0" w:firstRowFirstColumn="0" w:firstRowLastColumn="0" w:lastRowFirstColumn="0" w:lastRowLastColumn="0"/>
              <w:rPr>
                <w:b w:val="0"/>
              </w:rPr>
            </w:pPr>
            <w:r w:rsidRPr="00427322">
              <w:rPr>
                <w:b w:val="0"/>
              </w:rPr>
              <w:t>28.9</w:t>
            </w:r>
          </w:p>
        </w:tc>
      </w:tr>
    </w:tbl>
    <w:p w14:paraId="2591DB17" w14:textId="7F2223C0" w:rsidR="007512A8" w:rsidRPr="00DE508B" w:rsidRDefault="007512A8" w:rsidP="00427322">
      <w:pPr>
        <w:pStyle w:val="Tablenotes0"/>
      </w:pPr>
      <w:r w:rsidRPr="00FC7CB0">
        <w:rPr>
          <w:vertAlign w:val="superscript"/>
        </w:rPr>
        <w:t>#</w:t>
      </w:r>
      <w:r>
        <w:rPr>
          <w:vertAlign w:val="superscript"/>
        </w:rPr>
        <w:t xml:space="preserve"> </w:t>
      </w:r>
      <w:r>
        <w:t>Echocardiographic core lab.</w:t>
      </w:r>
    </w:p>
    <w:p w14:paraId="43154B47" w14:textId="0B3488D7" w:rsidR="007512A8" w:rsidRDefault="007512A8" w:rsidP="00427322">
      <w:pPr>
        <w:pStyle w:val="Caption"/>
      </w:pPr>
      <w:bookmarkStart w:id="62" w:name="_Ref117517168"/>
      <w:r>
        <w:lastRenderedPageBreak/>
        <w:t xml:space="preserve">Table </w:t>
      </w:r>
      <w:fldSimple w:instr=" SEQ Table \* ARABIC ">
        <w:r>
          <w:rPr>
            <w:noProof/>
          </w:rPr>
          <w:t>19</w:t>
        </w:r>
      </w:fldSimple>
      <w:bookmarkEnd w:id="62"/>
      <w:r>
        <w:t xml:space="preserve"> NHYA functional class improvement in DMR population (core lab</w:t>
      </w:r>
      <w:r w:rsidRPr="00427322">
        <w:rPr>
          <w:vertAlign w:val="superscript"/>
        </w:rPr>
        <w:t>#</w:t>
      </w:r>
      <w:r>
        <w:t xml:space="preserve"> sample)</w:t>
      </w:r>
    </w:p>
    <w:tbl>
      <w:tblPr>
        <w:tblStyle w:val="Style2"/>
        <w:tblW w:w="5000" w:type="pct"/>
        <w:tblBorders>
          <w:left w:val="single" w:sz="4" w:space="0" w:color="auto"/>
          <w:right w:val="single" w:sz="4" w:space="0" w:color="auto"/>
          <w:insideV w:val="single" w:sz="4" w:space="0" w:color="auto"/>
        </w:tblBorders>
        <w:tblLook w:val="04A0" w:firstRow="1" w:lastRow="0" w:firstColumn="1" w:lastColumn="0" w:noHBand="0" w:noVBand="1"/>
      </w:tblPr>
      <w:tblGrid>
        <w:gridCol w:w="3463"/>
        <w:gridCol w:w="1490"/>
        <w:gridCol w:w="1441"/>
        <w:gridCol w:w="1490"/>
        <w:gridCol w:w="1439"/>
      </w:tblGrid>
      <w:tr w:rsidR="007512A8" w:rsidRPr="00FC7CB0" w14:paraId="4622DB4F" w14:textId="77777777" w:rsidTr="004273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pct"/>
            <w:shd w:val="clear" w:color="auto" w:fill="FFFFFF" w:themeFill="background1"/>
          </w:tcPr>
          <w:p w14:paraId="15B9CB26" w14:textId="44540549" w:rsidR="00C76010" w:rsidRPr="00FC7CB0" w:rsidRDefault="00C76010" w:rsidP="00032E3D">
            <w:pPr>
              <w:pStyle w:val="Tabletext0"/>
            </w:pPr>
            <w:r>
              <w:t>NYHA functional class</w:t>
            </w:r>
          </w:p>
        </w:tc>
        <w:tc>
          <w:tcPr>
            <w:tcW w:w="1572" w:type="pct"/>
            <w:gridSpan w:val="2"/>
            <w:shd w:val="clear" w:color="auto" w:fill="FFFFFF" w:themeFill="background1"/>
          </w:tcPr>
          <w:p w14:paraId="13B3203D" w14:textId="133313E6" w:rsidR="00C76010" w:rsidRPr="00FC7CB0" w:rsidRDefault="00C76010" w:rsidP="00032E3D">
            <w:pPr>
              <w:pStyle w:val="Tabletext0"/>
              <w:cnfStyle w:val="100000000000" w:firstRow="1" w:lastRow="0" w:firstColumn="0" w:lastColumn="0" w:oddVBand="0" w:evenVBand="0" w:oddHBand="0" w:evenHBand="0" w:firstRowFirstColumn="0" w:firstRowLastColumn="0" w:lastRowFirstColumn="0" w:lastRowLastColumn="0"/>
            </w:pPr>
            <w:r>
              <w:t>PASCAL</w:t>
            </w:r>
            <w:r w:rsidR="007512A8">
              <w:t>, % (N=101)</w:t>
            </w:r>
          </w:p>
        </w:tc>
        <w:tc>
          <w:tcPr>
            <w:tcW w:w="1571" w:type="pct"/>
            <w:gridSpan w:val="2"/>
            <w:shd w:val="clear" w:color="auto" w:fill="FFFFFF" w:themeFill="background1"/>
          </w:tcPr>
          <w:p w14:paraId="59E876CF" w14:textId="38E80F22" w:rsidR="00C76010" w:rsidRPr="00FC7CB0" w:rsidRDefault="00C76010" w:rsidP="00032E3D">
            <w:pPr>
              <w:pStyle w:val="Tabletext0"/>
              <w:cnfStyle w:val="100000000000" w:firstRow="1" w:lastRow="0" w:firstColumn="0" w:lastColumn="0" w:oddVBand="0" w:evenVBand="0" w:oddHBand="0" w:evenHBand="0" w:firstRowFirstColumn="0" w:firstRowLastColumn="0" w:lastRowFirstColumn="0" w:lastRowLastColumn="0"/>
            </w:pPr>
            <w:proofErr w:type="spellStart"/>
            <w:r>
              <w:t>MitraClip</w:t>
            </w:r>
            <w:proofErr w:type="spellEnd"/>
            <w:r w:rsidR="007512A8">
              <w:t>, % (N=56)</w:t>
            </w:r>
          </w:p>
        </w:tc>
      </w:tr>
      <w:tr w:rsidR="007512A8" w:rsidRPr="00FC7CB0" w14:paraId="5B4BC86B" w14:textId="77777777" w:rsidTr="00427322">
        <w:tc>
          <w:tcPr>
            <w:cnfStyle w:val="001000000000" w:firstRow="0" w:lastRow="0" w:firstColumn="1" w:lastColumn="0" w:oddVBand="0" w:evenVBand="0" w:oddHBand="0" w:evenHBand="0" w:firstRowFirstColumn="0" w:firstRowLastColumn="0" w:lastRowFirstColumn="0" w:lastRowLastColumn="0"/>
            <w:tcW w:w="1857" w:type="pct"/>
            <w:shd w:val="clear" w:color="auto" w:fill="FFFFFF" w:themeFill="background1"/>
          </w:tcPr>
          <w:p w14:paraId="4244460F" w14:textId="77777777" w:rsidR="00C76010" w:rsidRPr="00FC7CB0" w:rsidRDefault="00C76010" w:rsidP="00C76010">
            <w:pPr>
              <w:pStyle w:val="Tabletext0"/>
            </w:pPr>
          </w:p>
        </w:tc>
        <w:tc>
          <w:tcPr>
            <w:tcW w:w="799" w:type="pct"/>
            <w:shd w:val="clear" w:color="auto" w:fill="FFFFFF" w:themeFill="background1"/>
          </w:tcPr>
          <w:p w14:paraId="5040778D" w14:textId="77777777" w:rsidR="00C76010" w:rsidRPr="00427322" w:rsidRDefault="00C76010" w:rsidP="00C76010">
            <w:pPr>
              <w:pStyle w:val="Tabletext0"/>
              <w:cnfStyle w:val="000000000000" w:firstRow="0" w:lastRow="0" w:firstColumn="0" w:lastColumn="0" w:oddVBand="0" w:evenVBand="0" w:oddHBand="0" w:evenHBand="0" w:firstRowFirstColumn="0" w:firstRowLastColumn="0" w:lastRowFirstColumn="0" w:lastRowLastColumn="0"/>
              <w:rPr>
                <w:b/>
                <w:bCs/>
              </w:rPr>
            </w:pPr>
            <w:r w:rsidRPr="00427322">
              <w:rPr>
                <w:b/>
                <w:bCs/>
              </w:rPr>
              <w:t>Baseline</w:t>
            </w:r>
          </w:p>
        </w:tc>
        <w:tc>
          <w:tcPr>
            <w:tcW w:w="773" w:type="pct"/>
            <w:shd w:val="clear" w:color="auto" w:fill="FFFFFF" w:themeFill="background1"/>
          </w:tcPr>
          <w:p w14:paraId="54374EB6" w14:textId="016E049E" w:rsidR="00C76010" w:rsidRPr="00427322" w:rsidRDefault="00C76010" w:rsidP="00C76010">
            <w:pPr>
              <w:pStyle w:val="Tabletext0"/>
              <w:cnfStyle w:val="000000000000" w:firstRow="0" w:lastRow="0" w:firstColumn="0" w:lastColumn="0" w:oddVBand="0" w:evenVBand="0" w:oddHBand="0" w:evenHBand="0" w:firstRowFirstColumn="0" w:firstRowLastColumn="0" w:lastRowFirstColumn="0" w:lastRowLastColumn="0"/>
              <w:rPr>
                <w:b/>
                <w:bCs/>
              </w:rPr>
            </w:pPr>
            <w:r w:rsidRPr="00427322">
              <w:rPr>
                <w:b/>
                <w:bCs/>
              </w:rPr>
              <w:t>6-month</w:t>
            </w:r>
          </w:p>
        </w:tc>
        <w:tc>
          <w:tcPr>
            <w:tcW w:w="799" w:type="pct"/>
            <w:shd w:val="clear" w:color="auto" w:fill="FFFFFF" w:themeFill="background1"/>
          </w:tcPr>
          <w:p w14:paraId="29C0DCA0" w14:textId="77777777" w:rsidR="00C76010" w:rsidRPr="00427322" w:rsidRDefault="00C76010" w:rsidP="00C76010">
            <w:pPr>
              <w:pStyle w:val="Tabletext0"/>
              <w:cnfStyle w:val="000000000000" w:firstRow="0" w:lastRow="0" w:firstColumn="0" w:lastColumn="0" w:oddVBand="0" w:evenVBand="0" w:oddHBand="0" w:evenHBand="0" w:firstRowFirstColumn="0" w:firstRowLastColumn="0" w:lastRowFirstColumn="0" w:lastRowLastColumn="0"/>
              <w:rPr>
                <w:b/>
                <w:bCs/>
              </w:rPr>
            </w:pPr>
            <w:r w:rsidRPr="00427322">
              <w:rPr>
                <w:b/>
                <w:bCs/>
              </w:rPr>
              <w:t>Baseline</w:t>
            </w:r>
          </w:p>
        </w:tc>
        <w:tc>
          <w:tcPr>
            <w:tcW w:w="772" w:type="pct"/>
            <w:shd w:val="clear" w:color="auto" w:fill="FFFFFF" w:themeFill="background1"/>
          </w:tcPr>
          <w:p w14:paraId="66DCAA28" w14:textId="155FEAA0" w:rsidR="00C76010" w:rsidRPr="00427322" w:rsidRDefault="00C76010" w:rsidP="00C76010">
            <w:pPr>
              <w:pStyle w:val="Tabletext0"/>
              <w:cnfStyle w:val="000000000000" w:firstRow="0" w:lastRow="0" w:firstColumn="0" w:lastColumn="0" w:oddVBand="0" w:evenVBand="0" w:oddHBand="0" w:evenHBand="0" w:firstRowFirstColumn="0" w:firstRowLastColumn="0" w:lastRowFirstColumn="0" w:lastRowLastColumn="0"/>
              <w:rPr>
                <w:b/>
                <w:bCs/>
              </w:rPr>
            </w:pPr>
            <w:r w:rsidRPr="00427322">
              <w:rPr>
                <w:b/>
                <w:bCs/>
              </w:rPr>
              <w:t>6-month</w:t>
            </w:r>
          </w:p>
        </w:tc>
      </w:tr>
      <w:tr w:rsidR="007512A8" w:rsidRPr="00FC7CB0" w14:paraId="26995379" w14:textId="77777777" w:rsidTr="00427322">
        <w:tc>
          <w:tcPr>
            <w:cnfStyle w:val="001000000000" w:firstRow="0" w:lastRow="0" w:firstColumn="1" w:lastColumn="0" w:oddVBand="0" w:evenVBand="0" w:oddHBand="0" w:evenHBand="0" w:firstRowFirstColumn="0" w:firstRowLastColumn="0" w:lastRowFirstColumn="0" w:lastRowLastColumn="0"/>
            <w:tcW w:w="1857" w:type="pct"/>
            <w:shd w:val="clear" w:color="auto" w:fill="FFFFFF" w:themeFill="background1"/>
          </w:tcPr>
          <w:p w14:paraId="055497FA" w14:textId="549B0085" w:rsidR="00C76010" w:rsidRPr="00FC7CB0" w:rsidRDefault="007512A8" w:rsidP="00C76010">
            <w:pPr>
              <w:pStyle w:val="Tabletext0"/>
            </w:pPr>
            <w:r>
              <w:t>Class I</w:t>
            </w:r>
          </w:p>
        </w:tc>
        <w:tc>
          <w:tcPr>
            <w:tcW w:w="799" w:type="pct"/>
            <w:shd w:val="clear" w:color="auto" w:fill="FFFFFF" w:themeFill="background1"/>
          </w:tcPr>
          <w:p w14:paraId="195702E7" w14:textId="1AF98D6C" w:rsidR="00C76010" w:rsidRPr="00FC7CB0" w:rsidRDefault="007512A8" w:rsidP="00C76010">
            <w:pPr>
              <w:pStyle w:val="Tabletext0"/>
              <w:cnfStyle w:val="000000000000" w:firstRow="0" w:lastRow="0" w:firstColumn="0" w:lastColumn="0" w:oddVBand="0" w:evenVBand="0" w:oddHBand="0" w:evenHBand="0" w:firstRowFirstColumn="0" w:firstRowLastColumn="0" w:lastRowFirstColumn="0" w:lastRowLastColumn="0"/>
            </w:pPr>
            <w:r>
              <w:t>0.0</w:t>
            </w:r>
          </w:p>
        </w:tc>
        <w:tc>
          <w:tcPr>
            <w:tcW w:w="773" w:type="pct"/>
            <w:shd w:val="clear" w:color="auto" w:fill="FFFFFF" w:themeFill="background1"/>
          </w:tcPr>
          <w:p w14:paraId="3A170A6C" w14:textId="71EA9E30" w:rsidR="00C76010" w:rsidRPr="00FC7CB0" w:rsidRDefault="007512A8" w:rsidP="00C76010">
            <w:pPr>
              <w:pStyle w:val="Tabletext0"/>
              <w:cnfStyle w:val="000000000000" w:firstRow="0" w:lastRow="0" w:firstColumn="0" w:lastColumn="0" w:oddVBand="0" w:evenVBand="0" w:oddHBand="0" w:evenHBand="0" w:firstRowFirstColumn="0" w:firstRowLastColumn="0" w:lastRowFirstColumn="0" w:lastRowLastColumn="0"/>
            </w:pPr>
            <w:r>
              <w:t>43.6</w:t>
            </w:r>
          </w:p>
        </w:tc>
        <w:tc>
          <w:tcPr>
            <w:tcW w:w="799" w:type="pct"/>
            <w:shd w:val="clear" w:color="auto" w:fill="FFFFFF" w:themeFill="background1"/>
          </w:tcPr>
          <w:p w14:paraId="6EE649EF" w14:textId="4FC4E358" w:rsidR="00C76010" w:rsidRPr="00FC7CB0" w:rsidRDefault="007512A8" w:rsidP="00C76010">
            <w:pPr>
              <w:pStyle w:val="Tabletext0"/>
              <w:cnfStyle w:val="000000000000" w:firstRow="0" w:lastRow="0" w:firstColumn="0" w:lastColumn="0" w:oddVBand="0" w:evenVBand="0" w:oddHBand="0" w:evenHBand="0" w:firstRowFirstColumn="0" w:firstRowLastColumn="0" w:lastRowFirstColumn="0" w:lastRowLastColumn="0"/>
            </w:pPr>
            <w:r>
              <w:t>0.0</w:t>
            </w:r>
          </w:p>
        </w:tc>
        <w:tc>
          <w:tcPr>
            <w:tcW w:w="772" w:type="pct"/>
            <w:shd w:val="clear" w:color="auto" w:fill="FFFFFF" w:themeFill="background1"/>
          </w:tcPr>
          <w:p w14:paraId="13AF4F5C" w14:textId="3AC07053" w:rsidR="00C76010" w:rsidRPr="00FC7CB0" w:rsidRDefault="007512A8" w:rsidP="00C76010">
            <w:pPr>
              <w:pStyle w:val="Tabletext0"/>
              <w:cnfStyle w:val="000000000000" w:firstRow="0" w:lastRow="0" w:firstColumn="0" w:lastColumn="0" w:oddVBand="0" w:evenVBand="0" w:oddHBand="0" w:evenHBand="0" w:firstRowFirstColumn="0" w:firstRowLastColumn="0" w:lastRowFirstColumn="0" w:lastRowLastColumn="0"/>
            </w:pPr>
            <w:r>
              <w:t>44.6</w:t>
            </w:r>
          </w:p>
        </w:tc>
      </w:tr>
      <w:tr w:rsidR="007512A8" w:rsidRPr="00FC7CB0" w14:paraId="46384355" w14:textId="77777777" w:rsidTr="00427322">
        <w:tc>
          <w:tcPr>
            <w:cnfStyle w:val="001000000000" w:firstRow="0" w:lastRow="0" w:firstColumn="1" w:lastColumn="0" w:oddVBand="0" w:evenVBand="0" w:oddHBand="0" w:evenHBand="0" w:firstRowFirstColumn="0" w:firstRowLastColumn="0" w:lastRowFirstColumn="0" w:lastRowLastColumn="0"/>
            <w:tcW w:w="1857" w:type="pct"/>
            <w:shd w:val="clear" w:color="auto" w:fill="FFFFFF" w:themeFill="background1"/>
          </w:tcPr>
          <w:p w14:paraId="63241BFA" w14:textId="23D19B54" w:rsidR="00C76010" w:rsidRPr="00FC7CB0" w:rsidRDefault="007512A8" w:rsidP="00C76010">
            <w:pPr>
              <w:pStyle w:val="Tabletext0"/>
            </w:pPr>
            <w:r>
              <w:t>Class II</w:t>
            </w:r>
          </w:p>
        </w:tc>
        <w:tc>
          <w:tcPr>
            <w:tcW w:w="799" w:type="pct"/>
            <w:shd w:val="clear" w:color="auto" w:fill="FFFFFF" w:themeFill="background1"/>
          </w:tcPr>
          <w:p w14:paraId="7B52298C" w14:textId="77D165D4" w:rsidR="00C76010" w:rsidRPr="00FC7CB0" w:rsidRDefault="007512A8" w:rsidP="00C76010">
            <w:pPr>
              <w:pStyle w:val="Tabletext0"/>
              <w:cnfStyle w:val="000000000000" w:firstRow="0" w:lastRow="0" w:firstColumn="0" w:lastColumn="0" w:oddVBand="0" w:evenVBand="0" w:oddHBand="0" w:evenHBand="0" w:firstRowFirstColumn="0" w:firstRowLastColumn="0" w:lastRowFirstColumn="0" w:lastRowLastColumn="0"/>
            </w:pPr>
            <w:r>
              <w:t>38.6</w:t>
            </w:r>
          </w:p>
        </w:tc>
        <w:tc>
          <w:tcPr>
            <w:tcW w:w="773" w:type="pct"/>
            <w:shd w:val="clear" w:color="auto" w:fill="FFFFFF" w:themeFill="background1"/>
          </w:tcPr>
          <w:p w14:paraId="1A10D6FF" w14:textId="6C7893F3" w:rsidR="00C76010" w:rsidRPr="00FC7CB0" w:rsidRDefault="007512A8" w:rsidP="00C76010">
            <w:pPr>
              <w:pStyle w:val="Tabletext0"/>
              <w:cnfStyle w:val="000000000000" w:firstRow="0" w:lastRow="0" w:firstColumn="0" w:lastColumn="0" w:oddVBand="0" w:evenVBand="0" w:oddHBand="0" w:evenHBand="0" w:firstRowFirstColumn="0" w:firstRowLastColumn="0" w:lastRowFirstColumn="0" w:lastRowLastColumn="0"/>
            </w:pPr>
            <w:r>
              <w:t>42.6</w:t>
            </w:r>
          </w:p>
        </w:tc>
        <w:tc>
          <w:tcPr>
            <w:tcW w:w="799" w:type="pct"/>
            <w:shd w:val="clear" w:color="auto" w:fill="FFFFFF" w:themeFill="background1"/>
          </w:tcPr>
          <w:p w14:paraId="42390729" w14:textId="27E9F162" w:rsidR="00C76010" w:rsidRPr="00FC7CB0" w:rsidRDefault="007512A8" w:rsidP="00C76010">
            <w:pPr>
              <w:pStyle w:val="Tabletext0"/>
              <w:cnfStyle w:val="000000000000" w:firstRow="0" w:lastRow="0" w:firstColumn="0" w:lastColumn="0" w:oddVBand="0" w:evenVBand="0" w:oddHBand="0" w:evenHBand="0" w:firstRowFirstColumn="0" w:firstRowLastColumn="0" w:lastRowFirstColumn="0" w:lastRowLastColumn="0"/>
            </w:pPr>
            <w:r>
              <w:t>37.5</w:t>
            </w:r>
          </w:p>
        </w:tc>
        <w:tc>
          <w:tcPr>
            <w:tcW w:w="772" w:type="pct"/>
            <w:shd w:val="clear" w:color="auto" w:fill="FFFFFF" w:themeFill="background1"/>
          </w:tcPr>
          <w:p w14:paraId="20D48085" w14:textId="4D914585" w:rsidR="00C76010" w:rsidRPr="00FC7CB0" w:rsidRDefault="007512A8" w:rsidP="00C76010">
            <w:pPr>
              <w:pStyle w:val="Tabletext0"/>
              <w:cnfStyle w:val="000000000000" w:firstRow="0" w:lastRow="0" w:firstColumn="0" w:lastColumn="0" w:oddVBand="0" w:evenVBand="0" w:oddHBand="0" w:evenHBand="0" w:firstRowFirstColumn="0" w:firstRowLastColumn="0" w:lastRowFirstColumn="0" w:lastRowLastColumn="0"/>
            </w:pPr>
            <w:r>
              <w:t>50.0</w:t>
            </w:r>
          </w:p>
        </w:tc>
      </w:tr>
      <w:tr w:rsidR="007512A8" w:rsidRPr="00FC7CB0" w14:paraId="410E4D74" w14:textId="77777777" w:rsidTr="00427322">
        <w:tc>
          <w:tcPr>
            <w:cnfStyle w:val="001000000000" w:firstRow="0" w:lastRow="0" w:firstColumn="1" w:lastColumn="0" w:oddVBand="0" w:evenVBand="0" w:oddHBand="0" w:evenHBand="0" w:firstRowFirstColumn="0" w:firstRowLastColumn="0" w:lastRowFirstColumn="0" w:lastRowLastColumn="0"/>
            <w:tcW w:w="1857" w:type="pct"/>
            <w:shd w:val="clear" w:color="auto" w:fill="FFFFFF" w:themeFill="background1"/>
          </w:tcPr>
          <w:p w14:paraId="777BEADE" w14:textId="35F9CF37" w:rsidR="00C76010" w:rsidRPr="00FC7CB0" w:rsidRDefault="007512A8" w:rsidP="00C76010">
            <w:pPr>
              <w:pStyle w:val="Tabletext0"/>
            </w:pPr>
            <w:r>
              <w:t>Class III</w:t>
            </w:r>
          </w:p>
        </w:tc>
        <w:tc>
          <w:tcPr>
            <w:tcW w:w="799" w:type="pct"/>
            <w:shd w:val="clear" w:color="auto" w:fill="FFFFFF" w:themeFill="background1"/>
          </w:tcPr>
          <w:p w14:paraId="67EE426E" w14:textId="7F31E53B" w:rsidR="00C76010" w:rsidRPr="00FC7CB0" w:rsidRDefault="007512A8" w:rsidP="00C76010">
            <w:pPr>
              <w:pStyle w:val="Tabletext0"/>
              <w:cnfStyle w:val="000000000000" w:firstRow="0" w:lastRow="0" w:firstColumn="0" w:lastColumn="0" w:oddVBand="0" w:evenVBand="0" w:oddHBand="0" w:evenHBand="0" w:firstRowFirstColumn="0" w:firstRowLastColumn="0" w:lastRowFirstColumn="0" w:lastRowLastColumn="0"/>
            </w:pPr>
            <w:r>
              <w:t>56.4</w:t>
            </w:r>
          </w:p>
        </w:tc>
        <w:tc>
          <w:tcPr>
            <w:tcW w:w="773" w:type="pct"/>
            <w:shd w:val="clear" w:color="auto" w:fill="FFFFFF" w:themeFill="background1"/>
          </w:tcPr>
          <w:p w14:paraId="3A77527F" w14:textId="4D4F9706" w:rsidR="00C76010" w:rsidRPr="00FC7CB0" w:rsidRDefault="007512A8" w:rsidP="00C76010">
            <w:pPr>
              <w:pStyle w:val="Tabletext0"/>
              <w:cnfStyle w:val="000000000000" w:firstRow="0" w:lastRow="0" w:firstColumn="0" w:lastColumn="0" w:oddVBand="0" w:evenVBand="0" w:oddHBand="0" w:evenHBand="0" w:firstRowFirstColumn="0" w:firstRowLastColumn="0" w:lastRowFirstColumn="0" w:lastRowLastColumn="0"/>
            </w:pPr>
            <w:r>
              <w:t>12.9</w:t>
            </w:r>
          </w:p>
        </w:tc>
        <w:tc>
          <w:tcPr>
            <w:tcW w:w="799" w:type="pct"/>
            <w:shd w:val="clear" w:color="auto" w:fill="FFFFFF" w:themeFill="background1"/>
          </w:tcPr>
          <w:p w14:paraId="098C39E8" w14:textId="531BCA6E" w:rsidR="00C76010" w:rsidRPr="00FC7CB0" w:rsidRDefault="007512A8" w:rsidP="00C76010">
            <w:pPr>
              <w:pStyle w:val="Tabletext0"/>
              <w:cnfStyle w:val="000000000000" w:firstRow="0" w:lastRow="0" w:firstColumn="0" w:lastColumn="0" w:oddVBand="0" w:evenVBand="0" w:oddHBand="0" w:evenHBand="0" w:firstRowFirstColumn="0" w:firstRowLastColumn="0" w:lastRowFirstColumn="0" w:lastRowLastColumn="0"/>
            </w:pPr>
            <w:r>
              <w:t>53.6</w:t>
            </w:r>
          </w:p>
        </w:tc>
        <w:tc>
          <w:tcPr>
            <w:tcW w:w="772" w:type="pct"/>
            <w:shd w:val="clear" w:color="auto" w:fill="FFFFFF" w:themeFill="background1"/>
          </w:tcPr>
          <w:p w14:paraId="63963958" w14:textId="60DB1667" w:rsidR="00C76010" w:rsidRPr="00FC7CB0" w:rsidRDefault="007512A8" w:rsidP="00C76010">
            <w:pPr>
              <w:pStyle w:val="Tabletext0"/>
              <w:cnfStyle w:val="000000000000" w:firstRow="0" w:lastRow="0" w:firstColumn="0" w:lastColumn="0" w:oddVBand="0" w:evenVBand="0" w:oddHBand="0" w:evenHBand="0" w:firstRowFirstColumn="0" w:firstRowLastColumn="0" w:lastRowFirstColumn="0" w:lastRowLastColumn="0"/>
            </w:pPr>
            <w:r>
              <w:t>5.4</w:t>
            </w:r>
          </w:p>
        </w:tc>
      </w:tr>
      <w:tr w:rsidR="007512A8" w:rsidRPr="00FC7CB0" w14:paraId="6D367E94" w14:textId="77777777" w:rsidTr="00427322">
        <w:tc>
          <w:tcPr>
            <w:cnfStyle w:val="001000000000" w:firstRow="0" w:lastRow="0" w:firstColumn="1" w:lastColumn="0" w:oddVBand="0" w:evenVBand="0" w:oddHBand="0" w:evenHBand="0" w:firstRowFirstColumn="0" w:firstRowLastColumn="0" w:lastRowFirstColumn="0" w:lastRowLastColumn="0"/>
            <w:tcW w:w="1857" w:type="pct"/>
            <w:shd w:val="clear" w:color="auto" w:fill="FFFFFF" w:themeFill="background1"/>
          </w:tcPr>
          <w:p w14:paraId="5CBE3D12" w14:textId="74D33491" w:rsidR="00C76010" w:rsidRPr="00FC7CB0" w:rsidRDefault="007512A8" w:rsidP="00C76010">
            <w:pPr>
              <w:pStyle w:val="Tabletext0"/>
            </w:pPr>
            <w:r>
              <w:t>Class IV</w:t>
            </w:r>
          </w:p>
        </w:tc>
        <w:tc>
          <w:tcPr>
            <w:tcW w:w="799" w:type="pct"/>
            <w:shd w:val="clear" w:color="auto" w:fill="FFFFFF" w:themeFill="background1"/>
          </w:tcPr>
          <w:p w14:paraId="0939C4E4" w14:textId="1950E5B1" w:rsidR="00C76010" w:rsidRPr="00FC7CB0" w:rsidRDefault="007512A8" w:rsidP="00C76010">
            <w:pPr>
              <w:pStyle w:val="Tabletext0"/>
              <w:cnfStyle w:val="000000000000" w:firstRow="0" w:lastRow="0" w:firstColumn="0" w:lastColumn="0" w:oddVBand="0" w:evenVBand="0" w:oddHBand="0" w:evenHBand="0" w:firstRowFirstColumn="0" w:firstRowLastColumn="0" w:lastRowFirstColumn="0" w:lastRowLastColumn="0"/>
            </w:pPr>
            <w:r>
              <w:t>4.0</w:t>
            </w:r>
          </w:p>
        </w:tc>
        <w:tc>
          <w:tcPr>
            <w:tcW w:w="773" w:type="pct"/>
            <w:shd w:val="clear" w:color="auto" w:fill="FFFFFF" w:themeFill="background1"/>
          </w:tcPr>
          <w:p w14:paraId="08432125" w14:textId="43042BB5" w:rsidR="00C76010" w:rsidRPr="00FC7CB0" w:rsidRDefault="007512A8" w:rsidP="00C76010">
            <w:pPr>
              <w:pStyle w:val="Tabletext0"/>
              <w:cnfStyle w:val="000000000000" w:firstRow="0" w:lastRow="0" w:firstColumn="0" w:lastColumn="0" w:oddVBand="0" w:evenVBand="0" w:oddHBand="0" w:evenHBand="0" w:firstRowFirstColumn="0" w:firstRowLastColumn="0" w:lastRowFirstColumn="0" w:lastRowLastColumn="0"/>
            </w:pPr>
            <w:r>
              <w:t>1.0</w:t>
            </w:r>
          </w:p>
        </w:tc>
        <w:tc>
          <w:tcPr>
            <w:tcW w:w="799" w:type="pct"/>
            <w:shd w:val="clear" w:color="auto" w:fill="FFFFFF" w:themeFill="background1"/>
          </w:tcPr>
          <w:p w14:paraId="31198F46" w14:textId="09039EE8" w:rsidR="00C76010" w:rsidRPr="00FC7CB0" w:rsidRDefault="007512A8" w:rsidP="00C76010">
            <w:pPr>
              <w:pStyle w:val="Tabletext0"/>
              <w:cnfStyle w:val="000000000000" w:firstRow="0" w:lastRow="0" w:firstColumn="0" w:lastColumn="0" w:oddVBand="0" w:evenVBand="0" w:oddHBand="0" w:evenHBand="0" w:firstRowFirstColumn="0" w:firstRowLastColumn="0" w:lastRowFirstColumn="0" w:lastRowLastColumn="0"/>
            </w:pPr>
            <w:r>
              <w:t>8.9</w:t>
            </w:r>
          </w:p>
        </w:tc>
        <w:tc>
          <w:tcPr>
            <w:tcW w:w="772" w:type="pct"/>
            <w:shd w:val="clear" w:color="auto" w:fill="FFFFFF" w:themeFill="background1"/>
          </w:tcPr>
          <w:p w14:paraId="3C9A3570" w14:textId="4535F929" w:rsidR="00C76010" w:rsidRPr="00FC7CB0" w:rsidRDefault="007512A8" w:rsidP="00C76010">
            <w:pPr>
              <w:pStyle w:val="Tabletext0"/>
              <w:cnfStyle w:val="000000000000" w:firstRow="0" w:lastRow="0" w:firstColumn="0" w:lastColumn="0" w:oddVBand="0" w:evenVBand="0" w:oddHBand="0" w:evenHBand="0" w:firstRowFirstColumn="0" w:firstRowLastColumn="0" w:lastRowFirstColumn="0" w:lastRowLastColumn="0"/>
            </w:pPr>
            <w:r>
              <w:t>0.0</w:t>
            </w:r>
          </w:p>
        </w:tc>
      </w:tr>
    </w:tbl>
    <w:p w14:paraId="783B04D0" w14:textId="1628AB92" w:rsidR="007512A8" w:rsidRDefault="007512A8" w:rsidP="00427322">
      <w:pPr>
        <w:pStyle w:val="Tablenotes0"/>
      </w:pPr>
      <w:r w:rsidRPr="00FC7CB0">
        <w:rPr>
          <w:vertAlign w:val="superscript"/>
        </w:rPr>
        <w:t>#</w:t>
      </w:r>
      <w:r>
        <w:rPr>
          <w:vertAlign w:val="superscript"/>
        </w:rPr>
        <w:t xml:space="preserve"> </w:t>
      </w:r>
      <w:r>
        <w:t>Echocardiographic core lab.</w:t>
      </w:r>
    </w:p>
    <w:p w14:paraId="3D4A377F" w14:textId="725BFA30" w:rsidR="001B5CC3" w:rsidRPr="008E0C88" w:rsidRDefault="001B5CC3" w:rsidP="001B5CC3">
      <w:pPr>
        <w:pStyle w:val="Heading3"/>
      </w:pPr>
      <w:r w:rsidRPr="008E0C88">
        <w:t xml:space="preserve">MAIC of the </w:t>
      </w:r>
      <w:r>
        <w:t xml:space="preserve">efficacy outcomes </w:t>
      </w:r>
    </w:p>
    <w:p w14:paraId="2BAA5D78" w14:textId="5E30461A" w:rsidR="007D3920" w:rsidRDefault="007D3920" w:rsidP="007D3920">
      <w:pPr>
        <w:spacing w:after="240"/>
      </w:pPr>
      <w:r w:rsidRPr="00DC6125">
        <w:t>The effectiveness outcomes subjected to the MAIC analysis included MR severity and NYHA functional class. MR severity results presented below were derived from the MAIC produced specifically for the current ADAR. The new MAIC output for the aggregated MR severity categories was meant to address the persistent imbalances in the baseline characteristic of the CLASP (weighted) and COAPT populations.</w:t>
      </w:r>
      <w:r w:rsidR="00195444">
        <w:t xml:space="preserve"> </w:t>
      </w:r>
      <w:r w:rsidR="00195444" w:rsidRPr="006723D1">
        <w:rPr>
          <w:shd w:val="clear" w:color="auto" w:fill="B4C6E7" w:themeFill="accent5" w:themeFillTint="66"/>
        </w:rPr>
        <w:t>In previous 2021 consideration,</w:t>
      </w:r>
      <w:r w:rsidRPr="006723D1">
        <w:rPr>
          <w:shd w:val="clear" w:color="auto" w:fill="B4C6E7" w:themeFill="accent5" w:themeFillTint="66"/>
        </w:rPr>
        <w:t xml:space="preserve"> MSAC noted (PSD, p.4) that MR severity and STS scores were not balanced between CLASP (weighted) and COAPT and it is unclear whether these would be treatment effect modifiers or prognostic variables.</w:t>
      </w:r>
      <w:r w:rsidRPr="00DC6125">
        <w:t xml:space="preserve"> The new MAIC output was inconsistent with the objective of achieving MR Severity grade 2+ as indicated in PSD (Table 9, p.18). Equally, the PSD Table 10 (p.18) shows the objective of achieving NYHA functional class of I or II. Both tables, that combine results for both FMR and DMR/FMR populations were updated and reproduced below.</w:t>
      </w:r>
    </w:p>
    <w:p w14:paraId="4262667B" w14:textId="4277A9FA" w:rsidR="007D3920" w:rsidRDefault="007D3920" w:rsidP="007D3920">
      <w:pPr>
        <w:pStyle w:val="Heading4"/>
      </w:pPr>
      <w:r>
        <w:t xml:space="preserve">MR severity at 24 months in the FMR population </w:t>
      </w:r>
      <w:r w:rsidRPr="007C72A2">
        <w:t xml:space="preserve"> </w:t>
      </w:r>
    </w:p>
    <w:p w14:paraId="54024510" w14:textId="17C435BB" w:rsidR="007D3920" w:rsidRDefault="00757BEA" w:rsidP="00427322">
      <w:pPr>
        <w:pStyle w:val="2ChapterText"/>
      </w:pPr>
      <w:r w:rsidRPr="00427322">
        <w:rPr>
          <w:shd w:val="clear" w:color="auto" w:fill="B4C6E7" w:themeFill="accent5" w:themeFillTint="66"/>
        </w:rPr>
        <w:fldChar w:fldCharType="begin"/>
      </w:r>
      <w:r w:rsidRPr="00757BEA">
        <w:rPr>
          <w:shd w:val="clear" w:color="auto" w:fill="B4C6E7" w:themeFill="accent5" w:themeFillTint="66"/>
        </w:rPr>
        <w:instrText xml:space="preserve"> REF _Ref117521880 \h  \* MERGEFORMAT </w:instrText>
      </w:r>
      <w:r w:rsidRPr="00427322">
        <w:rPr>
          <w:shd w:val="clear" w:color="auto" w:fill="B4C6E7" w:themeFill="accent5" w:themeFillTint="66"/>
        </w:rPr>
      </w:r>
      <w:r w:rsidRPr="00427322">
        <w:rPr>
          <w:shd w:val="clear" w:color="auto" w:fill="B4C6E7" w:themeFill="accent5" w:themeFillTint="66"/>
        </w:rPr>
        <w:fldChar w:fldCharType="separate"/>
      </w:r>
      <w:r w:rsidRPr="00427322">
        <w:rPr>
          <w:shd w:val="clear" w:color="auto" w:fill="B4C6E7" w:themeFill="accent5" w:themeFillTint="66"/>
        </w:rPr>
        <w:t xml:space="preserve">Table </w:t>
      </w:r>
      <w:r w:rsidRPr="00427322">
        <w:rPr>
          <w:noProof/>
          <w:shd w:val="clear" w:color="auto" w:fill="B4C6E7" w:themeFill="accent5" w:themeFillTint="66"/>
        </w:rPr>
        <w:t>20</w:t>
      </w:r>
      <w:r w:rsidRPr="00427322">
        <w:rPr>
          <w:shd w:val="clear" w:color="auto" w:fill="B4C6E7" w:themeFill="accent5" w:themeFillTint="66"/>
        </w:rPr>
        <w:fldChar w:fldCharType="end"/>
      </w:r>
      <w:r>
        <w:rPr>
          <w:shd w:val="clear" w:color="auto" w:fill="B4C6E7" w:themeFill="accent5" w:themeFillTint="66"/>
        </w:rPr>
        <w:t xml:space="preserve"> </w:t>
      </w:r>
      <w:r w:rsidR="007D3920" w:rsidRPr="004807F5">
        <w:rPr>
          <w:shd w:val="clear" w:color="auto" w:fill="B4C6E7" w:themeFill="accent5" w:themeFillTint="66"/>
        </w:rPr>
        <w:t>shows MR severity results observed at 24 months in the CLASP and COAPT FMR populations. The results are unchanged</w:t>
      </w:r>
      <w:r w:rsidR="00BA7913">
        <w:rPr>
          <w:shd w:val="clear" w:color="auto" w:fill="B4C6E7" w:themeFill="accent5" w:themeFillTint="66"/>
        </w:rPr>
        <w:t xml:space="preserve"> from</w:t>
      </w:r>
      <w:r w:rsidR="007D3920" w:rsidRPr="004807F5">
        <w:rPr>
          <w:shd w:val="clear" w:color="auto" w:fill="B4C6E7" w:themeFill="accent5" w:themeFillTint="66"/>
        </w:rPr>
        <w:t xml:space="preserve"> the previous consideration. </w:t>
      </w:r>
      <w:r w:rsidR="007D3920">
        <w:t xml:space="preserve"> </w:t>
      </w:r>
    </w:p>
    <w:p w14:paraId="7620627B" w14:textId="6C45935A" w:rsidR="007D3920" w:rsidRDefault="007D3920" w:rsidP="007D3920">
      <w:pPr>
        <w:pStyle w:val="Caption"/>
      </w:pPr>
      <w:bookmarkStart w:id="63" w:name="_Ref117521880"/>
      <w:r>
        <w:t xml:space="preserve">Table </w:t>
      </w:r>
      <w:fldSimple w:instr=" SEQ Table \* ARABIC ">
        <w:r w:rsidR="00757BEA">
          <w:rPr>
            <w:noProof/>
          </w:rPr>
          <w:t>20</w:t>
        </w:r>
      </w:fldSimple>
      <w:bookmarkEnd w:id="63"/>
      <w:r>
        <w:tab/>
        <w:t>MAIC of MR severity at 24 months in FMR population (base case)</w:t>
      </w:r>
    </w:p>
    <w:tbl>
      <w:tblPr>
        <w:tblStyle w:val="Style2"/>
        <w:tblW w:w="5000" w:type="pct"/>
        <w:tblBorders>
          <w:left w:val="single" w:sz="4" w:space="0" w:color="auto"/>
          <w:right w:val="single" w:sz="4" w:space="0" w:color="auto"/>
          <w:insideV w:val="single" w:sz="4" w:space="0" w:color="auto"/>
        </w:tblBorders>
        <w:tblLook w:val="04A0" w:firstRow="1" w:lastRow="0" w:firstColumn="1" w:lastColumn="0" w:noHBand="0" w:noVBand="1"/>
      </w:tblPr>
      <w:tblGrid>
        <w:gridCol w:w="5613"/>
        <w:gridCol w:w="1857"/>
        <w:gridCol w:w="1853"/>
      </w:tblGrid>
      <w:tr w:rsidR="007D3920" w:rsidRPr="000330B2" w14:paraId="4B1191DC" w14:textId="77777777" w:rsidTr="00032E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pct"/>
            <w:shd w:val="clear" w:color="auto" w:fill="B4C6E7" w:themeFill="accent5" w:themeFillTint="66"/>
          </w:tcPr>
          <w:p w14:paraId="536F098F" w14:textId="77777777" w:rsidR="007D3920" w:rsidRPr="000330B2" w:rsidRDefault="007D3920" w:rsidP="00032E3D">
            <w:pPr>
              <w:spacing w:before="40" w:after="40" w:line="240" w:lineRule="auto"/>
              <w:rPr>
                <w:rFonts w:ascii="Arial Narrow" w:hAnsi="Arial Narrow"/>
              </w:rPr>
            </w:pPr>
            <w:r w:rsidRPr="000330B2">
              <w:rPr>
                <w:rFonts w:ascii="Arial Narrow" w:hAnsi="Arial Narrow"/>
              </w:rPr>
              <w:t>MR severity</w:t>
            </w:r>
          </w:p>
        </w:tc>
        <w:tc>
          <w:tcPr>
            <w:tcW w:w="996" w:type="pct"/>
            <w:shd w:val="clear" w:color="auto" w:fill="B4C6E7" w:themeFill="accent5" w:themeFillTint="66"/>
          </w:tcPr>
          <w:p w14:paraId="65CE9CF9" w14:textId="77777777" w:rsidR="007D3920" w:rsidRPr="000330B2" w:rsidRDefault="007D3920" w:rsidP="00032E3D">
            <w:pPr>
              <w:spacing w:before="40" w:after="40"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0330B2">
              <w:rPr>
                <w:rFonts w:ascii="Arial Narrow" w:hAnsi="Arial Narrow"/>
              </w:rPr>
              <w:t>CLASP (weighted)</w:t>
            </w:r>
          </w:p>
        </w:tc>
        <w:tc>
          <w:tcPr>
            <w:tcW w:w="994" w:type="pct"/>
            <w:shd w:val="clear" w:color="auto" w:fill="B4C6E7" w:themeFill="accent5" w:themeFillTint="66"/>
          </w:tcPr>
          <w:p w14:paraId="4268D71F" w14:textId="77777777" w:rsidR="007D3920" w:rsidRPr="000330B2" w:rsidRDefault="007D3920" w:rsidP="00032E3D">
            <w:pPr>
              <w:spacing w:before="40" w:after="40"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0330B2">
              <w:rPr>
                <w:rFonts w:ascii="Arial Narrow" w:hAnsi="Arial Narrow"/>
              </w:rPr>
              <w:t>COAPT</w:t>
            </w:r>
          </w:p>
        </w:tc>
      </w:tr>
      <w:tr w:rsidR="007D3920" w:rsidRPr="000330B2" w14:paraId="65D9E934" w14:textId="77777777" w:rsidTr="00032E3D">
        <w:tc>
          <w:tcPr>
            <w:cnfStyle w:val="001000000000" w:firstRow="0" w:lastRow="0" w:firstColumn="1" w:lastColumn="0" w:oddVBand="0" w:evenVBand="0" w:oddHBand="0" w:evenHBand="0" w:firstRowFirstColumn="0" w:firstRowLastColumn="0" w:lastRowFirstColumn="0" w:lastRowLastColumn="0"/>
            <w:tcW w:w="3010" w:type="pct"/>
            <w:shd w:val="clear" w:color="auto" w:fill="B4C6E7" w:themeFill="accent5" w:themeFillTint="66"/>
          </w:tcPr>
          <w:p w14:paraId="7C157757" w14:textId="77777777" w:rsidR="007D3920" w:rsidRPr="000330B2" w:rsidRDefault="007D3920" w:rsidP="00032E3D">
            <w:pPr>
              <w:spacing w:before="40" w:after="40"/>
              <w:rPr>
                <w:rFonts w:ascii="Arial Narrow" w:hAnsi="Arial Narrow"/>
              </w:rPr>
            </w:pPr>
            <w:r w:rsidRPr="000330B2">
              <w:rPr>
                <w:rFonts w:ascii="Arial Narrow" w:hAnsi="Arial Narrow"/>
              </w:rPr>
              <w:t>None/trace or mild (0-1+)</w:t>
            </w:r>
          </w:p>
        </w:tc>
        <w:tc>
          <w:tcPr>
            <w:tcW w:w="996" w:type="pct"/>
            <w:shd w:val="clear" w:color="auto" w:fill="B4C6E7" w:themeFill="accent5" w:themeFillTint="66"/>
          </w:tcPr>
          <w:p w14:paraId="5E903D50" w14:textId="77777777" w:rsidR="007D3920" w:rsidRPr="000330B2" w:rsidRDefault="007D3920"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330B2">
              <w:rPr>
                <w:rFonts w:ascii="Arial Narrow" w:hAnsi="Arial Narrow"/>
              </w:rPr>
              <w:t>77.96%</w:t>
            </w:r>
          </w:p>
        </w:tc>
        <w:tc>
          <w:tcPr>
            <w:tcW w:w="994" w:type="pct"/>
            <w:shd w:val="clear" w:color="auto" w:fill="B4C6E7" w:themeFill="accent5" w:themeFillTint="66"/>
          </w:tcPr>
          <w:p w14:paraId="5E8D17E1" w14:textId="77777777" w:rsidR="007D3920" w:rsidRPr="000330B2" w:rsidRDefault="007D3920"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330B2">
              <w:rPr>
                <w:rFonts w:ascii="Arial Narrow" w:hAnsi="Arial Narrow"/>
              </w:rPr>
              <w:t>77.20%</w:t>
            </w:r>
          </w:p>
        </w:tc>
      </w:tr>
      <w:tr w:rsidR="007D3920" w:rsidRPr="000330B2" w14:paraId="07A823ED" w14:textId="77777777" w:rsidTr="00032E3D">
        <w:tc>
          <w:tcPr>
            <w:cnfStyle w:val="001000000000" w:firstRow="0" w:lastRow="0" w:firstColumn="1" w:lastColumn="0" w:oddVBand="0" w:evenVBand="0" w:oddHBand="0" w:evenHBand="0" w:firstRowFirstColumn="0" w:firstRowLastColumn="0" w:lastRowFirstColumn="0" w:lastRowLastColumn="0"/>
            <w:tcW w:w="3010" w:type="pct"/>
            <w:shd w:val="clear" w:color="auto" w:fill="B4C6E7" w:themeFill="accent5" w:themeFillTint="66"/>
          </w:tcPr>
          <w:p w14:paraId="73D46141" w14:textId="77777777" w:rsidR="007D3920" w:rsidRPr="000330B2" w:rsidRDefault="007D3920" w:rsidP="00032E3D">
            <w:pPr>
              <w:spacing w:before="40" w:after="40"/>
              <w:ind w:left="170"/>
              <w:rPr>
                <w:rFonts w:ascii="Arial Narrow" w:hAnsi="Arial Narrow"/>
              </w:rPr>
            </w:pPr>
            <w:r w:rsidRPr="000330B2">
              <w:rPr>
                <w:rFonts w:ascii="Arial Narrow" w:hAnsi="Arial Narrow"/>
              </w:rPr>
              <w:t>None/trace (0)</w:t>
            </w:r>
          </w:p>
        </w:tc>
        <w:tc>
          <w:tcPr>
            <w:tcW w:w="996" w:type="pct"/>
            <w:shd w:val="clear" w:color="auto" w:fill="B4C6E7" w:themeFill="accent5" w:themeFillTint="66"/>
          </w:tcPr>
          <w:p w14:paraId="35A3F400" w14:textId="77777777" w:rsidR="007D3920" w:rsidRPr="000330B2" w:rsidRDefault="007D3920"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330B2">
              <w:rPr>
                <w:rFonts w:ascii="Arial Narrow" w:hAnsi="Arial Narrow"/>
              </w:rPr>
              <w:t>25.51%</w:t>
            </w:r>
          </w:p>
        </w:tc>
        <w:tc>
          <w:tcPr>
            <w:tcW w:w="994" w:type="pct"/>
            <w:shd w:val="clear" w:color="auto" w:fill="B4C6E7" w:themeFill="accent5" w:themeFillTint="66"/>
          </w:tcPr>
          <w:p w14:paraId="6DD4615D" w14:textId="77777777" w:rsidR="007D3920" w:rsidRPr="000330B2" w:rsidRDefault="007D3920"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330B2">
              <w:rPr>
                <w:rFonts w:ascii="Arial Narrow" w:hAnsi="Arial Narrow"/>
              </w:rPr>
              <w:t>0.88%</w:t>
            </w:r>
          </w:p>
        </w:tc>
      </w:tr>
      <w:tr w:rsidR="007D3920" w:rsidRPr="000330B2" w14:paraId="456DA901" w14:textId="77777777" w:rsidTr="00032E3D">
        <w:tc>
          <w:tcPr>
            <w:cnfStyle w:val="001000000000" w:firstRow="0" w:lastRow="0" w:firstColumn="1" w:lastColumn="0" w:oddVBand="0" w:evenVBand="0" w:oddHBand="0" w:evenHBand="0" w:firstRowFirstColumn="0" w:firstRowLastColumn="0" w:lastRowFirstColumn="0" w:lastRowLastColumn="0"/>
            <w:tcW w:w="3010" w:type="pct"/>
            <w:shd w:val="clear" w:color="auto" w:fill="B4C6E7" w:themeFill="accent5" w:themeFillTint="66"/>
          </w:tcPr>
          <w:p w14:paraId="5876E761" w14:textId="77777777" w:rsidR="007D3920" w:rsidRPr="000330B2" w:rsidRDefault="007D3920" w:rsidP="00032E3D">
            <w:pPr>
              <w:spacing w:before="40" w:after="40"/>
              <w:ind w:left="170"/>
              <w:rPr>
                <w:rFonts w:ascii="Arial Narrow" w:hAnsi="Arial Narrow"/>
              </w:rPr>
            </w:pPr>
            <w:r w:rsidRPr="000330B2">
              <w:rPr>
                <w:rFonts w:ascii="Arial Narrow" w:hAnsi="Arial Narrow"/>
              </w:rPr>
              <w:t>Mild (1+)</w:t>
            </w:r>
          </w:p>
        </w:tc>
        <w:tc>
          <w:tcPr>
            <w:tcW w:w="996" w:type="pct"/>
            <w:shd w:val="clear" w:color="auto" w:fill="B4C6E7" w:themeFill="accent5" w:themeFillTint="66"/>
          </w:tcPr>
          <w:p w14:paraId="64975B7D" w14:textId="77777777" w:rsidR="007D3920" w:rsidRPr="000330B2" w:rsidRDefault="007D3920"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330B2">
              <w:rPr>
                <w:rFonts w:ascii="Arial Narrow" w:hAnsi="Arial Narrow"/>
              </w:rPr>
              <w:t>52.45%</w:t>
            </w:r>
          </w:p>
        </w:tc>
        <w:tc>
          <w:tcPr>
            <w:tcW w:w="994" w:type="pct"/>
            <w:shd w:val="clear" w:color="auto" w:fill="B4C6E7" w:themeFill="accent5" w:themeFillTint="66"/>
          </w:tcPr>
          <w:p w14:paraId="1D9DAFCA" w14:textId="77777777" w:rsidR="007D3920" w:rsidRPr="000330B2" w:rsidRDefault="007D3920"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330B2">
              <w:rPr>
                <w:rFonts w:ascii="Arial Narrow" w:hAnsi="Arial Narrow"/>
              </w:rPr>
              <w:t>76.32%</w:t>
            </w:r>
          </w:p>
        </w:tc>
      </w:tr>
      <w:tr w:rsidR="007D3920" w:rsidRPr="000330B2" w14:paraId="7DF043EB" w14:textId="77777777" w:rsidTr="00032E3D">
        <w:tc>
          <w:tcPr>
            <w:cnfStyle w:val="001000000000" w:firstRow="0" w:lastRow="0" w:firstColumn="1" w:lastColumn="0" w:oddVBand="0" w:evenVBand="0" w:oddHBand="0" w:evenHBand="0" w:firstRowFirstColumn="0" w:firstRowLastColumn="0" w:lastRowFirstColumn="0" w:lastRowLastColumn="0"/>
            <w:tcW w:w="3010" w:type="pct"/>
            <w:shd w:val="clear" w:color="auto" w:fill="B4C6E7" w:themeFill="accent5" w:themeFillTint="66"/>
          </w:tcPr>
          <w:p w14:paraId="1AF9764A" w14:textId="77777777" w:rsidR="007D3920" w:rsidRPr="000330B2" w:rsidRDefault="007D3920" w:rsidP="00032E3D">
            <w:pPr>
              <w:spacing w:before="40" w:after="40"/>
              <w:rPr>
                <w:rFonts w:ascii="Arial Narrow" w:hAnsi="Arial Narrow"/>
              </w:rPr>
            </w:pPr>
            <w:r w:rsidRPr="000330B2">
              <w:rPr>
                <w:rFonts w:ascii="Arial Narrow" w:hAnsi="Arial Narrow"/>
              </w:rPr>
              <w:t>Mild-moderate (2+)</w:t>
            </w:r>
          </w:p>
        </w:tc>
        <w:tc>
          <w:tcPr>
            <w:tcW w:w="996" w:type="pct"/>
            <w:shd w:val="clear" w:color="auto" w:fill="B4C6E7" w:themeFill="accent5" w:themeFillTint="66"/>
          </w:tcPr>
          <w:p w14:paraId="6F3BB013" w14:textId="77777777" w:rsidR="007D3920" w:rsidRPr="000330B2" w:rsidRDefault="007D3920"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330B2">
              <w:rPr>
                <w:rFonts w:ascii="Arial Narrow" w:hAnsi="Arial Narrow"/>
              </w:rPr>
              <w:t>13.14%</w:t>
            </w:r>
          </w:p>
        </w:tc>
        <w:tc>
          <w:tcPr>
            <w:tcW w:w="994" w:type="pct"/>
            <w:shd w:val="clear" w:color="auto" w:fill="B4C6E7" w:themeFill="accent5" w:themeFillTint="66"/>
          </w:tcPr>
          <w:p w14:paraId="5FDEB5C6" w14:textId="77777777" w:rsidR="007D3920" w:rsidRPr="000330B2" w:rsidRDefault="007D3920"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330B2">
              <w:rPr>
                <w:rFonts w:ascii="Arial Narrow" w:hAnsi="Arial Narrow"/>
              </w:rPr>
              <w:t>21.93%</w:t>
            </w:r>
          </w:p>
        </w:tc>
      </w:tr>
      <w:tr w:rsidR="007D3920" w:rsidRPr="000330B2" w14:paraId="55376082" w14:textId="77777777" w:rsidTr="00032E3D">
        <w:tc>
          <w:tcPr>
            <w:cnfStyle w:val="001000000000" w:firstRow="0" w:lastRow="0" w:firstColumn="1" w:lastColumn="0" w:oddVBand="0" w:evenVBand="0" w:oddHBand="0" w:evenHBand="0" w:firstRowFirstColumn="0" w:firstRowLastColumn="0" w:lastRowFirstColumn="0" w:lastRowLastColumn="0"/>
            <w:tcW w:w="3010" w:type="pct"/>
            <w:shd w:val="clear" w:color="auto" w:fill="B4C6E7" w:themeFill="accent5" w:themeFillTint="66"/>
          </w:tcPr>
          <w:p w14:paraId="056A8A28" w14:textId="77777777" w:rsidR="007D3920" w:rsidRPr="000330B2" w:rsidRDefault="007D3920" w:rsidP="00032E3D">
            <w:pPr>
              <w:spacing w:before="40" w:after="40"/>
              <w:rPr>
                <w:rFonts w:ascii="Arial Narrow" w:hAnsi="Arial Narrow"/>
              </w:rPr>
            </w:pPr>
            <w:r w:rsidRPr="000330B2">
              <w:rPr>
                <w:rFonts w:ascii="Arial Narrow" w:hAnsi="Arial Narrow"/>
              </w:rPr>
              <w:t>Moderate-severe or severe (3+ or 4+)</w:t>
            </w:r>
          </w:p>
        </w:tc>
        <w:tc>
          <w:tcPr>
            <w:tcW w:w="996" w:type="pct"/>
            <w:shd w:val="clear" w:color="auto" w:fill="B4C6E7" w:themeFill="accent5" w:themeFillTint="66"/>
          </w:tcPr>
          <w:p w14:paraId="6342D6B4" w14:textId="77777777" w:rsidR="007D3920" w:rsidRPr="000330B2" w:rsidRDefault="007D3920"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330B2">
              <w:rPr>
                <w:rFonts w:ascii="Arial Narrow" w:hAnsi="Arial Narrow"/>
              </w:rPr>
              <w:t>8.90%</w:t>
            </w:r>
          </w:p>
        </w:tc>
        <w:tc>
          <w:tcPr>
            <w:tcW w:w="994" w:type="pct"/>
            <w:shd w:val="clear" w:color="auto" w:fill="B4C6E7" w:themeFill="accent5" w:themeFillTint="66"/>
          </w:tcPr>
          <w:p w14:paraId="16339DBF" w14:textId="77777777" w:rsidR="007D3920" w:rsidRPr="000330B2" w:rsidRDefault="007D3920"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330B2">
              <w:rPr>
                <w:rFonts w:ascii="Arial Narrow" w:hAnsi="Arial Narrow"/>
              </w:rPr>
              <w:t>0.88%</w:t>
            </w:r>
          </w:p>
        </w:tc>
      </w:tr>
      <w:tr w:rsidR="007D3920" w:rsidRPr="000330B2" w14:paraId="35906201" w14:textId="77777777" w:rsidTr="00032E3D">
        <w:tc>
          <w:tcPr>
            <w:cnfStyle w:val="001000000000" w:firstRow="0" w:lastRow="0" w:firstColumn="1" w:lastColumn="0" w:oddVBand="0" w:evenVBand="0" w:oddHBand="0" w:evenHBand="0" w:firstRowFirstColumn="0" w:firstRowLastColumn="0" w:lastRowFirstColumn="0" w:lastRowLastColumn="0"/>
            <w:tcW w:w="3010" w:type="pct"/>
            <w:shd w:val="clear" w:color="auto" w:fill="B4C6E7" w:themeFill="accent5" w:themeFillTint="66"/>
          </w:tcPr>
          <w:p w14:paraId="487E36F0" w14:textId="77777777" w:rsidR="007D3920" w:rsidRPr="000330B2" w:rsidRDefault="007D3920" w:rsidP="00032E3D">
            <w:pPr>
              <w:spacing w:before="40" w:after="40"/>
              <w:ind w:left="170"/>
              <w:rPr>
                <w:rFonts w:ascii="Arial Narrow" w:hAnsi="Arial Narrow"/>
              </w:rPr>
            </w:pPr>
            <w:r w:rsidRPr="000330B2">
              <w:rPr>
                <w:rFonts w:ascii="Arial Narrow" w:hAnsi="Arial Narrow"/>
              </w:rPr>
              <w:t>Moderate-severe (3+)</w:t>
            </w:r>
          </w:p>
        </w:tc>
        <w:tc>
          <w:tcPr>
            <w:tcW w:w="996" w:type="pct"/>
            <w:shd w:val="clear" w:color="auto" w:fill="B4C6E7" w:themeFill="accent5" w:themeFillTint="66"/>
          </w:tcPr>
          <w:p w14:paraId="2D0E7B9E" w14:textId="77777777" w:rsidR="007D3920" w:rsidRPr="000330B2" w:rsidRDefault="007D3920"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330B2">
              <w:rPr>
                <w:rFonts w:ascii="Arial Narrow" w:hAnsi="Arial Narrow"/>
              </w:rPr>
              <w:t>8.90%</w:t>
            </w:r>
          </w:p>
        </w:tc>
        <w:tc>
          <w:tcPr>
            <w:tcW w:w="994" w:type="pct"/>
            <w:shd w:val="clear" w:color="auto" w:fill="B4C6E7" w:themeFill="accent5" w:themeFillTint="66"/>
          </w:tcPr>
          <w:p w14:paraId="1FA91B7E" w14:textId="77777777" w:rsidR="007D3920" w:rsidRPr="000330B2" w:rsidRDefault="007D3920"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330B2">
              <w:rPr>
                <w:rFonts w:ascii="Arial Narrow" w:hAnsi="Arial Narrow"/>
              </w:rPr>
              <w:t>0%</w:t>
            </w:r>
          </w:p>
        </w:tc>
      </w:tr>
      <w:tr w:rsidR="007D3920" w:rsidRPr="000330B2" w14:paraId="54B589BF" w14:textId="77777777" w:rsidTr="00032E3D">
        <w:tc>
          <w:tcPr>
            <w:cnfStyle w:val="001000000000" w:firstRow="0" w:lastRow="0" w:firstColumn="1" w:lastColumn="0" w:oddVBand="0" w:evenVBand="0" w:oddHBand="0" w:evenHBand="0" w:firstRowFirstColumn="0" w:firstRowLastColumn="0" w:lastRowFirstColumn="0" w:lastRowLastColumn="0"/>
            <w:tcW w:w="3010" w:type="pct"/>
            <w:shd w:val="clear" w:color="auto" w:fill="B4C6E7" w:themeFill="accent5" w:themeFillTint="66"/>
          </w:tcPr>
          <w:p w14:paraId="7F0C80CC" w14:textId="77777777" w:rsidR="007D3920" w:rsidRPr="000330B2" w:rsidRDefault="007D3920" w:rsidP="00032E3D">
            <w:pPr>
              <w:spacing w:before="40" w:after="40"/>
              <w:ind w:left="170"/>
              <w:rPr>
                <w:rFonts w:ascii="Arial Narrow" w:hAnsi="Arial Narrow"/>
              </w:rPr>
            </w:pPr>
            <w:r w:rsidRPr="000330B2">
              <w:rPr>
                <w:rFonts w:ascii="Arial Narrow" w:hAnsi="Arial Narrow"/>
              </w:rPr>
              <w:t>Severe (4+)</w:t>
            </w:r>
          </w:p>
        </w:tc>
        <w:tc>
          <w:tcPr>
            <w:tcW w:w="996" w:type="pct"/>
            <w:shd w:val="clear" w:color="auto" w:fill="B4C6E7" w:themeFill="accent5" w:themeFillTint="66"/>
          </w:tcPr>
          <w:p w14:paraId="1DB61A68" w14:textId="77777777" w:rsidR="007D3920" w:rsidRPr="000330B2" w:rsidRDefault="007D3920"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330B2">
              <w:rPr>
                <w:rFonts w:ascii="Arial Narrow" w:hAnsi="Arial Narrow"/>
              </w:rPr>
              <w:t>0%</w:t>
            </w:r>
          </w:p>
        </w:tc>
        <w:tc>
          <w:tcPr>
            <w:tcW w:w="994" w:type="pct"/>
            <w:shd w:val="clear" w:color="auto" w:fill="B4C6E7" w:themeFill="accent5" w:themeFillTint="66"/>
          </w:tcPr>
          <w:p w14:paraId="6E1FCAD7" w14:textId="77777777" w:rsidR="007D3920" w:rsidRPr="000330B2" w:rsidRDefault="007D3920"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330B2">
              <w:rPr>
                <w:rFonts w:ascii="Arial Narrow" w:hAnsi="Arial Narrow"/>
              </w:rPr>
              <w:t>0.88%</w:t>
            </w:r>
          </w:p>
        </w:tc>
      </w:tr>
    </w:tbl>
    <w:p w14:paraId="5372571A" w14:textId="77777777" w:rsidR="007D3920" w:rsidRPr="0082660E" w:rsidRDefault="007D3920" w:rsidP="007D3920">
      <w:pPr>
        <w:pStyle w:val="TableFigureFooter"/>
        <w:spacing w:before="0" w:after="0"/>
      </w:pPr>
      <w:r w:rsidRPr="0082660E">
        <w:t xml:space="preserve"> MAIC=matching adjusted indirect comparison; MR=mitral regurgitation</w:t>
      </w:r>
    </w:p>
    <w:p w14:paraId="58787F7C" w14:textId="77777777" w:rsidR="00E13326" w:rsidRPr="00427322" w:rsidRDefault="00E13326" w:rsidP="00E13326">
      <w:pPr>
        <w:pStyle w:val="Tablenotes"/>
      </w:pPr>
      <w:r w:rsidRPr="00427322">
        <w:t xml:space="preserve">Cells </w:t>
      </w:r>
      <w:r w:rsidRPr="00427322">
        <w:rPr>
          <w:shd w:val="clear" w:color="auto" w:fill="B4C6E7" w:themeFill="accent5" w:themeFillTint="66"/>
        </w:rPr>
        <w:t>shaded in blue</w:t>
      </w:r>
      <w:r w:rsidRPr="00427322">
        <w:t xml:space="preserve"> represent results previously considered by MSAC</w:t>
      </w:r>
    </w:p>
    <w:p w14:paraId="450F8E1D" w14:textId="77777777" w:rsidR="007D3920" w:rsidRDefault="007D3920" w:rsidP="007D3920">
      <w:pPr>
        <w:rPr>
          <w:lang w:eastAsia="en-AU"/>
        </w:rPr>
      </w:pPr>
      <w:r w:rsidRPr="004807F5">
        <w:rPr>
          <w:shd w:val="clear" w:color="auto" w:fill="B4C6E7" w:themeFill="accent5" w:themeFillTint="66"/>
          <w:lang w:eastAsia="en-AU"/>
        </w:rPr>
        <w:t xml:space="preserve">The proportion of PASCAL patients no longer experiencing MR (or just traces, grade 0+) was much higher than proportion of </w:t>
      </w:r>
      <w:proofErr w:type="spellStart"/>
      <w:r w:rsidRPr="004807F5">
        <w:rPr>
          <w:shd w:val="clear" w:color="auto" w:fill="B4C6E7" w:themeFill="accent5" w:themeFillTint="66"/>
          <w:lang w:eastAsia="en-AU"/>
        </w:rPr>
        <w:t>MitraClip</w:t>
      </w:r>
      <w:proofErr w:type="spellEnd"/>
      <w:r w:rsidRPr="004807F5">
        <w:rPr>
          <w:shd w:val="clear" w:color="auto" w:fill="B4C6E7" w:themeFill="accent5" w:themeFillTint="66"/>
          <w:lang w:eastAsia="en-AU"/>
        </w:rPr>
        <w:t xml:space="preserve"> patients (26% and 0.88% respectively).</w:t>
      </w:r>
      <w:r w:rsidRPr="00942C66">
        <w:rPr>
          <w:lang w:eastAsia="en-AU"/>
        </w:rPr>
        <w:t xml:space="preserve"> </w:t>
      </w:r>
    </w:p>
    <w:p w14:paraId="00CBC60E" w14:textId="4432CD6B" w:rsidR="007D3920" w:rsidRDefault="007D3920" w:rsidP="007D3920">
      <w:pPr>
        <w:rPr>
          <w:i/>
          <w:iCs/>
          <w:lang w:eastAsia="en-AU"/>
        </w:rPr>
      </w:pPr>
      <w:r w:rsidRPr="004807F5">
        <w:rPr>
          <w:shd w:val="clear" w:color="auto" w:fill="B4C6E7" w:themeFill="accent5" w:themeFillTint="66"/>
          <w:lang w:eastAsia="en-AU"/>
        </w:rPr>
        <w:t xml:space="preserve">Both unadjusted and weighted logistic regression results indicated </w:t>
      </w:r>
      <w:r w:rsidRPr="004807F5">
        <w:rPr>
          <w:shd w:val="clear" w:color="auto" w:fill="B4C6E7" w:themeFill="accent5" w:themeFillTint="66"/>
        </w:rPr>
        <w:t>that the odds of PASCAL patients achieving MR severity 0+ after 24 months were much higher and these results were statistically significant</w:t>
      </w:r>
      <w:r>
        <w:t xml:space="preserve"> (</w:t>
      </w:r>
      <w:r w:rsidR="00757BEA">
        <w:fldChar w:fldCharType="begin"/>
      </w:r>
      <w:r w:rsidR="00757BEA">
        <w:instrText xml:space="preserve"> REF _Ref117521985 \h </w:instrText>
      </w:r>
      <w:r w:rsidR="00757BEA">
        <w:fldChar w:fldCharType="separate"/>
      </w:r>
      <w:r w:rsidR="00757BEA">
        <w:t xml:space="preserve">Table </w:t>
      </w:r>
      <w:r w:rsidR="00757BEA">
        <w:rPr>
          <w:noProof/>
        </w:rPr>
        <w:t>21</w:t>
      </w:r>
      <w:r w:rsidR="00757BEA">
        <w:fldChar w:fldCharType="end"/>
      </w:r>
      <w:r>
        <w:t>)</w:t>
      </w:r>
      <w:r w:rsidRPr="00942C66">
        <w:t xml:space="preserve">. </w:t>
      </w:r>
      <w:r w:rsidRPr="00942C66">
        <w:rPr>
          <w:lang w:eastAsia="en-AU"/>
        </w:rPr>
        <w:t xml:space="preserve">However, the </w:t>
      </w:r>
      <w:r w:rsidRPr="00942C66">
        <w:t xml:space="preserve">odds of PASCAL patients achieving MR severity </w:t>
      </w:r>
      <w:r w:rsidRPr="00942C66">
        <w:rPr>
          <w:lang w:eastAsia="en-AU"/>
        </w:rPr>
        <w:t xml:space="preserve">in the next severity category (1+) were not statistically different from </w:t>
      </w:r>
      <w:proofErr w:type="spellStart"/>
      <w:r w:rsidRPr="00942C66">
        <w:rPr>
          <w:lang w:eastAsia="en-AU"/>
        </w:rPr>
        <w:t>MitraClip</w:t>
      </w:r>
      <w:proofErr w:type="spellEnd"/>
      <w:r w:rsidRPr="00942C66">
        <w:rPr>
          <w:lang w:eastAsia="en-AU"/>
        </w:rPr>
        <w:t xml:space="preserve"> patients.</w:t>
      </w:r>
      <w:r w:rsidRPr="00942C66">
        <w:t xml:space="preserve"> In the</w:t>
      </w:r>
      <w:r w:rsidRPr="00942C66">
        <w:rPr>
          <w:lang w:eastAsia="en-AU"/>
        </w:rPr>
        <w:t xml:space="preserve"> current ADAR, the 24-month MR severity in grades 0 and 1+ were pooled in a single category. The recalculated </w:t>
      </w:r>
      <w:r w:rsidRPr="00942C66">
        <w:rPr>
          <w:lang w:eastAsia="en-AU"/>
        </w:rPr>
        <w:lastRenderedPageBreak/>
        <w:t xml:space="preserve">weighted logistic regression results indicated </w:t>
      </w:r>
      <w:r w:rsidRPr="00942C66">
        <w:t xml:space="preserve">that the odds of PASCAL patients achieving MR severity in the aggregated 0-1+ category were no longer significantly higher in comparison to </w:t>
      </w:r>
      <w:proofErr w:type="spellStart"/>
      <w:r w:rsidRPr="00942C66">
        <w:rPr>
          <w:lang w:eastAsia="en-AU"/>
        </w:rPr>
        <w:t>MitraClip</w:t>
      </w:r>
      <w:proofErr w:type="spellEnd"/>
      <w:r w:rsidRPr="00942C66">
        <w:rPr>
          <w:lang w:eastAsia="en-AU"/>
        </w:rPr>
        <w:t xml:space="preserve"> patients</w:t>
      </w:r>
      <w:r w:rsidRPr="00942C66">
        <w:t xml:space="preserve"> </w:t>
      </w:r>
      <w:r w:rsidRPr="00942C66">
        <w:rPr>
          <w:lang w:eastAsia="en-AU"/>
        </w:rPr>
        <w:t xml:space="preserve">(OR=1.045; 95% CI 0.287-3.800). </w:t>
      </w:r>
      <w:r w:rsidRPr="00427322">
        <w:rPr>
          <w:lang w:eastAsia="en-AU"/>
        </w:rPr>
        <w:t>However, a more informative analysis that would be in line with presentation of results in the MSAC 1662 PSD (Table 9, p.18) with respect to the MR grade 2+ or lower was not undertaken.</w:t>
      </w:r>
      <w:r w:rsidRPr="00757BEA">
        <w:rPr>
          <w:lang w:eastAsia="en-AU"/>
        </w:rPr>
        <w:t xml:space="preserve"> </w:t>
      </w:r>
      <w:r w:rsidRPr="00427322">
        <w:rPr>
          <w:lang w:eastAsia="en-AU"/>
        </w:rPr>
        <w:t>Results of the sensitivity analysis (i.e. adding STS scores to the list of the parameters for matching) using the pooled (0-1+) MR severity category were not reported.</w:t>
      </w:r>
      <w:r w:rsidRPr="00091167">
        <w:rPr>
          <w:i/>
          <w:iCs/>
          <w:lang w:eastAsia="en-AU"/>
        </w:rPr>
        <w:t xml:space="preserve"> </w:t>
      </w:r>
    </w:p>
    <w:p w14:paraId="2479C08F" w14:textId="6BFF6719" w:rsidR="007D3920" w:rsidRDefault="007D3920" w:rsidP="007D3920">
      <w:pPr>
        <w:pStyle w:val="Caption"/>
      </w:pPr>
      <w:bookmarkStart w:id="64" w:name="_Ref117521985"/>
      <w:r>
        <w:t xml:space="preserve">Table </w:t>
      </w:r>
      <w:fldSimple w:instr=" SEQ Table \* ARABIC ">
        <w:r w:rsidR="00757BEA">
          <w:rPr>
            <w:noProof/>
          </w:rPr>
          <w:t>21</w:t>
        </w:r>
      </w:fldSimple>
      <w:bookmarkEnd w:id="64"/>
      <w:r w:rsidRPr="008475AF">
        <w:rPr>
          <w:rFonts w:cs="Arial"/>
          <w:lang w:eastAsia="en-AU"/>
        </w:rPr>
        <w:t xml:space="preserve"> </w:t>
      </w:r>
      <w:r w:rsidRPr="00EB2555">
        <w:rPr>
          <w:rFonts w:cs="Arial"/>
          <w:lang w:eastAsia="en-AU"/>
        </w:rPr>
        <w:t xml:space="preserve">Hazard ratios with 95% CI’s for the comparison of </w:t>
      </w:r>
      <w:r w:rsidRPr="008475AF">
        <w:rPr>
          <w:rFonts w:cs="Arial"/>
          <w:lang w:eastAsia="en-AU"/>
        </w:rPr>
        <w:t>MR severity</w:t>
      </w:r>
      <w:r>
        <w:rPr>
          <w:rFonts w:cs="Arial"/>
          <w:lang w:eastAsia="en-AU"/>
        </w:rPr>
        <w:t xml:space="preserve"> at 24 months (</w:t>
      </w:r>
      <w:r w:rsidRPr="008475AF">
        <w:rPr>
          <w:rFonts w:cs="Arial"/>
          <w:lang w:eastAsia="en-AU"/>
        </w:rPr>
        <w:t>CLASP vs COAPT</w:t>
      </w:r>
      <w:r>
        <w:rPr>
          <w:rFonts w:cs="Arial"/>
          <w:lang w:eastAsia="en-AU"/>
        </w:rPr>
        <w:t>)</w:t>
      </w:r>
    </w:p>
    <w:tbl>
      <w:tblPr>
        <w:tblStyle w:val="TableGrid271"/>
        <w:tblW w:w="0" w:type="auto"/>
        <w:tblLook w:val="04A0" w:firstRow="1" w:lastRow="0" w:firstColumn="1" w:lastColumn="0" w:noHBand="0" w:noVBand="1"/>
        <w:tblDescription w:val="Hazard ratios with 95% CI’s for the comparison of overall survival"/>
      </w:tblPr>
      <w:tblGrid>
        <w:gridCol w:w="1838"/>
        <w:gridCol w:w="2126"/>
        <w:gridCol w:w="2268"/>
        <w:gridCol w:w="2784"/>
      </w:tblGrid>
      <w:tr w:rsidR="007D3920" w:rsidRPr="00EB2555" w14:paraId="64900ACB" w14:textId="77777777" w:rsidTr="00032E3D">
        <w:trPr>
          <w:tblHeader/>
        </w:trPr>
        <w:tc>
          <w:tcPr>
            <w:tcW w:w="1838" w:type="dxa"/>
          </w:tcPr>
          <w:p w14:paraId="6DDCEDA3" w14:textId="77777777" w:rsidR="007D3920" w:rsidRPr="00EB2555" w:rsidRDefault="007D3920" w:rsidP="00032E3D">
            <w:pPr>
              <w:keepNext/>
              <w:spacing w:before="40" w:after="40"/>
              <w:ind w:left="1134" w:hanging="1134"/>
              <w:jc w:val="both"/>
              <w:rPr>
                <w:rFonts w:ascii="Arial Narrow" w:eastAsia="Times New Roman" w:hAnsi="Arial Narrow" w:cs="Tahoma"/>
                <w:b/>
                <w:noProof/>
                <w:sz w:val="20"/>
                <w:szCs w:val="20"/>
                <w:lang w:eastAsia="en-AU"/>
              </w:rPr>
            </w:pPr>
            <w:r w:rsidRPr="00EB2555">
              <w:rPr>
                <w:rFonts w:ascii="Arial Narrow" w:eastAsia="Times New Roman" w:hAnsi="Arial Narrow" w:cs="Tahoma"/>
                <w:b/>
                <w:noProof/>
                <w:sz w:val="20"/>
                <w:szCs w:val="20"/>
                <w:lang w:eastAsia="en-AU"/>
              </w:rPr>
              <w:t>MAIC</w:t>
            </w:r>
          </w:p>
        </w:tc>
        <w:tc>
          <w:tcPr>
            <w:tcW w:w="2126" w:type="dxa"/>
          </w:tcPr>
          <w:p w14:paraId="4F957AB1" w14:textId="77777777" w:rsidR="007D3920" w:rsidRPr="00EB2555" w:rsidRDefault="007D3920" w:rsidP="00032E3D">
            <w:pPr>
              <w:keepNext/>
              <w:spacing w:before="40" w:after="40"/>
              <w:ind w:left="1134" w:hanging="1134"/>
              <w:jc w:val="center"/>
              <w:rPr>
                <w:rFonts w:ascii="Arial Narrow" w:eastAsia="Times New Roman" w:hAnsi="Arial Narrow" w:cs="Tahoma"/>
                <w:b/>
                <w:noProof/>
                <w:sz w:val="20"/>
                <w:szCs w:val="20"/>
                <w:lang w:eastAsia="en-AU"/>
              </w:rPr>
            </w:pPr>
            <w:r w:rsidRPr="00EB2555">
              <w:rPr>
                <w:rFonts w:ascii="Arial Narrow" w:eastAsia="Times New Roman" w:hAnsi="Arial Narrow" w:cs="Tahoma"/>
                <w:b/>
                <w:noProof/>
                <w:sz w:val="20"/>
                <w:szCs w:val="20"/>
                <w:lang w:eastAsia="en-AU"/>
              </w:rPr>
              <w:t>Matching</w:t>
            </w:r>
          </w:p>
        </w:tc>
        <w:tc>
          <w:tcPr>
            <w:tcW w:w="2268" w:type="dxa"/>
          </w:tcPr>
          <w:p w14:paraId="3490ACE5" w14:textId="77777777" w:rsidR="007D3920" w:rsidRPr="00EB2555" w:rsidRDefault="007D3920" w:rsidP="00032E3D">
            <w:pPr>
              <w:keepNext/>
              <w:spacing w:before="40" w:after="40"/>
              <w:ind w:left="1134" w:hanging="1134"/>
              <w:jc w:val="center"/>
              <w:rPr>
                <w:rFonts w:ascii="Arial Narrow" w:eastAsia="Times New Roman" w:hAnsi="Arial Narrow" w:cs="Tahoma"/>
                <w:b/>
                <w:noProof/>
                <w:sz w:val="20"/>
                <w:szCs w:val="20"/>
                <w:lang w:eastAsia="en-AU"/>
              </w:rPr>
            </w:pPr>
            <w:r w:rsidRPr="00EB2555">
              <w:rPr>
                <w:rFonts w:ascii="Arial Narrow" w:eastAsia="Times New Roman" w:hAnsi="Arial Narrow" w:cs="Tahoma"/>
                <w:b/>
                <w:noProof/>
                <w:sz w:val="20"/>
                <w:szCs w:val="20"/>
                <w:lang w:eastAsia="en-AU"/>
              </w:rPr>
              <w:t>Method</w:t>
            </w:r>
          </w:p>
        </w:tc>
        <w:tc>
          <w:tcPr>
            <w:tcW w:w="2784" w:type="dxa"/>
          </w:tcPr>
          <w:p w14:paraId="2D45A9CE" w14:textId="77777777" w:rsidR="007D3920" w:rsidRPr="00EB2555" w:rsidRDefault="007D3920" w:rsidP="00032E3D">
            <w:pPr>
              <w:keepNext/>
              <w:spacing w:before="40" w:after="40"/>
              <w:ind w:left="1134" w:hanging="1134"/>
              <w:jc w:val="center"/>
              <w:rPr>
                <w:rFonts w:ascii="Arial Narrow" w:eastAsia="Times New Roman" w:hAnsi="Arial Narrow" w:cs="Tahoma"/>
                <w:b/>
                <w:noProof/>
                <w:sz w:val="20"/>
                <w:szCs w:val="20"/>
                <w:lang w:eastAsia="en-AU"/>
              </w:rPr>
            </w:pPr>
            <w:r w:rsidRPr="00EB2555">
              <w:rPr>
                <w:rFonts w:ascii="Arial Narrow" w:eastAsia="Times New Roman" w:hAnsi="Arial Narrow" w:cs="Tahoma"/>
                <w:b/>
                <w:noProof/>
                <w:sz w:val="20"/>
                <w:szCs w:val="20"/>
                <w:lang w:eastAsia="en-AU"/>
              </w:rPr>
              <w:t>Hazard ratio (95% CI)</w:t>
            </w:r>
          </w:p>
        </w:tc>
      </w:tr>
      <w:tr w:rsidR="007D3920" w:rsidRPr="00EB2555" w14:paraId="207E9DBE" w14:textId="77777777" w:rsidTr="00032E3D">
        <w:trPr>
          <w:tblHeader/>
        </w:trPr>
        <w:tc>
          <w:tcPr>
            <w:tcW w:w="1838" w:type="dxa"/>
            <w:vMerge w:val="restart"/>
          </w:tcPr>
          <w:p w14:paraId="04FAE81D" w14:textId="77777777" w:rsidR="007D3920" w:rsidRPr="00EB2555" w:rsidRDefault="007D3920" w:rsidP="00032E3D">
            <w:pPr>
              <w:spacing w:before="40" w:after="40"/>
              <w:rPr>
                <w:rFonts w:ascii="Arial Narrow" w:eastAsia="Times New Roman" w:hAnsi="Arial Narrow"/>
                <w:sz w:val="20"/>
                <w:szCs w:val="24"/>
              </w:rPr>
            </w:pPr>
            <w:r>
              <w:rPr>
                <w:rFonts w:ascii="Arial Narrow" w:eastAsia="Times New Roman" w:hAnsi="Arial Narrow"/>
                <w:sz w:val="20"/>
                <w:szCs w:val="24"/>
              </w:rPr>
              <w:t>MR severity 0+</w:t>
            </w:r>
          </w:p>
        </w:tc>
        <w:tc>
          <w:tcPr>
            <w:tcW w:w="2126" w:type="dxa"/>
            <w:vMerge w:val="restart"/>
            <w:shd w:val="clear" w:color="auto" w:fill="B4C6E7" w:themeFill="accent5" w:themeFillTint="66"/>
          </w:tcPr>
          <w:p w14:paraId="28A75643" w14:textId="77777777" w:rsidR="007D3920" w:rsidRPr="00EB2555" w:rsidRDefault="007D3920" w:rsidP="00032E3D">
            <w:pPr>
              <w:spacing w:before="40" w:after="40"/>
              <w:jc w:val="center"/>
              <w:rPr>
                <w:rFonts w:ascii="Arial Narrow" w:eastAsia="Times New Roman" w:hAnsi="Arial Narrow"/>
                <w:sz w:val="20"/>
                <w:szCs w:val="24"/>
              </w:rPr>
            </w:pPr>
            <w:r w:rsidRPr="00EB2555">
              <w:rPr>
                <w:rFonts w:ascii="Arial Narrow" w:eastAsia="Times New Roman" w:hAnsi="Arial Narrow"/>
                <w:sz w:val="20"/>
                <w:szCs w:val="24"/>
              </w:rPr>
              <w:t>Base case</w:t>
            </w:r>
          </w:p>
        </w:tc>
        <w:tc>
          <w:tcPr>
            <w:tcW w:w="2268" w:type="dxa"/>
            <w:shd w:val="clear" w:color="auto" w:fill="B4C6E7" w:themeFill="accent5" w:themeFillTint="66"/>
          </w:tcPr>
          <w:p w14:paraId="36A504E2" w14:textId="77777777" w:rsidR="007D3920" w:rsidRPr="00EB2555" w:rsidRDefault="007D3920" w:rsidP="00032E3D">
            <w:pPr>
              <w:spacing w:before="40" w:after="40"/>
              <w:jc w:val="center"/>
              <w:rPr>
                <w:rFonts w:ascii="Arial Narrow" w:eastAsia="Times New Roman" w:hAnsi="Arial Narrow"/>
                <w:sz w:val="20"/>
                <w:szCs w:val="24"/>
              </w:rPr>
            </w:pPr>
            <w:r w:rsidRPr="00EB2555">
              <w:rPr>
                <w:rFonts w:ascii="Arial Narrow" w:eastAsia="Times New Roman" w:hAnsi="Arial Narrow"/>
                <w:sz w:val="20"/>
                <w:szCs w:val="24"/>
              </w:rPr>
              <w:t>Unadjusted Cox model</w:t>
            </w:r>
          </w:p>
        </w:tc>
        <w:tc>
          <w:tcPr>
            <w:tcW w:w="2784" w:type="dxa"/>
            <w:shd w:val="clear" w:color="auto" w:fill="B4C6E7" w:themeFill="accent5" w:themeFillTint="66"/>
          </w:tcPr>
          <w:p w14:paraId="73B922F2" w14:textId="77777777" w:rsidR="007D3920" w:rsidRPr="00EB2555" w:rsidRDefault="007D3920" w:rsidP="00032E3D">
            <w:pPr>
              <w:pStyle w:val="Tabletext0"/>
              <w:jc w:val="center"/>
              <w:rPr>
                <w:szCs w:val="24"/>
              </w:rPr>
            </w:pPr>
            <w:r w:rsidRPr="00C664D9">
              <w:t>52.73 (6.06, 458.8)</w:t>
            </w:r>
          </w:p>
        </w:tc>
      </w:tr>
      <w:tr w:rsidR="007D3920" w:rsidRPr="00EB2555" w14:paraId="2858BEFC" w14:textId="77777777" w:rsidTr="00032E3D">
        <w:trPr>
          <w:tblHeader/>
        </w:trPr>
        <w:tc>
          <w:tcPr>
            <w:tcW w:w="1838" w:type="dxa"/>
            <w:vMerge/>
          </w:tcPr>
          <w:p w14:paraId="3476575E" w14:textId="77777777" w:rsidR="007D3920" w:rsidRPr="00EB2555" w:rsidRDefault="007D3920" w:rsidP="00032E3D">
            <w:pPr>
              <w:spacing w:before="40" w:after="40"/>
              <w:rPr>
                <w:rFonts w:ascii="Arial Narrow" w:eastAsia="Times New Roman" w:hAnsi="Arial Narrow"/>
                <w:sz w:val="20"/>
                <w:szCs w:val="24"/>
              </w:rPr>
            </w:pPr>
          </w:p>
        </w:tc>
        <w:tc>
          <w:tcPr>
            <w:tcW w:w="2126" w:type="dxa"/>
            <w:vMerge/>
            <w:shd w:val="clear" w:color="auto" w:fill="B4C6E7" w:themeFill="accent5" w:themeFillTint="66"/>
          </w:tcPr>
          <w:p w14:paraId="3B0286B8" w14:textId="77777777" w:rsidR="007D3920" w:rsidRPr="00EB2555" w:rsidRDefault="007D3920" w:rsidP="00032E3D">
            <w:pPr>
              <w:spacing w:before="40" w:after="40"/>
              <w:jc w:val="center"/>
              <w:rPr>
                <w:rFonts w:ascii="Arial Narrow" w:eastAsia="Times New Roman" w:hAnsi="Arial Narrow"/>
                <w:sz w:val="20"/>
                <w:szCs w:val="24"/>
              </w:rPr>
            </w:pPr>
          </w:p>
        </w:tc>
        <w:tc>
          <w:tcPr>
            <w:tcW w:w="2268" w:type="dxa"/>
            <w:shd w:val="clear" w:color="auto" w:fill="B4C6E7" w:themeFill="accent5" w:themeFillTint="66"/>
          </w:tcPr>
          <w:p w14:paraId="6AF704F4" w14:textId="77777777" w:rsidR="007D3920" w:rsidRPr="00EB2555" w:rsidRDefault="007D3920" w:rsidP="00032E3D">
            <w:pPr>
              <w:spacing w:before="40" w:after="40"/>
              <w:jc w:val="center"/>
              <w:rPr>
                <w:rFonts w:ascii="Arial Narrow" w:eastAsia="Times New Roman" w:hAnsi="Arial Narrow"/>
                <w:sz w:val="20"/>
                <w:szCs w:val="24"/>
              </w:rPr>
            </w:pPr>
            <w:r w:rsidRPr="00EB2555">
              <w:rPr>
                <w:rFonts w:ascii="Arial Narrow" w:eastAsia="Times New Roman" w:hAnsi="Arial Narrow"/>
                <w:sz w:val="20"/>
                <w:szCs w:val="24"/>
              </w:rPr>
              <w:t>Weighted Cox model</w:t>
            </w:r>
          </w:p>
        </w:tc>
        <w:tc>
          <w:tcPr>
            <w:tcW w:w="2784" w:type="dxa"/>
            <w:shd w:val="clear" w:color="auto" w:fill="B4C6E7" w:themeFill="accent5" w:themeFillTint="66"/>
          </w:tcPr>
          <w:p w14:paraId="2185E2C1" w14:textId="77777777" w:rsidR="007D3920" w:rsidRPr="00EB2555" w:rsidRDefault="007D3920" w:rsidP="00032E3D">
            <w:pPr>
              <w:pStyle w:val="Tabletext0"/>
              <w:jc w:val="center"/>
              <w:rPr>
                <w:szCs w:val="24"/>
              </w:rPr>
            </w:pPr>
            <w:r w:rsidRPr="00C664D9">
              <w:t>38.</w:t>
            </w:r>
            <w:r>
              <w:t>70</w:t>
            </w:r>
            <w:r w:rsidRPr="00C664D9">
              <w:t xml:space="preserve"> (3.9</w:t>
            </w:r>
            <w:r>
              <w:t>5</w:t>
            </w:r>
            <w:r w:rsidRPr="00C664D9">
              <w:t>, 379.17)</w:t>
            </w:r>
          </w:p>
        </w:tc>
      </w:tr>
      <w:tr w:rsidR="007D3920" w:rsidRPr="00EB2555" w14:paraId="2678C4D3" w14:textId="77777777" w:rsidTr="00032E3D">
        <w:trPr>
          <w:tblHeader/>
        </w:trPr>
        <w:tc>
          <w:tcPr>
            <w:tcW w:w="1838" w:type="dxa"/>
            <w:vMerge/>
          </w:tcPr>
          <w:p w14:paraId="6FA39E37" w14:textId="77777777" w:rsidR="007D3920" w:rsidRPr="00EB2555" w:rsidRDefault="007D3920" w:rsidP="00032E3D">
            <w:pPr>
              <w:spacing w:before="40" w:after="40"/>
              <w:rPr>
                <w:rFonts w:ascii="Arial Narrow" w:eastAsia="Times New Roman" w:hAnsi="Arial Narrow"/>
                <w:sz w:val="20"/>
                <w:szCs w:val="24"/>
              </w:rPr>
            </w:pPr>
          </w:p>
        </w:tc>
        <w:tc>
          <w:tcPr>
            <w:tcW w:w="2126" w:type="dxa"/>
            <w:vMerge w:val="restart"/>
          </w:tcPr>
          <w:p w14:paraId="72F9878F" w14:textId="77777777" w:rsidR="007D3920" w:rsidRPr="00EB2555" w:rsidRDefault="007D3920" w:rsidP="00032E3D">
            <w:pPr>
              <w:spacing w:before="40" w:after="40"/>
              <w:jc w:val="center"/>
              <w:rPr>
                <w:rFonts w:ascii="Arial Narrow" w:eastAsia="Times New Roman" w:hAnsi="Arial Narrow"/>
                <w:sz w:val="20"/>
                <w:szCs w:val="24"/>
              </w:rPr>
            </w:pPr>
            <w:r>
              <w:rPr>
                <w:rFonts w:ascii="Arial Narrow" w:eastAsia="Times New Roman" w:hAnsi="Arial Narrow"/>
                <w:sz w:val="20"/>
                <w:szCs w:val="24"/>
              </w:rPr>
              <w:t>Bootstrap median HR</w:t>
            </w:r>
          </w:p>
        </w:tc>
        <w:tc>
          <w:tcPr>
            <w:tcW w:w="2268" w:type="dxa"/>
          </w:tcPr>
          <w:p w14:paraId="69D26239" w14:textId="77777777" w:rsidR="007D3920" w:rsidRPr="00EB2555" w:rsidRDefault="007D3920" w:rsidP="00032E3D">
            <w:pPr>
              <w:spacing w:before="40" w:after="40"/>
              <w:jc w:val="center"/>
              <w:rPr>
                <w:rFonts w:ascii="Arial Narrow" w:eastAsia="Times New Roman" w:hAnsi="Arial Narrow"/>
                <w:sz w:val="20"/>
                <w:szCs w:val="24"/>
              </w:rPr>
            </w:pPr>
            <w:r w:rsidRPr="00EB2555">
              <w:rPr>
                <w:rFonts w:ascii="Arial Narrow" w:eastAsia="Times New Roman" w:hAnsi="Arial Narrow"/>
                <w:sz w:val="20"/>
                <w:szCs w:val="24"/>
              </w:rPr>
              <w:t>95% percentile CI</w:t>
            </w:r>
          </w:p>
        </w:tc>
        <w:tc>
          <w:tcPr>
            <w:tcW w:w="2784" w:type="dxa"/>
          </w:tcPr>
          <w:p w14:paraId="470F067D" w14:textId="77777777" w:rsidR="007D3920" w:rsidRPr="00EB2555" w:rsidRDefault="007D3920" w:rsidP="00032E3D">
            <w:pPr>
              <w:pStyle w:val="Tabletext0"/>
              <w:jc w:val="center"/>
              <w:rPr>
                <w:szCs w:val="24"/>
              </w:rPr>
            </w:pPr>
            <w:r w:rsidRPr="00C664D9">
              <w:t>37.3</w:t>
            </w:r>
            <w:r>
              <w:t>3</w:t>
            </w:r>
            <w:r w:rsidRPr="00C664D9">
              <w:t xml:space="preserve"> (8.6</w:t>
            </w:r>
            <w:r>
              <w:t>5</w:t>
            </w:r>
            <w:r w:rsidRPr="00C664D9">
              <w:t>, 103.5</w:t>
            </w:r>
            <w:r>
              <w:t>7</w:t>
            </w:r>
            <w:r w:rsidRPr="00C664D9">
              <w:t>)</w:t>
            </w:r>
          </w:p>
        </w:tc>
      </w:tr>
      <w:tr w:rsidR="007D3920" w:rsidRPr="00EB2555" w14:paraId="13E1AC97" w14:textId="77777777" w:rsidTr="00032E3D">
        <w:trPr>
          <w:tblHeader/>
        </w:trPr>
        <w:tc>
          <w:tcPr>
            <w:tcW w:w="1838" w:type="dxa"/>
            <w:vMerge/>
          </w:tcPr>
          <w:p w14:paraId="02239D36" w14:textId="77777777" w:rsidR="007D3920" w:rsidRPr="00EB2555" w:rsidRDefault="007D3920" w:rsidP="00032E3D">
            <w:pPr>
              <w:spacing w:before="40" w:after="40"/>
              <w:rPr>
                <w:rFonts w:ascii="Arial Narrow" w:eastAsia="Times New Roman" w:hAnsi="Arial Narrow"/>
                <w:sz w:val="20"/>
                <w:szCs w:val="24"/>
              </w:rPr>
            </w:pPr>
          </w:p>
        </w:tc>
        <w:tc>
          <w:tcPr>
            <w:tcW w:w="2126" w:type="dxa"/>
            <w:vMerge/>
          </w:tcPr>
          <w:p w14:paraId="2B52C9D4" w14:textId="77777777" w:rsidR="007D3920" w:rsidRPr="00EB2555" w:rsidRDefault="007D3920" w:rsidP="00032E3D">
            <w:pPr>
              <w:spacing w:before="40" w:after="40"/>
              <w:jc w:val="center"/>
              <w:rPr>
                <w:rFonts w:ascii="Arial Narrow" w:eastAsia="Times New Roman" w:hAnsi="Arial Narrow"/>
                <w:sz w:val="20"/>
                <w:szCs w:val="24"/>
              </w:rPr>
            </w:pPr>
          </w:p>
        </w:tc>
        <w:tc>
          <w:tcPr>
            <w:tcW w:w="2268" w:type="dxa"/>
          </w:tcPr>
          <w:p w14:paraId="2215A01D" w14:textId="77777777" w:rsidR="007D3920" w:rsidRPr="00EB2555" w:rsidRDefault="007D3920" w:rsidP="00032E3D">
            <w:pPr>
              <w:spacing w:before="40" w:after="40"/>
              <w:jc w:val="center"/>
              <w:rPr>
                <w:rFonts w:ascii="Arial Narrow" w:eastAsia="Times New Roman" w:hAnsi="Arial Narrow"/>
                <w:sz w:val="20"/>
                <w:szCs w:val="24"/>
              </w:rPr>
            </w:pPr>
            <w:r w:rsidRPr="00EB2555">
              <w:rPr>
                <w:rFonts w:ascii="Arial Narrow" w:eastAsia="Times New Roman" w:hAnsi="Arial Narrow"/>
                <w:sz w:val="20"/>
                <w:szCs w:val="24"/>
              </w:rPr>
              <w:t xml:space="preserve">95% </w:t>
            </w:r>
            <w:proofErr w:type="spellStart"/>
            <w:r w:rsidRPr="00EB2555">
              <w:rPr>
                <w:rFonts w:ascii="Arial Narrow" w:eastAsia="Times New Roman" w:hAnsi="Arial Narrow"/>
                <w:sz w:val="20"/>
                <w:szCs w:val="24"/>
              </w:rPr>
              <w:t>BCa</w:t>
            </w:r>
            <w:proofErr w:type="spellEnd"/>
            <w:r w:rsidRPr="00EB2555">
              <w:rPr>
                <w:rFonts w:ascii="Arial Narrow" w:eastAsia="Times New Roman" w:hAnsi="Arial Narrow"/>
                <w:sz w:val="20"/>
                <w:szCs w:val="24"/>
              </w:rPr>
              <w:t xml:space="preserve"> CI</w:t>
            </w:r>
          </w:p>
        </w:tc>
        <w:tc>
          <w:tcPr>
            <w:tcW w:w="2784" w:type="dxa"/>
          </w:tcPr>
          <w:p w14:paraId="32AC37B3" w14:textId="77777777" w:rsidR="007D3920" w:rsidRPr="00EB2555" w:rsidRDefault="007D3920" w:rsidP="00032E3D">
            <w:pPr>
              <w:pStyle w:val="Tabletext0"/>
              <w:jc w:val="center"/>
              <w:rPr>
                <w:szCs w:val="24"/>
              </w:rPr>
            </w:pPr>
            <w:r w:rsidRPr="00C664D9">
              <w:t>37.3</w:t>
            </w:r>
            <w:r>
              <w:t>3</w:t>
            </w:r>
            <w:r w:rsidRPr="00C664D9">
              <w:t xml:space="preserve"> (12.0</w:t>
            </w:r>
            <w:r>
              <w:t>2</w:t>
            </w:r>
            <w:r w:rsidRPr="00C664D9">
              <w:t>, 120.25)</w:t>
            </w:r>
          </w:p>
        </w:tc>
      </w:tr>
      <w:tr w:rsidR="007D3920" w:rsidRPr="00EB2555" w14:paraId="4499DCA2" w14:textId="77777777" w:rsidTr="00032E3D">
        <w:trPr>
          <w:tblHeader/>
        </w:trPr>
        <w:tc>
          <w:tcPr>
            <w:tcW w:w="1838" w:type="dxa"/>
          </w:tcPr>
          <w:p w14:paraId="53A6D92C" w14:textId="77777777" w:rsidR="007D3920" w:rsidRPr="00EB2555" w:rsidRDefault="007D3920" w:rsidP="00032E3D">
            <w:pPr>
              <w:spacing w:before="40" w:after="40"/>
              <w:rPr>
                <w:rFonts w:ascii="Arial Narrow" w:eastAsia="Times New Roman" w:hAnsi="Arial Narrow"/>
                <w:sz w:val="20"/>
                <w:szCs w:val="24"/>
              </w:rPr>
            </w:pPr>
            <w:r>
              <w:rPr>
                <w:rFonts w:ascii="Arial Narrow" w:eastAsia="Times New Roman" w:hAnsi="Arial Narrow"/>
                <w:sz w:val="20"/>
                <w:szCs w:val="24"/>
              </w:rPr>
              <w:t>MR severity 0-1+</w:t>
            </w:r>
          </w:p>
        </w:tc>
        <w:tc>
          <w:tcPr>
            <w:tcW w:w="2126" w:type="dxa"/>
          </w:tcPr>
          <w:p w14:paraId="42E64F4A" w14:textId="77777777" w:rsidR="007D3920" w:rsidRPr="00EB2555" w:rsidRDefault="007D3920" w:rsidP="00032E3D">
            <w:pPr>
              <w:spacing w:before="40" w:after="40"/>
              <w:jc w:val="center"/>
              <w:rPr>
                <w:rFonts w:ascii="Arial Narrow" w:eastAsia="Times New Roman" w:hAnsi="Arial Narrow"/>
                <w:sz w:val="20"/>
                <w:szCs w:val="24"/>
              </w:rPr>
            </w:pPr>
            <w:r>
              <w:rPr>
                <w:rFonts w:ascii="Arial Narrow" w:eastAsia="Times New Roman" w:hAnsi="Arial Narrow"/>
                <w:sz w:val="20"/>
                <w:szCs w:val="24"/>
              </w:rPr>
              <w:t>Base case</w:t>
            </w:r>
          </w:p>
        </w:tc>
        <w:tc>
          <w:tcPr>
            <w:tcW w:w="2268" w:type="dxa"/>
          </w:tcPr>
          <w:p w14:paraId="187CAFB7" w14:textId="77777777" w:rsidR="007D3920" w:rsidRPr="00EB2555" w:rsidRDefault="007D3920" w:rsidP="00032E3D">
            <w:pPr>
              <w:spacing w:before="40" w:after="40"/>
              <w:jc w:val="center"/>
              <w:rPr>
                <w:rFonts w:ascii="Arial Narrow" w:eastAsia="Times New Roman" w:hAnsi="Arial Narrow"/>
                <w:sz w:val="20"/>
                <w:szCs w:val="24"/>
              </w:rPr>
            </w:pPr>
            <w:r>
              <w:rPr>
                <w:rFonts w:ascii="Arial Narrow" w:eastAsia="Times New Roman" w:hAnsi="Arial Narrow"/>
                <w:sz w:val="20"/>
                <w:szCs w:val="24"/>
              </w:rPr>
              <w:t>W</w:t>
            </w:r>
            <w:r w:rsidRPr="003C3C23">
              <w:rPr>
                <w:rFonts w:ascii="Arial Narrow" w:eastAsia="Times New Roman" w:hAnsi="Arial Narrow"/>
                <w:sz w:val="20"/>
                <w:szCs w:val="24"/>
              </w:rPr>
              <w:t>eighted logistic regression</w:t>
            </w:r>
          </w:p>
        </w:tc>
        <w:tc>
          <w:tcPr>
            <w:tcW w:w="2784" w:type="dxa"/>
          </w:tcPr>
          <w:p w14:paraId="026DAD31" w14:textId="77777777" w:rsidR="007D3920" w:rsidRPr="00C664D9" w:rsidRDefault="007D3920" w:rsidP="00032E3D">
            <w:pPr>
              <w:pStyle w:val="Tabletext0"/>
              <w:jc w:val="center"/>
            </w:pPr>
            <w:r w:rsidRPr="003C3C23">
              <w:t>1.0</w:t>
            </w:r>
            <w:r>
              <w:t>5</w:t>
            </w:r>
            <w:r w:rsidRPr="003C3C23">
              <w:t xml:space="preserve"> (0.2</w:t>
            </w:r>
            <w:r>
              <w:t>9</w:t>
            </w:r>
            <w:r w:rsidRPr="003C3C23">
              <w:t>, 3.80)</w:t>
            </w:r>
          </w:p>
        </w:tc>
      </w:tr>
    </w:tbl>
    <w:p w14:paraId="5DB216A8" w14:textId="77777777" w:rsidR="007D3920" w:rsidRPr="00EB2555" w:rsidRDefault="007D3920" w:rsidP="00A64CAC">
      <w:pPr>
        <w:pStyle w:val="Tablenotes0"/>
        <w:spacing w:after="0"/>
        <w:rPr>
          <w:snapToGrid w:val="0"/>
        </w:rPr>
      </w:pPr>
      <w:r w:rsidRPr="00EB2555">
        <w:rPr>
          <w:snapToGrid w:val="0"/>
        </w:rPr>
        <w:t>MAIC=matched adjusted indirect comparison; CI=confidence interval</w:t>
      </w:r>
      <w:r>
        <w:rPr>
          <w:snapToGrid w:val="0"/>
        </w:rPr>
        <w:t xml:space="preserve">; </w:t>
      </w:r>
    </w:p>
    <w:p w14:paraId="1161B29F" w14:textId="77777777" w:rsidR="00E13326" w:rsidRPr="00427322" w:rsidRDefault="00E13326" w:rsidP="00A64CAC">
      <w:pPr>
        <w:pStyle w:val="Tablenotes"/>
        <w:spacing w:before="0"/>
      </w:pPr>
      <w:r w:rsidRPr="00427322">
        <w:t xml:space="preserve">Cells </w:t>
      </w:r>
      <w:r w:rsidRPr="00427322">
        <w:rPr>
          <w:shd w:val="clear" w:color="auto" w:fill="B4C6E7" w:themeFill="accent5" w:themeFillTint="66"/>
        </w:rPr>
        <w:t>shaded in blue</w:t>
      </w:r>
      <w:r w:rsidRPr="00427322">
        <w:t xml:space="preserve"> represent results previously considered by MSAC</w:t>
      </w:r>
    </w:p>
    <w:p w14:paraId="7B8B6A75" w14:textId="77777777" w:rsidR="007D3920" w:rsidRPr="00757BEA" w:rsidRDefault="007D3920" w:rsidP="00A64CAC">
      <w:pPr>
        <w:spacing w:before="240"/>
      </w:pPr>
      <w:r w:rsidRPr="00427322">
        <w:rPr>
          <w:lang w:eastAsia="en-AU"/>
        </w:rPr>
        <w:t>The current ADAR reasonably justified this approach as being aligned with the MVARC criteria for mitral valve repair endpoints where reduction of MR severity to 0-1+ is considered optimal. At the same time, the ADAR stated that</w:t>
      </w:r>
      <w:r w:rsidRPr="00757BEA">
        <w:rPr>
          <w:lang w:eastAsia="en-AU"/>
        </w:rPr>
        <w:t xml:space="preserve"> “</w:t>
      </w:r>
      <w:r w:rsidRPr="00757BEA">
        <w:t xml:space="preserve">This adjustment seeks to negate the impact of baseline imbalances and provide the MSAC with confidence in the clinical claim”. </w:t>
      </w:r>
      <w:r w:rsidRPr="00427322">
        <w:rPr>
          <w:lang w:eastAsia="en-AU"/>
        </w:rPr>
        <w:t xml:space="preserve">It is not clear how this aggregation of the severity categories </w:t>
      </w:r>
      <w:r w:rsidRPr="00427322">
        <w:t>relates to the persistent imbalances in the CLASP (weighted) and COAPT population characteristics</w:t>
      </w:r>
      <w:r w:rsidRPr="00757BEA">
        <w:t xml:space="preserve">. </w:t>
      </w:r>
      <w:r w:rsidRPr="00427322">
        <w:t>The removal of statistical significance of the differences in MR severity by regrouping the outcomes assessed on an ordinal scale, does not adjust for baseline differences. It may, however, improve the confidence in the Applicant’s intention of pursuing non-inferiority rather than superiority in the clinical claim, but does not adequately addresses the underlying causes of potential bias. If the baseline MR severity is an effect modifier or a prognostic variable</w:t>
      </w:r>
      <w:r w:rsidR="00FC1424">
        <w:t>,</w:t>
      </w:r>
      <w:r w:rsidRPr="00427322">
        <w:t xml:space="preserve"> a sensitivity analysis that also adjusts for this difference is needed </w:t>
      </w:r>
      <w:r w:rsidR="00FC1424">
        <w:t xml:space="preserve">to </w:t>
      </w:r>
      <w:r w:rsidRPr="00427322">
        <w:t xml:space="preserve">justify this conclusion. </w:t>
      </w:r>
    </w:p>
    <w:p w14:paraId="4BB811A7" w14:textId="77777777" w:rsidR="007D3920" w:rsidRDefault="007D3920" w:rsidP="007D3920">
      <w:pPr>
        <w:pStyle w:val="Heading4"/>
      </w:pPr>
      <w:r>
        <w:t xml:space="preserve">MR severity at 24 months in the DMR/FMR population </w:t>
      </w:r>
      <w:r w:rsidRPr="007C72A2">
        <w:t xml:space="preserve"> </w:t>
      </w:r>
    </w:p>
    <w:p w14:paraId="11A8C166" w14:textId="12102FA3" w:rsidR="00005BEB" w:rsidRPr="00005BEB" w:rsidRDefault="00757BEA" w:rsidP="00005BEB">
      <w:pPr>
        <w:rPr>
          <w:i/>
          <w:iCs/>
          <w:lang w:eastAsia="en-AU"/>
        </w:rPr>
      </w:pPr>
      <w:r w:rsidRPr="00427322">
        <w:rPr>
          <w:shd w:val="clear" w:color="auto" w:fill="B4C6E7" w:themeFill="accent5" w:themeFillTint="66"/>
          <w:lang w:eastAsia="en-AU"/>
        </w:rPr>
        <w:fldChar w:fldCharType="begin"/>
      </w:r>
      <w:r w:rsidRPr="00757BEA">
        <w:rPr>
          <w:shd w:val="clear" w:color="auto" w:fill="B4C6E7" w:themeFill="accent5" w:themeFillTint="66"/>
          <w:lang w:eastAsia="en-AU"/>
        </w:rPr>
        <w:instrText xml:space="preserve"> REF _Ref117522060 \h </w:instrText>
      </w:r>
      <w:r>
        <w:rPr>
          <w:shd w:val="clear" w:color="auto" w:fill="B4C6E7" w:themeFill="accent5" w:themeFillTint="66"/>
          <w:lang w:eastAsia="en-AU"/>
        </w:rPr>
        <w:instrText xml:space="preserve"> \* MERGEFORMAT </w:instrText>
      </w:r>
      <w:r w:rsidRPr="00427322">
        <w:rPr>
          <w:shd w:val="clear" w:color="auto" w:fill="B4C6E7" w:themeFill="accent5" w:themeFillTint="66"/>
          <w:lang w:eastAsia="en-AU"/>
        </w:rPr>
      </w:r>
      <w:r w:rsidRPr="00427322">
        <w:rPr>
          <w:shd w:val="clear" w:color="auto" w:fill="B4C6E7" w:themeFill="accent5" w:themeFillTint="66"/>
          <w:lang w:eastAsia="en-AU"/>
        </w:rPr>
        <w:fldChar w:fldCharType="separate"/>
      </w:r>
      <w:r w:rsidRPr="00427322">
        <w:rPr>
          <w:shd w:val="clear" w:color="auto" w:fill="B4C6E7" w:themeFill="accent5" w:themeFillTint="66"/>
        </w:rPr>
        <w:t xml:space="preserve">Table </w:t>
      </w:r>
      <w:r w:rsidRPr="00427322">
        <w:rPr>
          <w:noProof/>
          <w:shd w:val="clear" w:color="auto" w:fill="B4C6E7" w:themeFill="accent5" w:themeFillTint="66"/>
        </w:rPr>
        <w:t>22</w:t>
      </w:r>
      <w:r w:rsidRPr="00427322">
        <w:rPr>
          <w:shd w:val="clear" w:color="auto" w:fill="B4C6E7" w:themeFill="accent5" w:themeFillTint="66"/>
          <w:lang w:eastAsia="en-AU"/>
        </w:rPr>
        <w:fldChar w:fldCharType="end"/>
      </w:r>
      <w:r>
        <w:rPr>
          <w:shd w:val="clear" w:color="auto" w:fill="B4C6E7" w:themeFill="accent5" w:themeFillTint="66"/>
          <w:lang w:eastAsia="en-AU"/>
        </w:rPr>
        <w:t xml:space="preserve"> </w:t>
      </w:r>
      <w:r w:rsidR="007D3920" w:rsidRPr="004807F5">
        <w:rPr>
          <w:shd w:val="clear" w:color="auto" w:fill="B4C6E7" w:themeFill="accent5" w:themeFillTint="66"/>
          <w:lang w:eastAsia="en-AU"/>
        </w:rPr>
        <w:t>shows the proportion of patients in each MR severity group in the reweighted CLASP and EVEREST-II populations at 24 months (base case</w:t>
      </w:r>
      <w:r w:rsidR="007D3920" w:rsidRPr="00427322">
        <w:rPr>
          <w:shd w:val="clear" w:color="auto" w:fill="B4C6E7" w:themeFill="accent5" w:themeFillTint="66"/>
          <w:lang w:eastAsia="en-AU"/>
        </w:rPr>
        <w:t xml:space="preserve">). </w:t>
      </w:r>
      <w:r w:rsidR="007D3920" w:rsidRPr="004807F5">
        <w:rPr>
          <w:shd w:val="clear" w:color="auto" w:fill="B4C6E7" w:themeFill="accent5" w:themeFillTint="66"/>
          <w:lang w:eastAsia="en-AU"/>
        </w:rPr>
        <w:t xml:space="preserve">A higher proportion of PASCAL patients had a MR severity grade of 0+ than </w:t>
      </w:r>
      <w:proofErr w:type="spellStart"/>
      <w:r w:rsidR="007D3920" w:rsidRPr="004807F5">
        <w:rPr>
          <w:shd w:val="clear" w:color="auto" w:fill="B4C6E7" w:themeFill="accent5" w:themeFillTint="66"/>
          <w:lang w:eastAsia="en-AU"/>
        </w:rPr>
        <w:t>MitraClip</w:t>
      </w:r>
      <w:proofErr w:type="spellEnd"/>
      <w:r w:rsidR="007D3920" w:rsidRPr="004807F5">
        <w:rPr>
          <w:shd w:val="clear" w:color="auto" w:fill="B4C6E7" w:themeFill="accent5" w:themeFillTint="66"/>
          <w:lang w:eastAsia="en-AU"/>
        </w:rPr>
        <w:t xml:space="preserve"> patients and the difference was statistically significant in both base-case and sensitivity analyses. However, the </w:t>
      </w:r>
      <w:r w:rsidR="007D3920" w:rsidRPr="004807F5">
        <w:rPr>
          <w:shd w:val="clear" w:color="auto" w:fill="B4C6E7" w:themeFill="accent5" w:themeFillTint="66"/>
        </w:rPr>
        <w:t xml:space="preserve">odds of PASCAL patients achieving MR severity </w:t>
      </w:r>
      <w:r w:rsidR="007D3920" w:rsidRPr="004807F5">
        <w:rPr>
          <w:shd w:val="clear" w:color="auto" w:fill="B4C6E7" w:themeFill="accent5" w:themeFillTint="66"/>
          <w:lang w:eastAsia="en-AU"/>
        </w:rPr>
        <w:t xml:space="preserve">in the next severity category (1+) were not statistically different from </w:t>
      </w:r>
      <w:proofErr w:type="spellStart"/>
      <w:r w:rsidR="007D3920" w:rsidRPr="004807F5">
        <w:rPr>
          <w:shd w:val="clear" w:color="auto" w:fill="B4C6E7" w:themeFill="accent5" w:themeFillTint="66"/>
          <w:lang w:eastAsia="en-AU"/>
        </w:rPr>
        <w:t>MitraClip</w:t>
      </w:r>
      <w:proofErr w:type="spellEnd"/>
      <w:r w:rsidR="007D3920" w:rsidRPr="004807F5">
        <w:rPr>
          <w:shd w:val="clear" w:color="auto" w:fill="B4C6E7" w:themeFill="accent5" w:themeFillTint="66"/>
          <w:lang w:eastAsia="en-AU"/>
        </w:rPr>
        <w:t xml:space="preserve"> patients (OR=2.23; 95%CI 0.87-5.68).</w:t>
      </w:r>
      <w:r w:rsidR="007D3920">
        <w:t xml:space="preserve"> </w:t>
      </w:r>
      <w:bookmarkStart w:id="65" w:name="_Ref117522060"/>
      <w:r w:rsidR="00005BEB">
        <w:br w:type="page"/>
      </w:r>
    </w:p>
    <w:p w14:paraId="1DB68B97" w14:textId="26186A0A" w:rsidR="007D3920" w:rsidRDefault="007D3920" w:rsidP="007D3920">
      <w:pPr>
        <w:pStyle w:val="Caption"/>
      </w:pPr>
      <w:r>
        <w:lastRenderedPageBreak/>
        <w:t xml:space="preserve">Table </w:t>
      </w:r>
      <w:fldSimple w:instr=" SEQ Table \* ARABIC ">
        <w:r w:rsidR="00757BEA">
          <w:rPr>
            <w:noProof/>
          </w:rPr>
          <w:t>22</w:t>
        </w:r>
      </w:fldSimple>
      <w:bookmarkEnd w:id="65"/>
      <w:r>
        <w:tab/>
        <w:t>MAIC of MR severity at 24 months in mixed population (FMR/DMR) (base case)</w:t>
      </w:r>
    </w:p>
    <w:tbl>
      <w:tblPr>
        <w:tblStyle w:val="Style2"/>
        <w:tblW w:w="5000" w:type="pct"/>
        <w:tblBorders>
          <w:left w:val="single" w:sz="4" w:space="0" w:color="auto"/>
          <w:right w:val="single" w:sz="4" w:space="0" w:color="auto"/>
          <w:insideV w:val="single" w:sz="4" w:space="0" w:color="auto"/>
        </w:tblBorders>
        <w:tblLook w:val="04A0" w:firstRow="1" w:lastRow="0" w:firstColumn="1" w:lastColumn="0" w:noHBand="0" w:noVBand="1"/>
      </w:tblPr>
      <w:tblGrid>
        <w:gridCol w:w="5613"/>
        <w:gridCol w:w="1857"/>
        <w:gridCol w:w="1853"/>
      </w:tblGrid>
      <w:tr w:rsidR="007D3920" w:rsidRPr="000330B2" w14:paraId="477CCE9F" w14:textId="77777777" w:rsidTr="00032E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pct"/>
          </w:tcPr>
          <w:p w14:paraId="7F15EEE7" w14:textId="77777777" w:rsidR="007D3920" w:rsidRPr="000330B2" w:rsidRDefault="007D3920" w:rsidP="00032E3D">
            <w:pPr>
              <w:spacing w:before="40" w:after="40" w:line="240" w:lineRule="auto"/>
              <w:rPr>
                <w:rFonts w:ascii="Arial Narrow" w:hAnsi="Arial Narrow" w:cstheme="minorHAnsi"/>
              </w:rPr>
            </w:pPr>
            <w:r w:rsidRPr="000330B2">
              <w:rPr>
                <w:rFonts w:ascii="Arial Narrow" w:hAnsi="Arial Narrow" w:cstheme="minorHAnsi"/>
              </w:rPr>
              <w:t>MR severity</w:t>
            </w:r>
          </w:p>
        </w:tc>
        <w:tc>
          <w:tcPr>
            <w:tcW w:w="996" w:type="pct"/>
          </w:tcPr>
          <w:p w14:paraId="077B05F6" w14:textId="77777777" w:rsidR="007D3920" w:rsidRPr="000330B2" w:rsidRDefault="007D3920" w:rsidP="00032E3D">
            <w:pPr>
              <w:spacing w:before="40" w:after="40"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cstheme="minorHAnsi"/>
              </w:rPr>
            </w:pPr>
            <w:r w:rsidRPr="000330B2">
              <w:rPr>
                <w:rFonts w:ascii="Arial Narrow" w:hAnsi="Arial Narrow" w:cstheme="minorHAnsi"/>
              </w:rPr>
              <w:t>CLASP (weighted)</w:t>
            </w:r>
          </w:p>
        </w:tc>
        <w:tc>
          <w:tcPr>
            <w:tcW w:w="994" w:type="pct"/>
          </w:tcPr>
          <w:p w14:paraId="15A07387" w14:textId="77777777" w:rsidR="007D3920" w:rsidRPr="000330B2" w:rsidRDefault="007D3920" w:rsidP="00032E3D">
            <w:pPr>
              <w:spacing w:before="40" w:after="40"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cstheme="minorHAnsi"/>
              </w:rPr>
            </w:pPr>
            <w:r w:rsidRPr="000330B2">
              <w:rPr>
                <w:rFonts w:ascii="Arial Narrow" w:hAnsi="Arial Narrow" w:cstheme="minorHAnsi"/>
              </w:rPr>
              <w:t>EVEREST-II</w:t>
            </w:r>
          </w:p>
        </w:tc>
      </w:tr>
      <w:tr w:rsidR="007D3920" w:rsidRPr="000330B2" w14:paraId="41C6D7E5" w14:textId="77777777" w:rsidTr="00032E3D">
        <w:tc>
          <w:tcPr>
            <w:cnfStyle w:val="001000000000" w:firstRow="0" w:lastRow="0" w:firstColumn="1" w:lastColumn="0" w:oddVBand="0" w:evenVBand="0" w:oddHBand="0" w:evenHBand="0" w:firstRowFirstColumn="0" w:firstRowLastColumn="0" w:lastRowFirstColumn="0" w:lastRowLastColumn="0"/>
            <w:tcW w:w="3010" w:type="pct"/>
          </w:tcPr>
          <w:p w14:paraId="1A0F75AB" w14:textId="77777777" w:rsidR="007D3920" w:rsidRPr="000330B2" w:rsidRDefault="007D3920" w:rsidP="00032E3D">
            <w:pPr>
              <w:spacing w:before="40" w:after="40"/>
              <w:rPr>
                <w:rFonts w:ascii="Arial Narrow" w:hAnsi="Arial Narrow"/>
              </w:rPr>
            </w:pPr>
            <w:r w:rsidRPr="000330B2">
              <w:rPr>
                <w:rFonts w:ascii="Arial Narrow" w:hAnsi="Arial Narrow"/>
              </w:rPr>
              <w:t>None/trace or mild (0-1+)</w:t>
            </w:r>
          </w:p>
        </w:tc>
        <w:tc>
          <w:tcPr>
            <w:tcW w:w="996" w:type="pct"/>
          </w:tcPr>
          <w:p w14:paraId="5E21D4AC" w14:textId="77777777" w:rsidR="007D3920" w:rsidRPr="000330B2" w:rsidRDefault="007D3920"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330B2">
              <w:rPr>
                <w:rFonts w:ascii="Arial Narrow" w:hAnsi="Arial Narrow"/>
              </w:rPr>
              <w:t>65.02%</w:t>
            </w:r>
          </w:p>
        </w:tc>
        <w:tc>
          <w:tcPr>
            <w:tcW w:w="994" w:type="pct"/>
          </w:tcPr>
          <w:p w14:paraId="52E8A320" w14:textId="77777777" w:rsidR="007D3920" w:rsidRPr="000330B2" w:rsidRDefault="007D3920"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330B2">
              <w:rPr>
                <w:rFonts w:ascii="Arial Narrow" w:hAnsi="Arial Narrow"/>
              </w:rPr>
              <w:t>36.22%</w:t>
            </w:r>
          </w:p>
        </w:tc>
      </w:tr>
      <w:tr w:rsidR="007D3920" w:rsidRPr="000330B2" w14:paraId="346EDB58" w14:textId="77777777" w:rsidTr="00032E3D">
        <w:tc>
          <w:tcPr>
            <w:cnfStyle w:val="001000000000" w:firstRow="0" w:lastRow="0" w:firstColumn="1" w:lastColumn="0" w:oddVBand="0" w:evenVBand="0" w:oddHBand="0" w:evenHBand="0" w:firstRowFirstColumn="0" w:firstRowLastColumn="0" w:lastRowFirstColumn="0" w:lastRowLastColumn="0"/>
            <w:tcW w:w="3010" w:type="pct"/>
            <w:shd w:val="clear" w:color="auto" w:fill="B4C6E7" w:themeFill="accent5" w:themeFillTint="66"/>
          </w:tcPr>
          <w:p w14:paraId="04553ACC" w14:textId="77777777" w:rsidR="007D3920" w:rsidRPr="000330B2" w:rsidRDefault="007D3920" w:rsidP="00032E3D">
            <w:pPr>
              <w:spacing w:before="40" w:after="40"/>
              <w:ind w:left="170"/>
              <w:rPr>
                <w:rFonts w:ascii="Arial Narrow" w:hAnsi="Arial Narrow"/>
              </w:rPr>
            </w:pPr>
            <w:r w:rsidRPr="000330B2">
              <w:rPr>
                <w:rFonts w:ascii="Arial Narrow" w:hAnsi="Arial Narrow"/>
              </w:rPr>
              <w:t>None/trace (0)</w:t>
            </w:r>
          </w:p>
        </w:tc>
        <w:tc>
          <w:tcPr>
            <w:tcW w:w="996" w:type="pct"/>
            <w:shd w:val="clear" w:color="auto" w:fill="B4C6E7" w:themeFill="accent5" w:themeFillTint="66"/>
          </w:tcPr>
          <w:p w14:paraId="54BD45FA" w14:textId="77777777" w:rsidR="007D3920" w:rsidRPr="000330B2" w:rsidRDefault="007D3920"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330B2">
              <w:rPr>
                <w:rFonts w:ascii="Arial Narrow" w:hAnsi="Arial Narrow"/>
              </w:rPr>
              <w:t>10.88%</w:t>
            </w:r>
          </w:p>
        </w:tc>
        <w:tc>
          <w:tcPr>
            <w:tcW w:w="994" w:type="pct"/>
            <w:shd w:val="clear" w:color="auto" w:fill="B4C6E7" w:themeFill="accent5" w:themeFillTint="66"/>
          </w:tcPr>
          <w:p w14:paraId="7C32658D" w14:textId="77777777" w:rsidR="007D3920" w:rsidRPr="000330B2" w:rsidRDefault="007D3920"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330B2">
              <w:rPr>
                <w:rFonts w:ascii="Arial Narrow" w:hAnsi="Arial Narrow"/>
              </w:rPr>
              <w:t>1.57%</w:t>
            </w:r>
          </w:p>
        </w:tc>
      </w:tr>
      <w:tr w:rsidR="007D3920" w:rsidRPr="000330B2" w14:paraId="5CF4B200" w14:textId="77777777" w:rsidTr="00032E3D">
        <w:tc>
          <w:tcPr>
            <w:cnfStyle w:val="001000000000" w:firstRow="0" w:lastRow="0" w:firstColumn="1" w:lastColumn="0" w:oddVBand="0" w:evenVBand="0" w:oddHBand="0" w:evenHBand="0" w:firstRowFirstColumn="0" w:firstRowLastColumn="0" w:lastRowFirstColumn="0" w:lastRowLastColumn="0"/>
            <w:tcW w:w="3010" w:type="pct"/>
            <w:shd w:val="clear" w:color="auto" w:fill="B4C6E7" w:themeFill="accent5" w:themeFillTint="66"/>
          </w:tcPr>
          <w:p w14:paraId="1BE18208" w14:textId="77777777" w:rsidR="007D3920" w:rsidRPr="000330B2" w:rsidRDefault="007D3920" w:rsidP="00032E3D">
            <w:pPr>
              <w:spacing w:before="40" w:after="40"/>
              <w:ind w:left="170"/>
              <w:rPr>
                <w:rFonts w:ascii="Arial Narrow" w:hAnsi="Arial Narrow"/>
              </w:rPr>
            </w:pPr>
            <w:r w:rsidRPr="000330B2">
              <w:rPr>
                <w:rFonts w:ascii="Arial Narrow" w:hAnsi="Arial Narrow"/>
              </w:rPr>
              <w:t>Mild (1+)</w:t>
            </w:r>
          </w:p>
        </w:tc>
        <w:tc>
          <w:tcPr>
            <w:tcW w:w="996" w:type="pct"/>
            <w:shd w:val="clear" w:color="auto" w:fill="B4C6E7" w:themeFill="accent5" w:themeFillTint="66"/>
          </w:tcPr>
          <w:p w14:paraId="35463630" w14:textId="77777777" w:rsidR="007D3920" w:rsidRPr="000330B2" w:rsidRDefault="007D3920"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330B2">
              <w:rPr>
                <w:rFonts w:ascii="Arial Narrow" w:hAnsi="Arial Narrow"/>
              </w:rPr>
              <w:t>54.14%</w:t>
            </w:r>
          </w:p>
        </w:tc>
        <w:tc>
          <w:tcPr>
            <w:tcW w:w="994" w:type="pct"/>
            <w:shd w:val="clear" w:color="auto" w:fill="B4C6E7" w:themeFill="accent5" w:themeFillTint="66"/>
          </w:tcPr>
          <w:p w14:paraId="61999BA3" w14:textId="77777777" w:rsidR="007D3920" w:rsidRPr="000330B2" w:rsidRDefault="007D3920"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330B2">
              <w:rPr>
                <w:rFonts w:ascii="Arial Narrow" w:hAnsi="Arial Narrow"/>
              </w:rPr>
              <w:t>34.65%</w:t>
            </w:r>
          </w:p>
        </w:tc>
      </w:tr>
      <w:tr w:rsidR="007D3920" w:rsidRPr="000330B2" w14:paraId="2D7C3EC4" w14:textId="77777777" w:rsidTr="00032E3D">
        <w:tc>
          <w:tcPr>
            <w:cnfStyle w:val="001000000000" w:firstRow="0" w:lastRow="0" w:firstColumn="1" w:lastColumn="0" w:oddVBand="0" w:evenVBand="0" w:oddHBand="0" w:evenHBand="0" w:firstRowFirstColumn="0" w:firstRowLastColumn="0" w:lastRowFirstColumn="0" w:lastRowLastColumn="0"/>
            <w:tcW w:w="3010" w:type="pct"/>
            <w:shd w:val="clear" w:color="auto" w:fill="B4C6E7" w:themeFill="accent5" w:themeFillTint="66"/>
          </w:tcPr>
          <w:p w14:paraId="325D9885" w14:textId="77777777" w:rsidR="007D3920" w:rsidRPr="000330B2" w:rsidRDefault="007D3920" w:rsidP="00032E3D">
            <w:pPr>
              <w:spacing w:before="40" w:after="40"/>
              <w:rPr>
                <w:rFonts w:ascii="Arial Narrow" w:hAnsi="Arial Narrow"/>
              </w:rPr>
            </w:pPr>
            <w:r w:rsidRPr="000330B2">
              <w:rPr>
                <w:rFonts w:ascii="Arial Narrow" w:hAnsi="Arial Narrow"/>
              </w:rPr>
              <w:t>Mild-moderate (2+)</w:t>
            </w:r>
          </w:p>
        </w:tc>
        <w:tc>
          <w:tcPr>
            <w:tcW w:w="996" w:type="pct"/>
            <w:shd w:val="clear" w:color="auto" w:fill="B4C6E7" w:themeFill="accent5" w:themeFillTint="66"/>
          </w:tcPr>
          <w:p w14:paraId="4BB0FD15" w14:textId="77777777" w:rsidR="007D3920" w:rsidRPr="000330B2" w:rsidRDefault="007D3920"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330B2">
              <w:rPr>
                <w:rFonts w:ascii="Arial Narrow" w:hAnsi="Arial Narrow"/>
              </w:rPr>
              <w:t>34.75%</w:t>
            </w:r>
          </w:p>
        </w:tc>
        <w:tc>
          <w:tcPr>
            <w:tcW w:w="994" w:type="pct"/>
            <w:shd w:val="clear" w:color="auto" w:fill="B4C6E7" w:themeFill="accent5" w:themeFillTint="66"/>
          </w:tcPr>
          <w:p w14:paraId="5FE9F581" w14:textId="77777777" w:rsidR="007D3920" w:rsidRPr="000330B2" w:rsidRDefault="007D3920"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330B2">
              <w:rPr>
                <w:rFonts w:ascii="Arial Narrow" w:hAnsi="Arial Narrow"/>
              </w:rPr>
              <w:t>48.82%</w:t>
            </w:r>
          </w:p>
        </w:tc>
      </w:tr>
      <w:tr w:rsidR="007D3920" w:rsidRPr="000330B2" w14:paraId="1EB1C5E5" w14:textId="77777777" w:rsidTr="00032E3D">
        <w:tc>
          <w:tcPr>
            <w:cnfStyle w:val="001000000000" w:firstRow="0" w:lastRow="0" w:firstColumn="1" w:lastColumn="0" w:oddVBand="0" w:evenVBand="0" w:oddHBand="0" w:evenHBand="0" w:firstRowFirstColumn="0" w:firstRowLastColumn="0" w:lastRowFirstColumn="0" w:lastRowLastColumn="0"/>
            <w:tcW w:w="3010" w:type="pct"/>
          </w:tcPr>
          <w:p w14:paraId="1280A412" w14:textId="77777777" w:rsidR="007D3920" w:rsidRPr="000330B2" w:rsidRDefault="007D3920" w:rsidP="00032E3D">
            <w:pPr>
              <w:spacing w:before="40" w:after="40"/>
              <w:rPr>
                <w:rFonts w:ascii="Arial Narrow" w:hAnsi="Arial Narrow"/>
              </w:rPr>
            </w:pPr>
            <w:r w:rsidRPr="000330B2">
              <w:rPr>
                <w:rFonts w:ascii="Arial Narrow" w:hAnsi="Arial Narrow"/>
              </w:rPr>
              <w:t>Moderate-severe or severe (3+ or 4+)</w:t>
            </w:r>
          </w:p>
        </w:tc>
        <w:tc>
          <w:tcPr>
            <w:tcW w:w="996" w:type="pct"/>
          </w:tcPr>
          <w:p w14:paraId="6C230939" w14:textId="77777777" w:rsidR="007D3920" w:rsidRPr="000330B2" w:rsidRDefault="007D3920"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330B2">
              <w:rPr>
                <w:rFonts w:ascii="Arial Narrow" w:hAnsi="Arial Narrow"/>
              </w:rPr>
              <w:t>0.23%</w:t>
            </w:r>
          </w:p>
        </w:tc>
        <w:tc>
          <w:tcPr>
            <w:tcW w:w="994" w:type="pct"/>
          </w:tcPr>
          <w:p w14:paraId="1725C2E0" w14:textId="77777777" w:rsidR="007D3920" w:rsidRPr="000330B2" w:rsidRDefault="007D3920"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330B2">
              <w:rPr>
                <w:rFonts w:ascii="Arial Narrow" w:hAnsi="Arial Narrow"/>
              </w:rPr>
              <w:t>14.96%</w:t>
            </w:r>
          </w:p>
        </w:tc>
      </w:tr>
      <w:tr w:rsidR="007D3920" w:rsidRPr="000330B2" w14:paraId="5A89E95C" w14:textId="77777777" w:rsidTr="00032E3D">
        <w:tc>
          <w:tcPr>
            <w:cnfStyle w:val="001000000000" w:firstRow="0" w:lastRow="0" w:firstColumn="1" w:lastColumn="0" w:oddVBand="0" w:evenVBand="0" w:oddHBand="0" w:evenHBand="0" w:firstRowFirstColumn="0" w:firstRowLastColumn="0" w:lastRowFirstColumn="0" w:lastRowLastColumn="0"/>
            <w:tcW w:w="3010" w:type="pct"/>
            <w:shd w:val="clear" w:color="auto" w:fill="B4C6E7" w:themeFill="accent5" w:themeFillTint="66"/>
          </w:tcPr>
          <w:p w14:paraId="2501B6B6" w14:textId="77777777" w:rsidR="007D3920" w:rsidRPr="000330B2" w:rsidRDefault="007D3920" w:rsidP="00032E3D">
            <w:pPr>
              <w:spacing w:before="40" w:after="40"/>
              <w:ind w:left="170"/>
              <w:rPr>
                <w:rFonts w:ascii="Arial Narrow" w:hAnsi="Arial Narrow"/>
              </w:rPr>
            </w:pPr>
            <w:r w:rsidRPr="000330B2">
              <w:rPr>
                <w:rFonts w:ascii="Arial Narrow" w:hAnsi="Arial Narrow"/>
              </w:rPr>
              <w:t>Moderate-severe (3+)</w:t>
            </w:r>
          </w:p>
        </w:tc>
        <w:tc>
          <w:tcPr>
            <w:tcW w:w="996" w:type="pct"/>
            <w:shd w:val="clear" w:color="auto" w:fill="B4C6E7" w:themeFill="accent5" w:themeFillTint="66"/>
          </w:tcPr>
          <w:p w14:paraId="4DCB39C2" w14:textId="77777777" w:rsidR="007D3920" w:rsidRPr="000330B2" w:rsidRDefault="007D3920"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330B2">
              <w:rPr>
                <w:rFonts w:ascii="Arial Narrow" w:hAnsi="Arial Narrow"/>
              </w:rPr>
              <w:t>0.23%</w:t>
            </w:r>
          </w:p>
        </w:tc>
        <w:tc>
          <w:tcPr>
            <w:tcW w:w="994" w:type="pct"/>
            <w:shd w:val="clear" w:color="auto" w:fill="B4C6E7" w:themeFill="accent5" w:themeFillTint="66"/>
          </w:tcPr>
          <w:p w14:paraId="0873B8EC" w14:textId="77777777" w:rsidR="007D3920" w:rsidRPr="000330B2" w:rsidRDefault="007D3920"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330B2">
              <w:rPr>
                <w:rFonts w:ascii="Arial Narrow" w:hAnsi="Arial Narrow"/>
              </w:rPr>
              <w:t>11.81%</w:t>
            </w:r>
          </w:p>
        </w:tc>
      </w:tr>
      <w:tr w:rsidR="007D3920" w:rsidRPr="000330B2" w14:paraId="66C4FC64" w14:textId="77777777" w:rsidTr="00032E3D">
        <w:tc>
          <w:tcPr>
            <w:cnfStyle w:val="001000000000" w:firstRow="0" w:lastRow="0" w:firstColumn="1" w:lastColumn="0" w:oddVBand="0" w:evenVBand="0" w:oddHBand="0" w:evenHBand="0" w:firstRowFirstColumn="0" w:firstRowLastColumn="0" w:lastRowFirstColumn="0" w:lastRowLastColumn="0"/>
            <w:tcW w:w="3010" w:type="pct"/>
            <w:shd w:val="clear" w:color="auto" w:fill="B4C6E7" w:themeFill="accent5" w:themeFillTint="66"/>
          </w:tcPr>
          <w:p w14:paraId="77CA4E07" w14:textId="77777777" w:rsidR="007D3920" w:rsidRPr="000330B2" w:rsidRDefault="007D3920" w:rsidP="00032E3D">
            <w:pPr>
              <w:spacing w:before="40" w:after="40"/>
              <w:ind w:left="170"/>
              <w:rPr>
                <w:rFonts w:ascii="Arial Narrow" w:hAnsi="Arial Narrow"/>
              </w:rPr>
            </w:pPr>
            <w:r w:rsidRPr="000330B2">
              <w:rPr>
                <w:rFonts w:ascii="Arial Narrow" w:hAnsi="Arial Narrow"/>
              </w:rPr>
              <w:t>Severe (4+)</w:t>
            </w:r>
          </w:p>
        </w:tc>
        <w:tc>
          <w:tcPr>
            <w:tcW w:w="996" w:type="pct"/>
            <w:shd w:val="clear" w:color="auto" w:fill="B4C6E7" w:themeFill="accent5" w:themeFillTint="66"/>
          </w:tcPr>
          <w:p w14:paraId="27205A0E" w14:textId="77777777" w:rsidR="007D3920" w:rsidRPr="000330B2" w:rsidRDefault="007D3920"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330B2">
              <w:rPr>
                <w:rFonts w:ascii="Arial Narrow" w:hAnsi="Arial Narrow"/>
              </w:rPr>
              <w:t>0%</w:t>
            </w:r>
          </w:p>
        </w:tc>
        <w:tc>
          <w:tcPr>
            <w:tcW w:w="994" w:type="pct"/>
            <w:shd w:val="clear" w:color="auto" w:fill="B4C6E7" w:themeFill="accent5" w:themeFillTint="66"/>
          </w:tcPr>
          <w:p w14:paraId="1F2B9A23" w14:textId="77777777" w:rsidR="007D3920" w:rsidRPr="000330B2" w:rsidRDefault="007D3920" w:rsidP="00032E3D">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330B2">
              <w:rPr>
                <w:rFonts w:ascii="Arial Narrow" w:hAnsi="Arial Narrow"/>
              </w:rPr>
              <w:t>3.15%</w:t>
            </w:r>
          </w:p>
        </w:tc>
      </w:tr>
    </w:tbl>
    <w:p w14:paraId="2E1373B4" w14:textId="77777777" w:rsidR="007D3920" w:rsidRDefault="007D3920" w:rsidP="007D3920">
      <w:pPr>
        <w:pStyle w:val="Tablenotes0"/>
        <w:spacing w:before="0" w:after="0" w:line="240" w:lineRule="auto"/>
      </w:pPr>
      <w:r>
        <w:t>MAIC=matching adjusted indirect comparison;</w:t>
      </w:r>
      <w:r w:rsidRPr="002A1B7B">
        <w:t xml:space="preserve"> MR</w:t>
      </w:r>
      <w:r>
        <w:t>=</w:t>
      </w:r>
      <w:r w:rsidRPr="002A1B7B">
        <w:t>mitral regurgitation</w:t>
      </w:r>
    </w:p>
    <w:p w14:paraId="3B4A7F08" w14:textId="77777777" w:rsidR="007D3920" w:rsidRDefault="007D3920" w:rsidP="007D3920">
      <w:pPr>
        <w:pStyle w:val="Tablenotes0"/>
        <w:spacing w:before="0" w:after="0" w:line="240" w:lineRule="auto"/>
      </w:pPr>
      <w:r>
        <w:t xml:space="preserve">Source: </w:t>
      </w:r>
      <w:r w:rsidRPr="00457D40">
        <w:t>Table 2</w:t>
      </w:r>
      <w:r>
        <w:t>-</w:t>
      </w:r>
      <w:r w:rsidRPr="00457D40">
        <w:t>55</w:t>
      </w:r>
      <w:r>
        <w:t xml:space="preserve"> in 1662.1 ADAR, Attachment 2.2 – MAIC CLASP vs EVEREST-II 24 month Table 3</w:t>
      </w:r>
    </w:p>
    <w:p w14:paraId="78F26A0C" w14:textId="77777777" w:rsidR="00E13326" w:rsidRPr="00427322" w:rsidRDefault="00E13326" w:rsidP="00A64CAC">
      <w:pPr>
        <w:pStyle w:val="Tablenotes"/>
        <w:spacing w:before="0"/>
      </w:pPr>
      <w:r w:rsidRPr="00427322">
        <w:t xml:space="preserve">Cells </w:t>
      </w:r>
      <w:r w:rsidRPr="00427322">
        <w:rPr>
          <w:shd w:val="clear" w:color="auto" w:fill="B4C6E7" w:themeFill="accent5" w:themeFillTint="66"/>
        </w:rPr>
        <w:t>shaded in blue</w:t>
      </w:r>
      <w:r w:rsidRPr="00427322">
        <w:t xml:space="preserve"> represent results previously considered by MSAC</w:t>
      </w:r>
    </w:p>
    <w:p w14:paraId="52720DE3" w14:textId="77777777" w:rsidR="007D3920" w:rsidRPr="00427322" w:rsidRDefault="007D3920" w:rsidP="00A64CAC">
      <w:pPr>
        <w:spacing w:before="240"/>
        <w:rPr>
          <w:lang w:eastAsia="en-AU"/>
        </w:rPr>
      </w:pPr>
      <w:r w:rsidRPr="00427322">
        <w:t xml:space="preserve">While for </w:t>
      </w:r>
      <w:r w:rsidRPr="00427322">
        <w:rPr>
          <w:lang w:eastAsia="en-AU"/>
        </w:rPr>
        <w:t xml:space="preserve">the FMR population </w:t>
      </w:r>
      <w:r w:rsidRPr="00427322">
        <w:t>the</w:t>
      </w:r>
      <w:r w:rsidRPr="00427322">
        <w:rPr>
          <w:lang w:eastAsia="en-AU"/>
        </w:rPr>
        <w:t xml:space="preserve"> current ADAR pooled the 24-month MR severity (0-1+) into a single category and estimated odds ratios for the base-case analysis, this was not replicated for the mixed population. However, as discussed above, the value of this additional analysis is uncertain.</w:t>
      </w:r>
    </w:p>
    <w:p w14:paraId="30C93297" w14:textId="6F21DEAE" w:rsidR="007D3920" w:rsidRDefault="007D3920" w:rsidP="007D3920">
      <w:pPr>
        <w:shd w:val="clear" w:color="auto" w:fill="B4C6E7" w:themeFill="accent5" w:themeFillTint="66"/>
      </w:pPr>
      <w:r w:rsidRPr="00427322">
        <w:t>The commentary to the previous ADAR suggested that the 24-month MR severity results would replace the 12-month results.</w:t>
      </w:r>
      <w:r>
        <w:t xml:space="preserve"> </w:t>
      </w:r>
      <w:r w:rsidRPr="00427322">
        <w:rPr>
          <w:shd w:val="clear" w:color="auto" w:fill="FFFFFF" w:themeFill="background1"/>
        </w:rPr>
        <w:t>The current ADAR responded with the 24-month data analyses.</w:t>
      </w:r>
      <w:r w:rsidRPr="00757BEA">
        <w:rPr>
          <w:shd w:val="clear" w:color="auto" w:fill="FFFFFF" w:themeFill="background1"/>
        </w:rPr>
        <w:t xml:space="preserve"> </w:t>
      </w:r>
      <w:r w:rsidR="00757BEA" w:rsidRPr="00427322">
        <w:rPr>
          <w:shd w:val="clear" w:color="auto" w:fill="FFFFFF" w:themeFill="background1"/>
        </w:rPr>
        <w:fldChar w:fldCharType="begin"/>
      </w:r>
      <w:r w:rsidR="00757BEA" w:rsidRPr="00757BEA">
        <w:rPr>
          <w:shd w:val="clear" w:color="auto" w:fill="FFFFFF" w:themeFill="background1"/>
        </w:rPr>
        <w:instrText xml:space="preserve"> REF _Ref117522176 \h </w:instrText>
      </w:r>
      <w:r w:rsidR="00757BEA">
        <w:rPr>
          <w:shd w:val="clear" w:color="auto" w:fill="FFFFFF" w:themeFill="background1"/>
        </w:rPr>
        <w:instrText xml:space="preserve"> \* MERGEFORMAT </w:instrText>
      </w:r>
      <w:r w:rsidR="00757BEA" w:rsidRPr="00427322">
        <w:rPr>
          <w:shd w:val="clear" w:color="auto" w:fill="FFFFFF" w:themeFill="background1"/>
        </w:rPr>
      </w:r>
      <w:r w:rsidR="00757BEA" w:rsidRPr="00427322">
        <w:rPr>
          <w:shd w:val="clear" w:color="auto" w:fill="FFFFFF" w:themeFill="background1"/>
        </w:rPr>
        <w:fldChar w:fldCharType="separate"/>
      </w:r>
      <w:r w:rsidR="00757BEA" w:rsidRPr="00427322">
        <w:rPr>
          <w:shd w:val="clear" w:color="auto" w:fill="FFFFFF" w:themeFill="background1"/>
        </w:rPr>
        <w:t xml:space="preserve">Table </w:t>
      </w:r>
      <w:r w:rsidR="00757BEA" w:rsidRPr="00427322">
        <w:rPr>
          <w:noProof/>
          <w:shd w:val="clear" w:color="auto" w:fill="FFFFFF" w:themeFill="background1"/>
        </w:rPr>
        <w:t>23</w:t>
      </w:r>
      <w:r w:rsidR="00757BEA" w:rsidRPr="00427322">
        <w:rPr>
          <w:shd w:val="clear" w:color="auto" w:fill="FFFFFF" w:themeFill="background1"/>
        </w:rPr>
        <w:fldChar w:fldCharType="end"/>
      </w:r>
      <w:r w:rsidR="00757BEA" w:rsidRPr="00757BEA">
        <w:rPr>
          <w:shd w:val="clear" w:color="auto" w:fill="FFFFFF" w:themeFill="background1"/>
        </w:rPr>
        <w:t xml:space="preserve"> </w:t>
      </w:r>
      <w:r w:rsidRPr="00757BEA">
        <w:rPr>
          <w:shd w:val="clear" w:color="auto" w:fill="FFFFFF" w:themeFill="background1"/>
        </w:rPr>
        <w:t>replicates Table 9 from MSAC 1662 PSD with updated 24-month results of MR severity for DMR/FMR subgroup.</w:t>
      </w:r>
    </w:p>
    <w:p w14:paraId="31A68FF1" w14:textId="24596DEB" w:rsidR="007D3920" w:rsidRPr="00942F06" w:rsidRDefault="007D3920" w:rsidP="007D3920">
      <w:pPr>
        <w:pStyle w:val="Caption"/>
        <w:shd w:val="clear" w:color="auto" w:fill="B4C6E7" w:themeFill="accent5" w:themeFillTint="66"/>
        <w:rPr>
          <w:color w:val="FF0000"/>
        </w:rPr>
      </w:pPr>
      <w:bookmarkStart w:id="66" w:name="_Ref117522176"/>
      <w:r>
        <w:t xml:space="preserve">Table </w:t>
      </w:r>
      <w:fldSimple w:instr=" SEQ Table \* ARABIC ">
        <w:r w:rsidR="00757BEA">
          <w:rPr>
            <w:noProof/>
          </w:rPr>
          <w:t>23</w:t>
        </w:r>
      </w:fldSimple>
      <w:bookmarkEnd w:id="66"/>
      <w:r>
        <w:tab/>
      </w:r>
      <w:r w:rsidRPr="005602F8">
        <w:t>Percentage of patients with MR grade 2+ or lower</w:t>
      </w:r>
      <w:r>
        <w:t xml:space="preserve"> at 24 month follow up</w:t>
      </w:r>
      <w:r w:rsidR="00592818" w:rsidRPr="00592818">
        <w:rPr>
          <w:noProof/>
          <w:color w:val="FF0000"/>
        </w:rPr>
        <w:t xml:space="preserve"> </w:t>
      </w:r>
    </w:p>
    <w:tbl>
      <w:tblPr>
        <w:tblStyle w:val="TableGrid25"/>
        <w:tblW w:w="0" w:type="auto"/>
        <w:tblLayout w:type="fixed"/>
        <w:tblLook w:val="04A0" w:firstRow="1" w:lastRow="0" w:firstColumn="1" w:lastColumn="0" w:noHBand="0" w:noVBand="1"/>
        <w:tblDescription w:val="Percentage of patients with MR grade 2+ or lower"/>
      </w:tblPr>
      <w:tblGrid>
        <w:gridCol w:w="1555"/>
        <w:gridCol w:w="1701"/>
        <w:gridCol w:w="1134"/>
        <w:gridCol w:w="1701"/>
        <w:gridCol w:w="1701"/>
        <w:gridCol w:w="1224"/>
      </w:tblGrid>
      <w:tr w:rsidR="007D3920" w:rsidRPr="005602F8" w14:paraId="500AA846" w14:textId="77777777" w:rsidTr="00032E3D">
        <w:trPr>
          <w:tblHeader/>
        </w:trPr>
        <w:tc>
          <w:tcPr>
            <w:tcW w:w="1555" w:type="dxa"/>
            <w:vAlign w:val="center"/>
          </w:tcPr>
          <w:p w14:paraId="5DECD628" w14:textId="77777777" w:rsidR="007D3920" w:rsidRPr="005602F8" w:rsidRDefault="007D3920" w:rsidP="00032E3D">
            <w:pPr>
              <w:pStyle w:val="TableHeading"/>
              <w:shd w:val="clear" w:color="auto" w:fill="B4C6E7" w:themeFill="accent5" w:themeFillTint="66"/>
              <w:spacing w:before="40" w:after="40"/>
            </w:pPr>
            <w:r w:rsidRPr="005602F8">
              <w:t>MAIC</w:t>
            </w:r>
          </w:p>
        </w:tc>
        <w:tc>
          <w:tcPr>
            <w:tcW w:w="1701" w:type="dxa"/>
            <w:vAlign w:val="center"/>
          </w:tcPr>
          <w:p w14:paraId="61E0B2EB" w14:textId="77777777" w:rsidR="007D3920" w:rsidRPr="005602F8" w:rsidRDefault="007D3920" w:rsidP="00032E3D">
            <w:pPr>
              <w:pStyle w:val="TableHeading"/>
              <w:shd w:val="clear" w:color="auto" w:fill="B4C6E7" w:themeFill="accent5" w:themeFillTint="66"/>
              <w:spacing w:before="40" w:after="40"/>
              <w:jc w:val="center"/>
            </w:pPr>
            <w:r w:rsidRPr="005602F8">
              <w:t>Matching</w:t>
            </w:r>
          </w:p>
        </w:tc>
        <w:tc>
          <w:tcPr>
            <w:tcW w:w="1134" w:type="dxa"/>
            <w:vAlign w:val="center"/>
          </w:tcPr>
          <w:p w14:paraId="043CBAEA" w14:textId="77777777" w:rsidR="007D3920" w:rsidRPr="005602F8" w:rsidRDefault="007D3920" w:rsidP="00032E3D">
            <w:pPr>
              <w:pStyle w:val="TableHeading"/>
              <w:shd w:val="clear" w:color="auto" w:fill="B4C6E7" w:themeFill="accent5" w:themeFillTint="66"/>
              <w:spacing w:before="40" w:after="40"/>
              <w:jc w:val="center"/>
            </w:pPr>
            <w:r w:rsidRPr="005602F8">
              <w:t>Follow-up</w:t>
            </w:r>
          </w:p>
        </w:tc>
        <w:tc>
          <w:tcPr>
            <w:tcW w:w="1701" w:type="dxa"/>
            <w:vAlign w:val="center"/>
          </w:tcPr>
          <w:p w14:paraId="28DB58CF" w14:textId="77777777" w:rsidR="007D3920" w:rsidRPr="005602F8" w:rsidRDefault="007D3920" w:rsidP="00032E3D">
            <w:pPr>
              <w:pStyle w:val="TableHeading"/>
              <w:shd w:val="clear" w:color="auto" w:fill="B4C6E7" w:themeFill="accent5" w:themeFillTint="66"/>
              <w:spacing w:before="40" w:after="40"/>
              <w:jc w:val="center"/>
              <w:rPr>
                <w:i/>
                <w:iCs/>
              </w:rPr>
            </w:pPr>
            <w:r w:rsidRPr="005602F8">
              <w:rPr>
                <w:i/>
                <w:iCs/>
              </w:rPr>
              <w:t>CLASP (PASCAL)</w:t>
            </w:r>
          </w:p>
          <w:p w14:paraId="01EAC0B7" w14:textId="77777777" w:rsidR="007D3920" w:rsidRPr="005602F8" w:rsidRDefault="007D3920" w:rsidP="00032E3D">
            <w:pPr>
              <w:pStyle w:val="TableHeading"/>
              <w:shd w:val="clear" w:color="auto" w:fill="B4C6E7" w:themeFill="accent5" w:themeFillTint="66"/>
              <w:spacing w:before="40" w:after="40"/>
              <w:jc w:val="center"/>
              <w:rPr>
                <w:i/>
                <w:iCs/>
              </w:rPr>
            </w:pPr>
            <w:r w:rsidRPr="005602F8">
              <w:rPr>
                <w:i/>
                <w:iCs/>
              </w:rPr>
              <w:t>unweighted, %</w:t>
            </w:r>
          </w:p>
        </w:tc>
        <w:tc>
          <w:tcPr>
            <w:tcW w:w="1701" w:type="dxa"/>
            <w:vAlign w:val="center"/>
          </w:tcPr>
          <w:p w14:paraId="25EFD2D8" w14:textId="77777777" w:rsidR="007D3920" w:rsidRPr="005602F8" w:rsidRDefault="007D3920" w:rsidP="00032E3D">
            <w:pPr>
              <w:pStyle w:val="TableHeading"/>
              <w:shd w:val="clear" w:color="auto" w:fill="B4C6E7" w:themeFill="accent5" w:themeFillTint="66"/>
              <w:spacing w:before="40" w:after="40"/>
              <w:jc w:val="center"/>
            </w:pPr>
            <w:r w:rsidRPr="005602F8">
              <w:t>CLASP (PASCAL)</w:t>
            </w:r>
          </w:p>
          <w:p w14:paraId="7C78824F" w14:textId="77777777" w:rsidR="007D3920" w:rsidRPr="005602F8" w:rsidRDefault="007D3920" w:rsidP="00032E3D">
            <w:pPr>
              <w:pStyle w:val="TableHeading"/>
              <w:shd w:val="clear" w:color="auto" w:fill="B4C6E7" w:themeFill="accent5" w:themeFillTint="66"/>
              <w:spacing w:before="40" w:after="40"/>
              <w:jc w:val="center"/>
            </w:pPr>
            <w:r w:rsidRPr="005602F8">
              <w:t>weighted, %</w:t>
            </w:r>
          </w:p>
        </w:tc>
        <w:tc>
          <w:tcPr>
            <w:tcW w:w="1224" w:type="dxa"/>
            <w:vAlign w:val="center"/>
          </w:tcPr>
          <w:p w14:paraId="362BF960" w14:textId="77777777" w:rsidR="007D3920" w:rsidRPr="005602F8" w:rsidRDefault="007D3920" w:rsidP="00032E3D">
            <w:pPr>
              <w:pStyle w:val="TableHeading"/>
              <w:shd w:val="clear" w:color="auto" w:fill="B4C6E7" w:themeFill="accent5" w:themeFillTint="66"/>
              <w:spacing w:before="40" w:after="40"/>
              <w:jc w:val="center"/>
            </w:pPr>
            <w:proofErr w:type="spellStart"/>
            <w:r w:rsidRPr="005602F8">
              <w:t>MitraClip</w:t>
            </w:r>
            <w:proofErr w:type="spellEnd"/>
            <w:r w:rsidRPr="005602F8">
              <w:t>, %</w:t>
            </w:r>
          </w:p>
        </w:tc>
      </w:tr>
      <w:tr w:rsidR="007D3920" w:rsidRPr="005602F8" w14:paraId="7709BE95" w14:textId="77777777" w:rsidTr="00032E3D">
        <w:trPr>
          <w:tblHeader/>
        </w:trPr>
        <w:tc>
          <w:tcPr>
            <w:tcW w:w="1555" w:type="dxa"/>
            <w:vMerge w:val="restart"/>
            <w:vAlign w:val="center"/>
          </w:tcPr>
          <w:p w14:paraId="43E65B73" w14:textId="77777777" w:rsidR="007D3920" w:rsidRPr="005602F8" w:rsidRDefault="007D3920" w:rsidP="00032E3D">
            <w:pPr>
              <w:pStyle w:val="Tabletext0"/>
              <w:shd w:val="clear" w:color="auto" w:fill="B4C6E7" w:themeFill="accent5" w:themeFillTint="66"/>
              <w:jc w:val="left"/>
            </w:pPr>
            <w:r w:rsidRPr="005602F8">
              <w:t>CLASP vs COAPT</w:t>
            </w:r>
          </w:p>
        </w:tc>
        <w:tc>
          <w:tcPr>
            <w:tcW w:w="1701" w:type="dxa"/>
          </w:tcPr>
          <w:p w14:paraId="774F1255" w14:textId="77777777" w:rsidR="007D3920" w:rsidRPr="005602F8" w:rsidRDefault="007D3920" w:rsidP="00032E3D">
            <w:pPr>
              <w:pStyle w:val="Tabletext0"/>
              <w:shd w:val="clear" w:color="auto" w:fill="B4C6E7" w:themeFill="accent5" w:themeFillTint="66"/>
              <w:jc w:val="center"/>
            </w:pPr>
            <w:r w:rsidRPr="005602F8">
              <w:t>Base-case</w:t>
            </w:r>
          </w:p>
        </w:tc>
        <w:tc>
          <w:tcPr>
            <w:tcW w:w="1134" w:type="dxa"/>
            <w:vMerge w:val="restart"/>
            <w:vAlign w:val="center"/>
          </w:tcPr>
          <w:p w14:paraId="2F7F32A1" w14:textId="77777777" w:rsidR="007D3920" w:rsidRPr="005602F8" w:rsidRDefault="007D3920" w:rsidP="00032E3D">
            <w:pPr>
              <w:pStyle w:val="Tabletext0"/>
              <w:shd w:val="clear" w:color="auto" w:fill="B4C6E7" w:themeFill="accent5" w:themeFillTint="66"/>
              <w:jc w:val="center"/>
            </w:pPr>
            <w:r w:rsidRPr="005602F8">
              <w:t>24 months</w:t>
            </w:r>
          </w:p>
        </w:tc>
        <w:tc>
          <w:tcPr>
            <w:tcW w:w="1701" w:type="dxa"/>
            <w:vMerge w:val="restart"/>
            <w:vAlign w:val="center"/>
          </w:tcPr>
          <w:p w14:paraId="3DC605C2" w14:textId="77777777" w:rsidR="007D3920" w:rsidRPr="005602F8" w:rsidRDefault="007D3920" w:rsidP="00032E3D">
            <w:pPr>
              <w:pStyle w:val="Tabletext0"/>
              <w:shd w:val="clear" w:color="auto" w:fill="B4C6E7" w:themeFill="accent5" w:themeFillTint="66"/>
              <w:jc w:val="center"/>
            </w:pPr>
            <w:r w:rsidRPr="005602F8">
              <w:t>95 (n=19)*</w:t>
            </w:r>
          </w:p>
        </w:tc>
        <w:tc>
          <w:tcPr>
            <w:tcW w:w="1701" w:type="dxa"/>
            <w:shd w:val="clear" w:color="auto" w:fill="B4C6E7" w:themeFill="accent5" w:themeFillTint="66"/>
          </w:tcPr>
          <w:p w14:paraId="70D7B0F3" w14:textId="77777777" w:rsidR="007D3920" w:rsidRPr="005602F8" w:rsidRDefault="007D3920" w:rsidP="00032E3D">
            <w:pPr>
              <w:pStyle w:val="Tabletext0"/>
              <w:shd w:val="clear" w:color="auto" w:fill="B4C6E7" w:themeFill="accent5" w:themeFillTint="66"/>
              <w:jc w:val="center"/>
            </w:pPr>
            <w:r w:rsidRPr="00E54613">
              <w:t>91.1</w:t>
            </w:r>
          </w:p>
        </w:tc>
        <w:tc>
          <w:tcPr>
            <w:tcW w:w="1224" w:type="dxa"/>
            <w:shd w:val="clear" w:color="auto" w:fill="B4C6E7" w:themeFill="accent5" w:themeFillTint="66"/>
          </w:tcPr>
          <w:p w14:paraId="1DAC5370" w14:textId="77777777" w:rsidR="007D3920" w:rsidRPr="005602F8" w:rsidRDefault="007D3920" w:rsidP="00032E3D">
            <w:pPr>
              <w:pStyle w:val="Tabletext0"/>
              <w:shd w:val="clear" w:color="auto" w:fill="B4C6E7" w:themeFill="accent5" w:themeFillTint="66"/>
              <w:jc w:val="center"/>
            </w:pPr>
            <w:r w:rsidRPr="005602F8">
              <w:t>99.13</w:t>
            </w:r>
          </w:p>
        </w:tc>
      </w:tr>
      <w:tr w:rsidR="007D3920" w:rsidRPr="005602F8" w14:paraId="367DBFB5" w14:textId="77777777" w:rsidTr="00032E3D">
        <w:trPr>
          <w:tblHeader/>
        </w:trPr>
        <w:tc>
          <w:tcPr>
            <w:tcW w:w="1555" w:type="dxa"/>
            <w:vMerge/>
            <w:vAlign w:val="center"/>
          </w:tcPr>
          <w:p w14:paraId="4BE16499" w14:textId="77777777" w:rsidR="007D3920" w:rsidRPr="005602F8" w:rsidRDefault="007D3920" w:rsidP="00032E3D">
            <w:pPr>
              <w:pStyle w:val="Tabletext0"/>
              <w:shd w:val="clear" w:color="auto" w:fill="B4C6E7" w:themeFill="accent5" w:themeFillTint="66"/>
              <w:jc w:val="left"/>
            </w:pPr>
          </w:p>
        </w:tc>
        <w:tc>
          <w:tcPr>
            <w:tcW w:w="1701" w:type="dxa"/>
          </w:tcPr>
          <w:p w14:paraId="20DD0ED6" w14:textId="77777777" w:rsidR="007D3920" w:rsidRPr="005602F8" w:rsidRDefault="007D3920" w:rsidP="00032E3D">
            <w:pPr>
              <w:pStyle w:val="Tabletext0"/>
              <w:shd w:val="clear" w:color="auto" w:fill="B4C6E7" w:themeFill="accent5" w:themeFillTint="66"/>
              <w:jc w:val="center"/>
            </w:pPr>
            <w:r w:rsidRPr="005602F8">
              <w:t>Sensitivity analysis</w:t>
            </w:r>
          </w:p>
        </w:tc>
        <w:tc>
          <w:tcPr>
            <w:tcW w:w="1134" w:type="dxa"/>
            <w:vMerge/>
            <w:vAlign w:val="center"/>
          </w:tcPr>
          <w:p w14:paraId="5B8EE5A2" w14:textId="77777777" w:rsidR="007D3920" w:rsidRPr="005602F8" w:rsidRDefault="007D3920" w:rsidP="00032E3D">
            <w:pPr>
              <w:pStyle w:val="Tabletext0"/>
              <w:shd w:val="clear" w:color="auto" w:fill="B4C6E7" w:themeFill="accent5" w:themeFillTint="66"/>
              <w:jc w:val="center"/>
            </w:pPr>
          </w:p>
        </w:tc>
        <w:tc>
          <w:tcPr>
            <w:tcW w:w="1701" w:type="dxa"/>
            <w:vMerge/>
            <w:vAlign w:val="center"/>
          </w:tcPr>
          <w:p w14:paraId="140C530B" w14:textId="77777777" w:rsidR="007D3920" w:rsidRPr="005602F8" w:rsidRDefault="007D3920" w:rsidP="00032E3D">
            <w:pPr>
              <w:pStyle w:val="Tabletext0"/>
              <w:shd w:val="clear" w:color="auto" w:fill="B4C6E7" w:themeFill="accent5" w:themeFillTint="66"/>
              <w:jc w:val="center"/>
            </w:pPr>
          </w:p>
        </w:tc>
        <w:tc>
          <w:tcPr>
            <w:tcW w:w="1701" w:type="dxa"/>
            <w:shd w:val="clear" w:color="auto" w:fill="B4C6E7" w:themeFill="accent5" w:themeFillTint="66"/>
          </w:tcPr>
          <w:p w14:paraId="37DA82A5" w14:textId="77777777" w:rsidR="007D3920" w:rsidRPr="005602F8" w:rsidRDefault="007D3920" w:rsidP="00032E3D">
            <w:pPr>
              <w:pStyle w:val="Tabletext0"/>
              <w:shd w:val="clear" w:color="auto" w:fill="B4C6E7" w:themeFill="accent5" w:themeFillTint="66"/>
              <w:jc w:val="center"/>
            </w:pPr>
            <w:r w:rsidRPr="00E54613">
              <w:t>95.79</w:t>
            </w:r>
          </w:p>
        </w:tc>
        <w:tc>
          <w:tcPr>
            <w:tcW w:w="1224" w:type="dxa"/>
            <w:shd w:val="clear" w:color="auto" w:fill="B4C6E7" w:themeFill="accent5" w:themeFillTint="66"/>
          </w:tcPr>
          <w:p w14:paraId="54D2CFE1" w14:textId="77777777" w:rsidR="007D3920" w:rsidRPr="005602F8" w:rsidRDefault="007D3920" w:rsidP="00032E3D">
            <w:pPr>
              <w:pStyle w:val="Tabletext0"/>
              <w:shd w:val="clear" w:color="auto" w:fill="B4C6E7" w:themeFill="accent5" w:themeFillTint="66"/>
              <w:jc w:val="center"/>
            </w:pPr>
            <w:r w:rsidRPr="005602F8">
              <w:t>99.13</w:t>
            </w:r>
          </w:p>
        </w:tc>
      </w:tr>
      <w:tr w:rsidR="007D3920" w:rsidRPr="005602F8" w14:paraId="10F0118C" w14:textId="77777777" w:rsidTr="00427322">
        <w:trPr>
          <w:tblHeader/>
        </w:trPr>
        <w:tc>
          <w:tcPr>
            <w:tcW w:w="1555" w:type="dxa"/>
            <w:vMerge w:val="restart"/>
            <w:vAlign w:val="center"/>
          </w:tcPr>
          <w:p w14:paraId="11305BD9" w14:textId="77777777" w:rsidR="007D3920" w:rsidRPr="005602F8" w:rsidRDefault="007D3920" w:rsidP="00032E3D">
            <w:pPr>
              <w:pStyle w:val="Tabletext0"/>
              <w:shd w:val="clear" w:color="auto" w:fill="B4C6E7" w:themeFill="accent5" w:themeFillTint="66"/>
              <w:jc w:val="left"/>
            </w:pPr>
            <w:r w:rsidRPr="005602F8">
              <w:t>CLASP vs EVEREST-II</w:t>
            </w:r>
          </w:p>
        </w:tc>
        <w:tc>
          <w:tcPr>
            <w:tcW w:w="1701" w:type="dxa"/>
          </w:tcPr>
          <w:p w14:paraId="07404630" w14:textId="77777777" w:rsidR="007D3920" w:rsidRPr="005602F8" w:rsidRDefault="007D3920" w:rsidP="00032E3D">
            <w:pPr>
              <w:pStyle w:val="Tabletext0"/>
              <w:shd w:val="clear" w:color="auto" w:fill="B4C6E7" w:themeFill="accent5" w:themeFillTint="66"/>
              <w:jc w:val="center"/>
            </w:pPr>
            <w:r w:rsidRPr="005602F8">
              <w:t>Base-case</w:t>
            </w:r>
          </w:p>
        </w:tc>
        <w:tc>
          <w:tcPr>
            <w:tcW w:w="1134" w:type="dxa"/>
            <w:vMerge w:val="restart"/>
            <w:vAlign w:val="center"/>
          </w:tcPr>
          <w:p w14:paraId="47D15550" w14:textId="77777777" w:rsidR="007D3920" w:rsidRPr="0087687E" w:rsidRDefault="007D3920" w:rsidP="00032E3D">
            <w:pPr>
              <w:pStyle w:val="Tabletext0"/>
            </w:pPr>
            <w:r w:rsidRPr="0087687E">
              <w:t>24 months</w:t>
            </w:r>
          </w:p>
        </w:tc>
        <w:tc>
          <w:tcPr>
            <w:tcW w:w="1701" w:type="dxa"/>
            <w:vMerge w:val="restart"/>
            <w:vAlign w:val="center"/>
          </w:tcPr>
          <w:p w14:paraId="44C2A88B" w14:textId="77777777" w:rsidR="007D3920" w:rsidRPr="004807F5" w:rsidRDefault="007D3920" w:rsidP="00427322">
            <w:pPr>
              <w:pStyle w:val="Tabletext0"/>
              <w:jc w:val="center"/>
            </w:pPr>
            <w:r w:rsidRPr="0087687E">
              <w:t>97 (n=36)</w:t>
            </w:r>
            <w:r w:rsidRPr="00427322">
              <w:rPr>
                <w:vertAlign w:val="superscript"/>
              </w:rPr>
              <w:t>#</w:t>
            </w:r>
          </w:p>
        </w:tc>
        <w:tc>
          <w:tcPr>
            <w:tcW w:w="1701" w:type="dxa"/>
            <w:vAlign w:val="center"/>
          </w:tcPr>
          <w:p w14:paraId="7AC8A519" w14:textId="77777777" w:rsidR="007D3920" w:rsidRPr="0087687E" w:rsidRDefault="007D3920" w:rsidP="00427322">
            <w:pPr>
              <w:pStyle w:val="Tabletext0"/>
              <w:jc w:val="center"/>
            </w:pPr>
            <w:r w:rsidRPr="0087687E">
              <w:t>99.77</w:t>
            </w:r>
          </w:p>
        </w:tc>
        <w:tc>
          <w:tcPr>
            <w:tcW w:w="1224" w:type="dxa"/>
            <w:vAlign w:val="center"/>
          </w:tcPr>
          <w:p w14:paraId="7E72B0A8" w14:textId="77777777" w:rsidR="007D3920" w:rsidRPr="004807F5" w:rsidRDefault="007D3920" w:rsidP="00427322">
            <w:pPr>
              <w:pStyle w:val="Tabletext0"/>
              <w:jc w:val="center"/>
            </w:pPr>
            <w:r w:rsidRPr="001B6C2A">
              <w:t>85.04</w:t>
            </w:r>
          </w:p>
        </w:tc>
      </w:tr>
      <w:tr w:rsidR="007D3920" w:rsidRPr="005602F8" w14:paraId="4E325759" w14:textId="77777777" w:rsidTr="00427322">
        <w:trPr>
          <w:tblHeader/>
        </w:trPr>
        <w:tc>
          <w:tcPr>
            <w:tcW w:w="1555" w:type="dxa"/>
            <w:vMerge/>
          </w:tcPr>
          <w:p w14:paraId="64DDECB7" w14:textId="77777777" w:rsidR="007D3920" w:rsidRPr="005602F8" w:rsidRDefault="007D3920" w:rsidP="00032E3D">
            <w:pPr>
              <w:pStyle w:val="Tabletext0"/>
              <w:shd w:val="clear" w:color="auto" w:fill="B4C6E7" w:themeFill="accent5" w:themeFillTint="66"/>
            </w:pPr>
          </w:p>
        </w:tc>
        <w:tc>
          <w:tcPr>
            <w:tcW w:w="1701" w:type="dxa"/>
          </w:tcPr>
          <w:p w14:paraId="30CF25E9" w14:textId="77777777" w:rsidR="007D3920" w:rsidRPr="005602F8" w:rsidRDefault="007D3920" w:rsidP="00032E3D">
            <w:pPr>
              <w:pStyle w:val="Tabletext0"/>
              <w:shd w:val="clear" w:color="auto" w:fill="B4C6E7" w:themeFill="accent5" w:themeFillTint="66"/>
              <w:jc w:val="center"/>
            </w:pPr>
            <w:r w:rsidRPr="005602F8">
              <w:t>Sensitivity analysis</w:t>
            </w:r>
          </w:p>
        </w:tc>
        <w:tc>
          <w:tcPr>
            <w:tcW w:w="1134" w:type="dxa"/>
            <w:vMerge/>
          </w:tcPr>
          <w:p w14:paraId="15EE3809" w14:textId="77777777" w:rsidR="007D3920" w:rsidRPr="004807F5" w:rsidRDefault="007D3920" w:rsidP="00032E3D">
            <w:pPr>
              <w:pStyle w:val="Tabletext0"/>
            </w:pPr>
          </w:p>
        </w:tc>
        <w:tc>
          <w:tcPr>
            <w:tcW w:w="1701" w:type="dxa"/>
            <w:vMerge/>
          </w:tcPr>
          <w:p w14:paraId="6EE86352" w14:textId="77777777" w:rsidR="007D3920" w:rsidRPr="004807F5" w:rsidRDefault="007D3920" w:rsidP="00032E3D">
            <w:pPr>
              <w:pStyle w:val="Tabletext0"/>
            </w:pPr>
          </w:p>
        </w:tc>
        <w:tc>
          <w:tcPr>
            <w:tcW w:w="1701" w:type="dxa"/>
            <w:vAlign w:val="center"/>
          </w:tcPr>
          <w:p w14:paraId="64372784" w14:textId="77777777" w:rsidR="007D3920" w:rsidRPr="004807F5" w:rsidRDefault="007D3920" w:rsidP="00427322">
            <w:pPr>
              <w:pStyle w:val="Tabletext0"/>
              <w:jc w:val="center"/>
            </w:pPr>
            <w:r w:rsidRPr="004807F5">
              <w:t>99.19</w:t>
            </w:r>
          </w:p>
        </w:tc>
        <w:tc>
          <w:tcPr>
            <w:tcW w:w="1224" w:type="dxa"/>
            <w:vAlign w:val="center"/>
          </w:tcPr>
          <w:p w14:paraId="32F3CDFE" w14:textId="77777777" w:rsidR="007D3920" w:rsidRPr="004807F5" w:rsidRDefault="007D3920" w:rsidP="00427322">
            <w:pPr>
              <w:pStyle w:val="Tabletext0"/>
              <w:jc w:val="center"/>
            </w:pPr>
            <w:r w:rsidRPr="004807F5">
              <w:t>85.04</w:t>
            </w:r>
          </w:p>
        </w:tc>
      </w:tr>
    </w:tbl>
    <w:p w14:paraId="7C4DD582" w14:textId="77777777" w:rsidR="007D3920" w:rsidRPr="005602F8" w:rsidRDefault="007D3920" w:rsidP="007D3920">
      <w:pPr>
        <w:pStyle w:val="Tablenotes"/>
        <w:spacing w:before="0" w:after="0"/>
      </w:pPr>
      <w:r w:rsidRPr="005602F8">
        <w:t>*FMR population only</w:t>
      </w:r>
    </w:p>
    <w:p w14:paraId="5104D6CF" w14:textId="77777777" w:rsidR="007D3920" w:rsidRPr="005602F8" w:rsidRDefault="007D3920" w:rsidP="007D3920">
      <w:pPr>
        <w:pStyle w:val="Tablenotes"/>
        <w:spacing w:before="0" w:after="0"/>
      </w:pPr>
      <w:r w:rsidRPr="005602F8">
        <w:t>#</w:t>
      </w:r>
      <w:r>
        <w:t xml:space="preserve">Mixed </w:t>
      </w:r>
      <w:r w:rsidRPr="005602F8">
        <w:t>population</w:t>
      </w:r>
      <w:r>
        <w:t xml:space="preserve"> (FMR/DMR)</w:t>
      </w:r>
    </w:p>
    <w:p w14:paraId="41B1A355" w14:textId="77777777" w:rsidR="007D3920" w:rsidRDefault="007D3920" w:rsidP="007D3920">
      <w:pPr>
        <w:pStyle w:val="Tablenotes"/>
        <w:spacing w:before="0" w:after="0"/>
      </w:pPr>
      <w:r w:rsidRPr="005602F8">
        <w:t xml:space="preserve">Source: </w:t>
      </w:r>
      <w:r>
        <w:t>PSD of the1662. ADAR; Table 3 and Table 14 Attachment 2.2 to the 1662.1 ADAR</w:t>
      </w:r>
    </w:p>
    <w:p w14:paraId="56D3CF71" w14:textId="77777777" w:rsidR="007D3920" w:rsidRPr="00E71E03" w:rsidRDefault="007D3920" w:rsidP="007D3920">
      <w:pPr>
        <w:pStyle w:val="Tablenotes"/>
        <w:spacing w:before="0"/>
        <w:contextualSpacing w:val="0"/>
      </w:pPr>
      <w:r w:rsidRPr="00E71E03">
        <w:t xml:space="preserve">Cells shaded in </w:t>
      </w:r>
      <w:r w:rsidRPr="00E71E03">
        <w:rPr>
          <w:shd w:val="clear" w:color="auto" w:fill="B4C6E7" w:themeFill="accent5" w:themeFillTint="66"/>
        </w:rPr>
        <w:t>blue</w:t>
      </w:r>
      <w:r w:rsidRPr="00E71E03">
        <w:t xml:space="preserve"> represent results previously considered by MSAC</w:t>
      </w:r>
    </w:p>
    <w:p w14:paraId="16C9FA8B" w14:textId="264B0F89" w:rsidR="007D3920" w:rsidRDefault="007D3920" w:rsidP="00A64CAC">
      <w:pPr>
        <w:shd w:val="clear" w:color="auto" w:fill="B4C6E7" w:themeFill="accent5" w:themeFillTint="66"/>
        <w:spacing w:before="240"/>
        <w:rPr>
          <w:lang w:eastAsia="en-AU"/>
        </w:rPr>
      </w:pPr>
      <w:r w:rsidRPr="00427322">
        <w:rPr>
          <w:lang w:eastAsia="en-AU"/>
        </w:rPr>
        <w:t>Unchanged from the previous ADAR,</w:t>
      </w:r>
      <w:r w:rsidRPr="00757BEA">
        <w:rPr>
          <w:lang w:eastAsia="en-AU"/>
        </w:rPr>
        <w:t xml:space="preserve"> </w:t>
      </w:r>
      <w:r w:rsidRPr="00427322">
        <w:rPr>
          <w:lang w:eastAsia="en-AU"/>
        </w:rPr>
        <w:t xml:space="preserve">a higher proportion of CLASP patients had MR severity 0+ at 24 months compared with COAPT </w:t>
      </w:r>
      <w:proofErr w:type="spellStart"/>
      <w:r w:rsidRPr="00427322">
        <w:rPr>
          <w:lang w:eastAsia="en-AU"/>
        </w:rPr>
        <w:t>MitraClip</w:t>
      </w:r>
      <w:proofErr w:type="spellEnd"/>
      <w:r w:rsidRPr="00427322">
        <w:rPr>
          <w:lang w:eastAsia="en-AU"/>
        </w:rPr>
        <w:t xml:space="preserve"> population</w:t>
      </w:r>
      <w:r>
        <w:rPr>
          <w:i/>
          <w:iCs/>
          <w:lang w:eastAsia="en-AU"/>
        </w:rPr>
        <w:t xml:space="preserve"> (</w:t>
      </w:r>
      <w:r w:rsidR="00757BEA">
        <w:rPr>
          <w:i/>
          <w:iCs/>
          <w:lang w:eastAsia="en-AU"/>
        </w:rPr>
        <w:fldChar w:fldCharType="begin"/>
      </w:r>
      <w:r w:rsidR="00757BEA">
        <w:rPr>
          <w:i/>
          <w:iCs/>
          <w:lang w:eastAsia="en-AU"/>
        </w:rPr>
        <w:instrText xml:space="preserve"> REF _Ref117521880 \h </w:instrText>
      </w:r>
      <w:r w:rsidR="00757BEA">
        <w:rPr>
          <w:i/>
          <w:iCs/>
          <w:lang w:eastAsia="en-AU"/>
        </w:rPr>
      </w:r>
      <w:r w:rsidR="00757BEA">
        <w:rPr>
          <w:i/>
          <w:iCs/>
          <w:lang w:eastAsia="en-AU"/>
        </w:rPr>
        <w:fldChar w:fldCharType="separate"/>
      </w:r>
      <w:r w:rsidR="00757BEA">
        <w:t xml:space="preserve">Table </w:t>
      </w:r>
      <w:r w:rsidR="00757BEA">
        <w:rPr>
          <w:noProof/>
        </w:rPr>
        <w:t>20</w:t>
      </w:r>
      <w:r w:rsidR="00757BEA">
        <w:rPr>
          <w:i/>
          <w:iCs/>
          <w:lang w:eastAsia="en-AU"/>
        </w:rPr>
        <w:fldChar w:fldCharType="end"/>
      </w:r>
      <w:r w:rsidRPr="00427322">
        <w:rPr>
          <w:lang w:eastAsia="en-AU"/>
        </w:rPr>
        <w:t xml:space="preserve">), but MR grade 2+ or lower was achieved in 91.1% of CLASP (PASCAL) patients and 99.13% of COAPT </w:t>
      </w:r>
      <w:proofErr w:type="spellStart"/>
      <w:r w:rsidRPr="00427322">
        <w:rPr>
          <w:lang w:eastAsia="en-AU"/>
        </w:rPr>
        <w:t>MitraClip</w:t>
      </w:r>
      <w:proofErr w:type="spellEnd"/>
      <w:r w:rsidRPr="00427322">
        <w:rPr>
          <w:lang w:eastAsia="en-AU"/>
        </w:rPr>
        <w:t xml:space="preserve"> patients in the base-case analysis and 95.79% vs 99.13% in the sensitivity analysis, respectively.</w:t>
      </w:r>
    </w:p>
    <w:p w14:paraId="5D9D6DD4" w14:textId="289FD356" w:rsidR="007D3920" w:rsidRPr="005D603E" w:rsidRDefault="007D3920" w:rsidP="007D3920">
      <w:pPr>
        <w:shd w:val="clear" w:color="auto" w:fill="FFFFFF" w:themeFill="background1"/>
        <w:rPr>
          <w:lang w:eastAsia="en-AU"/>
        </w:rPr>
      </w:pPr>
      <w:r w:rsidRPr="004807F5">
        <w:rPr>
          <w:shd w:val="clear" w:color="auto" w:fill="B4C6E7" w:themeFill="accent5" w:themeFillTint="66"/>
          <w:lang w:eastAsia="en-AU"/>
        </w:rPr>
        <w:t xml:space="preserve">Likewise, in the mixed population a higher proportion of CLASP patients had MR severity 0+ at 24 months compared with EVEREST-II </w:t>
      </w:r>
      <w:proofErr w:type="spellStart"/>
      <w:r w:rsidRPr="004807F5">
        <w:rPr>
          <w:shd w:val="clear" w:color="auto" w:fill="B4C6E7" w:themeFill="accent5" w:themeFillTint="66"/>
          <w:lang w:eastAsia="en-AU"/>
        </w:rPr>
        <w:t>MitraClip</w:t>
      </w:r>
      <w:proofErr w:type="spellEnd"/>
      <w:r w:rsidRPr="004807F5">
        <w:rPr>
          <w:shd w:val="clear" w:color="auto" w:fill="B4C6E7" w:themeFill="accent5" w:themeFillTint="66"/>
          <w:lang w:eastAsia="en-AU"/>
        </w:rPr>
        <w:t xml:space="preserve"> population </w:t>
      </w:r>
      <w:r w:rsidRPr="00757BEA">
        <w:rPr>
          <w:shd w:val="clear" w:color="auto" w:fill="B4C6E7" w:themeFill="accent5" w:themeFillTint="66"/>
          <w:lang w:eastAsia="en-AU"/>
        </w:rPr>
        <w:t>(</w:t>
      </w:r>
      <w:r w:rsidR="00757BEA" w:rsidRPr="00427322">
        <w:rPr>
          <w:shd w:val="clear" w:color="auto" w:fill="B4C6E7" w:themeFill="accent5" w:themeFillTint="66"/>
          <w:lang w:eastAsia="en-AU"/>
        </w:rPr>
        <w:fldChar w:fldCharType="begin"/>
      </w:r>
      <w:r w:rsidR="00757BEA" w:rsidRPr="00757BEA">
        <w:rPr>
          <w:shd w:val="clear" w:color="auto" w:fill="B4C6E7" w:themeFill="accent5" w:themeFillTint="66"/>
          <w:lang w:eastAsia="en-AU"/>
        </w:rPr>
        <w:instrText xml:space="preserve"> REF _Ref117522060 \h </w:instrText>
      </w:r>
      <w:r w:rsidR="00757BEA">
        <w:rPr>
          <w:shd w:val="clear" w:color="auto" w:fill="B4C6E7" w:themeFill="accent5" w:themeFillTint="66"/>
          <w:lang w:eastAsia="en-AU"/>
        </w:rPr>
        <w:instrText xml:space="preserve"> \* MERGEFORMAT </w:instrText>
      </w:r>
      <w:r w:rsidR="00757BEA" w:rsidRPr="00427322">
        <w:rPr>
          <w:shd w:val="clear" w:color="auto" w:fill="B4C6E7" w:themeFill="accent5" w:themeFillTint="66"/>
          <w:lang w:eastAsia="en-AU"/>
        </w:rPr>
      </w:r>
      <w:r w:rsidR="00757BEA" w:rsidRPr="00427322">
        <w:rPr>
          <w:shd w:val="clear" w:color="auto" w:fill="B4C6E7" w:themeFill="accent5" w:themeFillTint="66"/>
          <w:lang w:eastAsia="en-AU"/>
        </w:rPr>
        <w:fldChar w:fldCharType="separate"/>
      </w:r>
      <w:r w:rsidR="00757BEA" w:rsidRPr="00427322">
        <w:rPr>
          <w:shd w:val="clear" w:color="auto" w:fill="B4C6E7" w:themeFill="accent5" w:themeFillTint="66"/>
        </w:rPr>
        <w:t xml:space="preserve">Table </w:t>
      </w:r>
      <w:r w:rsidR="00757BEA" w:rsidRPr="00427322">
        <w:rPr>
          <w:noProof/>
          <w:shd w:val="clear" w:color="auto" w:fill="B4C6E7" w:themeFill="accent5" w:themeFillTint="66"/>
        </w:rPr>
        <w:t>22</w:t>
      </w:r>
      <w:r w:rsidR="00757BEA" w:rsidRPr="00427322">
        <w:rPr>
          <w:shd w:val="clear" w:color="auto" w:fill="B4C6E7" w:themeFill="accent5" w:themeFillTint="66"/>
          <w:lang w:eastAsia="en-AU"/>
        </w:rPr>
        <w:fldChar w:fldCharType="end"/>
      </w:r>
      <w:r w:rsidRPr="004807F5">
        <w:rPr>
          <w:shd w:val="clear" w:color="auto" w:fill="B4C6E7" w:themeFill="accent5" w:themeFillTint="66"/>
          <w:lang w:eastAsia="en-AU"/>
        </w:rPr>
        <w:t xml:space="preserve">). Unlike in the FMR population, more PASCAL patients from the mixed population achieved the MR grade 2+ or lower than </w:t>
      </w:r>
      <w:proofErr w:type="spellStart"/>
      <w:r w:rsidRPr="004807F5">
        <w:rPr>
          <w:shd w:val="clear" w:color="auto" w:fill="B4C6E7" w:themeFill="accent5" w:themeFillTint="66"/>
          <w:lang w:eastAsia="en-AU"/>
        </w:rPr>
        <w:t>MitraClip</w:t>
      </w:r>
      <w:proofErr w:type="spellEnd"/>
      <w:r w:rsidRPr="004807F5">
        <w:rPr>
          <w:shd w:val="clear" w:color="auto" w:fill="B4C6E7" w:themeFill="accent5" w:themeFillTint="66"/>
          <w:lang w:eastAsia="en-AU"/>
        </w:rPr>
        <w:t xml:space="preserve"> patients: 99.8% and 85.04% respectively, in the base-case analysis and 99.19% vs 85.04% respectively, in the sensitivity analysis. </w:t>
      </w:r>
      <w:r w:rsidRPr="00757BEA">
        <w:rPr>
          <w:shd w:val="clear" w:color="auto" w:fill="FFFFFF" w:themeFill="background1"/>
          <w:lang w:eastAsia="en-AU"/>
        </w:rPr>
        <w:t>No</w:t>
      </w:r>
      <w:r w:rsidRPr="00427322">
        <w:rPr>
          <w:shd w:val="clear" w:color="auto" w:fill="FFFFFF" w:themeFill="background1"/>
          <w:lang w:eastAsia="en-AU"/>
        </w:rPr>
        <w:t xml:space="preserve"> MAIC analyses were conducted in relation to these aggregated MR severity categories, and statistical significance of the difference is not established in relation to MR grade 2+ or lower. Interpretation of the results is limited by the remaining residual imbalances in the population characteristics</w:t>
      </w:r>
      <w:r w:rsidRPr="00427322">
        <w:rPr>
          <w:shd w:val="clear" w:color="auto" w:fill="B4C6E7" w:themeFill="accent5" w:themeFillTint="66"/>
          <w:lang w:eastAsia="en-AU"/>
        </w:rPr>
        <w:t>,</w:t>
      </w:r>
      <w:r w:rsidRPr="00427322">
        <w:rPr>
          <w:lang w:eastAsia="en-AU"/>
        </w:rPr>
        <w:t xml:space="preserve"> the potential bias due to </w:t>
      </w:r>
      <w:r w:rsidRPr="00427322">
        <w:t xml:space="preserve">time-varying confounding, with a possibility of the first generations of </w:t>
      </w:r>
      <w:proofErr w:type="spellStart"/>
      <w:r w:rsidRPr="00427322">
        <w:t>MitraClip</w:t>
      </w:r>
      <w:proofErr w:type="spellEnd"/>
      <w:r w:rsidRPr="00427322">
        <w:t xml:space="preserve"> devices used in the COAPT and EVEREST-II trials being compared with more advanced techniques and more experienced clinicians participating in the CLASP study that started later.</w:t>
      </w:r>
      <w:r w:rsidRPr="00757BEA">
        <w:t xml:space="preserve">  </w:t>
      </w:r>
    </w:p>
    <w:p w14:paraId="7B8B34DB" w14:textId="77777777" w:rsidR="007D3920" w:rsidRPr="00A37E13" w:rsidRDefault="007D3920" w:rsidP="007D3920">
      <w:pPr>
        <w:pStyle w:val="Heading4"/>
      </w:pPr>
      <w:r w:rsidRPr="00A37E13">
        <w:lastRenderedPageBreak/>
        <w:t>NYHA functional class at</w:t>
      </w:r>
      <w:r>
        <w:t xml:space="preserve"> 24 months in the FMR and DMR/FMR population </w:t>
      </w:r>
    </w:p>
    <w:p w14:paraId="2677A368" w14:textId="16B9DB5E" w:rsidR="007D3920" w:rsidRPr="000330B2" w:rsidRDefault="00757BEA" w:rsidP="007D3920">
      <w:r>
        <w:fldChar w:fldCharType="begin"/>
      </w:r>
      <w:r>
        <w:instrText xml:space="preserve"> REF _Ref117522386 \h </w:instrText>
      </w:r>
      <w:r>
        <w:fldChar w:fldCharType="separate"/>
      </w:r>
      <w:r>
        <w:t xml:space="preserve">Table </w:t>
      </w:r>
      <w:r>
        <w:rPr>
          <w:noProof/>
        </w:rPr>
        <w:t>24</w:t>
      </w:r>
      <w:r>
        <w:fldChar w:fldCharType="end"/>
      </w:r>
      <w:r>
        <w:t xml:space="preserve"> </w:t>
      </w:r>
      <w:r w:rsidR="007D3920" w:rsidRPr="000330B2">
        <w:t xml:space="preserve">reproduces Table 10 from the </w:t>
      </w:r>
      <w:r w:rsidR="007D3920">
        <w:t xml:space="preserve">MSAC 1662 </w:t>
      </w:r>
      <w:r w:rsidR="007D3920" w:rsidRPr="000330B2">
        <w:t xml:space="preserve">PSD with updated and corrected numbers, for </w:t>
      </w:r>
      <w:r w:rsidR="007D3920">
        <w:t>the combined NYHA</w:t>
      </w:r>
      <w:r w:rsidR="007D3920" w:rsidRPr="000330B2">
        <w:t xml:space="preserve"> </w:t>
      </w:r>
      <w:r w:rsidR="007D3920">
        <w:t>class I or II</w:t>
      </w:r>
      <w:r w:rsidR="007D3920" w:rsidRPr="00637091">
        <w:t xml:space="preserve"> </w:t>
      </w:r>
      <w:r w:rsidR="007D3920" w:rsidRPr="000330B2">
        <w:t>at 24 months</w:t>
      </w:r>
      <w:r w:rsidR="007D3920">
        <w:t>, that were not available for the mixed population in the previous ADAR. Also</w:t>
      </w:r>
      <w:r w:rsidR="007D3920" w:rsidRPr="000330B2">
        <w:t xml:space="preserve"> </w:t>
      </w:r>
      <w:r w:rsidR="007D3920">
        <w:t>included are the</w:t>
      </w:r>
      <w:r w:rsidR="007D3920" w:rsidRPr="000330B2">
        <w:t xml:space="preserve"> </w:t>
      </w:r>
      <w:r w:rsidR="007D3920">
        <w:t>odds ratio</w:t>
      </w:r>
      <w:r w:rsidR="007D3920" w:rsidRPr="000330B2">
        <w:t xml:space="preserve">s for the base case in both subgroups </w:t>
      </w:r>
      <w:r w:rsidR="007D3920">
        <w:t xml:space="preserve">from </w:t>
      </w:r>
      <w:r w:rsidR="007D3920" w:rsidRPr="005602F8">
        <w:t>MAIC analys</w:t>
      </w:r>
      <w:r w:rsidR="007D3920">
        <w:t>e</w:t>
      </w:r>
      <w:r w:rsidR="007D3920" w:rsidRPr="005602F8">
        <w:t xml:space="preserve">s </w:t>
      </w:r>
      <w:r w:rsidR="007D3920" w:rsidRPr="000330B2">
        <w:t>c</w:t>
      </w:r>
      <w:r w:rsidR="007D3920">
        <w:t>onducted</w:t>
      </w:r>
      <w:r w:rsidR="007D3920" w:rsidRPr="000330B2">
        <w:t xml:space="preserve"> specifically for the </w:t>
      </w:r>
      <w:r w:rsidR="007D3920">
        <w:t>current ADAR</w:t>
      </w:r>
      <w:r w:rsidR="007D3920" w:rsidRPr="000330B2">
        <w:t xml:space="preserve">. Sensitivity analyses for </w:t>
      </w:r>
      <w:r w:rsidR="007D3920">
        <w:t>NYHA</w:t>
      </w:r>
      <w:r w:rsidR="007D3920" w:rsidRPr="000330B2">
        <w:t xml:space="preserve"> </w:t>
      </w:r>
      <w:r w:rsidR="007D3920">
        <w:t>class I or II</w:t>
      </w:r>
      <w:r w:rsidR="007D3920" w:rsidRPr="000330B2">
        <w:t xml:space="preserve"> were not provided. </w:t>
      </w:r>
    </w:p>
    <w:p w14:paraId="56C48B58" w14:textId="73216D6A" w:rsidR="007D3920" w:rsidRPr="005602F8" w:rsidRDefault="007D3920" w:rsidP="007D3920">
      <w:pPr>
        <w:pStyle w:val="Caption"/>
      </w:pPr>
      <w:bookmarkStart w:id="67" w:name="_Ref117522386"/>
      <w:r>
        <w:t xml:space="preserve">Table </w:t>
      </w:r>
      <w:fldSimple w:instr=" SEQ Table \* ARABIC ">
        <w:r w:rsidR="00757BEA">
          <w:rPr>
            <w:noProof/>
          </w:rPr>
          <w:t>24</w:t>
        </w:r>
      </w:fldSimple>
      <w:bookmarkEnd w:id="67"/>
      <w:r>
        <w:tab/>
        <w:t>MAIC of</w:t>
      </w:r>
      <w:r w:rsidRPr="005602F8">
        <w:t xml:space="preserve"> NYHA class I or II</w:t>
      </w:r>
      <w:r>
        <w:t xml:space="preserve"> in FMR and mixed populations at 24 months </w:t>
      </w:r>
    </w:p>
    <w:tbl>
      <w:tblPr>
        <w:tblStyle w:val="TableGrid25"/>
        <w:tblW w:w="9634" w:type="dxa"/>
        <w:tblLayout w:type="fixed"/>
        <w:tblLook w:val="04A0" w:firstRow="1" w:lastRow="0" w:firstColumn="1" w:lastColumn="0" w:noHBand="0" w:noVBand="1"/>
        <w:tblDescription w:val="Percentage of patients with NYHA class I or II"/>
      </w:tblPr>
      <w:tblGrid>
        <w:gridCol w:w="1129"/>
        <w:gridCol w:w="1276"/>
        <w:gridCol w:w="850"/>
        <w:gridCol w:w="1701"/>
        <w:gridCol w:w="1701"/>
        <w:gridCol w:w="1276"/>
        <w:gridCol w:w="1701"/>
      </w:tblGrid>
      <w:tr w:rsidR="007D3920" w:rsidRPr="005602F8" w14:paraId="0163E597" w14:textId="77777777" w:rsidTr="00032E3D">
        <w:trPr>
          <w:tblHeader/>
        </w:trPr>
        <w:tc>
          <w:tcPr>
            <w:tcW w:w="1129" w:type="dxa"/>
            <w:vAlign w:val="center"/>
          </w:tcPr>
          <w:p w14:paraId="4D22A282" w14:textId="77777777" w:rsidR="007D3920" w:rsidRPr="005602F8" w:rsidRDefault="007D3920" w:rsidP="00032E3D">
            <w:pPr>
              <w:pStyle w:val="TableHeading"/>
              <w:spacing w:before="40" w:after="40"/>
            </w:pPr>
            <w:r w:rsidRPr="005602F8">
              <w:t>MAIC</w:t>
            </w:r>
          </w:p>
        </w:tc>
        <w:tc>
          <w:tcPr>
            <w:tcW w:w="1276" w:type="dxa"/>
            <w:vAlign w:val="center"/>
          </w:tcPr>
          <w:p w14:paraId="44C13283" w14:textId="77777777" w:rsidR="007D3920" w:rsidRPr="005602F8" w:rsidRDefault="007D3920" w:rsidP="00032E3D">
            <w:pPr>
              <w:pStyle w:val="TableHeading"/>
              <w:spacing w:before="40" w:after="40"/>
              <w:jc w:val="center"/>
            </w:pPr>
            <w:r w:rsidRPr="005602F8">
              <w:t>Matching</w:t>
            </w:r>
          </w:p>
        </w:tc>
        <w:tc>
          <w:tcPr>
            <w:tcW w:w="850" w:type="dxa"/>
            <w:vAlign w:val="center"/>
          </w:tcPr>
          <w:p w14:paraId="42BBAAE6" w14:textId="77777777" w:rsidR="007D3920" w:rsidRPr="005602F8" w:rsidRDefault="007D3920" w:rsidP="00032E3D">
            <w:pPr>
              <w:pStyle w:val="TableHeading"/>
              <w:spacing w:before="40" w:after="40"/>
              <w:jc w:val="center"/>
            </w:pPr>
            <w:r w:rsidRPr="005602F8">
              <w:t>Follow-up</w:t>
            </w:r>
          </w:p>
        </w:tc>
        <w:tc>
          <w:tcPr>
            <w:tcW w:w="1701" w:type="dxa"/>
            <w:vAlign w:val="center"/>
          </w:tcPr>
          <w:p w14:paraId="34981531" w14:textId="77777777" w:rsidR="007D3920" w:rsidRPr="005602F8" w:rsidRDefault="007D3920" w:rsidP="00032E3D">
            <w:pPr>
              <w:pStyle w:val="TableHeading"/>
              <w:spacing w:before="40" w:after="40"/>
              <w:jc w:val="center"/>
              <w:rPr>
                <w:i/>
                <w:iCs/>
              </w:rPr>
            </w:pPr>
            <w:r w:rsidRPr="005602F8">
              <w:rPr>
                <w:i/>
                <w:iCs/>
              </w:rPr>
              <w:t>CLASP (PASCAL)</w:t>
            </w:r>
          </w:p>
          <w:p w14:paraId="4971D842" w14:textId="77777777" w:rsidR="007D3920" w:rsidRPr="005602F8" w:rsidRDefault="007D3920" w:rsidP="00032E3D">
            <w:pPr>
              <w:pStyle w:val="TableHeading"/>
              <w:spacing w:before="40" w:after="40"/>
              <w:jc w:val="center"/>
              <w:rPr>
                <w:i/>
                <w:iCs/>
              </w:rPr>
            </w:pPr>
            <w:r w:rsidRPr="005602F8">
              <w:rPr>
                <w:i/>
                <w:iCs/>
              </w:rPr>
              <w:t>unweighted, %</w:t>
            </w:r>
          </w:p>
        </w:tc>
        <w:tc>
          <w:tcPr>
            <w:tcW w:w="1701" w:type="dxa"/>
            <w:vAlign w:val="center"/>
          </w:tcPr>
          <w:p w14:paraId="2F82458D" w14:textId="77777777" w:rsidR="007D3920" w:rsidRPr="005602F8" w:rsidRDefault="007D3920" w:rsidP="00032E3D">
            <w:pPr>
              <w:pStyle w:val="TableHeading"/>
              <w:spacing w:before="40" w:after="40"/>
              <w:jc w:val="center"/>
            </w:pPr>
            <w:r w:rsidRPr="005602F8">
              <w:t>CLASP (PASCAL)</w:t>
            </w:r>
          </w:p>
          <w:p w14:paraId="33B30971" w14:textId="77777777" w:rsidR="007D3920" w:rsidRPr="005602F8" w:rsidRDefault="007D3920" w:rsidP="00032E3D">
            <w:pPr>
              <w:pStyle w:val="TableHeading"/>
              <w:spacing w:before="40" w:after="40"/>
              <w:jc w:val="center"/>
            </w:pPr>
            <w:r w:rsidRPr="005602F8">
              <w:t>weighted, %</w:t>
            </w:r>
          </w:p>
        </w:tc>
        <w:tc>
          <w:tcPr>
            <w:tcW w:w="1276" w:type="dxa"/>
            <w:vAlign w:val="center"/>
          </w:tcPr>
          <w:p w14:paraId="767DF802" w14:textId="77777777" w:rsidR="007D3920" w:rsidRDefault="007D3920" w:rsidP="00032E3D">
            <w:pPr>
              <w:pStyle w:val="TableHeading"/>
              <w:spacing w:before="40" w:after="40"/>
              <w:jc w:val="center"/>
            </w:pPr>
            <w:proofErr w:type="spellStart"/>
            <w:r w:rsidRPr="005602F8">
              <w:t>MitraClip</w:t>
            </w:r>
            <w:proofErr w:type="spellEnd"/>
            <w:r>
              <w:t xml:space="preserve"> (COAPT/</w:t>
            </w:r>
          </w:p>
          <w:p w14:paraId="59A05B43" w14:textId="77777777" w:rsidR="007D3920" w:rsidRPr="005602F8" w:rsidRDefault="007D3920" w:rsidP="00032E3D">
            <w:pPr>
              <w:pStyle w:val="TableHeading"/>
              <w:spacing w:before="40" w:after="40"/>
              <w:jc w:val="center"/>
            </w:pPr>
            <w:r>
              <w:t>EVEREST-II)</w:t>
            </w:r>
            <w:r w:rsidRPr="005602F8">
              <w:t>, %</w:t>
            </w:r>
          </w:p>
        </w:tc>
        <w:tc>
          <w:tcPr>
            <w:tcW w:w="1701" w:type="dxa"/>
            <w:vAlign w:val="center"/>
          </w:tcPr>
          <w:p w14:paraId="77DA00F6" w14:textId="77777777" w:rsidR="007D3920" w:rsidRPr="005602F8" w:rsidRDefault="007D3920" w:rsidP="00032E3D">
            <w:pPr>
              <w:pStyle w:val="TableHeading"/>
              <w:spacing w:before="40" w:after="40"/>
              <w:jc w:val="center"/>
            </w:pPr>
            <w:r w:rsidRPr="000D36F5">
              <w:t xml:space="preserve">Odds ratio </w:t>
            </w:r>
            <w:r>
              <w:br/>
            </w:r>
            <w:r w:rsidRPr="000D36F5">
              <w:t>(95% CI)</w:t>
            </w:r>
          </w:p>
        </w:tc>
      </w:tr>
      <w:tr w:rsidR="007D3920" w:rsidRPr="005602F8" w14:paraId="144A0F38" w14:textId="77777777" w:rsidTr="00032E3D">
        <w:tc>
          <w:tcPr>
            <w:tcW w:w="1129" w:type="dxa"/>
            <w:vMerge w:val="restart"/>
            <w:shd w:val="clear" w:color="auto" w:fill="B4C6E7" w:themeFill="accent5" w:themeFillTint="66"/>
          </w:tcPr>
          <w:p w14:paraId="706B8E05" w14:textId="77777777" w:rsidR="007D3920" w:rsidRDefault="007D3920" w:rsidP="00032E3D">
            <w:pPr>
              <w:pStyle w:val="Tabletext0"/>
              <w:keepNext/>
            </w:pPr>
            <w:r w:rsidRPr="005602F8">
              <w:t>CLASP vs COAPT</w:t>
            </w:r>
            <w:r>
              <w:t xml:space="preserve"> </w:t>
            </w:r>
          </w:p>
          <w:p w14:paraId="6934508C" w14:textId="77777777" w:rsidR="007D3920" w:rsidRPr="005602F8" w:rsidRDefault="007D3920" w:rsidP="00032E3D">
            <w:pPr>
              <w:pStyle w:val="Tabletext0"/>
              <w:keepNext/>
            </w:pPr>
            <w:r>
              <w:t>FMR population</w:t>
            </w:r>
          </w:p>
        </w:tc>
        <w:tc>
          <w:tcPr>
            <w:tcW w:w="1276" w:type="dxa"/>
            <w:shd w:val="clear" w:color="auto" w:fill="B4C6E7" w:themeFill="accent5" w:themeFillTint="66"/>
            <w:vAlign w:val="center"/>
          </w:tcPr>
          <w:p w14:paraId="17030479" w14:textId="77777777" w:rsidR="007D3920" w:rsidRPr="005602F8" w:rsidRDefault="007D3920" w:rsidP="00032E3D">
            <w:pPr>
              <w:pStyle w:val="Tabletext0"/>
              <w:keepNext/>
              <w:jc w:val="center"/>
            </w:pPr>
            <w:r w:rsidRPr="005602F8">
              <w:t>Base-case</w:t>
            </w:r>
          </w:p>
        </w:tc>
        <w:tc>
          <w:tcPr>
            <w:tcW w:w="850" w:type="dxa"/>
            <w:vMerge w:val="restart"/>
            <w:shd w:val="clear" w:color="auto" w:fill="B4C6E7" w:themeFill="accent5" w:themeFillTint="66"/>
            <w:vAlign w:val="center"/>
          </w:tcPr>
          <w:p w14:paraId="69CF41DD" w14:textId="77777777" w:rsidR="007D3920" w:rsidRPr="005602F8" w:rsidRDefault="007D3920" w:rsidP="00032E3D">
            <w:pPr>
              <w:pStyle w:val="Tabletext0"/>
              <w:keepNext/>
              <w:jc w:val="center"/>
            </w:pPr>
            <w:r w:rsidRPr="005602F8">
              <w:t>24 months</w:t>
            </w:r>
          </w:p>
        </w:tc>
        <w:tc>
          <w:tcPr>
            <w:tcW w:w="1701" w:type="dxa"/>
            <w:vMerge w:val="restart"/>
            <w:shd w:val="clear" w:color="auto" w:fill="B4C6E7" w:themeFill="accent5" w:themeFillTint="66"/>
            <w:vAlign w:val="center"/>
          </w:tcPr>
          <w:p w14:paraId="4F1EA60F" w14:textId="77777777" w:rsidR="007D3920" w:rsidRPr="005602F8" w:rsidRDefault="007D3920" w:rsidP="00032E3D">
            <w:pPr>
              <w:pStyle w:val="Tabletext0"/>
              <w:keepNext/>
              <w:jc w:val="center"/>
            </w:pPr>
            <w:r w:rsidRPr="005602F8">
              <w:t>88 (n=24)</w:t>
            </w:r>
          </w:p>
        </w:tc>
        <w:tc>
          <w:tcPr>
            <w:tcW w:w="1701" w:type="dxa"/>
            <w:shd w:val="clear" w:color="auto" w:fill="B4C6E7" w:themeFill="accent5" w:themeFillTint="66"/>
            <w:vAlign w:val="center"/>
          </w:tcPr>
          <w:p w14:paraId="65D56111" w14:textId="77777777" w:rsidR="007D3920" w:rsidRPr="005602F8" w:rsidRDefault="007D3920" w:rsidP="00032E3D">
            <w:pPr>
              <w:pStyle w:val="Tabletext0"/>
              <w:keepNext/>
              <w:jc w:val="center"/>
            </w:pPr>
            <w:r w:rsidRPr="00902468">
              <w:t>86.13</w:t>
            </w:r>
          </w:p>
        </w:tc>
        <w:tc>
          <w:tcPr>
            <w:tcW w:w="1276" w:type="dxa"/>
            <w:vMerge w:val="restart"/>
            <w:shd w:val="clear" w:color="auto" w:fill="B4C6E7" w:themeFill="accent5" w:themeFillTint="66"/>
            <w:vAlign w:val="center"/>
          </w:tcPr>
          <w:p w14:paraId="45F9BE4A" w14:textId="77777777" w:rsidR="007D3920" w:rsidRPr="005602F8" w:rsidRDefault="007D3920" w:rsidP="00032E3D">
            <w:pPr>
              <w:pStyle w:val="Tabletext0"/>
              <w:keepNext/>
              <w:jc w:val="center"/>
            </w:pPr>
            <w:r w:rsidRPr="005602F8">
              <w:t>66.67</w:t>
            </w:r>
          </w:p>
        </w:tc>
        <w:tc>
          <w:tcPr>
            <w:tcW w:w="1701" w:type="dxa"/>
            <w:vAlign w:val="center"/>
          </w:tcPr>
          <w:p w14:paraId="1905F30E" w14:textId="77777777" w:rsidR="007D3920" w:rsidRPr="005602F8" w:rsidRDefault="007D3920" w:rsidP="00032E3D">
            <w:pPr>
              <w:pStyle w:val="Tabletext0"/>
              <w:keepNext/>
              <w:jc w:val="center"/>
            </w:pPr>
            <w:r w:rsidRPr="00E914AD">
              <w:t>3.1</w:t>
            </w:r>
            <w:r>
              <w:t>1</w:t>
            </w:r>
            <w:r w:rsidRPr="00E914AD">
              <w:t xml:space="preserve"> (0.86 </w:t>
            </w:r>
            <w:r>
              <w:t>-</w:t>
            </w:r>
            <w:r w:rsidRPr="00E914AD">
              <w:t xml:space="preserve"> 11.16)</w:t>
            </w:r>
          </w:p>
        </w:tc>
      </w:tr>
      <w:tr w:rsidR="007D3920" w:rsidRPr="005602F8" w14:paraId="318CC49F" w14:textId="77777777" w:rsidTr="00032E3D">
        <w:trPr>
          <w:trHeight w:val="507"/>
        </w:trPr>
        <w:tc>
          <w:tcPr>
            <w:tcW w:w="1129" w:type="dxa"/>
            <w:vMerge/>
          </w:tcPr>
          <w:p w14:paraId="7836947B" w14:textId="77777777" w:rsidR="007D3920" w:rsidRPr="005602F8" w:rsidRDefault="007D3920" w:rsidP="00032E3D">
            <w:pPr>
              <w:pStyle w:val="Tabletext0"/>
              <w:keepNext/>
            </w:pPr>
          </w:p>
        </w:tc>
        <w:tc>
          <w:tcPr>
            <w:tcW w:w="1276" w:type="dxa"/>
            <w:shd w:val="clear" w:color="auto" w:fill="B4C6E7" w:themeFill="accent5" w:themeFillTint="66"/>
            <w:vAlign w:val="center"/>
          </w:tcPr>
          <w:p w14:paraId="60EB3B47" w14:textId="77777777" w:rsidR="007D3920" w:rsidRPr="005602F8" w:rsidRDefault="007D3920" w:rsidP="00032E3D">
            <w:pPr>
              <w:pStyle w:val="Tabletext0"/>
              <w:keepNext/>
              <w:jc w:val="center"/>
            </w:pPr>
            <w:r w:rsidRPr="005602F8">
              <w:t>Sensitivity analysis</w:t>
            </w:r>
          </w:p>
        </w:tc>
        <w:tc>
          <w:tcPr>
            <w:tcW w:w="850" w:type="dxa"/>
            <w:vMerge/>
            <w:vAlign w:val="center"/>
          </w:tcPr>
          <w:p w14:paraId="3B4DF1BA" w14:textId="77777777" w:rsidR="007D3920" w:rsidRPr="005602F8" w:rsidRDefault="007D3920" w:rsidP="00032E3D">
            <w:pPr>
              <w:pStyle w:val="Tabletext0"/>
              <w:keepNext/>
              <w:jc w:val="center"/>
            </w:pPr>
          </w:p>
        </w:tc>
        <w:tc>
          <w:tcPr>
            <w:tcW w:w="1701" w:type="dxa"/>
            <w:vMerge/>
            <w:vAlign w:val="center"/>
          </w:tcPr>
          <w:p w14:paraId="383F4BBB" w14:textId="77777777" w:rsidR="007D3920" w:rsidRPr="005602F8" w:rsidRDefault="007D3920" w:rsidP="00032E3D">
            <w:pPr>
              <w:pStyle w:val="Tabletext0"/>
              <w:keepNext/>
              <w:jc w:val="center"/>
              <w:rPr>
                <w:i/>
                <w:iCs/>
              </w:rPr>
            </w:pPr>
          </w:p>
        </w:tc>
        <w:tc>
          <w:tcPr>
            <w:tcW w:w="1701" w:type="dxa"/>
            <w:shd w:val="clear" w:color="auto" w:fill="B4C6E7" w:themeFill="accent5" w:themeFillTint="66"/>
            <w:vAlign w:val="center"/>
          </w:tcPr>
          <w:p w14:paraId="6F4912A2" w14:textId="77777777" w:rsidR="007D3920" w:rsidRPr="005602F8" w:rsidRDefault="007D3920" w:rsidP="00032E3D">
            <w:pPr>
              <w:pStyle w:val="Tabletext0"/>
              <w:keepNext/>
              <w:jc w:val="center"/>
            </w:pPr>
            <w:r w:rsidRPr="00902468">
              <w:t>91.34</w:t>
            </w:r>
          </w:p>
        </w:tc>
        <w:tc>
          <w:tcPr>
            <w:tcW w:w="1276" w:type="dxa"/>
            <w:vMerge/>
            <w:shd w:val="clear" w:color="auto" w:fill="B4C6E7" w:themeFill="accent5" w:themeFillTint="66"/>
            <w:vAlign w:val="center"/>
          </w:tcPr>
          <w:p w14:paraId="615CB88D" w14:textId="77777777" w:rsidR="007D3920" w:rsidRPr="005602F8" w:rsidRDefault="007D3920" w:rsidP="00032E3D">
            <w:pPr>
              <w:pStyle w:val="Tabletext0"/>
              <w:keepNext/>
              <w:jc w:val="center"/>
            </w:pPr>
          </w:p>
        </w:tc>
        <w:tc>
          <w:tcPr>
            <w:tcW w:w="1701" w:type="dxa"/>
            <w:vAlign w:val="center"/>
          </w:tcPr>
          <w:p w14:paraId="3D20E20C" w14:textId="77777777" w:rsidR="007D3920" w:rsidRPr="005602F8" w:rsidRDefault="007D3920" w:rsidP="00032E3D">
            <w:pPr>
              <w:pStyle w:val="Tabletext0"/>
              <w:keepNext/>
              <w:jc w:val="center"/>
            </w:pPr>
            <w:r>
              <w:t>NR</w:t>
            </w:r>
          </w:p>
        </w:tc>
      </w:tr>
      <w:tr w:rsidR="007D3920" w:rsidRPr="005602F8" w14:paraId="0E280693" w14:textId="77777777" w:rsidTr="00032E3D">
        <w:tc>
          <w:tcPr>
            <w:tcW w:w="1129" w:type="dxa"/>
            <w:vMerge w:val="restart"/>
          </w:tcPr>
          <w:p w14:paraId="005FCE93" w14:textId="77777777" w:rsidR="007D3920" w:rsidRDefault="007D3920" w:rsidP="00032E3D">
            <w:pPr>
              <w:pStyle w:val="Tabletext0"/>
              <w:keepNext/>
            </w:pPr>
            <w:r w:rsidRPr="005602F8">
              <w:t>CLASP vs EVEREST-II</w:t>
            </w:r>
          </w:p>
          <w:p w14:paraId="76848377" w14:textId="77777777" w:rsidR="007D3920" w:rsidRPr="005602F8" w:rsidRDefault="007D3920" w:rsidP="00032E3D">
            <w:pPr>
              <w:pStyle w:val="Tabletext0"/>
              <w:keepNext/>
            </w:pPr>
            <w:r>
              <w:t>Mixed population</w:t>
            </w:r>
          </w:p>
        </w:tc>
        <w:tc>
          <w:tcPr>
            <w:tcW w:w="1276" w:type="dxa"/>
            <w:shd w:val="clear" w:color="auto" w:fill="B4C6E7" w:themeFill="accent5" w:themeFillTint="66"/>
            <w:vAlign w:val="center"/>
          </w:tcPr>
          <w:p w14:paraId="54B4508F" w14:textId="77777777" w:rsidR="007D3920" w:rsidRPr="005602F8" w:rsidRDefault="007D3920" w:rsidP="00032E3D">
            <w:pPr>
              <w:pStyle w:val="Tabletext0"/>
              <w:keepNext/>
              <w:jc w:val="center"/>
            </w:pPr>
            <w:r w:rsidRPr="005602F8">
              <w:t>Base-case</w:t>
            </w:r>
          </w:p>
        </w:tc>
        <w:tc>
          <w:tcPr>
            <w:tcW w:w="850" w:type="dxa"/>
            <w:vMerge w:val="restart"/>
            <w:shd w:val="clear" w:color="auto" w:fill="auto"/>
            <w:vAlign w:val="center"/>
          </w:tcPr>
          <w:p w14:paraId="24836E92" w14:textId="77777777" w:rsidR="007D3920" w:rsidRPr="005602F8" w:rsidRDefault="007D3920" w:rsidP="00032E3D">
            <w:pPr>
              <w:pStyle w:val="Tabletext0"/>
              <w:keepNext/>
              <w:jc w:val="center"/>
            </w:pPr>
            <w:r>
              <w:t>24</w:t>
            </w:r>
            <w:r w:rsidRPr="005602F8">
              <w:t xml:space="preserve"> months</w:t>
            </w:r>
          </w:p>
        </w:tc>
        <w:tc>
          <w:tcPr>
            <w:tcW w:w="1701" w:type="dxa"/>
            <w:vMerge w:val="restart"/>
            <w:shd w:val="clear" w:color="auto" w:fill="auto"/>
            <w:vAlign w:val="center"/>
          </w:tcPr>
          <w:p w14:paraId="61358ABD" w14:textId="77777777" w:rsidR="007D3920" w:rsidRPr="000330B2" w:rsidRDefault="007D3920" w:rsidP="00032E3D">
            <w:pPr>
              <w:pStyle w:val="Tabletext0"/>
              <w:keepNext/>
              <w:jc w:val="center"/>
              <w:rPr>
                <w:strike/>
                <w:vertAlign w:val="superscript"/>
              </w:rPr>
            </w:pPr>
            <w:r>
              <w:t xml:space="preserve">93 </w:t>
            </w:r>
            <w:r w:rsidRPr="00FC5CAC">
              <w:t>(n=46</w:t>
            </w:r>
            <w:r>
              <w:t>)</w:t>
            </w:r>
          </w:p>
        </w:tc>
        <w:tc>
          <w:tcPr>
            <w:tcW w:w="1701" w:type="dxa"/>
            <w:shd w:val="clear" w:color="auto" w:fill="B4C6E7" w:themeFill="accent5" w:themeFillTint="66"/>
            <w:vAlign w:val="center"/>
          </w:tcPr>
          <w:p w14:paraId="5E185B3C" w14:textId="77777777" w:rsidR="007D3920" w:rsidRPr="005602F8" w:rsidRDefault="007D3920" w:rsidP="00032E3D">
            <w:pPr>
              <w:pStyle w:val="Tabletext0"/>
              <w:keepNext/>
              <w:jc w:val="center"/>
            </w:pPr>
            <w:r>
              <w:t>98.76</w:t>
            </w:r>
          </w:p>
        </w:tc>
        <w:tc>
          <w:tcPr>
            <w:tcW w:w="1276" w:type="dxa"/>
            <w:vMerge w:val="restart"/>
            <w:shd w:val="clear" w:color="auto" w:fill="B4C6E7" w:themeFill="accent5" w:themeFillTint="66"/>
            <w:vAlign w:val="center"/>
          </w:tcPr>
          <w:p w14:paraId="6771002F" w14:textId="77777777" w:rsidR="007D3920" w:rsidRPr="005602F8" w:rsidRDefault="007D3920" w:rsidP="00032E3D">
            <w:pPr>
              <w:pStyle w:val="Tabletext0"/>
              <w:keepNext/>
              <w:jc w:val="center"/>
            </w:pPr>
            <w:r>
              <w:t>99.24</w:t>
            </w:r>
          </w:p>
        </w:tc>
        <w:tc>
          <w:tcPr>
            <w:tcW w:w="1701" w:type="dxa"/>
            <w:shd w:val="clear" w:color="auto" w:fill="B4C6E7" w:themeFill="accent5" w:themeFillTint="66"/>
            <w:vAlign w:val="center"/>
          </w:tcPr>
          <w:p w14:paraId="752100C9" w14:textId="77777777" w:rsidR="007D3920" w:rsidRPr="005602F8" w:rsidRDefault="007D3920" w:rsidP="00032E3D">
            <w:pPr>
              <w:pStyle w:val="Tabletext0"/>
              <w:keepNext/>
              <w:jc w:val="center"/>
            </w:pPr>
            <w:r>
              <w:t>0.61</w:t>
            </w:r>
            <w:r w:rsidRPr="00E914AD">
              <w:t xml:space="preserve"> (0.</w:t>
            </w:r>
            <w:r>
              <w:t>02</w:t>
            </w:r>
            <w:r w:rsidRPr="00E914AD">
              <w:t xml:space="preserve"> </w:t>
            </w:r>
            <w:r>
              <w:t>–</w:t>
            </w:r>
            <w:r w:rsidRPr="00E914AD">
              <w:t xml:space="preserve"> </w:t>
            </w:r>
            <w:r>
              <w:t>22.05</w:t>
            </w:r>
            <w:r w:rsidRPr="00E914AD">
              <w:t>)</w:t>
            </w:r>
          </w:p>
        </w:tc>
      </w:tr>
      <w:tr w:rsidR="007D3920" w:rsidRPr="005602F8" w14:paraId="382B85A2" w14:textId="77777777" w:rsidTr="00032E3D">
        <w:tc>
          <w:tcPr>
            <w:tcW w:w="1129" w:type="dxa"/>
            <w:vMerge/>
          </w:tcPr>
          <w:p w14:paraId="3090EA14" w14:textId="77777777" w:rsidR="007D3920" w:rsidRPr="005602F8" w:rsidRDefault="007D3920" w:rsidP="00032E3D">
            <w:pPr>
              <w:pStyle w:val="Tabletext0"/>
              <w:keepNext/>
            </w:pPr>
          </w:p>
        </w:tc>
        <w:tc>
          <w:tcPr>
            <w:tcW w:w="1276" w:type="dxa"/>
            <w:vAlign w:val="center"/>
          </w:tcPr>
          <w:p w14:paraId="4270CF57" w14:textId="77777777" w:rsidR="007D3920" w:rsidRPr="005602F8" w:rsidRDefault="007D3920" w:rsidP="00032E3D">
            <w:pPr>
              <w:pStyle w:val="Tabletext0"/>
              <w:keepNext/>
              <w:jc w:val="center"/>
            </w:pPr>
            <w:r w:rsidRPr="005602F8">
              <w:t>Sensitivity analysis</w:t>
            </w:r>
          </w:p>
        </w:tc>
        <w:tc>
          <w:tcPr>
            <w:tcW w:w="850" w:type="dxa"/>
            <w:vMerge/>
            <w:shd w:val="clear" w:color="auto" w:fill="auto"/>
            <w:vAlign w:val="center"/>
          </w:tcPr>
          <w:p w14:paraId="7CCF20C8" w14:textId="77777777" w:rsidR="007D3920" w:rsidRPr="005602F8" w:rsidRDefault="007D3920" w:rsidP="00032E3D">
            <w:pPr>
              <w:pStyle w:val="Tabletext0"/>
              <w:keepNext/>
              <w:jc w:val="center"/>
            </w:pPr>
          </w:p>
        </w:tc>
        <w:tc>
          <w:tcPr>
            <w:tcW w:w="1701" w:type="dxa"/>
            <w:vMerge/>
            <w:shd w:val="clear" w:color="auto" w:fill="auto"/>
            <w:vAlign w:val="center"/>
          </w:tcPr>
          <w:p w14:paraId="3129933D" w14:textId="77777777" w:rsidR="007D3920" w:rsidRPr="005602F8" w:rsidRDefault="007D3920" w:rsidP="00032E3D">
            <w:pPr>
              <w:pStyle w:val="Tabletext0"/>
              <w:keepNext/>
              <w:jc w:val="center"/>
            </w:pPr>
          </w:p>
        </w:tc>
        <w:tc>
          <w:tcPr>
            <w:tcW w:w="1701" w:type="dxa"/>
            <w:vAlign w:val="center"/>
          </w:tcPr>
          <w:p w14:paraId="23026B4C" w14:textId="77777777" w:rsidR="007D3920" w:rsidRPr="005602F8" w:rsidRDefault="007D3920" w:rsidP="00032E3D">
            <w:pPr>
              <w:pStyle w:val="Tabletext0"/>
              <w:keepNext/>
              <w:jc w:val="center"/>
            </w:pPr>
            <w:r>
              <w:t>92.19</w:t>
            </w:r>
          </w:p>
        </w:tc>
        <w:tc>
          <w:tcPr>
            <w:tcW w:w="1276" w:type="dxa"/>
            <w:vMerge/>
            <w:shd w:val="clear" w:color="auto" w:fill="B4C6E7" w:themeFill="accent5" w:themeFillTint="66"/>
            <w:vAlign w:val="center"/>
          </w:tcPr>
          <w:p w14:paraId="2EDAF7CF" w14:textId="77777777" w:rsidR="007D3920" w:rsidRPr="005602F8" w:rsidRDefault="007D3920" w:rsidP="00032E3D">
            <w:pPr>
              <w:pStyle w:val="Tabletext0"/>
              <w:keepNext/>
              <w:jc w:val="center"/>
            </w:pPr>
          </w:p>
        </w:tc>
        <w:tc>
          <w:tcPr>
            <w:tcW w:w="1701" w:type="dxa"/>
            <w:vAlign w:val="center"/>
          </w:tcPr>
          <w:p w14:paraId="216198B1" w14:textId="77777777" w:rsidR="007D3920" w:rsidRPr="005602F8" w:rsidRDefault="007D3920" w:rsidP="00032E3D">
            <w:pPr>
              <w:pStyle w:val="Tabletext0"/>
              <w:keepNext/>
              <w:jc w:val="center"/>
            </w:pPr>
            <w:r>
              <w:t>NR</w:t>
            </w:r>
          </w:p>
        </w:tc>
      </w:tr>
    </w:tbl>
    <w:p w14:paraId="1538EBDF" w14:textId="77777777" w:rsidR="00E13326" w:rsidRPr="00427322" w:rsidRDefault="00E13326" w:rsidP="00E13326">
      <w:pPr>
        <w:pStyle w:val="Tablenotes"/>
      </w:pPr>
      <w:r w:rsidRPr="00427322">
        <w:t xml:space="preserve">Cells </w:t>
      </w:r>
      <w:r w:rsidRPr="00427322">
        <w:rPr>
          <w:shd w:val="clear" w:color="auto" w:fill="B4C6E7" w:themeFill="accent5" w:themeFillTint="66"/>
        </w:rPr>
        <w:t>shaded in blue</w:t>
      </w:r>
      <w:r w:rsidRPr="00427322">
        <w:t xml:space="preserve"> represent results previously considered by MSAC</w:t>
      </w:r>
    </w:p>
    <w:p w14:paraId="64EDF25E" w14:textId="77777777" w:rsidR="007D3920" w:rsidRDefault="007D3920" w:rsidP="00A64CAC">
      <w:pPr>
        <w:spacing w:before="240"/>
      </w:pPr>
      <w:r w:rsidRPr="004807F5">
        <w:rPr>
          <w:shd w:val="clear" w:color="auto" w:fill="B4C6E7" w:themeFill="accent5" w:themeFillTint="66"/>
        </w:rPr>
        <w:t xml:space="preserve">At the 24 month follow-up, in the FMR population a higher proportion of CLASP patients achieved NYHA class I or II. </w:t>
      </w:r>
      <w:r w:rsidRPr="004807F5">
        <w:rPr>
          <w:shd w:val="clear" w:color="auto" w:fill="B4C6E7" w:themeFill="accent5" w:themeFillTint="66"/>
          <w:lang w:eastAsia="en-AU"/>
        </w:rPr>
        <w:t>The odds of achieving the NYHA class of I were significantly better for PASCAL patients, but aggregating NYHA function classes I and II into a single category has resulted in a loss of statistical significance.</w:t>
      </w:r>
      <w:r>
        <w:rPr>
          <w:lang w:eastAsia="en-AU"/>
        </w:rPr>
        <w:t xml:space="preserve"> </w:t>
      </w:r>
      <w:r w:rsidRPr="005602F8">
        <w:t xml:space="preserve">In the mixed population, at </w:t>
      </w:r>
      <w:r>
        <w:t>24</w:t>
      </w:r>
      <w:r w:rsidRPr="005602F8">
        <w:t xml:space="preserve"> months follow-up, </w:t>
      </w:r>
      <w:r>
        <w:t xml:space="preserve">the </w:t>
      </w:r>
      <w:r w:rsidRPr="005602F8">
        <w:t>proportion of patients achiev</w:t>
      </w:r>
      <w:r>
        <w:t>ing</w:t>
      </w:r>
      <w:r w:rsidRPr="005602F8">
        <w:t xml:space="preserve"> NYHA class </w:t>
      </w:r>
      <w:r>
        <w:t>I</w:t>
      </w:r>
      <w:r w:rsidRPr="005602F8">
        <w:t xml:space="preserve"> or II in the CLASP population </w:t>
      </w:r>
      <w:r>
        <w:t xml:space="preserve">was slightly lower </w:t>
      </w:r>
      <w:r w:rsidRPr="005602F8">
        <w:t xml:space="preserve">than in </w:t>
      </w:r>
      <w:r>
        <w:t xml:space="preserve">the </w:t>
      </w:r>
      <w:proofErr w:type="spellStart"/>
      <w:r w:rsidRPr="005602F8">
        <w:t>MitraClip</w:t>
      </w:r>
      <w:proofErr w:type="spellEnd"/>
      <w:r w:rsidRPr="005602F8">
        <w:t xml:space="preserve"> arm</w:t>
      </w:r>
      <w:r>
        <w:t>. The difference was not statistically significant.</w:t>
      </w:r>
    </w:p>
    <w:p w14:paraId="1777F3C4" w14:textId="22250B33" w:rsidR="007D3920" w:rsidRPr="00B62738" w:rsidRDefault="00757BEA" w:rsidP="007D3920">
      <w:pPr>
        <w:rPr>
          <w:lang w:eastAsia="en-AU"/>
        </w:rPr>
      </w:pPr>
      <w:r w:rsidRPr="00427322">
        <w:fldChar w:fldCharType="begin"/>
      </w:r>
      <w:r w:rsidRPr="00124228">
        <w:instrText xml:space="preserve"> REF _Ref117522424 \h </w:instrText>
      </w:r>
      <w:r w:rsidR="00124228">
        <w:instrText xml:space="preserve"> \* MERGEFORMAT </w:instrText>
      </w:r>
      <w:r w:rsidRPr="00427322">
        <w:fldChar w:fldCharType="separate"/>
      </w:r>
      <w:r w:rsidRPr="00427322">
        <w:rPr>
          <w:rFonts w:ascii="Arial Narrow" w:hAnsi="Arial Narrow"/>
          <w:sz w:val="20"/>
          <w:szCs w:val="20"/>
        </w:rPr>
        <w:t xml:space="preserve">Table </w:t>
      </w:r>
      <w:r w:rsidRPr="00427322">
        <w:rPr>
          <w:rFonts w:ascii="Arial Narrow" w:hAnsi="Arial Narrow"/>
          <w:noProof/>
          <w:sz w:val="20"/>
          <w:szCs w:val="20"/>
        </w:rPr>
        <w:t>25</w:t>
      </w:r>
      <w:r w:rsidRPr="00427322">
        <w:fldChar w:fldCharType="end"/>
      </w:r>
      <w:r>
        <w:rPr>
          <w:b/>
          <w:bCs/>
        </w:rPr>
        <w:t xml:space="preserve"> </w:t>
      </w:r>
      <w:r w:rsidR="007D3920">
        <w:t>provides a summary of the base case MAIC results for key outcomes.</w:t>
      </w:r>
    </w:p>
    <w:p w14:paraId="6FCF6417" w14:textId="022B56EF" w:rsidR="007D3920" w:rsidRPr="0019519D" w:rsidRDefault="007D3920" w:rsidP="007D3920">
      <w:pPr>
        <w:rPr>
          <w:rFonts w:ascii="Arial Narrow" w:hAnsi="Arial Narrow"/>
          <w:b/>
          <w:bCs/>
          <w:sz w:val="20"/>
          <w:szCs w:val="20"/>
        </w:rPr>
      </w:pPr>
      <w:bookmarkStart w:id="68" w:name="_Ref117522424"/>
      <w:r w:rsidRPr="0019519D">
        <w:rPr>
          <w:rFonts w:ascii="Arial Narrow" w:hAnsi="Arial Narrow"/>
          <w:b/>
          <w:bCs/>
          <w:sz w:val="20"/>
          <w:szCs w:val="20"/>
        </w:rPr>
        <w:t xml:space="preserve">Table </w:t>
      </w:r>
      <w:r w:rsidRPr="0019519D">
        <w:rPr>
          <w:rFonts w:ascii="Arial Narrow" w:hAnsi="Arial Narrow"/>
          <w:b/>
          <w:bCs/>
          <w:sz w:val="20"/>
          <w:szCs w:val="20"/>
        </w:rPr>
        <w:fldChar w:fldCharType="begin"/>
      </w:r>
      <w:r w:rsidRPr="0019519D">
        <w:rPr>
          <w:rFonts w:ascii="Arial Narrow" w:hAnsi="Arial Narrow"/>
          <w:b/>
          <w:bCs/>
          <w:sz w:val="20"/>
          <w:szCs w:val="20"/>
        </w:rPr>
        <w:instrText xml:space="preserve"> SEQ Table \* ARABIC </w:instrText>
      </w:r>
      <w:r w:rsidRPr="0019519D">
        <w:rPr>
          <w:rFonts w:ascii="Arial Narrow" w:hAnsi="Arial Narrow"/>
          <w:b/>
          <w:bCs/>
          <w:sz w:val="20"/>
          <w:szCs w:val="20"/>
        </w:rPr>
        <w:fldChar w:fldCharType="separate"/>
      </w:r>
      <w:r w:rsidR="00757BEA">
        <w:rPr>
          <w:rFonts w:ascii="Arial Narrow" w:hAnsi="Arial Narrow"/>
          <w:b/>
          <w:bCs/>
          <w:noProof/>
          <w:sz w:val="20"/>
          <w:szCs w:val="20"/>
        </w:rPr>
        <w:t>25</w:t>
      </w:r>
      <w:r w:rsidRPr="0019519D">
        <w:rPr>
          <w:rFonts w:ascii="Arial Narrow" w:hAnsi="Arial Narrow"/>
          <w:b/>
          <w:bCs/>
          <w:sz w:val="20"/>
          <w:szCs w:val="20"/>
        </w:rPr>
        <w:fldChar w:fldCharType="end"/>
      </w:r>
      <w:bookmarkEnd w:id="68"/>
      <w:r w:rsidRPr="0019519D">
        <w:rPr>
          <w:rFonts w:ascii="Arial Narrow" w:hAnsi="Arial Narrow"/>
          <w:b/>
          <w:bCs/>
          <w:sz w:val="20"/>
          <w:szCs w:val="20"/>
        </w:rPr>
        <w:tab/>
        <w:t>Base-case MAIC results for key outcomes</w:t>
      </w:r>
    </w:p>
    <w:tbl>
      <w:tblPr>
        <w:tblStyle w:val="Style2"/>
        <w:tblW w:w="5000" w:type="pct"/>
        <w:tblBorders>
          <w:left w:val="single" w:sz="4" w:space="0" w:color="auto"/>
          <w:right w:val="single" w:sz="4" w:space="0" w:color="auto"/>
          <w:insideV w:val="single" w:sz="4" w:space="0" w:color="auto"/>
        </w:tblBorders>
        <w:tblLook w:val="04A0" w:firstRow="1" w:lastRow="0" w:firstColumn="1" w:lastColumn="0" w:noHBand="0" w:noVBand="1"/>
      </w:tblPr>
      <w:tblGrid>
        <w:gridCol w:w="1902"/>
        <w:gridCol w:w="2497"/>
        <w:gridCol w:w="1357"/>
        <w:gridCol w:w="1354"/>
        <w:gridCol w:w="2213"/>
      </w:tblGrid>
      <w:tr w:rsidR="007D3920" w:rsidRPr="009601E5" w14:paraId="68AC5382" w14:textId="77777777" w:rsidTr="00032E3D">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20" w:type="pct"/>
          </w:tcPr>
          <w:p w14:paraId="023FC7E9" w14:textId="77777777" w:rsidR="007D3920" w:rsidRPr="009601E5" w:rsidRDefault="007D3920" w:rsidP="00005BEB">
            <w:pPr>
              <w:spacing w:before="0" w:line="240" w:lineRule="auto"/>
              <w:rPr>
                <w:rFonts w:ascii="Arial Narrow" w:hAnsi="Arial Narrow"/>
              </w:rPr>
            </w:pPr>
            <w:r w:rsidRPr="009601E5">
              <w:rPr>
                <w:rFonts w:ascii="Arial Narrow" w:hAnsi="Arial Narrow"/>
              </w:rPr>
              <w:t>Endpoint</w:t>
            </w:r>
          </w:p>
        </w:tc>
        <w:tc>
          <w:tcPr>
            <w:tcW w:w="1339" w:type="pct"/>
          </w:tcPr>
          <w:p w14:paraId="63E4EB5E" w14:textId="77777777" w:rsidR="007D3920" w:rsidRPr="009601E5" w:rsidRDefault="007D3920" w:rsidP="00005BEB">
            <w:pPr>
              <w:spacing w:before="0"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9601E5">
              <w:rPr>
                <w:rFonts w:ascii="Arial Narrow" w:hAnsi="Arial Narrow"/>
              </w:rPr>
              <w:t>Comparison</w:t>
            </w:r>
          </w:p>
        </w:tc>
        <w:tc>
          <w:tcPr>
            <w:tcW w:w="728" w:type="pct"/>
          </w:tcPr>
          <w:p w14:paraId="6026580E" w14:textId="77777777" w:rsidR="007D3920" w:rsidRPr="009601E5" w:rsidRDefault="007D3920" w:rsidP="00005BEB">
            <w:pPr>
              <w:spacing w:before="0"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9601E5">
              <w:rPr>
                <w:rFonts w:ascii="Arial Narrow" w:hAnsi="Arial Narrow"/>
              </w:rPr>
              <w:t>PASCAL</w:t>
            </w:r>
          </w:p>
        </w:tc>
        <w:tc>
          <w:tcPr>
            <w:tcW w:w="726" w:type="pct"/>
          </w:tcPr>
          <w:p w14:paraId="3A0CF8F0" w14:textId="77777777" w:rsidR="007D3920" w:rsidRPr="009601E5" w:rsidRDefault="007D3920" w:rsidP="00005BEB">
            <w:pPr>
              <w:spacing w:before="0"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rPr>
            </w:pPr>
            <w:proofErr w:type="spellStart"/>
            <w:r w:rsidRPr="009601E5">
              <w:rPr>
                <w:rFonts w:ascii="Arial Narrow" w:hAnsi="Arial Narrow"/>
              </w:rPr>
              <w:t>MitraClip</w:t>
            </w:r>
            <w:proofErr w:type="spellEnd"/>
          </w:p>
        </w:tc>
        <w:tc>
          <w:tcPr>
            <w:tcW w:w="1187" w:type="pct"/>
          </w:tcPr>
          <w:p w14:paraId="1EB6DF97" w14:textId="77777777" w:rsidR="007D3920" w:rsidRPr="009601E5" w:rsidRDefault="007D3920" w:rsidP="00005BEB">
            <w:pPr>
              <w:spacing w:before="0"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vertAlign w:val="superscript"/>
              </w:rPr>
            </w:pPr>
            <w:r w:rsidRPr="009601E5">
              <w:rPr>
                <w:rFonts w:ascii="Arial Narrow" w:hAnsi="Arial Narrow"/>
              </w:rPr>
              <w:t xml:space="preserve">OR (95% CI) </w:t>
            </w:r>
            <w:r w:rsidRPr="009601E5">
              <w:rPr>
                <w:rFonts w:ascii="Arial Narrow" w:hAnsi="Arial Narrow"/>
                <w:vertAlign w:val="superscript"/>
              </w:rPr>
              <w:t>a</w:t>
            </w:r>
          </w:p>
        </w:tc>
      </w:tr>
      <w:tr w:rsidR="007D3920" w:rsidRPr="009601E5" w14:paraId="01A357AC" w14:textId="77777777" w:rsidTr="00032E3D">
        <w:tc>
          <w:tcPr>
            <w:cnfStyle w:val="001000000000" w:firstRow="0" w:lastRow="0" w:firstColumn="1" w:lastColumn="0" w:oddVBand="0" w:evenVBand="0" w:oddHBand="0" w:evenHBand="0" w:firstRowFirstColumn="0" w:firstRowLastColumn="0" w:lastRowFirstColumn="0" w:lastRowLastColumn="0"/>
            <w:tcW w:w="1020" w:type="pct"/>
          </w:tcPr>
          <w:p w14:paraId="360C9026" w14:textId="77777777" w:rsidR="007D3920" w:rsidRPr="009601E5" w:rsidRDefault="007D3920" w:rsidP="00005BEB">
            <w:pPr>
              <w:spacing w:before="0"/>
              <w:rPr>
                <w:rFonts w:ascii="Arial Narrow" w:hAnsi="Arial Narrow"/>
              </w:rPr>
            </w:pPr>
            <w:r w:rsidRPr="009601E5">
              <w:rPr>
                <w:rFonts w:ascii="Arial Narrow" w:hAnsi="Arial Narrow"/>
              </w:rPr>
              <w:t>MAEs at 30 days</w:t>
            </w:r>
          </w:p>
        </w:tc>
        <w:tc>
          <w:tcPr>
            <w:tcW w:w="1339" w:type="pct"/>
          </w:tcPr>
          <w:p w14:paraId="1B02C731" w14:textId="77777777" w:rsidR="007D3920" w:rsidRPr="009601E5"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601E5">
              <w:rPr>
                <w:rFonts w:ascii="Arial Narrow" w:hAnsi="Arial Narrow"/>
              </w:rPr>
              <w:t>CLASP (reconstructed) vs COAPT (FMR only)</w:t>
            </w:r>
          </w:p>
        </w:tc>
        <w:tc>
          <w:tcPr>
            <w:tcW w:w="728" w:type="pct"/>
          </w:tcPr>
          <w:p w14:paraId="54A05DEB" w14:textId="77777777" w:rsidR="007D3920" w:rsidRPr="009601E5"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601E5">
              <w:rPr>
                <w:rFonts w:ascii="Arial Narrow" w:hAnsi="Arial Narrow"/>
              </w:rPr>
              <w:t>2.91%</w:t>
            </w:r>
          </w:p>
        </w:tc>
        <w:tc>
          <w:tcPr>
            <w:tcW w:w="726" w:type="pct"/>
          </w:tcPr>
          <w:p w14:paraId="273FE647" w14:textId="77777777" w:rsidR="007D3920" w:rsidRPr="009601E5"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601E5">
              <w:rPr>
                <w:rFonts w:ascii="Arial Narrow" w:hAnsi="Arial Narrow"/>
              </w:rPr>
              <w:t>2.98%</w:t>
            </w:r>
          </w:p>
        </w:tc>
        <w:tc>
          <w:tcPr>
            <w:tcW w:w="1187" w:type="pct"/>
            <w:shd w:val="clear" w:color="auto" w:fill="B4C6E7" w:themeFill="accent5" w:themeFillTint="66"/>
          </w:tcPr>
          <w:p w14:paraId="5971E677" w14:textId="77777777" w:rsidR="007D3920" w:rsidRPr="009601E5"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601E5">
              <w:rPr>
                <w:rFonts w:ascii="Arial Narrow" w:hAnsi="Arial Narrow"/>
              </w:rPr>
              <w:t>0.98 (0.20, 4.87)</w:t>
            </w:r>
          </w:p>
        </w:tc>
      </w:tr>
      <w:tr w:rsidR="007D3920" w:rsidRPr="009601E5" w14:paraId="20B1BEF4" w14:textId="77777777" w:rsidTr="00032E3D">
        <w:tc>
          <w:tcPr>
            <w:cnfStyle w:val="001000000000" w:firstRow="0" w:lastRow="0" w:firstColumn="1" w:lastColumn="0" w:oddVBand="0" w:evenVBand="0" w:oddHBand="0" w:evenHBand="0" w:firstRowFirstColumn="0" w:firstRowLastColumn="0" w:lastRowFirstColumn="0" w:lastRowLastColumn="0"/>
            <w:tcW w:w="1020" w:type="pct"/>
          </w:tcPr>
          <w:p w14:paraId="72671F4C" w14:textId="77777777" w:rsidR="007D3920" w:rsidRPr="009601E5" w:rsidRDefault="007D3920" w:rsidP="00005BEB">
            <w:pPr>
              <w:spacing w:before="0"/>
              <w:rPr>
                <w:rFonts w:ascii="Arial Narrow" w:hAnsi="Arial Narrow"/>
              </w:rPr>
            </w:pPr>
            <w:r w:rsidRPr="009601E5">
              <w:rPr>
                <w:rFonts w:ascii="Arial Narrow" w:hAnsi="Arial Narrow"/>
              </w:rPr>
              <w:t>MAEs at 30 days</w:t>
            </w:r>
          </w:p>
        </w:tc>
        <w:tc>
          <w:tcPr>
            <w:tcW w:w="1339" w:type="pct"/>
          </w:tcPr>
          <w:p w14:paraId="3A91DF89" w14:textId="77777777" w:rsidR="002A1AF9"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601E5">
              <w:rPr>
                <w:rFonts w:ascii="Arial Narrow" w:hAnsi="Arial Narrow"/>
              </w:rPr>
              <w:t xml:space="preserve">CLASP vs EVEREST-II </w:t>
            </w:r>
          </w:p>
          <w:p w14:paraId="7928A131" w14:textId="1E8A4BFD" w:rsidR="007D3920" w:rsidRPr="009601E5"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601E5">
              <w:rPr>
                <w:rFonts w:ascii="Arial Narrow" w:hAnsi="Arial Narrow"/>
              </w:rPr>
              <w:t>(mixed FMR/DMR)</w:t>
            </w:r>
          </w:p>
        </w:tc>
        <w:tc>
          <w:tcPr>
            <w:tcW w:w="728" w:type="pct"/>
          </w:tcPr>
          <w:p w14:paraId="26BCC07A" w14:textId="77777777" w:rsidR="007D3920" w:rsidRPr="009601E5"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601E5">
              <w:rPr>
                <w:rFonts w:ascii="Arial Narrow" w:hAnsi="Arial Narrow"/>
              </w:rPr>
              <w:t>4.38%</w:t>
            </w:r>
          </w:p>
        </w:tc>
        <w:tc>
          <w:tcPr>
            <w:tcW w:w="726" w:type="pct"/>
          </w:tcPr>
          <w:p w14:paraId="3230BC8C" w14:textId="77777777" w:rsidR="007D3920" w:rsidRPr="009601E5"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601E5">
              <w:rPr>
                <w:rFonts w:ascii="Arial Narrow" w:hAnsi="Arial Narrow"/>
              </w:rPr>
              <w:t>5%</w:t>
            </w:r>
          </w:p>
        </w:tc>
        <w:tc>
          <w:tcPr>
            <w:tcW w:w="1187" w:type="pct"/>
            <w:shd w:val="clear" w:color="auto" w:fill="B4C6E7" w:themeFill="accent5" w:themeFillTint="66"/>
          </w:tcPr>
          <w:p w14:paraId="12BE117E" w14:textId="77777777" w:rsidR="007D3920" w:rsidRPr="009601E5"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601E5">
              <w:rPr>
                <w:rFonts w:ascii="Arial Narrow" w:hAnsi="Arial Narrow"/>
              </w:rPr>
              <w:t>0.87 (0.21, 3.58)</w:t>
            </w:r>
          </w:p>
        </w:tc>
      </w:tr>
      <w:tr w:rsidR="007D3920" w:rsidRPr="009601E5" w14:paraId="0EB1F9B4" w14:textId="77777777" w:rsidTr="00032E3D">
        <w:tc>
          <w:tcPr>
            <w:cnfStyle w:val="001000000000" w:firstRow="0" w:lastRow="0" w:firstColumn="1" w:lastColumn="0" w:oddVBand="0" w:evenVBand="0" w:oddHBand="0" w:evenHBand="0" w:firstRowFirstColumn="0" w:firstRowLastColumn="0" w:lastRowFirstColumn="0" w:lastRowLastColumn="0"/>
            <w:tcW w:w="1020" w:type="pct"/>
          </w:tcPr>
          <w:p w14:paraId="5DF7689C" w14:textId="77777777" w:rsidR="007D3920" w:rsidRPr="009601E5" w:rsidRDefault="007D3920" w:rsidP="00005BEB">
            <w:pPr>
              <w:spacing w:before="0"/>
              <w:rPr>
                <w:rFonts w:ascii="Arial Narrow" w:hAnsi="Arial Narrow"/>
              </w:rPr>
            </w:pPr>
            <w:r w:rsidRPr="009601E5">
              <w:rPr>
                <w:rFonts w:ascii="Arial Narrow" w:hAnsi="Arial Narrow"/>
              </w:rPr>
              <w:t>Overall survival at 24 months</w:t>
            </w:r>
          </w:p>
        </w:tc>
        <w:tc>
          <w:tcPr>
            <w:tcW w:w="1339" w:type="pct"/>
          </w:tcPr>
          <w:p w14:paraId="227C8483" w14:textId="77777777" w:rsidR="002A1AF9"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601E5">
              <w:rPr>
                <w:rFonts w:ascii="Arial Narrow" w:hAnsi="Arial Narrow"/>
              </w:rPr>
              <w:t xml:space="preserve">CLASP vs COAPT </w:t>
            </w:r>
          </w:p>
          <w:p w14:paraId="77751DEE" w14:textId="630DC647" w:rsidR="007D3920" w:rsidRPr="009601E5"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601E5">
              <w:rPr>
                <w:rFonts w:ascii="Arial Narrow" w:hAnsi="Arial Narrow"/>
              </w:rPr>
              <w:t>(FMR only)</w:t>
            </w:r>
          </w:p>
        </w:tc>
        <w:tc>
          <w:tcPr>
            <w:tcW w:w="728" w:type="pct"/>
          </w:tcPr>
          <w:p w14:paraId="630A3DED" w14:textId="77777777" w:rsidR="007D3920" w:rsidRPr="009601E5"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601E5">
              <w:rPr>
                <w:rFonts w:ascii="Arial Narrow" w:hAnsi="Arial Narrow"/>
              </w:rPr>
              <w:t>N/A</w:t>
            </w:r>
          </w:p>
        </w:tc>
        <w:tc>
          <w:tcPr>
            <w:tcW w:w="726" w:type="pct"/>
          </w:tcPr>
          <w:p w14:paraId="1AF6A0B7" w14:textId="77777777" w:rsidR="007D3920" w:rsidRPr="009601E5"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601E5">
              <w:rPr>
                <w:rFonts w:ascii="Arial Narrow" w:hAnsi="Arial Narrow"/>
              </w:rPr>
              <w:t>N/A</w:t>
            </w:r>
          </w:p>
        </w:tc>
        <w:tc>
          <w:tcPr>
            <w:tcW w:w="1187" w:type="pct"/>
            <w:shd w:val="clear" w:color="auto" w:fill="B4C6E7" w:themeFill="accent5" w:themeFillTint="66"/>
          </w:tcPr>
          <w:p w14:paraId="02804A60" w14:textId="77777777" w:rsidR="007D3920" w:rsidRPr="009601E5"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vertAlign w:val="superscript"/>
              </w:rPr>
            </w:pPr>
            <w:r w:rsidRPr="009601E5">
              <w:rPr>
                <w:rFonts w:ascii="Arial Narrow" w:hAnsi="Arial Narrow"/>
              </w:rPr>
              <w:t>0.334(0.1</w:t>
            </w:r>
            <w:r>
              <w:rPr>
                <w:rFonts w:ascii="Arial Narrow" w:hAnsi="Arial Narrow"/>
              </w:rPr>
              <w:t>5</w:t>
            </w:r>
            <w:r w:rsidRPr="009601E5">
              <w:rPr>
                <w:rFonts w:ascii="Arial Narrow" w:hAnsi="Arial Narrow"/>
              </w:rPr>
              <w:t>, 0.7</w:t>
            </w:r>
            <w:r>
              <w:rPr>
                <w:rFonts w:ascii="Arial Narrow" w:hAnsi="Arial Narrow"/>
              </w:rPr>
              <w:t>6</w:t>
            </w:r>
            <w:r w:rsidRPr="009601E5">
              <w:rPr>
                <w:rFonts w:ascii="Arial Narrow" w:hAnsi="Arial Narrow"/>
              </w:rPr>
              <w:t xml:space="preserve">) </w:t>
            </w:r>
            <w:r w:rsidRPr="009601E5">
              <w:rPr>
                <w:rFonts w:ascii="Arial Narrow" w:hAnsi="Arial Narrow"/>
                <w:vertAlign w:val="superscript"/>
              </w:rPr>
              <w:t>b</w:t>
            </w:r>
          </w:p>
        </w:tc>
      </w:tr>
      <w:tr w:rsidR="007D3920" w:rsidRPr="009601E5" w14:paraId="0E17321A" w14:textId="77777777" w:rsidTr="00032E3D">
        <w:tc>
          <w:tcPr>
            <w:cnfStyle w:val="001000000000" w:firstRow="0" w:lastRow="0" w:firstColumn="1" w:lastColumn="0" w:oddVBand="0" w:evenVBand="0" w:oddHBand="0" w:evenHBand="0" w:firstRowFirstColumn="0" w:firstRowLastColumn="0" w:lastRowFirstColumn="0" w:lastRowLastColumn="0"/>
            <w:tcW w:w="1020" w:type="pct"/>
          </w:tcPr>
          <w:p w14:paraId="5CC5240A" w14:textId="77777777" w:rsidR="007D3920" w:rsidRPr="009601E5" w:rsidRDefault="007D3920" w:rsidP="00005BEB">
            <w:pPr>
              <w:spacing w:before="0"/>
              <w:rPr>
                <w:rFonts w:ascii="Arial Narrow" w:hAnsi="Arial Narrow"/>
              </w:rPr>
            </w:pPr>
            <w:r w:rsidRPr="009601E5">
              <w:rPr>
                <w:rFonts w:ascii="Arial Narrow" w:hAnsi="Arial Narrow"/>
              </w:rPr>
              <w:t>Overall survival at 24 months</w:t>
            </w:r>
          </w:p>
        </w:tc>
        <w:tc>
          <w:tcPr>
            <w:tcW w:w="1339" w:type="pct"/>
          </w:tcPr>
          <w:p w14:paraId="0ACF3917" w14:textId="77777777" w:rsidR="002A1AF9"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601E5">
              <w:rPr>
                <w:rFonts w:ascii="Arial Narrow" w:hAnsi="Arial Narrow"/>
              </w:rPr>
              <w:t xml:space="preserve">CLASP vs EVEREST-II </w:t>
            </w:r>
          </w:p>
          <w:p w14:paraId="12048693" w14:textId="0D1C1E9E" w:rsidR="007D3920" w:rsidRPr="009601E5"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601E5">
              <w:rPr>
                <w:rFonts w:ascii="Arial Narrow" w:hAnsi="Arial Narrow"/>
              </w:rPr>
              <w:t>(mixed FMR/DMR)</w:t>
            </w:r>
          </w:p>
        </w:tc>
        <w:tc>
          <w:tcPr>
            <w:tcW w:w="728" w:type="pct"/>
          </w:tcPr>
          <w:p w14:paraId="52AB814E" w14:textId="77777777" w:rsidR="007D3920" w:rsidRPr="009601E5"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601E5">
              <w:rPr>
                <w:rFonts w:ascii="Arial Narrow" w:hAnsi="Arial Narrow"/>
              </w:rPr>
              <w:t>N/A</w:t>
            </w:r>
          </w:p>
        </w:tc>
        <w:tc>
          <w:tcPr>
            <w:tcW w:w="726" w:type="pct"/>
          </w:tcPr>
          <w:p w14:paraId="188C6741" w14:textId="77777777" w:rsidR="007D3920" w:rsidRPr="009601E5"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601E5">
              <w:rPr>
                <w:rFonts w:ascii="Arial Narrow" w:hAnsi="Arial Narrow"/>
              </w:rPr>
              <w:t>N/A</w:t>
            </w:r>
          </w:p>
        </w:tc>
        <w:tc>
          <w:tcPr>
            <w:tcW w:w="1187" w:type="pct"/>
            <w:shd w:val="clear" w:color="auto" w:fill="B4C6E7" w:themeFill="accent5" w:themeFillTint="66"/>
          </w:tcPr>
          <w:p w14:paraId="5D61DAE4" w14:textId="77777777" w:rsidR="007D3920" w:rsidRPr="009601E5"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vertAlign w:val="superscript"/>
              </w:rPr>
            </w:pPr>
            <w:r w:rsidRPr="009601E5">
              <w:rPr>
                <w:rFonts w:ascii="Arial Narrow" w:hAnsi="Arial Narrow"/>
              </w:rPr>
              <w:t>0.3</w:t>
            </w:r>
            <w:r>
              <w:rPr>
                <w:rFonts w:ascii="Arial Narrow" w:hAnsi="Arial Narrow"/>
              </w:rPr>
              <w:t>1</w:t>
            </w:r>
            <w:r w:rsidRPr="009601E5">
              <w:rPr>
                <w:rFonts w:ascii="Arial Narrow" w:hAnsi="Arial Narrow"/>
              </w:rPr>
              <w:t xml:space="preserve"> (0.11, 0.8</w:t>
            </w:r>
            <w:r>
              <w:rPr>
                <w:rFonts w:ascii="Arial Narrow" w:hAnsi="Arial Narrow"/>
              </w:rPr>
              <w:t>5</w:t>
            </w:r>
            <w:r w:rsidRPr="009601E5">
              <w:rPr>
                <w:rFonts w:ascii="Arial Narrow" w:hAnsi="Arial Narrow"/>
              </w:rPr>
              <w:t xml:space="preserve">) </w:t>
            </w:r>
            <w:r w:rsidRPr="009601E5">
              <w:rPr>
                <w:rFonts w:ascii="Arial Narrow" w:hAnsi="Arial Narrow"/>
                <w:vertAlign w:val="superscript"/>
              </w:rPr>
              <w:t>b</w:t>
            </w:r>
          </w:p>
        </w:tc>
      </w:tr>
      <w:tr w:rsidR="007D3920" w:rsidRPr="009601E5" w14:paraId="3F678586" w14:textId="77777777" w:rsidTr="00032E3D">
        <w:trPr>
          <w:trHeight w:val="460"/>
        </w:trPr>
        <w:tc>
          <w:tcPr>
            <w:cnfStyle w:val="001000000000" w:firstRow="0" w:lastRow="0" w:firstColumn="1" w:lastColumn="0" w:oddVBand="0" w:evenVBand="0" w:oddHBand="0" w:evenHBand="0" w:firstRowFirstColumn="0" w:firstRowLastColumn="0" w:lastRowFirstColumn="0" w:lastRowLastColumn="0"/>
            <w:tcW w:w="1020" w:type="pct"/>
          </w:tcPr>
          <w:p w14:paraId="2AE9B7AF" w14:textId="77777777" w:rsidR="007D3920" w:rsidRPr="009601E5" w:rsidRDefault="007D3920" w:rsidP="00005BEB">
            <w:pPr>
              <w:spacing w:before="0"/>
              <w:rPr>
                <w:rFonts w:ascii="Arial Narrow" w:hAnsi="Arial Narrow"/>
              </w:rPr>
            </w:pPr>
            <w:r w:rsidRPr="009601E5">
              <w:rPr>
                <w:rFonts w:ascii="Arial Narrow" w:hAnsi="Arial Narrow"/>
              </w:rPr>
              <w:t xml:space="preserve">MR severity </w:t>
            </w:r>
            <w:r w:rsidRPr="009601E5">
              <w:rPr>
                <w:rFonts w:ascii="Arial Narrow" w:hAnsi="Arial Narrow" w:cs="Calibri Light"/>
              </w:rPr>
              <w:t>≤</w:t>
            </w:r>
            <w:r w:rsidRPr="009601E5">
              <w:rPr>
                <w:rFonts w:ascii="Arial Narrow" w:hAnsi="Arial Narrow"/>
              </w:rPr>
              <w:t>1+ at 24 months</w:t>
            </w:r>
          </w:p>
        </w:tc>
        <w:tc>
          <w:tcPr>
            <w:tcW w:w="1339" w:type="pct"/>
          </w:tcPr>
          <w:p w14:paraId="63387CCE" w14:textId="77777777" w:rsidR="007D3920" w:rsidRPr="009601E5"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601E5">
              <w:rPr>
                <w:rFonts w:ascii="Arial Narrow" w:hAnsi="Arial Narrow"/>
              </w:rPr>
              <w:t>CLASP vs COAPT (FMR only)</w:t>
            </w:r>
          </w:p>
        </w:tc>
        <w:tc>
          <w:tcPr>
            <w:tcW w:w="728" w:type="pct"/>
          </w:tcPr>
          <w:p w14:paraId="0918C893" w14:textId="77777777" w:rsidR="007D3920" w:rsidRPr="009601E5"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601E5">
              <w:rPr>
                <w:rFonts w:ascii="Arial Narrow" w:hAnsi="Arial Narrow"/>
              </w:rPr>
              <w:t>77.96%</w:t>
            </w:r>
          </w:p>
        </w:tc>
        <w:tc>
          <w:tcPr>
            <w:tcW w:w="726" w:type="pct"/>
          </w:tcPr>
          <w:p w14:paraId="16D36BCC" w14:textId="77777777" w:rsidR="007D3920" w:rsidRPr="009601E5"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601E5">
              <w:rPr>
                <w:rFonts w:ascii="Arial Narrow" w:hAnsi="Arial Narrow"/>
              </w:rPr>
              <w:t>77.20%</w:t>
            </w:r>
          </w:p>
        </w:tc>
        <w:tc>
          <w:tcPr>
            <w:tcW w:w="1187" w:type="pct"/>
          </w:tcPr>
          <w:p w14:paraId="47DB3405" w14:textId="77777777" w:rsidR="007D3920" w:rsidRPr="009601E5"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color w:val="FF0000"/>
              </w:rPr>
            </w:pPr>
            <w:r w:rsidRPr="009601E5">
              <w:rPr>
                <w:rFonts w:ascii="Arial Narrow" w:hAnsi="Arial Narrow"/>
              </w:rPr>
              <w:t>1.045 (0.287, 3.800)</w:t>
            </w:r>
          </w:p>
        </w:tc>
      </w:tr>
      <w:tr w:rsidR="007D3920" w:rsidRPr="009601E5" w14:paraId="7EE6E723" w14:textId="77777777" w:rsidTr="00032E3D">
        <w:tc>
          <w:tcPr>
            <w:cnfStyle w:val="001000000000" w:firstRow="0" w:lastRow="0" w:firstColumn="1" w:lastColumn="0" w:oddVBand="0" w:evenVBand="0" w:oddHBand="0" w:evenHBand="0" w:firstRowFirstColumn="0" w:firstRowLastColumn="0" w:lastRowFirstColumn="0" w:lastRowLastColumn="0"/>
            <w:tcW w:w="1020" w:type="pct"/>
          </w:tcPr>
          <w:p w14:paraId="017A3A21" w14:textId="77777777" w:rsidR="007D3920" w:rsidRPr="009601E5" w:rsidRDefault="007D3920" w:rsidP="00005BEB">
            <w:pPr>
              <w:spacing w:before="0"/>
              <w:rPr>
                <w:rFonts w:ascii="Arial Narrow" w:hAnsi="Arial Narrow"/>
              </w:rPr>
            </w:pPr>
            <w:r w:rsidRPr="009601E5">
              <w:rPr>
                <w:rFonts w:ascii="Arial Narrow" w:hAnsi="Arial Narrow"/>
              </w:rPr>
              <w:t xml:space="preserve">MR severity </w:t>
            </w:r>
            <w:r w:rsidRPr="009601E5">
              <w:rPr>
                <w:rFonts w:ascii="Arial Narrow" w:hAnsi="Arial Narrow" w:cs="Calibri Light"/>
              </w:rPr>
              <w:t>≤</w:t>
            </w:r>
            <w:r w:rsidRPr="009601E5">
              <w:rPr>
                <w:rFonts w:ascii="Arial Narrow" w:hAnsi="Arial Narrow"/>
              </w:rPr>
              <w:t>1+ at 24 months</w:t>
            </w:r>
          </w:p>
        </w:tc>
        <w:tc>
          <w:tcPr>
            <w:tcW w:w="1339" w:type="pct"/>
          </w:tcPr>
          <w:p w14:paraId="33464CA5" w14:textId="77777777" w:rsidR="002A1AF9"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601E5">
              <w:rPr>
                <w:rFonts w:ascii="Arial Narrow" w:hAnsi="Arial Narrow"/>
              </w:rPr>
              <w:t xml:space="preserve">CLASP vs EVEREST-II </w:t>
            </w:r>
          </w:p>
          <w:p w14:paraId="4914AC4D" w14:textId="725B4A82" w:rsidR="007D3920" w:rsidRPr="009601E5"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601E5">
              <w:rPr>
                <w:rFonts w:ascii="Arial Narrow" w:hAnsi="Arial Narrow"/>
              </w:rPr>
              <w:t>(mixed FMR/DMR)</w:t>
            </w:r>
          </w:p>
        </w:tc>
        <w:tc>
          <w:tcPr>
            <w:tcW w:w="728" w:type="pct"/>
          </w:tcPr>
          <w:p w14:paraId="3922D52C" w14:textId="77777777" w:rsidR="007D3920" w:rsidRPr="009601E5"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601E5">
              <w:rPr>
                <w:rFonts w:ascii="Arial Narrow" w:hAnsi="Arial Narrow"/>
              </w:rPr>
              <w:t>65.02%</w:t>
            </w:r>
          </w:p>
        </w:tc>
        <w:tc>
          <w:tcPr>
            <w:tcW w:w="726" w:type="pct"/>
          </w:tcPr>
          <w:p w14:paraId="0858DE11" w14:textId="77777777" w:rsidR="007D3920" w:rsidRPr="009601E5"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601E5">
              <w:rPr>
                <w:rFonts w:ascii="Arial Narrow" w:hAnsi="Arial Narrow"/>
              </w:rPr>
              <w:t>36.22%</w:t>
            </w:r>
          </w:p>
        </w:tc>
        <w:tc>
          <w:tcPr>
            <w:tcW w:w="1187" w:type="pct"/>
          </w:tcPr>
          <w:p w14:paraId="544BE6ED" w14:textId="77777777" w:rsidR="007D3920" w:rsidRPr="009601E5"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color w:val="FF0000"/>
              </w:rPr>
            </w:pPr>
            <w:r w:rsidRPr="009601E5">
              <w:rPr>
                <w:rFonts w:ascii="Arial Narrow" w:hAnsi="Arial Narrow"/>
              </w:rPr>
              <w:t>NR</w:t>
            </w:r>
          </w:p>
        </w:tc>
      </w:tr>
      <w:tr w:rsidR="007D3920" w:rsidRPr="009601E5" w14:paraId="4F2107BD" w14:textId="77777777" w:rsidTr="00032E3D">
        <w:tc>
          <w:tcPr>
            <w:cnfStyle w:val="001000000000" w:firstRow="0" w:lastRow="0" w:firstColumn="1" w:lastColumn="0" w:oddVBand="0" w:evenVBand="0" w:oddHBand="0" w:evenHBand="0" w:firstRowFirstColumn="0" w:firstRowLastColumn="0" w:lastRowFirstColumn="0" w:lastRowLastColumn="0"/>
            <w:tcW w:w="1020" w:type="pct"/>
          </w:tcPr>
          <w:p w14:paraId="7B3E3022" w14:textId="77777777" w:rsidR="007D3920" w:rsidRPr="009601E5" w:rsidRDefault="007D3920" w:rsidP="00005BEB">
            <w:pPr>
              <w:spacing w:before="0"/>
              <w:rPr>
                <w:rFonts w:ascii="Arial Narrow" w:hAnsi="Arial Narrow"/>
              </w:rPr>
            </w:pPr>
            <w:r w:rsidRPr="009601E5">
              <w:rPr>
                <w:rFonts w:ascii="Arial Narrow" w:hAnsi="Arial Narrow"/>
              </w:rPr>
              <w:t>NYHA functional class I-II at 24 months</w:t>
            </w:r>
          </w:p>
        </w:tc>
        <w:tc>
          <w:tcPr>
            <w:tcW w:w="1339" w:type="pct"/>
          </w:tcPr>
          <w:p w14:paraId="1BC98376" w14:textId="77777777" w:rsidR="007D3920" w:rsidRPr="009601E5"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601E5">
              <w:rPr>
                <w:rFonts w:ascii="Arial Narrow" w:hAnsi="Arial Narrow"/>
              </w:rPr>
              <w:t>CLASP vs COAPT (FMR only)</w:t>
            </w:r>
          </w:p>
        </w:tc>
        <w:tc>
          <w:tcPr>
            <w:tcW w:w="728" w:type="pct"/>
          </w:tcPr>
          <w:p w14:paraId="1CC50A21" w14:textId="77777777" w:rsidR="007D3920" w:rsidRPr="009601E5"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601E5">
              <w:rPr>
                <w:rFonts w:ascii="Arial Narrow" w:hAnsi="Arial Narrow"/>
              </w:rPr>
              <w:t>86.13%</w:t>
            </w:r>
          </w:p>
        </w:tc>
        <w:tc>
          <w:tcPr>
            <w:tcW w:w="726" w:type="pct"/>
          </w:tcPr>
          <w:p w14:paraId="4E2259AC" w14:textId="77777777" w:rsidR="007D3920" w:rsidRPr="009601E5"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601E5">
              <w:rPr>
                <w:rFonts w:ascii="Arial Narrow" w:hAnsi="Arial Narrow"/>
              </w:rPr>
              <w:t>66.67%</w:t>
            </w:r>
          </w:p>
        </w:tc>
        <w:tc>
          <w:tcPr>
            <w:tcW w:w="1187" w:type="pct"/>
          </w:tcPr>
          <w:p w14:paraId="16D6F27B" w14:textId="77777777" w:rsidR="007D3920" w:rsidRPr="009601E5"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601E5">
              <w:rPr>
                <w:rFonts w:ascii="Arial Narrow" w:hAnsi="Arial Narrow"/>
              </w:rPr>
              <w:t>3.1 (0.86, 11.16)</w:t>
            </w:r>
          </w:p>
        </w:tc>
      </w:tr>
      <w:tr w:rsidR="007D3920" w:rsidRPr="009601E5" w14:paraId="5F733F36" w14:textId="77777777" w:rsidTr="00032E3D">
        <w:tc>
          <w:tcPr>
            <w:cnfStyle w:val="001000000000" w:firstRow="0" w:lastRow="0" w:firstColumn="1" w:lastColumn="0" w:oddVBand="0" w:evenVBand="0" w:oddHBand="0" w:evenHBand="0" w:firstRowFirstColumn="0" w:firstRowLastColumn="0" w:lastRowFirstColumn="0" w:lastRowLastColumn="0"/>
            <w:tcW w:w="1020" w:type="pct"/>
          </w:tcPr>
          <w:p w14:paraId="4132BA32" w14:textId="77777777" w:rsidR="007D3920" w:rsidRPr="009601E5" w:rsidRDefault="007D3920" w:rsidP="00005BEB">
            <w:pPr>
              <w:spacing w:before="0"/>
              <w:rPr>
                <w:rFonts w:ascii="Arial Narrow" w:hAnsi="Arial Narrow"/>
              </w:rPr>
            </w:pPr>
            <w:r w:rsidRPr="009601E5">
              <w:rPr>
                <w:rFonts w:ascii="Arial Narrow" w:hAnsi="Arial Narrow"/>
              </w:rPr>
              <w:t>NYHA functional class I-II at 24 months</w:t>
            </w:r>
          </w:p>
        </w:tc>
        <w:tc>
          <w:tcPr>
            <w:tcW w:w="1339" w:type="pct"/>
          </w:tcPr>
          <w:p w14:paraId="57FB6223" w14:textId="77777777" w:rsidR="002A1AF9"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601E5">
              <w:rPr>
                <w:rFonts w:ascii="Arial Narrow" w:hAnsi="Arial Narrow"/>
              </w:rPr>
              <w:t xml:space="preserve">CLASP vs EVEREST-II </w:t>
            </w:r>
          </w:p>
          <w:p w14:paraId="521DF684" w14:textId="40E2CDBB" w:rsidR="007D3920" w:rsidRPr="009601E5"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601E5">
              <w:rPr>
                <w:rFonts w:ascii="Arial Narrow" w:hAnsi="Arial Narrow"/>
              </w:rPr>
              <w:t>(mixed FMR/DMR)</w:t>
            </w:r>
          </w:p>
        </w:tc>
        <w:tc>
          <w:tcPr>
            <w:tcW w:w="728" w:type="pct"/>
          </w:tcPr>
          <w:p w14:paraId="62870470" w14:textId="77777777" w:rsidR="007D3920" w:rsidRPr="009601E5"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601E5">
              <w:rPr>
                <w:rFonts w:ascii="Arial Narrow" w:hAnsi="Arial Narrow"/>
              </w:rPr>
              <w:t>98.76%</w:t>
            </w:r>
          </w:p>
        </w:tc>
        <w:tc>
          <w:tcPr>
            <w:tcW w:w="726" w:type="pct"/>
          </w:tcPr>
          <w:p w14:paraId="70C21866" w14:textId="77777777" w:rsidR="007D3920" w:rsidRPr="009601E5"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601E5">
              <w:rPr>
                <w:rFonts w:ascii="Arial Narrow" w:hAnsi="Arial Narrow"/>
              </w:rPr>
              <w:t>99.24%</w:t>
            </w:r>
          </w:p>
        </w:tc>
        <w:tc>
          <w:tcPr>
            <w:tcW w:w="1187" w:type="pct"/>
            <w:shd w:val="clear" w:color="auto" w:fill="B4C6E7" w:themeFill="accent5" w:themeFillTint="66"/>
          </w:tcPr>
          <w:p w14:paraId="612EE77B" w14:textId="77777777" w:rsidR="007D3920" w:rsidRPr="009601E5" w:rsidRDefault="007D3920" w:rsidP="00005BEB">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601E5">
              <w:rPr>
                <w:rFonts w:ascii="Arial Narrow" w:hAnsi="Arial Narrow"/>
              </w:rPr>
              <w:t>0.61 (0.02, 22.05)</w:t>
            </w:r>
          </w:p>
        </w:tc>
      </w:tr>
    </w:tbl>
    <w:p w14:paraId="634CD92D" w14:textId="77777777" w:rsidR="007D3920" w:rsidRDefault="007D3920" w:rsidP="00005BEB">
      <w:pPr>
        <w:pStyle w:val="TableFigNotes18"/>
        <w:spacing w:before="0" w:after="240"/>
        <w:contextualSpacing/>
        <w:rPr>
          <w:rFonts w:ascii="Arial Narrow" w:hAnsi="Arial Narrow"/>
          <w:sz w:val="18"/>
          <w:szCs w:val="18"/>
        </w:rPr>
      </w:pPr>
      <w:r w:rsidRPr="00EB295C">
        <w:rPr>
          <w:rFonts w:ascii="Arial Narrow" w:hAnsi="Arial Narrow"/>
          <w:sz w:val="18"/>
          <w:szCs w:val="18"/>
        </w:rPr>
        <w:t>DMR</w:t>
      </w:r>
      <w:r>
        <w:rPr>
          <w:rFonts w:ascii="Arial Narrow" w:hAnsi="Arial Narrow"/>
          <w:sz w:val="18"/>
          <w:szCs w:val="18"/>
        </w:rPr>
        <w:t>=</w:t>
      </w:r>
      <w:r w:rsidRPr="00EB295C">
        <w:rPr>
          <w:rFonts w:ascii="Arial Narrow" w:hAnsi="Arial Narrow"/>
          <w:sz w:val="18"/>
          <w:szCs w:val="18"/>
        </w:rPr>
        <w:t>degenerative mitral regurgitation; FMR</w:t>
      </w:r>
      <w:r>
        <w:rPr>
          <w:rFonts w:ascii="Arial Narrow" w:hAnsi="Arial Narrow"/>
          <w:sz w:val="18"/>
          <w:szCs w:val="18"/>
        </w:rPr>
        <w:t>=</w:t>
      </w:r>
      <w:r w:rsidRPr="00EB295C">
        <w:rPr>
          <w:rFonts w:ascii="Arial Narrow" w:hAnsi="Arial Narrow"/>
          <w:sz w:val="18"/>
          <w:szCs w:val="18"/>
        </w:rPr>
        <w:t>functional mitral regurgitation; MAE</w:t>
      </w:r>
      <w:r>
        <w:rPr>
          <w:rFonts w:ascii="Arial Narrow" w:hAnsi="Arial Narrow"/>
          <w:sz w:val="18"/>
          <w:szCs w:val="18"/>
        </w:rPr>
        <w:t>=</w:t>
      </w:r>
      <w:r w:rsidRPr="00EB295C">
        <w:rPr>
          <w:rFonts w:ascii="Arial Narrow" w:hAnsi="Arial Narrow"/>
          <w:sz w:val="18"/>
          <w:szCs w:val="18"/>
        </w:rPr>
        <w:t>major adverse event; MR</w:t>
      </w:r>
      <w:r>
        <w:rPr>
          <w:rFonts w:ascii="Arial Narrow" w:hAnsi="Arial Narrow"/>
          <w:sz w:val="18"/>
          <w:szCs w:val="18"/>
        </w:rPr>
        <w:t>=</w:t>
      </w:r>
      <w:r w:rsidRPr="00EB295C">
        <w:rPr>
          <w:rFonts w:ascii="Arial Narrow" w:hAnsi="Arial Narrow"/>
          <w:sz w:val="18"/>
          <w:szCs w:val="18"/>
        </w:rPr>
        <w:t xml:space="preserve">mitral regurgitation; </w:t>
      </w:r>
    </w:p>
    <w:p w14:paraId="16347608" w14:textId="77777777" w:rsidR="007D3920" w:rsidRPr="00EB295C" w:rsidRDefault="007D3920" w:rsidP="007D3920">
      <w:pPr>
        <w:pStyle w:val="TableFigNotes18"/>
        <w:spacing w:after="240"/>
        <w:contextualSpacing/>
        <w:rPr>
          <w:rFonts w:ascii="Arial Narrow" w:hAnsi="Arial Narrow"/>
          <w:sz w:val="18"/>
          <w:szCs w:val="18"/>
        </w:rPr>
      </w:pPr>
      <w:r w:rsidRPr="00EB295C">
        <w:rPr>
          <w:rFonts w:ascii="Arial Narrow" w:hAnsi="Arial Narrow"/>
          <w:sz w:val="18"/>
          <w:szCs w:val="18"/>
        </w:rPr>
        <w:t>NYHA</w:t>
      </w:r>
      <w:r>
        <w:rPr>
          <w:rFonts w:ascii="Arial Narrow" w:hAnsi="Arial Narrow"/>
          <w:sz w:val="18"/>
          <w:szCs w:val="18"/>
        </w:rPr>
        <w:t>=</w:t>
      </w:r>
      <w:r w:rsidRPr="00EB295C">
        <w:rPr>
          <w:rFonts w:ascii="Arial Narrow" w:hAnsi="Arial Narrow"/>
          <w:sz w:val="18"/>
          <w:szCs w:val="18"/>
        </w:rPr>
        <w:t xml:space="preserve"> New York Heart Association; OR</w:t>
      </w:r>
      <w:r>
        <w:rPr>
          <w:rFonts w:ascii="Arial Narrow" w:hAnsi="Arial Narrow"/>
          <w:sz w:val="18"/>
          <w:szCs w:val="18"/>
        </w:rPr>
        <w:t>=</w:t>
      </w:r>
      <w:r w:rsidRPr="00EB295C">
        <w:rPr>
          <w:rFonts w:ascii="Arial Narrow" w:hAnsi="Arial Narrow"/>
          <w:sz w:val="18"/>
          <w:szCs w:val="18"/>
        </w:rPr>
        <w:t>odds ratio</w:t>
      </w:r>
    </w:p>
    <w:p w14:paraId="75A0CCD9" w14:textId="77777777" w:rsidR="007D3920" w:rsidRPr="00EB295C" w:rsidRDefault="007D3920" w:rsidP="007D3920">
      <w:pPr>
        <w:pStyle w:val="TableFigNotes18"/>
        <w:spacing w:after="240"/>
        <w:contextualSpacing/>
        <w:rPr>
          <w:rFonts w:ascii="Arial Narrow" w:hAnsi="Arial Narrow"/>
          <w:sz w:val="18"/>
          <w:szCs w:val="18"/>
        </w:rPr>
      </w:pPr>
      <w:r w:rsidRPr="00EB295C">
        <w:rPr>
          <w:rFonts w:ascii="Arial Narrow" w:hAnsi="Arial Narrow"/>
          <w:sz w:val="18"/>
          <w:szCs w:val="18"/>
          <w:vertAlign w:val="superscript"/>
        </w:rPr>
        <w:t>a</w:t>
      </w:r>
      <w:r w:rsidRPr="00EB295C">
        <w:rPr>
          <w:rFonts w:ascii="Arial Narrow" w:hAnsi="Arial Narrow"/>
          <w:sz w:val="18"/>
          <w:szCs w:val="18"/>
        </w:rPr>
        <w:t xml:space="preserve"> OR from weighted logistic regression model</w:t>
      </w:r>
    </w:p>
    <w:p w14:paraId="34DF86A9" w14:textId="43BD9A09" w:rsidR="007D3920" w:rsidRDefault="007D3920" w:rsidP="00A64CAC">
      <w:pPr>
        <w:pStyle w:val="TableFigNotes18"/>
        <w:contextualSpacing/>
        <w:rPr>
          <w:rFonts w:ascii="Arial Narrow" w:hAnsi="Arial Narrow"/>
          <w:sz w:val="18"/>
          <w:szCs w:val="18"/>
        </w:rPr>
      </w:pPr>
      <w:r w:rsidRPr="00EB295C">
        <w:rPr>
          <w:rFonts w:ascii="Arial Narrow" w:hAnsi="Arial Narrow"/>
          <w:sz w:val="18"/>
          <w:szCs w:val="18"/>
          <w:vertAlign w:val="superscript"/>
        </w:rPr>
        <w:t xml:space="preserve">b </w:t>
      </w:r>
      <w:r>
        <w:rPr>
          <w:rFonts w:ascii="Arial Narrow" w:hAnsi="Arial Narrow"/>
          <w:sz w:val="18"/>
          <w:szCs w:val="18"/>
        </w:rPr>
        <w:t>Hazard ratio</w:t>
      </w:r>
      <w:r w:rsidRPr="00EB295C">
        <w:rPr>
          <w:rFonts w:ascii="Arial Narrow" w:hAnsi="Arial Narrow"/>
          <w:sz w:val="18"/>
          <w:szCs w:val="18"/>
        </w:rPr>
        <w:t xml:space="preserve"> (95% CI) for overall survival from weighted Cox model</w:t>
      </w:r>
    </w:p>
    <w:p w14:paraId="1B4FF55D" w14:textId="77777777" w:rsidR="00E13326" w:rsidRPr="00427322" w:rsidRDefault="00E13326" w:rsidP="00A64CAC">
      <w:pPr>
        <w:pStyle w:val="Tablenotes"/>
        <w:spacing w:before="0"/>
      </w:pPr>
      <w:r w:rsidRPr="00427322">
        <w:t xml:space="preserve">Cells </w:t>
      </w:r>
      <w:r w:rsidRPr="00427322">
        <w:rPr>
          <w:shd w:val="clear" w:color="auto" w:fill="B4C6E7" w:themeFill="accent5" w:themeFillTint="66"/>
        </w:rPr>
        <w:t>shaded in blue</w:t>
      </w:r>
      <w:r w:rsidRPr="00427322">
        <w:t xml:space="preserve"> represent results previously considered by MSAC</w:t>
      </w:r>
    </w:p>
    <w:p w14:paraId="7E3DD589" w14:textId="77777777" w:rsidR="007D3920" w:rsidRDefault="007D3920" w:rsidP="007D3920">
      <w:pPr>
        <w:shd w:val="clear" w:color="auto" w:fill="B4C6E7" w:themeFill="accent5" w:themeFillTint="66"/>
      </w:pPr>
      <w:r>
        <w:lastRenderedPageBreak/>
        <w:t xml:space="preserve">There were no statistically significant differences in the MAIC analyses of the safety and effectiveness outcomes presented in </w:t>
      </w:r>
      <w:r>
        <w:fldChar w:fldCharType="begin"/>
      </w:r>
      <w:r>
        <w:instrText xml:space="preserve"> REF _Ref113339856 \h  \* MERGEFORMAT </w:instrText>
      </w:r>
      <w:r>
        <w:fldChar w:fldCharType="separate"/>
      </w:r>
      <w:r w:rsidRPr="0019519D">
        <w:t>Table 16</w:t>
      </w:r>
      <w:r>
        <w:fldChar w:fldCharType="end"/>
      </w:r>
      <w:r>
        <w:t>. However, the limitations of MAIC identified in the previous ADAR remains valid here:</w:t>
      </w:r>
    </w:p>
    <w:p w14:paraId="2535E84D" w14:textId="77777777" w:rsidR="007D3920" w:rsidRPr="00427322" w:rsidRDefault="007D3920" w:rsidP="007D3920">
      <w:pPr>
        <w:pStyle w:val="ListParagraph"/>
        <w:numPr>
          <w:ilvl w:val="0"/>
          <w:numId w:val="28"/>
        </w:numPr>
        <w:shd w:val="clear" w:color="auto" w:fill="B4C6E7" w:themeFill="accent5" w:themeFillTint="66"/>
        <w:ind w:left="284" w:hanging="284"/>
      </w:pPr>
      <w:r w:rsidRPr="00427322">
        <w:t xml:space="preserve">Reweighing is only able to be performed on the reported patient characteristics. This is particularly an issue with the EVEREST-II comparison where separate data for FMR and DMR populations is not available. </w:t>
      </w:r>
    </w:p>
    <w:p w14:paraId="201D8B72" w14:textId="77777777" w:rsidR="007D3920" w:rsidRPr="00427322" w:rsidRDefault="007D3920" w:rsidP="007D3920">
      <w:pPr>
        <w:pStyle w:val="ListParagraph"/>
        <w:numPr>
          <w:ilvl w:val="0"/>
          <w:numId w:val="28"/>
        </w:numPr>
        <w:shd w:val="clear" w:color="auto" w:fill="B4C6E7" w:themeFill="accent5" w:themeFillTint="66"/>
        <w:ind w:left="284" w:hanging="284"/>
      </w:pPr>
      <w:r w:rsidRPr="00427322">
        <w:t>Reweighing cannot be performed on characteristics that are unobservable, e.g. FMR patients in the EVEREST-II were sufficiently fit to undergo surgery which was not the case for COAPT.</w:t>
      </w:r>
    </w:p>
    <w:p w14:paraId="287B541B" w14:textId="77777777" w:rsidR="007D3920" w:rsidRPr="00427322" w:rsidRDefault="007D3920" w:rsidP="007D3920">
      <w:pPr>
        <w:pStyle w:val="ListParagraph"/>
        <w:numPr>
          <w:ilvl w:val="0"/>
          <w:numId w:val="28"/>
        </w:numPr>
        <w:shd w:val="clear" w:color="auto" w:fill="B4C6E7" w:themeFill="accent5" w:themeFillTint="66"/>
        <w:ind w:left="284" w:hanging="284"/>
      </w:pPr>
      <w:r w:rsidRPr="00427322">
        <w:t>Comparisons made are performed on the best available clinical trial data and may not represent the outcomes that would be achieved by the devices in practice.</w:t>
      </w:r>
    </w:p>
    <w:p w14:paraId="1E56526C" w14:textId="77777777" w:rsidR="007D3920" w:rsidRPr="00124228" w:rsidRDefault="007D3920" w:rsidP="007D3920">
      <w:pPr>
        <w:shd w:val="clear" w:color="auto" w:fill="B4C6E7" w:themeFill="accent5" w:themeFillTint="66"/>
        <w:rPr>
          <w:rFonts w:cstheme="minorHAnsi"/>
        </w:rPr>
      </w:pPr>
      <w:r w:rsidRPr="00427322">
        <w:t>It was also commented that in addition to significant inherent uncertainty with MAIC analysis, due to the comparison of single arm trials there is an uncertainty arising from inability to validate the results of the unanchored MAIC (i.e. the codes were not provided).</w:t>
      </w:r>
    </w:p>
    <w:p w14:paraId="42D7A8EF" w14:textId="15DD8966" w:rsidR="00DC6125" w:rsidRPr="00A37E13" w:rsidRDefault="00DC6125" w:rsidP="00496BC6">
      <w:pPr>
        <w:pStyle w:val="Heading3"/>
      </w:pPr>
      <w:r>
        <w:t>Single-arm studies (Naïve comparisons)</w:t>
      </w:r>
    </w:p>
    <w:p w14:paraId="17C154AA" w14:textId="7D879EAB" w:rsidR="007D3920" w:rsidRPr="00091167" w:rsidRDefault="007D3920" w:rsidP="00496BC6">
      <w:pPr>
        <w:pStyle w:val="Heading4"/>
      </w:pPr>
      <w:r>
        <w:t>MR severity</w:t>
      </w:r>
    </w:p>
    <w:p w14:paraId="6ED9CD8E" w14:textId="4B295E71" w:rsidR="007D3920" w:rsidRDefault="007D3920" w:rsidP="007D3920">
      <w:pPr>
        <w:spacing w:after="240"/>
      </w:pPr>
      <w:r>
        <w:t xml:space="preserve">MR severity outcomes at 30 days, and 12 and 24 months from the single-arm studies are presented in </w:t>
      </w:r>
      <w:r w:rsidR="00124228">
        <w:fldChar w:fldCharType="begin"/>
      </w:r>
      <w:r w:rsidR="00124228">
        <w:instrText xml:space="preserve"> REF _Ref117522512 \h </w:instrText>
      </w:r>
      <w:r w:rsidR="00124228">
        <w:fldChar w:fldCharType="separate"/>
      </w:r>
      <w:r w:rsidR="00124228">
        <w:t xml:space="preserve">Table </w:t>
      </w:r>
      <w:r w:rsidR="00124228">
        <w:rPr>
          <w:noProof/>
        </w:rPr>
        <w:t>26</w:t>
      </w:r>
      <w:r w:rsidR="00124228">
        <w:fldChar w:fldCharType="end"/>
      </w:r>
      <w:r w:rsidR="00124228">
        <w:t xml:space="preserve"> </w:t>
      </w:r>
      <w:r>
        <w:t xml:space="preserve">(FMR) and </w:t>
      </w:r>
      <w:r w:rsidR="00124228">
        <w:fldChar w:fldCharType="begin"/>
      </w:r>
      <w:r w:rsidR="00124228">
        <w:instrText xml:space="preserve"> REF _Ref117522533 \h </w:instrText>
      </w:r>
      <w:r w:rsidR="00124228">
        <w:fldChar w:fldCharType="separate"/>
      </w:r>
      <w:r w:rsidR="00124228">
        <w:t xml:space="preserve">Table </w:t>
      </w:r>
      <w:r w:rsidR="00124228">
        <w:rPr>
          <w:noProof/>
        </w:rPr>
        <w:t>27</w:t>
      </w:r>
      <w:r w:rsidR="00124228">
        <w:fldChar w:fldCharType="end"/>
      </w:r>
      <w:r w:rsidR="00124228">
        <w:t xml:space="preserve"> </w:t>
      </w:r>
      <w:r>
        <w:t xml:space="preserve">(mixed population). </w:t>
      </w:r>
    </w:p>
    <w:p w14:paraId="34AFAB96" w14:textId="0D18F689" w:rsidR="007D3920" w:rsidRDefault="007D3920" w:rsidP="007D3920">
      <w:pPr>
        <w:pStyle w:val="Caption"/>
      </w:pPr>
      <w:bookmarkStart w:id="69" w:name="_Ref117522512"/>
      <w:r>
        <w:t xml:space="preserve">Table </w:t>
      </w:r>
      <w:fldSimple w:instr=" SEQ Table \* ARABIC ">
        <w:r w:rsidR="00124228">
          <w:rPr>
            <w:noProof/>
          </w:rPr>
          <w:t>26</w:t>
        </w:r>
      </w:fldSimple>
      <w:bookmarkEnd w:id="69"/>
      <w:r>
        <w:tab/>
        <w:t xml:space="preserve">Naïve comparison of MR severity reported in the included single-arm studies (FMR population) </w:t>
      </w:r>
    </w:p>
    <w:tbl>
      <w:tblPr>
        <w:tblStyle w:val="MSAC"/>
        <w:tblW w:w="5047" w:type="pct"/>
        <w:tblLayout w:type="fixed"/>
        <w:tblCellMar>
          <w:left w:w="28" w:type="dxa"/>
          <w:right w:w="28" w:type="dxa"/>
        </w:tblCellMar>
        <w:tblLook w:val="04A0" w:firstRow="1" w:lastRow="0" w:firstColumn="1" w:lastColumn="0" w:noHBand="0" w:noVBand="1"/>
      </w:tblPr>
      <w:tblGrid>
        <w:gridCol w:w="2049"/>
        <w:gridCol w:w="1227"/>
        <w:gridCol w:w="1227"/>
        <w:gridCol w:w="1227"/>
        <w:gridCol w:w="1227"/>
        <w:gridCol w:w="1227"/>
        <w:gridCol w:w="1227"/>
      </w:tblGrid>
      <w:tr w:rsidR="007D3920" w:rsidRPr="00566B47" w14:paraId="17AD1D98" w14:textId="77777777" w:rsidTr="00032E3D">
        <w:trPr>
          <w:cnfStyle w:val="100000000000" w:firstRow="1" w:lastRow="0" w:firstColumn="0" w:lastColumn="0" w:oddVBand="0" w:evenVBand="0" w:oddHBand="0" w:evenHBand="0" w:firstRowFirstColumn="0" w:firstRowLastColumn="0" w:lastRowFirstColumn="0" w:lastRowLastColumn="0"/>
          <w:cantSplit/>
        </w:trPr>
        <w:tc>
          <w:tcPr>
            <w:tcW w:w="1088" w:type="pct"/>
            <w:vMerge w:val="restart"/>
          </w:tcPr>
          <w:p w14:paraId="52565BA7" w14:textId="77777777" w:rsidR="007D3920" w:rsidRPr="00566B47" w:rsidRDefault="007D3920" w:rsidP="00032E3D">
            <w:pPr>
              <w:spacing w:before="40" w:after="40"/>
              <w:rPr>
                <w:rFonts w:ascii="Arial Narrow" w:hAnsi="Arial Narrow" w:cstheme="minorHAnsi"/>
              </w:rPr>
            </w:pPr>
            <w:r w:rsidRPr="00566B47">
              <w:rPr>
                <w:rFonts w:ascii="Arial Narrow" w:hAnsi="Arial Narrow" w:cstheme="minorHAnsi"/>
                <w:bCs/>
              </w:rPr>
              <w:t>MR severity grade (%)</w:t>
            </w:r>
          </w:p>
        </w:tc>
        <w:tc>
          <w:tcPr>
            <w:tcW w:w="652" w:type="pct"/>
          </w:tcPr>
          <w:p w14:paraId="5606FE6B" w14:textId="77777777" w:rsidR="007D3920" w:rsidRPr="00566B47" w:rsidRDefault="007D3920" w:rsidP="00032E3D">
            <w:pPr>
              <w:spacing w:before="40" w:after="40"/>
              <w:jc w:val="center"/>
              <w:rPr>
                <w:rFonts w:ascii="Arial Narrow" w:hAnsi="Arial Narrow" w:cstheme="minorHAnsi"/>
                <w:b w:val="0"/>
              </w:rPr>
            </w:pPr>
            <w:r w:rsidRPr="00566B47">
              <w:rPr>
                <w:rFonts w:ascii="Arial Narrow" w:hAnsi="Arial Narrow" w:cstheme="minorHAnsi"/>
              </w:rPr>
              <w:t>CLASP</w:t>
            </w:r>
          </w:p>
          <w:p w14:paraId="655B2629" w14:textId="77777777" w:rsidR="007D3920" w:rsidRPr="00566B47" w:rsidRDefault="007D3920" w:rsidP="00032E3D">
            <w:pPr>
              <w:spacing w:before="40" w:after="40"/>
              <w:jc w:val="center"/>
              <w:rPr>
                <w:rFonts w:ascii="Arial Narrow" w:hAnsi="Arial Narrow" w:cstheme="minorHAnsi"/>
              </w:rPr>
            </w:pPr>
            <w:r w:rsidRPr="00566B47">
              <w:rPr>
                <w:rFonts w:ascii="Arial Narrow" w:hAnsi="Arial Narrow" w:cstheme="minorHAnsi"/>
              </w:rPr>
              <w:t>(PASCAL)</w:t>
            </w:r>
          </w:p>
        </w:tc>
        <w:tc>
          <w:tcPr>
            <w:tcW w:w="652" w:type="pct"/>
            <w:tcBorders>
              <w:right w:val="single" w:sz="12" w:space="0" w:color="auto"/>
            </w:tcBorders>
          </w:tcPr>
          <w:p w14:paraId="74D3E42F" w14:textId="77777777" w:rsidR="007D3920" w:rsidRPr="00566B47" w:rsidRDefault="007D3920" w:rsidP="00032E3D">
            <w:pPr>
              <w:spacing w:before="40" w:after="40"/>
              <w:jc w:val="center"/>
              <w:rPr>
                <w:rFonts w:ascii="Arial Narrow" w:hAnsi="Arial Narrow" w:cstheme="minorHAnsi"/>
                <w:b w:val="0"/>
              </w:rPr>
            </w:pPr>
            <w:r w:rsidRPr="00566B47">
              <w:rPr>
                <w:rFonts w:ascii="Arial Narrow" w:hAnsi="Arial Narrow" w:cstheme="minorHAnsi"/>
              </w:rPr>
              <w:t>COAPT</w:t>
            </w:r>
          </w:p>
          <w:p w14:paraId="7FE5D17C" w14:textId="77777777" w:rsidR="007D3920" w:rsidRPr="00566B47" w:rsidRDefault="007D3920" w:rsidP="00032E3D">
            <w:pPr>
              <w:spacing w:before="40" w:after="40"/>
              <w:jc w:val="center"/>
              <w:rPr>
                <w:rFonts w:ascii="Arial Narrow" w:hAnsi="Arial Narrow" w:cstheme="minorHAnsi"/>
              </w:rPr>
            </w:pPr>
            <w:r w:rsidRPr="00566B47">
              <w:rPr>
                <w:rFonts w:ascii="Arial Narrow" w:hAnsi="Arial Narrow" w:cstheme="minorHAnsi"/>
              </w:rPr>
              <w:t>(</w:t>
            </w:r>
            <w:proofErr w:type="spellStart"/>
            <w:r w:rsidRPr="00566B47">
              <w:rPr>
                <w:rFonts w:ascii="Arial Narrow" w:hAnsi="Arial Narrow" w:cstheme="minorHAnsi"/>
              </w:rPr>
              <w:t>MitraClip</w:t>
            </w:r>
            <w:proofErr w:type="spellEnd"/>
            <w:r w:rsidRPr="00566B47">
              <w:rPr>
                <w:rFonts w:ascii="Arial Narrow" w:hAnsi="Arial Narrow" w:cstheme="minorHAnsi"/>
              </w:rPr>
              <w:t>)</w:t>
            </w:r>
          </w:p>
        </w:tc>
        <w:tc>
          <w:tcPr>
            <w:tcW w:w="652" w:type="pct"/>
            <w:tcBorders>
              <w:left w:val="single" w:sz="12" w:space="0" w:color="auto"/>
            </w:tcBorders>
          </w:tcPr>
          <w:p w14:paraId="2EA29056" w14:textId="77777777" w:rsidR="007D3920" w:rsidRPr="00566B47" w:rsidRDefault="007D3920" w:rsidP="00032E3D">
            <w:pPr>
              <w:spacing w:before="40" w:after="40"/>
              <w:jc w:val="center"/>
              <w:rPr>
                <w:rFonts w:ascii="Arial Narrow" w:hAnsi="Arial Narrow" w:cstheme="minorHAnsi"/>
                <w:b w:val="0"/>
              </w:rPr>
            </w:pPr>
            <w:r w:rsidRPr="00566B47">
              <w:rPr>
                <w:rFonts w:ascii="Arial Narrow" w:hAnsi="Arial Narrow" w:cstheme="minorHAnsi"/>
              </w:rPr>
              <w:t>CLASP</w:t>
            </w:r>
          </w:p>
          <w:p w14:paraId="2D880AAF" w14:textId="77777777" w:rsidR="007D3920" w:rsidRPr="00566B47" w:rsidRDefault="007D3920" w:rsidP="00032E3D">
            <w:pPr>
              <w:spacing w:before="40" w:after="40"/>
              <w:jc w:val="center"/>
              <w:rPr>
                <w:rFonts w:ascii="Arial Narrow" w:hAnsi="Arial Narrow" w:cstheme="minorHAnsi"/>
              </w:rPr>
            </w:pPr>
            <w:r w:rsidRPr="00566B47">
              <w:rPr>
                <w:rFonts w:ascii="Arial Narrow" w:hAnsi="Arial Narrow" w:cstheme="minorHAnsi"/>
              </w:rPr>
              <w:t>(PASCAL)</w:t>
            </w:r>
          </w:p>
        </w:tc>
        <w:tc>
          <w:tcPr>
            <w:tcW w:w="652" w:type="pct"/>
            <w:tcBorders>
              <w:right w:val="single" w:sz="12" w:space="0" w:color="auto"/>
            </w:tcBorders>
          </w:tcPr>
          <w:p w14:paraId="570EB470" w14:textId="77777777" w:rsidR="007D3920" w:rsidRPr="00566B47" w:rsidRDefault="007D3920" w:rsidP="00032E3D">
            <w:pPr>
              <w:spacing w:before="40" w:after="40"/>
              <w:jc w:val="center"/>
              <w:rPr>
                <w:rFonts w:ascii="Arial Narrow" w:hAnsi="Arial Narrow" w:cstheme="minorHAnsi"/>
                <w:b w:val="0"/>
              </w:rPr>
            </w:pPr>
            <w:r w:rsidRPr="00566B47">
              <w:rPr>
                <w:rFonts w:ascii="Arial Narrow" w:hAnsi="Arial Narrow" w:cstheme="minorHAnsi"/>
              </w:rPr>
              <w:t>COAPT</w:t>
            </w:r>
          </w:p>
          <w:p w14:paraId="6A2D16DC" w14:textId="77777777" w:rsidR="007D3920" w:rsidRPr="00566B47" w:rsidRDefault="007D3920" w:rsidP="00032E3D">
            <w:pPr>
              <w:spacing w:before="40" w:after="40"/>
              <w:jc w:val="center"/>
              <w:rPr>
                <w:rFonts w:ascii="Arial Narrow" w:hAnsi="Arial Narrow" w:cstheme="minorHAnsi"/>
              </w:rPr>
            </w:pPr>
            <w:r w:rsidRPr="00566B47">
              <w:rPr>
                <w:rFonts w:ascii="Arial Narrow" w:hAnsi="Arial Narrow" w:cstheme="minorHAnsi"/>
              </w:rPr>
              <w:t>(</w:t>
            </w:r>
            <w:proofErr w:type="spellStart"/>
            <w:r w:rsidRPr="00566B47">
              <w:rPr>
                <w:rFonts w:ascii="Arial Narrow" w:hAnsi="Arial Narrow" w:cstheme="minorHAnsi"/>
              </w:rPr>
              <w:t>MitraClip</w:t>
            </w:r>
            <w:proofErr w:type="spellEnd"/>
            <w:r w:rsidRPr="00566B47">
              <w:rPr>
                <w:rFonts w:ascii="Arial Narrow" w:hAnsi="Arial Narrow" w:cstheme="minorHAnsi"/>
              </w:rPr>
              <w:t>)</w:t>
            </w:r>
          </w:p>
        </w:tc>
        <w:tc>
          <w:tcPr>
            <w:tcW w:w="652" w:type="pct"/>
            <w:tcBorders>
              <w:left w:val="single" w:sz="12" w:space="0" w:color="auto"/>
            </w:tcBorders>
          </w:tcPr>
          <w:p w14:paraId="5ED2DE85" w14:textId="77777777" w:rsidR="007D3920" w:rsidRPr="00566B47" w:rsidRDefault="007D3920" w:rsidP="00032E3D">
            <w:pPr>
              <w:spacing w:before="40" w:after="40"/>
              <w:jc w:val="center"/>
              <w:rPr>
                <w:rFonts w:ascii="Arial Narrow" w:hAnsi="Arial Narrow" w:cstheme="minorHAnsi"/>
              </w:rPr>
            </w:pPr>
            <w:r w:rsidRPr="00566B47">
              <w:rPr>
                <w:rFonts w:ascii="Arial Narrow" w:hAnsi="Arial Narrow" w:cstheme="minorHAnsi"/>
              </w:rPr>
              <w:t>CLASP</w:t>
            </w:r>
          </w:p>
          <w:p w14:paraId="5AAF8408" w14:textId="77777777" w:rsidR="007D3920" w:rsidRPr="00566B47" w:rsidRDefault="007D3920" w:rsidP="00032E3D">
            <w:pPr>
              <w:spacing w:before="40" w:after="40"/>
              <w:jc w:val="center"/>
              <w:rPr>
                <w:rFonts w:ascii="Arial Narrow" w:hAnsi="Arial Narrow" w:cstheme="minorHAnsi"/>
              </w:rPr>
            </w:pPr>
            <w:r w:rsidRPr="00566B47">
              <w:rPr>
                <w:rFonts w:ascii="Arial Narrow" w:hAnsi="Arial Narrow" w:cstheme="minorHAnsi"/>
              </w:rPr>
              <w:t>(PASCAL)</w:t>
            </w:r>
          </w:p>
        </w:tc>
        <w:tc>
          <w:tcPr>
            <w:tcW w:w="652" w:type="pct"/>
          </w:tcPr>
          <w:p w14:paraId="1A692071" w14:textId="77777777" w:rsidR="007D3920" w:rsidRPr="00566B47" w:rsidRDefault="007D3920" w:rsidP="00032E3D">
            <w:pPr>
              <w:spacing w:before="40" w:after="40"/>
              <w:jc w:val="center"/>
              <w:rPr>
                <w:rFonts w:ascii="Arial Narrow" w:hAnsi="Arial Narrow" w:cstheme="minorHAnsi"/>
                <w:b w:val="0"/>
              </w:rPr>
            </w:pPr>
            <w:r w:rsidRPr="00566B47">
              <w:rPr>
                <w:rFonts w:ascii="Arial Narrow" w:hAnsi="Arial Narrow" w:cstheme="minorHAnsi"/>
              </w:rPr>
              <w:t>COAPT</w:t>
            </w:r>
          </w:p>
          <w:p w14:paraId="4E0E5A5A" w14:textId="77777777" w:rsidR="007D3920" w:rsidRPr="00566B47" w:rsidRDefault="007D3920" w:rsidP="00032E3D">
            <w:pPr>
              <w:spacing w:before="40" w:after="40"/>
              <w:jc w:val="center"/>
              <w:rPr>
                <w:rFonts w:ascii="Arial Narrow" w:hAnsi="Arial Narrow" w:cstheme="minorHAnsi"/>
              </w:rPr>
            </w:pPr>
            <w:r w:rsidRPr="00566B47">
              <w:rPr>
                <w:rFonts w:ascii="Arial Narrow" w:hAnsi="Arial Narrow" w:cstheme="minorHAnsi"/>
              </w:rPr>
              <w:t>(</w:t>
            </w:r>
            <w:proofErr w:type="spellStart"/>
            <w:r w:rsidRPr="00566B47">
              <w:rPr>
                <w:rFonts w:ascii="Arial Narrow" w:hAnsi="Arial Narrow" w:cstheme="minorHAnsi"/>
              </w:rPr>
              <w:t>MitraClip</w:t>
            </w:r>
            <w:proofErr w:type="spellEnd"/>
            <w:r w:rsidRPr="00566B47">
              <w:rPr>
                <w:rFonts w:ascii="Arial Narrow" w:hAnsi="Arial Narrow" w:cstheme="minorHAnsi"/>
              </w:rPr>
              <w:t>)</w:t>
            </w:r>
          </w:p>
        </w:tc>
      </w:tr>
      <w:tr w:rsidR="007D3920" w:rsidRPr="00566B47" w14:paraId="1DA9F7C7" w14:textId="77777777" w:rsidTr="00032E3D">
        <w:trPr>
          <w:cantSplit/>
        </w:trPr>
        <w:tc>
          <w:tcPr>
            <w:tcW w:w="1088" w:type="pct"/>
            <w:vMerge/>
          </w:tcPr>
          <w:p w14:paraId="6754FD19" w14:textId="77777777" w:rsidR="007D3920" w:rsidRPr="00566B47" w:rsidRDefault="007D3920" w:rsidP="00032E3D">
            <w:pPr>
              <w:spacing w:before="40" w:after="40"/>
              <w:rPr>
                <w:rFonts w:ascii="Arial Narrow" w:hAnsi="Arial Narrow" w:cstheme="minorHAnsi"/>
                <w:b/>
                <w:bCs/>
              </w:rPr>
            </w:pPr>
          </w:p>
        </w:tc>
        <w:tc>
          <w:tcPr>
            <w:tcW w:w="652" w:type="pct"/>
          </w:tcPr>
          <w:p w14:paraId="427EA0B7" w14:textId="77777777" w:rsidR="007D3920" w:rsidRPr="00566B47" w:rsidRDefault="007D3920" w:rsidP="00032E3D">
            <w:pPr>
              <w:spacing w:before="40" w:after="40"/>
              <w:jc w:val="center"/>
              <w:rPr>
                <w:rFonts w:ascii="Arial Narrow" w:hAnsi="Arial Narrow" w:cstheme="minorHAnsi"/>
                <w:b/>
                <w:bCs/>
              </w:rPr>
            </w:pPr>
            <w:r w:rsidRPr="00566B47">
              <w:rPr>
                <w:rFonts w:ascii="Arial Narrow" w:hAnsi="Arial Narrow" w:cstheme="minorHAnsi"/>
                <w:b/>
                <w:bCs/>
              </w:rPr>
              <w:t xml:space="preserve"> (N=85)</w:t>
            </w:r>
          </w:p>
        </w:tc>
        <w:tc>
          <w:tcPr>
            <w:tcW w:w="652" w:type="pct"/>
            <w:tcBorders>
              <w:right w:val="single" w:sz="12" w:space="0" w:color="auto"/>
            </w:tcBorders>
          </w:tcPr>
          <w:p w14:paraId="0EE87742" w14:textId="77777777" w:rsidR="007D3920" w:rsidRPr="00566B47" w:rsidRDefault="007D3920" w:rsidP="00032E3D">
            <w:pPr>
              <w:spacing w:before="40" w:after="40"/>
              <w:jc w:val="center"/>
              <w:rPr>
                <w:rFonts w:ascii="Arial Narrow" w:hAnsi="Arial Narrow" w:cstheme="minorHAnsi"/>
                <w:b/>
                <w:bCs/>
              </w:rPr>
            </w:pPr>
            <w:r w:rsidRPr="00566B47">
              <w:rPr>
                <w:rFonts w:ascii="Arial Narrow" w:hAnsi="Arial Narrow" w:cstheme="minorHAnsi"/>
                <w:b/>
                <w:bCs/>
              </w:rPr>
              <w:t>(N=302)</w:t>
            </w:r>
          </w:p>
        </w:tc>
        <w:tc>
          <w:tcPr>
            <w:tcW w:w="652" w:type="pct"/>
            <w:tcBorders>
              <w:left w:val="single" w:sz="12" w:space="0" w:color="auto"/>
            </w:tcBorders>
          </w:tcPr>
          <w:p w14:paraId="0733CC3D" w14:textId="77777777" w:rsidR="007D3920" w:rsidRPr="00566B47" w:rsidRDefault="007D3920" w:rsidP="00032E3D">
            <w:pPr>
              <w:spacing w:before="40" w:after="40"/>
              <w:jc w:val="center"/>
              <w:rPr>
                <w:rFonts w:ascii="Arial Narrow" w:hAnsi="Arial Narrow" w:cstheme="minorHAnsi"/>
                <w:b/>
                <w:bCs/>
              </w:rPr>
            </w:pPr>
            <w:r w:rsidRPr="00566B47">
              <w:rPr>
                <w:rFonts w:ascii="Arial Narrow" w:hAnsi="Arial Narrow" w:cstheme="minorHAnsi"/>
                <w:b/>
                <w:bCs/>
              </w:rPr>
              <w:t xml:space="preserve"> (N=53)</w:t>
            </w:r>
          </w:p>
        </w:tc>
        <w:tc>
          <w:tcPr>
            <w:tcW w:w="652" w:type="pct"/>
            <w:tcBorders>
              <w:right w:val="single" w:sz="12" w:space="0" w:color="auto"/>
            </w:tcBorders>
          </w:tcPr>
          <w:p w14:paraId="692EE88B" w14:textId="77777777" w:rsidR="007D3920" w:rsidRPr="00566B47" w:rsidRDefault="007D3920" w:rsidP="00032E3D">
            <w:pPr>
              <w:spacing w:before="40" w:after="40"/>
              <w:jc w:val="center"/>
              <w:rPr>
                <w:rFonts w:ascii="Arial Narrow" w:hAnsi="Arial Narrow" w:cstheme="minorHAnsi"/>
                <w:b/>
                <w:bCs/>
              </w:rPr>
            </w:pPr>
            <w:r w:rsidRPr="00566B47">
              <w:rPr>
                <w:rFonts w:ascii="Arial Narrow" w:hAnsi="Arial Narrow" w:cstheme="minorHAnsi"/>
                <w:b/>
                <w:bCs/>
              </w:rPr>
              <w:t>(N=210)</w:t>
            </w:r>
          </w:p>
        </w:tc>
        <w:tc>
          <w:tcPr>
            <w:tcW w:w="652" w:type="pct"/>
            <w:tcBorders>
              <w:left w:val="single" w:sz="12" w:space="0" w:color="auto"/>
            </w:tcBorders>
          </w:tcPr>
          <w:p w14:paraId="479C1907" w14:textId="77777777" w:rsidR="007D3920" w:rsidRPr="00566B47" w:rsidRDefault="007D3920" w:rsidP="00032E3D">
            <w:pPr>
              <w:spacing w:before="40" w:after="40"/>
              <w:jc w:val="center"/>
              <w:rPr>
                <w:rFonts w:ascii="Arial Narrow" w:hAnsi="Arial Narrow" w:cstheme="minorHAnsi"/>
              </w:rPr>
            </w:pPr>
            <w:r w:rsidRPr="00566B47">
              <w:rPr>
                <w:rFonts w:ascii="Arial Narrow" w:hAnsi="Arial Narrow" w:cstheme="minorHAnsi"/>
                <w:b/>
                <w:bCs/>
              </w:rPr>
              <w:t xml:space="preserve"> (N=19)</w:t>
            </w:r>
          </w:p>
        </w:tc>
        <w:tc>
          <w:tcPr>
            <w:tcW w:w="652" w:type="pct"/>
          </w:tcPr>
          <w:p w14:paraId="4A78F709" w14:textId="77777777" w:rsidR="007D3920" w:rsidRPr="00566B47" w:rsidRDefault="007D3920" w:rsidP="00032E3D">
            <w:pPr>
              <w:spacing w:before="40" w:after="40"/>
              <w:jc w:val="center"/>
              <w:rPr>
                <w:rFonts w:ascii="Arial Narrow" w:hAnsi="Arial Narrow" w:cstheme="minorHAnsi"/>
                <w:b/>
                <w:bCs/>
              </w:rPr>
            </w:pPr>
            <w:r w:rsidRPr="00566B47">
              <w:rPr>
                <w:rFonts w:ascii="Arial Narrow" w:hAnsi="Arial Narrow" w:cstheme="minorHAnsi"/>
                <w:b/>
                <w:bCs/>
              </w:rPr>
              <w:t>(N=114)</w:t>
            </w:r>
          </w:p>
        </w:tc>
      </w:tr>
      <w:tr w:rsidR="007D3920" w:rsidRPr="00566B47" w14:paraId="0D19ABDC" w14:textId="77777777" w:rsidTr="00032E3D">
        <w:trPr>
          <w:cantSplit/>
        </w:trPr>
        <w:tc>
          <w:tcPr>
            <w:tcW w:w="1088" w:type="pct"/>
            <w:vMerge/>
          </w:tcPr>
          <w:p w14:paraId="1C93492A" w14:textId="77777777" w:rsidR="007D3920" w:rsidRPr="00566B47" w:rsidRDefault="007D3920" w:rsidP="00032E3D">
            <w:pPr>
              <w:spacing w:before="40" w:after="40"/>
              <w:rPr>
                <w:rFonts w:ascii="Arial Narrow" w:hAnsi="Arial Narrow"/>
              </w:rPr>
            </w:pPr>
          </w:p>
        </w:tc>
        <w:tc>
          <w:tcPr>
            <w:tcW w:w="1304" w:type="pct"/>
            <w:gridSpan w:val="2"/>
            <w:tcBorders>
              <w:right w:val="single" w:sz="12" w:space="0" w:color="auto"/>
            </w:tcBorders>
          </w:tcPr>
          <w:p w14:paraId="596A88C1" w14:textId="77777777" w:rsidR="007D3920" w:rsidRPr="00566B47" w:rsidRDefault="007D3920" w:rsidP="00032E3D">
            <w:pPr>
              <w:spacing w:before="40" w:after="40"/>
              <w:jc w:val="center"/>
              <w:rPr>
                <w:rFonts w:ascii="Arial Narrow" w:hAnsi="Arial Narrow"/>
              </w:rPr>
            </w:pPr>
            <w:r w:rsidRPr="00566B47">
              <w:rPr>
                <w:rFonts w:ascii="Arial Narrow" w:hAnsi="Arial Narrow"/>
              </w:rPr>
              <w:t>30 days</w:t>
            </w:r>
          </w:p>
        </w:tc>
        <w:tc>
          <w:tcPr>
            <w:tcW w:w="1304" w:type="pct"/>
            <w:gridSpan w:val="2"/>
            <w:tcBorders>
              <w:left w:val="single" w:sz="12" w:space="0" w:color="auto"/>
              <w:right w:val="single" w:sz="12" w:space="0" w:color="auto"/>
            </w:tcBorders>
          </w:tcPr>
          <w:p w14:paraId="670D2C4D" w14:textId="77777777" w:rsidR="007D3920" w:rsidRPr="00566B47" w:rsidRDefault="007D3920" w:rsidP="00032E3D">
            <w:pPr>
              <w:spacing w:before="40" w:after="40"/>
              <w:jc w:val="center"/>
              <w:rPr>
                <w:rFonts w:ascii="Arial Narrow" w:hAnsi="Arial Narrow"/>
              </w:rPr>
            </w:pPr>
            <w:r w:rsidRPr="00566B47">
              <w:rPr>
                <w:rFonts w:ascii="Arial Narrow" w:hAnsi="Arial Narrow"/>
              </w:rPr>
              <w:t>12 months</w:t>
            </w:r>
          </w:p>
        </w:tc>
        <w:tc>
          <w:tcPr>
            <w:tcW w:w="1304" w:type="pct"/>
            <w:gridSpan w:val="2"/>
            <w:tcBorders>
              <w:left w:val="single" w:sz="12" w:space="0" w:color="auto"/>
            </w:tcBorders>
          </w:tcPr>
          <w:p w14:paraId="7F697E27" w14:textId="77777777" w:rsidR="007D3920" w:rsidRPr="00566B47" w:rsidRDefault="007D3920" w:rsidP="00032E3D">
            <w:pPr>
              <w:spacing w:before="40" w:after="40"/>
              <w:jc w:val="center"/>
              <w:rPr>
                <w:rFonts w:ascii="Arial Narrow" w:hAnsi="Arial Narrow"/>
              </w:rPr>
            </w:pPr>
            <w:r w:rsidRPr="00566B47">
              <w:rPr>
                <w:rFonts w:ascii="Arial Narrow" w:hAnsi="Arial Narrow"/>
              </w:rPr>
              <w:t>24 months</w:t>
            </w:r>
          </w:p>
        </w:tc>
      </w:tr>
      <w:tr w:rsidR="007D3920" w:rsidRPr="00566B47" w14:paraId="452FD234" w14:textId="77777777" w:rsidTr="00032E3D">
        <w:trPr>
          <w:cantSplit/>
        </w:trPr>
        <w:tc>
          <w:tcPr>
            <w:tcW w:w="1088" w:type="pct"/>
          </w:tcPr>
          <w:p w14:paraId="2CE2DCFB" w14:textId="77777777" w:rsidR="007D3920" w:rsidRPr="00566B47" w:rsidRDefault="007D3920" w:rsidP="00032E3D">
            <w:pPr>
              <w:spacing w:before="40" w:after="40"/>
              <w:rPr>
                <w:rFonts w:ascii="Arial Narrow" w:hAnsi="Arial Narrow" w:cstheme="minorHAnsi"/>
                <w:bCs/>
              </w:rPr>
            </w:pPr>
            <w:r w:rsidRPr="00566B47">
              <w:rPr>
                <w:rFonts w:ascii="Arial Narrow" w:hAnsi="Arial Narrow"/>
              </w:rPr>
              <w:t>None/trace or mild (0-1+)</w:t>
            </w:r>
          </w:p>
        </w:tc>
        <w:tc>
          <w:tcPr>
            <w:tcW w:w="652" w:type="pct"/>
          </w:tcPr>
          <w:p w14:paraId="16445CA8" w14:textId="77777777" w:rsidR="007D3920" w:rsidRPr="00566B47" w:rsidRDefault="007D3920" w:rsidP="00032E3D">
            <w:pPr>
              <w:spacing w:before="40" w:after="40"/>
              <w:jc w:val="center"/>
              <w:rPr>
                <w:rFonts w:ascii="Arial Narrow" w:hAnsi="Arial Narrow" w:cstheme="minorHAnsi"/>
                <w:bCs/>
              </w:rPr>
            </w:pPr>
            <w:r w:rsidRPr="00566B47">
              <w:rPr>
                <w:rFonts w:ascii="Arial Narrow" w:hAnsi="Arial Narrow"/>
              </w:rPr>
              <w:t>73%</w:t>
            </w:r>
          </w:p>
        </w:tc>
        <w:tc>
          <w:tcPr>
            <w:tcW w:w="652" w:type="pct"/>
            <w:tcBorders>
              <w:right w:val="single" w:sz="12" w:space="0" w:color="auto"/>
            </w:tcBorders>
          </w:tcPr>
          <w:p w14:paraId="57A359D8" w14:textId="77777777" w:rsidR="007D3920" w:rsidRPr="00566B47" w:rsidRDefault="007D3920" w:rsidP="00032E3D">
            <w:pPr>
              <w:spacing w:before="40" w:after="40"/>
              <w:jc w:val="center"/>
              <w:rPr>
                <w:rFonts w:ascii="Arial Narrow" w:hAnsi="Arial Narrow" w:cstheme="minorHAnsi"/>
                <w:bCs/>
              </w:rPr>
            </w:pPr>
            <w:r w:rsidRPr="00566B47">
              <w:rPr>
                <w:rFonts w:ascii="Arial Narrow" w:hAnsi="Arial Narrow"/>
              </w:rPr>
              <w:t>72.9%</w:t>
            </w:r>
          </w:p>
        </w:tc>
        <w:tc>
          <w:tcPr>
            <w:tcW w:w="652" w:type="pct"/>
            <w:tcBorders>
              <w:left w:val="single" w:sz="12" w:space="0" w:color="auto"/>
            </w:tcBorders>
          </w:tcPr>
          <w:p w14:paraId="30BA91E1" w14:textId="77777777" w:rsidR="007D3920" w:rsidRPr="00566B47" w:rsidRDefault="007D3920" w:rsidP="00032E3D">
            <w:pPr>
              <w:spacing w:before="40" w:after="40"/>
              <w:jc w:val="center"/>
              <w:rPr>
                <w:rFonts w:ascii="Arial Narrow" w:hAnsi="Arial Narrow" w:cstheme="minorHAnsi"/>
                <w:bCs/>
              </w:rPr>
            </w:pPr>
            <w:r w:rsidRPr="00566B47">
              <w:rPr>
                <w:rFonts w:ascii="Arial Narrow" w:hAnsi="Arial Narrow"/>
              </w:rPr>
              <w:t>75%</w:t>
            </w:r>
          </w:p>
        </w:tc>
        <w:tc>
          <w:tcPr>
            <w:tcW w:w="652" w:type="pct"/>
            <w:tcBorders>
              <w:right w:val="single" w:sz="12" w:space="0" w:color="auto"/>
            </w:tcBorders>
          </w:tcPr>
          <w:p w14:paraId="007B397D" w14:textId="77777777" w:rsidR="007D3920" w:rsidRPr="00566B47" w:rsidRDefault="007D3920" w:rsidP="00032E3D">
            <w:pPr>
              <w:spacing w:before="40" w:after="40"/>
              <w:jc w:val="center"/>
              <w:rPr>
                <w:rFonts w:ascii="Arial Narrow" w:hAnsi="Arial Narrow" w:cstheme="minorHAnsi"/>
                <w:bCs/>
              </w:rPr>
            </w:pPr>
            <w:r w:rsidRPr="00566B47">
              <w:rPr>
                <w:rFonts w:ascii="Arial Narrow" w:hAnsi="Arial Narrow"/>
              </w:rPr>
              <w:t>69.1%</w:t>
            </w:r>
          </w:p>
        </w:tc>
        <w:tc>
          <w:tcPr>
            <w:tcW w:w="652" w:type="pct"/>
            <w:tcBorders>
              <w:left w:val="single" w:sz="12" w:space="0" w:color="auto"/>
            </w:tcBorders>
          </w:tcPr>
          <w:p w14:paraId="12590E3C" w14:textId="77777777" w:rsidR="007D3920" w:rsidRPr="00566B47" w:rsidRDefault="007D3920" w:rsidP="00032E3D">
            <w:pPr>
              <w:spacing w:before="40" w:after="40"/>
              <w:jc w:val="center"/>
              <w:rPr>
                <w:rFonts w:ascii="Arial Narrow" w:hAnsi="Arial Narrow" w:cstheme="minorHAnsi"/>
              </w:rPr>
            </w:pPr>
            <w:r w:rsidRPr="00566B47">
              <w:rPr>
                <w:rFonts w:ascii="Arial Narrow" w:hAnsi="Arial Narrow"/>
              </w:rPr>
              <w:t>84%</w:t>
            </w:r>
          </w:p>
        </w:tc>
        <w:tc>
          <w:tcPr>
            <w:tcW w:w="652" w:type="pct"/>
          </w:tcPr>
          <w:p w14:paraId="7D83D282" w14:textId="77777777" w:rsidR="007D3920" w:rsidRPr="00566B47" w:rsidRDefault="007D3920" w:rsidP="00032E3D">
            <w:pPr>
              <w:spacing w:before="40" w:after="40"/>
              <w:jc w:val="center"/>
              <w:rPr>
                <w:rFonts w:ascii="Arial Narrow" w:hAnsi="Arial Narrow"/>
              </w:rPr>
            </w:pPr>
            <w:r w:rsidRPr="00566B47">
              <w:rPr>
                <w:rFonts w:ascii="Arial Narrow" w:hAnsi="Arial Narrow"/>
              </w:rPr>
              <w:t>77.2%</w:t>
            </w:r>
          </w:p>
        </w:tc>
      </w:tr>
      <w:tr w:rsidR="007D3920" w:rsidRPr="00566B47" w14:paraId="544FA198" w14:textId="77777777" w:rsidTr="00032E3D">
        <w:trPr>
          <w:cantSplit/>
        </w:trPr>
        <w:tc>
          <w:tcPr>
            <w:tcW w:w="0" w:type="pct"/>
          </w:tcPr>
          <w:p w14:paraId="569FF89E" w14:textId="77777777" w:rsidR="007D3920" w:rsidRPr="00566B47" w:rsidRDefault="007D3920" w:rsidP="00032E3D">
            <w:pPr>
              <w:spacing w:before="40" w:after="40"/>
              <w:ind w:left="179"/>
              <w:rPr>
                <w:rFonts w:ascii="Arial Narrow" w:hAnsi="Arial Narrow"/>
              </w:rPr>
            </w:pPr>
            <w:r w:rsidRPr="00566B47">
              <w:rPr>
                <w:rFonts w:ascii="Arial Narrow" w:hAnsi="Arial Narrow"/>
              </w:rPr>
              <w:t>None/trace (0)</w:t>
            </w:r>
          </w:p>
        </w:tc>
        <w:tc>
          <w:tcPr>
            <w:tcW w:w="0" w:type="pct"/>
          </w:tcPr>
          <w:p w14:paraId="5211BC89" w14:textId="77777777" w:rsidR="007D3920" w:rsidRPr="00566B47" w:rsidRDefault="007D3920" w:rsidP="00032E3D">
            <w:pPr>
              <w:spacing w:before="40" w:after="40"/>
              <w:jc w:val="center"/>
              <w:rPr>
                <w:rFonts w:ascii="Arial Narrow" w:hAnsi="Arial Narrow"/>
              </w:rPr>
            </w:pPr>
            <w:r w:rsidRPr="00566B47">
              <w:rPr>
                <w:rFonts w:ascii="Arial Narrow" w:hAnsi="Arial Narrow"/>
              </w:rPr>
              <w:t>15%</w:t>
            </w:r>
          </w:p>
        </w:tc>
        <w:tc>
          <w:tcPr>
            <w:tcW w:w="0" w:type="pct"/>
            <w:tcBorders>
              <w:right w:val="single" w:sz="12" w:space="0" w:color="auto"/>
            </w:tcBorders>
          </w:tcPr>
          <w:p w14:paraId="0D7AA645" w14:textId="77777777" w:rsidR="007D3920" w:rsidRPr="00566B47" w:rsidRDefault="007D3920" w:rsidP="00032E3D">
            <w:pPr>
              <w:spacing w:before="40" w:after="40"/>
              <w:jc w:val="center"/>
              <w:rPr>
                <w:rFonts w:ascii="Arial Narrow" w:hAnsi="Arial Narrow"/>
              </w:rPr>
            </w:pPr>
            <w:r w:rsidRPr="00566B47">
              <w:rPr>
                <w:rFonts w:ascii="Arial Narrow" w:hAnsi="Arial Narrow"/>
              </w:rPr>
              <w:t>0.7%</w:t>
            </w:r>
          </w:p>
        </w:tc>
        <w:tc>
          <w:tcPr>
            <w:tcW w:w="0" w:type="pct"/>
            <w:tcBorders>
              <w:left w:val="single" w:sz="12" w:space="0" w:color="auto"/>
            </w:tcBorders>
          </w:tcPr>
          <w:p w14:paraId="35495805" w14:textId="77777777" w:rsidR="007D3920" w:rsidRPr="00566B47" w:rsidRDefault="007D3920" w:rsidP="00032E3D">
            <w:pPr>
              <w:spacing w:before="40" w:after="40"/>
              <w:jc w:val="center"/>
              <w:rPr>
                <w:rFonts w:ascii="Arial Narrow" w:hAnsi="Arial Narrow"/>
                <w:i/>
                <w:iCs/>
              </w:rPr>
            </w:pPr>
            <w:r w:rsidRPr="00566B47">
              <w:rPr>
                <w:rFonts w:ascii="Arial Narrow" w:hAnsi="Arial Narrow"/>
              </w:rPr>
              <w:t>13%</w:t>
            </w:r>
          </w:p>
        </w:tc>
        <w:tc>
          <w:tcPr>
            <w:tcW w:w="0" w:type="pct"/>
            <w:tcBorders>
              <w:right w:val="single" w:sz="12" w:space="0" w:color="auto"/>
            </w:tcBorders>
          </w:tcPr>
          <w:p w14:paraId="59C27F12" w14:textId="77777777" w:rsidR="007D3920" w:rsidRPr="00566B47" w:rsidRDefault="007D3920" w:rsidP="00032E3D">
            <w:pPr>
              <w:spacing w:before="40" w:after="40"/>
              <w:jc w:val="center"/>
              <w:rPr>
                <w:rFonts w:ascii="Arial Narrow" w:hAnsi="Arial Narrow"/>
                <w:i/>
                <w:iCs/>
              </w:rPr>
            </w:pPr>
            <w:r w:rsidRPr="00566B47">
              <w:rPr>
                <w:rFonts w:ascii="Arial Narrow" w:hAnsi="Arial Narrow"/>
              </w:rPr>
              <w:t>0.5%</w:t>
            </w:r>
          </w:p>
        </w:tc>
        <w:tc>
          <w:tcPr>
            <w:tcW w:w="0" w:type="pct"/>
            <w:tcBorders>
              <w:left w:val="single" w:sz="12" w:space="0" w:color="auto"/>
            </w:tcBorders>
          </w:tcPr>
          <w:p w14:paraId="1591CBC7" w14:textId="77777777" w:rsidR="007D3920" w:rsidRPr="00566B47" w:rsidRDefault="007D3920" w:rsidP="00032E3D">
            <w:pPr>
              <w:spacing w:before="40" w:after="40"/>
              <w:jc w:val="center"/>
              <w:rPr>
                <w:rFonts w:ascii="Arial Narrow" w:hAnsi="Arial Narrow" w:cstheme="minorHAnsi"/>
              </w:rPr>
            </w:pPr>
            <w:r w:rsidRPr="00566B47">
              <w:rPr>
                <w:rFonts w:ascii="Arial Narrow" w:hAnsi="Arial Narrow"/>
              </w:rPr>
              <w:t>37%</w:t>
            </w:r>
          </w:p>
        </w:tc>
        <w:tc>
          <w:tcPr>
            <w:tcW w:w="0" w:type="pct"/>
            <w:shd w:val="clear" w:color="auto" w:fill="B4C6E7" w:themeFill="accent5" w:themeFillTint="66"/>
          </w:tcPr>
          <w:p w14:paraId="15435CE6" w14:textId="77777777" w:rsidR="007D3920" w:rsidRPr="00566B47" w:rsidRDefault="007D3920" w:rsidP="00032E3D">
            <w:pPr>
              <w:spacing w:before="40" w:after="40"/>
              <w:jc w:val="center"/>
              <w:rPr>
                <w:rFonts w:ascii="Arial Narrow" w:hAnsi="Arial Narrow"/>
                <w:i/>
                <w:iCs/>
              </w:rPr>
            </w:pPr>
            <w:r w:rsidRPr="00566B47">
              <w:rPr>
                <w:rFonts w:ascii="Arial Narrow" w:hAnsi="Arial Narrow"/>
              </w:rPr>
              <w:t>0.9%</w:t>
            </w:r>
          </w:p>
        </w:tc>
      </w:tr>
      <w:tr w:rsidR="007D3920" w:rsidRPr="00566B47" w14:paraId="007FD1B2" w14:textId="77777777" w:rsidTr="00032E3D">
        <w:trPr>
          <w:cantSplit/>
        </w:trPr>
        <w:tc>
          <w:tcPr>
            <w:tcW w:w="0" w:type="pct"/>
          </w:tcPr>
          <w:p w14:paraId="0DF72D59" w14:textId="77777777" w:rsidR="007D3920" w:rsidRPr="00566B47" w:rsidRDefault="007D3920" w:rsidP="00032E3D">
            <w:pPr>
              <w:spacing w:before="40" w:after="40"/>
              <w:ind w:left="179"/>
              <w:rPr>
                <w:rFonts w:ascii="Arial Narrow" w:hAnsi="Arial Narrow"/>
              </w:rPr>
            </w:pPr>
            <w:r w:rsidRPr="00566B47">
              <w:rPr>
                <w:rFonts w:ascii="Arial Narrow" w:hAnsi="Arial Narrow"/>
              </w:rPr>
              <w:t>Mild (1+)</w:t>
            </w:r>
          </w:p>
        </w:tc>
        <w:tc>
          <w:tcPr>
            <w:tcW w:w="0" w:type="pct"/>
          </w:tcPr>
          <w:p w14:paraId="5E935CBD" w14:textId="77777777" w:rsidR="007D3920" w:rsidRPr="00566B47" w:rsidRDefault="007D3920" w:rsidP="00032E3D">
            <w:pPr>
              <w:spacing w:before="40" w:after="40"/>
              <w:jc w:val="center"/>
              <w:rPr>
                <w:rFonts w:ascii="Arial Narrow" w:hAnsi="Arial Narrow"/>
              </w:rPr>
            </w:pPr>
            <w:r w:rsidRPr="00566B47">
              <w:rPr>
                <w:rFonts w:ascii="Arial Narrow" w:hAnsi="Arial Narrow"/>
              </w:rPr>
              <w:t>58%</w:t>
            </w:r>
          </w:p>
        </w:tc>
        <w:tc>
          <w:tcPr>
            <w:tcW w:w="0" w:type="pct"/>
            <w:tcBorders>
              <w:right w:val="single" w:sz="12" w:space="0" w:color="auto"/>
            </w:tcBorders>
          </w:tcPr>
          <w:p w14:paraId="56599B58" w14:textId="77777777" w:rsidR="007D3920" w:rsidRPr="00566B47" w:rsidRDefault="007D3920" w:rsidP="00032E3D">
            <w:pPr>
              <w:spacing w:before="40" w:after="40"/>
              <w:jc w:val="center"/>
              <w:rPr>
                <w:rFonts w:ascii="Arial Narrow" w:hAnsi="Arial Narrow"/>
              </w:rPr>
            </w:pPr>
            <w:r w:rsidRPr="00566B47">
              <w:rPr>
                <w:rFonts w:ascii="Arial Narrow" w:hAnsi="Arial Narrow"/>
              </w:rPr>
              <w:t>72.2%</w:t>
            </w:r>
          </w:p>
        </w:tc>
        <w:tc>
          <w:tcPr>
            <w:tcW w:w="0" w:type="pct"/>
            <w:tcBorders>
              <w:left w:val="single" w:sz="12" w:space="0" w:color="auto"/>
            </w:tcBorders>
          </w:tcPr>
          <w:p w14:paraId="46A97342" w14:textId="77777777" w:rsidR="007D3920" w:rsidRPr="00566B47" w:rsidRDefault="007D3920" w:rsidP="00032E3D">
            <w:pPr>
              <w:spacing w:before="40" w:after="40"/>
              <w:jc w:val="center"/>
              <w:rPr>
                <w:rFonts w:ascii="Arial Narrow" w:hAnsi="Arial Narrow"/>
              </w:rPr>
            </w:pPr>
            <w:r w:rsidRPr="00566B47">
              <w:rPr>
                <w:rFonts w:ascii="Arial Narrow" w:hAnsi="Arial Narrow"/>
              </w:rPr>
              <w:t>62%</w:t>
            </w:r>
          </w:p>
        </w:tc>
        <w:tc>
          <w:tcPr>
            <w:tcW w:w="0" w:type="pct"/>
            <w:tcBorders>
              <w:right w:val="single" w:sz="12" w:space="0" w:color="auto"/>
            </w:tcBorders>
          </w:tcPr>
          <w:p w14:paraId="6DB78137" w14:textId="77777777" w:rsidR="007D3920" w:rsidRPr="00566B47" w:rsidRDefault="007D3920" w:rsidP="00032E3D">
            <w:pPr>
              <w:spacing w:before="40" w:after="40"/>
              <w:jc w:val="center"/>
              <w:rPr>
                <w:rFonts w:ascii="Arial Narrow" w:hAnsi="Arial Narrow"/>
              </w:rPr>
            </w:pPr>
            <w:r w:rsidRPr="00566B47">
              <w:rPr>
                <w:rFonts w:ascii="Arial Narrow" w:hAnsi="Arial Narrow"/>
              </w:rPr>
              <w:t>68.6%</w:t>
            </w:r>
          </w:p>
        </w:tc>
        <w:tc>
          <w:tcPr>
            <w:tcW w:w="0" w:type="pct"/>
            <w:tcBorders>
              <w:left w:val="single" w:sz="12" w:space="0" w:color="auto"/>
            </w:tcBorders>
          </w:tcPr>
          <w:p w14:paraId="33E51DCE" w14:textId="77777777" w:rsidR="007D3920" w:rsidRPr="00566B47" w:rsidRDefault="007D3920" w:rsidP="00032E3D">
            <w:pPr>
              <w:spacing w:before="40" w:after="40"/>
              <w:jc w:val="center"/>
              <w:rPr>
                <w:rFonts w:ascii="Arial Narrow" w:hAnsi="Arial Narrow" w:cstheme="minorHAnsi"/>
              </w:rPr>
            </w:pPr>
            <w:r w:rsidRPr="00566B47">
              <w:rPr>
                <w:rFonts w:ascii="Arial Narrow" w:hAnsi="Arial Narrow"/>
              </w:rPr>
              <w:t>47%</w:t>
            </w:r>
          </w:p>
        </w:tc>
        <w:tc>
          <w:tcPr>
            <w:tcW w:w="0" w:type="pct"/>
            <w:shd w:val="clear" w:color="auto" w:fill="B4C6E7" w:themeFill="accent5" w:themeFillTint="66"/>
          </w:tcPr>
          <w:p w14:paraId="77B5475E" w14:textId="77777777" w:rsidR="007D3920" w:rsidRPr="00566B47" w:rsidRDefault="007D3920" w:rsidP="00032E3D">
            <w:pPr>
              <w:spacing w:before="40" w:after="40"/>
              <w:jc w:val="center"/>
              <w:rPr>
                <w:rFonts w:ascii="Arial Narrow" w:hAnsi="Arial Narrow"/>
              </w:rPr>
            </w:pPr>
            <w:r w:rsidRPr="00566B47">
              <w:rPr>
                <w:rFonts w:ascii="Arial Narrow" w:hAnsi="Arial Narrow"/>
              </w:rPr>
              <w:t>76.3%</w:t>
            </w:r>
          </w:p>
        </w:tc>
      </w:tr>
      <w:tr w:rsidR="007D3920" w:rsidRPr="00566B47" w14:paraId="53874FE4" w14:textId="77777777" w:rsidTr="00032E3D">
        <w:trPr>
          <w:cantSplit/>
        </w:trPr>
        <w:tc>
          <w:tcPr>
            <w:tcW w:w="0" w:type="pct"/>
          </w:tcPr>
          <w:p w14:paraId="429C468C" w14:textId="77777777" w:rsidR="007D3920" w:rsidRPr="00566B47" w:rsidRDefault="007D3920" w:rsidP="00032E3D">
            <w:pPr>
              <w:spacing w:before="40" w:after="40"/>
              <w:rPr>
                <w:rFonts w:ascii="Arial Narrow" w:hAnsi="Arial Narrow"/>
              </w:rPr>
            </w:pPr>
            <w:r w:rsidRPr="00566B47">
              <w:rPr>
                <w:rFonts w:ascii="Arial Narrow" w:hAnsi="Arial Narrow"/>
              </w:rPr>
              <w:t>Mild-moderate (2+)</w:t>
            </w:r>
          </w:p>
        </w:tc>
        <w:tc>
          <w:tcPr>
            <w:tcW w:w="0" w:type="pct"/>
          </w:tcPr>
          <w:p w14:paraId="004B3B23" w14:textId="77777777" w:rsidR="007D3920" w:rsidRPr="00566B47" w:rsidRDefault="007D3920" w:rsidP="00032E3D">
            <w:pPr>
              <w:spacing w:before="40" w:after="40"/>
              <w:jc w:val="center"/>
              <w:rPr>
                <w:rFonts w:ascii="Arial Narrow" w:hAnsi="Arial Narrow"/>
              </w:rPr>
            </w:pPr>
            <w:r w:rsidRPr="00566B47">
              <w:rPr>
                <w:rFonts w:ascii="Arial Narrow" w:hAnsi="Arial Narrow"/>
              </w:rPr>
              <w:t>23%</w:t>
            </w:r>
          </w:p>
        </w:tc>
        <w:tc>
          <w:tcPr>
            <w:tcW w:w="0" w:type="pct"/>
            <w:tcBorders>
              <w:right w:val="single" w:sz="12" w:space="0" w:color="auto"/>
            </w:tcBorders>
          </w:tcPr>
          <w:p w14:paraId="61285739" w14:textId="77777777" w:rsidR="007D3920" w:rsidRPr="00566B47" w:rsidRDefault="007D3920" w:rsidP="00032E3D">
            <w:pPr>
              <w:spacing w:before="40" w:after="40"/>
              <w:jc w:val="center"/>
              <w:rPr>
                <w:rFonts w:ascii="Arial Narrow" w:hAnsi="Arial Narrow"/>
              </w:rPr>
            </w:pPr>
            <w:r w:rsidRPr="00566B47">
              <w:rPr>
                <w:rFonts w:ascii="Arial Narrow" w:hAnsi="Arial Narrow"/>
              </w:rPr>
              <w:t>19.8%</w:t>
            </w:r>
          </w:p>
        </w:tc>
        <w:tc>
          <w:tcPr>
            <w:tcW w:w="0" w:type="pct"/>
            <w:tcBorders>
              <w:left w:val="single" w:sz="12" w:space="0" w:color="auto"/>
            </w:tcBorders>
          </w:tcPr>
          <w:p w14:paraId="63A717AC" w14:textId="77777777" w:rsidR="007D3920" w:rsidRPr="00566B47" w:rsidRDefault="007D3920" w:rsidP="00032E3D">
            <w:pPr>
              <w:spacing w:before="40" w:after="40"/>
              <w:jc w:val="center"/>
              <w:rPr>
                <w:rFonts w:ascii="Arial Narrow" w:hAnsi="Arial Narrow"/>
              </w:rPr>
            </w:pPr>
            <w:r w:rsidRPr="00566B47">
              <w:rPr>
                <w:rFonts w:ascii="Arial Narrow" w:hAnsi="Arial Narrow"/>
              </w:rPr>
              <w:t>25%</w:t>
            </w:r>
          </w:p>
        </w:tc>
        <w:tc>
          <w:tcPr>
            <w:tcW w:w="0" w:type="pct"/>
            <w:tcBorders>
              <w:right w:val="single" w:sz="12" w:space="0" w:color="auto"/>
            </w:tcBorders>
          </w:tcPr>
          <w:p w14:paraId="1C441447" w14:textId="77777777" w:rsidR="007D3920" w:rsidRPr="00566B47" w:rsidRDefault="007D3920" w:rsidP="00032E3D">
            <w:pPr>
              <w:spacing w:before="40" w:after="40"/>
              <w:jc w:val="center"/>
              <w:rPr>
                <w:rFonts w:ascii="Arial Narrow" w:hAnsi="Arial Narrow"/>
              </w:rPr>
            </w:pPr>
            <w:r w:rsidRPr="00566B47">
              <w:rPr>
                <w:rFonts w:ascii="Arial Narrow" w:hAnsi="Arial Narrow"/>
              </w:rPr>
              <w:t>25.7%</w:t>
            </w:r>
          </w:p>
        </w:tc>
        <w:tc>
          <w:tcPr>
            <w:tcW w:w="0" w:type="pct"/>
            <w:tcBorders>
              <w:left w:val="single" w:sz="12" w:space="0" w:color="auto"/>
            </w:tcBorders>
          </w:tcPr>
          <w:p w14:paraId="7ACAA5C1" w14:textId="77777777" w:rsidR="007D3920" w:rsidRPr="00566B47" w:rsidRDefault="007D3920" w:rsidP="00032E3D">
            <w:pPr>
              <w:spacing w:before="40" w:after="40"/>
              <w:jc w:val="center"/>
              <w:rPr>
                <w:rFonts w:ascii="Arial Narrow" w:hAnsi="Arial Narrow" w:cstheme="minorHAnsi"/>
              </w:rPr>
            </w:pPr>
            <w:r w:rsidRPr="00566B47">
              <w:rPr>
                <w:rFonts w:ascii="Arial Narrow" w:hAnsi="Arial Narrow"/>
              </w:rPr>
              <w:t>11%</w:t>
            </w:r>
          </w:p>
        </w:tc>
        <w:tc>
          <w:tcPr>
            <w:tcW w:w="0" w:type="pct"/>
            <w:shd w:val="clear" w:color="auto" w:fill="B4C6E7" w:themeFill="accent5" w:themeFillTint="66"/>
          </w:tcPr>
          <w:p w14:paraId="4B45E5A2" w14:textId="77777777" w:rsidR="007D3920" w:rsidRPr="00566B47" w:rsidRDefault="007D3920" w:rsidP="00032E3D">
            <w:pPr>
              <w:spacing w:before="40" w:after="40"/>
              <w:jc w:val="center"/>
              <w:rPr>
                <w:rFonts w:ascii="Arial Narrow" w:hAnsi="Arial Narrow"/>
              </w:rPr>
            </w:pPr>
            <w:r w:rsidRPr="00566B47">
              <w:rPr>
                <w:rFonts w:ascii="Arial Narrow" w:hAnsi="Arial Narrow"/>
              </w:rPr>
              <w:t>21.9%</w:t>
            </w:r>
          </w:p>
        </w:tc>
      </w:tr>
      <w:tr w:rsidR="007D3920" w:rsidRPr="00566B47" w14:paraId="17FB3ADE" w14:textId="77777777" w:rsidTr="00032E3D">
        <w:trPr>
          <w:cantSplit/>
        </w:trPr>
        <w:tc>
          <w:tcPr>
            <w:tcW w:w="1088" w:type="pct"/>
          </w:tcPr>
          <w:p w14:paraId="0910C815" w14:textId="77777777" w:rsidR="007D3920" w:rsidRPr="00566B47" w:rsidRDefault="007D3920" w:rsidP="00032E3D">
            <w:pPr>
              <w:spacing w:before="40" w:after="40"/>
              <w:rPr>
                <w:rFonts w:ascii="Arial Narrow" w:hAnsi="Arial Narrow"/>
              </w:rPr>
            </w:pPr>
            <w:r w:rsidRPr="00566B47">
              <w:rPr>
                <w:rFonts w:ascii="Arial Narrow" w:hAnsi="Arial Narrow"/>
              </w:rPr>
              <w:t>Moderate-severe or severe (3+ or 4+)</w:t>
            </w:r>
          </w:p>
        </w:tc>
        <w:tc>
          <w:tcPr>
            <w:tcW w:w="652" w:type="pct"/>
          </w:tcPr>
          <w:p w14:paraId="63D87078" w14:textId="77777777" w:rsidR="007D3920" w:rsidRPr="00566B47" w:rsidRDefault="007D3920" w:rsidP="00032E3D">
            <w:pPr>
              <w:spacing w:before="40" w:after="40"/>
              <w:jc w:val="center"/>
              <w:rPr>
                <w:rFonts w:ascii="Arial Narrow" w:hAnsi="Arial Narrow"/>
              </w:rPr>
            </w:pPr>
            <w:r w:rsidRPr="00566B47">
              <w:rPr>
                <w:rFonts w:ascii="Arial Narrow" w:hAnsi="Arial Narrow"/>
              </w:rPr>
              <w:t>4%</w:t>
            </w:r>
          </w:p>
        </w:tc>
        <w:tc>
          <w:tcPr>
            <w:tcW w:w="652" w:type="pct"/>
            <w:tcBorders>
              <w:right w:val="single" w:sz="12" w:space="0" w:color="auto"/>
            </w:tcBorders>
          </w:tcPr>
          <w:p w14:paraId="015F9732" w14:textId="77777777" w:rsidR="007D3920" w:rsidRPr="00566B47" w:rsidRDefault="007D3920" w:rsidP="00032E3D">
            <w:pPr>
              <w:spacing w:before="40" w:after="40"/>
              <w:jc w:val="center"/>
              <w:rPr>
                <w:rFonts w:ascii="Arial Narrow" w:hAnsi="Arial Narrow"/>
              </w:rPr>
            </w:pPr>
            <w:r w:rsidRPr="00566B47">
              <w:rPr>
                <w:rFonts w:ascii="Arial Narrow" w:hAnsi="Arial Narrow"/>
              </w:rPr>
              <w:t>7.3%</w:t>
            </w:r>
          </w:p>
        </w:tc>
        <w:tc>
          <w:tcPr>
            <w:tcW w:w="652" w:type="pct"/>
            <w:tcBorders>
              <w:left w:val="single" w:sz="12" w:space="0" w:color="auto"/>
            </w:tcBorders>
          </w:tcPr>
          <w:p w14:paraId="4B380658" w14:textId="77777777" w:rsidR="007D3920" w:rsidRPr="00566B47" w:rsidRDefault="007D3920" w:rsidP="00032E3D">
            <w:pPr>
              <w:spacing w:before="40" w:after="40"/>
              <w:jc w:val="center"/>
              <w:rPr>
                <w:rFonts w:ascii="Arial Narrow" w:hAnsi="Arial Narrow"/>
              </w:rPr>
            </w:pPr>
            <w:r w:rsidRPr="00566B47">
              <w:rPr>
                <w:rFonts w:ascii="Arial Narrow" w:hAnsi="Arial Narrow"/>
              </w:rPr>
              <w:t>0%</w:t>
            </w:r>
          </w:p>
        </w:tc>
        <w:tc>
          <w:tcPr>
            <w:tcW w:w="652" w:type="pct"/>
            <w:tcBorders>
              <w:right w:val="single" w:sz="12" w:space="0" w:color="auto"/>
            </w:tcBorders>
          </w:tcPr>
          <w:p w14:paraId="3F584C1D" w14:textId="77777777" w:rsidR="007D3920" w:rsidRPr="00566B47" w:rsidRDefault="007D3920" w:rsidP="00032E3D">
            <w:pPr>
              <w:spacing w:before="40" w:after="40"/>
              <w:jc w:val="center"/>
              <w:rPr>
                <w:rFonts w:ascii="Arial Narrow" w:hAnsi="Arial Narrow"/>
              </w:rPr>
            </w:pPr>
            <w:r w:rsidRPr="00566B47">
              <w:rPr>
                <w:rFonts w:ascii="Arial Narrow" w:hAnsi="Arial Narrow"/>
              </w:rPr>
              <w:t>5.3%</w:t>
            </w:r>
          </w:p>
        </w:tc>
        <w:tc>
          <w:tcPr>
            <w:tcW w:w="652" w:type="pct"/>
            <w:tcBorders>
              <w:left w:val="single" w:sz="12" w:space="0" w:color="auto"/>
            </w:tcBorders>
          </w:tcPr>
          <w:p w14:paraId="396CDA4A" w14:textId="77777777" w:rsidR="007D3920" w:rsidRPr="00566B47" w:rsidRDefault="007D3920" w:rsidP="00032E3D">
            <w:pPr>
              <w:spacing w:before="40" w:after="40"/>
              <w:jc w:val="center"/>
              <w:rPr>
                <w:rFonts w:ascii="Arial Narrow" w:hAnsi="Arial Narrow" w:cstheme="minorHAnsi"/>
              </w:rPr>
            </w:pPr>
            <w:r w:rsidRPr="00566B47">
              <w:rPr>
                <w:rFonts w:ascii="Arial Narrow" w:hAnsi="Arial Narrow"/>
              </w:rPr>
              <w:t>5%</w:t>
            </w:r>
          </w:p>
        </w:tc>
        <w:tc>
          <w:tcPr>
            <w:tcW w:w="652" w:type="pct"/>
          </w:tcPr>
          <w:p w14:paraId="1FFF15FC" w14:textId="77777777" w:rsidR="007D3920" w:rsidRPr="00566B47" w:rsidRDefault="007D3920" w:rsidP="00032E3D">
            <w:pPr>
              <w:spacing w:before="40" w:after="40"/>
              <w:jc w:val="center"/>
              <w:rPr>
                <w:rFonts w:ascii="Arial Narrow" w:hAnsi="Arial Narrow"/>
              </w:rPr>
            </w:pPr>
            <w:r w:rsidRPr="00566B47">
              <w:rPr>
                <w:rFonts w:ascii="Arial Narrow" w:hAnsi="Arial Narrow"/>
              </w:rPr>
              <w:t>0.9%</w:t>
            </w:r>
          </w:p>
        </w:tc>
      </w:tr>
      <w:tr w:rsidR="007D3920" w:rsidRPr="00566B47" w14:paraId="340D5830" w14:textId="77777777" w:rsidTr="00032E3D">
        <w:trPr>
          <w:cantSplit/>
        </w:trPr>
        <w:tc>
          <w:tcPr>
            <w:tcW w:w="1088" w:type="pct"/>
          </w:tcPr>
          <w:p w14:paraId="1C0E13B8" w14:textId="77777777" w:rsidR="007D3920" w:rsidRPr="00566B47" w:rsidRDefault="007D3920" w:rsidP="00032E3D">
            <w:pPr>
              <w:spacing w:before="40" w:after="40"/>
              <w:ind w:left="179"/>
              <w:rPr>
                <w:rFonts w:ascii="Arial Narrow" w:hAnsi="Arial Narrow"/>
              </w:rPr>
            </w:pPr>
            <w:r w:rsidRPr="00566B47">
              <w:rPr>
                <w:rFonts w:ascii="Arial Narrow" w:hAnsi="Arial Narrow"/>
              </w:rPr>
              <w:t>Moderate-severe (3+)</w:t>
            </w:r>
          </w:p>
        </w:tc>
        <w:tc>
          <w:tcPr>
            <w:tcW w:w="652" w:type="pct"/>
          </w:tcPr>
          <w:p w14:paraId="63172EBE" w14:textId="77777777" w:rsidR="007D3920" w:rsidRPr="00566B47" w:rsidRDefault="007D3920" w:rsidP="00032E3D">
            <w:pPr>
              <w:spacing w:before="40" w:after="40"/>
              <w:jc w:val="center"/>
              <w:rPr>
                <w:rFonts w:ascii="Arial Narrow" w:hAnsi="Arial Narrow"/>
              </w:rPr>
            </w:pPr>
            <w:r w:rsidRPr="00566B47">
              <w:rPr>
                <w:rFonts w:ascii="Arial Narrow" w:hAnsi="Arial Narrow"/>
              </w:rPr>
              <w:t>1%</w:t>
            </w:r>
          </w:p>
        </w:tc>
        <w:tc>
          <w:tcPr>
            <w:tcW w:w="652" w:type="pct"/>
            <w:tcBorders>
              <w:right w:val="single" w:sz="12" w:space="0" w:color="auto"/>
            </w:tcBorders>
          </w:tcPr>
          <w:p w14:paraId="0B691202" w14:textId="77777777" w:rsidR="007D3920" w:rsidRPr="00566B47" w:rsidRDefault="007D3920" w:rsidP="00032E3D">
            <w:pPr>
              <w:spacing w:before="40" w:after="40"/>
              <w:jc w:val="center"/>
              <w:rPr>
                <w:rFonts w:ascii="Arial Narrow" w:hAnsi="Arial Narrow"/>
              </w:rPr>
            </w:pPr>
            <w:r w:rsidRPr="00566B47">
              <w:rPr>
                <w:rFonts w:ascii="Arial Narrow" w:hAnsi="Arial Narrow"/>
              </w:rPr>
              <w:t>5.8%</w:t>
            </w:r>
          </w:p>
        </w:tc>
        <w:tc>
          <w:tcPr>
            <w:tcW w:w="652" w:type="pct"/>
            <w:tcBorders>
              <w:left w:val="single" w:sz="12" w:space="0" w:color="auto"/>
            </w:tcBorders>
          </w:tcPr>
          <w:p w14:paraId="58E4882E" w14:textId="77777777" w:rsidR="007D3920" w:rsidRPr="00566B47" w:rsidRDefault="007D3920" w:rsidP="00032E3D">
            <w:pPr>
              <w:spacing w:before="40" w:after="40"/>
              <w:jc w:val="center"/>
              <w:rPr>
                <w:rFonts w:ascii="Arial Narrow" w:hAnsi="Arial Narrow"/>
              </w:rPr>
            </w:pPr>
            <w:r w:rsidRPr="00566B47">
              <w:rPr>
                <w:rFonts w:ascii="Arial Narrow" w:hAnsi="Arial Narrow"/>
              </w:rPr>
              <w:t>0%</w:t>
            </w:r>
          </w:p>
        </w:tc>
        <w:tc>
          <w:tcPr>
            <w:tcW w:w="652" w:type="pct"/>
            <w:tcBorders>
              <w:right w:val="single" w:sz="12" w:space="0" w:color="auto"/>
            </w:tcBorders>
          </w:tcPr>
          <w:p w14:paraId="5249220E" w14:textId="77777777" w:rsidR="007D3920" w:rsidRPr="00566B47" w:rsidRDefault="007D3920" w:rsidP="00032E3D">
            <w:pPr>
              <w:spacing w:before="40" w:after="40"/>
              <w:jc w:val="center"/>
              <w:rPr>
                <w:rFonts w:ascii="Arial Narrow" w:hAnsi="Arial Narrow"/>
              </w:rPr>
            </w:pPr>
            <w:r w:rsidRPr="00566B47">
              <w:rPr>
                <w:rFonts w:ascii="Arial Narrow" w:hAnsi="Arial Narrow"/>
              </w:rPr>
              <w:t>4.3%</w:t>
            </w:r>
          </w:p>
        </w:tc>
        <w:tc>
          <w:tcPr>
            <w:tcW w:w="652" w:type="pct"/>
            <w:tcBorders>
              <w:left w:val="single" w:sz="12" w:space="0" w:color="auto"/>
            </w:tcBorders>
          </w:tcPr>
          <w:p w14:paraId="5AAC48A7" w14:textId="77777777" w:rsidR="007D3920" w:rsidRPr="00566B47" w:rsidRDefault="007D3920" w:rsidP="00032E3D">
            <w:pPr>
              <w:spacing w:before="40" w:after="40"/>
              <w:jc w:val="center"/>
              <w:rPr>
                <w:rFonts w:ascii="Arial Narrow" w:hAnsi="Arial Narrow" w:cstheme="minorHAnsi"/>
              </w:rPr>
            </w:pPr>
            <w:r w:rsidRPr="00566B47">
              <w:rPr>
                <w:rFonts w:ascii="Arial Narrow" w:hAnsi="Arial Narrow"/>
              </w:rPr>
              <w:t>5%</w:t>
            </w:r>
          </w:p>
        </w:tc>
        <w:tc>
          <w:tcPr>
            <w:tcW w:w="652" w:type="pct"/>
          </w:tcPr>
          <w:p w14:paraId="1E6C1925" w14:textId="77777777" w:rsidR="007D3920" w:rsidRPr="00566B47" w:rsidRDefault="007D3920" w:rsidP="00032E3D">
            <w:pPr>
              <w:spacing w:before="40" w:after="40"/>
              <w:jc w:val="center"/>
              <w:rPr>
                <w:rFonts w:ascii="Arial Narrow" w:hAnsi="Arial Narrow"/>
              </w:rPr>
            </w:pPr>
            <w:r w:rsidRPr="00566B47">
              <w:rPr>
                <w:rFonts w:ascii="Arial Narrow" w:hAnsi="Arial Narrow"/>
              </w:rPr>
              <w:t>0%</w:t>
            </w:r>
          </w:p>
        </w:tc>
      </w:tr>
      <w:tr w:rsidR="007D3920" w:rsidRPr="00566B47" w14:paraId="76AFED65" w14:textId="77777777" w:rsidTr="00032E3D">
        <w:trPr>
          <w:cantSplit/>
        </w:trPr>
        <w:tc>
          <w:tcPr>
            <w:tcW w:w="0" w:type="pct"/>
          </w:tcPr>
          <w:p w14:paraId="7EFD08AB" w14:textId="77777777" w:rsidR="007D3920" w:rsidRPr="00566B47" w:rsidRDefault="007D3920" w:rsidP="00032E3D">
            <w:pPr>
              <w:spacing w:before="40" w:after="40"/>
              <w:ind w:left="179"/>
              <w:rPr>
                <w:rFonts w:ascii="Arial Narrow" w:hAnsi="Arial Narrow"/>
              </w:rPr>
            </w:pPr>
            <w:r w:rsidRPr="00566B47">
              <w:rPr>
                <w:rFonts w:ascii="Arial Narrow" w:hAnsi="Arial Narrow"/>
              </w:rPr>
              <w:t>Severe (4+)</w:t>
            </w:r>
          </w:p>
        </w:tc>
        <w:tc>
          <w:tcPr>
            <w:tcW w:w="0" w:type="pct"/>
          </w:tcPr>
          <w:p w14:paraId="4C428327" w14:textId="77777777" w:rsidR="007D3920" w:rsidRPr="00566B47" w:rsidRDefault="007D3920" w:rsidP="00032E3D">
            <w:pPr>
              <w:spacing w:before="40" w:after="40"/>
              <w:jc w:val="center"/>
              <w:rPr>
                <w:rFonts w:ascii="Arial Narrow" w:hAnsi="Arial Narrow"/>
              </w:rPr>
            </w:pPr>
            <w:r w:rsidRPr="00566B47">
              <w:rPr>
                <w:rFonts w:ascii="Arial Narrow" w:hAnsi="Arial Narrow"/>
              </w:rPr>
              <w:t>3%</w:t>
            </w:r>
          </w:p>
        </w:tc>
        <w:tc>
          <w:tcPr>
            <w:tcW w:w="0" w:type="pct"/>
            <w:tcBorders>
              <w:right w:val="single" w:sz="12" w:space="0" w:color="auto"/>
            </w:tcBorders>
          </w:tcPr>
          <w:p w14:paraId="2EAE52E6" w14:textId="77777777" w:rsidR="007D3920" w:rsidRPr="00566B47" w:rsidRDefault="007D3920" w:rsidP="00032E3D">
            <w:pPr>
              <w:spacing w:before="40" w:after="40"/>
              <w:jc w:val="center"/>
              <w:rPr>
                <w:rFonts w:ascii="Arial Narrow" w:hAnsi="Arial Narrow"/>
              </w:rPr>
            </w:pPr>
            <w:r w:rsidRPr="00566B47">
              <w:rPr>
                <w:rFonts w:ascii="Arial Narrow" w:hAnsi="Arial Narrow"/>
              </w:rPr>
              <w:t>1.5%</w:t>
            </w:r>
          </w:p>
        </w:tc>
        <w:tc>
          <w:tcPr>
            <w:tcW w:w="0" w:type="pct"/>
            <w:tcBorders>
              <w:left w:val="single" w:sz="12" w:space="0" w:color="auto"/>
            </w:tcBorders>
          </w:tcPr>
          <w:p w14:paraId="70AF1253" w14:textId="77777777" w:rsidR="007D3920" w:rsidRPr="00566B47" w:rsidRDefault="007D3920" w:rsidP="00032E3D">
            <w:pPr>
              <w:spacing w:before="40" w:after="40"/>
              <w:jc w:val="center"/>
              <w:rPr>
                <w:rFonts w:ascii="Arial Narrow" w:hAnsi="Arial Narrow"/>
              </w:rPr>
            </w:pPr>
            <w:r w:rsidRPr="00566B47">
              <w:rPr>
                <w:rFonts w:ascii="Arial Narrow" w:hAnsi="Arial Narrow"/>
              </w:rPr>
              <w:t>0%</w:t>
            </w:r>
          </w:p>
        </w:tc>
        <w:tc>
          <w:tcPr>
            <w:tcW w:w="0" w:type="pct"/>
            <w:tcBorders>
              <w:right w:val="single" w:sz="12" w:space="0" w:color="auto"/>
            </w:tcBorders>
          </w:tcPr>
          <w:p w14:paraId="075EF304" w14:textId="77777777" w:rsidR="007D3920" w:rsidRPr="00566B47" w:rsidRDefault="007D3920" w:rsidP="00032E3D">
            <w:pPr>
              <w:spacing w:before="40" w:after="40"/>
              <w:jc w:val="center"/>
              <w:rPr>
                <w:rFonts w:ascii="Arial Narrow" w:hAnsi="Arial Narrow"/>
              </w:rPr>
            </w:pPr>
            <w:r w:rsidRPr="00566B47">
              <w:rPr>
                <w:rFonts w:ascii="Arial Narrow" w:hAnsi="Arial Narrow"/>
              </w:rPr>
              <w:t>1.0%</w:t>
            </w:r>
          </w:p>
        </w:tc>
        <w:tc>
          <w:tcPr>
            <w:tcW w:w="0" w:type="pct"/>
            <w:tcBorders>
              <w:left w:val="single" w:sz="12" w:space="0" w:color="auto"/>
            </w:tcBorders>
          </w:tcPr>
          <w:p w14:paraId="609D937A" w14:textId="77777777" w:rsidR="007D3920" w:rsidRPr="00566B47" w:rsidRDefault="007D3920" w:rsidP="00032E3D">
            <w:pPr>
              <w:spacing w:before="40" w:after="40"/>
              <w:jc w:val="center"/>
              <w:rPr>
                <w:rFonts w:ascii="Arial Narrow" w:hAnsi="Arial Narrow" w:cstheme="minorHAnsi"/>
              </w:rPr>
            </w:pPr>
            <w:r w:rsidRPr="00566B47">
              <w:rPr>
                <w:rFonts w:ascii="Arial Narrow" w:hAnsi="Arial Narrow"/>
              </w:rPr>
              <w:t>0%</w:t>
            </w:r>
          </w:p>
        </w:tc>
        <w:tc>
          <w:tcPr>
            <w:tcW w:w="0" w:type="pct"/>
            <w:shd w:val="clear" w:color="auto" w:fill="B4C6E7" w:themeFill="accent5" w:themeFillTint="66"/>
          </w:tcPr>
          <w:p w14:paraId="182FA3E9" w14:textId="77777777" w:rsidR="007D3920" w:rsidRPr="00566B47" w:rsidRDefault="007D3920" w:rsidP="00032E3D">
            <w:pPr>
              <w:spacing w:before="40" w:after="40"/>
              <w:jc w:val="center"/>
              <w:rPr>
                <w:rFonts w:ascii="Arial Narrow" w:hAnsi="Arial Narrow"/>
              </w:rPr>
            </w:pPr>
            <w:r w:rsidRPr="00566B47">
              <w:rPr>
                <w:rFonts w:ascii="Arial Narrow" w:hAnsi="Arial Narrow"/>
              </w:rPr>
              <w:t>0.9%</w:t>
            </w:r>
          </w:p>
        </w:tc>
      </w:tr>
    </w:tbl>
    <w:p w14:paraId="56332E08" w14:textId="77777777" w:rsidR="007D3920" w:rsidRDefault="007D3920" w:rsidP="007D3920">
      <w:pPr>
        <w:pStyle w:val="Tablenotes"/>
      </w:pPr>
      <w:r w:rsidRPr="004948EA">
        <w:t>FMR</w:t>
      </w:r>
      <w:r>
        <w:t>=</w:t>
      </w:r>
      <w:r w:rsidRPr="004948EA">
        <w:t xml:space="preserve">functional mitral regurgitation; </w:t>
      </w:r>
      <w:r w:rsidRPr="007D5B70">
        <w:t>MR</w:t>
      </w:r>
      <w:r>
        <w:t>=</w:t>
      </w:r>
      <w:r w:rsidRPr="007D5B70">
        <w:t>mitral regurgitation</w:t>
      </w:r>
      <w:r w:rsidRPr="004948EA">
        <w:t xml:space="preserve">; </w:t>
      </w:r>
      <w:r>
        <w:t>NR=not reported</w:t>
      </w:r>
    </w:p>
    <w:p w14:paraId="04188116" w14:textId="77777777" w:rsidR="00E13326" w:rsidRPr="00427322" w:rsidRDefault="00E13326" w:rsidP="00E13326">
      <w:pPr>
        <w:pStyle w:val="Tablenotes"/>
      </w:pPr>
      <w:r w:rsidRPr="00427322">
        <w:t xml:space="preserve">Cells </w:t>
      </w:r>
      <w:r w:rsidRPr="00427322">
        <w:rPr>
          <w:shd w:val="clear" w:color="auto" w:fill="B4C6E7" w:themeFill="accent5" w:themeFillTint="66"/>
        </w:rPr>
        <w:t>shaded in blue</w:t>
      </w:r>
      <w:r w:rsidRPr="00427322">
        <w:t xml:space="preserve"> represent results previously considered by MSAC</w:t>
      </w:r>
    </w:p>
    <w:p w14:paraId="4F44DEA5" w14:textId="51A301CB" w:rsidR="007D3920" w:rsidRPr="004E048E" w:rsidRDefault="007D3920" w:rsidP="007D3920">
      <w:r>
        <w:t xml:space="preserve">Once aggregated across 0 and 1+ categories, the difference in the proportion of patients from CLASP and COAPT studies became negligible. The proportion of </w:t>
      </w:r>
      <w:proofErr w:type="spellStart"/>
      <w:r>
        <w:t>MitraClip</w:t>
      </w:r>
      <w:proofErr w:type="spellEnd"/>
      <w:r>
        <w:t xml:space="preserve"> patients who at 30 days remained in the MR moderate-severity category was 7.3% vs 4% of PASCAL patients. More </w:t>
      </w:r>
      <w:proofErr w:type="spellStart"/>
      <w:r>
        <w:t>MitraClip</w:t>
      </w:r>
      <w:proofErr w:type="spellEnd"/>
      <w:r>
        <w:t xml:space="preserve"> patients remained in this category at 12 months (5.3%) while all PASCAL patients achieved at least </w:t>
      </w:r>
      <w:r w:rsidR="008F13A6">
        <w:t>m</w:t>
      </w:r>
      <w:r w:rsidRPr="00A64051">
        <w:t>ild-moderate (2+)</w:t>
      </w:r>
      <w:r>
        <w:t xml:space="preserve"> degree of MR severity. By 24 months there remained too few PASCAL patients to make a meaningful comparison, although a higher proportion of CLASP patients reversed to the m</w:t>
      </w:r>
      <w:r w:rsidRPr="004E048E">
        <w:t xml:space="preserve">oderate-severe (3+) </w:t>
      </w:r>
      <w:r>
        <w:t>degree of MR severity.</w:t>
      </w:r>
      <w:r w:rsidRPr="00124228">
        <w:t xml:space="preserve"> </w:t>
      </w:r>
      <w:r w:rsidRPr="00427322">
        <w:t xml:space="preserve">It is not clear how the imbalance at baseline (42.4% of PASCAL patients were in the severe (4+) MR category vs 51% of </w:t>
      </w:r>
      <w:proofErr w:type="spellStart"/>
      <w:r w:rsidRPr="00427322">
        <w:t>MitraClip</w:t>
      </w:r>
      <w:proofErr w:type="spellEnd"/>
      <w:r w:rsidRPr="00427322">
        <w:t xml:space="preserve"> patients) affected the MR severity clinical effectiveness outcomes.</w:t>
      </w:r>
      <w:r>
        <w:t xml:space="preserve"> </w:t>
      </w:r>
    </w:p>
    <w:p w14:paraId="201E2D58" w14:textId="11B6A550" w:rsidR="007D3920" w:rsidRDefault="007D3920" w:rsidP="007D3920">
      <w:pPr>
        <w:pStyle w:val="Caption"/>
      </w:pPr>
      <w:bookmarkStart w:id="70" w:name="_Ref117522533"/>
      <w:r>
        <w:lastRenderedPageBreak/>
        <w:t xml:space="preserve">Table </w:t>
      </w:r>
      <w:fldSimple w:instr=" SEQ Table \* ARABIC ">
        <w:r w:rsidR="00124228">
          <w:rPr>
            <w:noProof/>
          </w:rPr>
          <w:t>27</w:t>
        </w:r>
      </w:fldSimple>
      <w:bookmarkEnd w:id="70"/>
      <w:r>
        <w:tab/>
        <w:t xml:space="preserve">Naïve comparison of MR severity reported in the included single-arm studies (mixed FMR/DMR ) </w:t>
      </w:r>
    </w:p>
    <w:tbl>
      <w:tblPr>
        <w:tblStyle w:val="MSAC"/>
        <w:tblW w:w="5163" w:type="pct"/>
        <w:tblLayout w:type="fixed"/>
        <w:tblCellMar>
          <w:left w:w="28" w:type="dxa"/>
          <w:right w:w="28" w:type="dxa"/>
        </w:tblCellMar>
        <w:tblLook w:val="04A0" w:firstRow="1" w:lastRow="0" w:firstColumn="1" w:lastColumn="0" w:noHBand="0" w:noVBand="1"/>
      </w:tblPr>
      <w:tblGrid>
        <w:gridCol w:w="1225"/>
        <w:gridCol w:w="915"/>
        <w:gridCol w:w="1101"/>
        <w:gridCol w:w="1111"/>
        <w:gridCol w:w="1105"/>
        <w:gridCol w:w="930"/>
        <w:gridCol w:w="1086"/>
        <w:gridCol w:w="980"/>
        <w:gridCol w:w="1174"/>
      </w:tblGrid>
      <w:tr w:rsidR="007D3920" w:rsidRPr="00566B47" w14:paraId="10B4D4B9" w14:textId="77777777" w:rsidTr="00032E3D">
        <w:trPr>
          <w:cnfStyle w:val="100000000000" w:firstRow="1" w:lastRow="0" w:firstColumn="0" w:lastColumn="0" w:oddVBand="0" w:evenVBand="0" w:oddHBand="0" w:evenHBand="0" w:firstRowFirstColumn="0" w:firstRowLastColumn="0" w:lastRowFirstColumn="0" w:lastRowLastColumn="0"/>
          <w:cantSplit/>
        </w:trPr>
        <w:tc>
          <w:tcPr>
            <w:tcW w:w="636" w:type="pct"/>
            <w:vMerge w:val="restart"/>
          </w:tcPr>
          <w:p w14:paraId="40BE54CC" w14:textId="77777777" w:rsidR="007D3920" w:rsidRPr="00566B47" w:rsidRDefault="007D3920" w:rsidP="00032E3D">
            <w:pPr>
              <w:keepNext/>
              <w:spacing w:before="40" w:after="40"/>
              <w:rPr>
                <w:rFonts w:ascii="Arial Narrow" w:hAnsi="Arial Narrow" w:cstheme="minorHAnsi"/>
                <w:bCs/>
              </w:rPr>
            </w:pPr>
            <w:r w:rsidRPr="00566B47">
              <w:rPr>
                <w:rFonts w:ascii="Arial Narrow" w:hAnsi="Arial Narrow" w:cstheme="minorHAnsi"/>
                <w:bCs/>
              </w:rPr>
              <w:t>MR severity grade (%)</w:t>
            </w:r>
          </w:p>
        </w:tc>
        <w:tc>
          <w:tcPr>
            <w:tcW w:w="475" w:type="pct"/>
          </w:tcPr>
          <w:p w14:paraId="60C7E90E" w14:textId="77777777" w:rsidR="007D3920" w:rsidRPr="00566B47" w:rsidRDefault="007D3920" w:rsidP="00032E3D">
            <w:pPr>
              <w:keepNext/>
              <w:spacing w:before="40" w:after="40"/>
              <w:rPr>
                <w:rFonts w:ascii="Arial Narrow" w:hAnsi="Arial Narrow" w:cstheme="minorHAnsi"/>
                <w:b w:val="0"/>
              </w:rPr>
            </w:pPr>
            <w:r w:rsidRPr="00566B47">
              <w:rPr>
                <w:rFonts w:ascii="Arial Narrow" w:hAnsi="Arial Narrow" w:cstheme="minorHAnsi"/>
              </w:rPr>
              <w:t>CLASP</w:t>
            </w:r>
          </w:p>
          <w:p w14:paraId="70449AD8" w14:textId="77777777" w:rsidR="007D3920" w:rsidRPr="00566B47" w:rsidRDefault="007D3920" w:rsidP="00032E3D">
            <w:pPr>
              <w:keepNext/>
              <w:spacing w:before="40" w:after="40"/>
              <w:ind w:left="-167" w:right="-17"/>
              <w:jc w:val="center"/>
              <w:rPr>
                <w:rFonts w:ascii="Arial Narrow" w:hAnsi="Arial Narrow" w:cstheme="minorHAnsi"/>
              </w:rPr>
            </w:pPr>
            <w:r w:rsidRPr="00566B47">
              <w:rPr>
                <w:rFonts w:ascii="Arial Narrow" w:hAnsi="Arial Narrow" w:cstheme="minorHAnsi"/>
              </w:rPr>
              <w:t>(PASCAL)</w:t>
            </w:r>
          </w:p>
        </w:tc>
        <w:tc>
          <w:tcPr>
            <w:tcW w:w="572" w:type="pct"/>
          </w:tcPr>
          <w:p w14:paraId="12F54BBB" w14:textId="77777777" w:rsidR="007D3920" w:rsidRPr="00566B47" w:rsidRDefault="007D3920" w:rsidP="00032E3D">
            <w:pPr>
              <w:keepNext/>
              <w:spacing w:before="40" w:after="40"/>
              <w:jc w:val="center"/>
              <w:rPr>
                <w:rFonts w:ascii="Arial Narrow" w:hAnsi="Arial Narrow" w:cstheme="minorHAnsi"/>
                <w:b w:val="0"/>
              </w:rPr>
            </w:pPr>
            <w:r w:rsidRPr="00566B47">
              <w:rPr>
                <w:rFonts w:ascii="Arial Narrow" w:hAnsi="Arial Narrow" w:cstheme="minorHAnsi"/>
              </w:rPr>
              <w:t>Mauri 2020</w:t>
            </w:r>
          </w:p>
          <w:p w14:paraId="6766F0C4" w14:textId="77777777" w:rsidR="007D3920" w:rsidRPr="00566B47" w:rsidRDefault="007D3920" w:rsidP="00032E3D">
            <w:pPr>
              <w:keepNext/>
              <w:spacing w:before="40" w:after="40"/>
              <w:jc w:val="center"/>
              <w:rPr>
                <w:rFonts w:ascii="Arial Narrow" w:hAnsi="Arial Narrow" w:cstheme="minorHAnsi"/>
              </w:rPr>
            </w:pPr>
            <w:r w:rsidRPr="00566B47">
              <w:rPr>
                <w:rFonts w:ascii="Arial Narrow" w:hAnsi="Arial Narrow" w:cstheme="minorHAnsi"/>
              </w:rPr>
              <w:t>(PASCAL)</w:t>
            </w:r>
          </w:p>
        </w:tc>
        <w:tc>
          <w:tcPr>
            <w:tcW w:w="577" w:type="pct"/>
          </w:tcPr>
          <w:p w14:paraId="732F7301" w14:textId="77777777" w:rsidR="007D3920" w:rsidRPr="00566B47" w:rsidRDefault="007D3920" w:rsidP="00032E3D">
            <w:pPr>
              <w:keepNext/>
              <w:spacing w:before="40" w:after="40"/>
              <w:ind w:right="-147"/>
              <w:rPr>
                <w:rFonts w:ascii="Arial Narrow" w:hAnsi="Arial Narrow" w:cstheme="minorHAnsi"/>
                <w:b w:val="0"/>
              </w:rPr>
            </w:pPr>
            <w:r w:rsidRPr="00566B47">
              <w:rPr>
                <w:rFonts w:ascii="Arial Narrow" w:hAnsi="Arial Narrow" w:cstheme="minorHAnsi"/>
              </w:rPr>
              <w:t>EVEREST-II</w:t>
            </w:r>
          </w:p>
          <w:p w14:paraId="7E5BEB77" w14:textId="77777777" w:rsidR="007D3920" w:rsidRPr="00566B47" w:rsidRDefault="007D3920" w:rsidP="00032E3D">
            <w:pPr>
              <w:keepNext/>
              <w:spacing w:before="40" w:after="40"/>
              <w:ind w:left="-126"/>
              <w:jc w:val="center"/>
              <w:rPr>
                <w:rFonts w:ascii="Arial Narrow" w:hAnsi="Arial Narrow" w:cstheme="minorHAnsi"/>
              </w:rPr>
            </w:pPr>
            <w:r w:rsidRPr="00566B47">
              <w:rPr>
                <w:rFonts w:ascii="Arial Narrow" w:hAnsi="Arial Narrow" w:cstheme="minorHAnsi"/>
              </w:rPr>
              <w:t>(</w:t>
            </w:r>
            <w:proofErr w:type="spellStart"/>
            <w:r w:rsidRPr="00566B47">
              <w:rPr>
                <w:rFonts w:ascii="Arial Narrow" w:hAnsi="Arial Narrow" w:cstheme="minorHAnsi"/>
              </w:rPr>
              <w:t>MitraClip</w:t>
            </w:r>
            <w:proofErr w:type="spellEnd"/>
            <w:r w:rsidRPr="00566B47">
              <w:rPr>
                <w:rFonts w:ascii="Arial Narrow" w:hAnsi="Arial Narrow" w:cstheme="minorHAnsi"/>
              </w:rPr>
              <w:t>)</w:t>
            </w:r>
          </w:p>
        </w:tc>
        <w:tc>
          <w:tcPr>
            <w:tcW w:w="574" w:type="pct"/>
            <w:tcBorders>
              <w:right w:val="single" w:sz="12" w:space="0" w:color="auto"/>
            </w:tcBorders>
          </w:tcPr>
          <w:p w14:paraId="2765290C" w14:textId="77777777" w:rsidR="007D3920" w:rsidRPr="00566B47" w:rsidRDefault="007D3920" w:rsidP="00032E3D">
            <w:pPr>
              <w:keepNext/>
              <w:spacing w:before="40" w:after="40"/>
              <w:ind w:left="-67"/>
              <w:jc w:val="center"/>
              <w:rPr>
                <w:rFonts w:ascii="Arial Narrow" w:hAnsi="Arial Narrow" w:cstheme="minorHAnsi"/>
              </w:rPr>
            </w:pPr>
            <w:r w:rsidRPr="00566B47">
              <w:rPr>
                <w:rFonts w:ascii="Arial Narrow" w:hAnsi="Arial Narrow" w:cstheme="minorHAnsi"/>
              </w:rPr>
              <w:t>Mack 2022 (</w:t>
            </w:r>
            <w:proofErr w:type="spellStart"/>
            <w:r w:rsidRPr="00566B47">
              <w:rPr>
                <w:rFonts w:ascii="Arial Narrow" w:hAnsi="Arial Narrow" w:cstheme="minorHAnsi"/>
              </w:rPr>
              <w:t>MitraClip</w:t>
            </w:r>
            <w:proofErr w:type="spellEnd"/>
            <w:r w:rsidRPr="00566B47">
              <w:rPr>
                <w:rFonts w:ascii="Arial Narrow" w:hAnsi="Arial Narrow" w:cstheme="minorHAnsi"/>
              </w:rPr>
              <w:t>)</w:t>
            </w:r>
          </w:p>
        </w:tc>
        <w:tc>
          <w:tcPr>
            <w:tcW w:w="483" w:type="pct"/>
            <w:tcBorders>
              <w:left w:val="single" w:sz="12" w:space="0" w:color="auto"/>
            </w:tcBorders>
          </w:tcPr>
          <w:p w14:paraId="6EE46BBA" w14:textId="77777777" w:rsidR="007D3920" w:rsidRPr="00566B47" w:rsidRDefault="007D3920" w:rsidP="00032E3D">
            <w:pPr>
              <w:keepNext/>
              <w:spacing w:before="40" w:after="40"/>
              <w:ind w:left="-143" w:right="-169"/>
              <w:jc w:val="center"/>
              <w:rPr>
                <w:rFonts w:ascii="Arial Narrow" w:hAnsi="Arial Narrow" w:cstheme="minorHAnsi"/>
                <w:b w:val="0"/>
              </w:rPr>
            </w:pPr>
            <w:r w:rsidRPr="00566B47">
              <w:rPr>
                <w:rFonts w:ascii="Arial Narrow" w:hAnsi="Arial Narrow" w:cstheme="minorHAnsi"/>
              </w:rPr>
              <w:t>CLASP</w:t>
            </w:r>
          </w:p>
          <w:p w14:paraId="4C05AB84" w14:textId="77777777" w:rsidR="007D3920" w:rsidRPr="00566B47" w:rsidRDefault="007D3920" w:rsidP="00032E3D">
            <w:pPr>
              <w:keepNext/>
              <w:spacing w:before="40" w:after="40"/>
              <w:ind w:right="-28"/>
              <w:jc w:val="center"/>
              <w:rPr>
                <w:rFonts w:ascii="Arial Narrow" w:hAnsi="Arial Narrow" w:cstheme="minorHAnsi"/>
              </w:rPr>
            </w:pPr>
            <w:r w:rsidRPr="00566B47">
              <w:rPr>
                <w:rFonts w:ascii="Arial Narrow" w:hAnsi="Arial Narrow" w:cstheme="minorHAnsi"/>
              </w:rPr>
              <w:t>(PASCAL)</w:t>
            </w:r>
          </w:p>
        </w:tc>
        <w:tc>
          <w:tcPr>
            <w:tcW w:w="564" w:type="pct"/>
            <w:tcBorders>
              <w:right w:val="single" w:sz="12" w:space="0" w:color="auto"/>
            </w:tcBorders>
          </w:tcPr>
          <w:p w14:paraId="1091C4FE" w14:textId="77777777" w:rsidR="007D3920" w:rsidRPr="00566B47" w:rsidRDefault="007D3920" w:rsidP="00032E3D">
            <w:pPr>
              <w:keepNext/>
              <w:spacing w:before="40" w:after="40"/>
              <w:ind w:left="-192" w:right="-71"/>
              <w:jc w:val="center"/>
              <w:rPr>
                <w:rFonts w:ascii="Arial Narrow" w:hAnsi="Arial Narrow" w:cstheme="minorHAnsi"/>
                <w:b w:val="0"/>
              </w:rPr>
            </w:pPr>
            <w:r w:rsidRPr="00566B47">
              <w:rPr>
                <w:rFonts w:ascii="Arial Narrow" w:hAnsi="Arial Narrow" w:cstheme="minorHAnsi"/>
              </w:rPr>
              <w:t>EVEREST-II</w:t>
            </w:r>
          </w:p>
          <w:p w14:paraId="433EF62D" w14:textId="77777777" w:rsidR="007D3920" w:rsidRPr="00566B47" w:rsidRDefault="007D3920" w:rsidP="00032E3D">
            <w:pPr>
              <w:keepNext/>
              <w:spacing w:before="40" w:after="40"/>
              <w:ind w:left="-51" w:right="-71"/>
              <w:jc w:val="center"/>
              <w:rPr>
                <w:rFonts w:ascii="Arial Narrow" w:hAnsi="Arial Narrow" w:cstheme="minorHAnsi"/>
              </w:rPr>
            </w:pPr>
            <w:r w:rsidRPr="00566B47">
              <w:rPr>
                <w:rFonts w:ascii="Arial Narrow" w:hAnsi="Arial Narrow" w:cstheme="minorHAnsi"/>
              </w:rPr>
              <w:t>(</w:t>
            </w:r>
            <w:proofErr w:type="spellStart"/>
            <w:r w:rsidRPr="00566B47">
              <w:rPr>
                <w:rFonts w:ascii="Arial Narrow" w:hAnsi="Arial Narrow" w:cstheme="minorHAnsi"/>
              </w:rPr>
              <w:t>MitraClip</w:t>
            </w:r>
            <w:proofErr w:type="spellEnd"/>
            <w:r w:rsidRPr="00566B47">
              <w:rPr>
                <w:rFonts w:ascii="Arial Narrow" w:hAnsi="Arial Narrow" w:cstheme="minorHAnsi"/>
              </w:rPr>
              <w:t>)</w:t>
            </w:r>
          </w:p>
        </w:tc>
        <w:tc>
          <w:tcPr>
            <w:tcW w:w="509" w:type="pct"/>
            <w:tcBorders>
              <w:left w:val="single" w:sz="12" w:space="0" w:color="auto"/>
            </w:tcBorders>
          </w:tcPr>
          <w:p w14:paraId="6176F523" w14:textId="77777777" w:rsidR="007D3920" w:rsidRPr="00566B47" w:rsidRDefault="007D3920" w:rsidP="00032E3D">
            <w:pPr>
              <w:keepNext/>
              <w:spacing w:before="40" w:after="40"/>
              <w:ind w:left="-143" w:right="-169"/>
              <w:jc w:val="center"/>
              <w:rPr>
                <w:rFonts w:ascii="Arial Narrow" w:hAnsi="Arial Narrow" w:cstheme="minorHAnsi"/>
                <w:b w:val="0"/>
              </w:rPr>
            </w:pPr>
            <w:r w:rsidRPr="00566B47">
              <w:rPr>
                <w:rFonts w:ascii="Arial Narrow" w:hAnsi="Arial Narrow" w:cstheme="minorHAnsi"/>
              </w:rPr>
              <w:t>CLASP</w:t>
            </w:r>
          </w:p>
          <w:p w14:paraId="2BA722EC" w14:textId="77777777" w:rsidR="007D3920" w:rsidRPr="00566B47" w:rsidRDefault="007D3920" w:rsidP="00032E3D">
            <w:pPr>
              <w:keepNext/>
              <w:spacing w:before="40" w:after="40"/>
              <w:jc w:val="center"/>
              <w:rPr>
                <w:rFonts w:ascii="Arial Narrow" w:hAnsi="Arial Narrow" w:cstheme="minorHAnsi"/>
              </w:rPr>
            </w:pPr>
            <w:r w:rsidRPr="00566B47">
              <w:rPr>
                <w:rFonts w:ascii="Arial Narrow" w:hAnsi="Arial Narrow" w:cstheme="minorHAnsi"/>
              </w:rPr>
              <w:t>(PASCAL)</w:t>
            </w:r>
          </w:p>
        </w:tc>
        <w:tc>
          <w:tcPr>
            <w:tcW w:w="610" w:type="pct"/>
          </w:tcPr>
          <w:p w14:paraId="45F37E18" w14:textId="77777777" w:rsidR="007D3920" w:rsidRPr="00566B47" w:rsidRDefault="007D3920" w:rsidP="00032E3D">
            <w:pPr>
              <w:keepNext/>
              <w:spacing w:before="40" w:after="40"/>
              <w:ind w:left="-192" w:right="-71"/>
              <w:jc w:val="center"/>
              <w:rPr>
                <w:rFonts w:ascii="Arial Narrow" w:hAnsi="Arial Narrow" w:cstheme="minorHAnsi"/>
                <w:b w:val="0"/>
              </w:rPr>
            </w:pPr>
            <w:r w:rsidRPr="00566B47">
              <w:rPr>
                <w:rFonts w:ascii="Arial Narrow" w:hAnsi="Arial Narrow" w:cstheme="minorHAnsi"/>
              </w:rPr>
              <w:t>EVEREST-II</w:t>
            </w:r>
          </w:p>
          <w:p w14:paraId="293927B3" w14:textId="77777777" w:rsidR="007D3920" w:rsidRPr="00566B47" w:rsidRDefault="007D3920" w:rsidP="00032E3D">
            <w:pPr>
              <w:keepNext/>
              <w:spacing w:before="40" w:after="40"/>
              <w:jc w:val="center"/>
              <w:rPr>
                <w:rFonts w:ascii="Arial Narrow" w:hAnsi="Arial Narrow" w:cstheme="minorHAnsi"/>
              </w:rPr>
            </w:pPr>
            <w:r w:rsidRPr="00566B47">
              <w:rPr>
                <w:rFonts w:ascii="Arial Narrow" w:hAnsi="Arial Narrow" w:cstheme="minorHAnsi"/>
              </w:rPr>
              <w:t>(</w:t>
            </w:r>
            <w:proofErr w:type="spellStart"/>
            <w:r w:rsidRPr="00566B47">
              <w:rPr>
                <w:rFonts w:ascii="Arial Narrow" w:hAnsi="Arial Narrow" w:cstheme="minorHAnsi"/>
              </w:rPr>
              <w:t>MitraClip</w:t>
            </w:r>
            <w:proofErr w:type="spellEnd"/>
            <w:r w:rsidRPr="00566B47">
              <w:rPr>
                <w:rFonts w:ascii="Arial Narrow" w:hAnsi="Arial Narrow" w:cstheme="minorHAnsi"/>
              </w:rPr>
              <w:t>)</w:t>
            </w:r>
          </w:p>
        </w:tc>
      </w:tr>
      <w:tr w:rsidR="007D3920" w:rsidRPr="00566B47" w14:paraId="4F1AF4A2" w14:textId="77777777" w:rsidTr="00032E3D">
        <w:trPr>
          <w:cantSplit/>
        </w:trPr>
        <w:tc>
          <w:tcPr>
            <w:tcW w:w="636" w:type="pct"/>
            <w:vMerge/>
          </w:tcPr>
          <w:p w14:paraId="045176C2" w14:textId="77777777" w:rsidR="007D3920" w:rsidRPr="00566B47" w:rsidRDefault="007D3920" w:rsidP="00032E3D">
            <w:pPr>
              <w:keepNext/>
              <w:spacing w:before="40" w:after="40"/>
              <w:rPr>
                <w:rFonts w:ascii="Arial Narrow" w:hAnsi="Arial Narrow" w:cstheme="minorHAnsi"/>
                <w:b/>
              </w:rPr>
            </w:pPr>
          </w:p>
        </w:tc>
        <w:tc>
          <w:tcPr>
            <w:tcW w:w="475" w:type="pct"/>
          </w:tcPr>
          <w:p w14:paraId="444590C5" w14:textId="77777777" w:rsidR="007D3920" w:rsidRPr="00566B47" w:rsidRDefault="007D3920" w:rsidP="00032E3D">
            <w:pPr>
              <w:keepNext/>
              <w:spacing w:before="40" w:after="40"/>
              <w:jc w:val="center"/>
              <w:rPr>
                <w:rFonts w:ascii="Arial Narrow" w:hAnsi="Arial Narrow" w:cstheme="minorHAnsi"/>
                <w:b/>
              </w:rPr>
            </w:pPr>
            <w:r w:rsidRPr="00566B47">
              <w:rPr>
                <w:rFonts w:ascii="Arial Narrow" w:hAnsi="Arial Narrow" w:cstheme="minorHAnsi"/>
                <w:b/>
              </w:rPr>
              <w:t>N=124</w:t>
            </w:r>
          </w:p>
        </w:tc>
        <w:tc>
          <w:tcPr>
            <w:tcW w:w="572" w:type="pct"/>
          </w:tcPr>
          <w:p w14:paraId="3BCFBA6C" w14:textId="77777777" w:rsidR="007D3920" w:rsidRPr="00566B47" w:rsidRDefault="007D3920" w:rsidP="00032E3D">
            <w:pPr>
              <w:keepNext/>
              <w:spacing w:before="40" w:after="40"/>
              <w:jc w:val="center"/>
              <w:rPr>
                <w:rFonts w:ascii="Arial Narrow" w:hAnsi="Arial Narrow" w:cstheme="minorHAnsi"/>
                <w:b/>
              </w:rPr>
            </w:pPr>
            <w:r w:rsidRPr="00566B47">
              <w:rPr>
                <w:rFonts w:ascii="Arial Narrow" w:hAnsi="Arial Narrow" w:cstheme="minorHAnsi"/>
                <w:b/>
              </w:rPr>
              <w:t>N=309</w:t>
            </w:r>
          </w:p>
        </w:tc>
        <w:tc>
          <w:tcPr>
            <w:tcW w:w="577" w:type="pct"/>
          </w:tcPr>
          <w:p w14:paraId="2B2F8772" w14:textId="77777777" w:rsidR="007D3920" w:rsidRPr="00566B47" w:rsidRDefault="007D3920" w:rsidP="00032E3D">
            <w:pPr>
              <w:keepNext/>
              <w:spacing w:before="40" w:after="40"/>
              <w:jc w:val="center"/>
              <w:rPr>
                <w:rFonts w:ascii="Arial Narrow" w:hAnsi="Arial Narrow" w:cstheme="minorHAnsi"/>
                <w:b/>
              </w:rPr>
            </w:pPr>
            <w:r w:rsidRPr="00566B47">
              <w:rPr>
                <w:rFonts w:ascii="Arial Narrow" w:hAnsi="Arial Narrow" w:cstheme="minorHAnsi"/>
                <w:b/>
              </w:rPr>
              <w:t>N=184</w:t>
            </w:r>
          </w:p>
        </w:tc>
        <w:tc>
          <w:tcPr>
            <w:tcW w:w="574" w:type="pct"/>
            <w:tcBorders>
              <w:right w:val="single" w:sz="12" w:space="0" w:color="auto"/>
            </w:tcBorders>
          </w:tcPr>
          <w:p w14:paraId="596BDB75" w14:textId="77777777" w:rsidR="007D3920" w:rsidRPr="00566B47" w:rsidRDefault="007D3920" w:rsidP="00032E3D">
            <w:pPr>
              <w:keepNext/>
              <w:spacing w:before="40" w:after="40"/>
              <w:jc w:val="center"/>
              <w:rPr>
                <w:rFonts w:ascii="Arial Narrow" w:hAnsi="Arial Narrow" w:cstheme="minorHAnsi"/>
                <w:b/>
              </w:rPr>
            </w:pPr>
            <w:r w:rsidRPr="00566B47">
              <w:rPr>
                <w:rFonts w:ascii="Arial Narrow" w:hAnsi="Arial Narrow" w:cstheme="minorHAnsi"/>
                <w:b/>
              </w:rPr>
              <w:t>N=10,460</w:t>
            </w:r>
          </w:p>
        </w:tc>
        <w:tc>
          <w:tcPr>
            <w:tcW w:w="483" w:type="pct"/>
            <w:tcBorders>
              <w:left w:val="single" w:sz="12" w:space="0" w:color="auto"/>
            </w:tcBorders>
          </w:tcPr>
          <w:p w14:paraId="19CEF671" w14:textId="77777777" w:rsidR="007D3920" w:rsidRPr="00566B47" w:rsidRDefault="007D3920" w:rsidP="00032E3D">
            <w:pPr>
              <w:keepNext/>
              <w:spacing w:before="40" w:after="40"/>
              <w:jc w:val="center"/>
              <w:rPr>
                <w:rFonts w:ascii="Arial Narrow" w:hAnsi="Arial Narrow" w:cstheme="minorHAnsi"/>
                <w:bCs/>
              </w:rPr>
            </w:pPr>
            <w:r w:rsidRPr="00566B47">
              <w:rPr>
                <w:rFonts w:ascii="Arial Narrow" w:hAnsi="Arial Narrow" w:cstheme="minorHAnsi"/>
                <w:b/>
              </w:rPr>
              <w:t>N=85</w:t>
            </w:r>
          </w:p>
        </w:tc>
        <w:tc>
          <w:tcPr>
            <w:tcW w:w="564" w:type="pct"/>
            <w:tcBorders>
              <w:right w:val="single" w:sz="12" w:space="0" w:color="auto"/>
            </w:tcBorders>
          </w:tcPr>
          <w:p w14:paraId="33D105D9" w14:textId="77777777" w:rsidR="007D3920" w:rsidRPr="00566B47" w:rsidRDefault="007D3920" w:rsidP="00032E3D">
            <w:pPr>
              <w:keepNext/>
              <w:spacing w:before="40" w:after="40"/>
              <w:jc w:val="center"/>
              <w:rPr>
                <w:rFonts w:ascii="Arial Narrow" w:hAnsi="Arial Narrow" w:cstheme="minorHAnsi"/>
                <w:bCs/>
              </w:rPr>
            </w:pPr>
            <w:r w:rsidRPr="00566B47">
              <w:rPr>
                <w:rFonts w:ascii="Arial Narrow" w:hAnsi="Arial Narrow" w:cstheme="minorHAnsi"/>
                <w:b/>
              </w:rPr>
              <w:t>N=153</w:t>
            </w:r>
          </w:p>
        </w:tc>
        <w:tc>
          <w:tcPr>
            <w:tcW w:w="509" w:type="pct"/>
            <w:tcBorders>
              <w:left w:val="single" w:sz="12" w:space="0" w:color="auto"/>
            </w:tcBorders>
          </w:tcPr>
          <w:p w14:paraId="74DA2388" w14:textId="77777777" w:rsidR="007D3920" w:rsidRPr="00566B47" w:rsidRDefault="007D3920" w:rsidP="00032E3D">
            <w:pPr>
              <w:keepNext/>
              <w:spacing w:before="40" w:after="40"/>
              <w:jc w:val="center"/>
              <w:rPr>
                <w:rFonts w:ascii="Arial Narrow" w:hAnsi="Arial Narrow" w:cstheme="minorHAnsi"/>
                <w:b/>
              </w:rPr>
            </w:pPr>
            <w:r w:rsidRPr="00566B47">
              <w:rPr>
                <w:rFonts w:ascii="Arial Narrow" w:hAnsi="Arial Narrow" w:cstheme="minorHAnsi"/>
                <w:b/>
              </w:rPr>
              <w:t>N=36</w:t>
            </w:r>
          </w:p>
        </w:tc>
        <w:tc>
          <w:tcPr>
            <w:tcW w:w="610" w:type="pct"/>
          </w:tcPr>
          <w:p w14:paraId="6F92001B" w14:textId="77777777" w:rsidR="007D3920" w:rsidRPr="00566B47" w:rsidRDefault="007D3920" w:rsidP="00032E3D">
            <w:pPr>
              <w:keepNext/>
              <w:spacing w:before="40" w:after="40"/>
              <w:jc w:val="center"/>
              <w:rPr>
                <w:rFonts w:ascii="Arial Narrow" w:hAnsi="Arial Narrow" w:cstheme="minorHAnsi"/>
                <w:b/>
              </w:rPr>
            </w:pPr>
            <w:r w:rsidRPr="00566B47">
              <w:rPr>
                <w:rFonts w:ascii="Arial Narrow" w:hAnsi="Arial Narrow" w:cstheme="minorHAnsi"/>
                <w:b/>
              </w:rPr>
              <w:t>N=127</w:t>
            </w:r>
          </w:p>
        </w:tc>
      </w:tr>
      <w:tr w:rsidR="007D3920" w:rsidRPr="00566B47" w14:paraId="2D419458" w14:textId="77777777" w:rsidTr="00032E3D">
        <w:trPr>
          <w:cantSplit/>
        </w:trPr>
        <w:tc>
          <w:tcPr>
            <w:tcW w:w="636" w:type="pct"/>
            <w:vMerge/>
          </w:tcPr>
          <w:p w14:paraId="5827C92F" w14:textId="77777777" w:rsidR="007D3920" w:rsidRPr="00566B47" w:rsidRDefault="007D3920" w:rsidP="00032E3D">
            <w:pPr>
              <w:keepNext/>
              <w:spacing w:before="40" w:after="40"/>
              <w:rPr>
                <w:rFonts w:ascii="Arial Narrow" w:hAnsi="Arial Narrow"/>
              </w:rPr>
            </w:pPr>
          </w:p>
        </w:tc>
        <w:tc>
          <w:tcPr>
            <w:tcW w:w="2198" w:type="pct"/>
            <w:gridSpan w:val="4"/>
            <w:tcBorders>
              <w:right w:val="single" w:sz="12" w:space="0" w:color="auto"/>
            </w:tcBorders>
          </w:tcPr>
          <w:p w14:paraId="095E0437"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30 days</w:t>
            </w:r>
          </w:p>
        </w:tc>
        <w:tc>
          <w:tcPr>
            <w:tcW w:w="1047" w:type="pct"/>
            <w:gridSpan w:val="2"/>
            <w:tcBorders>
              <w:left w:val="single" w:sz="12" w:space="0" w:color="auto"/>
              <w:right w:val="single" w:sz="12" w:space="0" w:color="auto"/>
            </w:tcBorders>
          </w:tcPr>
          <w:p w14:paraId="76D47A49"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12 months</w:t>
            </w:r>
          </w:p>
        </w:tc>
        <w:tc>
          <w:tcPr>
            <w:tcW w:w="1119" w:type="pct"/>
            <w:gridSpan w:val="2"/>
            <w:tcBorders>
              <w:left w:val="single" w:sz="12" w:space="0" w:color="auto"/>
            </w:tcBorders>
          </w:tcPr>
          <w:p w14:paraId="50642739"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24 months</w:t>
            </w:r>
          </w:p>
        </w:tc>
      </w:tr>
      <w:tr w:rsidR="007D3920" w:rsidRPr="00566B47" w14:paraId="5100FE64" w14:textId="77777777" w:rsidTr="00032E3D">
        <w:trPr>
          <w:cantSplit/>
        </w:trPr>
        <w:tc>
          <w:tcPr>
            <w:tcW w:w="636" w:type="pct"/>
          </w:tcPr>
          <w:p w14:paraId="47E4B741" w14:textId="77777777" w:rsidR="007D3920" w:rsidRPr="00566B47" w:rsidRDefault="007D3920" w:rsidP="00032E3D">
            <w:pPr>
              <w:keepNext/>
              <w:spacing w:before="40" w:after="40"/>
              <w:rPr>
                <w:rFonts w:ascii="Arial Narrow" w:hAnsi="Arial Narrow"/>
              </w:rPr>
            </w:pPr>
            <w:r w:rsidRPr="00566B47">
              <w:rPr>
                <w:rFonts w:ascii="Arial Narrow" w:hAnsi="Arial Narrow"/>
              </w:rPr>
              <w:t>None/trace or mild (0-1+)</w:t>
            </w:r>
          </w:p>
        </w:tc>
        <w:tc>
          <w:tcPr>
            <w:tcW w:w="475" w:type="pct"/>
          </w:tcPr>
          <w:p w14:paraId="2C5716CD"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77%</w:t>
            </w:r>
          </w:p>
        </w:tc>
        <w:tc>
          <w:tcPr>
            <w:tcW w:w="572" w:type="pct"/>
          </w:tcPr>
          <w:p w14:paraId="24127650"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65%</w:t>
            </w:r>
          </w:p>
        </w:tc>
        <w:tc>
          <w:tcPr>
            <w:tcW w:w="577" w:type="pct"/>
          </w:tcPr>
          <w:p w14:paraId="7351AB9C"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52.6%</w:t>
            </w:r>
          </w:p>
        </w:tc>
        <w:tc>
          <w:tcPr>
            <w:tcW w:w="574" w:type="pct"/>
            <w:vMerge w:val="restart"/>
            <w:tcBorders>
              <w:right w:val="single" w:sz="12" w:space="0" w:color="auto"/>
            </w:tcBorders>
          </w:tcPr>
          <w:p w14:paraId="1F3163A1"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 xml:space="preserve"> 92.5%</w:t>
            </w:r>
            <w:r w:rsidRPr="00566B47">
              <w:rPr>
                <w:rFonts w:ascii="Arial Narrow" w:hAnsi="Arial Narrow"/>
                <w:vertAlign w:val="superscript"/>
              </w:rPr>
              <w:t>a</w:t>
            </w:r>
          </w:p>
        </w:tc>
        <w:tc>
          <w:tcPr>
            <w:tcW w:w="483" w:type="pct"/>
            <w:tcBorders>
              <w:left w:val="single" w:sz="12" w:space="0" w:color="auto"/>
            </w:tcBorders>
          </w:tcPr>
          <w:p w14:paraId="44C7D6F4"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78%</w:t>
            </w:r>
          </w:p>
        </w:tc>
        <w:tc>
          <w:tcPr>
            <w:tcW w:w="564" w:type="pct"/>
            <w:tcBorders>
              <w:right w:val="single" w:sz="12" w:space="0" w:color="auto"/>
            </w:tcBorders>
          </w:tcPr>
          <w:p w14:paraId="418E22B6"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42%</w:t>
            </w:r>
          </w:p>
        </w:tc>
        <w:tc>
          <w:tcPr>
            <w:tcW w:w="509" w:type="pct"/>
            <w:tcBorders>
              <w:left w:val="single" w:sz="12" w:space="0" w:color="auto"/>
            </w:tcBorders>
          </w:tcPr>
          <w:p w14:paraId="04D67251"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78%</w:t>
            </w:r>
          </w:p>
        </w:tc>
        <w:tc>
          <w:tcPr>
            <w:tcW w:w="610" w:type="pct"/>
          </w:tcPr>
          <w:p w14:paraId="31EC4ADE"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36.2%</w:t>
            </w:r>
          </w:p>
        </w:tc>
      </w:tr>
      <w:tr w:rsidR="007D3920" w:rsidRPr="00566B47" w14:paraId="725F17AB" w14:textId="77777777" w:rsidTr="00032E3D">
        <w:trPr>
          <w:cantSplit/>
        </w:trPr>
        <w:tc>
          <w:tcPr>
            <w:tcW w:w="0" w:type="pct"/>
          </w:tcPr>
          <w:p w14:paraId="2E2C10B4" w14:textId="77777777" w:rsidR="007D3920" w:rsidRPr="00566B47" w:rsidRDefault="007D3920" w:rsidP="00032E3D">
            <w:pPr>
              <w:keepNext/>
              <w:spacing w:before="40" w:after="40"/>
              <w:ind w:left="179" w:right="-53"/>
              <w:rPr>
                <w:rFonts w:ascii="Arial Narrow" w:hAnsi="Arial Narrow"/>
              </w:rPr>
            </w:pPr>
            <w:r w:rsidRPr="00566B47">
              <w:rPr>
                <w:rFonts w:ascii="Arial Narrow" w:hAnsi="Arial Narrow"/>
              </w:rPr>
              <w:t>None/trace (0)</w:t>
            </w:r>
          </w:p>
        </w:tc>
        <w:tc>
          <w:tcPr>
            <w:tcW w:w="0" w:type="pct"/>
          </w:tcPr>
          <w:p w14:paraId="6B89A314"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15%</w:t>
            </w:r>
          </w:p>
        </w:tc>
        <w:tc>
          <w:tcPr>
            <w:tcW w:w="0" w:type="pct"/>
          </w:tcPr>
          <w:p w14:paraId="1A42205E"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9%</w:t>
            </w:r>
          </w:p>
        </w:tc>
        <w:tc>
          <w:tcPr>
            <w:tcW w:w="0" w:type="pct"/>
          </w:tcPr>
          <w:p w14:paraId="75E0716A"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1.2%</w:t>
            </w:r>
          </w:p>
        </w:tc>
        <w:tc>
          <w:tcPr>
            <w:tcW w:w="0" w:type="pct"/>
            <w:vMerge/>
            <w:tcBorders>
              <w:right w:val="single" w:sz="12" w:space="0" w:color="auto"/>
            </w:tcBorders>
          </w:tcPr>
          <w:p w14:paraId="3E6BE359" w14:textId="77777777" w:rsidR="007D3920" w:rsidRPr="00566B47" w:rsidRDefault="007D3920" w:rsidP="00032E3D">
            <w:pPr>
              <w:keepNext/>
              <w:spacing w:before="40" w:after="40"/>
              <w:jc w:val="center"/>
              <w:rPr>
                <w:rFonts w:ascii="Arial Narrow" w:hAnsi="Arial Narrow"/>
              </w:rPr>
            </w:pPr>
          </w:p>
        </w:tc>
        <w:tc>
          <w:tcPr>
            <w:tcW w:w="0" w:type="pct"/>
            <w:tcBorders>
              <w:left w:val="single" w:sz="12" w:space="0" w:color="auto"/>
            </w:tcBorders>
          </w:tcPr>
          <w:p w14:paraId="4BFDA047" w14:textId="77777777" w:rsidR="007D3920" w:rsidRPr="00566B47" w:rsidRDefault="007D3920" w:rsidP="00032E3D">
            <w:pPr>
              <w:keepNext/>
              <w:spacing w:before="40" w:after="40"/>
              <w:jc w:val="center"/>
              <w:rPr>
                <w:rFonts w:ascii="Arial Narrow" w:hAnsi="Arial Narrow"/>
                <w:i/>
                <w:iCs/>
              </w:rPr>
            </w:pPr>
            <w:r w:rsidRPr="00566B47">
              <w:rPr>
                <w:rFonts w:ascii="Arial Narrow" w:hAnsi="Arial Narrow"/>
              </w:rPr>
              <w:t>15%</w:t>
            </w:r>
          </w:p>
        </w:tc>
        <w:tc>
          <w:tcPr>
            <w:tcW w:w="0" w:type="pct"/>
            <w:tcBorders>
              <w:right w:val="single" w:sz="12" w:space="0" w:color="auto"/>
            </w:tcBorders>
            <w:shd w:val="clear" w:color="auto" w:fill="B4C6E7" w:themeFill="accent5" w:themeFillTint="66"/>
          </w:tcPr>
          <w:p w14:paraId="5BFAA08E"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6%</w:t>
            </w:r>
          </w:p>
        </w:tc>
        <w:tc>
          <w:tcPr>
            <w:tcW w:w="0" w:type="pct"/>
            <w:tcBorders>
              <w:left w:val="single" w:sz="12" w:space="0" w:color="auto"/>
            </w:tcBorders>
          </w:tcPr>
          <w:p w14:paraId="38EE3C7B"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25%</w:t>
            </w:r>
          </w:p>
        </w:tc>
        <w:tc>
          <w:tcPr>
            <w:tcW w:w="0" w:type="pct"/>
          </w:tcPr>
          <w:p w14:paraId="26930CCF"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1.6%</w:t>
            </w:r>
          </w:p>
        </w:tc>
      </w:tr>
      <w:tr w:rsidR="007D3920" w:rsidRPr="00566B47" w14:paraId="25478491" w14:textId="77777777" w:rsidTr="00032E3D">
        <w:trPr>
          <w:cantSplit/>
        </w:trPr>
        <w:tc>
          <w:tcPr>
            <w:tcW w:w="0" w:type="pct"/>
          </w:tcPr>
          <w:p w14:paraId="451BFD59" w14:textId="77777777" w:rsidR="007D3920" w:rsidRPr="00566B47" w:rsidRDefault="007D3920" w:rsidP="00032E3D">
            <w:pPr>
              <w:keepNext/>
              <w:spacing w:before="40" w:after="40"/>
              <w:ind w:left="179"/>
              <w:rPr>
                <w:rFonts w:ascii="Arial Narrow" w:hAnsi="Arial Narrow"/>
              </w:rPr>
            </w:pPr>
            <w:r w:rsidRPr="00566B47">
              <w:rPr>
                <w:rFonts w:ascii="Arial Narrow" w:hAnsi="Arial Narrow"/>
              </w:rPr>
              <w:t>Mild (1+)</w:t>
            </w:r>
          </w:p>
        </w:tc>
        <w:tc>
          <w:tcPr>
            <w:tcW w:w="0" w:type="pct"/>
          </w:tcPr>
          <w:p w14:paraId="5DD30D7B"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62%</w:t>
            </w:r>
          </w:p>
        </w:tc>
        <w:tc>
          <w:tcPr>
            <w:tcW w:w="0" w:type="pct"/>
          </w:tcPr>
          <w:p w14:paraId="04B912D6"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56%</w:t>
            </w:r>
          </w:p>
        </w:tc>
        <w:tc>
          <w:tcPr>
            <w:tcW w:w="0" w:type="pct"/>
          </w:tcPr>
          <w:p w14:paraId="4B14457A"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51.4%</w:t>
            </w:r>
          </w:p>
        </w:tc>
        <w:tc>
          <w:tcPr>
            <w:tcW w:w="0" w:type="pct"/>
            <w:vMerge/>
            <w:tcBorders>
              <w:right w:val="single" w:sz="12" w:space="0" w:color="auto"/>
            </w:tcBorders>
          </w:tcPr>
          <w:p w14:paraId="63BA39D3" w14:textId="77777777" w:rsidR="007D3920" w:rsidRPr="00566B47" w:rsidRDefault="007D3920" w:rsidP="00032E3D">
            <w:pPr>
              <w:keepNext/>
              <w:spacing w:before="40" w:after="40"/>
              <w:jc w:val="center"/>
              <w:rPr>
                <w:rFonts w:ascii="Arial Narrow" w:hAnsi="Arial Narrow"/>
              </w:rPr>
            </w:pPr>
          </w:p>
        </w:tc>
        <w:tc>
          <w:tcPr>
            <w:tcW w:w="0" w:type="pct"/>
            <w:tcBorders>
              <w:left w:val="single" w:sz="12" w:space="0" w:color="auto"/>
            </w:tcBorders>
          </w:tcPr>
          <w:p w14:paraId="7A49520E" w14:textId="77777777" w:rsidR="007D3920" w:rsidRPr="00566B47" w:rsidRDefault="007D3920" w:rsidP="00032E3D">
            <w:pPr>
              <w:keepNext/>
              <w:spacing w:before="40" w:after="40"/>
              <w:jc w:val="center"/>
              <w:rPr>
                <w:rFonts w:ascii="Arial Narrow" w:hAnsi="Arial Narrow"/>
                <w:i/>
                <w:iCs/>
              </w:rPr>
            </w:pPr>
            <w:r w:rsidRPr="00566B47">
              <w:rPr>
                <w:rFonts w:ascii="Arial Narrow" w:hAnsi="Arial Narrow"/>
              </w:rPr>
              <w:t>62%</w:t>
            </w:r>
          </w:p>
        </w:tc>
        <w:tc>
          <w:tcPr>
            <w:tcW w:w="0" w:type="pct"/>
            <w:tcBorders>
              <w:right w:val="single" w:sz="12" w:space="0" w:color="auto"/>
            </w:tcBorders>
            <w:shd w:val="clear" w:color="auto" w:fill="B4C6E7" w:themeFill="accent5" w:themeFillTint="66"/>
          </w:tcPr>
          <w:p w14:paraId="69DDCD55"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37%</w:t>
            </w:r>
          </w:p>
        </w:tc>
        <w:tc>
          <w:tcPr>
            <w:tcW w:w="0" w:type="pct"/>
            <w:tcBorders>
              <w:left w:val="single" w:sz="12" w:space="0" w:color="auto"/>
            </w:tcBorders>
          </w:tcPr>
          <w:p w14:paraId="7D1B2598"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53%</w:t>
            </w:r>
          </w:p>
        </w:tc>
        <w:tc>
          <w:tcPr>
            <w:tcW w:w="0" w:type="pct"/>
          </w:tcPr>
          <w:p w14:paraId="157E31C1"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34.6%</w:t>
            </w:r>
          </w:p>
        </w:tc>
      </w:tr>
      <w:tr w:rsidR="007D3920" w:rsidRPr="00566B47" w14:paraId="4F6C25D4" w14:textId="77777777" w:rsidTr="00032E3D">
        <w:trPr>
          <w:cantSplit/>
        </w:trPr>
        <w:tc>
          <w:tcPr>
            <w:tcW w:w="636" w:type="pct"/>
          </w:tcPr>
          <w:p w14:paraId="43B58525" w14:textId="77777777" w:rsidR="007D3920" w:rsidRPr="00566B47" w:rsidRDefault="007D3920" w:rsidP="00032E3D">
            <w:pPr>
              <w:keepNext/>
              <w:spacing w:before="40" w:after="40"/>
              <w:rPr>
                <w:rFonts w:ascii="Arial Narrow" w:hAnsi="Arial Narrow"/>
              </w:rPr>
            </w:pPr>
            <w:r w:rsidRPr="00566B47">
              <w:rPr>
                <w:rFonts w:ascii="Arial Narrow" w:hAnsi="Arial Narrow"/>
              </w:rPr>
              <w:t>Mild-moderate (2+)</w:t>
            </w:r>
          </w:p>
        </w:tc>
        <w:tc>
          <w:tcPr>
            <w:tcW w:w="475" w:type="pct"/>
          </w:tcPr>
          <w:p w14:paraId="25C1A772"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20%</w:t>
            </w:r>
          </w:p>
        </w:tc>
        <w:tc>
          <w:tcPr>
            <w:tcW w:w="572" w:type="pct"/>
          </w:tcPr>
          <w:p w14:paraId="11419370"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28%</w:t>
            </w:r>
          </w:p>
        </w:tc>
        <w:tc>
          <w:tcPr>
            <w:tcW w:w="577" w:type="pct"/>
          </w:tcPr>
          <w:p w14:paraId="1BC1ED0E"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31.2%</w:t>
            </w:r>
          </w:p>
        </w:tc>
        <w:tc>
          <w:tcPr>
            <w:tcW w:w="574" w:type="pct"/>
            <w:vMerge/>
            <w:tcBorders>
              <w:right w:val="single" w:sz="12" w:space="0" w:color="auto"/>
            </w:tcBorders>
          </w:tcPr>
          <w:p w14:paraId="79B002DB" w14:textId="77777777" w:rsidR="007D3920" w:rsidRPr="00566B47" w:rsidRDefault="007D3920" w:rsidP="00032E3D">
            <w:pPr>
              <w:keepNext/>
              <w:spacing w:before="40" w:after="40"/>
              <w:jc w:val="center"/>
              <w:rPr>
                <w:rFonts w:ascii="Arial Narrow" w:hAnsi="Arial Narrow"/>
              </w:rPr>
            </w:pPr>
          </w:p>
        </w:tc>
        <w:tc>
          <w:tcPr>
            <w:tcW w:w="483" w:type="pct"/>
            <w:tcBorders>
              <w:left w:val="single" w:sz="12" w:space="0" w:color="auto"/>
            </w:tcBorders>
          </w:tcPr>
          <w:p w14:paraId="706A846A" w14:textId="77777777" w:rsidR="007D3920" w:rsidRPr="00566B47" w:rsidRDefault="007D3920" w:rsidP="00032E3D">
            <w:pPr>
              <w:keepNext/>
              <w:spacing w:before="40" w:after="40"/>
              <w:jc w:val="center"/>
              <w:rPr>
                <w:rFonts w:ascii="Arial Narrow" w:hAnsi="Arial Narrow"/>
                <w:i/>
                <w:iCs/>
              </w:rPr>
            </w:pPr>
            <w:r w:rsidRPr="00566B47">
              <w:rPr>
                <w:rFonts w:ascii="Arial Narrow" w:hAnsi="Arial Narrow"/>
              </w:rPr>
              <w:t>22%</w:t>
            </w:r>
          </w:p>
        </w:tc>
        <w:tc>
          <w:tcPr>
            <w:tcW w:w="564" w:type="pct"/>
            <w:tcBorders>
              <w:right w:val="single" w:sz="12" w:space="0" w:color="auto"/>
            </w:tcBorders>
          </w:tcPr>
          <w:p w14:paraId="4166D643"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39%</w:t>
            </w:r>
          </w:p>
        </w:tc>
        <w:tc>
          <w:tcPr>
            <w:tcW w:w="509" w:type="pct"/>
            <w:tcBorders>
              <w:left w:val="single" w:sz="12" w:space="0" w:color="auto"/>
            </w:tcBorders>
          </w:tcPr>
          <w:p w14:paraId="213696A4"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19%</w:t>
            </w:r>
          </w:p>
        </w:tc>
        <w:tc>
          <w:tcPr>
            <w:tcW w:w="610" w:type="pct"/>
          </w:tcPr>
          <w:p w14:paraId="463DE44D"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48.8%</w:t>
            </w:r>
          </w:p>
        </w:tc>
      </w:tr>
      <w:tr w:rsidR="007D3920" w:rsidRPr="00566B47" w14:paraId="448606FC" w14:textId="77777777" w:rsidTr="00032E3D">
        <w:trPr>
          <w:cantSplit/>
        </w:trPr>
        <w:tc>
          <w:tcPr>
            <w:tcW w:w="636" w:type="pct"/>
          </w:tcPr>
          <w:p w14:paraId="02F41747" w14:textId="77777777" w:rsidR="007D3920" w:rsidRPr="00566B47" w:rsidRDefault="007D3920" w:rsidP="00032E3D">
            <w:pPr>
              <w:keepNext/>
              <w:spacing w:before="40" w:after="40"/>
              <w:rPr>
                <w:rFonts w:ascii="Arial Narrow" w:hAnsi="Arial Narrow"/>
              </w:rPr>
            </w:pPr>
            <w:r w:rsidRPr="00566B47">
              <w:rPr>
                <w:rFonts w:ascii="Arial Narrow" w:hAnsi="Arial Narrow"/>
              </w:rPr>
              <w:t>Moderate-severe or severe (3+ /4+)</w:t>
            </w:r>
          </w:p>
        </w:tc>
        <w:tc>
          <w:tcPr>
            <w:tcW w:w="475" w:type="pct"/>
          </w:tcPr>
          <w:p w14:paraId="692DA96D"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4%</w:t>
            </w:r>
          </w:p>
        </w:tc>
        <w:tc>
          <w:tcPr>
            <w:tcW w:w="572" w:type="pct"/>
          </w:tcPr>
          <w:p w14:paraId="17C9A201"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7%</w:t>
            </w:r>
          </w:p>
        </w:tc>
        <w:tc>
          <w:tcPr>
            <w:tcW w:w="577" w:type="pct"/>
          </w:tcPr>
          <w:p w14:paraId="2D58BDF5"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16.2%</w:t>
            </w:r>
          </w:p>
        </w:tc>
        <w:tc>
          <w:tcPr>
            <w:tcW w:w="574" w:type="pct"/>
            <w:tcBorders>
              <w:right w:val="single" w:sz="12" w:space="0" w:color="auto"/>
            </w:tcBorders>
          </w:tcPr>
          <w:p w14:paraId="407C1F52"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7.5%</w:t>
            </w:r>
          </w:p>
        </w:tc>
        <w:tc>
          <w:tcPr>
            <w:tcW w:w="483" w:type="pct"/>
            <w:tcBorders>
              <w:left w:val="single" w:sz="12" w:space="0" w:color="auto"/>
            </w:tcBorders>
          </w:tcPr>
          <w:p w14:paraId="74CA52EB" w14:textId="77777777" w:rsidR="007D3920" w:rsidRPr="00566B47" w:rsidRDefault="007D3920" w:rsidP="00032E3D">
            <w:pPr>
              <w:keepNext/>
              <w:spacing w:before="40" w:after="40"/>
              <w:jc w:val="center"/>
              <w:rPr>
                <w:rFonts w:ascii="Arial Narrow" w:hAnsi="Arial Narrow"/>
                <w:i/>
                <w:iCs/>
              </w:rPr>
            </w:pPr>
            <w:r w:rsidRPr="00566B47">
              <w:rPr>
                <w:rFonts w:ascii="Arial Narrow" w:hAnsi="Arial Narrow"/>
              </w:rPr>
              <w:t>0%</w:t>
            </w:r>
          </w:p>
        </w:tc>
        <w:tc>
          <w:tcPr>
            <w:tcW w:w="564" w:type="pct"/>
            <w:tcBorders>
              <w:right w:val="single" w:sz="12" w:space="0" w:color="auto"/>
            </w:tcBorders>
          </w:tcPr>
          <w:p w14:paraId="10DC022D"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19%</w:t>
            </w:r>
          </w:p>
        </w:tc>
        <w:tc>
          <w:tcPr>
            <w:tcW w:w="509" w:type="pct"/>
            <w:tcBorders>
              <w:left w:val="single" w:sz="12" w:space="0" w:color="auto"/>
            </w:tcBorders>
          </w:tcPr>
          <w:p w14:paraId="634C351D"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3%</w:t>
            </w:r>
          </w:p>
        </w:tc>
        <w:tc>
          <w:tcPr>
            <w:tcW w:w="610" w:type="pct"/>
          </w:tcPr>
          <w:p w14:paraId="7D9E7F49"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14.9%</w:t>
            </w:r>
          </w:p>
        </w:tc>
      </w:tr>
      <w:tr w:rsidR="007D3920" w:rsidRPr="00566B47" w14:paraId="4CFA6DE3" w14:textId="77777777" w:rsidTr="00032E3D">
        <w:trPr>
          <w:cantSplit/>
        </w:trPr>
        <w:tc>
          <w:tcPr>
            <w:tcW w:w="0" w:type="pct"/>
          </w:tcPr>
          <w:p w14:paraId="64C6C7F0" w14:textId="77777777" w:rsidR="007D3920" w:rsidRPr="00566B47" w:rsidRDefault="007D3920" w:rsidP="00032E3D">
            <w:pPr>
              <w:keepNext/>
              <w:spacing w:before="40" w:after="40"/>
              <w:ind w:left="179"/>
              <w:rPr>
                <w:rFonts w:ascii="Arial Narrow" w:hAnsi="Arial Narrow"/>
              </w:rPr>
            </w:pPr>
            <w:r w:rsidRPr="00566B47">
              <w:rPr>
                <w:rFonts w:ascii="Arial Narrow" w:hAnsi="Arial Narrow"/>
              </w:rPr>
              <w:t>Moderate-severe (3+)</w:t>
            </w:r>
          </w:p>
        </w:tc>
        <w:tc>
          <w:tcPr>
            <w:tcW w:w="0" w:type="pct"/>
          </w:tcPr>
          <w:p w14:paraId="38F12C96"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2%</w:t>
            </w:r>
          </w:p>
        </w:tc>
        <w:tc>
          <w:tcPr>
            <w:tcW w:w="0" w:type="pct"/>
          </w:tcPr>
          <w:p w14:paraId="17484DA3"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5%</w:t>
            </w:r>
          </w:p>
        </w:tc>
        <w:tc>
          <w:tcPr>
            <w:tcW w:w="0" w:type="pct"/>
          </w:tcPr>
          <w:p w14:paraId="4BD72335"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11.0%</w:t>
            </w:r>
          </w:p>
        </w:tc>
        <w:tc>
          <w:tcPr>
            <w:tcW w:w="0" w:type="pct"/>
            <w:tcBorders>
              <w:right w:val="single" w:sz="12" w:space="0" w:color="auto"/>
            </w:tcBorders>
          </w:tcPr>
          <w:p w14:paraId="176E7C8D"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NR</w:t>
            </w:r>
          </w:p>
        </w:tc>
        <w:tc>
          <w:tcPr>
            <w:tcW w:w="0" w:type="pct"/>
            <w:tcBorders>
              <w:left w:val="single" w:sz="12" w:space="0" w:color="auto"/>
            </w:tcBorders>
          </w:tcPr>
          <w:p w14:paraId="04ACEDF7" w14:textId="77777777" w:rsidR="007D3920" w:rsidRPr="00566B47" w:rsidRDefault="007D3920" w:rsidP="00032E3D">
            <w:pPr>
              <w:keepNext/>
              <w:spacing w:before="40" w:after="40"/>
              <w:jc w:val="center"/>
              <w:rPr>
                <w:rFonts w:ascii="Arial Narrow" w:hAnsi="Arial Narrow"/>
                <w:i/>
                <w:iCs/>
              </w:rPr>
            </w:pPr>
            <w:r w:rsidRPr="00566B47">
              <w:rPr>
                <w:rFonts w:ascii="Arial Narrow" w:hAnsi="Arial Narrow"/>
              </w:rPr>
              <w:t>0%</w:t>
            </w:r>
          </w:p>
        </w:tc>
        <w:tc>
          <w:tcPr>
            <w:tcW w:w="0" w:type="pct"/>
            <w:tcBorders>
              <w:right w:val="single" w:sz="12" w:space="0" w:color="auto"/>
            </w:tcBorders>
            <w:shd w:val="clear" w:color="auto" w:fill="B4C6E7" w:themeFill="accent5" w:themeFillTint="66"/>
          </w:tcPr>
          <w:p w14:paraId="7931CDCE"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14%</w:t>
            </w:r>
          </w:p>
        </w:tc>
        <w:tc>
          <w:tcPr>
            <w:tcW w:w="0" w:type="pct"/>
            <w:tcBorders>
              <w:left w:val="single" w:sz="12" w:space="0" w:color="auto"/>
            </w:tcBorders>
          </w:tcPr>
          <w:p w14:paraId="06B15711"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3%</w:t>
            </w:r>
          </w:p>
        </w:tc>
        <w:tc>
          <w:tcPr>
            <w:tcW w:w="0" w:type="pct"/>
          </w:tcPr>
          <w:p w14:paraId="5C65EB22"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11.8%</w:t>
            </w:r>
          </w:p>
        </w:tc>
      </w:tr>
      <w:tr w:rsidR="007D3920" w:rsidRPr="00566B47" w14:paraId="72EB1BA7" w14:textId="77777777" w:rsidTr="00032E3D">
        <w:trPr>
          <w:cantSplit/>
        </w:trPr>
        <w:tc>
          <w:tcPr>
            <w:tcW w:w="0" w:type="pct"/>
          </w:tcPr>
          <w:p w14:paraId="3E5684F1" w14:textId="77777777" w:rsidR="007D3920" w:rsidRPr="00566B47" w:rsidRDefault="007D3920" w:rsidP="00032E3D">
            <w:pPr>
              <w:keepNext/>
              <w:spacing w:before="40" w:after="40"/>
              <w:ind w:left="179"/>
              <w:rPr>
                <w:rFonts w:ascii="Arial Narrow" w:hAnsi="Arial Narrow"/>
              </w:rPr>
            </w:pPr>
            <w:r w:rsidRPr="00566B47">
              <w:rPr>
                <w:rFonts w:ascii="Arial Narrow" w:hAnsi="Arial Narrow"/>
              </w:rPr>
              <w:t>Severe (4+)</w:t>
            </w:r>
          </w:p>
        </w:tc>
        <w:tc>
          <w:tcPr>
            <w:tcW w:w="0" w:type="pct"/>
          </w:tcPr>
          <w:p w14:paraId="1836E579"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2%</w:t>
            </w:r>
          </w:p>
        </w:tc>
        <w:tc>
          <w:tcPr>
            <w:tcW w:w="0" w:type="pct"/>
          </w:tcPr>
          <w:p w14:paraId="0D0E1738"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2%</w:t>
            </w:r>
          </w:p>
        </w:tc>
        <w:tc>
          <w:tcPr>
            <w:tcW w:w="0" w:type="pct"/>
          </w:tcPr>
          <w:p w14:paraId="709D8506"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5.2%</w:t>
            </w:r>
          </w:p>
        </w:tc>
        <w:tc>
          <w:tcPr>
            <w:tcW w:w="0" w:type="pct"/>
            <w:tcBorders>
              <w:right w:val="single" w:sz="12" w:space="0" w:color="auto"/>
            </w:tcBorders>
          </w:tcPr>
          <w:p w14:paraId="66053488"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NR</w:t>
            </w:r>
          </w:p>
        </w:tc>
        <w:tc>
          <w:tcPr>
            <w:tcW w:w="0" w:type="pct"/>
            <w:tcBorders>
              <w:left w:val="single" w:sz="12" w:space="0" w:color="auto"/>
            </w:tcBorders>
          </w:tcPr>
          <w:p w14:paraId="70BD4143" w14:textId="77777777" w:rsidR="007D3920" w:rsidRPr="00566B47" w:rsidRDefault="007D3920" w:rsidP="00032E3D">
            <w:pPr>
              <w:keepNext/>
              <w:spacing w:before="40" w:after="40"/>
              <w:jc w:val="center"/>
              <w:rPr>
                <w:rFonts w:ascii="Arial Narrow" w:hAnsi="Arial Narrow"/>
                <w:i/>
                <w:iCs/>
              </w:rPr>
            </w:pPr>
            <w:r w:rsidRPr="00566B47">
              <w:rPr>
                <w:rFonts w:ascii="Arial Narrow" w:hAnsi="Arial Narrow"/>
              </w:rPr>
              <w:t>0%</w:t>
            </w:r>
          </w:p>
        </w:tc>
        <w:tc>
          <w:tcPr>
            <w:tcW w:w="0" w:type="pct"/>
            <w:tcBorders>
              <w:right w:val="single" w:sz="12" w:space="0" w:color="auto"/>
            </w:tcBorders>
            <w:shd w:val="clear" w:color="auto" w:fill="B4C6E7" w:themeFill="accent5" w:themeFillTint="66"/>
          </w:tcPr>
          <w:p w14:paraId="277D8AD9"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5%</w:t>
            </w:r>
          </w:p>
        </w:tc>
        <w:tc>
          <w:tcPr>
            <w:tcW w:w="0" w:type="pct"/>
            <w:tcBorders>
              <w:left w:val="single" w:sz="12" w:space="0" w:color="auto"/>
            </w:tcBorders>
          </w:tcPr>
          <w:p w14:paraId="164462B4"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0%</w:t>
            </w:r>
          </w:p>
        </w:tc>
        <w:tc>
          <w:tcPr>
            <w:tcW w:w="0" w:type="pct"/>
          </w:tcPr>
          <w:p w14:paraId="588B4BE3" w14:textId="77777777" w:rsidR="007D3920" w:rsidRPr="00566B47" w:rsidRDefault="007D3920" w:rsidP="00032E3D">
            <w:pPr>
              <w:keepNext/>
              <w:spacing w:before="40" w:after="40"/>
              <w:jc w:val="center"/>
              <w:rPr>
                <w:rFonts w:ascii="Arial Narrow" w:hAnsi="Arial Narrow"/>
              </w:rPr>
            </w:pPr>
            <w:r w:rsidRPr="00566B47">
              <w:rPr>
                <w:rFonts w:ascii="Arial Narrow" w:hAnsi="Arial Narrow"/>
              </w:rPr>
              <w:t>3.1%</w:t>
            </w:r>
          </w:p>
        </w:tc>
      </w:tr>
    </w:tbl>
    <w:p w14:paraId="4090CDDA" w14:textId="77777777" w:rsidR="007D3920" w:rsidRDefault="007D3920" w:rsidP="007D3920">
      <w:pPr>
        <w:pStyle w:val="Tablenotes"/>
        <w:keepNext/>
      </w:pPr>
      <w:r w:rsidRPr="004948EA">
        <w:t>FMR</w:t>
      </w:r>
      <w:r>
        <w:t>=</w:t>
      </w:r>
      <w:r w:rsidRPr="004948EA">
        <w:t xml:space="preserve">functional mitral regurgitation; </w:t>
      </w:r>
      <w:r>
        <w:t>DMR=</w:t>
      </w:r>
      <w:r w:rsidRPr="00567B1F">
        <w:t xml:space="preserve"> </w:t>
      </w:r>
      <w:r>
        <w:t xml:space="preserve">degenerative </w:t>
      </w:r>
      <w:r w:rsidRPr="004948EA">
        <w:t>mitral regurgitation</w:t>
      </w:r>
      <w:r>
        <w:t xml:space="preserve">; </w:t>
      </w:r>
      <w:r w:rsidRPr="007D5B70">
        <w:t>MR</w:t>
      </w:r>
      <w:r>
        <w:t>=</w:t>
      </w:r>
      <w:r w:rsidRPr="007D5B70">
        <w:t>mitral regurgitation</w:t>
      </w:r>
      <w:r w:rsidRPr="004948EA">
        <w:t xml:space="preserve">; </w:t>
      </w:r>
      <w:r>
        <w:t>NR=not reported</w:t>
      </w:r>
    </w:p>
    <w:p w14:paraId="5C09675C" w14:textId="77777777" w:rsidR="00E13326" w:rsidRDefault="007D3920" w:rsidP="007D3920">
      <w:pPr>
        <w:pStyle w:val="Tablenotes"/>
        <w:keepNext/>
      </w:pPr>
      <w:r w:rsidRPr="00580EA0">
        <w:rPr>
          <w:vertAlign w:val="superscript"/>
        </w:rPr>
        <w:t xml:space="preserve">a </w:t>
      </w:r>
      <w:r w:rsidRPr="00580EA0">
        <w:t>Mack 2022 reports patients with “None/Trace/Mild/Moderate Mitral insufficiency” interpreted as MR severity ≤2+</w:t>
      </w:r>
    </w:p>
    <w:p w14:paraId="0B3D64BA" w14:textId="77777777" w:rsidR="00E13326" w:rsidRPr="00427322" w:rsidRDefault="00E13326" w:rsidP="00E13326">
      <w:pPr>
        <w:pStyle w:val="Tablenotes"/>
      </w:pPr>
      <w:r w:rsidRPr="00427322">
        <w:t xml:space="preserve">Cells </w:t>
      </w:r>
      <w:r w:rsidRPr="00427322">
        <w:rPr>
          <w:shd w:val="clear" w:color="auto" w:fill="B4C6E7" w:themeFill="accent5" w:themeFillTint="66"/>
        </w:rPr>
        <w:t>shaded in blue</w:t>
      </w:r>
      <w:r w:rsidRPr="00427322">
        <w:t xml:space="preserve"> represent results previously considered by MSAC</w:t>
      </w:r>
    </w:p>
    <w:p w14:paraId="4A64D9AA" w14:textId="77777777" w:rsidR="007D3920" w:rsidRPr="006902EA" w:rsidRDefault="007D3920" w:rsidP="007D3920">
      <w:r w:rsidRPr="00427322">
        <w:t>As discussed in the context of MAEs, a meaningful comparison of MR severity outcomes in the mixed population is complicated by the differences in the split of FMR to DMR subgroups across the studies.</w:t>
      </w:r>
      <w:r w:rsidRPr="006902EA">
        <w:t xml:space="preserve"> </w:t>
      </w:r>
    </w:p>
    <w:p w14:paraId="19FF1B43" w14:textId="3B2E7CCF" w:rsidR="007D3920" w:rsidRDefault="007D3920" w:rsidP="007D3920">
      <w:r>
        <w:t xml:space="preserve">The real-world PASCAL study Mauri (2020) recorded </w:t>
      </w:r>
      <w:r w:rsidR="00ED76FA">
        <w:t>the</w:t>
      </w:r>
      <w:r>
        <w:t xml:space="preserve"> second highest proportion of patients with m</w:t>
      </w:r>
      <w:r w:rsidRPr="008B3349">
        <w:t>ild-moderate (2+)</w:t>
      </w:r>
      <w:r>
        <w:t xml:space="preserve"> MR severity (28%), similar to the proportion in EVEREST-II (31.2%). However, only 52.6% of EVEREST-II</w:t>
      </w:r>
      <w:r w:rsidRPr="008B3349">
        <w:t xml:space="preserve"> </w:t>
      </w:r>
      <w:r>
        <w:t>patients achieved the lowest MR grade (0-1+) at after 30 days post-procedure, while 16.2% remained in the m</w:t>
      </w:r>
      <w:r w:rsidRPr="00175622">
        <w:t>oderate-severe or severe (3+</w:t>
      </w:r>
      <w:r>
        <w:t xml:space="preserve"> or </w:t>
      </w:r>
      <w:r w:rsidRPr="00175622">
        <w:t>4+)</w:t>
      </w:r>
      <w:r>
        <w:t xml:space="preserve"> category. The only study that had a similar proportion of DMR patients to EVEREST-II was (Mack 2022), but it did not report 12- and 24-month outcomes. The </w:t>
      </w:r>
      <w:proofErr w:type="spellStart"/>
      <w:r>
        <w:t>MitraClip</w:t>
      </w:r>
      <w:proofErr w:type="spellEnd"/>
      <w:r>
        <w:t xml:space="preserve"> registry records put 7.5% in the m</w:t>
      </w:r>
      <w:r w:rsidRPr="00175622">
        <w:t>oderate-severe or severe (3+</w:t>
      </w:r>
      <w:r>
        <w:t xml:space="preserve"> or </w:t>
      </w:r>
      <w:r w:rsidRPr="00175622">
        <w:t>4+)</w:t>
      </w:r>
      <w:r>
        <w:t xml:space="preserve"> category, however there was inconsistency in result reporting, with some sites providing MR severity at discharge </w:t>
      </w:r>
      <w:r>
        <w:rPr>
          <w:lang w:eastAsia="en-AU"/>
        </w:rPr>
        <w:t>and others reporting within 30-days</w:t>
      </w:r>
      <w:r>
        <w:t xml:space="preserve">. </w:t>
      </w:r>
      <w:r w:rsidRPr="00427322">
        <w:t>The difference in the DMR/FMR split between CLASP and EVEREST-II studies effectively renders MR severity results not suitable for comparison, because aetiology of MR is essential for this particular outcome.</w:t>
      </w:r>
      <w:r>
        <w:t xml:space="preserve"> </w:t>
      </w:r>
    </w:p>
    <w:p w14:paraId="6AC59E46" w14:textId="77777777" w:rsidR="007D3920" w:rsidRDefault="007D3920" w:rsidP="00496BC6">
      <w:pPr>
        <w:pStyle w:val="Heading4"/>
      </w:pPr>
      <w:r w:rsidRPr="00964154">
        <w:t>NYHA functional class</w:t>
      </w:r>
      <w:r>
        <w:t xml:space="preserve"> </w:t>
      </w:r>
    </w:p>
    <w:p w14:paraId="3A55C177" w14:textId="6897369D" w:rsidR="007D3920" w:rsidRDefault="007D3920" w:rsidP="007D3920">
      <w:pPr>
        <w:spacing w:after="240"/>
      </w:pPr>
      <w:r>
        <w:t xml:space="preserve">NYHA functional class outcomes at 30 days and 24 months from single-arm studies are presented in </w:t>
      </w:r>
      <w:r w:rsidR="006902EA">
        <w:fldChar w:fldCharType="begin"/>
      </w:r>
      <w:r w:rsidR="006902EA">
        <w:instrText xml:space="preserve"> REF _Ref117522721 \h </w:instrText>
      </w:r>
      <w:r w:rsidR="006902EA">
        <w:fldChar w:fldCharType="separate"/>
      </w:r>
      <w:r w:rsidR="006902EA">
        <w:t xml:space="preserve">Table </w:t>
      </w:r>
      <w:r w:rsidR="006902EA">
        <w:rPr>
          <w:noProof/>
        </w:rPr>
        <w:t>28</w:t>
      </w:r>
      <w:r w:rsidR="006902EA">
        <w:fldChar w:fldCharType="end"/>
      </w:r>
      <w:r w:rsidR="006902EA">
        <w:t xml:space="preserve"> </w:t>
      </w:r>
      <w:r>
        <w:t xml:space="preserve">(FMR) and </w:t>
      </w:r>
      <w:r w:rsidR="006902EA">
        <w:fldChar w:fldCharType="begin"/>
      </w:r>
      <w:r w:rsidR="006902EA">
        <w:instrText xml:space="preserve"> REF _Ref117522743 \h </w:instrText>
      </w:r>
      <w:r w:rsidR="006902EA">
        <w:fldChar w:fldCharType="separate"/>
      </w:r>
      <w:r w:rsidR="006902EA">
        <w:t xml:space="preserve">Table </w:t>
      </w:r>
      <w:r w:rsidR="006902EA">
        <w:rPr>
          <w:noProof/>
        </w:rPr>
        <w:t>29</w:t>
      </w:r>
      <w:r w:rsidR="006902EA">
        <w:fldChar w:fldCharType="end"/>
      </w:r>
      <w:r w:rsidR="006902EA">
        <w:t xml:space="preserve"> </w:t>
      </w:r>
      <w:r>
        <w:t xml:space="preserve">(mixed population). </w:t>
      </w:r>
    </w:p>
    <w:p w14:paraId="06EBCA93" w14:textId="4B8B0023" w:rsidR="007D3920" w:rsidRDefault="007D3920" w:rsidP="007D3920">
      <w:pPr>
        <w:spacing w:after="240"/>
      </w:pPr>
      <w:r>
        <w:t xml:space="preserve">At </w:t>
      </w:r>
      <w:r>
        <w:rPr>
          <w:lang w:eastAsia="en-AU"/>
        </w:rPr>
        <w:t xml:space="preserve">baseline, </w:t>
      </w:r>
      <w:r>
        <w:t xml:space="preserve">difference in </w:t>
      </w:r>
      <w:r w:rsidRPr="0023634F">
        <w:rPr>
          <w:lang w:eastAsia="en-AU"/>
        </w:rPr>
        <w:t>NYHA class</w:t>
      </w:r>
      <w:r>
        <w:rPr>
          <w:lang w:eastAsia="en-AU"/>
        </w:rPr>
        <w:t xml:space="preserve"> was the only characteristic that favoured COAPT patients over CLASP patients. The proportion with class III or IV at baseline was 57% and 64.8% respectively. At 30 days more PASCAL patients were in NYHA class I or II than </w:t>
      </w:r>
      <w:proofErr w:type="spellStart"/>
      <w:r>
        <w:rPr>
          <w:lang w:eastAsia="en-AU"/>
        </w:rPr>
        <w:t>MitraClip</w:t>
      </w:r>
      <w:proofErr w:type="spellEnd"/>
      <w:r>
        <w:rPr>
          <w:lang w:eastAsia="en-AU"/>
        </w:rPr>
        <w:t xml:space="preserve"> patients (87% and 76.3% respectively). The ADAR stated that this naïve comparison shows that at 24 months FMR patients from CLASP appear much more likely to have </w:t>
      </w:r>
      <w:r w:rsidRPr="0023634F">
        <w:rPr>
          <w:lang w:eastAsia="en-AU"/>
        </w:rPr>
        <w:t>NYHA class I than patients from COAPT (</w:t>
      </w:r>
      <w:r>
        <w:rPr>
          <w:lang w:eastAsia="en-AU"/>
        </w:rPr>
        <w:t>38</w:t>
      </w:r>
      <w:r w:rsidRPr="0023634F">
        <w:rPr>
          <w:lang w:eastAsia="en-AU"/>
        </w:rPr>
        <w:t xml:space="preserve">% vs </w:t>
      </w:r>
      <w:r>
        <w:rPr>
          <w:lang w:eastAsia="en-AU"/>
        </w:rPr>
        <w:t>12.1</w:t>
      </w:r>
      <w:r w:rsidRPr="0023634F">
        <w:rPr>
          <w:lang w:eastAsia="en-AU"/>
        </w:rPr>
        <w:t>% respectively), despite the fact that patients in</w:t>
      </w:r>
      <w:r>
        <w:rPr>
          <w:lang w:eastAsia="en-AU"/>
        </w:rPr>
        <w:t xml:space="preserve"> CLASP had a worse NYHA class at baseline. By the 24-month observation point the proportion of patients in NYHA class III or IV was 12% and 21.7% in the CLASP and COAPT studies, respectively.</w:t>
      </w:r>
    </w:p>
    <w:p w14:paraId="1EC722CD" w14:textId="0C170C24" w:rsidR="007D3920" w:rsidRDefault="007D3920" w:rsidP="007D3920">
      <w:pPr>
        <w:pStyle w:val="Caption"/>
      </w:pPr>
      <w:bookmarkStart w:id="71" w:name="_Ref117522721"/>
      <w:r>
        <w:lastRenderedPageBreak/>
        <w:t xml:space="preserve">Table </w:t>
      </w:r>
      <w:fldSimple w:instr=" SEQ Table \* ARABIC ">
        <w:r w:rsidR="006902EA">
          <w:rPr>
            <w:noProof/>
          </w:rPr>
          <w:t>28</w:t>
        </w:r>
      </w:fldSimple>
      <w:bookmarkEnd w:id="71"/>
      <w:r>
        <w:tab/>
        <w:t xml:space="preserve">Naïve comparison of </w:t>
      </w:r>
      <w:r w:rsidRPr="000D426B">
        <w:t>NYHA functional class</w:t>
      </w:r>
      <w:r>
        <w:t xml:space="preserve"> in single-arm studies (FMR population) </w:t>
      </w:r>
    </w:p>
    <w:tbl>
      <w:tblPr>
        <w:tblStyle w:val="MSAC"/>
        <w:tblW w:w="5019" w:type="pct"/>
        <w:tblLayout w:type="fixed"/>
        <w:tblCellMar>
          <w:left w:w="28" w:type="dxa"/>
          <w:right w:w="28" w:type="dxa"/>
        </w:tblCellMar>
        <w:tblLook w:val="04A0" w:firstRow="1" w:lastRow="0" w:firstColumn="1" w:lastColumn="0" w:noHBand="0" w:noVBand="1"/>
      </w:tblPr>
      <w:tblGrid>
        <w:gridCol w:w="1901"/>
        <w:gridCol w:w="1865"/>
        <w:gridCol w:w="1864"/>
        <w:gridCol w:w="1864"/>
        <w:gridCol w:w="1864"/>
      </w:tblGrid>
      <w:tr w:rsidR="007D3920" w:rsidRPr="00566B47" w14:paraId="0D3FCDA3" w14:textId="77777777" w:rsidTr="00A7564C">
        <w:trPr>
          <w:cnfStyle w:val="100000000000" w:firstRow="1" w:lastRow="0" w:firstColumn="0" w:lastColumn="0" w:oddVBand="0" w:evenVBand="0" w:oddHBand="0" w:evenHBand="0" w:firstRowFirstColumn="0" w:firstRowLastColumn="0" w:lastRowFirstColumn="0" w:lastRowLastColumn="0"/>
          <w:cantSplit/>
        </w:trPr>
        <w:tc>
          <w:tcPr>
            <w:tcW w:w="1015" w:type="pct"/>
            <w:vMerge w:val="restart"/>
          </w:tcPr>
          <w:p w14:paraId="588ECB31" w14:textId="77777777" w:rsidR="007D3920" w:rsidRPr="00566B47" w:rsidRDefault="007D3920" w:rsidP="00032E3D">
            <w:pPr>
              <w:spacing w:before="40" w:after="40"/>
              <w:rPr>
                <w:rFonts w:ascii="Arial Narrow" w:hAnsi="Arial Narrow" w:cstheme="minorHAnsi"/>
              </w:rPr>
            </w:pPr>
            <w:r w:rsidRPr="00566B47">
              <w:rPr>
                <w:rFonts w:ascii="Arial Narrow" w:hAnsi="Arial Narrow" w:cstheme="minorHAnsi"/>
              </w:rPr>
              <w:t>NYHA functional class, n (%)</w:t>
            </w:r>
          </w:p>
        </w:tc>
        <w:tc>
          <w:tcPr>
            <w:tcW w:w="996" w:type="pct"/>
          </w:tcPr>
          <w:p w14:paraId="791603E5" w14:textId="77777777" w:rsidR="007D3920" w:rsidRPr="00566B47" w:rsidRDefault="007D3920" w:rsidP="00032E3D">
            <w:pPr>
              <w:spacing w:before="40" w:after="40"/>
              <w:jc w:val="center"/>
              <w:rPr>
                <w:rFonts w:ascii="Arial Narrow" w:hAnsi="Arial Narrow" w:cstheme="minorHAnsi"/>
                <w:b w:val="0"/>
              </w:rPr>
            </w:pPr>
            <w:r w:rsidRPr="00566B47">
              <w:rPr>
                <w:rFonts w:ascii="Arial Narrow" w:hAnsi="Arial Narrow" w:cstheme="minorHAnsi"/>
              </w:rPr>
              <w:t>CLASP</w:t>
            </w:r>
          </w:p>
          <w:p w14:paraId="5CA05403" w14:textId="77777777" w:rsidR="007D3920" w:rsidRPr="00566B47" w:rsidRDefault="007D3920" w:rsidP="00032E3D">
            <w:pPr>
              <w:spacing w:before="40" w:after="40"/>
              <w:jc w:val="center"/>
              <w:rPr>
                <w:rFonts w:ascii="Arial Narrow" w:hAnsi="Arial Narrow" w:cstheme="minorHAnsi"/>
              </w:rPr>
            </w:pPr>
            <w:r w:rsidRPr="00566B47">
              <w:rPr>
                <w:rFonts w:ascii="Arial Narrow" w:hAnsi="Arial Narrow" w:cstheme="minorHAnsi"/>
              </w:rPr>
              <w:t>(PASCAL)</w:t>
            </w:r>
          </w:p>
        </w:tc>
        <w:tc>
          <w:tcPr>
            <w:tcW w:w="996" w:type="pct"/>
            <w:tcBorders>
              <w:right w:val="single" w:sz="12" w:space="0" w:color="auto"/>
            </w:tcBorders>
          </w:tcPr>
          <w:p w14:paraId="0DC3DF9E" w14:textId="77777777" w:rsidR="007D3920" w:rsidRPr="00566B47" w:rsidRDefault="007D3920" w:rsidP="00032E3D">
            <w:pPr>
              <w:spacing w:before="40" w:after="40"/>
              <w:jc w:val="center"/>
              <w:rPr>
                <w:rFonts w:ascii="Arial Narrow" w:hAnsi="Arial Narrow" w:cstheme="minorHAnsi"/>
                <w:b w:val="0"/>
              </w:rPr>
            </w:pPr>
            <w:r w:rsidRPr="00566B47">
              <w:rPr>
                <w:rFonts w:ascii="Arial Narrow" w:hAnsi="Arial Narrow" w:cstheme="minorHAnsi"/>
              </w:rPr>
              <w:t>COAPT</w:t>
            </w:r>
          </w:p>
          <w:p w14:paraId="2E6672C9" w14:textId="77777777" w:rsidR="007D3920" w:rsidRPr="00566B47" w:rsidRDefault="007D3920" w:rsidP="00032E3D">
            <w:pPr>
              <w:spacing w:before="40" w:after="40"/>
              <w:jc w:val="center"/>
              <w:rPr>
                <w:rFonts w:ascii="Arial Narrow" w:hAnsi="Arial Narrow" w:cstheme="minorHAnsi"/>
              </w:rPr>
            </w:pPr>
            <w:r w:rsidRPr="00566B47">
              <w:rPr>
                <w:rFonts w:ascii="Arial Narrow" w:hAnsi="Arial Narrow" w:cstheme="minorHAnsi"/>
              </w:rPr>
              <w:t>(</w:t>
            </w:r>
            <w:proofErr w:type="spellStart"/>
            <w:r w:rsidRPr="00566B47">
              <w:rPr>
                <w:rFonts w:ascii="Arial Narrow" w:hAnsi="Arial Narrow" w:cstheme="minorHAnsi"/>
              </w:rPr>
              <w:t>MitraClip</w:t>
            </w:r>
            <w:proofErr w:type="spellEnd"/>
            <w:r w:rsidRPr="00566B47">
              <w:rPr>
                <w:rFonts w:ascii="Arial Narrow" w:hAnsi="Arial Narrow" w:cstheme="minorHAnsi"/>
              </w:rPr>
              <w:t>)</w:t>
            </w:r>
          </w:p>
        </w:tc>
        <w:tc>
          <w:tcPr>
            <w:tcW w:w="996" w:type="pct"/>
            <w:tcBorders>
              <w:left w:val="single" w:sz="12" w:space="0" w:color="auto"/>
            </w:tcBorders>
          </w:tcPr>
          <w:p w14:paraId="2B4E6050" w14:textId="77777777" w:rsidR="007D3920" w:rsidRPr="00566B47" w:rsidRDefault="007D3920" w:rsidP="00032E3D">
            <w:pPr>
              <w:spacing w:before="40" w:after="40"/>
              <w:jc w:val="center"/>
              <w:rPr>
                <w:rFonts w:ascii="Arial Narrow" w:hAnsi="Arial Narrow" w:cstheme="minorHAnsi"/>
                <w:b w:val="0"/>
              </w:rPr>
            </w:pPr>
            <w:r w:rsidRPr="00566B47">
              <w:rPr>
                <w:rFonts w:ascii="Arial Narrow" w:hAnsi="Arial Narrow" w:cstheme="minorHAnsi"/>
              </w:rPr>
              <w:t>CLASP</w:t>
            </w:r>
          </w:p>
          <w:p w14:paraId="78D1A7FD" w14:textId="77777777" w:rsidR="007D3920" w:rsidRPr="00566B47" w:rsidRDefault="007D3920" w:rsidP="00032E3D">
            <w:pPr>
              <w:spacing w:before="40" w:after="40"/>
              <w:jc w:val="center"/>
              <w:rPr>
                <w:rFonts w:ascii="Arial Narrow" w:hAnsi="Arial Narrow" w:cstheme="minorHAnsi"/>
              </w:rPr>
            </w:pPr>
            <w:r w:rsidRPr="00566B47">
              <w:rPr>
                <w:rFonts w:ascii="Arial Narrow" w:hAnsi="Arial Narrow" w:cstheme="minorHAnsi"/>
              </w:rPr>
              <w:t>(PASCAL)</w:t>
            </w:r>
          </w:p>
        </w:tc>
        <w:tc>
          <w:tcPr>
            <w:tcW w:w="996" w:type="pct"/>
          </w:tcPr>
          <w:p w14:paraId="1E268754" w14:textId="77777777" w:rsidR="007D3920" w:rsidRPr="00566B47" w:rsidRDefault="007D3920" w:rsidP="00032E3D">
            <w:pPr>
              <w:spacing w:before="40" w:after="40"/>
              <w:jc w:val="center"/>
              <w:rPr>
                <w:rFonts w:ascii="Arial Narrow" w:hAnsi="Arial Narrow" w:cstheme="minorHAnsi"/>
                <w:b w:val="0"/>
              </w:rPr>
            </w:pPr>
            <w:r w:rsidRPr="00566B47">
              <w:rPr>
                <w:rFonts w:ascii="Arial Narrow" w:hAnsi="Arial Narrow" w:cstheme="minorHAnsi"/>
              </w:rPr>
              <w:t>COAPT</w:t>
            </w:r>
          </w:p>
          <w:p w14:paraId="47226314" w14:textId="77777777" w:rsidR="007D3920" w:rsidRPr="00566B47" w:rsidRDefault="007D3920" w:rsidP="00032E3D">
            <w:pPr>
              <w:spacing w:before="40" w:after="40"/>
              <w:jc w:val="center"/>
              <w:rPr>
                <w:rFonts w:ascii="Arial Narrow" w:hAnsi="Arial Narrow" w:cstheme="minorHAnsi"/>
              </w:rPr>
            </w:pPr>
            <w:r w:rsidRPr="00566B47">
              <w:rPr>
                <w:rFonts w:ascii="Arial Narrow" w:hAnsi="Arial Narrow" w:cstheme="minorHAnsi"/>
              </w:rPr>
              <w:t>(</w:t>
            </w:r>
            <w:proofErr w:type="spellStart"/>
            <w:r w:rsidRPr="00566B47">
              <w:rPr>
                <w:rFonts w:ascii="Arial Narrow" w:hAnsi="Arial Narrow" w:cstheme="minorHAnsi"/>
              </w:rPr>
              <w:t>MitraClip</w:t>
            </w:r>
            <w:proofErr w:type="spellEnd"/>
            <w:r w:rsidRPr="00566B47">
              <w:rPr>
                <w:rFonts w:ascii="Arial Narrow" w:hAnsi="Arial Narrow" w:cstheme="minorHAnsi"/>
              </w:rPr>
              <w:t>)</w:t>
            </w:r>
          </w:p>
        </w:tc>
      </w:tr>
      <w:tr w:rsidR="007D3920" w:rsidRPr="00566B47" w14:paraId="02C4EFAE" w14:textId="77777777" w:rsidTr="00A7564C">
        <w:trPr>
          <w:cantSplit/>
        </w:trPr>
        <w:tc>
          <w:tcPr>
            <w:tcW w:w="1015" w:type="pct"/>
            <w:vMerge/>
          </w:tcPr>
          <w:p w14:paraId="63C091BF" w14:textId="77777777" w:rsidR="007D3920" w:rsidRPr="00566B47" w:rsidRDefault="007D3920" w:rsidP="00032E3D">
            <w:pPr>
              <w:spacing w:before="40" w:after="40"/>
              <w:rPr>
                <w:rFonts w:ascii="Arial Narrow" w:hAnsi="Arial Narrow" w:cstheme="minorHAnsi"/>
                <w:b/>
                <w:bCs/>
              </w:rPr>
            </w:pPr>
          </w:p>
        </w:tc>
        <w:tc>
          <w:tcPr>
            <w:tcW w:w="996" w:type="pct"/>
          </w:tcPr>
          <w:p w14:paraId="6DA43AAE" w14:textId="77777777" w:rsidR="007D3920" w:rsidRPr="00566B47" w:rsidRDefault="007D3920" w:rsidP="00032E3D">
            <w:pPr>
              <w:spacing w:before="40" w:after="40"/>
              <w:jc w:val="center"/>
              <w:rPr>
                <w:rFonts w:ascii="Arial Narrow" w:hAnsi="Arial Narrow" w:cstheme="minorHAnsi"/>
                <w:b/>
                <w:bCs/>
              </w:rPr>
            </w:pPr>
            <w:r w:rsidRPr="00566B47">
              <w:rPr>
                <w:rFonts w:ascii="Arial Narrow" w:hAnsi="Arial Narrow" w:cstheme="minorHAnsi"/>
                <w:b/>
                <w:bCs/>
              </w:rPr>
              <w:t xml:space="preserve"> (N=84)</w:t>
            </w:r>
          </w:p>
        </w:tc>
        <w:tc>
          <w:tcPr>
            <w:tcW w:w="996" w:type="pct"/>
            <w:tcBorders>
              <w:right w:val="single" w:sz="12" w:space="0" w:color="auto"/>
            </w:tcBorders>
          </w:tcPr>
          <w:p w14:paraId="506C0D6F" w14:textId="77777777" w:rsidR="007D3920" w:rsidRPr="00566B47" w:rsidRDefault="007D3920" w:rsidP="00032E3D">
            <w:pPr>
              <w:spacing w:before="40" w:after="40"/>
              <w:jc w:val="center"/>
              <w:rPr>
                <w:rFonts w:ascii="Arial Narrow" w:hAnsi="Arial Narrow" w:cstheme="minorHAnsi"/>
                <w:b/>
                <w:bCs/>
              </w:rPr>
            </w:pPr>
            <w:r w:rsidRPr="00566B47">
              <w:rPr>
                <w:rFonts w:ascii="Arial Narrow" w:hAnsi="Arial Narrow" w:cstheme="minorHAnsi"/>
                <w:b/>
                <w:bCs/>
              </w:rPr>
              <w:t>(N=283)</w:t>
            </w:r>
          </w:p>
        </w:tc>
        <w:tc>
          <w:tcPr>
            <w:tcW w:w="996" w:type="pct"/>
            <w:tcBorders>
              <w:left w:val="single" w:sz="12" w:space="0" w:color="auto"/>
            </w:tcBorders>
          </w:tcPr>
          <w:p w14:paraId="5C4C4EA3" w14:textId="77777777" w:rsidR="007D3920" w:rsidRPr="00566B47" w:rsidRDefault="007D3920" w:rsidP="00032E3D">
            <w:pPr>
              <w:spacing w:before="40" w:after="40"/>
              <w:jc w:val="center"/>
              <w:rPr>
                <w:rFonts w:ascii="Arial Narrow" w:hAnsi="Arial Narrow" w:cstheme="minorHAnsi"/>
                <w:b/>
                <w:bCs/>
              </w:rPr>
            </w:pPr>
            <w:r w:rsidRPr="00566B47">
              <w:rPr>
                <w:rFonts w:ascii="Arial Narrow" w:hAnsi="Arial Narrow" w:cstheme="minorHAnsi"/>
                <w:b/>
                <w:bCs/>
              </w:rPr>
              <w:t xml:space="preserve"> (N=24)</w:t>
            </w:r>
          </w:p>
        </w:tc>
        <w:tc>
          <w:tcPr>
            <w:tcW w:w="996" w:type="pct"/>
          </w:tcPr>
          <w:p w14:paraId="7671B1F5" w14:textId="77777777" w:rsidR="007D3920" w:rsidRPr="00566B47" w:rsidRDefault="007D3920" w:rsidP="00032E3D">
            <w:pPr>
              <w:spacing w:before="40" w:after="40"/>
              <w:jc w:val="center"/>
              <w:rPr>
                <w:rFonts w:ascii="Arial Narrow" w:hAnsi="Arial Narrow" w:cstheme="minorHAnsi"/>
                <w:b/>
                <w:bCs/>
              </w:rPr>
            </w:pPr>
            <w:r w:rsidRPr="00566B47">
              <w:rPr>
                <w:rFonts w:ascii="Arial Narrow" w:hAnsi="Arial Narrow" w:cstheme="minorHAnsi"/>
                <w:b/>
                <w:bCs/>
              </w:rPr>
              <w:t>(N=157)</w:t>
            </w:r>
          </w:p>
        </w:tc>
      </w:tr>
      <w:tr w:rsidR="007D3920" w:rsidRPr="00566B47" w14:paraId="2F96565D" w14:textId="77777777" w:rsidTr="00A7564C">
        <w:trPr>
          <w:cantSplit/>
        </w:trPr>
        <w:tc>
          <w:tcPr>
            <w:tcW w:w="1015" w:type="pct"/>
            <w:vMerge/>
          </w:tcPr>
          <w:p w14:paraId="582B9A6F" w14:textId="77777777" w:rsidR="007D3920" w:rsidRPr="00566B47" w:rsidRDefault="007D3920" w:rsidP="00032E3D">
            <w:pPr>
              <w:spacing w:before="40" w:after="40"/>
              <w:rPr>
                <w:rFonts w:ascii="Arial Narrow" w:hAnsi="Arial Narrow" w:cstheme="minorHAnsi"/>
                <w:bCs/>
              </w:rPr>
            </w:pPr>
          </w:p>
        </w:tc>
        <w:tc>
          <w:tcPr>
            <w:tcW w:w="1992" w:type="pct"/>
            <w:gridSpan w:val="2"/>
            <w:tcBorders>
              <w:right w:val="single" w:sz="12" w:space="0" w:color="auto"/>
            </w:tcBorders>
          </w:tcPr>
          <w:p w14:paraId="1BD08552" w14:textId="77777777" w:rsidR="007D3920" w:rsidRPr="00566B47" w:rsidRDefault="007D3920" w:rsidP="00032E3D">
            <w:pPr>
              <w:spacing w:before="40" w:after="40"/>
              <w:jc w:val="center"/>
              <w:rPr>
                <w:rFonts w:ascii="Arial Narrow" w:hAnsi="Arial Narrow" w:cstheme="minorHAnsi"/>
                <w:bCs/>
              </w:rPr>
            </w:pPr>
            <w:r w:rsidRPr="00566B47">
              <w:rPr>
                <w:rFonts w:ascii="Arial Narrow" w:hAnsi="Arial Narrow" w:cstheme="minorHAnsi"/>
                <w:bCs/>
              </w:rPr>
              <w:t>30 days</w:t>
            </w:r>
          </w:p>
        </w:tc>
        <w:tc>
          <w:tcPr>
            <w:tcW w:w="1992" w:type="pct"/>
            <w:gridSpan w:val="2"/>
            <w:tcBorders>
              <w:left w:val="single" w:sz="12" w:space="0" w:color="auto"/>
            </w:tcBorders>
          </w:tcPr>
          <w:p w14:paraId="299761F9" w14:textId="77777777" w:rsidR="007D3920" w:rsidRPr="00566B47" w:rsidRDefault="007D3920" w:rsidP="00032E3D">
            <w:pPr>
              <w:spacing w:before="40" w:after="40"/>
              <w:jc w:val="center"/>
              <w:rPr>
                <w:rFonts w:ascii="Arial Narrow" w:hAnsi="Arial Narrow" w:cstheme="minorHAnsi"/>
                <w:bCs/>
              </w:rPr>
            </w:pPr>
            <w:r w:rsidRPr="00566B47">
              <w:rPr>
                <w:rFonts w:ascii="Arial Narrow" w:hAnsi="Arial Narrow" w:cstheme="minorHAnsi"/>
                <w:bCs/>
              </w:rPr>
              <w:t>24 months</w:t>
            </w:r>
          </w:p>
        </w:tc>
      </w:tr>
      <w:tr w:rsidR="007D3920" w:rsidRPr="00566B47" w14:paraId="74280F8A" w14:textId="77777777" w:rsidTr="00A7564C">
        <w:trPr>
          <w:cantSplit/>
        </w:trPr>
        <w:tc>
          <w:tcPr>
            <w:tcW w:w="1015" w:type="pct"/>
          </w:tcPr>
          <w:p w14:paraId="357BFD83" w14:textId="77777777" w:rsidR="007D3920" w:rsidRPr="00566B47" w:rsidRDefault="007D3920" w:rsidP="00032E3D">
            <w:pPr>
              <w:spacing w:before="40" w:after="40"/>
              <w:rPr>
                <w:rFonts w:ascii="Arial Narrow" w:hAnsi="Arial Narrow" w:cstheme="minorHAnsi"/>
                <w:bCs/>
              </w:rPr>
            </w:pPr>
            <w:r w:rsidRPr="00566B47">
              <w:rPr>
                <w:rFonts w:ascii="Arial Narrow" w:hAnsi="Arial Narrow"/>
              </w:rPr>
              <w:t>Class I or II</w:t>
            </w:r>
          </w:p>
        </w:tc>
        <w:tc>
          <w:tcPr>
            <w:tcW w:w="996" w:type="pct"/>
          </w:tcPr>
          <w:p w14:paraId="70B94841" w14:textId="77777777" w:rsidR="007D3920" w:rsidRPr="00566B47" w:rsidRDefault="007D3920" w:rsidP="00032E3D">
            <w:pPr>
              <w:spacing w:before="40" w:after="40"/>
              <w:jc w:val="center"/>
              <w:rPr>
                <w:rFonts w:ascii="Arial Narrow" w:hAnsi="Arial Narrow" w:cstheme="minorHAnsi"/>
                <w:bCs/>
              </w:rPr>
            </w:pPr>
            <w:r w:rsidRPr="00566B47">
              <w:rPr>
                <w:rFonts w:ascii="Arial Narrow" w:hAnsi="Arial Narrow"/>
              </w:rPr>
              <w:t>87%</w:t>
            </w:r>
          </w:p>
        </w:tc>
        <w:tc>
          <w:tcPr>
            <w:tcW w:w="996" w:type="pct"/>
            <w:tcBorders>
              <w:right w:val="single" w:sz="12" w:space="0" w:color="auto"/>
            </w:tcBorders>
          </w:tcPr>
          <w:p w14:paraId="0F15D243" w14:textId="77777777" w:rsidR="007D3920" w:rsidRPr="00566B47" w:rsidRDefault="007D3920" w:rsidP="00032E3D">
            <w:pPr>
              <w:spacing w:before="40" w:after="40"/>
              <w:jc w:val="center"/>
              <w:rPr>
                <w:rFonts w:ascii="Arial Narrow" w:hAnsi="Arial Narrow" w:cstheme="minorHAnsi"/>
                <w:bCs/>
              </w:rPr>
            </w:pPr>
            <w:r w:rsidRPr="00566B47">
              <w:rPr>
                <w:rFonts w:ascii="Arial Narrow" w:hAnsi="Arial Narrow"/>
              </w:rPr>
              <w:t>76.3%</w:t>
            </w:r>
          </w:p>
        </w:tc>
        <w:tc>
          <w:tcPr>
            <w:tcW w:w="996" w:type="pct"/>
            <w:tcBorders>
              <w:left w:val="single" w:sz="12" w:space="0" w:color="auto"/>
            </w:tcBorders>
          </w:tcPr>
          <w:p w14:paraId="53301680" w14:textId="77777777" w:rsidR="007D3920" w:rsidRPr="00566B47" w:rsidRDefault="007D3920" w:rsidP="00032E3D">
            <w:pPr>
              <w:spacing w:before="40" w:after="40"/>
              <w:jc w:val="center"/>
              <w:rPr>
                <w:rFonts w:ascii="Arial Narrow" w:hAnsi="Arial Narrow" w:cstheme="minorHAnsi"/>
                <w:bCs/>
              </w:rPr>
            </w:pPr>
            <w:r w:rsidRPr="00566B47">
              <w:rPr>
                <w:rFonts w:ascii="Arial Narrow" w:hAnsi="Arial Narrow"/>
              </w:rPr>
              <w:t>88%</w:t>
            </w:r>
          </w:p>
        </w:tc>
        <w:tc>
          <w:tcPr>
            <w:tcW w:w="996" w:type="pct"/>
          </w:tcPr>
          <w:p w14:paraId="76DC153F" w14:textId="77777777" w:rsidR="007D3920" w:rsidRPr="00566B47" w:rsidRDefault="007D3920" w:rsidP="00032E3D">
            <w:pPr>
              <w:spacing w:before="40" w:after="40"/>
              <w:jc w:val="center"/>
              <w:rPr>
                <w:rFonts w:ascii="Arial Narrow" w:hAnsi="Arial Narrow" w:cstheme="minorHAnsi"/>
                <w:bCs/>
              </w:rPr>
            </w:pPr>
            <w:r w:rsidRPr="00566B47">
              <w:rPr>
                <w:rFonts w:ascii="Arial Narrow" w:hAnsi="Arial Narrow"/>
              </w:rPr>
              <w:t>54.8%</w:t>
            </w:r>
          </w:p>
        </w:tc>
      </w:tr>
      <w:tr w:rsidR="007D3920" w:rsidRPr="00566B47" w14:paraId="42A81184" w14:textId="77777777" w:rsidTr="00A7564C">
        <w:trPr>
          <w:cantSplit/>
        </w:trPr>
        <w:tc>
          <w:tcPr>
            <w:tcW w:w="1015" w:type="pct"/>
          </w:tcPr>
          <w:p w14:paraId="3FE91280" w14:textId="77777777" w:rsidR="007D3920" w:rsidRPr="00566B47" w:rsidRDefault="007D3920" w:rsidP="00032E3D">
            <w:pPr>
              <w:spacing w:before="40" w:after="40"/>
              <w:ind w:left="179"/>
              <w:rPr>
                <w:rFonts w:ascii="Arial Narrow" w:hAnsi="Arial Narrow"/>
              </w:rPr>
            </w:pPr>
            <w:r w:rsidRPr="00566B47">
              <w:rPr>
                <w:rFonts w:ascii="Arial Narrow" w:hAnsi="Arial Narrow"/>
              </w:rPr>
              <w:t>I</w:t>
            </w:r>
          </w:p>
        </w:tc>
        <w:tc>
          <w:tcPr>
            <w:tcW w:w="996" w:type="pct"/>
          </w:tcPr>
          <w:p w14:paraId="6B778B98" w14:textId="77777777" w:rsidR="007D3920" w:rsidRPr="00566B47" w:rsidRDefault="007D3920" w:rsidP="00032E3D">
            <w:pPr>
              <w:spacing w:before="40" w:after="40"/>
              <w:jc w:val="center"/>
              <w:rPr>
                <w:rFonts w:ascii="Arial Narrow" w:hAnsi="Arial Narrow"/>
              </w:rPr>
            </w:pPr>
            <w:r w:rsidRPr="00566B47">
              <w:rPr>
                <w:rFonts w:ascii="Arial Narrow" w:hAnsi="Arial Narrow"/>
              </w:rPr>
              <w:t>29%</w:t>
            </w:r>
          </w:p>
        </w:tc>
        <w:tc>
          <w:tcPr>
            <w:tcW w:w="996" w:type="pct"/>
            <w:tcBorders>
              <w:right w:val="single" w:sz="12" w:space="0" w:color="auto"/>
            </w:tcBorders>
          </w:tcPr>
          <w:p w14:paraId="643330EA" w14:textId="77777777" w:rsidR="007D3920" w:rsidRPr="00566B47" w:rsidRDefault="007D3920" w:rsidP="00032E3D">
            <w:pPr>
              <w:spacing w:before="40" w:after="40"/>
              <w:jc w:val="center"/>
              <w:rPr>
                <w:rFonts w:ascii="Arial Narrow" w:hAnsi="Arial Narrow"/>
              </w:rPr>
            </w:pPr>
            <w:r w:rsidRPr="00566B47">
              <w:rPr>
                <w:rFonts w:ascii="Arial Narrow" w:hAnsi="Arial Narrow"/>
              </w:rPr>
              <w:t>15.5%</w:t>
            </w:r>
          </w:p>
        </w:tc>
        <w:tc>
          <w:tcPr>
            <w:tcW w:w="996" w:type="pct"/>
            <w:tcBorders>
              <w:left w:val="single" w:sz="12" w:space="0" w:color="auto"/>
            </w:tcBorders>
          </w:tcPr>
          <w:p w14:paraId="1AE87406" w14:textId="77777777" w:rsidR="007D3920" w:rsidRPr="00566B47" w:rsidRDefault="007D3920" w:rsidP="00032E3D">
            <w:pPr>
              <w:spacing w:before="40" w:after="40"/>
              <w:jc w:val="center"/>
              <w:rPr>
                <w:rFonts w:ascii="Arial Narrow" w:hAnsi="Arial Narrow"/>
                <w:i/>
                <w:iCs/>
              </w:rPr>
            </w:pPr>
            <w:r w:rsidRPr="00566B47">
              <w:rPr>
                <w:rFonts w:ascii="Arial Narrow" w:hAnsi="Arial Narrow"/>
              </w:rPr>
              <w:t>38%</w:t>
            </w:r>
          </w:p>
        </w:tc>
        <w:tc>
          <w:tcPr>
            <w:tcW w:w="996" w:type="pct"/>
          </w:tcPr>
          <w:p w14:paraId="62B7DD0C" w14:textId="77777777" w:rsidR="007D3920" w:rsidRPr="00566B47" w:rsidRDefault="007D3920" w:rsidP="00032E3D">
            <w:pPr>
              <w:spacing w:before="40" w:after="40"/>
              <w:jc w:val="center"/>
              <w:rPr>
                <w:rFonts w:ascii="Arial Narrow" w:hAnsi="Arial Narrow"/>
                <w:i/>
                <w:iCs/>
              </w:rPr>
            </w:pPr>
            <w:r w:rsidRPr="00566B47">
              <w:rPr>
                <w:rFonts w:ascii="Arial Narrow" w:hAnsi="Arial Narrow"/>
              </w:rPr>
              <w:t>12.1%</w:t>
            </w:r>
          </w:p>
        </w:tc>
      </w:tr>
      <w:tr w:rsidR="007D3920" w:rsidRPr="00566B47" w14:paraId="3D319AF8" w14:textId="77777777" w:rsidTr="00A7564C">
        <w:trPr>
          <w:cantSplit/>
        </w:trPr>
        <w:tc>
          <w:tcPr>
            <w:tcW w:w="1015" w:type="pct"/>
          </w:tcPr>
          <w:p w14:paraId="44B4CDF8" w14:textId="77777777" w:rsidR="007D3920" w:rsidRPr="00566B47" w:rsidRDefault="007D3920" w:rsidP="00032E3D">
            <w:pPr>
              <w:spacing w:before="40" w:after="40"/>
              <w:ind w:left="179"/>
              <w:rPr>
                <w:rFonts w:ascii="Arial Narrow" w:hAnsi="Arial Narrow"/>
              </w:rPr>
            </w:pPr>
            <w:r w:rsidRPr="00566B47">
              <w:rPr>
                <w:rFonts w:ascii="Arial Narrow" w:hAnsi="Arial Narrow"/>
              </w:rPr>
              <w:t>II</w:t>
            </w:r>
          </w:p>
        </w:tc>
        <w:tc>
          <w:tcPr>
            <w:tcW w:w="996" w:type="pct"/>
          </w:tcPr>
          <w:p w14:paraId="674E74D7" w14:textId="77777777" w:rsidR="007D3920" w:rsidRPr="00566B47" w:rsidRDefault="007D3920" w:rsidP="00032E3D">
            <w:pPr>
              <w:spacing w:before="40" w:after="40"/>
              <w:jc w:val="center"/>
              <w:rPr>
                <w:rFonts w:ascii="Arial Narrow" w:hAnsi="Arial Narrow"/>
              </w:rPr>
            </w:pPr>
            <w:r w:rsidRPr="00566B47">
              <w:rPr>
                <w:rFonts w:ascii="Arial Narrow" w:hAnsi="Arial Narrow"/>
              </w:rPr>
              <w:t>58%</w:t>
            </w:r>
          </w:p>
        </w:tc>
        <w:tc>
          <w:tcPr>
            <w:tcW w:w="996" w:type="pct"/>
            <w:tcBorders>
              <w:right w:val="single" w:sz="12" w:space="0" w:color="auto"/>
            </w:tcBorders>
          </w:tcPr>
          <w:p w14:paraId="47E53C77" w14:textId="77777777" w:rsidR="007D3920" w:rsidRPr="00566B47" w:rsidRDefault="007D3920" w:rsidP="00032E3D">
            <w:pPr>
              <w:spacing w:before="40" w:after="40"/>
              <w:jc w:val="center"/>
              <w:rPr>
                <w:rFonts w:ascii="Arial Narrow" w:hAnsi="Arial Narrow"/>
              </w:rPr>
            </w:pPr>
            <w:r w:rsidRPr="00566B47">
              <w:rPr>
                <w:rFonts w:ascii="Arial Narrow" w:hAnsi="Arial Narrow"/>
              </w:rPr>
              <w:t>60.8%</w:t>
            </w:r>
          </w:p>
        </w:tc>
        <w:tc>
          <w:tcPr>
            <w:tcW w:w="996" w:type="pct"/>
            <w:tcBorders>
              <w:left w:val="single" w:sz="12" w:space="0" w:color="auto"/>
            </w:tcBorders>
          </w:tcPr>
          <w:p w14:paraId="404D6B56" w14:textId="77777777" w:rsidR="007D3920" w:rsidRPr="00566B47" w:rsidRDefault="007D3920" w:rsidP="00032E3D">
            <w:pPr>
              <w:spacing w:before="40" w:after="40"/>
              <w:jc w:val="center"/>
              <w:rPr>
                <w:rFonts w:ascii="Arial Narrow" w:hAnsi="Arial Narrow"/>
              </w:rPr>
            </w:pPr>
            <w:r w:rsidRPr="00566B47">
              <w:rPr>
                <w:rFonts w:ascii="Arial Narrow" w:hAnsi="Arial Narrow"/>
              </w:rPr>
              <w:t>50%</w:t>
            </w:r>
          </w:p>
        </w:tc>
        <w:tc>
          <w:tcPr>
            <w:tcW w:w="996" w:type="pct"/>
          </w:tcPr>
          <w:p w14:paraId="751B8E5E" w14:textId="77777777" w:rsidR="007D3920" w:rsidRPr="00566B47" w:rsidRDefault="007D3920" w:rsidP="00032E3D">
            <w:pPr>
              <w:spacing w:before="40" w:after="40"/>
              <w:jc w:val="center"/>
              <w:rPr>
                <w:rFonts w:ascii="Arial Narrow" w:hAnsi="Arial Narrow"/>
              </w:rPr>
            </w:pPr>
            <w:r w:rsidRPr="00566B47">
              <w:rPr>
                <w:rFonts w:ascii="Arial Narrow" w:hAnsi="Arial Narrow"/>
              </w:rPr>
              <w:t>42.7%</w:t>
            </w:r>
          </w:p>
        </w:tc>
      </w:tr>
      <w:tr w:rsidR="007D3920" w:rsidRPr="00566B47" w14:paraId="705685FF" w14:textId="77777777" w:rsidTr="00A7564C">
        <w:trPr>
          <w:cantSplit/>
        </w:trPr>
        <w:tc>
          <w:tcPr>
            <w:tcW w:w="1015" w:type="pct"/>
          </w:tcPr>
          <w:p w14:paraId="3312E872" w14:textId="77777777" w:rsidR="007D3920" w:rsidRPr="00566B47" w:rsidRDefault="007D3920" w:rsidP="00032E3D">
            <w:pPr>
              <w:spacing w:before="40" w:after="40"/>
              <w:rPr>
                <w:rFonts w:ascii="Arial Narrow" w:hAnsi="Arial Narrow"/>
              </w:rPr>
            </w:pPr>
            <w:r w:rsidRPr="00566B47">
              <w:rPr>
                <w:rFonts w:ascii="Arial Narrow" w:hAnsi="Arial Narrow"/>
              </w:rPr>
              <w:t>Class III or IV</w:t>
            </w:r>
          </w:p>
        </w:tc>
        <w:tc>
          <w:tcPr>
            <w:tcW w:w="996" w:type="pct"/>
          </w:tcPr>
          <w:p w14:paraId="776C3AC6" w14:textId="77777777" w:rsidR="007D3920" w:rsidRPr="00566B47" w:rsidRDefault="007D3920" w:rsidP="00032E3D">
            <w:pPr>
              <w:spacing w:before="40" w:after="40"/>
              <w:jc w:val="center"/>
              <w:rPr>
                <w:rFonts w:ascii="Arial Narrow" w:hAnsi="Arial Narrow"/>
              </w:rPr>
            </w:pPr>
            <w:r w:rsidRPr="00566B47">
              <w:rPr>
                <w:rFonts w:ascii="Arial Narrow" w:hAnsi="Arial Narrow"/>
              </w:rPr>
              <w:t>13%</w:t>
            </w:r>
          </w:p>
        </w:tc>
        <w:tc>
          <w:tcPr>
            <w:tcW w:w="996" w:type="pct"/>
            <w:tcBorders>
              <w:right w:val="single" w:sz="12" w:space="0" w:color="auto"/>
            </w:tcBorders>
          </w:tcPr>
          <w:p w14:paraId="0E17A436" w14:textId="77777777" w:rsidR="007D3920" w:rsidRPr="00566B47" w:rsidRDefault="007D3920" w:rsidP="00032E3D">
            <w:pPr>
              <w:spacing w:before="40" w:after="40"/>
              <w:jc w:val="center"/>
              <w:rPr>
                <w:rFonts w:ascii="Arial Narrow" w:hAnsi="Arial Narrow"/>
              </w:rPr>
            </w:pPr>
            <w:r w:rsidRPr="00566B47">
              <w:rPr>
                <w:rFonts w:ascii="Arial Narrow" w:hAnsi="Arial Narrow"/>
              </w:rPr>
              <w:t>22.9%</w:t>
            </w:r>
          </w:p>
        </w:tc>
        <w:tc>
          <w:tcPr>
            <w:tcW w:w="996" w:type="pct"/>
            <w:tcBorders>
              <w:left w:val="single" w:sz="12" w:space="0" w:color="auto"/>
            </w:tcBorders>
          </w:tcPr>
          <w:p w14:paraId="3C035CD8" w14:textId="77777777" w:rsidR="007D3920" w:rsidRPr="00566B47" w:rsidRDefault="007D3920" w:rsidP="00032E3D">
            <w:pPr>
              <w:spacing w:before="40" w:after="40"/>
              <w:jc w:val="center"/>
              <w:rPr>
                <w:rFonts w:ascii="Arial Narrow" w:hAnsi="Arial Narrow"/>
              </w:rPr>
            </w:pPr>
            <w:r w:rsidRPr="00566B47">
              <w:rPr>
                <w:rFonts w:ascii="Arial Narrow" w:hAnsi="Arial Narrow"/>
              </w:rPr>
              <w:t>12%</w:t>
            </w:r>
          </w:p>
        </w:tc>
        <w:tc>
          <w:tcPr>
            <w:tcW w:w="996" w:type="pct"/>
          </w:tcPr>
          <w:p w14:paraId="680DB145" w14:textId="77777777" w:rsidR="007D3920" w:rsidRPr="00566B47" w:rsidRDefault="007D3920" w:rsidP="00032E3D">
            <w:pPr>
              <w:spacing w:before="40" w:after="40"/>
              <w:jc w:val="center"/>
              <w:rPr>
                <w:rFonts w:ascii="Arial Narrow" w:hAnsi="Arial Narrow"/>
              </w:rPr>
            </w:pPr>
            <w:r w:rsidRPr="00566B47">
              <w:rPr>
                <w:rFonts w:ascii="Arial Narrow" w:hAnsi="Arial Narrow"/>
              </w:rPr>
              <w:t>27.7%</w:t>
            </w:r>
          </w:p>
        </w:tc>
      </w:tr>
      <w:tr w:rsidR="007D3920" w:rsidRPr="00566B47" w14:paraId="2E1C9353" w14:textId="77777777" w:rsidTr="00A7564C">
        <w:trPr>
          <w:cantSplit/>
        </w:trPr>
        <w:tc>
          <w:tcPr>
            <w:tcW w:w="1015" w:type="pct"/>
          </w:tcPr>
          <w:p w14:paraId="425F70FC" w14:textId="77777777" w:rsidR="007D3920" w:rsidRPr="00566B47" w:rsidRDefault="007D3920" w:rsidP="00032E3D">
            <w:pPr>
              <w:spacing w:before="40" w:after="40"/>
              <w:ind w:left="179"/>
              <w:rPr>
                <w:rFonts w:ascii="Arial Narrow" w:hAnsi="Arial Narrow"/>
              </w:rPr>
            </w:pPr>
            <w:r w:rsidRPr="00566B47">
              <w:rPr>
                <w:rFonts w:ascii="Arial Narrow" w:hAnsi="Arial Narrow"/>
              </w:rPr>
              <w:t>III</w:t>
            </w:r>
          </w:p>
        </w:tc>
        <w:tc>
          <w:tcPr>
            <w:tcW w:w="996" w:type="pct"/>
          </w:tcPr>
          <w:p w14:paraId="627E5C5F" w14:textId="77777777" w:rsidR="007D3920" w:rsidRPr="00566B47" w:rsidRDefault="007D3920" w:rsidP="00032E3D">
            <w:pPr>
              <w:spacing w:before="40" w:after="40"/>
              <w:jc w:val="center"/>
              <w:rPr>
                <w:rFonts w:ascii="Arial Narrow" w:hAnsi="Arial Narrow"/>
              </w:rPr>
            </w:pPr>
            <w:r w:rsidRPr="00566B47">
              <w:rPr>
                <w:rFonts w:ascii="Arial Narrow" w:hAnsi="Arial Narrow"/>
              </w:rPr>
              <w:t>NR</w:t>
            </w:r>
          </w:p>
        </w:tc>
        <w:tc>
          <w:tcPr>
            <w:tcW w:w="996" w:type="pct"/>
            <w:tcBorders>
              <w:right w:val="single" w:sz="12" w:space="0" w:color="auto"/>
            </w:tcBorders>
          </w:tcPr>
          <w:p w14:paraId="24AA86C6" w14:textId="77777777" w:rsidR="007D3920" w:rsidRPr="00566B47" w:rsidRDefault="007D3920" w:rsidP="00032E3D">
            <w:pPr>
              <w:spacing w:before="40" w:after="40"/>
              <w:jc w:val="center"/>
              <w:rPr>
                <w:rFonts w:ascii="Arial Narrow" w:hAnsi="Arial Narrow"/>
              </w:rPr>
            </w:pPr>
            <w:r w:rsidRPr="00566B47">
              <w:rPr>
                <w:rFonts w:ascii="Arial Narrow" w:hAnsi="Arial Narrow"/>
              </w:rPr>
              <w:t>19.4%</w:t>
            </w:r>
          </w:p>
        </w:tc>
        <w:tc>
          <w:tcPr>
            <w:tcW w:w="996" w:type="pct"/>
            <w:tcBorders>
              <w:left w:val="single" w:sz="12" w:space="0" w:color="auto"/>
            </w:tcBorders>
          </w:tcPr>
          <w:p w14:paraId="3D0120BD" w14:textId="77777777" w:rsidR="007D3920" w:rsidRPr="00566B47" w:rsidRDefault="007D3920" w:rsidP="00032E3D">
            <w:pPr>
              <w:spacing w:before="40" w:after="40"/>
              <w:jc w:val="center"/>
              <w:rPr>
                <w:rFonts w:ascii="Arial Narrow" w:hAnsi="Arial Narrow"/>
              </w:rPr>
            </w:pPr>
            <w:r w:rsidRPr="00566B47">
              <w:rPr>
                <w:rFonts w:ascii="Arial Narrow" w:hAnsi="Arial Narrow"/>
              </w:rPr>
              <w:t>12%</w:t>
            </w:r>
          </w:p>
        </w:tc>
        <w:tc>
          <w:tcPr>
            <w:tcW w:w="996" w:type="pct"/>
          </w:tcPr>
          <w:p w14:paraId="6F51BF16" w14:textId="77777777" w:rsidR="007D3920" w:rsidRPr="00566B47" w:rsidRDefault="007D3920" w:rsidP="00032E3D">
            <w:pPr>
              <w:spacing w:before="40" w:after="40"/>
              <w:jc w:val="center"/>
              <w:rPr>
                <w:rFonts w:ascii="Arial Narrow" w:hAnsi="Arial Narrow"/>
              </w:rPr>
            </w:pPr>
            <w:r w:rsidRPr="00566B47">
              <w:rPr>
                <w:rFonts w:ascii="Arial Narrow" w:hAnsi="Arial Narrow"/>
              </w:rPr>
              <w:t>21.7%</w:t>
            </w:r>
          </w:p>
        </w:tc>
      </w:tr>
      <w:tr w:rsidR="007D3920" w:rsidRPr="00566B47" w14:paraId="4631CD94" w14:textId="77777777" w:rsidTr="00A7564C">
        <w:trPr>
          <w:cantSplit/>
        </w:trPr>
        <w:tc>
          <w:tcPr>
            <w:tcW w:w="1015" w:type="pct"/>
          </w:tcPr>
          <w:p w14:paraId="194C9306" w14:textId="77777777" w:rsidR="007D3920" w:rsidRPr="00566B47" w:rsidRDefault="007D3920" w:rsidP="00032E3D">
            <w:pPr>
              <w:spacing w:before="40" w:after="40"/>
              <w:ind w:left="179"/>
              <w:rPr>
                <w:rFonts w:ascii="Arial Narrow" w:hAnsi="Arial Narrow"/>
              </w:rPr>
            </w:pPr>
            <w:r w:rsidRPr="00566B47">
              <w:rPr>
                <w:rFonts w:ascii="Arial Narrow" w:hAnsi="Arial Narrow"/>
              </w:rPr>
              <w:t>IV</w:t>
            </w:r>
          </w:p>
        </w:tc>
        <w:tc>
          <w:tcPr>
            <w:tcW w:w="996" w:type="pct"/>
          </w:tcPr>
          <w:p w14:paraId="29B105AD" w14:textId="77777777" w:rsidR="007D3920" w:rsidRPr="00566B47" w:rsidRDefault="007D3920" w:rsidP="00032E3D">
            <w:pPr>
              <w:spacing w:before="40" w:after="40"/>
              <w:jc w:val="center"/>
              <w:rPr>
                <w:rFonts w:ascii="Arial Narrow" w:hAnsi="Arial Narrow"/>
              </w:rPr>
            </w:pPr>
            <w:r w:rsidRPr="00566B47">
              <w:rPr>
                <w:rFonts w:ascii="Arial Narrow" w:hAnsi="Arial Narrow"/>
              </w:rPr>
              <w:t>NR</w:t>
            </w:r>
          </w:p>
        </w:tc>
        <w:tc>
          <w:tcPr>
            <w:tcW w:w="996" w:type="pct"/>
            <w:tcBorders>
              <w:right w:val="single" w:sz="12" w:space="0" w:color="auto"/>
            </w:tcBorders>
          </w:tcPr>
          <w:p w14:paraId="0733960B" w14:textId="77777777" w:rsidR="007D3920" w:rsidRPr="00566B47" w:rsidRDefault="007D3920" w:rsidP="00032E3D">
            <w:pPr>
              <w:spacing w:before="40" w:after="40"/>
              <w:jc w:val="center"/>
              <w:rPr>
                <w:rFonts w:ascii="Arial Narrow" w:hAnsi="Arial Narrow"/>
              </w:rPr>
            </w:pPr>
            <w:r w:rsidRPr="00566B47">
              <w:rPr>
                <w:rFonts w:ascii="Arial Narrow" w:hAnsi="Arial Narrow"/>
              </w:rPr>
              <w:t>3.5%</w:t>
            </w:r>
          </w:p>
        </w:tc>
        <w:tc>
          <w:tcPr>
            <w:tcW w:w="996" w:type="pct"/>
            <w:tcBorders>
              <w:left w:val="single" w:sz="12" w:space="0" w:color="auto"/>
            </w:tcBorders>
          </w:tcPr>
          <w:p w14:paraId="610FCF74" w14:textId="77777777" w:rsidR="007D3920" w:rsidRPr="00566B47" w:rsidRDefault="007D3920" w:rsidP="00032E3D">
            <w:pPr>
              <w:spacing w:before="40" w:after="40"/>
              <w:jc w:val="center"/>
              <w:rPr>
                <w:rFonts w:ascii="Arial Narrow" w:hAnsi="Arial Narrow"/>
              </w:rPr>
            </w:pPr>
            <w:r w:rsidRPr="00566B47">
              <w:rPr>
                <w:rFonts w:ascii="Arial Narrow" w:hAnsi="Arial Narrow"/>
              </w:rPr>
              <w:t>0%</w:t>
            </w:r>
          </w:p>
        </w:tc>
        <w:tc>
          <w:tcPr>
            <w:tcW w:w="996" w:type="pct"/>
          </w:tcPr>
          <w:p w14:paraId="36967C78" w14:textId="77777777" w:rsidR="007D3920" w:rsidRPr="00566B47" w:rsidRDefault="007D3920" w:rsidP="00032E3D">
            <w:pPr>
              <w:spacing w:before="40" w:after="40"/>
              <w:jc w:val="center"/>
              <w:rPr>
                <w:rFonts w:ascii="Arial Narrow" w:hAnsi="Arial Narrow"/>
              </w:rPr>
            </w:pPr>
            <w:r w:rsidRPr="00566B47">
              <w:rPr>
                <w:rFonts w:ascii="Arial Narrow" w:hAnsi="Arial Narrow"/>
              </w:rPr>
              <w:t>5.7%</w:t>
            </w:r>
          </w:p>
        </w:tc>
      </w:tr>
    </w:tbl>
    <w:p w14:paraId="7FA87344" w14:textId="77777777" w:rsidR="007D3920" w:rsidRPr="000D426B" w:rsidRDefault="007D3920" w:rsidP="007D3920">
      <w:pPr>
        <w:pStyle w:val="Tablenotes"/>
      </w:pPr>
      <w:r w:rsidRPr="000D426B">
        <w:t>DMR</w:t>
      </w:r>
      <w:r>
        <w:t>=</w:t>
      </w:r>
      <w:r w:rsidRPr="000D426B">
        <w:t>degenerative mitral regurgitation; FMR</w:t>
      </w:r>
      <w:r>
        <w:t>=</w:t>
      </w:r>
      <w:r w:rsidRPr="000D426B">
        <w:t>functional mitral regurgitation; NYHA</w:t>
      </w:r>
      <w:r>
        <w:t>=</w:t>
      </w:r>
      <w:r w:rsidRPr="000D426B">
        <w:t>New York Heart Association</w:t>
      </w:r>
    </w:p>
    <w:p w14:paraId="7C5AE2FF" w14:textId="77777777" w:rsidR="007D3920" w:rsidRPr="000D426B" w:rsidRDefault="007D3920" w:rsidP="007D3920">
      <w:pPr>
        <w:pStyle w:val="Tablenotes"/>
        <w:tabs>
          <w:tab w:val="left" w:pos="284"/>
        </w:tabs>
      </w:pPr>
      <w:r w:rsidRPr="00181587">
        <w:rPr>
          <w:vertAlign w:val="superscript"/>
        </w:rPr>
        <w:t>a</w:t>
      </w:r>
      <w:r>
        <w:rPr>
          <w:vertAlign w:val="superscript"/>
        </w:rPr>
        <w:tab/>
      </w:r>
      <w:r w:rsidRPr="000D426B">
        <w:t xml:space="preserve">Percentages for COAPT do not include patients with </w:t>
      </w:r>
      <w:r>
        <w:t>heart failure</w:t>
      </w:r>
      <w:r w:rsidRPr="000D426B">
        <w:t xml:space="preserve"> or death</w:t>
      </w:r>
    </w:p>
    <w:p w14:paraId="71A2129B" w14:textId="5169F63E" w:rsidR="007D3920" w:rsidRDefault="007D3920" w:rsidP="007D3920">
      <w:pPr>
        <w:spacing w:after="240"/>
      </w:pPr>
      <w:r>
        <w:t xml:space="preserve">At </w:t>
      </w:r>
      <w:r>
        <w:rPr>
          <w:lang w:eastAsia="en-AU"/>
        </w:rPr>
        <w:t xml:space="preserve">baseline </w:t>
      </w:r>
      <w:r>
        <w:t>in the mixed population, just as in the FMR population,</w:t>
      </w:r>
      <w:r>
        <w:rPr>
          <w:lang w:eastAsia="en-AU"/>
        </w:rPr>
        <w:t xml:space="preserve"> the </w:t>
      </w:r>
      <w:r>
        <w:t xml:space="preserve">difference in </w:t>
      </w:r>
      <w:r w:rsidRPr="0023634F">
        <w:rPr>
          <w:lang w:eastAsia="en-AU"/>
        </w:rPr>
        <w:t>NYHA class</w:t>
      </w:r>
      <w:r>
        <w:rPr>
          <w:lang w:eastAsia="en-AU"/>
        </w:rPr>
        <w:t xml:space="preserve"> favoured EVEREST-II patients over CLASP patients. The proportion with class III or IV at baseline was 52% and 60%, respectively. At 30 days more </w:t>
      </w:r>
      <w:proofErr w:type="spellStart"/>
      <w:r>
        <w:rPr>
          <w:lang w:eastAsia="en-AU"/>
        </w:rPr>
        <w:t>MitraClip</w:t>
      </w:r>
      <w:proofErr w:type="spellEnd"/>
      <w:r>
        <w:rPr>
          <w:lang w:eastAsia="en-AU"/>
        </w:rPr>
        <w:t xml:space="preserve"> patients from the EVEREST-II study were in NYHA class I or II than PASCAL patients from CLASP (89.9% and 88% respectively). In the Mauri (2020) PASCAL study, only 72% of patients were in in NYHA class I or II. The proportion of such patients from the </w:t>
      </w:r>
      <w:proofErr w:type="spellStart"/>
      <w:r>
        <w:rPr>
          <w:lang w:eastAsia="en-AU"/>
        </w:rPr>
        <w:t>MitraClip</w:t>
      </w:r>
      <w:proofErr w:type="spellEnd"/>
      <w:r>
        <w:rPr>
          <w:lang w:eastAsia="en-AU"/>
        </w:rPr>
        <w:t xml:space="preserve"> registry was 81% (Mack 2022). After 2 years only 37% of the original CLASP cohort was available for assessment. At that time the remaining patients treated with both types of </w:t>
      </w:r>
      <w:proofErr w:type="spellStart"/>
      <w:r>
        <w:rPr>
          <w:lang w:eastAsia="en-AU"/>
        </w:rPr>
        <w:t>TMVr</w:t>
      </w:r>
      <w:proofErr w:type="spellEnd"/>
      <w:r>
        <w:rPr>
          <w:lang w:eastAsia="en-AU"/>
        </w:rPr>
        <w:t xml:space="preserve"> seemed to continue improving: 93% of PASCAL and 99.2% of EVEREST-II patients were in NYHA class I or II. </w:t>
      </w:r>
    </w:p>
    <w:p w14:paraId="71B0CA6D" w14:textId="6B397227" w:rsidR="007D3920" w:rsidRDefault="007D3920" w:rsidP="007D3920">
      <w:pPr>
        <w:pStyle w:val="Caption"/>
      </w:pPr>
      <w:bookmarkStart w:id="72" w:name="_Ref117522743"/>
      <w:r>
        <w:t xml:space="preserve">Table </w:t>
      </w:r>
      <w:fldSimple w:instr=" SEQ Table \* ARABIC ">
        <w:r w:rsidR="006902EA">
          <w:rPr>
            <w:noProof/>
          </w:rPr>
          <w:t>29</w:t>
        </w:r>
      </w:fldSimple>
      <w:bookmarkEnd w:id="72"/>
      <w:r>
        <w:tab/>
        <w:t xml:space="preserve">Naïve comparison of </w:t>
      </w:r>
      <w:r w:rsidRPr="000D426B">
        <w:t>NYHA functional class</w:t>
      </w:r>
      <w:r>
        <w:t xml:space="preserve"> in single-arm studies (mixed FMR/DMR population) </w:t>
      </w:r>
    </w:p>
    <w:tbl>
      <w:tblPr>
        <w:tblStyle w:val="MSAC"/>
        <w:tblW w:w="5226" w:type="pct"/>
        <w:tblLayout w:type="fixed"/>
        <w:tblCellMar>
          <w:left w:w="28" w:type="dxa"/>
          <w:right w:w="28" w:type="dxa"/>
        </w:tblCellMar>
        <w:tblLook w:val="04A0" w:firstRow="1" w:lastRow="0" w:firstColumn="1" w:lastColumn="0" w:noHBand="0" w:noVBand="1"/>
      </w:tblPr>
      <w:tblGrid>
        <w:gridCol w:w="2135"/>
        <w:gridCol w:w="1087"/>
        <w:gridCol w:w="1315"/>
        <w:gridCol w:w="1323"/>
        <w:gridCol w:w="1317"/>
        <w:gridCol w:w="1284"/>
        <w:gridCol w:w="1271"/>
        <w:gridCol w:w="12"/>
      </w:tblGrid>
      <w:tr w:rsidR="007D3920" w:rsidRPr="00566B47" w14:paraId="0336E7D0" w14:textId="77777777" w:rsidTr="00032E3D">
        <w:trPr>
          <w:cnfStyle w:val="100000000000" w:firstRow="1" w:lastRow="0" w:firstColumn="0" w:lastColumn="0" w:oddVBand="0" w:evenVBand="0" w:oddHBand="0" w:evenHBand="0" w:firstRowFirstColumn="0" w:firstRowLastColumn="0" w:lastRowFirstColumn="0" w:lastRowLastColumn="0"/>
          <w:cantSplit/>
        </w:trPr>
        <w:tc>
          <w:tcPr>
            <w:tcW w:w="1095" w:type="pct"/>
          </w:tcPr>
          <w:p w14:paraId="2652BD32" w14:textId="77777777" w:rsidR="007D3920" w:rsidRPr="00566B47" w:rsidRDefault="007D3920" w:rsidP="00032E3D">
            <w:pPr>
              <w:keepNext/>
              <w:keepLines/>
              <w:widowControl/>
              <w:spacing w:before="40" w:after="40"/>
              <w:rPr>
                <w:rFonts w:ascii="Arial Narrow" w:hAnsi="Arial Narrow" w:cstheme="minorHAnsi"/>
              </w:rPr>
            </w:pPr>
          </w:p>
        </w:tc>
        <w:tc>
          <w:tcPr>
            <w:tcW w:w="558" w:type="pct"/>
          </w:tcPr>
          <w:p w14:paraId="4F30FBE8" w14:textId="77777777" w:rsidR="007D3920" w:rsidRPr="00566B47" w:rsidRDefault="007D3920" w:rsidP="00032E3D">
            <w:pPr>
              <w:keepNext/>
              <w:keepLines/>
              <w:widowControl/>
              <w:spacing w:before="40" w:after="40"/>
              <w:jc w:val="center"/>
              <w:rPr>
                <w:rFonts w:ascii="Arial Narrow" w:hAnsi="Arial Narrow" w:cstheme="minorHAnsi"/>
                <w:b w:val="0"/>
              </w:rPr>
            </w:pPr>
            <w:r w:rsidRPr="00566B47">
              <w:rPr>
                <w:rFonts w:ascii="Arial Narrow" w:hAnsi="Arial Narrow" w:cstheme="minorHAnsi"/>
              </w:rPr>
              <w:t>CLASP</w:t>
            </w:r>
          </w:p>
          <w:p w14:paraId="253CDDD5" w14:textId="77777777" w:rsidR="007D3920" w:rsidRPr="00566B47" w:rsidRDefault="007D3920" w:rsidP="00032E3D">
            <w:pPr>
              <w:keepNext/>
              <w:keepLines/>
              <w:widowControl/>
              <w:spacing w:before="40" w:after="40"/>
              <w:jc w:val="center"/>
              <w:rPr>
                <w:rFonts w:ascii="Arial Narrow" w:hAnsi="Arial Narrow" w:cstheme="minorHAnsi"/>
              </w:rPr>
            </w:pPr>
            <w:r w:rsidRPr="00566B47">
              <w:rPr>
                <w:rFonts w:ascii="Arial Narrow" w:hAnsi="Arial Narrow" w:cstheme="minorHAnsi"/>
              </w:rPr>
              <w:t>(PASCAL)</w:t>
            </w:r>
          </w:p>
        </w:tc>
        <w:tc>
          <w:tcPr>
            <w:tcW w:w="675" w:type="pct"/>
          </w:tcPr>
          <w:p w14:paraId="2B16F318" w14:textId="77777777" w:rsidR="007D3920" w:rsidRPr="00566B47" w:rsidRDefault="007D3920" w:rsidP="00032E3D">
            <w:pPr>
              <w:keepNext/>
              <w:keepLines/>
              <w:widowControl/>
              <w:spacing w:before="40" w:after="40"/>
              <w:jc w:val="center"/>
              <w:rPr>
                <w:rFonts w:ascii="Arial Narrow" w:hAnsi="Arial Narrow" w:cstheme="minorHAnsi"/>
                <w:b w:val="0"/>
              </w:rPr>
            </w:pPr>
            <w:r w:rsidRPr="00566B47">
              <w:rPr>
                <w:rFonts w:ascii="Arial Narrow" w:hAnsi="Arial Narrow" w:cstheme="minorHAnsi"/>
              </w:rPr>
              <w:t>Mauri 2020</w:t>
            </w:r>
          </w:p>
          <w:p w14:paraId="2A78BAD5" w14:textId="77777777" w:rsidR="007D3920" w:rsidRPr="00566B47" w:rsidRDefault="007D3920" w:rsidP="00032E3D">
            <w:pPr>
              <w:keepNext/>
              <w:keepLines/>
              <w:widowControl/>
              <w:spacing w:before="40" w:after="40"/>
              <w:jc w:val="center"/>
              <w:rPr>
                <w:rFonts w:ascii="Arial Narrow" w:hAnsi="Arial Narrow" w:cstheme="minorHAnsi"/>
              </w:rPr>
            </w:pPr>
            <w:r w:rsidRPr="00566B47">
              <w:rPr>
                <w:rFonts w:ascii="Arial Narrow" w:hAnsi="Arial Narrow" w:cstheme="minorHAnsi"/>
              </w:rPr>
              <w:t>(PASCAL)</w:t>
            </w:r>
          </w:p>
        </w:tc>
        <w:tc>
          <w:tcPr>
            <w:tcW w:w="679" w:type="pct"/>
          </w:tcPr>
          <w:p w14:paraId="74A4526B" w14:textId="77777777" w:rsidR="007D3920" w:rsidRPr="00566B47" w:rsidRDefault="007D3920" w:rsidP="00032E3D">
            <w:pPr>
              <w:keepNext/>
              <w:keepLines/>
              <w:widowControl/>
              <w:spacing w:before="40" w:after="40"/>
              <w:jc w:val="center"/>
              <w:rPr>
                <w:rFonts w:ascii="Arial Narrow" w:hAnsi="Arial Narrow" w:cstheme="minorHAnsi"/>
                <w:b w:val="0"/>
              </w:rPr>
            </w:pPr>
            <w:r w:rsidRPr="00566B47">
              <w:rPr>
                <w:rFonts w:ascii="Arial Narrow" w:hAnsi="Arial Narrow" w:cstheme="minorHAnsi"/>
              </w:rPr>
              <w:t>EVEREST-II</w:t>
            </w:r>
          </w:p>
          <w:p w14:paraId="5EFAD94A" w14:textId="77777777" w:rsidR="007D3920" w:rsidRPr="00566B47" w:rsidRDefault="007D3920" w:rsidP="00032E3D">
            <w:pPr>
              <w:keepNext/>
              <w:keepLines/>
              <w:widowControl/>
              <w:spacing w:before="40" w:after="40"/>
              <w:jc w:val="center"/>
              <w:rPr>
                <w:rFonts w:ascii="Arial Narrow" w:hAnsi="Arial Narrow" w:cstheme="minorHAnsi"/>
              </w:rPr>
            </w:pPr>
            <w:r w:rsidRPr="00566B47">
              <w:rPr>
                <w:rFonts w:ascii="Arial Narrow" w:hAnsi="Arial Narrow" w:cstheme="minorHAnsi"/>
              </w:rPr>
              <w:t>(</w:t>
            </w:r>
            <w:proofErr w:type="spellStart"/>
            <w:r w:rsidRPr="00566B47">
              <w:rPr>
                <w:rFonts w:ascii="Arial Narrow" w:hAnsi="Arial Narrow" w:cstheme="minorHAnsi"/>
              </w:rPr>
              <w:t>MitraClip</w:t>
            </w:r>
            <w:proofErr w:type="spellEnd"/>
            <w:r w:rsidRPr="00566B47">
              <w:rPr>
                <w:rFonts w:ascii="Arial Narrow" w:hAnsi="Arial Narrow" w:cstheme="minorHAnsi"/>
              </w:rPr>
              <w:t>)</w:t>
            </w:r>
          </w:p>
        </w:tc>
        <w:tc>
          <w:tcPr>
            <w:tcW w:w="676" w:type="pct"/>
            <w:tcBorders>
              <w:right w:val="single" w:sz="12" w:space="0" w:color="auto"/>
            </w:tcBorders>
          </w:tcPr>
          <w:p w14:paraId="586EE6FD" w14:textId="77777777" w:rsidR="007D3920" w:rsidRPr="00566B47" w:rsidRDefault="007D3920" w:rsidP="00032E3D">
            <w:pPr>
              <w:keepNext/>
              <w:keepLines/>
              <w:widowControl/>
              <w:spacing w:before="40" w:after="40"/>
              <w:jc w:val="center"/>
              <w:rPr>
                <w:rFonts w:ascii="Arial Narrow" w:hAnsi="Arial Narrow" w:cstheme="minorHAnsi"/>
              </w:rPr>
            </w:pPr>
            <w:r w:rsidRPr="00566B47">
              <w:rPr>
                <w:rFonts w:ascii="Arial Narrow" w:hAnsi="Arial Narrow" w:cstheme="minorHAnsi"/>
              </w:rPr>
              <w:t>Mack 2022 (</w:t>
            </w:r>
            <w:proofErr w:type="spellStart"/>
            <w:r w:rsidRPr="00566B47">
              <w:rPr>
                <w:rFonts w:ascii="Arial Narrow" w:hAnsi="Arial Narrow" w:cstheme="minorHAnsi"/>
              </w:rPr>
              <w:t>MitraClip</w:t>
            </w:r>
            <w:proofErr w:type="spellEnd"/>
            <w:r w:rsidRPr="00566B47">
              <w:rPr>
                <w:rFonts w:ascii="Arial Narrow" w:hAnsi="Arial Narrow" w:cstheme="minorHAnsi"/>
              </w:rPr>
              <w:t>)</w:t>
            </w:r>
          </w:p>
        </w:tc>
        <w:tc>
          <w:tcPr>
            <w:tcW w:w="659" w:type="pct"/>
            <w:tcBorders>
              <w:left w:val="single" w:sz="12" w:space="0" w:color="auto"/>
            </w:tcBorders>
          </w:tcPr>
          <w:p w14:paraId="31A06276" w14:textId="77777777" w:rsidR="007D3920" w:rsidRPr="00566B47" w:rsidRDefault="007D3920" w:rsidP="00032E3D">
            <w:pPr>
              <w:keepNext/>
              <w:keepLines/>
              <w:widowControl/>
              <w:spacing w:before="40" w:after="40"/>
              <w:jc w:val="center"/>
              <w:rPr>
                <w:rFonts w:ascii="Arial Narrow" w:hAnsi="Arial Narrow" w:cstheme="minorHAnsi"/>
                <w:b w:val="0"/>
              </w:rPr>
            </w:pPr>
            <w:r w:rsidRPr="00566B47">
              <w:rPr>
                <w:rFonts w:ascii="Arial Narrow" w:hAnsi="Arial Narrow" w:cstheme="minorHAnsi"/>
              </w:rPr>
              <w:t>CLASP</w:t>
            </w:r>
          </w:p>
          <w:p w14:paraId="70EE0794" w14:textId="77777777" w:rsidR="007D3920" w:rsidRPr="00566B47" w:rsidRDefault="007D3920" w:rsidP="00032E3D">
            <w:pPr>
              <w:keepNext/>
              <w:keepLines/>
              <w:widowControl/>
              <w:spacing w:before="40" w:after="40"/>
              <w:jc w:val="center"/>
              <w:rPr>
                <w:rFonts w:ascii="Arial Narrow" w:hAnsi="Arial Narrow" w:cstheme="minorHAnsi"/>
              </w:rPr>
            </w:pPr>
            <w:r w:rsidRPr="00566B47">
              <w:rPr>
                <w:rFonts w:ascii="Arial Narrow" w:hAnsi="Arial Narrow" w:cstheme="minorHAnsi"/>
              </w:rPr>
              <w:t>(PASCAL)</w:t>
            </w:r>
          </w:p>
        </w:tc>
        <w:tc>
          <w:tcPr>
            <w:tcW w:w="658" w:type="pct"/>
            <w:gridSpan w:val="2"/>
          </w:tcPr>
          <w:p w14:paraId="76A5BA3D" w14:textId="77777777" w:rsidR="007D3920" w:rsidRPr="00566B47" w:rsidRDefault="007D3920" w:rsidP="00032E3D">
            <w:pPr>
              <w:keepNext/>
              <w:keepLines/>
              <w:widowControl/>
              <w:spacing w:before="40" w:after="40"/>
              <w:jc w:val="center"/>
              <w:rPr>
                <w:rFonts w:ascii="Arial Narrow" w:hAnsi="Arial Narrow" w:cstheme="minorHAnsi"/>
                <w:b w:val="0"/>
              </w:rPr>
            </w:pPr>
            <w:r w:rsidRPr="00566B47">
              <w:rPr>
                <w:rFonts w:ascii="Arial Narrow" w:hAnsi="Arial Narrow" w:cstheme="minorHAnsi"/>
              </w:rPr>
              <w:t>EVEREST-II</w:t>
            </w:r>
          </w:p>
          <w:p w14:paraId="4EE6B191" w14:textId="77777777" w:rsidR="007D3920" w:rsidRPr="00566B47" w:rsidRDefault="007D3920" w:rsidP="00032E3D">
            <w:pPr>
              <w:keepNext/>
              <w:keepLines/>
              <w:widowControl/>
              <w:spacing w:before="40" w:after="40"/>
              <w:jc w:val="center"/>
              <w:rPr>
                <w:rFonts w:ascii="Arial Narrow" w:hAnsi="Arial Narrow" w:cstheme="minorHAnsi"/>
              </w:rPr>
            </w:pPr>
            <w:r w:rsidRPr="00566B47">
              <w:rPr>
                <w:rFonts w:ascii="Arial Narrow" w:hAnsi="Arial Narrow" w:cstheme="minorHAnsi"/>
              </w:rPr>
              <w:t>(</w:t>
            </w:r>
            <w:proofErr w:type="spellStart"/>
            <w:r w:rsidRPr="00566B47">
              <w:rPr>
                <w:rFonts w:ascii="Arial Narrow" w:hAnsi="Arial Narrow" w:cstheme="minorHAnsi"/>
              </w:rPr>
              <w:t>MitraClip</w:t>
            </w:r>
            <w:proofErr w:type="spellEnd"/>
            <w:r w:rsidRPr="00566B47">
              <w:rPr>
                <w:rFonts w:ascii="Arial Narrow" w:hAnsi="Arial Narrow" w:cstheme="minorHAnsi"/>
              </w:rPr>
              <w:t>)</w:t>
            </w:r>
          </w:p>
        </w:tc>
      </w:tr>
      <w:tr w:rsidR="007D3920" w:rsidRPr="00566B47" w14:paraId="2FCDE685" w14:textId="77777777" w:rsidTr="00032E3D">
        <w:trPr>
          <w:cantSplit/>
          <w:trHeight w:val="700"/>
        </w:trPr>
        <w:tc>
          <w:tcPr>
            <w:tcW w:w="1095" w:type="pct"/>
          </w:tcPr>
          <w:p w14:paraId="6C67CBC2" w14:textId="77777777" w:rsidR="007D3920" w:rsidRPr="00566B47" w:rsidRDefault="007D3920" w:rsidP="00032E3D">
            <w:pPr>
              <w:keepNext/>
              <w:keepLines/>
              <w:widowControl/>
              <w:spacing w:before="40" w:after="40"/>
              <w:rPr>
                <w:rFonts w:ascii="Arial Narrow" w:hAnsi="Arial Narrow" w:cstheme="minorHAnsi"/>
                <w:b/>
              </w:rPr>
            </w:pPr>
            <w:r w:rsidRPr="00566B47">
              <w:rPr>
                <w:rFonts w:ascii="Arial Narrow" w:hAnsi="Arial Narrow" w:cstheme="minorHAnsi"/>
                <w:b/>
              </w:rPr>
              <w:t>NYHA functional class, n (%)</w:t>
            </w:r>
          </w:p>
        </w:tc>
        <w:tc>
          <w:tcPr>
            <w:tcW w:w="558" w:type="pct"/>
          </w:tcPr>
          <w:p w14:paraId="6500D055" w14:textId="77777777" w:rsidR="007D3920" w:rsidRPr="00566B47" w:rsidRDefault="007D3920" w:rsidP="00032E3D">
            <w:pPr>
              <w:keepNext/>
              <w:keepLines/>
              <w:widowControl/>
              <w:spacing w:before="40" w:after="40"/>
              <w:jc w:val="center"/>
              <w:rPr>
                <w:rFonts w:ascii="Arial Narrow" w:hAnsi="Arial Narrow" w:cstheme="minorHAnsi"/>
                <w:b/>
              </w:rPr>
            </w:pPr>
            <w:r w:rsidRPr="00566B47">
              <w:rPr>
                <w:rFonts w:ascii="Arial Narrow" w:hAnsi="Arial Narrow" w:cstheme="minorHAnsi"/>
                <w:b/>
              </w:rPr>
              <w:t>N=122</w:t>
            </w:r>
          </w:p>
          <w:p w14:paraId="6B452B36" w14:textId="77777777" w:rsidR="007D3920" w:rsidRPr="00566B47" w:rsidRDefault="007D3920" w:rsidP="00032E3D">
            <w:pPr>
              <w:keepNext/>
              <w:keepLines/>
              <w:widowControl/>
              <w:spacing w:before="40" w:after="40"/>
              <w:jc w:val="center"/>
              <w:rPr>
                <w:rFonts w:ascii="Arial Narrow" w:hAnsi="Arial Narrow" w:cstheme="minorHAnsi"/>
                <w:bCs/>
                <w:i/>
                <w:iCs/>
              </w:rPr>
            </w:pPr>
            <w:r w:rsidRPr="00566B47">
              <w:rPr>
                <w:rFonts w:ascii="Arial Narrow" w:hAnsi="Arial Narrow" w:cstheme="minorHAnsi"/>
                <w:bCs/>
                <w:i/>
                <w:iCs/>
              </w:rPr>
              <w:t>69% FMR</w:t>
            </w:r>
          </w:p>
          <w:p w14:paraId="5797AAC1" w14:textId="77777777" w:rsidR="007D3920" w:rsidRPr="00566B47" w:rsidRDefault="007D3920" w:rsidP="00032E3D">
            <w:pPr>
              <w:keepNext/>
              <w:keepLines/>
              <w:widowControl/>
              <w:spacing w:before="40" w:after="40"/>
              <w:jc w:val="center"/>
              <w:rPr>
                <w:rFonts w:ascii="Arial Narrow" w:hAnsi="Arial Narrow" w:cstheme="minorHAnsi"/>
                <w:b/>
              </w:rPr>
            </w:pPr>
            <w:r w:rsidRPr="00566B47">
              <w:rPr>
                <w:rFonts w:ascii="Arial Narrow" w:hAnsi="Arial Narrow" w:cstheme="minorHAnsi"/>
                <w:bCs/>
                <w:i/>
                <w:iCs/>
              </w:rPr>
              <w:t>31% DMR</w:t>
            </w:r>
          </w:p>
        </w:tc>
        <w:tc>
          <w:tcPr>
            <w:tcW w:w="675" w:type="pct"/>
          </w:tcPr>
          <w:p w14:paraId="707E9CEE" w14:textId="77777777" w:rsidR="007D3920" w:rsidRPr="00566B47" w:rsidRDefault="007D3920" w:rsidP="00032E3D">
            <w:pPr>
              <w:keepNext/>
              <w:keepLines/>
              <w:widowControl/>
              <w:spacing w:before="40" w:after="40"/>
              <w:jc w:val="center"/>
              <w:rPr>
                <w:rFonts w:ascii="Arial Narrow" w:hAnsi="Arial Narrow" w:cstheme="minorHAnsi"/>
                <w:b/>
              </w:rPr>
            </w:pPr>
            <w:r w:rsidRPr="00566B47">
              <w:rPr>
                <w:rFonts w:ascii="Arial Narrow" w:hAnsi="Arial Narrow" w:cstheme="minorHAnsi"/>
                <w:b/>
              </w:rPr>
              <w:t>N=264</w:t>
            </w:r>
          </w:p>
          <w:p w14:paraId="4457491A" w14:textId="77777777" w:rsidR="007D3920" w:rsidRPr="00566B47" w:rsidRDefault="007D3920" w:rsidP="00032E3D">
            <w:pPr>
              <w:keepNext/>
              <w:keepLines/>
              <w:widowControl/>
              <w:spacing w:before="40" w:after="40"/>
              <w:jc w:val="center"/>
              <w:rPr>
                <w:rFonts w:ascii="Arial Narrow" w:hAnsi="Arial Narrow" w:cstheme="minorHAnsi"/>
                <w:bCs/>
                <w:i/>
                <w:iCs/>
              </w:rPr>
            </w:pPr>
            <w:r w:rsidRPr="00566B47">
              <w:rPr>
                <w:rFonts w:ascii="Arial Narrow" w:hAnsi="Arial Narrow" w:cstheme="minorHAnsi"/>
                <w:bCs/>
                <w:i/>
                <w:iCs/>
              </w:rPr>
              <w:t>51.5% FMR</w:t>
            </w:r>
          </w:p>
          <w:p w14:paraId="639C40FC" w14:textId="77777777" w:rsidR="007D3920" w:rsidRPr="00566B47" w:rsidRDefault="007D3920" w:rsidP="00032E3D">
            <w:pPr>
              <w:keepNext/>
              <w:keepLines/>
              <w:widowControl/>
              <w:spacing w:before="40" w:after="40"/>
              <w:jc w:val="center"/>
              <w:rPr>
                <w:rFonts w:ascii="Arial Narrow" w:hAnsi="Arial Narrow" w:cstheme="minorHAnsi"/>
                <w:bCs/>
                <w:i/>
                <w:iCs/>
              </w:rPr>
            </w:pPr>
            <w:r w:rsidRPr="00566B47">
              <w:rPr>
                <w:rFonts w:ascii="Arial Narrow" w:hAnsi="Arial Narrow" w:cstheme="minorHAnsi"/>
                <w:bCs/>
                <w:i/>
                <w:iCs/>
              </w:rPr>
              <w:t>32.7% DMR</w:t>
            </w:r>
          </w:p>
          <w:p w14:paraId="7C75FBE1" w14:textId="77777777" w:rsidR="007D3920" w:rsidRPr="00566B47" w:rsidRDefault="007D3920" w:rsidP="00032E3D">
            <w:pPr>
              <w:keepNext/>
              <w:keepLines/>
              <w:widowControl/>
              <w:spacing w:before="40" w:after="40"/>
              <w:jc w:val="center"/>
              <w:rPr>
                <w:rFonts w:ascii="Arial Narrow" w:hAnsi="Arial Narrow" w:cstheme="minorHAnsi"/>
              </w:rPr>
            </w:pPr>
            <w:r w:rsidRPr="00566B47">
              <w:rPr>
                <w:rFonts w:ascii="Arial Narrow" w:hAnsi="Arial Narrow" w:cstheme="minorHAnsi"/>
                <w:i/>
                <w:iCs/>
              </w:rPr>
              <w:t>15.9% both</w:t>
            </w:r>
          </w:p>
        </w:tc>
        <w:tc>
          <w:tcPr>
            <w:tcW w:w="679" w:type="pct"/>
          </w:tcPr>
          <w:p w14:paraId="554CDC00" w14:textId="77777777" w:rsidR="007D3920" w:rsidRPr="00566B47" w:rsidRDefault="007D3920" w:rsidP="00032E3D">
            <w:pPr>
              <w:keepNext/>
              <w:keepLines/>
              <w:widowControl/>
              <w:spacing w:before="40" w:after="40"/>
              <w:jc w:val="center"/>
              <w:rPr>
                <w:rFonts w:ascii="Arial Narrow" w:hAnsi="Arial Narrow" w:cstheme="minorHAnsi"/>
                <w:b/>
              </w:rPr>
            </w:pPr>
            <w:r w:rsidRPr="00566B47">
              <w:rPr>
                <w:rFonts w:ascii="Arial Narrow" w:hAnsi="Arial Narrow" w:cstheme="minorHAnsi"/>
                <w:b/>
              </w:rPr>
              <w:t>N=168</w:t>
            </w:r>
          </w:p>
          <w:p w14:paraId="00A0D02F" w14:textId="77777777" w:rsidR="007D3920" w:rsidRPr="00566B47" w:rsidRDefault="007D3920" w:rsidP="00032E3D">
            <w:pPr>
              <w:keepNext/>
              <w:keepLines/>
              <w:widowControl/>
              <w:spacing w:before="40" w:after="40"/>
              <w:jc w:val="center"/>
              <w:rPr>
                <w:rFonts w:ascii="Arial Narrow" w:hAnsi="Arial Narrow" w:cstheme="minorHAnsi"/>
                <w:bCs/>
                <w:i/>
                <w:iCs/>
              </w:rPr>
            </w:pPr>
            <w:r w:rsidRPr="00566B47">
              <w:rPr>
                <w:rFonts w:ascii="Arial Narrow" w:hAnsi="Arial Narrow" w:cstheme="minorHAnsi"/>
                <w:bCs/>
                <w:i/>
                <w:iCs/>
              </w:rPr>
              <w:t>27% FMR</w:t>
            </w:r>
          </w:p>
          <w:p w14:paraId="345F48EE" w14:textId="77777777" w:rsidR="007D3920" w:rsidRPr="00566B47" w:rsidRDefault="007D3920" w:rsidP="00032E3D">
            <w:pPr>
              <w:keepNext/>
              <w:keepLines/>
              <w:widowControl/>
              <w:spacing w:before="40" w:after="40"/>
              <w:jc w:val="center"/>
              <w:rPr>
                <w:rFonts w:ascii="Arial Narrow" w:hAnsi="Arial Narrow" w:cstheme="minorHAnsi"/>
                <w:b/>
              </w:rPr>
            </w:pPr>
            <w:r w:rsidRPr="00566B47">
              <w:rPr>
                <w:rFonts w:ascii="Arial Narrow" w:hAnsi="Arial Narrow" w:cstheme="minorHAnsi"/>
                <w:bCs/>
                <w:i/>
                <w:iCs/>
              </w:rPr>
              <w:t>73% DMR</w:t>
            </w:r>
          </w:p>
        </w:tc>
        <w:tc>
          <w:tcPr>
            <w:tcW w:w="676" w:type="pct"/>
            <w:tcBorders>
              <w:right w:val="single" w:sz="12" w:space="0" w:color="auto"/>
            </w:tcBorders>
          </w:tcPr>
          <w:p w14:paraId="467DB298" w14:textId="77777777" w:rsidR="007D3920" w:rsidRPr="00566B47" w:rsidRDefault="007D3920" w:rsidP="00032E3D">
            <w:pPr>
              <w:keepNext/>
              <w:keepLines/>
              <w:widowControl/>
              <w:spacing w:before="40" w:after="40"/>
              <w:jc w:val="center"/>
              <w:rPr>
                <w:rFonts w:ascii="Arial Narrow" w:hAnsi="Arial Narrow" w:cstheme="minorHAnsi"/>
                <w:b/>
              </w:rPr>
            </w:pPr>
            <w:r w:rsidRPr="00566B47">
              <w:rPr>
                <w:rFonts w:ascii="Arial Narrow" w:hAnsi="Arial Narrow" w:cstheme="minorHAnsi"/>
                <w:b/>
              </w:rPr>
              <w:t>N=10,460</w:t>
            </w:r>
          </w:p>
          <w:p w14:paraId="5F395848" w14:textId="77777777" w:rsidR="007D3920" w:rsidRPr="00566B47" w:rsidRDefault="007D3920" w:rsidP="00032E3D">
            <w:pPr>
              <w:keepNext/>
              <w:keepLines/>
              <w:widowControl/>
              <w:spacing w:before="40" w:after="40"/>
              <w:jc w:val="center"/>
              <w:rPr>
                <w:rFonts w:ascii="Arial Narrow" w:hAnsi="Arial Narrow" w:cstheme="minorHAnsi"/>
                <w:bCs/>
                <w:i/>
                <w:iCs/>
              </w:rPr>
            </w:pPr>
            <w:r w:rsidRPr="00566B47">
              <w:rPr>
                <w:rFonts w:ascii="Arial Narrow" w:hAnsi="Arial Narrow" w:cstheme="minorHAnsi"/>
                <w:bCs/>
                <w:i/>
                <w:iCs/>
              </w:rPr>
              <w:t>15.07% FMR</w:t>
            </w:r>
          </w:p>
          <w:p w14:paraId="35FCA942" w14:textId="77777777" w:rsidR="007D3920" w:rsidRPr="00566B47" w:rsidRDefault="007D3920" w:rsidP="00032E3D">
            <w:pPr>
              <w:keepNext/>
              <w:keepLines/>
              <w:widowControl/>
              <w:spacing w:before="40" w:after="40"/>
              <w:jc w:val="center"/>
              <w:rPr>
                <w:rFonts w:ascii="Arial Narrow" w:hAnsi="Arial Narrow" w:cstheme="minorHAnsi"/>
                <w:bCs/>
                <w:i/>
                <w:iCs/>
              </w:rPr>
            </w:pPr>
            <w:r w:rsidRPr="00566B47">
              <w:rPr>
                <w:rFonts w:ascii="Arial Narrow" w:hAnsi="Arial Narrow" w:cstheme="minorHAnsi"/>
                <w:bCs/>
                <w:i/>
                <w:iCs/>
              </w:rPr>
              <w:t>68.3% DMR</w:t>
            </w:r>
          </w:p>
          <w:p w14:paraId="38F6206B" w14:textId="77777777" w:rsidR="007D3920" w:rsidRPr="00566B47" w:rsidRDefault="007D3920" w:rsidP="00032E3D">
            <w:pPr>
              <w:keepNext/>
              <w:keepLines/>
              <w:widowControl/>
              <w:spacing w:before="40" w:after="40"/>
              <w:jc w:val="center"/>
              <w:rPr>
                <w:rFonts w:ascii="Arial Narrow" w:hAnsi="Arial Narrow" w:cstheme="minorHAnsi"/>
                <w:i/>
                <w:iCs/>
              </w:rPr>
            </w:pPr>
            <w:r w:rsidRPr="00566B47">
              <w:rPr>
                <w:rFonts w:ascii="Arial Narrow" w:hAnsi="Arial Narrow" w:cstheme="minorHAnsi"/>
                <w:i/>
                <w:iCs/>
              </w:rPr>
              <w:t>11.2% both</w:t>
            </w:r>
          </w:p>
          <w:p w14:paraId="554681BC" w14:textId="77777777" w:rsidR="007D3920" w:rsidRPr="00566B47" w:rsidRDefault="007D3920" w:rsidP="00032E3D">
            <w:pPr>
              <w:keepNext/>
              <w:keepLines/>
              <w:widowControl/>
              <w:spacing w:before="40" w:after="40"/>
              <w:jc w:val="center"/>
              <w:rPr>
                <w:rFonts w:ascii="Arial Narrow" w:hAnsi="Arial Narrow" w:cstheme="minorHAnsi"/>
                <w:bCs/>
                <w:i/>
                <w:iCs/>
              </w:rPr>
            </w:pPr>
            <w:r w:rsidRPr="00566B47">
              <w:rPr>
                <w:rFonts w:ascii="Arial Narrow" w:hAnsi="Arial Narrow" w:cstheme="minorHAnsi"/>
                <w:bCs/>
                <w:i/>
                <w:iCs/>
              </w:rPr>
              <w:t>4.% none</w:t>
            </w:r>
          </w:p>
        </w:tc>
        <w:tc>
          <w:tcPr>
            <w:tcW w:w="659" w:type="pct"/>
            <w:tcBorders>
              <w:left w:val="single" w:sz="12" w:space="0" w:color="auto"/>
            </w:tcBorders>
          </w:tcPr>
          <w:p w14:paraId="0CEBF379" w14:textId="77777777" w:rsidR="007D3920" w:rsidRPr="00566B47" w:rsidRDefault="007D3920" w:rsidP="00032E3D">
            <w:pPr>
              <w:keepNext/>
              <w:keepLines/>
              <w:widowControl/>
              <w:spacing w:before="40" w:after="40"/>
              <w:jc w:val="center"/>
              <w:rPr>
                <w:rFonts w:ascii="Arial Narrow" w:hAnsi="Arial Narrow" w:cstheme="minorHAnsi"/>
                <w:bCs/>
              </w:rPr>
            </w:pPr>
            <w:r w:rsidRPr="00566B47">
              <w:rPr>
                <w:rFonts w:ascii="Arial Narrow" w:hAnsi="Arial Narrow" w:cstheme="minorHAnsi"/>
                <w:b/>
              </w:rPr>
              <w:t>N=46</w:t>
            </w:r>
          </w:p>
        </w:tc>
        <w:tc>
          <w:tcPr>
            <w:tcW w:w="658" w:type="pct"/>
            <w:gridSpan w:val="2"/>
          </w:tcPr>
          <w:p w14:paraId="52E82B31" w14:textId="77777777" w:rsidR="007D3920" w:rsidRPr="00566B47" w:rsidRDefault="007D3920" w:rsidP="00032E3D">
            <w:pPr>
              <w:keepNext/>
              <w:keepLines/>
              <w:widowControl/>
              <w:spacing w:before="40" w:after="40"/>
              <w:jc w:val="center"/>
              <w:rPr>
                <w:rFonts w:ascii="Arial Narrow" w:hAnsi="Arial Narrow" w:cstheme="minorHAnsi"/>
                <w:bCs/>
              </w:rPr>
            </w:pPr>
            <w:r w:rsidRPr="00566B47">
              <w:rPr>
                <w:rFonts w:ascii="Arial Narrow" w:hAnsi="Arial Narrow" w:cstheme="minorHAnsi"/>
                <w:b/>
              </w:rPr>
              <w:t>N=168</w:t>
            </w:r>
          </w:p>
        </w:tc>
      </w:tr>
      <w:tr w:rsidR="007D3920" w:rsidRPr="00566B47" w14:paraId="4C434856" w14:textId="77777777" w:rsidTr="00032E3D">
        <w:trPr>
          <w:gridAfter w:val="1"/>
          <w:wAfter w:w="6" w:type="pct"/>
          <w:cantSplit/>
        </w:trPr>
        <w:tc>
          <w:tcPr>
            <w:tcW w:w="1095" w:type="pct"/>
          </w:tcPr>
          <w:p w14:paraId="09114F7E" w14:textId="77777777" w:rsidR="007D3920" w:rsidRPr="00566B47" w:rsidRDefault="007D3920" w:rsidP="00032E3D">
            <w:pPr>
              <w:keepNext/>
              <w:keepLines/>
              <w:widowControl/>
              <w:spacing w:before="40" w:after="40"/>
              <w:rPr>
                <w:rFonts w:ascii="Arial Narrow" w:hAnsi="Arial Narrow"/>
              </w:rPr>
            </w:pPr>
          </w:p>
        </w:tc>
        <w:tc>
          <w:tcPr>
            <w:tcW w:w="2588" w:type="pct"/>
            <w:gridSpan w:val="4"/>
            <w:tcBorders>
              <w:right w:val="single" w:sz="12" w:space="0" w:color="auto"/>
            </w:tcBorders>
          </w:tcPr>
          <w:p w14:paraId="782339B6" w14:textId="77777777" w:rsidR="007D3920" w:rsidRPr="00566B47" w:rsidRDefault="007D3920" w:rsidP="00032E3D">
            <w:pPr>
              <w:keepNext/>
              <w:keepLines/>
              <w:widowControl/>
              <w:spacing w:before="40" w:after="40"/>
              <w:jc w:val="center"/>
              <w:rPr>
                <w:rFonts w:ascii="Arial Narrow" w:hAnsi="Arial Narrow"/>
              </w:rPr>
            </w:pPr>
            <w:r w:rsidRPr="00566B47">
              <w:rPr>
                <w:rFonts w:ascii="Arial Narrow" w:hAnsi="Arial Narrow"/>
              </w:rPr>
              <w:t>30 days</w:t>
            </w:r>
          </w:p>
        </w:tc>
        <w:tc>
          <w:tcPr>
            <w:tcW w:w="1311" w:type="pct"/>
            <w:gridSpan w:val="2"/>
            <w:tcBorders>
              <w:left w:val="single" w:sz="12" w:space="0" w:color="auto"/>
            </w:tcBorders>
          </w:tcPr>
          <w:p w14:paraId="7A69EA02" w14:textId="77777777" w:rsidR="007D3920" w:rsidRPr="00566B47" w:rsidRDefault="007D3920" w:rsidP="00032E3D">
            <w:pPr>
              <w:keepNext/>
              <w:keepLines/>
              <w:widowControl/>
              <w:spacing w:before="40" w:after="40"/>
              <w:jc w:val="center"/>
              <w:rPr>
                <w:rFonts w:ascii="Arial Narrow" w:hAnsi="Arial Narrow"/>
              </w:rPr>
            </w:pPr>
            <w:r w:rsidRPr="00566B47">
              <w:rPr>
                <w:rFonts w:ascii="Arial Narrow" w:hAnsi="Arial Narrow"/>
              </w:rPr>
              <w:t>12 months</w:t>
            </w:r>
          </w:p>
        </w:tc>
      </w:tr>
      <w:tr w:rsidR="007D3920" w:rsidRPr="00566B47" w14:paraId="5CD6E6E4" w14:textId="77777777" w:rsidTr="00032E3D">
        <w:trPr>
          <w:cantSplit/>
        </w:trPr>
        <w:tc>
          <w:tcPr>
            <w:tcW w:w="1095" w:type="pct"/>
          </w:tcPr>
          <w:p w14:paraId="4C3ADD97" w14:textId="77777777" w:rsidR="007D3920" w:rsidRPr="00566B47" w:rsidRDefault="007D3920" w:rsidP="00032E3D">
            <w:pPr>
              <w:keepNext/>
              <w:keepLines/>
              <w:widowControl/>
              <w:spacing w:before="40" w:after="40"/>
              <w:rPr>
                <w:rFonts w:ascii="Arial Narrow" w:hAnsi="Arial Narrow"/>
              </w:rPr>
            </w:pPr>
            <w:r w:rsidRPr="00566B47">
              <w:rPr>
                <w:rFonts w:ascii="Arial Narrow" w:hAnsi="Arial Narrow"/>
              </w:rPr>
              <w:t>Class I or II</w:t>
            </w:r>
          </w:p>
        </w:tc>
        <w:tc>
          <w:tcPr>
            <w:tcW w:w="558" w:type="pct"/>
          </w:tcPr>
          <w:p w14:paraId="0953B53D" w14:textId="77777777" w:rsidR="007D3920" w:rsidRPr="00566B47" w:rsidRDefault="007D3920" w:rsidP="00032E3D">
            <w:pPr>
              <w:keepNext/>
              <w:keepLines/>
              <w:widowControl/>
              <w:spacing w:before="40" w:after="40"/>
              <w:jc w:val="center"/>
              <w:rPr>
                <w:rFonts w:ascii="Arial Narrow" w:hAnsi="Arial Narrow"/>
              </w:rPr>
            </w:pPr>
            <w:r w:rsidRPr="00566B47">
              <w:rPr>
                <w:rFonts w:ascii="Arial Narrow" w:hAnsi="Arial Narrow"/>
              </w:rPr>
              <w:t>88%</w:t>
            </w:r>
          </w:p>
        </w:tc>
        <w:tc>
          <w:tcPr>
            <w:tcW w:w="675" w:type="pct"/>
          </w:tcPr>
          <w:p w14:paraId="6B5C8E4B" w14:textId="77777777" w:rsidR="007D3920" w:rsidRPr="00566B47" w:rsidRDefault="007D3920" w:rsidP="00032E3D">
            <w:pPr>
              <w:keepNext/>
              <w:keepLines/>
              <w:widowControl/>
              <w:spacing w:before="40" w:after="40"/>
              <w:jc w:val="center"/>
              <w:rPr>
                <w:rFonts w:ascii="Arial Narrow" w:hAnsi="Arial Narrow"/>
              </w:rPr>
            </w:pPr>
            <w:r w:rsidRPr="00566B47">
              <w:rPr>
                <w:rFonts w:ascii="Arial Narrow" w:hAnsi="Arial Narrow"/>
              </w:rPr>
              <w:t>72%</w:t>
            </w:r>
          </w:p>
        </w:tc>
        <w:tc>
          <w:tcPr>
            <w:tcW w:w="679" w:type="pct"/>
          </w:tcPr>
          <w:p w14:paraId="58CBC8BC" w14:textId="77777777" w:rsidR="007D3920" w:rsidRPr="00566B47" w:rsidRDefault="007D3920" w:rsidP="00032E3D">
            <w:pPr>
              <w:keepNext/>
              <w:keepLines/>
              <w:widowControl/>
              <w:spacing w:before="40" w:after="40"/>
              <w:jc w:val="center"/>
              <w:rPr>
                <w:rFonts w:ascii="Arial Narrow" w:hAnsi="Arial Narrow"/>
              </w:rPr>
            </w:pPr>
            <w:r w:rsidRPr="00566B47">
              <w:rPr>
                <w:rFonts w:ascii="Arial Narrow" w:hAnsi="Arial Narrow"/>
              </w:rPr>
              <w:t>89.9%</w:t>
            </w:r>
          </w:p>
        </w:tc>
        <w:tc>
          <w:tcPr>
            <w:tcW w:w="676" w:type="pct"/>
            <w:tcBorders>
              <w:right w:val="single" w:sz="12" w:space="0" w:color="auto"/>
            </w:tcBorders>
          </w:tcPr>
          <w:p w14:paraId="1CE0A6F2" w14:textId="77777777" w:rsidR="007D3920" w:rsidRPr="00566B47" w:rsidRDefault="007D3920" w:rsidP="00032E3D">
            <w:pPr>
              <w:keepNext/>
              <w:keepLines/>
              <w:widowControl/>
              <w:spacing w:before="40" w:after="40"/>
              <w:jc w:val="center"/>
              <w:rPr>
                <w:rFonts w:ascii="Arial Narrow" w:hAnsi="Arial Narrow"/>
              </w:rPr>
            </w:pPr>
            <w:r w:rsidRPr="00566B47">
              <w:rPr>
                <w:rFonts w:ascii="Arial Narrow" w:hAnsi="Arial Narrow"/>
              </w:rPr>
              <w:t>81%</w:t>
            </w:r>
          </w:p>
        </w:tc>
        <w:tc>
          <w:tcPr>
            <w:tcW w:w="659" w:type="pct"/>
            <w:tcBorders>
              <w:left w:val="single" w:sz="12" w:space="0" w:color="auto"/>
            </w:tcBorders>
          </w:tcPr>
          <w:p w14:paraId="717152CD" w14:textId="77777777" w:rsidR="007D3920" w:rsidRPr="00566B47" w:rsidRDefault="007D3920" w:rsidP="00032E3D">
            <w:pPr>
              <w:keepNext/>
              <w:keepLines/>
              <w:widowControl/>
              <w:spacing w:before="40" w:after="40"/>
              <w:jc w:val="center"/>
              <w:rPr>
                <w:rFonts w:ascii="Arial Narrow" w:hAnsi="Arial Narrow"/>
              </w:rPr>
            </w:pPr>
            <w:r w:rsidRPr="00566B47">
              <w:rPr>
                <w:rFonts w:ascii="Arial Narrow" w:hAnsi="Arial Narrow"/>
              </w:rPr>
              <w:t>93%</w:t>
            </w:r>
          </w:p>
        </w:tc>
        <w:tc>
          <w:tcPr>
            <w:tcW w:w="658" w:type="pct"/>
            <w:gridSpan w:val="2"/>
          </w:tcPr>
          <w:p w14:paraId="238267DA" w14:textId="77777777" w:rsidR="007D3920" w:rsidRPr="00566B47" w:rsidRDefault="007D3920" w:rsidP="00032E3D">
            <w:pPr>
              <w:keepNext/>
              <w:keepLines/>
              <w:widowControl/>
              <w:spacing w:before="40" w:after="40"/>
              <w:jc w:val="center"/>
              <w:rPr>
                <w:rFonts w:ascii="Arial Narrow" w:hAnsi="Arial Narrow"/>
              </w:rPr>
            </w:pPr>
            <w:r w:rsidRPr="00566B47">
              <w:rPr>
                <w:rFonts w:ascii="Arial Narrow" w:hAnsi="Arial Narrow"/>
              </w:rPr>
              <w:t>99.2%</w:t>
            </w:r>
          </w:p>
        </w:tc>
      </w:tr>
      <w:tr w:rsidR="007D3920" w:rsidRPr="00566B47" w14:paraId="199ACEC1" w14:textId="77777777" w:rsidTr="00032E3D">
        <w:trPr>
          <w:cantSplit/>
        </w:trPr>
        <w:tc>
          <w:tcPr>
            <w:tcW w:w="1095" w:type="pct"/>
          </w:tcPr>
          <w:p w14:paraId="3B64AAB8" w14:textId="77777777" w:rsidR="007D3920" w:rsidRPr="00566B47" w:rsidRDefault="007D3920" w:rsidP="00032E3D">
            <w:pPr>
              <w:keepNext/>
              <w:keepLines/>
              <w:widowControl/>
              <w:spacing w:before="40" w:after="40"/>
              <w:ind w:left="179"/>
              <w:rPr>
                <w:rFonts w:ascii="Arial Narrow" w:hAnsi="Arial Narrow"/>
              </w:rPr>
            </w:pPr>
            <w:r w:rsidRPr="00566B47">
              <w:rPr>
                <w:rFonts w:ascii="Arial Narrow" w:hAnsi="Arial Narrow"/>
              </w:rPr>
              <w:t>I</w:t>
            </w:r>
          </w:p>
        </w:tc>
        <w:tc>
          <w:tcPr>
            <w:tcW w:w="558" w:type="pct"/>
          </w:tcPr>
          <w:p w14:paraId="1FF63248" w14:textId="77777777" w:rsidR="007D3920" w:rsidRPr="00566B47" w:rsidRDefault="007D3920" w:rsidP="00032E3D">
            <w:pPr>
              <w:keepNext/>
              <w:keepLines/>
              <w:widowControl/>
              <w:spacing w:before="40" w:after="40"/>
              <w:jc w:val="center"/>
              <w:rPr>
                <w:rFonts w:ascii="Arial Narrow" w:hAnsi="Arial Narrow"/>
              </w:rPr>
            </w:pPr>
            <w:r w:rsidRPr="00566B47">
              <w:rPr>
                <w:rFonts w:ascii="Arial Narrow" w:hAnsi="Arial Narrow"/>
              </w:rPr>
              <w:t>38%</w:t>
            </w:r>
          </w:p>
        </w:tc>
        <w:tc>
          <w:tcPr>
            <w:tcW w:w="675" w:type="pct"/>
          </w:tcPr>
          <w:p w14:paraId="42F3BB0A" w14:textId="77777777" w:rsidR="007D3920" w:rsidRPr="00566B47" w:rsidRDefault="007D3920" w:rsidP="00032E3D">
            <w:pPr>
              <w:keepNext/>
              <w:keepLines/>
              <w:widowControl/>
              <w:spacing w:before="40" w:after="40"/>
              <w:jc w:val="center"/>
              <w:rPr>
                <w:rFonts w:ascii="Arial Narrow" w:hAnsi="Arial Narrow"/>
              </w:rPr>
            </w:pPr>
            <w:r w:rsidRPr="00566B47">
              <w:rPr>
                <w:rFonts w:ascii="Arial Narrow" w:hAnsi="Arial Narrow"/>
              </w:rPr>
              <w:t>24%</w:t>
            </w:r>
          </w:p>
        </w:tc>
        <w:tc>
          <w:tcPr>
            <w:tcW w:w="679" w:type="pct"/>
          </w:tcPr>
          <w:p w14:paraId="1B5B4208" w14:textId="77777777" w:rsidR="007D3920" w:rsidRPr="00566B47" w:rsidRDefault="007D3920" w:rsidP="00032E3D">
            <w:pPr>
              <w:keepNext/>
              <w:keepLines/>
              <w:widowControl/>
              <w:spacing w:before="40" w:after="40"/>
              <w:jc w:val="center"/>
              <w:rPr>
                <w:rFonts w:ascii="Arial Narrow" w:hAnsi="Arial Narrow"/>
              </w:rPr>
            </w:pPr>
            <w:r w:rsidRPr="00566B47">
              <w:rPr>
                <w:rFonts w:ascii="Arial Narrow" w:hAnsi="Arial Narrow"/>
              </w:rPr>
              <w:t>50.0%</w:t>
            </w:r>
          </w:p>
        </w:tc>
        <w:tc>
          <w:tcPr>
            <w:tcW w:w="676" w:type="pct"/>
            <w:tcBorders>
              <w:right w:val="single" w:sz="12" w:space="0" w:color="auto"/>
            </w:tcBorders>
          </w:tcPr>
          <w:p w14:paraId="1700E6C1" w14:textId="77777777" w:rsidR="007D3920" w:rsidRPr="00566B47" w:rsidRDefault="007D3920" w:rsidP="00032E3D">
            <w:pPr>
              <w:keepNext/>
              <w:keepLines/>
              <w:widowControl/>
              <w:spacing w:before="40" w:after="40"/>
              <w:jc w:val="center"/>
              <w:rPr>
                <w:rFonts w:ascii="Arial Narrow" w:hAnsi="Arial Narrow"/>
              </w:rPr>
            </w:pPr>
            <w:r w:rsidRPr="00566B47">
              <w:rPr>
                <w:rFonts w:ascii="Arial Narrow" w:hAnsi="Arial Narrow"/>
              </w:rPr>
              <w:t>36.9%</w:t>
            </w:r>
          </w:p>
        </w:tc>
        <w:tc>
          <w:tcPr>
            <w:tcW w:w="659" w:type="pct"/>
            <w:tcBorders>
              <w:left w:val="single" w:sz="12" w:space="0" w:color="auto"/>
            </w:tcBorders>
          </w:tcPr>
          <w:p w14:paraId="18A13649" w14:textId="77777777" w:rsidR="007D3920" w:rsidRPr="00566B47" w:rsidRDefault="007D3920" w:rsidP="00032E3D">
            <w:pPr>
              <w:keepNext/>
              <w:keepLines/>
              <w:widowControl/>
              <w:spacing w:before="40" w:after="40"/>
              <w:jc w:val="center"/>
              <w:rPr>
                <w:rFonts w:ascii="Arial Narrow" w:hAnsi="Arial Narrow"/>
                <w:i/>
                <w:iCs/>
              </w:rPr>
            </w:pPr>
            <w:r w:rsidRPr="00566B47">
              <w:rPr>
                <w:rFonts w:ascii="Arial Narrow" w:hAnsi="Arial Narrow"/>
              </w:rPr>
              <w:t>54%</w:t>
            </w:r>
          </w:p>
        </w:tc>
        <w:tc>
          <w:tcPr>
            <w:tcW w:w="658" w:type="pct"/>
            <w:gridSpan w:val="2"/>
          </w:tcPr>
          <w:p w14:paraId="7BAC3C86" w14:textId="77777777" w:rsidR="007D3920" w:rsidRPr="00566B47" w:rsidRDefault="007D3920" w:rsidP="00032E3D">
            <w:pPr>
              <w:keepNext/>
              <w:keepLines/>
              <w:widowControl/>
              <w:spacing w:before="40" w:after="40"/>
              <w:jc w:val="center"/>
              <w:rPr>
                <w:rFonts w:ascii="Arial Narrow" w:hAnsi="Arial Narrow"/>
              </w:rPr>
            </w:pPr>
            <w:r w:rsidRPr="00566B47">
              <w:rPr>
                <w:rFonts w:ascii="Arial Narrow" w:hAnsi="Arial Narrow"/>
              </w:rPr>
              <w:t>67.4%</w:t>
            </w:r>
          </w:p>
        </w:tc>
      </w:tr>
      <w:tr w:rsidR="007D3920" w:rsidRPr="00566B47" w14:paraId="06015469" w14:textId="77777777" w:rsidTr="00032E3D">
        <w:trPr>
          <w:cantSplit/>
        </w:trPr>
        <w:tc>
          <w:tcPr>
            <w:tcW w:w="1095" w:type="pct"/>
          </w:tcPr>
          <w:p w14:paraId="62FA6F25" w14:textId="77777777" w:rsidR="007D3920" w:rsidRPr="00566B47" w:rsidRDefault="007D3920" w:rsidP="00032E3D">
            <w:pPr>
              <w:keepNext/>
              <w:keepLines/>
              <w:widowControl/>
              <w:spacing w:before="40" w:after="40"/>
              <w:ind w:left="179"/>
              <w:rPr>
                <w:rFonts w:ascii="Arial Narrow" w:hAnsi="Arial Narrow"/>
              </w:rPr>
            </w:pPr>
            <w:r w:rsidRPr="00566B47">
              <w:rPr>
                <w:rFonts w:ascii="Arial Narrow" w:hAnsi="Arial Narrow"/>
              </w:rPr>
              <w:t>II</w:t>
            </w:r>
          </w:p>
        </w:tc>
        <w:tc>
          <w:tcPr>
            <w:tcW w:w="558" w:type="pct"/>
          </w:tcPr>
          <w:p w14:paraId="3C86BEA6" w14:textId="77777777" w:rsidR="007D3920" w:rsidRPr="00566B47" w:rsidRDefault="007D3920" w:rsidP="00032E3D">
            <w:pPr>
              <w:keepNext/>
              <w:keepLines/>
              <w:widowControl/>
              <w:spacing w:before="40" w:after="40"/>
              <w:jc w:val="center"/>
              <w:rPr>
                <w:rFonts w:ascii="Arial Narrow" w:hAnsi="Arial Narrow"/>
              </w:rPr>
            </w:pPr>
            <w:r w:rsidRPr="00566B47">
              <w:rPr>
                <w:rFonts w:ascii="Arial Narrow" w:hAnsi="Arial Narrow"/>
              </w:rPr>
              <w:t>50%</w:t>
            </w:r>
          </w:p>
        </w:tc>
        <w:tc>
          <w:tcPr>
            <w:tcW w:w="675" w:type="pct"/>
          </w:tcPr>
          <w:p w14:paraId="184CC8D7" w14:textId="77777777" w:rsidR="007D3920" w:rsidRPr="00566B47" w:rsidRDefault="007D3920" w:rsidP="00032E3D">
            <w:pPr>
              <w:keepNext/>
              <w:keepLines/>
              <w:widowControl/>
              <w:spacing w:before="40" w:after="40"/>
              <w:jc w:val="center"/>
              <w:rPr>
                <w:rFonts w:ascii="Arial Narrow" w:hAnsi="Arial Narrow"/>
              </w:rPr>
            </w:pPr>
            <w:r w:rsidRPr="00566B47">
              <w:rPr>
                <w:rFonts w:ascii="Arial Narrow" w:hAnsi="Arial Narrow"/>
              </w:rPr>
              <w:t>48%</w:t>
            </w:r>
          </w:p>
        </w:tc>
        <w:tc>
          <w:tcPr>
            <w:tcW w:w="679" w:type="pct"/>
          </w:tcPr>
          <w:p w14:paraId="54C18E1C" w14:textId="77777777" w:rsidR="007D3920" w:rsidRPr="00566B47" w:rsidRDefault="007D3920" w:rsidP="00032E3D">
            <w:pPr>
              <w:keepNext/>
              <w:keepLines/>
              <w:widowControl/>
              <w:spacing w:before="40" w:after="40"/>
              <w:jc w:val="center"/>
              <w:rPr>
                <w:rFonts w:ascii="Arial Narrow" w:hAnsi="Arial Narrow"/>
              </w:rPr>
            </w:pPr>
            <w:r w:rsidRPr="00566B47">
              <w:rPr>
                <w:rFonts w:ascii="Arial Narrow" w:hAnsi="Arial Narrow"/>
              </w:rPr>
              <w:t>39.9%</w:t>
            </w:r>
          </w:p>
        </w:tc>
        <w:tc>
          <w:tcPr>
            <w:tcW w:w="676" w:type="pct"/>
            <w:tcBorders>
              <w:right w:val="single" w:sz="12" w:space="0" w:color="auto"/>
            </w:tcBorders>
          </w:tcPr>
          <w:p w14:paraId="2075B63E" w14:textId="77777777" w:rsidR="007D3920" w:rsidRPr="00566B47" w:rsidRDefault="007D3920" w:rsidP="00032E3D">
            <w:pPr>
              <w:keepNext/>
              <w:keepLines/>
              <w:widowControl/>
              <w:spacing w:before="40" w:after="40"/>
              <w:jc w:val="center"/>
              <w:rPr>
                <w:rFonts w:ascii="Arial Narrow" w:hAnsi="Arial Narrow"/>
              </w:rPr>
            </w:pPr>
            <w:r w:rsidRPr="00566B47">
              <w:rPr>
                <w:rFonts w:ascii="Arial Narrow" w:hAnsi="Arial Narrow"/>
              </w:rPr>
              <w:t>44.1%</w:t>
            </w:r>
          </w:p>
        </w:tc>
        <w:tc>
          <w:tcPr>
            <w:tcW w:w="659" w:type="pct"/>
            <w:tcBorders>
              <w:left w:val="single" w:sz="12" w:space="0" w:color="auto"/>
            </w:tcBorders>
          </w:tcPr>
          <w:p w14:paraId="5EDD3BD8" w14:textId="77777777" w:rsidR="007D3920" w:rsidRPr="00566B47" w:rsidRDefault="007D3920" w:rsidP="00032E3D">
            <w:pPr>
              <w:keepNext/>
              <w:keepLines/>
              <w:widowControl/>
              <w:spacing w:before="40" w:after="40"/>
              <w:jc w:val="center"/>
              <w:rPr>
                <w:rFonts w:ascii="Arial Narrow" w:hAnsi="Arial Narrow"/>
                <w:i/>
                <w:iCs/>
              </w:rPr>
            </w:pPr>
            <w:r w:rsidRPr="00566B47">
              <w:rPr>
                <w:rFonts w:ascii="Arial Narrow" w:hAnsi="Arial Narrow"/>
              </w:rPr>
              <w:t>39%</w:t>
            </w:r>
          </w:p>
        </w:tc>
        <w:tc>
          <w:tcPr>
            <w:tcW w:w="658" w:type="pct"/>
            <w:gridSpan w:val="2"/>
          </w:tcPr>
          <w:p w14:paraId="684DA6B5" w14:textId="77777777" w:rsidR="007D3920" w:rsidRPr="00566B47" w:rsidRDefault="007D3920" w:rsidP="00032E3D">
            <w:pPr>
              <w:keepNext/>
              <w:keepLines/>
              <w:widowControl/>
              <w:spacing w:before="40" w:after="40"/>
              <w:jc w:val="center"/>
              <w:rPr>
                <w:rFonts w:ascii="Arial Narrow" w:hAnsi="Arial Narrow"/>
              </w:rPr>
            </w:pPr>
            <w:r w:rsidRPr="00566B47">
              <w:rPr>
                <w:rFonts w:ascii="Arial Narrow" w:hAnsi="Arial Narrow"/>
              </w:rPr>
              <w:t>31.8%</w:t>
            </w:r>
          </w:p>
        </w:tc>
      </w:tr>
      <w:tr w:rsidR="007D3920" w:rsidRPr="00566B47" w14:paraId="496FD435" w14:textId="77777777" w:rsidTr="00032E3D">
        <w:trPr>
          <w:cantSplit/>
        </w:trPr>
        <w:tc>
          <w:tcPr>
            <w:tcW w:w="1095" w:type="pct"/>
          </w:tcPr>
          <w:p w14:paraId="7C0FEDC6" w14:textId="77777777" w:rsidR="007D3920" w:rsidRPr="00566B47" w:rsidRDefault="007D3920" w:rsidP="00032E3D">
            <w:pPr>
              <w:keepNext/>
              <w:keepLines/>
              <w:widowControl/>
              <w:spacing w:before="40" w:after="40"/>
              <w:rPr>
                <w:rFonts w:ascii="Arial Narrow" w:hAnsi="Arial Narrow"/>
              </w:rPr>
            </w:pPr>
            <w:r w:rsidRPr="00566B47">
              <w:rPr>
                <w:rFonts w:ascii="Arial Narrow" w:hAnsi="Arial Narrow"/>
              </w:rPr>
              <w:t>Class III or IV</w:t>
            </w:r>
          </w:p>
        </w:tc>
        <w:tc>
          <w:tcPr>
            <w:tcW w:w="558" w:type="pct"/>
          </w:tcPr>
          <w:p w14:paraId="0A21B686" w14:textId="77777777" w:rsidR="007D3920" w:rsidRPr="00566B47" w:rsidRDefault="007D3920" w:rsidP="00032E3D">
            <w:pPr>
              <w:keepNext/>
              <w:keepLines/>
              <w:widowControl/>
              <w:spacing w:before="40" w:after="40"/>
              <w:jc w:val="center"/>
              <w:rPr>
                <w:rFonts w:ascii="Arial Narrow" w:hAnsi="Arial Narrow"/>
              </w:rPr>
            </w:pPr>
            <w:r w:rsidRPr="00566B47">
              <w:rPr>
                <w:rFonts w:ascii="Arial Narrow" w:hAnsi="Arial Narrow"/>
              </w:rPr>
              <w:t>12%</w:t>
            </w:r>
          </w:p>
        </w:tc>
        <w:tc>
          <w:tcPr>
            <w:tcW w:w="675" w:type="pct"/>
          </w:tcPr>
          <w:p w14:paraId="4A63F43E" w14:textId="77777777" w:rsidR="007D3920" w:rsidRPr="00566B47" w:rsidRDefault="007D3920" w:rsidP="00032E3D">
            <w:pPr>
              <w:keepNext/>
              <w:keepLines/>
              <w:widowControl/>
              <w:spacing w:before="40" w:after="40"/>
              <w:jc w:val="center"/>
              <w:rPr>
                <w:rFonts w:ascii="Arial Narrow" w:hAnsi="Arial Narrow"/>
              </w:rPr>
            </w:pPr>
            <w:r w:rsidRPr="00566B47">
              <w:rPr>
                <w:rFonts w:ascii="Arial Narrow" w:hAnsi="Arial Narrow"/>
              </w:rPr>
              <w:t>28%</w:t>
            </w:r>
          </w:p>
        </w:tc>
        <w:tc>
          <w:tcPr>
            <w:tcW w:w="679" w:type="pct"/>
          </w:tcPr>
          <w:p w14:paraId="779DC5E3" w14:textId="77777777" w:rsidR="007D3920" w:rsidRPr="00566B47" w:rsidRDefault="007D3920" w:rsidP="00032E3D">
            <w:pPr>
              <w:keepNext/>
              <w:keepLines/>
              <w:widowControl/>
              <w:spacing w:before="40" w:after="40"/>
              <w:jc w:val="center"/>
              <w:rPr>
                <w:rFonts w:ascii="Arial Narrow" w:hAnsi="Arial Narrow"/>
              </w:rPr>
            </w:pPr>
            <w:r w:rsidRPr="00566B47">
              <w:rPr>
                <w:rFonts w:ascii="Arial Narrow" w:hAnsi="Arial Narrow"/>
              </w:rPr>
              <w:t>10.1%</w:t>
            </w:r>
          </w:p>
        </w:tc>
        <w:tc>
          <w:tcPr>
            <w:tcW w:w="676" w:type="pct"/>
            <w:tcBorders>
              <w:right w:val="single" w:sz="12" w:space="0" w:color="auto"/>
            </w:tcBorders>
          </w:tcPr>
          <w:p w14:paraId="7ABD8DB9" w14:textId="77777777" w:rsidR="007D3920" w:rsidRPr="00566B47" w:rsidRDefault="007D3920" w:rsidP="00032E3D">
            <w:pPr>
              <w:keepNext/>
              <w:keepLines/>
              <w:widowControl/>
              <w:spacing w:before="40" w:after="40"/>
              <w:jc w:val="center"/>
              <w:rPr>
                <w:rFonts w:ascii="Arial Narrow" w:hAnsi="Arial Narrow"/>
              </w:rPr>
            </w:pPr>
            <w:r w:rsidRPr="00566B47">
              <w:rPr>
                <w:rFonts w:ascii="Arial Narrow" w:hAnsi="Arial Narrow"/>
              </w:rPr>
              <w:t>19.1%</w:t>
            </w:r>
          </w:p>
        </w:tc>
        <w:tc>
          <w:tcPr>
            <w:tcW w:w="659" w:type="pct"/>
            <w:tcBorders>
              <w:left w:val="single" w:sz="12" w:space="0" w:color="auto"/>
            </w:tcBorders>
          </w:tcPr>
          <w:p w14:paraId="54F2E093" w14:textId="77777777" w:rsidR="007D3920" w:rsidRPr="00566B47" w:rsidRDefault="007D3920" w:rsidP="00032E3D">
            <w:pPr>
              <w:keepNext/>
              <w:keepLines/>
              <w:widowControl/>
              <w:spacing w:before="40" w:after="40"/>
              <w:jc w:val="center"/>
              <w:rPr>
                <w:rFonts w:ascii="Arial Narrow" w:hAnsi="Arial Narrow"/>
                <w:i/>
                <w:iCs/>
              </w:rPr>
            </w:pPr>
            <w:r w:rsidRPr="00566B47">
              <w:rPr>
                <w:rFonts w:ascii="Arial Narrow" w:hAnsi="Arial Narrow"/>
              </w:rPr>
              <w:t>7%</w:t>
            </w:r>
          </w:p>
        </w:tc>
        <w:tc>
          <w:tcPr>
            <w:tcW w:w="658" w:type="pct"/>
            <w:gridSpan w:val="2"/>
          </w:tcPr>
          <w:p w14:paraId="049E56AD" w14:textId="77777777" w:rsidR="007D3920" w:rsidRPr="00566B47" w:rsidRDefault="007D3920" w:rsidP="00032E3D">
            <w:pPr>
              <w:keepNext/>
              <w:keepLines/>
              <w:widowControl/>
              <w:spacing w:before="40" w:after="40"/>
              <w:jc w:val="center"/>
              <w:rPr>
                <w:rFonts w:ascii="Arial Narrow" w:hAnsi="Arial Narrow"/>
              </w:rPr>
            </w:pPr>
            <w:r w:rsidRPr="00566B47">
              <w:rPr>
                <w:rFonts w:ascii="Arial Narrow" w:hAnsi="Arial Narrow"/>
              </w:rPr>
              <w:t>0.8%</w:t>
            </w:r>
          </w:p>
        </w:tc>
      </w:tr>
      <w:tr w:rsidR="007D3920" w:rsidRPr="00566B47" w14:paraId="067A5E4B" w14:textId="77777777" w:rsidTr="00032E3D">
        <w:trPr>
          <w:cantSplit/>
        </w:trPr>
        <w:tc>
          <w:tcPr>
            <w:tcW w:w="1095" w:type="pct"/>
          </w:tcPr>
          <w:p w14:paraId="622CD948" w14:textId="77777777" w:rsidR="007D3920" w:rsidRPr="00566B47" w:rsidRDefault="007D3920" w:rsidP="00032E3D">
            <w:pPr>
              <w:keepNext/>
              <w:keepLines/>
              <w:widowControl/>
              <w:spacing w:before="40" w:after="40"/>
              <w:ind w:left="179"/>
              <w:rPr>
                <w:rFonts w:ascii="Arial Narrow" w:hAnsi="Arial Narrow"/>
              </w:rPr>
            </w:pPr>
            <w:r w:rsidRPr="00566B47">
              <w:rPr>
                <w:rFonts w:ascii="Arial Narrow" w:hAnsi="Arial Narrow"/>
              </w:rPr>
              <w:t>III</w:t>
            </w:r>
          </w:p>
        </w:tc>
        <w:tc>
          <w:tcPr>
            <w:tcW w:w="558" w:type="pct"/>
          </w:tcPr>
          <w:p w14:paraId="6D988BCD" w14:textId="77777777" w:rsidR="007D3920" w:rsidRPr="00566B47" w:rsidRDefault="007D3920" w:rsidP="00032E3D">
            <w:pPr>
              <w:keepNext/>
              <w:keepLines/>
              <w:widowControl/>
              <w:spacing w:before="40" w:after="40"/>
              <w:jc w:val="center"/>
              <w:rPr>
                <w:rFonts w:ascii="Arial Narrow" w:hAnsi="Arial Narrow"/>
              </w:rPr>
            </w:pPr>
            <w:r w:rsidRPr="00566B47">
              <w:rPr>
                <w:rFonts w:ascii="Arial Narrow" w:hAnsi="Arial Narrow"/>
              </w:rPr>
              <w:t>NR</w:t>
            </w:r>
          </w:p>
        </w:tc>
        <w:tc>
          <w:tcPr>
            <w:tcW w:w="675" w:type="pct"/>
          </w:tcPr>
          <w:p w14:paraId="10381FDA" w14:textId="77777777" w:rsidR="007D3920" w:rsidRPr="00566B47" w:rsidRDefault="007D3920" w:rsidP="00032E3D">
            <w:pPr>
              <w:keepNext/>
              <w:keepLines/>
              <w:widowControl/>
              <w:spacing w:before="40" w:after="40"/>
              <w:jc w:val="center"/>
              <w:rPr>
                <w:rFonts w:ascii="Arial Narrow" w:hAnsi="Arial Narrow"/>
              </w:rPr>
            </w:pPr>
            <w:r w:rsidRPr="00566B47">
              <w:rPr>
                <w:rFonts w:ascii="Arial Narrow" w:hAnsi="Arial Narrow"/>
              </w:rPr>
              <w:t>26%</w:t>
            </w:r>
          </w:p>
        </w:tc>
        <w:tc>
          <w:tcPr>
            <w:tcW w:w="679" w:type="pct"/>
          </w:tcPr>
          <w:p w14:paraId="542AA2B8" w14:textId="77777777" w:rsidR="007D3920" w:rsidRPr="00566B47" w:rsidRDefault="007D3920" w:rsidP="00032E3D">
            <w:pPr>
              <w:keepNext/>
              <w:keepLines/>
              <w:widowControl/>
              <w:spacing w:before="40" w:after="40"/>
              <w:jc w:val="center"/>
              <w:rPr>
                <w:rFonts w:ascii="Arial Narrow" w:hAnsi="Arial Narrow"/>
              </w:rPr>
            </w:pPr>
            <w:r w:rsidRPr="00566B47">
              <w:rPr>
                <w:rFonts w:ascii="Arial Narrow" w:hAnsi="Arial Narrow"/>
              </w:rPr>
              <w:t>10.1%</w:t>
            </w:r>
          </w:p>
        </w:tc>
        <w:tc>
          <w:tcPr>
            <w:tcW w:w="676" w:type="pct"/>
            <w:tcBorders>
              <w:right w:val="single" w:sz="12" w:space="0" w:color="auto"/>
            </w:tcBorders>
          </w:tcPr>
          <w:p w14:paraId="02B1535A" w14:textId="77777777" w:rsidR="007D3920" w:rsidRPr="00566B47" w:rsidRDefault="007D3920" w:rsidP="00032E3D">
            <w:pPr>
              <w:keepNext/>
              <w:keepLines/>
              <w:widowControl/>
              <w:spacing w:before="40" w:after="40"/>
              <w:jc w:val="center"/>
              <w:rPr>
                <w:rFonts w:ascii="Arial Narrow" w:hAnsi="Arial Narrow"/>
              </w:rPr>
            </w:pPr>
            <w:r w:rsidRPr="00566B47">
              <w:rPr>
                <w:rFonts w:ascii="Arial Narrow" w:hAnsi="Arial Narrow"/>
              </w:rPr>
              <w:t>16.4%</w:t>
            </w:r>
          </w:p>
        </w:tc>
        <w:tc>
          <w:tcPr>
            <w:tcW w:w="659" w:type="pct"/>
            <w:tcBorders>
              <w:left w:val="single" w:sz="12" w:space="0" w:color="auto"/>
            </w:tcBorders>
          </w:tcPr>
          <w:p w14:paraId="67D74363" w14:textId="77777777" w:rsidR="007D3920" w:rsidRPr="00566B47" w:rsidRDefault="007D3920" w:rsidP="00032E3D">
            <w:pPr>
              <w:keepNext/>
              <w:keepLines/>
              <w:widowControl/>
              <w:spacing w:before="40" w:after="40"/>
              <w:jc w:val="center"/>
              <w:rPr>
                <w:rFonts w:ascii="Arial Narrow" w:hAnsi="Arial Narrow"/>
                <w:i/>
                <w:iCs/>
              </w:rPr>
            </w:pPr>
            <w:r w:rsidRPr="00566B47">
              <w:rPr>
                <w:rFonts w:ascii="Arial Narrow" w:hAnsi="Arial Narrow"/>
              </w:rPr>
              <w:t>7%</w:t>
            </w:r>
          </w:p>
        </w:tc>
        <w:tc>
          <w:tcPr>
            <w:tcW w:w="658" w:type="pct"/>
            <w:gridSpan w:val="2"/>
          </w:tcPr>
          <w:p w14:paraId="484126CD" w14:textId="77777777" w:rsidR="007D3920" w:rsidRPr="00566B47" w:rsidRDefault="007D3920" w:rsidP="00032E3D">
            <w:pPr>
              <w:keepNext/>
              <w:keepLines/>
              <w:widowControl/>
              <w:spacing w:before="40" w:after="40"/>
              <w:jc w:val="center"/>
              <w:rPr>
                <w:rFonts w:ascii="Arial Narrow" w:hAnsi="Arial Narrow"/>
              </w:rPr>
            </w:pPr>
            <w:r w:rsidRPr="00566B47">
              <w:rPr>
                <w:rFonts w:ascii="Arial Narrow" w:hAnsi="Arial Narrow"/>
              </w:rPr>
              <w:t>0.8%</w:t>
            </w:r>
          </w:p>
        </w:tc>
      </w:tr>
      <w:tr w:rsidR="007D3920" w:rsidRPr="00566B47" w14:paraId="5C489A32" w14:textId="77777777" w:rsidTr="00032E3D">
        <w:trPr>
          <w:cantSplit/>
        </w:trPr>
        <w:tc>
          <w:tcPr>
            <w:tcW w:w="1095" w:type="pct"/>
          </w:tcPr>
          <w:p w14:paraId="1F80123A" w14:textId="77777777" w:rsidR="007D3920" w:rsidRPr="00566B47" w:rsidRDefault="007D3920" w:rsidP="00032E3D">
            <w:pPr>
              <w:keepNext/>
              <w:keepLines/>
              <w:widowControl/>
              <w:spacing w:before="40" w:after="40"/>
              <w:ind w:left="179"/>
              <w:rPr>
                <w:rFonts w:ascii="Arial Narrow" w:hAnsi="Arial Narrow"/>
              </w:rPr>
            </w:pPr>
            <w:r w:rsidRPr="00566B47">
              <w:rPr>
                <w:rFonts w:ascii="Arial Narrow" w:hAnsi="Arial Narrow"/>
              </w:rPr>
              <w:t>IV</w:t>
            </w:r>
          </w:p>
        </w:tc>
        <w:tc>
          <w:tcPr>
            <w:tcW w:w="558" w:type="pct"/>
          </w:tcPr>
          <w:p w14:paraId="0F4810A4" w14:textId="77777777" w:rsidR="007D3920" w:rsidRPr="00566B47" w:rsidRDefault="007D3920" w:rsidP="00032E3D">
            <w:pPr>
              <w:keepNext/>
              <w:keepLines/>
              <w:widowControl/>
              <w:spacing w:before="40" w:after="40"/>
              <w:jc w:val="center"/>
              <w:rPr>
                <w:rFonts w:ascii="Arial Narrow" w:hAnsi="Arial Narrow"/>
              </w:rPr>
            </w:pPr>
            <w:r w:rsidRPr="00566B47">
              <w:rPr>
                <w:rFonts w:ascii="Arial Narrow" w:hAnsi="Arial Narrow"/>
              </w:rPr>
              <w:t>NR</w:t>
            </w:r>
          </w:p>
        </w:tc>
        <w:tc>
          <w:tcPr>
            <w:tcW w:w="675" w:type="pct"/>
          </w:tcPr>
          <w:p w14:paraId="5AB327B0" w14:textId="77777777" w:rsidR="007D3920" w:rsidRPr="00566B47" w:rsidRDefault="007D3920" w:rsidP="00032E3D">
            <w:pPr>
              <w:keepNext/>
              <w:keepLines/>
              <w:widowControl/>
              <w:spacing w:before="40" w:after="40"/>
              <w:jc w:val="center"/>
              <w:rPr>
                <w:rFonts w:ascii="Arial Narrow" w:hAnsi="Arial Narrow"/>
              </w:rPr>
            </w:pPr>
            <w:r w:rsidRPr="00566B47">
              <w:rPr>
                <w:rFonts w:ascii="Arial Narrow" w:hAnsi="Arial Narrow"/>
              </w:rPr>
              <w:t>2%</w:t>
            </w:r>
          </w:p>
        </w:tc>
        <w:tc>
          <w:tcPr>
            <w:tcW w:w="679" w:type="pct"/>
          </w:tcPr>
          <w:p w14:paraId="2606690D" w14:textId="77777777" w:rsidR="007D3920" w:rsidRPr="00566B47" w:rsidRDefault="007D3920" w:rsidP="00032E3D">
            <w:pPr>
              <w:keepNext/>
              <w:keepLines/>
              <w:widowControl/>
              <w:spacing w:before="40" w:after="40"/>
              <w:jc w:val="center"/>
              <w:rPr>
                <w:rFonts w:ascii="Arial Narrow" w:hAnsi="Arial Narrow"/>
              </w:rPr>
            </w:pPr>
            <w:r w:rsidRPr="00566B47">
              <w:rPr>
                <w:rFonts w:ascii="Arial Narrow" w:hAnsi="Arial Narrow"/>
              </w:rPr>
              <w:t>0%</w:t>
            </w:r>
          </w:p>
        </w:tc>
        <w:tc>
          <w:tcPr>
            <w:tcW w:w="676" w:type="pct"/>
            <w:tcBorders>
              <w:right w:val="single" w:sz="12" w:space="0" w:color="auto"/>
            </w:tcBorders>
          </w:tcPr>
          <w:p w14:paraId="5EF8D097" w14:textId="77777777" w:rsidR="007D3920" w:rsidRPr="00566B47" w:rsidRDefault="007D3920" w:rsidP="00032E3D">
            <w:pPr>
              <w:keepNext/>
              <w:keepLines/>
              <w:widowControl/>
              <w:spacing w:before="40" w:after="40"/>
              <w:jc w:val="center"/>
              <w:rPr>
                <w:rFonts w:ascii="Arial Narrow" w:hAnsi="Arial Narrow"/>
              </w:rPr>
            </w:pPr>
            <w:r w:rsidRPr="00566B47">
              <w:rPr>
                <w:rFonts w:ascii="Arial Narrow" w:hAnsi="Arial Narrow"/>
              </w:rPr>
              <w:t>2.7%</w:t>
            </w:r>
          </w:p>
        </w:tc>
        <w:tc>
          <w:tcPr>
            <w:tcW w:w="659" w:type="pct"/>
            <w:tcBorders>
              <w:left w:val="single" w:sz="12" w:space="0" w:color="auto"/>
            </w:tcBorders>
          </w:tcPr>
          <w:p w14:paraId="0A672BE4" w14:textId="77777777" w:rsidR="007D3920" w:rsidRPr="00566B47" w:rsidRDefault="007D3920" w:rsidP="00032E3D">
            <w:pPr>
              <w:keepNext/>
              <w:keepLines/>
              <w:widowControl/>
              <w:spacing w:before="40" w:after="40"/>
              <w:jc w:val="center"/>
              <w:rPr>
                <w:rFonts w:ascii="Arial Narrow" w:hAnsi="Arial Narrow"/>
                <w:i/>
                <w:iCs/>
              </w:rPr>
            </w:pPr>
            <w:r w:rsidRPr="00566B47">
              <w:rPr>
                <w:rFonts w:ascii="Arial Narrow" w:hAnsi="Arial Narrow"/>
              </w:rPr>
              <w:t>0%</w:t>
            </w:r>
          </w:p>
        </w:tc>
        <w:tc>
          <w:tcPr>
            <w:tcW w:w="658" w:type="pct"/>
            <w:gridSpan w:val="2"/>
          </w:tcPr>
          <w:p w14:paraId="330B870C" w14:textId="77777777" w:rsidR="007D3920" w:rsidRPr="00566B47" w:rsidRDefault="007D3920" w:rsidP="00032E3D">
            <w:pPr>
              <w:keepNext/>
              <w:keepLines/>
              <w:widowControl/>
              <w:spacing w:before="40" w:after="40"/>
              <w:jc w:val="center"/>
              <w:rPr>
                <w:rFonts w:ascii="Arial Narrow" w:hAnsi="Arial Narrow"/>
              </w:rPr>
            </w:pPr>
            <w:r w:rsidRPr="00566B47">
              <w:rPr>
                <w:rFonts w:ascii="Arial Narrow" w:hAnsi="Arial Narrow"/>
              </w:rPr>
              <w:t>0%</w:t>
            </w:r>
          </w:p>
        </w:tc>
      </w:tr>
    </w:tbl>
    <w:p w14:paraId="68504AE6" w14:textId="77777777" w:rsidR="007D3920" w:rsidRPr="000D426B" w:rsidRDefault="007D3920" w:rsidP="007D3920">
      <w:pPr>
        <w:pStyle w:val="Tablenotes"/>
      </w:pPr>
      <w:r w:rsidRPr="000D426B">
        <w:t>DMR</w:t>
      </w:r>
      <w:r>
        <w:t>=</w:t>
      </w:r>
      <w:r w:rsidRPr="000D426B">
        <w:t>degenerative mitral regurgitation; FMR</w:t>
      </w:r>
      <w:r>
        <w:t>=</w:t>
      </w:r>
      <w:r w:rsidRPr="000D426B">
        <w:t>functional mitral regurgitation; NYHA</w:t>
      </w:r>
      <w:r>
        <w:t>=</w:t>
      </w:r>
      <w:r w:rsidRPr="000D426B">
        <w:t>New York Heart Association</w:t>
      </w:r>
    </w:p>
    <w:p w14:paraId="6B56587B" w14:textId="77777777" w:rsidR="007D3920" w:rsidRPr="000D426B" w:rsidRDefault="007D3920" w:rsidP="007D3920">
      <w:pPr>
        <w:pStyle w:val="Tablenotes"/>
        <w:tabs>
          <w:tab w:val="left" w:pos="284"/>
        </w:tabs>
      </w:pPr>
      <w:r w:rsidRPr="00181587">
        <w:rPr>
          <w:vertAlign w:val="superscript"/>
        </w:rPr>
        <w:t>a</w:t>
      </w:r>
      <w:r>
        <w:rPr>
          <w:vertAlign w:val="superscript"/>
        </w:rPr>
        <w:tab/>
      </w:r>
      <w:r w:rsidRPr="000D426B">
        <w:t xml:space="preserve">Percentages for COAPT do not include patients with </w:t>
      </w:r>
      <w:r>
        <w:t>heart failure</w:t>
      </w:r>
      <w:r w:rsidRPr="000D426B">
        <w:t xml:space="preserve"> or death</w:t>
      </w:r>
    </w:p>
    <w:p w14:paraId="4BF63821" w14:textId="77777777" w:rsidR="007D3920" w:rsidRDefault="007D3920" w:rsidP="007D3920">
      <w:pPr>
        <w:spacing w:after="0" w:line="240" w:lineRule="auto"/>
      </w:pPr>
      <w:r>
        <w:rPr>
          <w:lang w:eastAsia="en-AU"/>
        </w:rPr>
        <w:t>The current ADAR stated that these results are difficult to interpret because results from COAPT but not from CLASP include patients with HF or death, effectively increasing the total number of patients and reducing the proportion eligible for inclusion in NYHA class I.</w:t>
      </w:r>
    </w:p>
    <w:p w14:paraId="3FD418D0" w14:textId="77777777" w:rsidR="007D3920" w:rsidRPr="00566B47" w:rsidRDefault="007D3920" w:rsidP="00496BC6">
      <w:pPr>
        <w:pStyle w:val="Heading4"/>
      </w:pPr>
      <w:r w:rsidRPr="00566B47">
        <w:rPr>
          <w:lang w:eastAsia="en-AU"/>
        </w:rPr>
        <w:lastRenderedPageBreak/>
        <w:t>Quality of life with Kansas City Cardiomyopathy Questionnaire</w:t>
      </w:r>
      <w:r w:rsidRPr="00566B47">
        <w:t xml:space="preserve"> (FMR population)</w:t>
      </w:r>
    </w:p>
    <w:p w14:paraId="46C8C0B3" w14:textId="2E912E10" w:rsidR="007D3920" w:rsidRDefault="007D3920" w:rsidP="007D3920">
      <w:pPr>
        <w:spacing w:after="0" w:line="240" w:lineRule="auto"/>
        <w:rPr>
          <w:lang w:eastAsia="en-AU"/>
        </w:rPr>
      </w:pPr>
      <w:r w:rsidRPr="00ED7832">
        <w:rPr>
          <w:lang w:eastAsia="en-AU"/>
        </w:rPr>
        <w:t xml:space="preserve">The </w:t>
      </w:r>
      <w:r>
        <w:rPr>
          <w:lang w:eastAsia="en-AU"/>
        </w:rPr>
        <w:t>current ADAR included quality of life results reported in the</w:t>
      </w:r>
      <w:r>
        <w:t xml:space="preserve"> single-arm studies in heterogenous populations from different settings. Various instruments were used across the studies, which prevented any meaningful comparison. Since only</w:t>
      </w:r>
      <w:r>
        <w:rPr>
          <w:lang w:eastAsia="en-AU"/>
        </w:rPr>
        <w:t xml:space="preserve"> CLASP and COAPT used the same </w:t>
      </w:r>
      <w:r w:rsidRPr="000B4D5C">
        <w:rPr>
          <w:lang w:eastAsia="en-AU"/>
        </w:rPr>
        <w:t>Kansas City Cardiomyopathy Questionnaire</w:t>
      </w:r>
      <w:r>
        <w:rPr>
          <w:lang w:eastAsia="en-AU"/>
        </w:rPr>
        <w:t xml:space="preserve"> (</w:t>
      </w:r>
      <w:r w:rsidRPr="000B4D5C">
        <w:rPr>
          <w:lang w:eastAsia="en-AU"/>
        </w:rPr>
        <w:t>KCCQ</w:t>
      </w:r>
      <w:r>
        <w:rPr>
          <w:lang w:eastAsia="en-AU"/>
        </w:rPr>
        <w:t xml:space="preserve">), only FMR subgroup results were reported. </w:t>
      </w:r>
      <w:r w:rsidR="006902EA">
        <w:rPr>
          <w:lang w:eastAsia="en-AU"/>
        </w:rPr>
        <w:fldChar w:fldCharType="begin"/>
      </w:r>
      <w:r w:rsidR="006902EA">
        <w:rPr>
          <w:lang w:eastAsia="en-AU"/>
        </w:rPr>
        <w:instrText xml:space="preserve"> REF _Ref117522810 \h </w:instrText>
      </w:r>
      <w:r w:rsidR="006902EA">
        <w:rPr>
          <w:lang w:eastAsia="en-AU"/>
        </w:rPr>
      </w:r>
      <w:r w:rsidR="006902EA">
        <w:rPr>
          <w:lang w:eastAsia="en-AU"/>
        </w:rPr>
        <w:fldChar w:fldCharType="separate"/>
      </w:r>
      <w:r w:rsidR="006902EA">
        <w:t xml:space="preserve">Table </w:t>
      </w:r>
      <w:r w:rsidR="006902EA">
        <w:rPr>
          <w:noProof/>
        </w:rPr>
        <w:t>30</w:t>
      </w:r>
      <w:r w:rsidR="006902EA">
        <w:rPr>
          <w:lang w:eastAsia="en-AU"/>
        </w:rPr>
        <w:fldChar w:fldCharType="end"/>
      </w:r>
      <w:r>
        <w:rPr>
          <w:lang w:eastAsia="en-AU"/>
        </w:rPr>
        <w:fldChar w:fldCharType="begin"/>
      </w:r>
      <w:r>
        <w:rPr>
          <w:lang w:eastAsia="en-AU"/>
        </w:rPr>
        <w:instrText xml:space="preserve"> REF _Ref111527904 \h </w:instrText>
      </w:r>
      <w:r>
        <w:rPr>
          <w:lang w:eastAsia="en-AU"/>
        </w:rPr>
      </w:r>
      <w:r w:rsidR="00390210">
        <w:rPr>
          <w:lang w:eastAsia="en-AU"/>
        </w:rPr>
        <w:fldChar w:fldCharType="separate"/>
      </w:r>
      <w:r>
        <w:rPr>
          <w:lang w:eastAsia="en-AU"/>
        </w:rPr>
        <w:fldChar w:fldCharType="end"/>
      </w:r>
      <w:r>
        <w:rPr>
          <w:lang w:eastAsia="en-AU"/>
        </w:rPr>
        <w:t xml:space="preserve"> presents the results of changes in </w:t>
      </w:r>
      <w:r w:rsidRPr="000B4D5C">
        <w:rPr>
          <w:lang w:eastAsia="en-AU"/>
        </w:rPr>
        <w:t>KCCQ</w:t>
      </w:r>
      <w:r>
        <w:rPr>
          <w:lang w:eastAsia="en-AU"/>
        </w:rPr>
        <w:t xml:space="preserve"> scores from baseline to the 12-month observation point reported in the CLASP study. The COAPT trial results reported in the current ADAR were updated from the recent publication by Arnold (2019)</w:t>
      </w:r>
      <w:r>
        <w:rPr>
          <w:rStyle w:val="FootnoteReference"/>
          <w:lang w:eastAsia="en-AU"/>
        </w:rPr>
        <w:footnoteReference w:id="8"/>
      </w:r>
      <w:r>
        <w:rPr>
          <w:lang w:eastAsia="en-AU"/>
        </w:rPr>
        <w:t xml:space="preserve">. </w:t>
      </w:r>
    </w:p>
    <w:p w14:paraId="1E956467" w14:textId="20E12BA1" w:rsidR="007D3920" w:rsidRDefault="007D3920" w:rsidP="007D3920">
      <w:pPr>
        <w:pStyle w:val="Caption"/>
      </w:pPr>
      <w:bookmarkStart w:id="73" w:name="_Ref117522810"/>
      <w:r>
        <w:t xml:space="preserve">Table </w:t>
      </w:r>
      <w:fldSimple w:instr=" SEQ Table \* ARABIC ">
        <w:r w:rsidR="006902EA">
          <w:rPr>
            <w:noProof/>
          </w:rPr>
          <w:t>30</w:t>
        </w:r>
      </w:fldSimple>
      <w:bookmarkEnd w:id="73"/>
      <w:r>
        <w:tab/>
        <w:t>Kansas City Cardiomyopathy Questionnaire score at baseline and 12 months in CLASP and COAPT</w:t>
      </w:r>
    </w:p>
    <w:tbl>
      <w:tblPr>
        <w:tblStyle w:val="MSAC"/>
        <w:tblW w:w="9224" w:type="dxa"/>
        <w:tblCellMar>
          <w:left w:w="28" w:type="dxa"/>
          <w:right w:w="28" w:type="dxa"/>
        </w:tblCellMar>
        <w:tblLook w:val="04A0" w:firstRow="1" w:lastRow="0" w:firstColumn="1" w:lastColumn="0" w:noHBand="0" w:noVBand="1"/>
      </w:tblPr>
      <w:tblGrid>
        <w:gridCol w:w="1145"/>
        <w:gridCol w:w="477"/>
        <w:gridCol w:w="1072"/>
        <w:gridCol w:w="1412"/>
        <w:gridCol w:w="851"/>
        <w:gridCol w:w="567"/>
        <w:gridCol w:w="1275"/>
        <w:gridCol w:w="1560"/>
        <w:gridCol w:w="865"/>
      </w:tblGrid>
      <w:tr w:rsidR="007D3920" w:rsidRPr="00E31963" w14:paraId="380C1CE3" w14:textId="77777777" w:rsidTr="00032E3D">
        <w:trPr>
          <w:cnfStyle w:val="100000000000" w:firstRow="1" w:lastRow="0" w:firstColumn="0" w:lastColumn="0" w:oddVBand="0" w:evenVBand="0" w:oddHBand="0" w:evenHBand="0" w:firstRowFirstColumn="0" w:firstRowLastColumn="0" w:lastRowFirstColumn="0" w:lastRowLastColumn="0"/>
          <w:trHeight w:val="758"/>
        </w:trPr>
        <w:tc>
          <w:tcPr>
            <w:tcW w:w="1145" w:type="dxa"/>
            <w:vMerge w:val="restart"/>
          </w:tcPr>
          <w:p w14:paraId="643980EF" w14:textId="77777777" w:rsidR="007D3920" w:rsidRPr="00E31963" w:rsidRDefault="007D3920" w:rsidP="00032E3D">
            <w:pPr>
              <w:keepNext/>
              <w:keepLines/>
              <w:widowControl/>
              <w:spacing w:before="40" w:after="40"/>
              <w:rPr>
                <w:rFonts w:ascii="Arial Narrow" w:hAnsi="Arial Narrow" w:cstheme="minorHAnsi"/>
              </w:rPr>
            </w:pPr>
            <w:r w:rsidRPr="00E31963">
              <w:rPr>
                <w:rFonts w:ascii="Arial Narrow" w:hAnsi="Arial Narrow" w:cstheme="minorHAnsi"/>
              </w:rPr>
              <w:t>KCCQ score</w:t>
            </w:r>
          </w:p>
        </w:tc>
        <w:tc>
          <w:tcPr>
            <w:tcW w:w="477" w:type="dxa"/>
          </w:tcPr>
          <w:p w14:paraId="0D142F89" w14:textId="77777777" w:rsidR="007D3920" w:rsidRPr="00E31963" w:rsidRDefault="007D3920" w:rsidP="00032E3D">
            <w:pPr>
              <w:keepNext/>
              <w:keepLines/>
              <w:widowControl/>
              <w:spacing w:before="40" w:after="40"/>
              <w:jc w:val="center"/>
              <w:rPr>
                <w:rFonts w:ascii="Arial Narrow" w:hAnsi="Arial Narrow" w:cstheme="minorHAnsi"/>
                <w:bCs/>
              </w:rPr>
            </w:pPr>
            <w:r w:rsidRPr="00E31963">
              <w:rPr>
                <w:rFonts w:ascii="Arial Narrow" w:hAnsi="Arial Narrow" w:cstheme="minorHAnsi"/>
                <w:bCs/>
              </w:rPr>
              <w:t>N</w:t>
            </w:r>
          </w:p>
        </w:tc>
        <w:tc>
          <w:tcPr>
            <w:tcW w:w="3335" w:type="dxa"/>
            <w:gridSpan w:val="3"/>
            <w:tcBorders>
              <w:right w:val="single" w:sz="12" w:space="0" w:color="auto"/>
            </w:tcBorders>
          </w:tcPr>
          <w:p w14:paraId="5A706506" w14:textId="77777777" w:rsidR="007D3920" w:rsidRPr="00E31963" w:rsidRDefault="007D3920" w:rsidP="00032E3D">
            <w:pPr>
              <w:keepNext/>
              <w:keepLines/>
              <w:widowControl/>
              <w:spacing w:before="40" w:after="40"/>
              <w:jc w:val="center"/>
              <w:rPr>
                <w:rFonts w:ascii="Arial Narrow" w:hAnsi="Arial Narrow" w:cstheme="minorHAnsi"/>
              </w:rPr>
            </w:pPr>
            <w:r w:rsidRPr="00E31963">
              <w:rPr>
                <w:rFonts w:ascii="Arial Narrow" w:hAnsi="Arial Narrow" w:cstheme="minorHAnsi"/>
              </w:rPr>
              <w:t>CLASP FMR</w:t>
            </w:r>
          </w:p>
          <w:p w14:paraId="24E0713F" w14:textId="77777777" w:rsidR="007D3920" w:rsidRPr="00E31963" w:rsidRDefault="007D3920" w:rsidP="00032E3D">
            <w:pPr>
              <w:keepNext/>
              <w:keepLines/>
              <w:widowControl/>
              <w:spacing w:before="40" w:after="40"/>
              <w:jc w:val="center"/>
              <w:rPr>
                <w:rFonts w:ascii="Arial Narrow" w:hAnsi="Arial Narrow" w:cstheme="minorHAnsi"/>
              </w:rPr>
            </w:pPr>
            <w:r w:rsidRPr="00E31963">
              <w:rPr>
                <w:rFonts w:ascii="Arial Narrow" w:hAnsi="Arial Narrow" w:cstheme="minorHAnsi"/>
              </w:rPr>
              <w:t>(PASCAL)</w:t>
            </w:r>
          </w:p>
        </w:tc>
        <w:tc>
          <w:tcPr>
            <w:tcW w:w="567" w:type="dxa"/>
            <w:tcBorders>
              <w:left w:val="single" w:sz="12" w:space="0" w:color="auto"/>
            </w:tcBorders>
          </w:tcPr>
          <w:p w14:paraId="51653E19" w14:textId="77777777" w:rsidR="007D3920" w:rsidRPr="00E31963" w:rsidRDefault="007D3920" w:rsidP="00032E3D">
            <w:pPr>
              <w:keepNext/>
              <w:keepLines/>
              <w:widowControl/>
              <w:spacing w:before="40" w:after="40"/>
              <w:jc w:val="center"/>
              <w:rPr>
                <w:rFonts w:ascii="Arial Narrow" w:hAnsi="Arial Narrow" w:cstheme="minorHAnsi"/>
                <w:bCs/>
              </w:rPr>
            </w:pPr>
            <w:r w:rsidRPr="00E31963">
              <w:rPr>
                <w:rFonts w:ascii="Arial Narrow" w:hAnsi="Arial Narrow" w:cstheme="minorHAnsi"/>
                <w:bCs/>
              </w:rPr>
              <w:t>N</w:t>
            </w:r>
          </w:p>
        </w:tc>
        <w:tc>
          <w:tcPr>
            <w:tcW w:w="3700" w:type="dxa"/>
            <w:gridSpan w:val="3"/>
          </w:tcPr>
          <w:p w14:paraId="340C3879" w14:textId="77777777" w:rsidR="007D3920" w:rsidRPr="00E31963" w:rsidRDefault="007D3920" w:rsidP="00032E3D">
            <w:pPr>
              <w:keepNext/>
              <w:keepLines/>
              <w:widowControl/>
              <w:spacing w:before="40" w:after="40"/>
              <w:jc w:val="center"/>
              <w:rPr>
                <w:rFonts w:ascii="Arial Narrow" w:hAnsi="Arial Narrow" w:cstheme="minorHAnsi"/>
              </w:rPr>
            </w:pPr>
            <w:r w:rsidRPr="00E31963">
              <w:rPr>
                <w:rFonts w:ascii="Arial Narrow" w:hAnsi="Arial Narrow" w:cstheme="minorHAnsi"/>
              </w:rPr>
              <w:t>COAPT</w:t>
            </w:r>
          </w:p>
          <w:p w14:paraId="53DF494E" w14:textId="77777777" w:rsidR="007D3920" w:rsidRPr="00E31963" w:rsidRDefault="007D3920" w:rsidP="00032E3D">
            <w:pPr>
              <w:keepNext/>
              <w:keepLines/>
              <w:widowControl/>
              <w:spacing w:before="40" w:after="40"/>
              <w:jc w:val="center"/>
              <w:rPr>
                <w:rFonts w:ascii="Arial Narrow" w:hAnsi="Arial Narrow" w:cstheme="minorHAnsi"/>
              </w:rPr>
            </w:pPr>
            <w:r w:rsidRPr="00E31963">
              <w:rPr>
                <w:rFonts w:ascii="Arial Narrow" w:hAnsi="Arial Narrow" w:cstheme="minorHAnsi"/>
              </w:rPr>
              <w:t>(</w:t>
            </w:r>
            <w:proofErr w:type="spellStart"/>
            <w:r w:rsidRPr="00E31963">
              <w:rPr>
                <w:rFonts w:ascii="Arial Narrow" w:hAnsi="Arial Narrow" w:cstheme="minorHAnsi"/>
              </w:rPr>
              <w:t>MitraClip</w:t>
            </w:r>
            <w:proofErr w:type="spellEnd"/>
            <w:r w:rsidRPr="00E31963">
              <w:rPr>
                <w:rFonts w:ascii="Arial Narrow" w:hAnsi="Arial Narrow" w:cstheme="minorHAnsi"/>
              </w:rPr>
              <w:t>)</w:t>
            </w:r>
          </w:p>
        </w:tc>
      </w:tr>
      <w:tr w:rsidR="007D3920" w:rsidRPr="00E31963" w14:paraId="7F69DB7D" w14:textId="77777777" w:rsidTr="00032E3D">
        <w:tc>
          <w:tcPr>
            <w:tcW w:w="1145" w:type="dxa"/>
            <w:vMerge/>
          </w:tcPr>
          <w:p w14:paraId="43BD0B5A" w14:textId="77777777" w:rsidR="007D3920" w:rsidRPr="00E31963" w:rsidRDefault="007D3920" w:rsidP="00032E3D">
            <w:pPr>
              <w:keepNext/>
              <w:keepLines/>
              <w:widowControl/>
              <w:spacing w:before="40" w:after="40"/>
              <w:rPr>
                <w:rFonts w:ascii="Arial Narrow" w:hAnsi="Arial Narrow" w:cstheme="minorHAnsi"/>
                <w:b/>
              </w:rPr>
            </w:pPr>
          </w:p>
        </w:tc>
        <w:tc>
          <w:tcPr>
            <w:tcW w:w="477" w:type="dxa"/>
          </w:tcPr>
          <w:p w14:paraId="46696232" w14:textId="77777777" w:rsidR="007D3920" w:rsidRPr="00E31963" w:rsidRDefault="007D3920" w:rsidP="00032E3D">
            <w:pPr>
              <w:keepNext/>
              <w:keepLines/>
              <w:widowControl/>
              <w:spacing w:before="40" w:after="40"/>
              <w:jc w:val="center"/>
              <w:rPr>
                <w:rFonts w:ascii="Arial Narrow" w:hAnsi="Arial Narrow" w:cstheme="minorHAnsi"/>
                <w:b/>
              </w:rPr>
            </w:pPr>
          </w:p>
        </w:tc>
        <w:tc>
          <w:tcPr>
            <w:tcW w:w="1072" w:type="dxa"/>
          </w:tcPr>
          <w:p w14:paraId="53E90496" w14:textId="77777777" w:rsidR="007D3920" w:rsidRPr="00E31963" w:rsidRDefault="007D3920" w:rsidP="00032E3D">
            <w:pPr>
              <w:keepNext/>
              <w:keepLines/>
              <w:widowControl/>
              <w:spacing w:before="40" w:after="40"/>
              <w:jc w:val="center"/>
              <w:rPr>
                <w:rFonts w:ascii="Arial Narrow" w:hAnsi="Arial Narrow" w:cstheme="minorHAnsi"/>
                <w:b/>
              </w:rPr>
            </w:pPr>
            <w:r w:rsidRPr="00E31963">
              <w:rPr>
                <w:rFonts w:ascii="Arial Narrow" w:hAnsi="Arial Narrow" w:cstheme="minorHAnsi"/>
                <w:b/>
              </w:rPr>
              <w:t>Mean ± SD</w:t>
            </w:r>
          </w:p>
        </w:tc>
        <w:tc>
          <w:tcPr>
            <w:tcW w:w="1412" w:type="dxa"/>
          </w:tcPr>
          <w:p w14:paraId="2D61C1F7" w14:textId="77777777" w:rsidR="007D3920" w:rsidRPr="00E31963" w:rsidRDefault="007D3920" w:rsidP="00032E3D">
            <w:pPr>
              <w:keepNext/>
              <w:keepLines/>
              <w:widowControl/>
              <w:spacing w:before="40" w:after="40"/>
              <w:jc w:val="center"/>
              <w:rPr>
                <w:rFonts w:ascii="Arial Narrow" w:hAnsi="Arial Narrow" w:cstheme="minorHAnsi"/>
                <w:b/>
              </w:rPr>
            </w:pPr>
            <w:r w:rsidRPr="00E31963">
              <w:rPr>
                <w:rFonts w:ascii="Arial Narrow" w:hAnsi="Arial Narrow" w:cstheme="minorHAnsi"/>
                <w:b/>
              </w:rPr>
              <w:t>Change from baseline ± SD</w:t>
            </w:r>
          </w:p>
        </w:tc>
        <w:tc>
          <w:tcPr>
            <w:tcW w:w="851" w:type="dxa"/>
            <w:tcBorders>
              <w:right w:val="single" w:sz="12" w:space="0" w:color="auto"/>
            </w:tcBorders>
          </w:tcPr>
          <w:p w14:paraId="1A5AE18C" w14:textId="77777777" w:rsidR="007D3920" w:rsidRPr="00E31963" w:rsidRDefault="007D3920" w:rsidP="00032E3D">
            <w:pPr>
              <w:keepNext/>
              <w:keepLines/>
              <w:widowControl/>
              <w:spacing w:before="40" w:after="40"/>
              <w:jc w:val="center"/>
              <w:rPr>
                <w:rFonts w:ascii="Arial Narrow" w:hAnsi="Arial Narrow" w:cstheme="minorHAnsi"/>
                <w:b/>
              </w:rPr>
            </w:pPr>
            <w:r w:rsidRPr="00E31963">
              <w:rPr>
                <w:rFonts w:ascii="Arial Narrow" w:hAnsi="Arial Narrow" w:cstheme="minorHAnsi"/>
                <w:b/>
                <w:i/>
                <w:iCs/>
              </w:rPr>
              <w:t>p</w:t>
            </w:r>
            <w:r w:rsidRPr="00E31963">
              <w:rPr>
                <w:rFonts w:ascii="Arial Narrow" w:hAnsi="Arial Narrow" w:cstheme="minorHAnsi"/>
                <w:b/>
              </w:rPr>
              <w:t>-value</w:t>
            </w:r>
          </w:p>
        </w:tc>
        <w:tc>
          <w:tcPr>
            <w:tcW w:w="567" w:type="dxa"/>
            <w:tcBorders>
              <w:left w:val="single" w:sz="12" w:space="0" w:color="auto"/>
            </w:tcBorders>
          </w:tcPr>
          <w:p w14:paraId="2B8B6FE8" w14:textId="77777777" w:rsidR="007D3920" w:rsidRPr="00E31963" w:rsidRDefault="007D3920" w:rsidP="00032E3D">
            <w:pPr>
              <w:keepNext/>
              <w:keepLines/>
              <w:widowControl/>
              <w:spacing w:before="40" w:after="40"/>
              <w:jc w:val="center"/>
              <w:rPr>
                <w:rFonts w:ascii="Arial Narrow" w:hAnsi="Arial Narrow" w:cstheme="minorHAnsi"/>
                <w:b/>
              </w:rPr>
            </w:pPr>
          </w:p>
        </w:tc>
        <w:tc>
          <w:tcPr>
            <w:tcW w:w="1275" w:type="dxa"/>
          </w:tcPr>
          <w:p w14:paraId="1F50EC07" w14:textId="77777777" w:rsidR="007D3920" w:rsidRPr="00E31963" w:rsidRDefault="007D3920" w:rsidP="00032E3D">
            <w:pPr>
              <w:keepNext/>
              <w:keepLines/>
              <w:widowControl/>
              <w:spacing w:before="40" w:after="40"/>
              <w:jc w:val="center"/>
              <w:rPr>
                <w:rFonts w:ascii="Arial Narrow" w:hAnsi="Arial Narrow" w:cstheme="minorHAnsi"/>
                <w:b/>
              </w:rPr>
            </w:pPr>
            <w:r w:rsidRPr="00E31963">
              <w:rPr>
                <w:rFonts w:ascii="Arial Narrow" w:hAnsi="Arial Narrow" w:cstheme="minorHAnsi"/>
                <w:b/>
              </w:rPr>
              <w:t>Mean ± SD</w:t>
            </w:r>
          </w:p>
        </w:tc>
        <w:tc>
          <w:tcPr>
            <w:tcW w:w="1560" w:type="dxa"/>
          </w:tcPr>
          <w:p w14:paraId="7E7B8CB9" w14:textId="77777777" w:rsidR="007D3920" w:rsidRPr="00E31963" w:rsidRDefault="007D3920" w:rsidP="00032E3D">
            <w:pPr>
              <w:keepNext/>
              <w:keepLines/>
              <w:widowControl/>
              <w:spacing w:before="40" w:after="40"/>
              <w:jc w:val="center"/>
              <w:rPr>
                <w:rFonts w:ascii="Arial Narrow" w:hAnsi="Arial Narrow" w:cstheme="minorHAnsi"/>
                <w:b/>
              </w:rPr>
            </w:pPr>
            <w:r w:rsidRPr="00E31963">
              <w:rPr>
                <w:rFonts w:ascii="Arial Narrow" w:hAnsi="Arial Narrow" w:cstheme="minorHAnsi"/>
                <w:b/>
              </w:rPr>
              <w:t>Change from baseline (95%CI)</w:t>
            </w:r>
          </w:p>
        </w:tc>
        <w:tc>
          <w:tcPr>
            <w:tcW w:w="865" w:type="dxa"/>
          </w:tcPr>
          <w:p w14:paraId="64D2A0A6" w14:textId="77777777" w:rsidR="007D3920" w:rsidRPr="00E31963" w:rsidRDefault="007D3920" w:rsidP="00032E3D">
            <w:pPr>
              <w:keepNext/>
              <w:keepLines/>
              <w:widowControl/>
              <w:spacing w:before="40" w:after="40"/>
              <w:jc w:val="center"/>
              <w:rPr>
                <w:rFonts w:ascii="Arial Narrow" w:hAnsi="Arial Narrow" w:cstheme="minorHAnsi"/>
                <w:b/>
              </w:rPr>
            </w:pPr>
            <w:r w:rsidRPr="00E31963">
              <w:rPr>
                <w:rFonts w:ascii="Arial Narrow" w:hAnsi="Arial Narrow" w:cstheme="minorHAnsi"/>
                <w:b/>
                <w:i/>
                <w:iCs/>
              </w:rPr>
              <w:t>p</w:t>
            </w:r>
            <w:r w:rsidRPr="00E31963">
              <w:rPr>
                <w:rFonts w:ascii="Arial Narrow" w:hAnsi="Arial Narrow" w:cstheme="minorHAnsi"/>
                <w:b/>
              </w:rPr>
              <w:t>-value</w:t>
            </w:r>
          </w:p>
        </w:tc>
      </w:tr>
      <w:tr w:rsidR="007D3920" w:rsidRPr="00E31963" w14:paraId="48375372" w14:textId="77777777" w:rsidTr="00032E3D">
        <w:tc>
          <w:tcPr>
            <w:tcW w:w="1145" w:type="dxa"/>
          </w:tcPr>
          <w:p w14:paraId="1B164CCA" w14:textId="77777777" w:rsidR="007D3920" w:rsidRPr="00E31963" w:rsidRDefault="007D3920" w:rsidP="00032E3D">
            <w:pPr>
              <w:keepNext/>
              <w:keepLines/>
              <w:widowControl/>
              <w:spacing w:before="40" w:after="40"/>
              <w:rPr>
                <w:rFonts w:ascii="Arial Narrow" w:hAnsi="Arial Narrow"/>
              </w:rPr>
            </w:pPr>
            <w:r w:rsidRPr="00E31963">
              <w:rPr>
                <w:rFonts w:ascii="Arial Narrow" w:hAnsi="Arial Narrow"/>
              </w:rPr>
              <w:t>Baseline</w:t>
            </w:r>
          </w:p>
        </w:tc>
        <w:tc>
          <w:tcPr>
            <w:tcW w:w="477" w:type="dxa"/>
          </w:tcPr>
          <w:p w14:paraId="418C96F5" w14:textId="77777777" w:rsidR="007D3920" w:rsidRPr="00E31963" w:rsidRDefault="007D3920" w:rsidP="00032E3D">
            <w:pPr>
              <w:keepNext/>
              <w:keepLines/>
              <w:widowControl/>
              <w:spacing w:before="40" w:after="40"/>
              <w:jc w:val="center"/>
              <w:rPr>
                <w:rFonts w:ascii="Arial Narrow" w:hAnsi="Arial Narrow"/>
                <w:bCs/>
              </w:rPr>
            </w:pPr>
            <w:r w:rsidRPr="00E31963">
              <w:rPr>
                <w:rFonts w:ascii="Arial Narrow" w:hAnsi="Arial Narrow" w:cstheme="minorHAnsi"/>
                <w:bCs/>
              </w:rPr>
              <w:t>85</w:t>
            </w:r>
          </w:p>
        </w:tc>
        <w:tc>
          <w:tcPr>
            <w:tcW w:w="1072" w:type="dxa"/>
          </w:tcPr>
          <w:p w14:paraId="498809F9" w14:textId="77777777" w:rsidR="007D3920" w:rsidRPr="00E31963" w:rsidRDefault="007D3920" w:rsidP="00032E3D">
            <w:pPr>
              <w:keepNext/>
              <w:keepLines/>
              <w:widowControl/>
              <w:spacing w:before="40" w:after="40"/>
              <w:jc w:val="center"/>
              <w:rPr>
                <w:rFonts w:ascii="Arial Narrow" w:hAnsi="Arial Narrow"/>
              </w:rPr>
            </w:pPr>
            <w:r w:rsidRPr="00E31963">
              <w:rPr>
                <w:rFonts w:ascii="Arial Narrow" w:hAnsi="Arial Narrow"/>
              </w:rPr>
              <w:t>53 (NR)</w:t>
            </w:r>
          </w:p>
        </w:tc>
        <w:tc>
          <w:tcPr>
            <w:tcW w:w="1412" w:type="dxa"/>
          </w:tcPr>
          <w:p w14:paraId="02F36E8D" w14:textId="77777777" w:rsidR="007D3920" w:rsidRPr="00E31963" w:rsidRDefault="007D3920" w:rsidP="00032E3D">
            <w:pPr>
              <w:keepNext/>
              <w:keepLines/>
              <w:widowControl/>
              <w:spacing w:before="40" w:after="40"/>
              <w:jc w:val="center"/>
              <w:rPr>
                <w:rFonts w:ascii="Arial Narrow" w:hAnsi="Arial Narrow"/>
              </w:rPr>
            </w:pPr>
          </w:p>
        </w:tc>
        <w:tc>
          <w:tcPr>
            <w:tcW w:w="851" w:type="dxa"/>
            <w:tcBorders>
              <w:right w:val="single" w:sz="12" w:space="0" w:color="auto"/>
            </w:tcBorders>
          </w:tcPr>
          <w:p w14:paraId="4FE4C993" w14:textId="77777777" w:rsidR="007D3920" w:rsidRPr="00E31963" w:rsidRDefault="007D3920" w:rsidP="00032E3D">
            <w:pPr>
              <w:keepNext/>
              <w:keepLines/>
              <w:widowControl/>
              <w:spacing w:before="40" w:after="40"/>
              <w:jc w:val="center"/>
              <w:rPr>
                <w:rFonts w:ascii="Arial Narrow" w:hAnsi="Arial Narrow"/>
              </w:rPr>
            </w:pPr>
          </w:p>
        </w:tc>
        <w:tc>
          <w:tcPr>
            <w:tcW w:w="567" w:type="dxa"/>
            <w:tcBorders>
              <w:left w:val="single" w:sz="12" w:space="0" w:color="auto"/>
            </w:tcBorders>
          </w:tcPr>
          <w:p w14:paraId="1715E8A5" w14:textId="77777777" w:rsidR="007D3920" w:rsidRPr="00E31963" w:rsidRDefault="007D3920" w:rsidP="00032E3D">
            <w:pPr>
              <w:keepNext/>
              <w:keepLines/>
              <w:widowControl/>
              <w:spacing w:before="40" w:after="40"/>
              <w:jc w:val="center"/>
              <w:rPr>
                <w:rFonts w:ascii="Arial Narrow" w:hAnsi="Arial Narrow"/>
                <w:bCs/>
              </w:rPr>
            </w:pPr>
            <w:r w:rsidRPr="00E31963">
              <w:rPr>
                <w:rFonts w:ascii="Arial Narrow" w:hAnsi="Arial Narrow" w:cstheme="minorHAnsi"/>
                <w:bCs/>
              </w:rPr>
              <w:t>302</w:t>
            </w:r>
          </w:p>
        </w:tc>
        <w:tc>
          <w:tcPr>
            <w:tcW w:w="1275" w:type="dxa"/>
          </w:tcPr>
          <w:p w14:paraId="3E8ABD0F" w14:textId="77777777" w:rsidR="007D3920" w:rsidRPr="00E31963" w:rsidRDefault="007D3920" w:rsidP="00032E3D">
            <w:pPr>
              <w:keepNext/>
              <w:keepLines/>
              <w:widowControl/>
              <w:spacing w:before="40" w:after="40"/>
              <w:jc w:val="center"/>
              <w:rPr>
                <w:rFonts w:ascii="Arial Narrow" w:hAnsi="Arial Narrow"/>
                <w:i/>
                <w:iCs/>
              </w:rPr>
            </w:pPr>
            <w:r w:rsidRPr="00E31963">
              <w:rPr>
                <w:rFonts w:ascii="Arial Narrow" w:hAnsi="Arial Narrow" w:cs="Calibri Light"/>
                <w:i/>
                <w:iCs/>
              </w:rPr>
              <w:t>53.2 ± 22.8**</w:t>
            </w:r>
          </w:p>
        </w:tc>
        <w:tc>
          <w:tcPr>
            <w:tcW w:w="1560" w:type="dxa"/>
          </w:tcPr>
          <w:p w14:paraId="6B83CE59" w14:textId="77777777" w:rsidR="007D3920" w:rsidRPr="00E31963" w:rsidRDefault="007D3920" w:rsidP="00032E3D">
            <w:pPr>
              <w:keepNext/>
              <w:keepLines/>
              <w:widowControl/>
              <w:spacing w:before="40" w:after="40"/>
              <w:jc w:val="center"/>
              <w:rPr>
                <w:rFonts w:ascii="Arial Narrow" w:hAnsi="Arial Narrow"/>
              </w:rPr>
            </w:pPr>
          </w:p>
        </w:tc>
        <w:tc>
          <w:tcPr>
            <w:tcW w:w="865" w:type="dxa"/>
          </w:tcPr>
          <w:p w14:paraId="3A902DBC" w14:textId="77777777" w:rsidR="007D3920" w:rsidRPr="00E31963" w:rsidRDefault="007D3920" w:rsidP="00032E3D">
            <w:pPr>
              <w:keepNext/>
              <w:keepLines/>
              <w:widowControl/>
              <w:spacing w:before="40" w:after="40"/>
              <w:jc w:val="center"/>
              <w:rPr>
                <w:rFonts w:ascii="Arial Narrow" w:hAnsi="Arial Narrow"/>
              </w:rPr>
            </w:pPr>
          </w:p>
        </w:tc>
      </w:tr>
      <w:tr w:rsidR="007D3920" w:rsidRPr="00E31963" w14:paraId="29254C3C" w14:textId="77777777" w:rsidTr="00032E3D">
        <w:tc>
          <w:tcPr>
            <w:tcW w:w="0" w:type="dxa"/>
          </w:tcPr>
          <w:p w14:paraId="0D892791" w14:textId="77777777" w:rsidR="007D3920" w:rsidRPr="00E31963" w:rsidRDefault="007D3920" w:rsidP="00032E3D">
            <w:pPr>
              <w:keepNext/>
              <w:keepLines/>
              <w:widowControl/>
              <w:spacing w:before="40" w:after="40"/>
              <w:rPr>
                <w:rFonts w:ascii="Arial Narrow" w:hAnsi="Arial Narrow"/>
              </w:rPr>
            </w:pPr>
            <w:r w:rsidRPr="00E31963">
              <w:rPr>
                <w:rFonts w:ascii="Arial Narrow" w:hAnsi="Arial Narrow"/>
              </w:rPr>
              <w:t>12 months</w:t>
            </w:r>
          </w:p>
        </w:tc>
        <w:tc>
          <w:tcPr>
            <w:tcW w:w="0" w:type="dxa"/>
          </w:tcPr>
          <w:p w14:paraId="61BF8F69" w14:textId="77777777" w:rsidR="007D3920" w:rsidRPr="00E31963" w:rsidRDefault="007D3920" w:rsidP="00032E3D">
            <w:pPr>
              <w:keepNext/>
              <w:keepLines/>
              <w:widowControl/>
              <w:spacing w:before="40" w:after="40"/>
              <w:jc w:val="center"/>
              <w:rPr>
                <w:rFonts w:ascii="Arial Narrow" w:hAnsi="Arial Narrow"/>
              </w:rPr>
            </w:pPr>
            <w:r w:rsidRPr="00E31963">
              <w:rPr>
                <w:rFonts w:ascii="Arial Narrow" w:hAnsi="Arial Narrow"/>
              </w:rPr>
              <w:t>57</w:t>
            </w:r>
          </w:p>
        </w:tc>
        <w:tc>
          <w:tcPr>
            <w:tcW w:w="0" w:type="dxa"/>
          </w:tcPr>
          <w:p w14:paraId="0CED8FA8" w14:textId="77777777" w:rsidR="007D3920" w:rsidRPr="00E31963" w:rsidRDefault="007D3920" w:rsidP="00032E3D">
            <w:pPr>
              <w:keepNext/>
              <w:keepLines/>
              <w:widowControl/>
              <w:spacing w:before="40" w:after="40"/>
              <w:jc w:val="center"/>
              <w:rPr>
                <w:rFonts w:ascii="Arial Narrow" w:hAnsi="Arial Narrow"/>
              </w:rPr>
            </w:pPr>
            <w:r w:rsidRPr="00E31963">
              <w:rPr>
                <w:rFonts w:ascii="Arial Narrow" w:hAnsi="Arial Narrow"/>
              </w:rPr>
              <w:t>70 (NR)</w:t>
            </w:r>
          </w:p>
        </w:tc>
        <w:tc>
          <w:tcPr>
            <w:tcW w:w="0" w:type="dxa"/>
            <w:shd w:val="clear" w:color="auto" w:fill="B4C6E7" w:themeFill="accent5" w:themeFillTint="66"/>
          </w:tcPr>
          <w:p w14:paraId="10ACD1B6" w14:textId="77777777" w:rsidR="007D3920" w:rsidRPr="00E31963" w:rsidRDefault="007D3920" w:rsidP="00032E3D">
            <w:pPr>
              <w:keepNext/>
              <w:keepLines/>
              <w:widowControl/>
              <w:spacing w:before="40" w:after="40"/>
              <w:jc w:val="center"/>
              <w:rPr>
                <w:rFonts w:ascii="Arial Narrow" w:hAnsi="Arial Narrow"/>
              </w:rPr>
            </w:pPr>
            <w:r w:rsidRPr="00E31963">
              <w:rPr>
                <w:rFonts w:ascii="Arial Narrow" w:hAnsi="Arial Narrow"/>
              </w:rPr>
              <w:t>16 (NR)</w:t>
            </w:r>
          </w:p>
        </w:tc>
        <w:tc>
          <w:tcPr>
            <w:tcW w:w="0" w:type="dxa"/>
            <w:tcBorders>
              <w:right w:val="single" w:sz="12" w:space="0" w:color="auto"/>
            </w:tcBorders>
            <w:shd w:val="clear" w:color="auto" w:fill="B4C6E7" w:themeFill="accent5" w:themeFillTint="66"/>
          </w:tcPr>
          <w:p w14:paraId="50F5F700" w14:textId="77777777" w:rsidR="007D3920" w:rsidRPr="00E31963" w:rsidRDefault="007D3920" w:rsidP="00032E3D">
            <w:pPr>
              <w:keepNext/>
              <w:keepLines/>
              <w:widowControl/>
              <w:spacing w:before="40" w:after="40"/>
              <w:jc w:val="center"/>
              <w:rPr>
                <w:rFonts w:ascii="Arial Narrow" w:hAnsi="Arial Narrow"/>
              </w:rPr>
            </w:pPr>
            <w:r w:rsidRPr="00E31963">
              <w:rPr>
                <w:rFonts w:ascii="Arial Narrow" w:hAnsi="Arial Narrow"/>
              </w:rPr>
              <w:t>&lt;0.001</w:t>
            </w:r>
          </w:p>
        </w:tc>
        <w:tc>
          <w:tcPr>
            <w:tcW w:w="0" w:type="dxa"/>
            <w:tcBorders>
              <w:left w:val="single" w:sz="12" w:space="0" w:color="auto"/>
            </w:tcBorders>
          </w:tcPr>
          <w:p w14:paraId="0711AA92" w14:textId="77777777" w:rsidR="007D3920" w:rsidRPr="00E31963" w:rsidRDefault="007D3920" w:rsidP="00032E3D">
            <w:pPr>
              <w:keepNext/>
              <w:keepLines/>
              <w:widowControl/>
              <w:spacing w:before="40" w:after="40"/>
              <w:jc w:val="center"/>
              <w:rPr>
                <w:rFonts w:ascii="Arial Narrow" w:hAnsi="Arial Narrow"/>
              </w:rPr>
            </w:pPr>
            <w:r w:rsidRPr="00E31963">
              <w:rPr>
                <w:rFonts w:ascii="Arial Narrow" w:hAnsi="Arial Narrow"/>
              </w:rPr>
              <w:t>219</w:t>
            </w:r>
          </w:p>
        </w:tc>
        <w:tc>
          <w:tcPr>
            <w:tcW w:w="0" w:type="dxa"/>
          </w:tcPr>
          <w:p w14:paraId="4BC96846" w14:textId="77777777" w:rsidR="007D3920" w:rsidRPr="00E31963" w:rsidRDefault="007D3920" w:rsidP="00032E3D">
            <w:pPr>
              <w:keepNext/>
              <w:keepLines/>
              <w:widowControl/>
              <w:spacing w:before="40" w:after="40"/>
              <w:jc w:val="center"/>
              <w:rPr>
                <w:rFonts w:ascii="Arial Narrow" w:hAnsi="Arial Narrow"/>
                <w:i/>
                <w:iCs/>
              </w:rPr>
            </w:pPr>
            <w:r w:rsidRPr="00E31963">
              <w:rPr>
                <w:rFonts w:ascii="Arial Narrow" w:hAnsi="Arial Narrow"/>
                <w:i/>
                <w:iCs/>
              </w:rPr>
              <w:t xml:space="preserve">71.8 </w:t>
            </w:r>
            <w:r w:rsidRPr="00E31963">
              <w:rPr>
                <w:rFonts w:ascii="Arial Narrow" w:hAnsi="Arial Narrow" w:cs="Calibri Light"/>
                <w:i/>
                <w:iCs/>
              </w:rPr>
              <w:t xml:space="preserve">± </w:t>
            </w:r>
            <w:r w:rsidRPr="00E31963">
              <w:rPr>
                <w:rFonts w:ascii="Arial Narrow" w:hAnsi="Arial Narrow"/>
                <w:i/>
                <w:iCs/>
              </w:rPr>
              <w:t>22.2**</w:t>
            </w:r>
          </w:p>
        </w:tc>
        <w:tc>
          <w:tcPr>
            <w:tcW w:w="0" w:type="dxa"/>
          </w:tcPr>
          <w:p w14:paraId="08B218FA" w14:textId="77777777" w:rsidR="007D3920" w:rsidRPr="00E31963" w:rsidRDefault="007D3920" w:rsidP="00032E3D">
            <w:pPr>
              <w:keepNext/>
              <w:keepLines/>
              <w:widowControl/>
              <w:spacing w:before="40" w:after="40"/>
              <w:jc w:val="center"/>
              <w:rPr>
                <w:rFonts w:ascii="Arial Narrow" w:hAnsi="Arial Narrow"/>
                <w:i/>
                <w:iCs/>
              </w:rPr>
            </w:pPr>
            <w:r w:rsidRPr="00E31963">
              <w:rPr>
                <w:rFonts w:ascii="Arial Narrow" w:hAnsi="Arial Narrow"/>
                <w:i/>
                <w:iCs/>
              </w:rPr>
              <w:t>17.0 (13.6- 20.3)**</w:t>
            </w:r>
          </w:p>
        </w:tc>
        <w:tc>
          <w:tcPr>
            <w:tcW w:w="0" w:type="dxa"/>
          </w:tcPr>
          <w:p w14:paraId="3374F69A" w14:textId="77777777" w:rsidR="007D3920" w:rsidRPr="00E31963" w:rsidRDefault="007D3920" w:rsidP="00032E3D">
            <w:pPr>
              <w:keepNext/>
              <w:keepLines/>
              <w:widowControl/>
              <w:spacing w:before="40" w:after="40"/>
              <w:jc w:val="center"/>
              <w:rPr>
                <w:rFonts w:ascii="Arial Narrow" w:hAnsi="Arial Narrow"/>
              </w:rPr>
            </w:pPr>
            <w:r w:rsidRPr="00E31963">
              <w:rPr>
                <w:rFonts w:ascii="Arial Narrow" w:hAnsi="Arial Narrow"/>
              </w:rPr>
              <w:t>&lt;0.001</w:t>
            </w:r>
          </w:p>
        </w:tc>
      </w:tr>
      <w:tr w:rsidR="007D3920" w:rsidRPr="00E31963" w14:paraId="19F81519" w14:textId="77777777" w:rsidTr="00032E3D">
        <w:tc>
          <w:tcPr>
            <w:tcW w:w="1145" w:type="dxa"/>
          </w:tcPr>
          <w:p w14:paraId="16EA6EEB" w14:textId="77777777" w:rsidR="007D3920" w:rsidRPr="00E31963" w:rsidRDefault="007D3920" w:rsidP="00032E3D">
            <w:pPr>
              <w:keepNext/>
              <w:keepLines/>
              <w:widowControl/>
              <w:spacing w:before="40" w:after="40"/>
              <w:rPr>
                <w:rFonts w:ascii="Arial Narrow" w:hAnsi="Arial Narrow"/>
              </w:rPr>
            </w:pPr>
            <w:r w:rsidRPr="00E31963">
              <w:rPr>
                <w:rFonts w:ascii="Arial Narrow" w:hAnsi="Arial Narrow"/>
              </w:rPr>
              <w:t>24 months</w:t>
            </w:r>
          </w:p>
        </w:tc>
        <w:tc>
          <w:tcPr>
            <w:tcW w:w="477" w:type="dxa"/>
          </w:tcPr>
          <w:p w14:paraId="3AADEE09" w14:textId="77777777" w:rsidR="007D3920" w:rsidRPr="00E31963" w:rsidRDefault="007D3920" w:rsidP="00032E3D">
            <w:pPr>
              <w:keepNext/>
              <w:keepLines/>
              <w:widowControl/>
              <w:spacing w:before="40" w:after="40"/>
              <w:jc w:val="center"/>
              <w:rPr>
                <w:rFonts w:ascii="Arial Narrow" w:hAnsi="Arial Narrow"/>
              </w:rPr>
            </w:pPr>
            <w:r w:rsidRPr="00E31963">
              <w:rPr>
                <w:rFonts w:ascii="Arial Narrow" w:hAnsi="Arial Narrow"/>
              </w:rPr>
              <w:t>NR</w:t>
            </w:r>
          </w:p>
        </w:tc>
        <w:tc>
          <w:tcPr>
            <w:tcW w:w="1072" w:type="dxa"/>
          </w:tcPr>
          <w:p w14:paraId="3D919FBE" w14:textId="77777777" w:rsidR="007D3920" w:rsidRPr="00E31963" w:rsidRDefault="007D3920" w:rsidP="00032E3D">
            <w:pPr>
              <w:keepNext/>
              <w:keepLines/>
              <w:widowControl/>
              <w:spacing w:before="40" w:after="40"/>
              <w:jc w:val="center"/>
              <w:rPr>
                <w:rFonts w:ascii="Arial Narrow" w:hAnsi="Arial Narrow"/>
              </w:rPr>
            </w:pPr>
            <w:r w:rsidRPr="00E31963">
              <w:rPr>
                <w:rFonts w:ascii="Arial Narrow" w:hAnsi="Arial Narrow"/>
              </w:rPr>
              <w:t>NR</w:t>
            </w:r>
          </w:p>
        </w:tc>
        <w:tc>
          <w:tcPr>
            <w:tcW w:w="1412" w:type="dxa"/>
          </w:tcPr>
          <w:p w14:paraId="16AA1903" w14:textId="77777777" w:rsidR="007D3920" w:rsidRPr="00E31963" w:rsidRDefault="007D3920" w:rsidP="00032E3D">
            <w:pPr>
              <w:keepNext/>
              <w:keepLines/>
              <w:widowControl/>
              <w:spacing w:before="40" w:after="40"/>
              <w:jc w:val="center"/>
              <w:rPr>
                <w:rFonts w:ascii="Arial Narrow" w:hAnsi="Arial Narrow"/>
              </w:rPr>
            </w:pPr>
            <w:r w:rsidRPr="00E31963">
              <w:rPr>
                <w:rFonts w:ascii="Arial Narrow" w:hAnsi="Arial Narrow"/>
              </w:rPr>
              <w:t>NR</w:t>
            </w:r>
          </w:p>
        </w:tc>
        <w:tc>
          <w:tcPr>
            <w:tcW w:w="851" w:type="dxa"/>
            <w:tcBorders>
              <w:right w:val="single" w:sz="12" w:space="0" w:color="auto"/>
            </w:tcBorders>
          </w:tcPr>
          <w:p w14:paraId="168E4B87" w14:textId="77777777" w:rsidR="007D3920" w:rsidRPr="00E31963" w:rsidRDefault="007D3920" w:rsidP="00032E3D">
            <w:pPr>
              <w:keepNext/>
              <w:keepLines/>
              <w:widowControl/>
              <w:spacing w:before="40" w:after="40"/>
              <w:jc w:val="center"/>
              <w:rPr>
                <w:rFonts w:ascii="Arial Narrow" w:hAnsi="Arial Narrow"/>
              </w:rPr>
            </w:pPr>
            <w:r w:rsidRPr="00E31963">
              <w:rPr>
                <w:rFonts w:ascii="Arial Narrow" w:hAnsi="Arial Narrow"/>
              </w:rPr>
              <w:t>NR</w:t>
            </w:r>
          </w:p>
        </w:tc>
        <w:tc>
          <w:tcPr>
            <w:tcW w:w="567" w:type="dxa"/>
            <w:tcBorders>
              <w:left w:val="single" w:sz="12" w:space="0" w:color="auto"/>
            </w:tcBorders>
          </w:tcPr>
          <w:p w14:paraId="6BF43FCD" w14:textId="77777777" w:rsidR="007D3920" w:rsidRPr="00E31963" w:rsidRDefault="007D3920" w:rsidP="00032E3D">
            <w:pPr>
              <w:keepNext/>
              <w:keepLines/>
              <w:widowControl/>
              <w:spacing w:before="40" w:after="40"/>
              <w:jc w:val="center"/>
              <w:rPr>
                <w:rFonts w:ascii="Arial Narrow" w:hAnsi="Arial Narrow"/>
              </w:rPr>
            </w:pPr>
            <w:r w:rsidRPr="00E31963">
              <w:rPr>
                <w:rFonts w:ascii="Arial Narrow" w:hAnsi="Arial Narrow"/>
              </w:rPr>
              <w:t>128</w:t>
            </w:r>
          </w:p>
        </w:tc>
        <w:tc>
          <w:tcPr>
            <w:tcW w:w="1275" w:type="dxa"/>
          </w:tcPr>
          <w:p w14:paraId="14407970" w14:textId="77777777" w:rsidR="007D3920" w:rsidRPr="00E31963" w:rsidRDefault="007D3920" w:rsidP="00032E3D">
            <w:pPr>
              <w:keepNext/>
              <w:keepLines/>
              <w:widowControl/>
              <w:spacing w:before="40" w:after="40"/>
              <w:jc w:val="center"/>
              <w:rPr>
                <w:rFonts w:ascii="Arial Narrow" w:hAnsi="Arial Narrow"/>
              </w:rPr>
            </w:pPr>
            <w:r w:rsidRPr="00E31963">
              <w:rPr>
                <w:rFonts w:ascii="Arial Narrow" w:hAnsi="Arial Narrow"/>
              </w:rPr>
              <w:t xml:space="preserve">70.9 </w:t>
            </w:r>
            <w:r w:rsidRPr="00E31963">
              <w:rPr>
                <w:rFonts w:ascii="Arial Narrow" w:hAnsi="Arial Narrow" w:cs="Calibri Light"/>
              </w:rPr>
              <w:t>±</w:t>
            </w:r>
            <w:r w:rsidRPr="00E31963">
              <w:rPr>
                <w:rFonts w:ascii="Arial Narrow" w:hAnsi="Arial Narrow"/>
              </w:rPr>
              <w:t xml:space="preserve"> 23.8**</w:t>
            </w:r>
          </w:p>
        </w:tc>
        <w:tc>
          <w:tcPr>
            <w:tcW w:w="1560" w:type="dxa"/>
          </w:tcPr>
          <w:p w14:paraId="087F68C6" w14:textId="77777777" w:rsidR="007D3920" w:rsidRPr="00E31963" w:rsidRDefault="007D3920" w:rsidP="00032E3D">
            <w:pPr>
              <w:keepNext/>
              <w:keepLines/>
              <w:widowControl/>
              <w:spacing w:before="40" w:after="40"/>
              <w:jc w:val="center"/>
              <w:rPr>
                <w:rFonts w:ascii="Arial Narrow" w:hAnsi="Arial Narrow"/>
              </w:rPr>
            </w:pPr>
            <w:r w:rsidRPr="00E31963">
              <w:rPr>
                <w:rFonts w:ascii="Arial Narrow" w:hAnsi="Arial Narrow"/>
              </w:rPr>
              <w:t>18.4 (13.7 - 23.2)**</w:t>
            </w:r>
          </w:p>
        </w:tc>
        <w:tc>
          <w:tcPr>
            <w:tcW w:w="865" w:type="dxa"/>
          </w:tcPr>
          <w:p w14:paraId="1AE3386B" w14:textId="77777777" w:rsidR="007D3920" w:rsidRPr="00E31963" w:rsidRDefault="007D3920" w:rsidP="00032E3D">
            <w:pPr>
              <w:keepNext/>
              <w:keepLines/>
              <w:widowControl/>
              <w:spacing w:before="40" w:after="40"/>
              <w:jc w:val="center"/>
              <w:rPr>
                <w:rFonts w:ascii="Arial Narrow" w:hAnsi="Arial Narrow"/>
              </w:rPr>
            </w:pPr>
            <w:r w:rsidRPr="00E31963">
              <w:rPr>
                <w:rFonts w:ascii="Arial Narrow" w:hAnsi="Arial Narrow"/>
              </w:rPr>
              <w:t>&lt;0.001</w:t>
            </w:r>
          </w:p>
        </w:tc>
      </w:tr>
    </w:tbl>
    <w:p w14:paraId="5D4E2AB6" w14:textId="77777777" w:rsidR="007D3920" w:rsidRPr="00CF4838" w:rsidRDefault="007D3920" w:rsidP="007D3920">
      <w:pPr>
        <w:pStyle w:val="Tablenotes"/>
      </w:pPr>
      <w:r w:rsidRPr="00CF4838">
        <w:t>FMR=functional mitral regurgitation; KCCQ=Kansas City Cardiomyopathy Questionnaire; SD=standard deviation</w:t>
      </w:r>
    </w:p>
    <w:p w14:paraId="1AC95EA9" w14:textId="77777777" w:rsidR="007D3920" w:rsidRPr="00CF4838" w:rsidRDefault="007D3920" w:rsidP="007D3920">
      <w:pPr>
        <w:pStyle w:val="Tablenotes"/>
        <w:tabs>
          <w:tab w:val="left" w:pos="284"/>
        </w:tabs>
      </w:pPr>
      <w:r w:rsidRPr="00CF4838">
        <w:t>*</w:t>
      </w:r>
      <w:r>
        <w:tab/>
      </w:r>
      <w:r w:rsidRPr="00CF4838">
        <w:t>ITT sample</w:t>
      </w:r>
      <w:r>
        <w:t>; ** updated results from Arnold (2019)</w:t>
      </w:r>
    </w:p>
    <w:p w14:paraId="75F5240C" w14:textId="77777777" w:rsidR="007D3920" w:rsidRDefault="007D3920" w:rsidP="007D3920">
      <w:pPr>
        <w:spacing w:after="0" w:line="240" w:lineRule="auto"/>
        <w:rPr>
          <w:lang w:eastAsia="en-AU"/>
        </w:rPr>
      </w:pPr>
      <w:r>
        <w:t xml:space="preserve">In the CLASP study, the average </w:t>
      </w:r>
      <w:r w:rsidRPr="000B4D5C">
        <w:rPr>
          <w:lang w:eastAsia="en-AU"/>
        </w:rPr>
        <w:t>KCCQ</w:t>
      </w:r>
      <w:r>
        <w:rPr>
          <w:lang w:eastAsia="en-AU"/>
        </w:rPr>
        <w:t xml:space="preserve"> </w:t>
      </w:r>
      <w:r>
        <w:t xml:space="preserve">score improved by 16 points at 30 days (p &lt;0.001) and was sustained at 1 year (16 points; p &lt; 0.001). The COAPT trial did not report </w:t>
      </w:r>
      <w:r w:rsidRPr="000B4D5C">
        <w:rPr>
          <w:lang w:eastAsia="en-AU"/>
        </w:rPr>
        <w:t>KCCQ</w:t>
      </w:r>
      <w:r>
        <w:rPr>
          <w:lang w:eastAsia="en-AU"/>
        </w:rPr>
        <w:t xml:space="preserve"> </w:t>
      </w:r>
      <w:r>
        <w:t xml:space="preserve">score at 30 days. In relation to </w:t>
      </w:r>
      <w:proofErr w:type="spellStart"/>
      <w:r>
        <w:rPr>
          <w:lang w:eastAsia="en-AU"/>
        </w:rPr>
        <w:t>MitraClip</w:t>
      </w:r>
      <w:proofErr w:type="spellEnd"/>
      <w:r>
        <w:rPr>
          <w:lang w:eastAsia="en-AU"/>
        </w:rPr>
        <w:t xml:space="preserve"> patients, the current ADAR stated that the statistically significant improvement by 12.2 points over 12 months was more than twice the clinically meaningful improvement difference (MCID) of 5 points. The recently published updated results indicated that the COAPT patients achieved more than 3 times the MCID with average improvement by 17 points (Arnold, 2019). </w:t>
      </w:r>
      <w:r w:rsidRPr="00427322">
        <w:rPr>
          <w:lang w:eastAsia="en-AU"/>
        </w:rPr>
        <w:t>No statistical analysis of significance of the difference between the CLASP and COAP results was possible since standard deviations around the</w:t>
      </w:r>
      <w:r w:rsidRPr="00427322">
        <w:t xml:space="preserve"> mean values of the </w:t>
      </w:r>
      <w:r w:rsidRPr="00427322">
        <w:rPr>
          <w:lang w:eastAsia="en-AU"/>
        </w:rPr>
        <w:t xml:space="preserve">KCCQ </w:t>
      </w:r>
      <w:r w:rsidRPr="00427322">
        <w:t>scores in CLASP trial was not presented.</w:t>
      </w:r>
      <w:r w:rsidRPr="006902EA">
        <w:t xml:space="preserve"> </w:t>
      </w:r>
      <w:r w:rsidRPr="006902EA">
        <w:rPr>
          <w:lang w:eastAsia="en-AU"/>
        </w:rPr>
        <w:t xml:space="preserve"> </w:t>
      </w:r>
    </w:p>
    <w:p w14:paraId="5874C476" w14:textId="77777777" w:rsidR="007D3920" w:rsidRDefault="007D3920" w:rsidP="00496BC6">
      <w:pPr>
        <w:pStyle w:val="Heading4"/>
      </w:pPr>
      <w:r>
        <w:t xml:space="preserve">HF hospitalisation (FMR population) </w:t>
      </w:r>
    </w:p>
    <w:p w14:paraId="12A1D67C" w14:textId="77777777" w:rsidR="007D3920" w:rsidRPr="008D2793" w:rsidRDefault="007D3920" w:rsidP="007D3920">
      <w:pPr>
        <w:spacing w:after="0" w:line="240" w:lineRule="auto"/>
        <w:rPr>
          <w:lang w:eastAsia="en-AU"/>
        </w:rPr>
      </w:pPr>
      <w:r>
        <w:rPr>
          <w:lang w:eastAsia="en-AU"/>
        </w:rPr>
        <w:t xml:space="preserve">No MAIC comparison was undertaken in relation to this outcome. </w:t>
      </w:r>
      <w:r w:rsidRPr="00427322">
        <w:rPr>
          <w:lang w:eastAsia="en-AU"/>
        </w:rPr>
        <w:t>The HF rehospitalisation outcomes were reported in different formats across CLASP and COAPT trials making even naïve comparisons problematic</w:t>
      </w:r>
      <w:r w:rsidRPr="00E31963">
        <w:rPr>
          <w:i/>
          <w:iCs/>
          <w:lang w:eastAsia="en-AU"/>
        </w:rPr>
        <w:t>.</w:t>
      </w:r>
      <w:r>
        <w:rPr>
          <w:lang w:eastAsia="en-AU"/>
        </w:rPr>
        <w:t xml:space="preserve"> In the COAPT RCT, HF related hospitalisation within 24 months was a primary endpoint. The trial reported the proportion of patients with HF related hospitalisations within 24 months from index procedure (35.7%), hazard ratios for the number of HF hospitalisations over 24 months (HR=0.53; 95% CI 0.40-0.70; P&lt;0.001) and an annualised rate (35.8% per patient-year)</w:t>
      </w:r>
      <w:r w:rsidRPr="008570B5">
        <w:rPr>
          <w:lang w:eastAsia="en-AU"/>
        </w:rPr>
        <w:t xml:space="preserve">. </w:t>
      </w:r>
      <w:r>
        <w:rPr>
          <w:lang w:eastAsia="en-AU"/>
        </w:rPr>
        <w:t>CLASP reported the reverse outcome – freedom from</w:t>
      </w:r>
      <w:r w:rsidRPr="006D461E">
        <w:rPr>
          <w:lang w:eastAsia="en-AU"/>
        </w:rPr>
        <w:t xml:space="preserve"> HF rehospitalisation</w:t>
      </w:r>
      <w:r>
        <w:rPr>
          <w:lang w:eastAsia="en-AU"/>
        </w:rPr>
        <w:t xml:space="preserve"> in terms of rates over 24 months (77.5%), but no hazard ratios, and a 2-year reduction in annualised HF hospitalisation rate from the baseline rate of 1.16 (81%). </w:t>
      </w:r>
    </w:p>
    <w:p w14:paraId="65AE10F0" w14:textId="77777777" w:rsidR="007D3920" w:rsidRPr="00A24A8F" w:rsidRDefault="007D3920" w:rsidP="00496BC6">
      <w:pPr>
        <w:pStyle w:val="Heading4"/>
      </w:pPr>
      <w:r>
        <w:t xml:space="preserve">Naïve comparison </w:t>
      </w:r>
      <w:r w:rsidRPr="00A24A8F">
        <w:t>interpretation</w:t>
      </w:r>
    </w:p>
    <w:p w14:paraId="61CCA260" w14:textId="77777777" w:rsidR="007D3920" w:rsidRPr="00427322" w:rsidRDefault="007D3920" w:rsidP="007D3920">
      <w:r w:rsidRPr="00427322">
        <w:t xml:space="preserve">The naïve comparison consisted of results extracted from the single-arm studies that differ in design, settings and enrolled heterogenous populations. </w:t>
      </w:r>
      <w:r w:rsidRPr="00427322">
        <w:rPr>
          <w:lang w:eastAsia="en-AU"/>
        </w:rPr>
        <w:t xml:space="preserve">There is also a possibility of potential bias due to </w:t>
      </w:r>
      <w:r w:rsidRPr="00427322">
        <w:t xml:space="preserve">time-varying confounding, since CLASP began at the time when COAPT and EVEREST-II were </w:t>
      </w:r>
      <w:r w:rsidRPr="00427322">
        <w:lastRenderedPageBreak/>
        <w:t>nearing completion. Inability to separate outcomes for FMR and DMR populations precluded a meaningful comparison of results in the mixed population since the FMR/DMR split varied across the studies.</w:t>
      </w:r>
    </w:p>
    <w:p w14:paraId="027E18E4" w14:textId="553B320D" w:rsidR="007D3920" w:rsidRPr="006902EA" w:rsidRDefault="007D3920" w:rsidP="007D3920">
      <w:r w:rsidRPr="00427322">
        <w:t>Numerous sources of bias are associated with observational studies which were not sufficiently addressed.</w:t>
      </w:r>
      <w:r w:rsidRPr="006902EA">
        <w:t xml:space="preserve"> </w:t>
      </w:r>
      <w:r w:rsidRPr="00427322">
        <w:t>For example, the baseline characteristics of the populations enrolled in the CLASP, COAPT and EVEREST-II studies were demonstrably different (Attachment 2.1). If that was not the case, there would be no justification for attempting a MAIC.</w:t>
      </w:r>
    </w:p>
    <w:p w14:paraId="2441EE6C" w14:textId="2E8F289D" w:rsidR="00367C94" w:rsidRPr="00210CA3" w:rsidRDefault="00367C94" w:rsidP="00210CA3">
      <w:pPr>
        <w:pStyle w:val="Heading2"/>
        <w:numPr>
          <w:ilvl w:val="0"/>
          <w:numId w:val="0"/>
        </w:numPr>
        <w:rPr>
          <w:color w:val="auto"/>
          <w:sz w:val="24"/>
          <w:szCs w:val="24"/>
        </w:rPr>
      </w:pPr>
      <w:r w:rsidRPr="00210CA3">
        <w:rPr>
          <w:color w:val="auto"/>
          <w:sz w:val="24"/>
          <w:szCs w:val="24"/>
        </w:rPr>
        <w:t>Clinical claim</w:t>
      </w:r>
    </w:p>
    <w:p w14:paraId="4B3AB7A7" w14:textId="7AF3306B" w:rsidR="00C65EEB" w:rsidRDefault="00C65EEB" w:rsidP="00367C94">
      <w:pPr>
        <w:jc w:val="both"/>
      </w:pPr>
      <w:r>
        <w:t>On the basis of the benefits and harms reported in the evidence base, the ADAR</w:t>
      </w:r>
      <w:r w:rsidRPr="007613A4">
        <w:t xml:space="preserve"> proposes that, relative to </w:t>
      </w:r>
      <w:proofErr w:type="spellStart"/>
      <w:r>
        <w:t>MitraClip</w:t>
      </w:r>
      <w:proofErr w:type="spellEnd"/>
      <w:r>
        <w:t xml:space="preserve"> system</w:t>
      </w:r>
      <w:r w:rsidRPr="007613A4">
        <w:t xml:space="preserve">, </w:t>
      </w:r>
      <w:r>
        <w:t>PASCAL system</w:t>
      </w:r>
      <w:r w:rsidRPr="007613A4">
        <w:t xml:space="preserve"> has non-inferior</w:t>
      </w:r>
      <w:r>
        <w:t xml:space="preserve"> </w:t>
      </w:r>
      <w:r w:rsidRPr="007613A4">
        <w:t>safety and non-inferior</w:t>
      </w:r>
      <w:r>
        <w:t xml:space="preserve"> </w:t>
      </w:r>
      <w:r w:rsidRPr="007613A4">
        <w:t>effectiveness.</w:t>
      </w:r>
    </w:p>
    <w:p w14:paraId="26A44E3F" w14:textId="77777777" w:rsidR="00C65EEB" w:rsidRPr="00427322" w:rsidRDefault="00C65EEB" w:rsidP="00367C94">
      <w:pPr>
        <w:jc w:val="both"/>
      </w:pPr>
      <w:r w:rsidRPr="00427322">
        <w:t>The clinical claim is the same as that made in the previous ADAR and requires consideration given:</w:t>
      </w:r>
    </w:p>
    <w:p w14:paraId="085A92CB" w14:textId="69189218" w:rsidR="00C65EEB" w:rsidRPr="00427322" w:rsidRDefault="00C65EEB" w:rsidP="00367C94">
      <w:pPr>
        <w:pStyle w:val="ListParagraph"/>
        <w:numPr>
          <w:ilvl w:val="0"/>
          <w:numId w:val="27"/>
        </w:numPr>
        <w:spacing w:after="0"/>
        <w:jc w:val="both"/>
      </w:pPr>
      <w:r w:rsidRPr="00427322">
        <w:t xml:space="preserve">The key clinical concerns outlined previously by MSAC </w:t>
      </w:r>
      <w:r w:rsidR="00195444">
        <w:t xml:space="preserve">in </w:t>
      </w:r>
      <w:r w:rsidR="00A068A0">
        <w:t>the</w:t>
      </w:r>
      <w:r w:rsidR="00195444">
        <w:t xml:space="preserve"> 2021 consideration </w:t>
      </w:r>
      <w:r w:rsidRPr="00427322">
        <w:t>have not been fully addressed.</w:t>
      </w:r>
      <w:r w:rsidRPr="006902EA">
        <w:t xml:space="preserve"> </w:t>
      </w:r>
      <w:r w:rsidRPr="00427322">
        <w:t xml:space="preserve">MSAC previously advised that any future submission should preferably include evidence that is comparable in quality to the </w:t>
      </w:r>
      <w:proofErr w:type="spellStart"/>
      <w:r w:rsidRPr="00427322">
        <w:t>MitraClip</w:t>
      </w:r>
      <w:proofErr w:type="spellEnd"/>
      <w:r w:rsidRPr="00427322">
        <w:t xml:space="preserve"> trial evidence (RCT with 2 years follow-up) and comparative evidence for the DMR population alone.</w:t>
      </w:r>
      <w:r w:rsidR="006902EA">
        <w:t xml:space="preserve"> T</w:t>
      </w:r>
      <w:r w:rsidRPr="00427322">
        <w:t>he current ADAR still relies on the same small-size, single-arm observational study for PASCAL (</w:t>
      </w:r>
      <w:proofErr w:type="spellStart"/>
      <w:r w:rsidRPr="00427322">
        <w:t>Szerlip</w:t>
      </w:r>
      <w:proofErr w:type="spellEnd"/>
      <w:r w:rsidRPr="00427322">
        <w:t>, 2021) that was considered of low quality and did not adequately support the claim of clinical non-inferiority.</w:t>
      </w:r>
    </w:p>
    <w:p w14:paraId="15BE294D" w14:textId="1DD65F12" w:rsidR="00C65EEB" w:rsidRPr="00427322" w:rsidRDefault="00C65EEB" w:rsidP="00367C94">
      <w:pPr>
        <w:pStyle w:val="ListParagraph"/>
        <w:numPr>
          <w:ilvl w:val="0"/>
          <w:numId w:val="27"/>
        </w:numPr>
        <w:spacing w:after="0"/>
        <w:ind w:left="284" w:hanging="284"/>
        <w:jc w:val="both"/>
      </w:pPr>
      <w:r w:rsidRPr="00427322">
        <w:t xml:space="preserve"> Presentation of additional results from single-arm studies could not improve the degree of support for the non-inferiority claim by virtue of the non-comparative design of these studies. The informative value of naïve comparisons for decision making is uncertain because of the degree of potential bias associated with outcomes assembled across heterogenous populations, settings and study designs. </w:t>
      </w:r>
    </w:p>
    <w:p w14:paraId="3B432140" w14:textId="3F7C2D33" w:rsidR="00C65EEB" w:rsidRPr="00427322" w:rsidRDefault="00C65EEB" w:rsidP="00367C94">
      <w:pPr>
        <w:pStyle w:val="ListParagraph"/>
        <w:numPr>
          <w:ilvl w:val="0"/>
          <w:numId w:val="27"/>
        </w:numPr>
        <w:spacing w:before="0" w:after="0"/>
        <w:ind w:left="284" w:hanging="284"/>
        <w:contextualSpacing w:val="0"/>
        <w:jc w:val="both"/>
      </w:pPr>
      <w:r w:rsidRPr="00427322">
        <w:t>The results from the unanchored MAIC largely unchanged from MSAC’s previous</w:t>
      </w:r>
      <w:r w:rsidR="00195444">
        <w:t xml:space="preserve"> 20</w:t>
      </w:r>
      <w:r w:rsidR="00065B02">
        <w:t>21</w:t>
      </w:r>
      <w:r w:rsidRPr="00427322">
        <w:t xml:space="preserve"> consideration and was previously not sufficient to support </w:t>
      </w:r>
      <w:proofErr w:type="spellStart"/>
      <w:r w:rsidRPr="00427322">
        <w:t>TMVr</w:t>
      </w:r>
      <w:proofErr w:type="spellEnd"/>
      <w:r w:rsidRPr="00427322">
        <w:t xml:space="preserve"> using PASCAL.  </w:t>
      </w:r>
    </w:p>
    <w:p w14:paraId="195F6985" w14:textId="77777777" w:rsidR="00C65EEB" w:rsidRPr="00427322" w:rsidRDefault="00C65EEB" w:rsidP="00367C94">
      <w:pPr>
        <w:pStyle w:val="ListParagraph"/>
        <w:numPr>
          <w:ilvl w:val="0"/>
          <w:numId w:val="27"/>
        </w:numPr>
        <w:spacing w:before="0"/>
        <w:ind w:left="284" w:hanging="284"/>
        <w:jc w:val="both"/>
      </w:pPr>
      <w:r w:rsidRPr="00427322">
        <w:t xml:space="preserve">Although there is some recently published comparative evidence, the evidence is limited to trials with relatively small sample sizes that did not report safety and efficacy for the FMR and DMR subgroups separately. </w:t>
      </w:r>
    </w:p>
    <w:p w14:paraId="7C5FE1EA" w14:textId="77777777" w:rsidR="00C65EEB" w:rsidRPr="003C6E47" w:rsidRDefault="00C65EEB" w:rsidP="00367C94">
      <w:pPr>
        <w:jc w:val="both"/>
        <w:rPr>
          <w:i/>
          <w:iCs/>
        </w:rPr>
      </w:pPr>
      <w:r>
        <w:t xml:space="preserve">The main argument in the current ADAR appears to be that the MAIC and especially the naïve comparison present </w:t>
      </w:r>
      <w:r w:rsidRPr="000A6E88">
        <w:t>evidence “</w:t>
      </w:r>
      <w:r w:rsidRPr="004A2EE0">
        <w:rPr>
          <w:i/>
          <w:iCs/>
        </w:rPr>
        <w:t xml:space="preserve">of a similar standard to that included in MSAC Application No. 1192.3, which presented a series of observational studies to support the listing of </w:t>
      </w:r>
      <w:proofErr w:type="spellStart"/>
      <w:r w:rsidRPr="004A2EE0">
        <w:rPr>
          <w:i/>
          <w:iCs/>
        </w:rPr>
        <w:t>TMVr</w:t>
      </w:r>
      <w:proofErr w:type="spellEnd"/>
      <w:r w:rsidRPr="004A2EE0">
        <w:rPr>
          <w:i/>
          <w:iCs/>
        </w:rPr>
        <w:t xml:space="preserve"> using </w:t>
      </w:r>
      <w:proofErr w:type="spellStart"/>
      <w:r w:rsidRPr="004A2EE0">
        <w:rPr>
          <w:i/>
          <w:iCs/>
        </w:rPr>
        <w:t>MitraClip</w:t>
      </w:r>
      <w:proofErr w:type="spellEnd"/>
      <w:r w:rsidRPr="004A2EE0">
        <w:rPr>
          <w:i/>
          <w:iCs/>
        </w:rPr>
        <w:t xml:space="preserve"> for the DMR population. After consideration of these observational studies, the MSAC considered that on balance </w:t>
      </w:r>
      <w:proofErr w:type="spellStart"/>
      <w:r w:rsidRPr="004A2EE0">
        <w:rPr>
          <w:i/>
          <w:iCs/>
        </w:rPr>
        <w:t>TMVr</w:t>
      </w:r>
      <w:proofErr w:type="spellEnd"/>
      <w:r w:rsidRPr="004A2EE0">
        <w:rPr>
          <w:i/>
          <w:iCs/>
        </w:rPr>
        <w:t xml:space="preserve"> for the treatment of DMR should be considered non-inferior and recommended that the </w:t>
      </w:r>
      <w:proofErr w:type="spellStart"/>
      <w:r w:rsidRPr="004A2EE0">
        <w:rPr>
          <w:i/>
          <w:iCs/>
        </w:rPr>
        <w:t>MitraClip</w:t>
      </w:r>
      <w:proofErr w:type="spellEnd"/>
      <w:r w:rsidRPr="004A2EE0">
        <w:rPr>
          <w:i/>
          <w:iCs/>
        </w:rPr>
        <w:t xml:space="preserve"> procedure be listed on the MBS</w:t>
      </w:r>
      <w:r w:rsidRPr="00D56500">
        <w:rPr>
          <w:i/>
          <w:iCs/>
        </w:rPr>
        <w:t xml:space="preserve">” </w:t>
      </w:r>
      <w:r w:rsidRPr="00427322">
        <w:t>(MSAC 1192.3 PSD).</w:t>
      </w:r>
      <w:r w:rsidRPr="0019519D">
        <w:rPr>
          <w:i/>
          <w:iCs/>
        </w:rPr>
        <w:t xml:space="preserve"> </w:t>
      </w:r>
    </w:p>
    <w:p w14:paraId="239A4DD3" w14:textId="1557DE8E" w:rsidR="002B72E4" w:rsidRPr="002B72E4" w:rsidRDefault="00C65EEB" w:rsidP="00367C94">
      <w:pPr>
        <w:jc w:val="both"/>
      </w:pPr>
      <w:r w:rsidRPr="00427322">
        <w:t xml:space="preserve">This argument is poorly justified since the MSAC support for public funding of </w:t>
      </w:r>
      <w:proofErr w:type="spellStart"/>
      <w:r w:rsidRPr="00427322">
        <w:t>TMVr</w:t>
      </w:r>
      <w:proofErr w:type="spellEnd"/>
      <w:r w:rsidRPr="00427322">
        <w:t xml:space="preserve"> (</w:t>
      </w:r>
      <w:proofErr w:type="spellStart"/>
      <w:r w:rsidRPr="00427322">
        <w:t>MitraClip</w:t>
      </w:r>
      <w:proofErr w:type="spellEnd"/>
      <w:r w:rsidRPr="00427322">
        <w:t>™) was based on the higher quality evidence [COAPT RCT], which supported the claim for non-inferior safety and superior effectiveness for the FMR population. In relation to DMR population, “MSAC acknowledged that, although the evidence for DMR patients is of lower quality, these patients are very sick and have few other options” (</w:t>
      </w:r>
      <w:r w:rsidR="006902EA" w:rsidRPr="00427322">
        <w:t>MSAC 1192.3 PSD</w:t>
      </w:r>
      <w:r w:rsidRPr="00427322">
        <w:t xml:space="preserve">). The </w:t>
      </w:r>
      <w:r w:rsidR="00ED7945">
        <w:t xml:space="preserve">current </w:t>
      </w:r>
      <w:r w:rsidRPr="00427322">
        <w:t xml:space="preserve">ADAR did not identify a population with an unmet clinical need who are unable to undergo </w:t>
      </w:r>
      <w:proofErr w:type="spellStart"/>
      <w:r w:rsidRPr="00427322">
        <w:t>TMVr</w:t>
      </w:r>
      <w:proofErr w:type="spellEnd"/>
      <w:r w:rsidRPr="00427322">
        <w:t xml:space="preserve"> using </w:t>
      </w:r>
      <w:proofErr w:type="spellStart"/>
      <w:r w:rsidRPr="00427322">
        <w:t>MitraClip</w:t>
      </w:r>
      <w:proofErr w:type="spellEnd"/>
      <w:r w:rsidRPr="00427322">
        <w:t xml:space="preserve"> but is able to under</w:t>
      </w:r>
      <w:r w:rsidR="00ED7945">
        <w:t>go</w:t>
      </w:r>
      <w:r w:rsidRPr="00427322">
        <w:t xml:space="preserve"> </w:t>
      </w:r>
      <w:proofErr w:type="spellStart"/>
      <w:r w:rsidRPr="00427322">
        <w:t>TMVr</w:t>
      </w:r>
      <w:proofErr w:type="spellEnd"/>
      <w:r w:rsidRPr="00427322">
        <w:t xml:space="preserve"> using PASCAL. However, unmet clinical need for the DMR population is addressed by the MBS listing for </w:t>
      </w:r>
      <w:proofErr w:type="spellStart"/>
      <w:r w:rsidRPr="00427322">
        <w:t>TMVr</w:t>
      </w:r>
      <w:proofErr w:type="spellEnd"/>
      <w:r w:rsidRPr="00427322">
        <w:t xml:space="preserve"> using </w:t>
      </w:r>
      <w:proofErr w:type="spellStart"/>
      <w:r w:rsidRPr="00427322">
        <w:t>MitraClip</w:t>
      </w:r>
      <w:proofErr w:type="spellEnd"/>
      <w:r w:rsidRPr="00427322">
        <w:t xml:space="preserve">. </w:t>
      </w:r>
    </w:p>
    <w:bookmarkEnd w:id="57"/>
    <w:p w14:paraId="7F905FE8" w14:textId="26D95F09" w:rsidR="00F16A97" w:rsidRDefault="00F16A97" w:rsidP="00F35C7B">
      <w:pPr>
        <w:pStyle w:val="Heading2"/>
        <w:numPr>
          <w:ilvl w:val="0"/>
          <w:numId w:val="33"/>
        </w:numPr>
        <w:ind w:hanging="810"/>
      </w:pPr>
      <w:r w:rsidRPr="00CE28E3">
        <w:lastRenderedPageBreak/>
        <w:t>Economic evaluation</w:t>
      </w:r>
    </w:p>
    <w:p w14:paraId="4935DE25" w14:textId="69223D62" w:rsidR="00192D17" w:rsidRDefault="00192D17" w:rsidP="00367C94">
      <w:pPr>
        <w:pStyle w:val="Instructionaltext"/>
        <w:shd w:val="clear" w:color="auto" w:fill="B4C6E7" w:themeFill="accent5" w:themeFillTint="66"/>
        <w:rPr>
          <w:color w:val="auto"/>
        </w:rPr>
      </w:pPr>
      <w:r w:rsidRPr="00CA1C6A">
        <w:rPr>
          <w:color w:val="auto"/>
        </w:rPr>
        <w:t xml:space="preserve">The </w:t>
      </w:r>
      <w:r w:rsidR="001F74D5">
        <w:rPr>
          <w:color w:val="auto"/>
        </w:rPr>
        <w:t>previous ADAR</w:t>
      </w:r>
      <w:r>
        <w:rPr>
          <w:color w:val="auto"/>
        </w:rPr>
        <w:t xml:space="preserve"> (</w:t>
      </w:r>
      <w:r w:rsidR="001F74D5">
        <w:rPr>
          <w:color w:val="auto"/>
        </w:rPr>
        <w:t>MSAC</w:t>
      </w:r>
      <w:r>
        <w:rPr>
          <w:color w:val="auto"/>
        </w:rPr>
        <w:t xml:space="preserve"> 1662) presented a cost-minimisation model with the time horizon of 30 days, that</w:t>
      </w:r>
      <w:r w:rsidRPr="008E55CC">
        <w:rPr>
          <w:color w:val="auto"/>
        </w:rPr>
        <w:t xml:space="preserve"> included the cost of the index procedure, revision surgery, and </w:t>
      </w:r>
      <w:r>
        <w:rPr>
          <w:color w:val="auto"/>
        </w:rPr>
        <w:t xml:space="preserve">downstream cost. </w:t>
      </w:r>
      <w:r w:rsidRPr="00D53451">
        <w:rPr>
          <w:color w:val="auto"/>
        </w:rPr>
        <w:t>A cost-minimisation analysis was presented assuming</w:t>
      </w:r>
      <w:r w:rsidR="00F90145">
        <w:rPr>
          <w:color w:val="auto"/>
        </w:rPr>
        <w:t xml:space="preserve"> </w:t>
      </w:r>
      <w:r w:rsidRPr="00D53451">
        <w:rPr>
          <w:color w:val="auto"/>
        </w:rPr>
        <w:t xml:space="preserve">that PASCAL is non-inferior in safety and efficacy compared with </w:t>
      </w:r>
      <w:proofErr w:type="spellStart"/>
      <w:r w:rsidRPr="00D53451">
        <w:rPr>
          <w:color w:val="auto"/>
        </w:rPr>
        <w:t>MitraClip</w:t>
      </w:r>
      <w:proofErr w:type="spellEnd"/>
      <w:r w:rsidRPr="00D53451">
        <w:rPr>
          <w:color w:val="auto"/>
        </w:rPr>
        <w:t xml:space="preserve">. </w:t>
      </w:r>
      <w:r w:rsidRPr="00427322">
        <w:rPr>
          <w:color w:val="auto"/>
        </w:rPr>
        <w:t>The type of the model and the overall approach was considered appropriate.</w:t>
      </w:r>
      <w:r w:rsidRPr="002A1816">
        <w:rPr>
          <w:i/>
          <w:iCs/>
          <w:color w:val="auto"/>
        </w:rPr>
        <w:t xml:space="preserve"> </w:t>
      </w:r>
    </w:p>
    <w:p w14:paraId="3297FE78" w14:textId="7DADE80E" w:rsidR="00192D17" w:rsidRPr="00CA1C6A" w:rsidRDefault="00192D17" w:rsidP="00367C94">
      <w:r w:rsidRPr="004807F5">
        <w:rPr>
          <w:shd w:val="clear" w:color="auto" w:fill="B4C6E7" w:themeFill="accent5" w:themeFillTint="66"/>
        </w:rPr>
        <w:t>The MSAC previously noted that the uncertainty associated with MAIC affected the economic analysis both directly through the adjusted rates of adverse events, and indirectly through the clinical claim of non-inferiority (MSAC 1662 P</w:t>
      </w:r>
      <w:r w:rsidR="006902EA">
        <w:rPr>
          <w:shd w:val="clear" w:color="auto" w:fill="B4C6E7" w:themeFill="accent5" w:themeFillTint="66"/>
        </w:rPr>
        <w:t>SD</w:t>
      </w:r>
      <w:r w:rsidRPr="004807F5">
        <w:rPr>
          <w:shd w:val="clear" w:color="auto" w:fill="B4C6E7" w:themeFill="accent5" w:themeFillTint="66"/>
        </w:rPr>
        <w:t xml:space="preserve">, page 5). </w:t>
      </w:r>
      <w:r w:rsidRPr="00427322">
        <w:t xml:space="preserve">Attempts to address these concerns in the </w:t>
      </w:r>
      <w:r w:rsidR="001F74D5" w:rsidRPr="00427322">
        <w:t>current ADAR</w:t>
      </w:r>
      <w:r w:rsidRPr="00427322">
        <w:t xml:space="preserve"> were not completely successful and new uncertainties were generated in the process.</w:t>
      </w:r>
      <w:r w:rsidRPr="006902EA">
        <w:t xml:space="preserve">  </w:t>
      </w:r>
    </w:p>
    <w:p w14:paraId="0C0A10F2" w14:textId="2D356F99" w:rsidR="00192D17" w:rsidRPr="003251C2" w:rsidRDefault="00192D17" w:rsidP="00367C94">
      <w:r w:rsidRPr="00021F44">
        <w:t xml:space="preserve">The economic evaluation is summarised in </w:t>
      </w:r>
      <w:r w:rsidR="006902EA">
        <w:fldChar w:fldCharType="begin"/>
      </w:r>
      <w:r w:rsidR="006902EA">
        <w:instrText xml:space="preserve"> REF _Ref69725820 \h </w:instrText>
      </w:r>
      <w:r w:rsidR="006902EA">
        <w:fldChar w:fldCharType="separate"/>
      </w:r>
      <w:r w:rsidR="006902EA" w:rsidRPr="00CE28E3">
        <w:t>Table</w:t>
      </w:r>
      <w:r w:rsidR="006902EA">
        <w:t> </w:t>
      </w:r>
      <w:r w:rsidR="006902EA">
        <w:rPr>
          <w:noProof/>
        </w:rPr>
        <w:t>31</w:t>
      </w:r>
      <w:r w:rsidR="006902EA">
        <w:fldChar w:fldCharType="end"/>
      </w:r>
      <w:r w:rsidR="002A1816">
        <w:fldChar w:fldCharType="begin"/>
      </w:r>
      <w:r w:rsidR="002A1816">
        <w:instrText xml:space="preserve"> REF _Ref69725820 \h </w:instrText>
      </w:r>
      <w:r w:rsidR="00390210">
        <w:fldChar w:fldCharType="separate"/>
      </w:r>
      <w:r w:rsidR="002A1816">
        <w:fldChar w:fldCharType="end"/>
      </w:r>
      <w:r w:rsidRPr="00021F44">
        <w:t xml:space="preserve">. </w:t>
      </w:r>
    </w:p>
    <w:p w14:paraId="7938D519" w14:textId="09B5DBFC" w:rsidR="00192D17" w:rsidRPr="005602F8" w:rsidRDefault="00192D17" w:rsidP="00367C94">
      <w:pPr>
        <w:pStyle w:val="Caption"/>
        <w:tabs>
          <w:tab w:val="left" w:pos="1134"/>
        </w:tabs>
        <w:ind w:left="1134" w:hanging="1134"/>
      </w:pPr>
      <w:bookmarkStart w:id="74" w:name="_Ref69725820"/>
      <w:r w:rsidRPr="00CE28E3">
        <w:t>Table</w:t>
      </w:r>
      <w:r>
        <w:t> </w:t>
      </w:r>
      <w:r w:rsidRPr="00CE28E3">
        <w:rPr>
          <w:noProof/>
        </w:rPr>
        <w:fldChar w:fldCharType="begin"/>
      </w:r>
      <w:r w:rsidRPr="00CE28E3">
        <w:rPr>
          <w:noProof/>
        </w:rPr>
        <w:instrText xml:space="preserve"> SEQ Table \* ARABIC </w:instrText>
      </w:r>
      <w:r w:rsidRPr="00CE28E3">
        <w:rPr>
          <w:noProof/>
        </w:rPr>
        <w:fldChar w:fldCharType="separate"/>
      </w:r>
      <w:r w:rsidR="006902EA">
        <w:rPr>
          <w:noProof/>
        </w:rPr>
        <w:t>31</w:t>
      </w:r>
      <w:r w:rsidRPr="00CE28E3">
        <w:rPr>
          <w:noProof/>
        </w:rPr>
        <w:fldChar w:fldCharType="end"/>
      </w:r>
      <w:bookmarkStart w:id="75" w:name="Title_Table5"/>
      <w:bookmarkStart w:id="76" w:name="_Ref69726284"/>
      <w:bookmarkEnd w:id="74"/>
      <w:bookmarkEnd w:id="75"/>
      <w:r>
        <w:t xml:space="preserve"> </w:t>
      </w:r>
      <w:r w:rsidRPr="005602F8">
        <w:t>Summary of the economic evaluation</w:t>
      </w:r>
    </w:p>
    <w:tbl>
      <w:tblPr>
        <w:tblStyle w:val="Style2"/>
        <w:tblW w:w="0" w:type="auto"/>
        <w:tblBorders>
          <w:left w:val="single" w:sz="4" w:space="0" w:color="auto"/>
          <w:right w:val="single" w:sz="4" w:space="0" w:color="auto"/>
          <w:insideV w:val="single" w:sz="4" w:space="0" w:color="auto"/>
        </w:tblBorders>
        <w:tblLook w:val="04A0" w:firstRow="1" w:lastRow="0" w:firstColumn="1" w:lastColumn="0" w:noHBand="0" w:noVBand="1"/>
      </w:tblPr>
      <w:tblGrid>
        <w:gridCol w:w="2834"/>
        <w:gridCol w:w="6182"/>
      </w:tblGrid>
      <w:tr w:rsidR="00192D17" w:rsidRPr="00A6225B" w14:paraId="730B7587" w14:textId="77777777" w:rsidTr="004807F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4" w:type="dxa"/>
            <w:shd w:val="clear" w:color="auto" w:fill="B4C6E7" w:themeFill="accent5" w:themeFillTint="66"/>
          </w:tcPr>
          <w:p w14:paraId="14542156" w14:textId="77777777" w:rsidR="00192D17" w:rsidRPr="00A6225B" w:rsidRDefault="00192D17" w:rsidP="00367C94">
            <w:pPr>
              <w:pStyle w:val="TableHeading"/>
              <w:rPr>
                <w:rFonts w:cstheme="minorHAnsi"/>
                <w:b/>
                <w:bCs/>
              </w:rPr>
            </w:pPr>
            <w:bookmarkStart w:id="77" w:name="Title_Table37" w:colFirst="0" w:colLast="0"/>
            <w:r w:rsidRPr="00A6225B">
              <w:rPr>
                <w:rFonts w:cstheme="minorHAnsi"/>
                <w:b/>
              </w:rPr>
              <w:t>Component</w:t>
            </w:r>
          </w:p>
        </w:tc>
        <w:tc>
          <w:tcPr>
            <w:tcW w:w="6182" w:type="dxa"/>
            <w:shd w:val="clear" w:color="auto" w:fill="B4C6E7" w:themeFill="accent5" w:themeFillTint="66"/>
          </w:tcPr>
          <w:p w14:paraId="7A8FA074" w14:textId="77777777" w:rsidR="00192D17" w:rsidRPr="00A6225B" w:rsidRDefault="00192D17" w:rsidP="00367C94">
            <w:pPr>
              <w:pStyle w:val="TableHeading"/>
              <w:cnfStyle w:val="100000000000" w:firstRow="1" w:lastRow="0" w:firstColumn="0" w:lastColumn="0" w:oddVBand="0" w:evenVBand="0" w:oddHBand="0" w:evenHBand="0" w:firstRowFirstColumn="0" w:firstRowLastColumn="0" w:lastRowFirstColumn="0" w:lastRowLastColumn="0"/>
              <w:rPr>
                <w:rFonts w:cstheme="minorHAnsi"/>
                <w:b/>
                <w:bCs/>
              </w:rPr>
            </w:pPr>
            <w:r w:rsidRPr="00A6225B">
              <w:rPr>
                <w:rFonts w:cstheme="minorHAnsi"/>
                <w:b/>
              </w:rPr>
              <w:t>Description</w:t>
            </w:r>
          </w:p>
        </w:tc>
      </w:tr>
      <w:tr w:rsidR="00192D17" w:rsidRPr="00A6225B" w14:paraId="6DCCD484" w14:textId="77777777" w:rsidTr="004807F5">
        <w:tc>
          <w:tcPr>
            <w:cnfStyle w:val="001000000000" w:firstRow="0" w:lastRow="0" w:firstColumn="1" w:lastColumn="0" w:oddVBand="0" w:evenVBand="0" w:oddHBand="0" w:evenHBand="0" w:firstRowFirstColumn="0" w:firstRowLastColumn="0" w:lastRowFirstColumn="0" w:lastRowLastColumn="0"/>
            <w:tcW w:w="2834" w:type="dxa"/>
            <w:shd w:val="clear" w:color="auto" w:fill="B4C6E7" w:themeFill="accent5" w:themeFillTint="66"/>
          </w:tcPr>
          <w:p w14:paraId="19A8B1C2" w14:textId="77777777" w:rsidR="00192D17" w:rsidRPr="00A6225B" w:rsidRDefault="00192D17" w:rsidP="00367C94">
            <w:pPr>
              <w:pStyle w:val="Tablelist"/>
              <w:numPr>
                <w:ilvl w:val="0"/>
                <w:numId w:val="0"/>
              </w:numPr>
              <w:rPr>
                <w:rFonts w:ascii="Arial Narrow" w:hAnsi="Arial Narrow"/>
              </w:rPr>
            </w:pPr>
            <w:r w:rsidRPr="00A6225B">
              <w:rPr>
                <w:rFonts w:ascii="Arial Narrow" w:hAnsi="Arial Narrow"/>
              </w:rPr>
              <w:t>Perspective</w:t>
            </w:r>
          </w:p>
        </w:tc>
        <w:tc>
          <w:tcPr>
            <w:tcW w:w="6182" w:type="dxa"/>
            <w:shd w:val="clear" w:color="auto" w:fill="B4C6E7" w:themeFill="accent5" w:themeFillTint="66"/>
            <w:vAlign w:val="top"/>
          </w:tcPr>
          <w:p w14:paraId="77B820BC" w14:textId="77777777" w:rsidR="00192D17" w:rsidRPr="00A6225B" w:rsidRDefault="00192D17" w:rsidP="00367C94">
            <w:pPr>
              <w:pStyle w:val="Tablelist"/>
              <w:numPr>
                <w:ilvl w:val="0"/>
                <w:numId w:val="0"/>
              </w:num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A6225B">
              <w:rPr>
                <w:rFonts w:ascii="Arial Narrow" w:hAnsi="Arial Narrow"/>
              </w:rPr>
              <w:t>Australian Healthcare System</w:t>
            </w:r>
          </w:p>
        </w:tc>
      </w:tr>
      <w:tr w:rsidR="00192D17" w:rsidRPr="00A6225B" w14:paraId="45E67373" w14:textId="77777777" w:rsidTr="004807F5">
        <w:tc>
          <w:tcPr>
            <w:cnfStyle w:val="001000000000" w:firstRow="0" w:lastRow="0" w:firstColumn="1" w:lastColumn="0" w:oddVBand="0" w:evenVBand="0" w:oddHBand="0" w:evenHBand="0" w:firstRowFirstColumn="0" w:firstRowLastColumn="0" w:lastRowFirstColumn="0" w:lastRowLastColumn="0"/>
            <w:tcW w:w="2834" w:type="dxa"/>
            <w:shd w:val="clear" w:color="auto" w:fill="B4C6E7" w:themeFill="accent5" w:themeFillTint="66"/>
          </w:tcPr>
          <w:p w14:paraId="6601AE7B" w14:textId="77777777" w:rsidR="00192D17" w:rsidRPr="00A6225B" w:rsidRDefault="00192D17" w:rsidP="00367C94">
            <w:pPr>
              <w:pStyle w:val="Tablelist"/>
              <w:numPr>
                <w:ilvl w:val="0"/>
                <w:numId w:val="0"/>
              </w:numPr>
              <w:rPr>
                <w:rFonts w:ascii="Arial Narrow" w:hAnsi="Arial Narrow"/>
              </w:rPr>
            </w:pPr>
            <w:r w:rsidRPr="00A6225B">
              <w:rPr>
                <w:rFonts w:ascii="Arial Narrow" w:hAnsi="Arial Narrow"/>
              </w:rPr>
              <w:t>Comparator</w:t>
            </w:r>
          </w:p>
        </w:tc>
        <w:tc>
          <w:tcPr>
            <w:tcW w:w="6182" w:type="dxa"/>
            <w:shd w:val="clear" w:color="auto" w:fill="B4C6E7" w:themeFill="accent5" w:themeFillTint="66"/>
            <w:vAlign w:val="top"/>
          </w:tcPr>
          <w:p w14:paraId="698F9F7D" w14:textId="77777777" w:rsidR="00192D17" w:rsidRPr="00A6225B" w:rsidRDefault="00192D17" w:rsidP="00367C94">
            <w:pPr>
              <w:pStyle w:val="Tablelist"/>
              <w:numPr>
                <w:ilvl w:val="0"/>
                <w:numId w:val="0"/>
              </w:num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proofErr w:type="spellStart"/>
            <w:r w:rsidRPr="00A6225B">
              <w:rPr>
                <w:rFonts w:ascii="Arial Narrow" w:hAnsi="Arial Narrow"/>
              </w:rPr>
              <w:t>MitraClip</w:t>
            </w:r>
            <w:proofErr w:type="spellEnd"/>
          </w:p>
        </w:tc>
      </w:tr>
      <w:bookmarkEnd w:id="77"/>
      <w:tr w:rsidR="00192D17" w:rsidRPr="00A6225B" w14:paraId="1294AE75" w14:textId="77777777" w:rsidTr="004807F5">
        <w:tc>
          <w:tcPr>
            <w:cnfStyle w:val="001000000000" w:firstRow="0" w:lastRow="0" w:firstColumn="1" w:lastColumn="0" w:oddVBand="0" w:evenVBand="0" w:oddHBand="0" w:evenHBand="0" w:firstRowFirstColumn="0" w:firstRowLastColumn="0" w:lastRowFirstColumn="0" w:lastRowLastColumn="0"/>
            <w:tcW w:w="2834" w:type="dxa"/>
            <w:shd w:val="clear" w:color="auto" w:fill="B4C6E7" w:themeFill="accent5" w:themeFillTint="66"/>
          </w:tcPr>
          <w:p w14:paraId="34E7D1FA" w14:textId="77777777" w:rsidR="00192D17" w:rsidRPr="00A6225B" w:rsidRDefault="00192D17" w:rsidP="00367C94">
            <w:pPr>
              <w:pStyle w:val="Tablelist"/>
              <w:numPr>
                <w:ilvl w:val="0"/>
                <w:numId w:val="0"/>
              </w:numPr>
              <w:rPr>
                <w:rFonts w:ascii="Arial Narrow" w:hAnsi="Arial Narrow"/>
              </w:rPr>
            </w:pPr>
            <w:r w:rsidRPr="00A6225B">
              <w:rPr>
                <w:rFonts w:ascii="Arial Narrow" w:hAnsi="Arial Narrow"/>
              </w:rPr>
              <w:t>Therapeutic claim: effectiveness</w:t>
            </w:r>
          </w:p>
        </w:tc>
        <w:tc>
          <w:tcPr>
            <w:tcW w:w="6182" w:type="dxa"/>
            <w:shd w:val="clear" w:color="auto" w:fill="B4C6E7" w:themeFill="accent5" w:themeFillTint="66"/>
            <w:vAlign w:val="top"/>
          </w:tcPr>
          <w:p w14:paraId="3C6F3D6F" w14:textId="77777777" w:rsidR="00192D17" w:rsidRPr="00A6225B" w:rsidRDefault="00192D17" w:rsidP="00367C94">
            <w:pPr>
              <w:pStyle w:val="Tablelist"/>
              <w:numPr>
                <w:ilvl w:val="0"/>
                <w:numId w:val="0"/>
              </w:num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A6225B">
              <w:rPr>
                <w:rFonts w:ascii="Arial Narrow" w:hAnsi="Arial Narrow"/>
              </w:rPr>
              <w:t xml:space="preserve">Based on </w:t>
            </w:r>
            <w:r>
              <w:rPr>
                <w:rFonts w:ascii="Arial Narrow" w:hAnsi="Arial Narrow"/>
              </w:rPr>
              <w:t xml:space="preserve">the clinical </w:t>
            </w:r>
            <w:r w:rsidRPr="00A6225B">
              <w:rPr>
                <w:rFonts w:ascii="Arial Narrow" w:hAnsi="Arial Narrow"/>
              </w:rPr>
              <w:t xml:space="preserve">evidence presented in Section 2, the effectiveness of PASCAL is assumed to be non-inferior to </w:t>
            </w:r>
            <w:proofErr w:type="spellStart"/>
            <w:r w:rsidRPr="00A6225B">
              <w:rPr>
                <w:rFonts w:ascii="Arial Narrow" w:hAnsi="Arial Narrow"/>
              </w:rPr>
              <w:t>MitraClip</w:t>
            </w:r>
            <w:proofErr w:type="spellEnd"/>
          </w:p>
        </w:tc>
      </w:tr>
      <w:tr w:rsidR="00192D17" w:rsidRPr="00A6225B" w14:paraId="06B21EA4" w14:textId="77777777" w:rsidTr="004807F5">
        <w:tc>
          <w:tcPr>
            <w:cnfStyle w:val="001000000000" w:firstRow="0" w:lastRow="0" w:firstColumn="1" w:lastColumn="0" w:oddVBand="0" w:evenVBand="0" w:oddHBand="0" w:evenHBand="0" w:firstRowFirstColumn="0" w:firstRowLastColumn="0" w:lastRowFirstColumn="0" w:lastRowLastColumn="0"/>
            <w:tcW w:w="2834" w:type="dxa"/>
            <w:shd w:val="clear" w:color="auto" w:fill="B4C6E7" w:themeFill="accent5" w:themeFillTint="66"/>
          </w:tcPr>
          <w:p w14:paraId="6CF57DE4" w14:textId="77777777" w:rsidR="00192D17" w:rsidRPr="00A6225B" w:rsidRDefault="00192D17" w:rsidP="00367C94">
            <w:pPr>
              <w:pStyle w:val="Tablelist"/>
              <w:numPr>
                <w:ilvl w:val="0"/>
                <w:numId w:val="0"/>
              </w:numPr>
              <w:rPr>
                <w:rFonts w:ascii="Arial Narrow" w:hAnsi="Arial Narrow"/>
              </w:rPr>
            </w:pPr>
            <w:r w:rsidRPr="00A6225B">
              <w:rPr>
                <w:rFonts w:ascii="Arial Narrow" w:hAnsi="Arial Narrow"/>
              </w:rPr>
              <w:t>Therapeutic claim: safety</w:t>
            </w:r>
          </w:p>
        </w:tc>
        <w:tc>
          <w:tcPr>
            <w:tcW w:w="6182" w:type="dxa"/>
            <w:shd w:val="clear" w:color="auto" w:fill="B4C6E7" w:themeFill="accent5" w:themeFillTint="66"/>
            <w:vAlign w:val="top"/>
          </w:tcPr>
          <w:p w14:paraId="20EB874B" w14:textId="77777777" w:rsidR="00192D17" w:rsidRPr="00A6225B" w:rsidRDefault="00192D17" w:rsidP="00367C94">
            <w:pPr>
              <w:pStyle w:val="Tablelist"/>
              <w:numPr>
                <w:ilvl w:val="0"/>
                <w:numId w:val="0"/>
              </w:num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A6225B">
              <w:rPr>
                <w:rFonts w:ascii="Arial Narrow" w:hAnsi="Arial Narrow"/>
              </w:rPr>
              <w:t xml:space="preserve">Based on </w:t>
            </w:r>
            <w:r>
              <w:rPr>
                <w:rFonts w:ascii="Arial Narrow" w:hAnsi="Arial Narrow"/>
              </w:rPr>
              <w:t xml:space="preserve">the clinical </w:t>
            </w:r>
            <w:r w:rsidRPr="00A6225B">
              <w:rPr>
                <w:rFonts w:ascii="Arial Narrow" w:hAnsi="Arial Narrow"/>
              </w:rPr>
              <w:t xml:space="preserve">evidence presented in Section 2, the safety of PASCAL is assumed to be non-inferior to </w:t>
            </w:r>
            <w:proofErr w:type="spellStart"/>
            <w:r w:rsidRPr="00A6225B">
              <w:rPr>
                <w:rFonts w:ascii="Arial Narrow" w:hAnsi="Arial Narrow"/>
              </w:rPr>
              <w:t>MitraClip</w:t>
            </w:r>
            <w:proofErr w:type="spellEnd"/>
          </w:p>
        </w:tc>
      </w:tr>
      <w:tr w:rsidR="00192D17" w:rsidRPr="00A6225B" w14:paraId="2AB4ACC7" w14:textId="77777777" w:rsidTr="004807F5">
        <w:tc>
          <w:tcPr>
            <w:cnfStyle w:val="001000000000" w:firstRow="0" w:lastRow="0" w:firstColumn="1" w:lastColumn="0" w:oddVBand="0" w:evenVBand="0" w:oddHBand="0" w:evenHBand="0" w:firstRowFirstColumn="0" w:firstRowLastColumn="0" w:lastRowFirstColumn="0" w:lastRowLastColumn="0"/>
            <w:tcW w:w="2834" w:type="dxa"/>
            <w:shd w:val="clear" w:color="auto" w:fill="B4C6E7" w:themeFill="accent5" w:themeFillTint="66"/>
          </w:tcPr>
          <w:p w14:paraId="7A4E3D9C" w14:textId="77777777" w:rsidR="00192D17" w:rsidRPr="00A6225B" w:rsidRDefault="00192D17" w:rsidP="00367C94">
            <w:pPr>
              <w:pStyle w:val="Tablelist"/>
              <w:numPr>
                <w:ilvl w:val="0"/>
                <w:numId w:val="0"/>
              </w:numPr>
              <w:rPr>
                <w:rFonts w:ascii="Arial Narrow" w:hAnsi="Arial Narrow"/>
              </w:rPr>
            </w:pPr>
            <w:r w:rsidRPr="00A6225B">
              <w:rPr>
                <w:rFonts w:ascii="Arial Narrow" w:hAnsi="Arial Narrow"/>
              </w:rPr>
              <w:t>Evidence base</w:t>
            </w:r>
          </w:p>
        </w:tc>
        <w:tc>
          <w:tcPr>
            <w:tcW w:w="6182" w:type="dxa"/>
            <w:shd w:val="clear" w:color="auto" w:fill="B4C6E7" w:themeFill="accent5" w:themeFillTint="66"/>
            <w:vAlign w:val="top"/>
          </w:tcPr>
          <w:p w14:paraId="269E872E" w14:textId="77777777" w:rsidR="00192D17" w:rsidRPr="00A6225B" w:rsidRDefault="00192D17" w:rsidP="00367C94">
            <w:pPr>
              <w:pStyle w:val="Tablelist"/>
              <w:numPr>
                <w:ilvl w:val="0"/>
                <w:numId w:val="0"/>
              </w:num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A6225B">
              <w:rPr>
                <w:rFonts w:ascii="Arial Narrow" w:hAnsi="Arial Narrow"/>
              </w:rPr>
              <w:t xml:space="preserve">Matching adjusted indirect comparison of PASCAL and </w:t>
            </w:r>
            <w:proofErr w:type="spellStart"/>
            <w:r w:rsidRPr="00A6225B">
              <w:rPr>
                <w:rFonts w:ascii="Arial Narrow" w:hAnsi="Arial Narrow"/>
              </w:rPr>
              <w:t>MitraClip</w:t>
            </w:r>
            <w:proofErr w:type="spellEnd"/>
          </w:p>
        </w:tc>
      </w:tr>
      <w:tr w:rsidR="00192D17" w:rsidRPr="00A6225B" w14:paraId="31EA0591" w14:textId="77777777" w:rsidTr="004807F5">
        <w:tc>
          <w:tcPr>
            <w:cnfStyle w:val="001000000000" w:firstRow="0" w:lastRow="0" w:firstColumn="1" w:lastColumn="0" w:oddVBand="0" w:evenVBand="0" w:oddHBand="0" w:evenHBand="0" w:firstRowFirstColumn="0" w:firstRowLastColumn="0" w:lastRowFirstColumn="0" w:lastRowLastColumn="0"/>
            <w:tcW w:w="2834" w:type="dxa"/>
            <w:shd w:val="clear" w:color="auto" w:fill="B4C6E7" w:themeFill="accent5" w:themeFillTint="66"/>
          </w:tcPr>
          <w:p w14:paraId="7055298E" w14:textId="77777777" w:rsidR="00192D17" w:rsidRPr="00A6225B" w:rsidRDefault="00192D17" w:rsidP="00367C94">
            <w:pPr>
              <w:pStyle w:val="Tablelist"/>
              <w:numPr>
                <w:ilvl w:val="0"/>
                <w:numId w:val="0"/>
              </w:numPr>
              <w:rPr>
                <w:rFonts w:ascii="Arial Narrow" w:hAnsi="Arial Narrow"/>
              </w:rPr>
            </w:pPr>
            <w:r w:rsidRPr="00A6225B">
              <w:rPr>
                <w:rFonts w:ascii="Arial Narrow" w:hAnsi="Arial Narrow"/>
              </w:rPr>
              <w:t>Time horizon</w:t>
            </w:r>
          </w:p>
        </w:tc>
        <w:tc>
          <w:tcPr>
            <w:tcW w:w="6182" w:type="dxa"/>
            <w:shd w:val="clear" w:color="auto" w:fill="B4C6E7" w:themeFill="accent5" w:themeFillTint="66"/>
            <w:vAlign w:val="top"/>
          </w:tcPr>
          <w:p w14:paraId="0E280F92" w14:textId="77777777" w:rsidR="00192D17" w:rsidRPr="00A6225B" w:rsidRDefault="00192D17" w:rsidP="00367C94">
            <w:pPr>
              <w:pStyle w:val="Tablelist"/>
              <w:numPr>
                <w:ilvl w:val="0"/>
                <w:numId w:val="0"/>
              </w:num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A6225B">
              <w:rPr>
                <w:rFonts w:ascii="Arial Narrow" w:hAnsi="Arial Narrow"/>
              </w:rPr>
              <w:t>30 days</w:t>
            </w:r>
          </w:p>
        </w:tc>
      </w:tr>
      <w:tr w:rsidR="00192D17" w:rsidRPr="00A6225B" w14:paraId="31AA5BFC" w14:textId="77777777" w:rsidTr="004807F5">
        <w:tc>
          <w:tcPr>
            <w:cnfStyle w:val="001000000000" w:firstRow="0" w:lastRow="0" w:firstColumn="1" w:lastColumn="0" w:oddVBand="0" w:evenVBand="0" w:oddHBand="0" w:evenHBand="0" w:firstRowFirstColumn="0" w:firstRowLastColumn="0" w:lastRowFirstColumn="0" w:lastRowLastColumn="0"/>
            <w:tcW w:w="2834" w:type="dxa"/>
            <w:shd w:val="clear" w:color="auto" w:fill="B4C6E7" w:themeFill="accent5" w:themeFillTint="66"/>
          </w:tcPr>
          <w:p w14:paraId="79E467FC" w14:textId="77777777" w:rsidR="00192D17" w:rsidRPr="00A6225B" w:rsidRDefault="00192D17" w:rsidP="00367C94">
            <w:pPr>
              <w:pStyle w:val="Tablelist"/>
              <w:numPr>
                <w:ilvl w:val="0"/>
                <w:numId w:val="0"/>
              </w:numPr>
              <w:rPr>
                <w:rFonts w:ascii="Arial Narrow" w:hAnsi="Arial Narrow"/>
              </w:rPr>
            </w:pPr>
            <w:r w:rsidRPr="00A6225B">
              <w:rPr>
                <w:rFonts w:ascii="Arial Narrow" w:hAnsi="Arial Narrow"/>
              </w:rPr>
              <w:t>Direct health technology costs</w:t>
            </w:r>
          </w:p>
        </w:tc>
        <w:tc>
          <w:tcPr>
            <w:tcW w:w="6182" w:type="dxa"/>
            <w:shd w:val="clear" w:color="auto" w:fill="B4C6E7" w:themeFill="accent5" w:themeFillTint="66"/>
            <w:vAlign w:val="top"/>
          </w:tcPr>
          <w:p w14:paraId="4A76265B" w14:textId="77777777" w:rsidR="00192D17" w:rsidRPr="00A6225B" w:rsidRDefault="00192D17" w:rsidP="00367C94">
            <w:pPr>
              <w:pStyle w:val="Tablelist"/>
              <w:numPr>
                <w:ilvl w:val="0"/>
                <w:numId w:val="0"/>
              </w:num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A6225B">
              <w:rPr>
                <w:rFonts w:ascii="Arial Narrow" w:hAnsi="Arial Narrow"/>
              </w:rPr>
              <w:t xml:space="preserve">The direct healthcare cost (procedural cost) of PASCAL is equivalent to </w:t>
            </w:r>
            <w:proofErr w:type="spellStart"/>
            <w:r w:rsidRPr="00A6225B">
              <w:rPr>
                <w:rFonts w:ascii="Arial Narrow" w:hAnsi="Arial Narrow"/>
              </w:rPr>
              <w:t>MitraClip</w:t>
            </w:r>
            <w:proofErr w:type="spellEnd"/>
          </w:p>
        </w:tc>
      </w:tr>
      <w:tr w:rsidR="00192D17" w:rsidRPr="00AC3DD7" w14:paraId="4C8DD066" w14:textId="77777777" w:rsidTr="00786ECD">
        <w:tc>
          <w:tcPr>
            <w:cnfStyle w:val="001000000000" w:firstRow="0" w:lastRow="0" w:firstColumn="1" w:lastColumn="0" w:oddVBand="0" w:evenVBand="0" w:oddHBand="0" w:evenHBand="0" w:firstRowFirstColumn="0" w:firstRowLastColumn="0" w:lastRowFirstColumn="0" w:lastRowLastColumn="0"/>
            <w:tcW w:w="2834" w:type="dxa"/>
          </w:tcPr>
          <w:p w14:paraId="6F978DBD" w14:textId="77777777" w:rsidR="00192D17" w:rsidRPr="00A6225B" w:rsidRDefault="00192D17" w:rsidP="00367C94">
            <w:pPr>
              <w:pStyle w:val="Tablelist"/>
              <w:numPr>
                <w:ilvl w:val="0"/>
                <w:numId w:val="0"/>
              </w:numPr>
              <w:rPr>
                <w:rFonts w:ascii="Arial Narrow" w:hAnsi="Arial Narrow"/>
              </w:rPr>
            </w:pPr>
            <w:r>
              <w:rPr>
                <w:rFonts w:ascii="Arial Narrow" w:hAnsi="Arial Narrow"/>
              </w:rPr>
              <w:t>Downstream costs</w:t>
            </w:r>
          </w:p>
        </w:tc>
        <w:tc>
          <w:tcPr>
            <w:tcW w:w="6182" w:type="dxa"/>
            <w:vAlign w:val="top"/>
          </w:tcPr>
          <w:p w14:paraId="24257888" w14:textId="77777777" w:rsidR="00192D17" w:rsidRPr="00AC3DD7" w:rsidRDefault="00192D17" w:rsidP="00367C94">
            <w:pPr>
              <w:pStyle w:val="Tablelist"/>
              <w:numPr>
                <w:ilvl w:val="0"/>
                <w:numId w:val="0"/>
              </w:numPr>
              <w:jc w:val="left"/>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Included </w:t>
            </w:r>
            <w:r w:rsidRPr="00A6225B">
              <w:rPr>
                <w:rFonts w:ascii="Arial Narrow" w:hAnsi="Arial Narrow"/>
              </w:rPr>
              <w:t>costs</w:t>
            </w:r>
            <w:r>
              <w:rPr>
                <w:rFonts w:ascii="Arial Narrow" w:hAnsi="Arial Narrow"/>
              </w:rPr>
              <w:t xml:space="preserve"> of device-related </w:t>
            </w:r>
            <w:r w:rsidRPr="00486126">
              <w:rPr>
                <w:rFonts w:ascii="Arial Narrow" w:hAnsi="Arial Narrow"/>
              </w:rPr>
              <w:t xml:space="preserve">revision surgery, stroke, myocardial infarction and renal replacement therapy </w:t>
            </w:r>
          </w:p>
        </w:tc>
      </w:tr>
    </w:tbl>
    <w:p w14:paraId="7780AE78" w14:textId="77777777" w:rsidR="00192D17" w:rsidRPr="005602F8" w:rsidRDefault="00192D17" w:rsidP="00367C94">
      <w:pPr>
        <w:pStyle w:val="Tablenotes"/>
      </w:pPr>
      <w:r w:rsidRPr="005602F8">
        <w:t>MI=mitral regurgitation; MAE=major adverse event; MAIC=matched adjusted indirect comparison</w:t>
      </w:r>
    </w:p>
    <w:p w14:paraId="21AAA4B4" w14:textId="77777777" w:rsidR="00E13326" w:rsidRPr="00427322" w:rsidRDefault="00E13326" w:rsidP="00E13326">
      <w:pPr>
        <w:pStyle w:val="Tablenotes"/>
      </w:pPr>
      <w:r w:rsidRPr="00427322">
        <w:t xml:space="preserve">Cells </w:t>
      </w:r>
      <w:r w:rsidRPr="00427322">
        <w:rPr>
          <w:shd w:val="clear" w:color="auto" w:fill="B4C6E7" w:themeFill="accent5" w:themeFillTint="66"/>
        </w:rPr>
        <w:t>shaded in blue</w:t>
      </w:r>
      <w:r w:rsidRPr="00427322">
        <w:t xml:space="preserve"> represent results previously considered by MSAC</w:t>
      </w:r>
    </w:p>
    <w:p w14:paraId="3594AC34" w14:textId="03DFE268" w:rsidR="00192D17" w:rsidRPr="00091167" w:rsidRDefault="00192D17" w:rsidP="00A64CAC">
      <w:pPr>
        <w:spacing w:before="240"/>
        <w:rPr>
          <w:i/>
          <w:iCs/>
        </w:rPr>
      </w:pPr>
      <w:r w:rsidRPr="004807F5">
        <w:rPr>
          <w:shd w:val="clear" w:color="auto" w:fill="B4C6E7" w:themeFill="accent5" w:themeFillTint="66"/>
        </w:rPr>
        <w:t xml:space="preserve">As in the </w:t>
      </w:r>
      <w:r w:rsidR="001F74D5" w:rsidRPr="004807F5">
        <w:rPr>
          <w:shd w:val="clear" w:color="auto" w:fill="B4C6E7" w:themeFill="accent5" w:themeFillTint="66"/>
        </w:rPr>
        <w:t>previous</w:t>
      </w:r>
      <w:r w:rsidRPr="004807F5">
        <w:rPr>
          <w:shd w:val="clear" w:color="auto" w:fill="B4C6E7" w:themeFill="accent5" w:themeFillTint="66"/>
        </w:rPr>
        <w:t xml:space="preserve"> ADAR, the </w:t>
      </w:r>
      <w:r w:rsidR="001F74D5" w:rsidRPr="004807F5">
        <w:rPr>
          <w:shd w:val="clear" w:color="auto" w:fill="B4C6E7" w:themeFill="accent5" w:themeFillTint="66"/>
        </w:rPr>
        <w:t>current ADAR</w:t>
      </w:r>
      <w:r w:rsidRPr="004807F5">
        <w:rPr>
          <w:shd w:val="clear" w:color="auto" w:fill="B4C6E7" w:themeFill="accent5" w:themeFillTint="66"/>
        </w:rPr>
        <w:t xml:space="preserve"> reported the costs of the procedure including prosthesis, revision surgery costs and adverse event costs. The most expensive inputs in the cost-minimisation analysis were the costs of </w:t>
      </w:r>
      <w:proofErr w:type="spellStart"/>
      <w:r w:rsidRPr="004807F5">
        <w:rPr>
          <w:shd w:val="clear" w:color="auto" w:fill="B4C6E7" w:themeFill="accent5" w:themeFillTint="66"/>
        </w:rPr>
        <w:t>TMVr</w:t>
      </w:r>
      <w:proofErr w:type="spellEnd"/>
      <w:r w:rsidRPr="004807F5">
        <w:rPr>
          <w:shd w:val="clear" w:color="auto" w:fill="B4C6E7" w:themeFill="accent5" w:themeFillTint="66"/>
        </w:rPr>
        <w:t xml:space="preserve"> devices (prosthes</w:t>
      </w:r>
      <w:r w:rsidR="001F74D5" w:rsidRPr="004807F5">
        <w:rPr>
          <w:shd w:val="clear" w:color="auto" w:fill="B4C6E7" w:themeFill="accent5" w:themeFillTint="66"/>
        </w:rPr>
        <w:t>e</w:t>
      </w:r>
      <w:r w:rsidRPr="004807F5">
        <w:rPr>
          <w:shd w:val="clear" w:color="auto" w:fill="B4C6E7" w:themeFill="accent5" w:themeFillTint="66"/>
        </w:rPr>
        <w:t xml:space="preserve">s) followed by the procedural costs. These costs comprised the largest part (97%-99%) of the total cost and were assumed to be equivalent for PASCAL and </w:t>
      </w:r>
      <w:proofErr w:type="spellStart"/>
      <w:r w:rsidRPr="004807F5">
        <w:rPr>
          <w:shd w:val="clear" w:color="auto" w:fill="B4C6E7" w:themeFill="accent5" w:themeFillTint="66"/>
        </w:rPr>
        <w:t>MitraClip</w:t>
      </w:r>
      <w:proofErr w:type="spellEnd"/>
      <w:r w:rsidRPr="004807F5">
        <w:rPr>
          <w:shd w:val="clear" w:color="auto" w:fill="B4C6E7" w:themeFill="accent5" w:themeFillTint="66"/>
        </w:rPr>
        <w:t xml:space="preserve"> and equally applied to the FMR and DMR populations. As in the </w:t>
      </w:r>
      <w:r w:rsidR="001F74D5" w:rsidRPr="004807F5">
        <w:rPr>
          <w:shd w:val="clear" w:color="auto" w:fill="B4C6E7" w:themeFill="accent5" w:themeFillTint="66"/>
        </w:rPr>
        <w:t>previous ADAR</w:t>
      </w:r>
      <w:r w:rsidRPr="004807F5">
        <w:rPr>
          <w:shd w:val="clear" w:color="auto" w:fill="B4C6E7" w:themeFill="accent5" w:themeFillTint="66"/>
        </w:rPr>
        <w:t xml:space="preserve">, the </w:t>
      </w:r>
      <w:r w:rsidR="001F74D5" w:rsidRPr="004807F5">
        <w:rPr>
          <w:shd w:val="clear" w:color="auto" w:fill="B4C6E7" w:themeFill="accent5" w:themeFillTint="66"/>
        </w:rPr>
        <w:t>current</w:t>
      </w:r>
      <w:r w:rsidRPr="004807F5">
        <w:rPr>
          <w:shd w:val="clear" w:color="auto" w:fill="B4C6E7" w:themeFill="accent5" w:themeFillTint="66"/>
        </w:rPr>
        <w:t xml:space="preserve"> ADAR used a weighted approach to determine the overall result of the cost-minimisation analysis.</w:t>
      </w:r>
      <w:r>
        <w:t xml:space="preserve"> However, instead of</w:t>
      </w:r>
      <w:r w:rsidRPr="005602F8">
        <w:t xml:space="preserve"> using a </w:t>
      </w:r>
      <w:r>
        <w:t xml:space="preserve">54% FMR to 46% </w:t>
      </w:r>
      <w:r w:rsidRPr="00A40151">
        <w:t>DMR split</w:t>
      </w:r>
      <w:r>
        <w:t xml:space="preserve">, the new </w:t>
      </w:r>
      <w:r w:rsidRPr="009F4D47">
        <w:t>proportion</w:t>
      </w:r>
      <w:r>
        <w:t>s of</w:t>
      </w:r>
      <w:r w:rsidRPr="009F4D47">
        <w:t xml:space="preserve"> 42% and 58% </w:t>
      </w:r>
      <w:r>
        <w:t>for</w:t>
      </w:r>
      <w:r w:rsidRPr="009F4D47">
        <w:t xml:space="preserve"> FMR and DMR</w:t>
      </w:r>
      <w:r w:rsidR="001F74D5">
        <w:t>,</w:t>
      </w:r>
      <w:r w:rsidRPr="009F4D47">
        <w:t xml:space="preserve"> respectively</w:t>
      </w:r>
      <w:r w:rsidR="001F74D5">
        <w:t>,</w:t>
      </w:r>
      <w:r>
        <w:t xml:space="preserve"> applied</w:t>
      </w:r>
      <w:r w:rsidRPr="00A40151">
        <w:t>.</w:t>
      </w:r>
      <w:r w:rsidRPr="005602F8">
        <w:t xml:space="preserve"> </w:t>
      </w:r>
      <w:r w:rsidR="002A1816" w:rsidRPr="00427322">
        <w:t>The rationale for the change in the proportions of FMR/DMR were not provided.</w:t>
      </w:r>
    </w:p>
    <w:p w14:paraId="239F05FB" w14:textId="3C41A880" w:rsidR="00192D17" w:rsidRDefault="00192D17" w:rsidP="00367C94">
      <w:pPr>
        <w:rPr>
          <w:lang w:eastAsia="en-AU"/>
        </w:rPr>
      </w:pPr>
      <w:r>
        <w:rPr>
          <w:lang w:eastAsia="en-AU"/>
        </w:rPr>
        <w:t xml:space="preserve">The difference between the cost-minimisation model presented in the </w:t>
      </w:r>
      <w:r w:rsidR="001F74D5">
        <w:rPr>
          <w:lang w:eastAsia="en-AU"/>
        </w:rPr>
        <w:t>previous</w:t>
      </w:r>
      <w:r>
        <w:rPr>
          <w:lang w:eastAsia="en-AU"/>
        </w:rPr>
        <w:t xml:space="preserve"> ADAR and the one in the </w:t>
      </w:r>
      <w:r w:rsidR="001F74D5">
        <w:rPr>
          <w:lang w:eastAsia="en-AU"/>
        </w:rPr>
        <w:t>current ADAR</w:t>
      </w:r>
      <w:r>
        <w:rPr>
          <w:lang w:eastAsia="en-AU"/>
        </w:rPr>
        <w:t xml:space="preserve"> entirely related to the downstream cost, which included the costs of adverse events. </w:t>
      </w:r>
    </w:p>
    <w:p w14:paraId="26B545C7" w14:textId="343EF80E" w:rsidR="00192D17" w:rsidRDefault="00192D17" w:rsidP="00367C94">
      <w:pPr>
        <w:rPr>
          <w:lang w:eastAsia="en-AU"/>
        </w:rPr>
      </w:pPr>
      <w:r>
        <w:rPr>
          <w:lang w:eastAsia="en-AU"/>
        </w:rPr>
        <w:t xml:space="preserve">The cost-minimisation model </w:t>
      </w:r>
      <w:r w:rsidR="001F74D5">
        <w:rPr>
          <w:lang w:eastAsia="en-AU"/>
        </w:rPr>
        <w:t>in the current</w:t>
      </w:r>
      <w:r>
        <w:rPr>
          <w:lang w:eastAsia="en-AU"/>
        </w:rPr>
        <w:t xml:space="preserve"> ADAR differs from the model in the </w:t>
      </w:r>
      <w:r w:rsidR="001F74D5">
        <w:rPr>
          <w:lang w:eastAsia="en-AU"/>
        </w:rPr>
        <w:t>previous ADAR</w:t>
      </w:r>
      <w:r>
        <w:rPr>
          <w:lang w:eastAsia="en-AU"/>
        </w:rPr>
        <w:t xml:space="preserve"> with respect to the following:</w:t>
      </w:r>
    </w:p>
    <w:p w14:paraId="1342A3BC" w14:textId="541FB36A" w:rsidR="00192D17" w:rsidRDefault="00192D17" w:rsidP="00367C94">
      <w:pPr>
        <w:pStyle w:val="ListParagraph"/>
        <w:numPr>
          <w:ilvl w:val="0"/>
          <w:numId w:val="23"/>
        </w:numPr>
        <w:ind w:left="284" w:hanging="284"/>
        <w:jc w:val="both"/>
      </w:pPr>
      <w:r>
        <w:t>The detected double-counting in the total cost that comprised the composite MAE and its components – stroke and MIs was corrected. The cost of a composite MAE was removed from the base case analysis</w:t>
      </w:r>
      <w:r w:rsidR="001F74D5">
        <w:t>.</w:t>
      </w:r>
    </w:p>
    <w:p w14:paraId="7E901EDD" w14:textId="7BA22F65" w:rsidR="00192D17" w:rsidRPr="001F74D5" w:rsidRDefault="00192D17" w:rsidP="00367C94">
      <w:pPr>
        <w:pStyle w:val="ListParagraph"/>
        <w:numPr>
          <w:ilvl w:val="0"/>
          <w:numId w:val="23"/>
        </w:numPr>
        <w:ind w:left="284" w:hanging="284"/>
        <w:jc w:val="both"/>
        <w:rPr>
          <w:i/>
          <w:iCs/>
        </w:rPr>
      </w:pPr>
      <w:r>
        <w:lastRenderedPageBreak/>
        <w:t xml:space="preserve">Instead of the composite MAE, as in the </w:t>
      </w:r>
      <w:r w:rsidR="001F74D5">
        <w:t>previous ADAR</w:t>
      </w:r>
      <w:r>
        <w:t>, the base case analysis</w:t>
      </w:r>
      <w:r w:rsidR="001F74D5">
        <w:t xml:space="preserve"> </w:t>
      </w:r>
      <w:r>
        <w:t xml:space="preserve">included the individual MAE components of revision surgery, stroke and MI. Renal replacement therapy, that was not previously included, was added. </w:t>
      </w:r>
      <w:r w:rsidRPr="00427322">
        <w:t>Nevertheless, the list of AEs was limited, but even for these selected AEs the available evidence was scarce.</w:t>
      </w:r>
    </w:p>
    <w:p w14:paraId="79FCEDA2" w14:textId="77777777" w:rsidR="00192D17" w:rsidRDefault="00192D17" w:rsidP="00367C94">
      <w:pPr>
        <w:pStyle w:val="ListParagraph"/>
        <w:numPr>
          <w:ilvl w:val="0"/>
          <w:numId w:val="23"/>
        </w:numPr>
        <w:ind w:left="284" w:hanging="284"/>
        <w:jc w:val="both"/>
      </w:pPr>
      <w:r>
        <w:t>The scarcity of clinical evidence from the key trials for the estimates of the rates of selected AEs was addressed by including the evidence from the single-arm studies in the sensitivity analysis.</w:t>
      </w:r>
    </w:p>
    <w:p w14:paraId="773548AC" w14:textId="5A3EE5A5" w:rsidR="00192D17" w:rsidRDefault="00192D17" w:rsidP="00367C94">
      <w:pPr>
        <w:pStyle w:val="ListParagraph"/>
        <w:numPr>
          <w:ilvl w:val="0"/>
          <w:numId w:val="23"/>
        </w:numPr>
        <w:ind w:left="284" w:hanging="284"/>
        <w:jc w:val="both"/>
      </w:pPr>
      <w:r>
        <w:t xml:space="preserve">The composite MAE was altered by removing the AE of “bleeding” from the definition. The altered MAE was referred to as the “reconstructed” MAE. The adjusted rates of the “reconstructed” MAEs were estimated with the updated MAIC and used in the sensitivity analyses;   </w:t>
      </w:r>
    </w:p>
    <w:p w14:paraId="5231F32E" w14:textId="3940B2E7" w:rsidR="00192D17" w:rsidRDefault="00192D17" w:rsidP="00367C94">
      <w:pPr>
        <w:shd w:val="clear" w:color="auto" w:fill="B4C6E7" w:themeFill="accent5" w:themeFillTint="66"/>
      </w:pPr>
      <w:r>
        <w:t xml:space="preserve">As in the </w:t>
      </w:r>
      <w:r w:rsidR="001F74D5">
        <w:t>previous ADAR</w:t>
      </w:r>
      <w:r>
        <w:t xml:space="preserve">, </w:t>
      </w:r>
      <w:r>
        <w:rPr>
          <w:lang w:eastAsia="en-AU"/>
        </w:rPr>
        <w:t>no longer-term safety outcomes of mortality, hospitalisations due to heart failure, or device-related surgical revisions were available.</w:t>
      </w:r>
    </w:p>
    <w:p w14:paraId="614B1FEC" w14:textId="6A364295" w:rsidR="00192D17" w:rsidRPr="005602F8" w:rsidRDefault="002B04A4" w:rsidP="00367C94">
      <w:pPr>
        <w:spacing w:before="240"/>
      </w:pPr>
      <w:r>
        <w:fldChar w:fldCharType="begin"/>
      </w:r>
      <w:r>
        <w:instrText xml:space="preserve"> REF _Ref113341946 \h </w:instrText>
      </w:r>
      <w:r>
        <w:fldChar w:fldCharType="separate"/>
      </w:r>
      <w:r>
        <w:t xml:space="preserve">Table </w:t>
      </w:r>
      <w:r>
        <w:rPr>
          <w:noProof/>
        </w:rPr>
        <w:t>32</w:t>
      </w:r>
      <w:r>
        <w:fldChar w:fldCharType="end"/>
      </w:r>
      <w:r>
        <w:t xml:space="preserve"> </w:t>
      </w:r>
      <w:r w:rsidR="00192D17" w:rsidRPr="005602F8">
        <w:t>present</w:t>
      </w:r>
      <w:r w:rsidR="002A1816">
        <w:t>s</w:t>
      </w:r>
      <w:r w:rsidR="00192D17" w:rsidRPr="005602F8">
        <w:t xml:space="preserve"> the results of the cost-minimisation analyses</w:t>
      </w:r>
      <w:r w:rsidR="00216F0F">
        <w:t>.</w:t>
      </w:r>
      <w:r w:rsidR="00192D17" w:rsidRPr="005602F8">
        <w:t xml:space="preserve"> </w:t>
      </w:r>
    </w:p>
    <w:p w14:paraId="1A149660" w14:textId="200F5D18" w:rsidR="00192D17" w:rsidRPr="005602F8" w:rsidRDefault="002A1816" w:rsidP="00367C94">
      <w:pPr>
        <w:pStyle w:val="Caption"/>
      </w:pPr>
      <w:bookmarkStart w:id="78" w:name="_Ref113341946"/>
      <w:bookmarkStart w:id="79" w:name="_Ref86317204"/>
      <w:r>
        <w:t xml:space="preserve">Table </w:t>
      </w:r>
      <w:fldSimple w:instr=" SEQ Table \* ARABIC ">
        <w:r w:rsidR="002B04A4">
          <w:rPr>
            <w:noProof/>
          </w:rPr>
          <w:t>32</w:t>
        </w:r>
      </w:fldSimple>
      <w:bookmarkEnd w:id="78"/>
      <w:bookmarkEnd w:id="79"/>
      <w:r>
        <w:tab/>
      </w:r>
      <w:r w:rsidR="00192D17" w:rsidRPr="005602F8">
        <w:t xml:space="preserve">Total weighted cost-minimised cost across both FMR and DMR populations </w:t>
      </w:r>
      <w:r w:rsidR="00192D17">
        <w:t xml:space="preserve">presented in </w:t>
      </w:r>
      <w:r w:rsidR="00192D17" w:rsidRPr="005602F8">
        <w:t xml:space="preserve">the </w:t>
      </w:r>
      <w:r w:rsidR="00192D17">
        <w:t xml:space="preserve">1662.1 </w:t>
      </w:r>
      <w:r w:rsidR="00192D17" w:rsidRPr="005602F8">
        <w:t>ADAR</w:t>
      </w:r>
    </w:p>
    <w:tbl>
      <w:tblPr>
        <w:tblStyle w:val="TableGrid1"/>
        <w:tblW w:w="5000" w:type="pct"/>
        <w:tblLook w:val="04A0" w:firstRow="1" w:lastRow="0" w:firstColumn="1" w:lastColumn="0" w:noHBand="0" w:noVBand="1"/>
        <w:tblDescription w:val="Total weighted cost-minimised cost across both FMR and DMR populations from the ADAR"/>
      </w:tblPr>
      <w:tblGrid>
        <w:gridCol w:w="4903"/>
        <w:gridCol w:w="2210"/>
        <w:gridCol w:w="2210"/>
      </w:tblGrid>
      <w:tr w:rsidR="00192D17" w:rsidRPr="005602F8" w14:paraId="2755A39C" w14:textId="77777777" w:rsidTr="00786ECD">
        <w:trPr>
          <w:cnfStyle w:val="100000000000" w:firstRow="1" w:lastRow="0" w:firstColumn="0" w:lastColumn="0" w:oddVBand="0" w:evenVBand="0" w:oddHBand="0" w:evenHBand="0" w:firstRowFirstColumn="0" w:firstRowLastColumn="0" w:lastRowFirstColumn="0" w:lastRowLastColumn="0"/>
          <w:trHeight w:val="290"/>
        </w:trPr>
        <w:tc>
          <w:tcPr>
            <w:tcW w:w="2630" w:type="pct"/>
            <w:noWrap/>
            <w:hideMark/>
          </w:tcPr>
          <w:p w14:paraId="22D99B19" w14:textId="77777777" w:rsidR="00192D17" w:rsidRPr="005602F8" w:rsidRDefault="00192D17" w:rsidP="00367C94">
            <w:pPr>
              <w:pStyle w:val="Tabletext0"/>
              <w:keepNext/>
              <w:keepLines/>
              <w:ind w:left="33"/>
              <w:rPr>
                <w:b/>
                <w:bCs/>
              </w:rPr>
            </w:pPr>
          </w:p>
        </w:tc>
        <w:tc>
          <w:tcPr>
            <w:tcW w:w="1185" w:type="pct"/>
            <w:hideMark/>
          </w:tcPr>
          <w:p w14:paraId="111FC6BB" w14:textId="77777777" w:rsidR="00192D17" w:rsidRPr="005602F8" w:rsidRDefault="00192D17" w:rsidP="00367C94">
            <w:pPr>
              <w:pStyle w:val="Tabletext0"/>
              <w:keepNext/>
              <w:keepLines/>
              <w:ind w:left="33"/>
              <w:jc w:val="center"/>
              <w:rPr>
                <w:b/>
                <w:bCs/>
              </w:rPr>
            </w:pPr>
            <w:r w:rsidRPr="005602F8">
              <w:rPr>
                <w:b/>
                <w:bCs/>
              </w:rPr>
              <w:t>PASCAL</w:t>
            </w:r>
          </w:p>
        </w:tc>
        <w:tc>
          <w:tcPr>
            <w:tcW w:w="1185" w:type="pct"/>
            <w:hideMark/>
          </w:tcPr>
          <w:p w14:paraId="0B17B3B3" w14:textId="77777777" w:rsidR="00192D17" w:rsidRPr="005602F8" w:rsidRDefault="00192D17" w:rsidP="00367C94">
            <w:pPr>
              <w:pStyle w:val="Tabletext0"/>
              <w:keepNext/>
              <w:keepLines/>
              <w:ind w:left="33"/>
              <w:jc w:val="center"/>
              <w:rPr>
                <w:b/>
                <w:bCs/>
              </w:rPr>
            </w:pPr>
            <w:proofErr w:type="spellStart"/>
            <w:r w:rsidRPr="005602F8">
              <w:rPr>
                <w:b/>
                <w:bCs/>
              </w:rPr>
              <w:t>MitraClip</w:t>
            </w:r>
            <w:proofErr w:type="spellEnd"/>
          </w:p>
        </w:tc>
      </w:tr>
      <w:tr w:rsidR="00192D17" w:rsidRPr="005602F8" w14:paraId="5513E9DE" w14:textId="77777777" w:rsidTr="00786ECD">
        <w:trPr>
          <w:trHeight w:val="290"/>
        </w:trPr>
        <w:tc>
          <w:tcPr>
            <w:tcW w:w="2630" w:type="pct"/>
            <w:noWrap/>
          </w:tcPr>
          <w:p w14:paraId="1B725963" w14:textId="77777777" w:rsidR="00192D17" w:rsidRPr="005602F8" w:rsidRDefault="00192D17" w:rsidP="00367C94">
            <w:pPr>
              <w:pStyle w:val="Tabletext0"/>
              <w:keepNext/>
              <w:keepLines/>
              <w:ind w:left="33"/>
            </w:pPr>
            <w:r w:rsidRPr="005602F8">
              <w:t>Total cost FMR</w:t>
            </w:r>
          </w:p>
        </w:tc>
        <w:tc>
          <w:tcPr>
            <w:tcW w:w="1185" w:type="pct"/>
            <w:vAlign w:val="bottom"/>
          </w:tcPr>
          <w:p w14:paraId="0CDBE9E8" w14:textId="6F62A220" w:rsidR="00192D17" w:rsidRPr="002F6560" w:rsidRDefault="00192D17" w:rsidP="00367C94">
            <w:pPr>
              <w:pStyle w:val="Tabletext0"/>
              <w:keepNext/>
              <w:keepLines/>
              <w:ind w:left="33"/>
              <w:jc w:val="center"/>
              <w:rPr>
                <w:b/>
                <w:bCs/>
                <w:highlight w:val="yellow"/>
              </w:rPr>
            </w:pPr>
            <w:r w:rsidRPr="00E74A1A">
              <w:rPr>
                <w:rFonts w:cstheme="majorHAnsi"/>
              </w:rPr>
              <w:t>$</w:t>
            </w:r>
            <w:r w:rsidR="00592818" w:rsidRPr="00592818">
              <w:rPr>
                <w:rFonts w:cstheme="majorHAnsi"/>
                <w:color w:val="000000"/>
                <w:shd w:val="solid" w:color="000000" w:fill="000000"/>
                <w14:textFill>
                  <w14:solidFill>
                    <w14:srgbClr w14:val="000000">
                      <w14:alpha w14:val="100000"/>
                    </w14:srgbClr>
                  </w14:solidFill>
                </w14:textFill>
              </w:rPr>
              <w:t>|</w:t>
            </w:r>
          </w:p>
        </w:tc>
        <w:tc>
          <w:tcPr>
            <w:tcW w:w="1185" w:type="pct"/>
            <w:vAlign w:val="bottom"/>
          </w:tcPr>
          <w:p w14:paraId="6BA932EF" w14:textId="77777777" w:rsidR="00192D17" w:rsidRPr="001F74D5" w:rsidRDefault="00192D17" w:rsidP="00367C94">
            <w:pPr>
              <w:pStyle w:val="Tabletext0"/>
              <w:keepNext/>
              <w:keepLines/>
              <w:ind w:left="33"/>
              <w:jc w:val="center"/>
              <w:rPr>
                <w:b/>
                <w:bCs/>
                <w:i/>
                <w:iCs/>
              </w:rPr>
            </w:pPr>
            <w:r w:rsidRPr="001F74D5">
              <w:rPr>
                <w:rFonts w:cstheme="majorHAnsi"/>
                <w:i/>
                <w:iCs/>
              </w:rPr>
              <w:t>$36,194.69*</w:t>
            </w:r>
          </w:p>
        </w:tc>
      </w:tr>
      <w:tr w:rsidR="00192D17" w:rsidRPr="005602F8" w14:paraId="44C1C90F" w14:textId="77777777" w:rsidTr="00786ECD">
        <w:trPr>
          <w:trHeight w:val="290"/>
        </w:trPr>
        <w:tc>
          <w:tcPr>
            <w:tcW w:w="2630" w:type="pct"/>
            <w:noWrap/>
          </w:tcPr>
          <w:p w14:paraId="77FFCAFA" w14:textId="77777777" w:rsidR="00192D17" w:rsidRPr="005602F8" w:rsidRDefault="00192D17" w:rsidP="00367C94">
            <w:pPr>
              <w:pStyle w:val="Tabletext0"/>
              <w:keepNext/>
              <w:keepLines/>
              <w:ind w:left="33"/>
            </w:pPr>
            <w:r w:rsidRPr="005602F8">
              <w:t>Total cost DMR</w:t>
            </w:r>
          </w:p>
        </w:tc>
        <w:tc>
          <w:tcPr>
            <w:tcW w:w="1185" w:type="pct"/>
            <w:vAlign w:val="bottom"/>
          </w:tcPr>
          <w:p w14:paraId="2B1AD727" w14:textId="0E7212C3" w:rsidR="00192D17" w:rsidRPr="002F6560" w:rsidRDefault="00192D17" w:rsidP="00367C94">
            <w:pPr>
              <w:pStyle w:val="Tabletext0"/>
              <w:keepNext/>
              <w:keepLines/>
              <w:ind w:left="33"/>
              <w:jc w:val="center"/>
              <w:rPr>
                <w:highlight w:val="yellow"/>
              </w:rPr>
            </w:pPr>
            <w:r w:rsidRPr="00E74A1A">
              <w:rPr>
                <w:rFonts w:cstheme="majorHAnsi"/>
              </w:rPr>
              <w:t>$</w:t>
            </w:r>
            <w:r w:rsidR="00592818" w:rsidRPr="00592818">
              <w:rPr>
                <w:rFonts w:cstheme="majorHAnsi"/>
                <w:color w:val="000000"/>
                <w:shd w:val="solid" w:color="000000" w:fill="000000"/>
                <w14:textFill>
                  <w14:solidFill>
                    <w14:srgbClr w14:val="000000">
                      <w14:alpha w14:val="100000"/>
                    </w14:srgbClr>
                  </w14:solidFill>
                </w14:textFill>
              </w:rPr>
              <w:t>|</w:t>
            </w:r>
          </w:p>
        </w:tc>
        <w:tc>
          <w:tcPr>
            <w:tcW w:w="1185" w:type="pct"/>
            <w:vAlign w:val="bottom"/>
          </w:tcPr>
          <w:p w14:paraId="3FBCB03C" w14:textId="77777777" w:rsidR="00192D17" w:rsidRPr="005602F8" w:rsidRDefault="00192D17" w:rsidP="00367C94">
            <w:pPr>
              <w:pStyle w:val="Tabletext0"/>
              <w:keepNext/>
              <w:keepLines/>
              <w:ind w:left="33"/>
              <w:jc w:val="center"/>
            </w:pPr>
            <w:r w:rsidRPr="00D34A6B">
              <w:rPr>
                <w:rFonts w:cstheme="majorHAnsi"/>
              </w:rPr>
              <w:t>$35,627.86</w:t>
            </w:r>
          </w:p>
        </w:tc>
      </w:tr>
      <w:tr w:rsidR="00192D17" w:rsidRPr="005602F8" w14:paraId="45AADBC8" w14:textId="77777777" w:rsidTr="00592818">
        <w:trPr>
          <w:trHeight w:val="290"/>
        </w:trPr>
        <w:tc>
          <w:tcPr>
            <w:tcW w:w="2630" w:type="pct"/>
            <w:noWrap/>
            <w:vAlign w:val="center"/>
            <w:hideMark/>
          </w:tcPr>
          <w:p w14:paraId="594B276E" w14:textId="77777777" w:rsidR="00192D17" w:rsidRPr="005602F8" w:rsidRDefault="00192D17" w:rsidP="00367C94">
            <w:pPr>
              <w:pStyle w:val="Tabletext0"/>
              <w:keepNext/>
              <w:keepLines/>
              <w:ind w:left="33"/>
              <w:jc w:val="center"/>
            </w:pPr>
            <w:r w:rsidRPr="005602F8">
              <w:t xml:space="preserve">Total cost all MR – </w:t>
            </w:r>
            <w:proofErr w:type="spellStart"/>
            <w:r w:rsidRPr="005602F8">
              <w:t>weighted</w:t>
            </w:r>
            <w:r w:rsidRPr="005602F8">
              <w:rPr>
                <w:vertAlign w:val="superscript"/>
              </w:rPr>
              <w:t>a</w:t>
            </w:r>
            <w:proofErr w:type="spellEnd"/>
          </w:p>
        </w:tc>
        <w:tc>
          <w:tcPr>
            <w:tcW w:w="1185" w:type="pct"/>
            <w:tcBorders>
              <w:bottom w:val="single" w:sz="4" w:space="0" w:color="auto"/>
            </w:tcBorders>
            <w:vAlign w:val="bottom"/>
          </w:tcPr>
          <w:p w14:paraId="33347EC7" w14:textId="36C2DEF6" w:rsidR="00192D17" w:rsidRPr="002F6560" w:rsidRDefault="00192D17" w:rsidP="00367C94">
            <w:pPr>
              <w:pStyle w:val="Tabletext0"/>
              <w:keepNext/>
              <w:keepLines/>
              <w:ind w:left="33"/>
              <w:jc w:val="center"/>
              <w:rPr>
                <w:highlight w:val="yellow"/>
              </w:rPr>
            </w:pPr>
            <w:r w:rsidRPr="00E74A1A">
              <w:rPr>
                <w:rFonts w:cstheme="majorHAnsi"/>
              </w:rPr>
              <w:t>$</w:t>
            </w:r>
            <w:r w:rsidR="00592818" w:rsidRPr="00592818">
              <w:rPr>
                <w:rFonts w:cstheme="majorHAnsi"/>
                <w:color w:val="000000"/>
                <w:shd w:val="solid" w:color="000000" w:fill="000000"/>
                <w14:textFill>
                  <w14:solidFill>
                    <w14:srgbClr w14:val="000000">
                      <w14:alpha w14:val="100000"/>
                    </w14:srgbClr>
                  </w14:solidFill>
                </w14:textFill>
              </w:rPr>
              <w:t>|</w:t>
            </w:r>
          </w:p>
        </w:tc>
        <w:tc>
          <w:tcPr>
            <w:tcW w:w="1185" w:type="pct"/>
            <w:vAlign w:val="bottom"/>
          </w:tcPr>
          <w:p w14:paraId="7FF06DA2" w14:textId="5E074086" w:rsidR="00192D17" w:rsidRPr="001F74D5" w:rsidRDefault="00192D17" w:rsidP="00367C94">
            <w:pPr>
              <w:pStyle w:val="Tabletext0"/>
              <w:keepNext/>
              <w:keepLines/>
              <w:ind w:left="33"/>
              <w:jc w:val="center"/>
              <w:rPr>
                <w:i/>
                <w:iCs/>
              </w:rPr>
            </w:pPr>
            <w:r w:rsidRPr="001F74D5">
              <w:rPr>
                <w:rFonts w:cstheme="majorHAnsi"/>
                <w:i/>
                <w:iCs/>
              </w:rPr>
              <w:t>$35,866.52</w:t>
            </w:r>
            <w:r w:rsidR="00BF68BC">
              <w:rPr>
                <w:rFonts w:cstheme="majorHAnsi"/>
                <w:i/>
                <w:iCs/>
              </w:rPr>
              <w:t>*</w:t>
            </w:r>
          </w:p>
        </w:tc>
      </w:tr>
      <w:tr w:rsidR="00192D17" w:rsidRPr="005602F8" w14:paraId="26838881" w14:textId="77777777" w:rsidTr="00592818">
        <w:trPr>
          <w:trHeight w:val="290"/>
        </w:trPr>
        <w:tc>
          <w:tcPr>
            <w:tcW w:w="2630" w:type="pct"/>
            <w:noWrap/>
            <w:hideMark/>
          </w:tcPr>
          <w:p w14:paraId="46BE7247" w14:textId="77777777" w:rsidR="00192D17" w:rsidRPr="005602F8" w:rsidRDefault="00192D17" w:rsidP="00367C94">
            <w:pPr>
              <w:pStyle w:val="Tabletext0"/>
              <w:keepNext/>
              <w:keepLines/>
              <w:ind w:left="33"/>
            </w:pPr>
            <w:r w:rsidRPr="005602F8">
              <w:t>Total incremental cost of PASCAL</w:t>
            </w:r>
          </w:p>
        </w:tc>
        <w:tc>
          <w:tcPr>
            <w:tcW w:w="1185" w:type="pct"/>
            <w:shd w:val="solid" w:color="000000" w:fill="000000"/>
            <w:noWrap/>
          </w:tcPr>
          <w:p w14:paraId="1332F9D8" w14:textId="697E671A" w:rsidR="00192D17" w:rsidRPr="002F6560" w:rsidRDefault="00592818" w:rsidP="00367C94">
            <w:pPr>
              <w:pStyle w:val="Tabletext0"/>
              <w:keepNext/>
              <w:keepLines/>
              <w:ind w:left="33"/>
              <w:jc w:val="center"/>
              <w:rPr>
                <w:i/>
                <w:iCs/>
                <w:highlight w:val="yellow"/>
              </w:rPr>
            </w:pPr>
            <w:r w:rsidRPr="00592818">
              <w:rPr>
                <w:i/>
                <w:iCs/>
                <w:color w:val="000000"/>
                <w14:textFill>
                  <w14:solidFill>
                    <w14:srgbClr w14:val="000000">
                      <w14:alpha w14:val="100000"/>
                    </w14:srgbClr>
                  </w14:solidFill>
                </w14:textFill>
              </w:rPr>
              <w:t>|</w:t>
            </w:r>
          </w:p>
        </w:tc>
        <w:tc>
          <w:tcPr>
            <w:tcW w:w="1185" w:type="pct"/>
          </w:tcPr>
          <w:p w14:paraId="25A78419" w14:textId="77777777" w:rsidR="00192D17" w:rsidRPr="005602F8" w:rsidRDefault="00192D17" w:rsidP="00367C94">
            <w:pPr>
              <w:pStyle w:val="Tabletext0"/>
              <w:keepNext/>
              <w:keepLines/>
              <w:ind w:left="33"/>
              <w:jc w:val="center"/>
            </w:pPr>
          </w:p>
        </w:tc>
      </w:tr>
    </w:tbl>
    <w:p w14:paraId="1F18730A" w14:textId="218165D5" w:rsidR="00192D17" w:rsidRDefault="00192D17" w:rsidP="00367C94">
      <w:pPr>
        <w:pStyle w:val="Tablenotes"/>
        <w:spacing w:before="0" w:after="0"/>
      </w:pPr>
      <w:r w:rsidRPr="007D4DA2">
        <w:rPr>
          <w:vertAlign w:val="superscript"/>
        </w:rPr>
        <w:t xml:space="preserve">a </w:t>
      </w:r>
      <w:r w:rsidRPr="005602F8">
        <w:t>Weighting</w:t>
      </w:r>
      <w:r w:rsidRPr="005602F8">
        <w:rPr>
          <w:b/>
          <w:bCs/>
        </w:rPr>
        <w:t xml:space="preserve"> </w:t>
      </w:r>
      <w:r w:rsidRPr="007D4DA2">
        <w:t xml:space="preserve">FMR </w:t>
      </w:r>
      <w:r>
        <w:t xml:space="preserve">= </w:t>
      </w:r>
      <w:r w:rsidRPr="007D4DA2">
        <w:t>4</w:t>
      </w:r>
      <w:r>
        <w:t>2</w:t>
      </w:r>
      <w:r w:rsidRPr="00C818AE">
        <w:t>%, DMR</w:t>
      </w:r>
      <w:r>
        <w:t xml:space="preserve">= </w:t>
      </w:r>
      <w:r w:rsidR="0010389F">
        <w:t>58</w:t>
      </w:r>
      <w:r w:rsidRPr="00C818AE">
        <w:t>%</w:t>
      </w:r>
    </w:p>
    <w:p w14:paraId="080206A0" w14:textId="77777777" w:rsidR="00192D17" w:rsidRPr="005602F8" w:rsidRDefault="00192D17" w:rsidP="00367C94">
      <w:pPr>
        <w:pStyle w:val="Tablenotes"/>
        <w:spacing w:before="0" w:after="0"/>
      </w:pPr>
      <w:r>
        <w:t>*Corrected by the evaluators, the difference in costs due to the detected error is negligible</w:t>
      </w:r>
    </w:p>
    <w:p w14:paraId="2BDBAC9A" w14:textId="7B3844A3" w:rsidR="00192D17" w:rsidRPr="005602F8" w:rsidRDefault="00192D17" w:rsidP="00367C94">
      <w:pPr>
        <w:spacing w:before="240"/>
        <w:rPr>
          <w:i/>
          <w:iCs/>
        </w:rPr>
      </w:pPr>
      <w:bookmarkStart w:id="80" w:name="_Ref81831320"/>
      <w:bookmarkStart w:id="81" w:name="_Toc82006342"/>
      <w:r w:rsidRPr="00E74A1A">
        <w:t xml:space="preserve">The total weighted cost for all MR (FMR and DMR) for PASCAL and </w:t>
      </w:r>
      <w:proofErr w:type="spellStart"/>
      <w:r w:rsidRPr="00E74A1A">
        <w:t>MitraClip</w:t>
      </w:r>
      <w:proofErr w:type="spellEnd"/>
      <w:r w:rsidRPr="00E74A1A">
        <w:t xml:space="preserve"> are $</w:t>
      </w:r>
      <w:r w:rsidR="00592818" w:rsidRPr="00592818">
        <w:rPr>
          <w:color w:val="000000"/>
          <w:w w:val="66"/>
          <w:shd w:val="solid" w:color="000000" w:fill="000000"/>
          <w:fitText w:val="439" w:id="-1256558068"/>
          <w14:textFill>
            <w14:solidFill>
              <w14:srgbClr w14:val="000000">
                <w14:alpha w14:val="100000"/>
              </w14:srgbClr>
            </w14:solidFill>
          </w14:textFill>
        </w:rPr>
        <w:t>|||||</w:t>
      </w:r>
      <w:r w:rsidR="00592818" w:rsidRPr="00592818">
        <w:rPr>
          <w:color w:val="000000"/>
          <w:spacing w:val="3"/>
          <w:w w:val="66"/>
          <w:shd w:val="solid" w:color="000000" w:fill="000000"/>
          <w:fitText w:val="439" w:id="-1256558068"/>
          <w14:textFill>
            <w14:solidFill>
              <w14:srgbClr w14:val="000000">
                <w14:alpha w14:val="100000"/>
              </w14:srgbClr>
            </w14:solidFill>
          </w14:textFill>
        </w:rPr>
        <w:t>|</w:t>
      </w:r>
      <w:r w:rsidR="00592818" w:rsidRPr="00592818">
        <w:t xml:space="preserve"> </w:t>
      </w:r>
      <w:r w:rsidRPr="00E74A1A">
        <w:t>and $35,866.52 respectively (</w:t>
      </w:r>
      <w:r w:rsidR="00032C87" w:rsidRPr="00E74A1A">
        <w:fldChar w:fldCharType="begin"/>
      </w:r>
      <w:r w:rsidR="00032C87" w:rsidRPr="00E74A1A">
        <w:instrText xml:space="preserve"> REF _Ref113341946 \h </w:instrText>
      </w:r>
      <w:r w:rsidR="00E74A1A">
        <w:instrText xml:space="preserve"> \* MERGEFORMAT </w:instrText>
      </w:r>
      <w:r w:rsidR="00032C87" w:rsidRPr="00E74A1A">
        <w:fldChar w:fldCharType="separate"/>
      </w:r>
      <w:r w:rsidR="00032C87" w:rsidRPr="00E74A1A">
        <w:t xml:space="preserve">Table </w:t>
      </w:r>
      <w:r w:rsidR="00032C87" w:rsidRPr="00E74A1A">
        <w:rPr>
          <w:noProof/>
        </w:rPr>
        <w:t>32</w:t>
      </w:r>
      <w:r w:rsidR="00032C87" w:rsidRPr="00E74A1A">
        <w:fldChar w:fldCharType="end"/>
      </w:r>
      <w:r w:rsidRPr="00E74A1A">
        <w:t xml:space="preserve">). The total incremental cost of PASCAL to </w:t>
      </w:r>
      <w:proofErr w:type="spellStart"/>
      <w:r w:rsidRPr="00E74A1A">
        <w:t>MitraClip</w:t>
      </w:r>
      <w:proofErr w:type="spellEnd"/>
      <w:r w:rsidRPr="00E74A1A">
        <w:t xml:space="preserve"> using the weighted populations of all MRs is </w:t>
      </w:r>
      <w:r w:rsidR="00592818" w:rsidRPr="00592818">
        <w:rPr>
          <w:color w:val="000000"/>
          <w:w w:val="66"/>
          <w:shd w:val="solid" w:color="000000" w:fill="000000"/>
          <w:fitText w:val="439" w:id="-1256558067"/>
          <w14:textFill>
            <w14:solidFill>
              <w14:srgbClr w14:val="000000">
                <w14:alpha w14:val="100000"/>
              </w14:srgbClr>
            </w14:solidFill>
          </w14:textFill>
        </w:rPr>
        <w:t>|||||</w:t>
      </w:r>
      <w:r w:rsidR="00592818" w:rsidRPr="00592818">
        <w:rPr>
          <w:color w:val="000000"/>
          <w:spacing w:val="3"/>
          <w:w w:val="66"/>
          <w:shd w:val="solid" w:color="000000" w:fill="000000"/>
          <w:fitText w:val="439" w:id="-1256558067"/>
          <w14:textFill>
            <w14:solidFill>
              <w14:srgbClr w14:val="000000">
                <w14:alpha w14:val="100000"/>
              </w14:srgbClr>
            </w14:solidFill>
          </w14:textFill>
        </w:rPr>
        <w:t>|</w:t>
      </w:r>
      <w:r w:rsidRPr="00E74A1A">
        <w:t xml:space="preserve">. </w:t>
      </w:r>
    </w:p>
    <w:p w14:paraId="25795003" w14:textId="7C2C5000" w:rsidR="00192D17" w:rsidRDefault="00192D17" w:rsidP="00367C94">
      <w:pPr>
        <w:rPr>
          <w:lang w:eastAsia="en-AU"/>
        </w:rPr>
      </w:pPr>
      <w:bookmarkStart w:id="82" w:name="_Ref86131988"/>
      <w:bookmarkEnd w:id="80"/>
      <w:bookmarkEnd w:id="81"/>
      <w:r w:rsidRPr="004807F5">
        <w:rPr>
          <w:shd w:val="clear" w:color="auto" w:fill="B4C6E7" w:themeFill="accent5" w:themeFillTint="66"/>
          <w:lang w:eastAsia="en-AU"/>
        </w:rPr>
        <w:t xml:space="preserve">As in the </w:t>
      </w:r>
      <w:r w:rsidR="00D5519C" w:rsidRPr="004807F5">
        <w:rPr>
          <w:shd w:val="clear" w:color="auto" w:fill="B4C6E7" w:themeFill="accent5" w:themeFillTint="66"/>
          <w:lang w:eastAsia="en-AU"/>
        </w:rPr>
        <w:t>previous ADAR</w:t>
      </w:r>
      <w:r w:rsidRPr="004807F5">
        <w:rPr>
          <w:shd w:val="clear" w:color="auto" w:fill="B4C6E7" w:themeFill="accent5" w:themeFillTint="66"/>
          <w:lang w:eastAsia="en-AU"/>
        </w:rPr>
        <w:t xml:space="preserve">, sensitivity analyses were conducted with respect to two alternative concepts of the adverse events: the composite “reconstructed” MAE, with </w:t>
      </w:r>
      <w:r w:rsidR="00D5519C" w:rsidRPr="004807F5">
        <w:rPr>
          <w:shd w:val="clear" w:color="auto" w:fill="B4C6E7" w:themeFill="accent5" w:themeFillTint="66"/>
          <w:lang w:eastAsia="en-AU"/>
        </w:rPr>
        <w:t xml:space="preserve">the </w:t>
      </w:r>
      <w:r w:rsidRPr="004807F5">
        <w:rPr>
          <w:shd w:val="clear" w:color="auto" w:fill="B4C6E7" w:themeFill="accent5" w:themeFillTint="66"/>
          <w:lang w:eastAsia="en-AU"/>
        </w:rPr>
        <w:t xml:space="preserve">advantage of the adjusted rates from MAIC that were available for both the FMR and DMR populations; and the individual components of the composite MAE limited to </w:t>
      </w:r>
      <w:r w:rsidRPr="004807F5">
        <w:rPr>
          <w:shd w:val="clear" w:color="auto" w:fill="B4C6E7" w:themeFill="accent5" w:themeFillTint="66"/>
        </w:rPr>
        <w:t>revision surgery, stroke, MI and renal replacement therapy.</w:t>
      </w:r>
      <w:r>
        <w:t xml:space="preserve"> </w:t>
      </w:r>
      <w:r>
        <w:rPr>
          <w:lang w:eastAsia="en-AU"/>
        </w:rPr>
        <w:t xml:space="preserve">Adjusted rates from MAIC were available for stroke and MIs in the FMR population and for stroke in the DMR populations. </w:t>
      </w:r>
    </w:p>
    <w:p w14:paraId="39FF422E" w14:textId="479C7886" w:rsidR="00192D17" w:rsidRPr="00427322" w:rsidRDefault="00192D17" w:rsidP="00367C94">
      <w:pPr>
        <w:rPr>
          <w:lang w:eastAsia="en-AU"/>
        </w:rPr>
        <w:sectPr w:rsidR="00192D17" w:rsidRPr="00427322" w:rsidSect="009957D5">
          <w:footerReference w:type="default" r:id="rId17"/>
          <w:type w:val="oddPage"/>
          <w:pgSz w:w="11906" w:h="16838"/>
          <w:pgMar w:top="1440" w:right="1133" w:bottom="1440" w:left="1440" w:header="708" w:footer="708" w:gutter="0"/>
          <w:cols w:space="708"/>
          <w:docGrid w:linePitch="360"/>
        </w:sectPr>
      </w:pPr>
      <w:r w:rsidRPr="00427322">
        <w:rPr>
          <w:lang w:eastAsia="en-AU"/>
        </w:rPr>
        <w:t xml:space="preserve">The spreadsheet with results of the sensitivity analyses was not made available for the evaluators. The </w:t>
      </w:r>
      <w:r w:rsidR="00216F0F" w:rsidRPr="00427322">
        <w:rPr>
          <w:lang w:eastAsia="en-AU"/>
        </w:rPr>
        <w:t>30-day</w:t>
      </w:r>
      <w:r w:rsidRPr="00427322">
        <w:rPr>
          <w:lang w:eastAsia="en-AU"/>
        </w:rPr>
        <w:t xml:space="preserve"> sensitivity analyses were limited to the pre-selected number of AE parameters, for which 1-3 or no events were observed in the clinical evidence described in Section 2. The attempt to estimate the </w:t>
      </w:r>
      <w:r w:rsidR="00216F0F" w:rsidRPr="00427322">
        <w:rPr>
          <w:lang w:eastAsia="en-AU"/>
        </w:rPr>
        <w:t>longer-term</w:t>
      </w:r>
      <w:r w:rsidRPr="00427322">
        <w:rPr>
          <w:lang w:eastAsia="en-AU"/>
        </w:rPr>
        <w:t xml:space="preserve"> comparative safety was reduced to substituting 30-day AE rates with 12- and 24-month AEs, that did not include bleeding. The </w:t>
      </w:r>
      <w:r w:rsidR="00216F0F" w:rsidRPr="00427322">
        <w:rPr>
          <w:lang w:eastAsia="en-AU"/>
        </w:rPr>
        <w:t>longer-term</w:t>
      </w:r>
      <w:r w:rsidRPr="00427322">
        <w:rPr>
          <w:lang w:eastAsia="en-AU"/>
        </w:rPr>
        <w:t xml:space="preserve"> safety results were equally limited by scarcity of evidence and did not include mortality or hospitalisations due to heart failure.  Only univariate sensitivity analyses were presented. </w:t>
      </w:r>
    </w:p>
    <w:p w14:paraId="109AB64E" w14:textId="08733724" w:rsidR="00192D17" w:rsidRDefault="00D5519C" w:rsidP="00367C94">
      <w:pPr>
        <w:pStyle w:val="Caption"/>
      </w:pPr>
      <w:bookmarkStart w:id="83" w:name="_Ref111521764"/>
      <w:bookmarkEnd w:id="82"/>
      <w:r>
        <w:lastRenderedPageBreak/>
        <w:t xml:space="preserve">Table </w:t>
      </w:r>
      <w:fldSimple w:instr=" SEQ Table \* ARABIC ">
        <w:r w:rsidR="002B04A4">
          <w:rPr>
            <w:noProof/>
          </w:rPr>
          <w:t>33</w:t>
        </w:r>
      </w:fldSimple>
      <w:bookmarkEnd w:id="83"/>
      <w:r w:rsidR="00432474">
        <w:tab/>
      </w:r>
      <w:r w:rsidR="00192D17">
        <w:t xml:space="preserve">Results of the Sensitivity Analysis as reported in the </w:t>
      </w:r>
      <w:r w:rsidR="00432474">
        <w:t xml:space="preserve">current </w:t>
      </w:r>
      <w:r w:rsidR="00192D17">
        <w:t>ADAR</w:t>
      </w:r>
    </w:p>
    <w:tbl>
      <w:tblPr>
        <w:tblStyle w:val="Style2"/>
        <w:tblW w:w="5154" w:type="pct"/>
        <w:tblBorders>
          <w:left w:val="single" w:sz="4" w:space="0" w:color="auto"/>
          <w:right w:val="single" w:sz="4" w:space="0" w:color="auto"/>
          <w:insideV w:val="single" w:sz="4" w:space="0" w:color="auto"/>
        </w:tblBorders>
        <w:tblLook w:val="04A0" w:firstRow="1" w:lastRow="0" w:firstColumn="1" w:lastColumn="0" w:noHBand="0" w:noVBand="1"/>
      </w:tblPr>
      <w:tblGrid>
        <w:gridCol w:w="1138"/>
        <w:gridCol w:w="1255"/>
        <w:gridCol w:w="3273"/>
        <w:gridCol w:w="1208"/>
        <w:gridCol w:w="1210"/>
        <w:gridCol w:w="1210"/>
      </w:tblGrid>
      <w:tr w:rsidR="00192D17" w:rsidRPr="008C61D3" w14:paraId="304B3343" w14:textId="77777777" w:rsidTr="00592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 w:type="pct"/>
          </w:tcPr>
          <w:p w14:paraId="1A508EC7" w14:textId="77777777" w:rsidR="00192D17" w:rsidRPr="008C61D3" w:rsidRDefault="00192D17" w:rsidP="00367C94">
            <w:pPr>
              <w:spacing w:line="240" w:lineRule="auto"/>
              <w:rPr>
                <w:rFonts w:ascii="Arial Narrow" w:hAnsi="Arial Narrow"/>
                <w:lang w:eastAsia="en-AU"/>
              </w:rPr>
            </w:pPr>
            <w:r w:rsidRPr="008C61D3">
              <w:rPr>
                <w:rFonts w:ascii="Arial Narrow" w:hAnsi="Arial Narrow"/>
                <w:lang w:eastAsia="en-AU"/>
              </w:rPr>
              <w:t>Variable or assumption</w:t>
            </w:r>
          </w:p>
        </w:tc>
        <w:tc>
          <w:tcPr>
            <w:tcW w:w="675" w:type="pct"/>
          </w:tcPr>
          <w:p w14:paraId="1F8223DD" w14:textId="77777777" w:rsidR="00192D17" w:rsidRPr="008C61D3" w:rsidRDefault="00192D17" w:rsidP="00367C94">
            <w:pPr>
              <w:spacing w:line="240" w:lineRule="auto"/>
              <w:jc w:val="left"/>
              <w:cnfStyle w:val="100000000000" w:firstRow="1" w:lastRow="0" w:firstColumn="0" w:lastColumn="0" w:oddVBand="0" w:evenVBand="0" w:oddHBand="0" w:evenHBand="0" w:firstRowFirstColumn="0" w:firstRowLastColumn="0" w:lastRowFirstColumn="0" w:lastRowLastColumn="0"/>
              <w:rPr>
                <w:rFonts w:ascii="Arial Narrow" w:hAnsi="Arial Narrow"/>
                <w:lang w:eastAsia="en-AU"/>
              </w:rPr>
            </w:pPr>
            <w:r w:rsidRPr="008C61D3">
              <w:rPr>
                <w:rFonts w:ascii="Arial Narrow" w:hAnsi="Arial Narrow"/>
                <w:lang w:eastAsia="en-AU"/>
              </w:rPr>
              <w:t>Base case setting</w:t>
            </w:r>
          </w:p>
        </w:tc>
        <w:tc>
          <w:tcPr>
            <w:tcW w:w="1761" w:type="pct"/>
          </w:tcPr>
          <w:p w14:paraId="5EA69845" w14:textId="77777777" w:rsidR="00192D17" w:rsidRPr="008C61D3" w:rsidRDefault="00192D17" w:rsidP="00367C94">
            <w:pPr>
              <w:spacing w:line="240" w:lineRule="auto"/>
              <w:jc w:val="left"/>
              <w:cnfStyle w:val="100000000000" w:firstRow="1" w:lastRow="0" w:firstColumn="0" w:lastColumn="0" w:oddVBand="0" w:evenVBand="0" w:oddHBand="0" w:evenHBand="0" w:firstRowFirstColumn="0" w:firstRowLastColumn="0" w:lastRowFirstColumn="0" w:lastRowLastColumn="0"/>
              <w:rPr>
                <w:rFonts w:ascii="Arial Narrow" w:hAnsi="Arial Narrow"/>
                <w:lang w:eastAsia="en-AU"/>
              </w:rPr>
            </w:pPr>
            <w:r w:rsidRPr="008C61D3">
              <w:rPr>
                <w:rFonts w:ascii="Arial Narrow" w:hAnsi="Arial Narrow"/>
                <w:lang w:eastAsia="en-AU"/>
              </w:rPr>
              <w:t>Scenario setting</w:t>
            </w:r>
          </w:p>
        </w:tc>
        <w:tc>
          <w:tcPr>
            <w:tcW w:w="650" w:type="pct"/>
          </w:tcPr>
          <w:p w14:paraId="382C77BE" w14:textId="77777777" w:rsidR="00192D17" w:rsidRPr="00E74A1A" w:rsidRDefault="00192D17" w:rsidP="00367C94">
            <w:pPr>
              <w:spacing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b w:val="0"/>
                <w:lang w:eastAsia="en-AU"/>
              </w:rPr>
            </w:pPr>
            <w:r w:rsidRPr="00E74A1A">
              <w:rPr>
                <w:rFonts w:ascii="Arial Narrow" w:hAnsi="Arial Narrow"/>
                <w:lang w:eastAsia="en-AU"/>
              </w:rPr>
              <w:t>Total cost</w:t>
            </w:r>
          </w:p>
          <w:p w14:paraId="1CFA8459" w14:textId="77777777" w:rsidR="00192D17" w:rsidRPr="002F6560" w:rsidRDefault="00192D17" w:rsidP="00367C94">
            <w:pPr>
              <w:spacing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highlight w:val="yellow"/>
                <w:lang w:eastAsia="en-AU"/>
              </w:rPr>
            </w:pPr>
            <w:r w:rsidRPr="00E74A1A">
              <w:rPr>
                <w:rFonts w:ascii="Arial Narrow" w:hAnsi="Arial Narrow"/>
                <w:lang w:eastAsia="en-AU"/>
              </w:rPr>
              <w:t>(PASCAL)</w:t>
            </w:r>
          </w:p>
        </w:tc>
        <w:tc>
          <w:tcPr>
            <w:tcW w:w="651" w:type="pct"/>
          </w:tcPr>
          <w:p w14:paraId="51B41961" w14:textId="77777777" w:rsidR="00192D17" w:rsidRPr="008C61D3" w:rsidRDefault="00192D17" w:rsidP="00367C94">
            <w:pPr>
              <w:spacing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b w:val="0"/>
                <w:lang w:eastAsia="en-AU"/>
              </w:rPr>
            </w:pPr>
            <w:r w:rsidRPr="008C61D3">
              <w:rPr>
                <w:rFonts w:ascii="Arial Narrow" w:hAnsi="Arial Narrow"/>
                <w:lang w:eastAsia="en-AU"/>
              </w:rPr>
              <w:t>Total cost</w:t>
            </w:r>
          </w:p>
          <w:p w14:paraId="053E9048" w14:textId="77777777" w:rsidR="00192D17" w:rsidRPr="008C61D3" w:rsidRDefault="00192D17" w:rsidP="00367C94">
            <w:pPr>
              <w:spacing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lang w:eastAsia="en-AU"/>
              </w:rPr>
            </w:pPr>
            <w:r w:rsidRPr="008C61D3">
              <w:rPr>
                <w:rFonts w:ascii="Arial Narrow" w:hAnsi="Arial Narrow"/>
                <w:lang w:eastAsia="en-AU"/>
              </w:rPr>
              <w:t>(</w:t>
            </w:r>
            <w:proofErr w:type="spellStart"/>
            <w:r w:rsidRPr="008C61D3">
              <w:rPr>
                <w:rFonts w:ascii="Arial Narrow" w:hAnsi="Arial Narrow"/>
                <w:lang w:eastAsia="en-AU"/>
              </w:rPr>
              <w:t>MitraClip</w:t>
            </w:r>
            <w:proofErr w:type="spellEnd"/>
            <w:r w:rsidRPr="008C61D3">
              <w:rPr>
                <w:rFonts w:ascii="Arial Narrow" w:hAnsi="Arial Narrow"/>
                <w:lang w:eastAsia="en-AU"/>
              </w:rPr>
              <w:t>)</w:t>
            </w:r>
          </w:p>
        </w:tc>
        <w:tc>
          <w:tcPr>
            <w:tcW w:w="651" w:type="pct"/>
            <w:tcBorders>
              <w:bottom w:val="single" w:sz="4" w:space="0" w:color="auto"/>
            </w:tcBorders>
          </w:tcPr>
          <w:p w14:paraId="4C31DF2A" w14:textId="77777777" w:rsidR="00192D17" w:rsidRPr="008C61D3" w:rsidRDefault="00192D17" w:rsidP="00367C94">
            <w:pPr>
              <w:spacing w:line="240" w:lineRule="auto"/>
              <w:cnfStyle w:val="100000000000" w:firstRow="1" w:lastRow="0" w:firstColumn="0" w:lastColumn="0" w:oddVBand="0" w:evenVBand="0" w:oddHBand="0" w:evenHBand="0" w:firstRowFirstColumn="0" w:firstRowLastColumn="0" w:lastRowFirstColumn="0" w:lastRowLastColumn="0"/>
              <w:rPr>
                <w:rFonts w:ascii="Arial Narrow" w:hAnsi="Arial Narrow"/>
                <w:lang w:eastAsia="en-AU"/>
              </w:rPr>
            </w:pPr>
            <w:r w:rsidRPr="008C61D3">
              <w:rPr>
                <w:rFonts w:ascii="Arial Narrow" w:hAnsi="Arial Narrow"/>
                <w:lang w:eastAsia="en-AU"/>
              </w:rPr>
              <w:t>Incremental cost of PASCAL</w:t>
            </w:r>
          </w:p>
        </w:tc>
      </w:tr>
      <w:tr w:rsidR="00192D17" w:rsidRPr="008C61D3" w14:paraId="5CE6EB06" w14:textId="77777777" w:rsidTr="00592818">
        <w:tc>
          <w:tcPr>
            <w:cnfStyle w:val="001000000000" w:firstRow="0" w:lastRow="0" w:firstColumn="1" w:lastColumn="0" w:oddVBand="0" w:evenVBand="0" w:oddHBand="0" w:evenHBand="0" w:firstRowFirstColumn="0" w:firstRowLastColumn="0" w:lastRowFirstColumn="0" w:lastRowLastColumn="0"/>
            <w:tcW w:w="612" w:type="pct"/>
          </w:tcPr>
          <w:p w14:paraId="4FFA657C" w14:textId="77777777" w:rsidR="00192D17" w:rsidRPr="008C61D3" w:rsidRDefault="00192D17" w:rsidP="00367C94">
            <w:pPr>
              <w:rPr>
                <w:rFonts w:ascii="Arial Narrow" w:hAnsi="Arial Narrow"/>
                <w:lang w:eastAsia="en-AU"/>
              </w:rPr>
            </w:pPr>
            <w:r w:rsidRPr="008C61D3">
              <w:rPr>
                <w:rFonts w:ascii="Arial Narrow" w:hAnsi="Arial Narrow"/>
                <w:lang w:eastAsia="en-AU"/>
              </w:rPr>
              <w:t>Base case</w:t>
            </w:r>
          </w:p>
        </w:tc>
        <w:tc>
          <w:tcPr>
            <w:tcW w:w="675" w:type="pct"/>
          </w:tcPr>
          <w:p w14:paraId="54141F36" w14:textId="77777777" w:rsidR="00192D17" w:rsidRPr="008C61D3" w:rsidRDefault="00192D17" w:rsidP="00367C94">
            <w:pPr>
              <w:jc w:val="left"/>
              <w:cnfStyle w:val="000000000000" w:firstRow="0" w:lastRow="0" w:firstColumn="0" w:lastColumn="0" w:oddVBand="0" w:evenVBand="0" w:oddHBand="0" w:evenHBand="0" w:firstRowFirstColumn="0" w:firstRowLastColumn="0" w:lastRowFirstColumn="0" w:lastRowLastColumn="0"/>
              <w:rPr>
                <w:rFonts w:ascii="Arial Narrow" w:hAnsi="Arial Narrow"/>
                <w:lang w:eastAsia="en-AU"/>
              </w:rPr>
            </w:pPr>
          </w:p>
        </w:tc>
        <w:tc>
          <w:tcPr>
            <w:tcW w:w="1761" w:type="pct"/>
          </w:tcPr>
          <w:p w14:paraId="22FE3A4D" w14:textId="77777777" w:rsidR="00192D17" w:rsidRPr="008C61D3" w:rsidRDefault="00192D17" w:rsidP="00367C94">
            <w:pPr>
              <w:jc w:val="left"/>
              <w:cnfStyle w:val="000000000000" w:firstRow="0" w:lastRow="0" w:firstColumn="0" w:lastColumn="0" w:oddVBand="0" w:evenVBand="0" w:oddHBand="0" w:evenHBand="0" w:firstRowFirstColumn="0" w:firstRowLastColumn="0" w:lastRowFirstColumn="0" w:lastRowLastColumn="0"/>
              <w:rPr>
                <w:rFonts w:ascii="Arial Narrow" w:hAnsi="Arial Narrow"/>
                <w:lang w:eastAsia="en-AU"/>
              </w:rPr>
            </w:pPr>
          </w:p>
        </w:tc>
        <w:tc>
          <w:tcPr>
            <w:tcW w:w="650" w:type="pct"/>
          </w:tcPr>
          <w:p w14:paraId="0E0F7417" w14:textId="228B3D1B" w:rsidR="00192D17" w:rsidRPr="002F6560" w:rsidRDefault="00192D17"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highlight w:val="yellow"/>
              </w:rPr>
            </w:pPr>
            <w:r w:rsidRPr="00E74A1A">
              <w:rPr>
                <w:rFonts w:ascii="Arial Narrow" w:hAnsi="Arial Narrow" w:cstheme="majorHAnsi"/>
                <w:szCs w:val="20"/>
              </w:rPr>
              <w:t>$</w:t>
            </w:r>
            <w:r w:rsidR="00592818" w:rsidRPr="00592818">
              <w:rPr>
                <w:rFonts w:ascii="Arial Narrow" w:hAnsi="Arial Narrow" w:cstheme="majorHAnsi" w:hint="eastAsia"/>
                <w:color w:val="000000"/>
                <w:w w:val="22"/>
                <w:szCs w:val="20"/>
                <w:shd w:val="solid" w:color="000000" w:fill="000000"/>
                <w:fitText w:val="100" w:id="-1256558066"/>
                <w14:textFill>
                  <w14:solidFill>
                    <w14:srgbClr w14:val="000000">
                      <w14:alpha w14:val="100000"/>
                    </w14:srgbClr>
                  </w14:solidFill>
                </w14:textFill>
              </w:rPr>
              <w:t xml:space="preserve">　</w:t>
            </w:r>
            <w:r w:rsidR="00592818" w:rsidRPr="00592818">
              <w:rPr>
                <w:rFonts w:ascii="Arial Narrow" w:hAnsi="Arial Narrow" w:cstheme="majorHAnsi"/>
                <w:color w:val="000000"/>
                <w:w w:val="22"/>
                <w:szCs w:val="20"/>
                <w:shd w:val="solid" w:color="000000" w:fill="000000"/>
                <w:fitText w:val="100" w:id="-1256558066"/>
                <w14:textFill>
                  <w14:solidFill>
                    <w14:srgbClr w14:val="000000">
                      <w14:alpha w14:val="100000"/>
                    </w14:srgbClr>
                  </w14:solidFill>
                </w14:textFill>
              </w:rPr>
              <w:t>|</w:t>
            </w:r>
            <w:r w:rsidR="00592818" w:rsidRPr="00592818">
              <w:rPr>
                <w:rFonts w:ascii="Arial Narrow" w:hAnsi="Arial Narrow" w:cstheme="majorHAnsi" w:hint="eastAsia"/>
                <w:color w:val="000000"/>
                <w:spacing w:val="3"/>
                <w:w w:val="22"/>
                <w:szCs w:val="20"/>
                <w:shd w:val="solid" w:color="000000" w:fill="000000"/>
                <w:fitText w:val="100" w:id="-1256558066"/>
                <w14:textFill>
                  <w14:solidFill>
                    <w14:srgbClr w14:val="000000">
                      <w14:alpha w14:val="100000"/>
                    </w14:srgbClr>
                  </w14:solidFill>
                </w14:textFill>
              </w:rPr>
              <w:t xml:space="preserve">　</w:t>
            </w:r>
          </w:p>
        </w:tc>
        <w:tc>
          <w:tcPr>
            <w:tcW w:w="651" w:type="pct"/>
          </w:tcPr>
          <w:p w14:paraId="01E56137" w14:textId="304A9506" w:rsidR="00192D17" w:rsidRPr="008C61D3" w:rsidRDefault="00192D17"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trike/>
                <w:szCs w:val="20"/>
              </w:rPr>
            </w:pPr>
            <w:r w:rsidRPr="0019519D">
              <w:rPr>
                <w:rFonts w:ascii="Arial Narrow" w:hAnsi="Arial Narrow" w:cstheme="majorHAnsi"/>
                <w:i/>
                <w:iCs/>
                <w:szCs w:val="20"/>
              </w:rPr>
              <w:t>$35,866.52</w:t>
            </w:r>
          </w:p>
        </w:tc>
        <w:tc>
          <w:tcPr>
            <w:tcW w:w="651" w:type="pct"/>
            <w:tcBorders>
              <w:bottom w:val="single" w:sz="4" w:space="0" w:color="auto"/>
            </w:tcBorders>
            <w:shd w:val="solid" w:color="000000" w:fill="000000"/>
          </w:tcPr>
          <w:p w14:paraId="3F19D400" w14:textId="13E415AE" w:rsidR="00192D17" w:rsidRPr="002F6560" w:rsidRDefault="00592818" w:rsidP="00367C94">
            <w:pPr>
              <w:spacing w:before="0"/>
              <w:cnfStyle w:val="000000000000" w:firstRow="0" w:lastRow="0" w:firstColumn="0" w:lastColumn="0" w:oddVBand="0" w:evenVBand="0" w:oddHBand="0" w:evenHBand="0" w:firstRowFirstColumn="0" w:firstRowLastColumn="0" w:lastRowFirstColumn="0" w:lastRowLastColumn="0"/>
              <w:rPr>
                <w:rFonts w:ascii="Arial Narrow" w:hAnsi="Arial Narrow" w:cstheme="majorHAnsi"/>
                <w:i/>
                <w:iCs/>
                <w:strike/>
                <w:szCs w:val="20"/>
                <w:highlight w:val="yellow"/>
              </w:rPr>
            </w:pPr>
            <w:r w:rsidRPr="00592818">
              <w:rPr>
                <w:rFonts w:ascii="Arial Narrow" w:hAnsi="Arial Narrow" w:cstheme="majorHAnsi" w:hint="eastAsia"/>
                <w:i/>
                <w:iCs/>
                <w:color w:val="000000"/>
                <w:w w:val="15"/>
                <w:szCs w:val="20"/>
                <w:fitText w:val="50" w:id="-1256558065"/>
                <w14:textFill>
                  <w14:solidFill>
                    <w14:srgbClr w14:val="000000">
                      <w14:alpha w14:val="100000"/>
                    </w14:srgbClr>
                  </w14:solidFill>
                </w14:textFill>
              </w:rPr>
              <w:t xml:space="preserve">　</w:t>
            </w:r>
            <w:r w:rsidRPr="00592818">
              <w:rPr>
                <w:rFonts w:ascii="Arial Narrow" w:hAnsi="Arial Narrow" w:cstheme="majorHAnsi"/>
                <w:i/>
                <w:iCs/>
                <w:color w:val="000000"/>
                <w:w w:val="15"/>
                <w:szCs w:val="20"/>
                <w:fitText w:val="50" w:id="-1256558065"/>
                <w14:textFill>
                  <w14:solidFill>
                    <w14:srgbClr w14:val="000000">
                      <w14:alpha w14:val="100000"/>
                    </w14:srgbClr>
                  </w14:solidFill>
                </w14:textFill>
              </w:rPr>
              <w:t>|</w:t>
            </w:r>
            <w:r w:rsidRPr="00592818">
              <w:rPr>
                <w:rFonts w:ascii="Arial Narrow" w:hAnsi="Arial Narrow" w:cstheme="majorHAnsi" w:hint="eastAsia"/>
                <w:i/>
                <w:iCs/>
                <w:color w:val="000000"/>
                <w:spacing w:val="-15"/>
                <w:w w:val="15"/>
                <w:szCs w:val="20"/>
                <w:fitText w:val="50" w:id="-1256558065"/>
                <w14:textFill>
                  <w14:solidFill>
                    <w14:srgbClr w14:val="000000">
                      <w14:alpha w14:val="100000"/>
                    </w14:srgbClr>
                  </w14:solidFill>
                </w14:textFill>
              </w:rPr>
              <w:t xml:space="preserve">　</w:t>
            </w:r>
          </w:p>
        </w:tc>
      </w:tr>
      <w:tr w:rsidR="00192D17" w:rsidRPr="008C61D3" w14:paraId="2C9C9B83" w14:textId="77777777" w:rsidTr="00592818">
        <w:tc>
          <w:tcPr>
            <w:cnfStyle w:val="001000000000" w:firstRow="0" w:lastRow="0" w:firstColumn="1" w:lastColumn="0" w:oddVBand="0" w:evenVBand="0" w:oddHBand="0" w:evenHBand="0" w:firstRowFirstColumn="0" w:firstRowLastColumn="0" w:lastRowFirstColumn="0" w:lastRowLastColumn="0"/>
            <w:tcW w:w="612" w:type="pct"/>
            <w:vMerge w:val="restart"/>
          </w:tcPr>
          <w:p w14:paraId="21D33C05" w14:textId="77777777" w:rsidR="00192D17" w:rsidRPr="008C61D3" w:rsidRDefault="00192D17" w:rsidP="00367C94">
            <w:pPr>
              <w:rPr>
                <w:rFonts w:ascii="Arial Narrow" w:hAnsi="Arial Narrow"/>
                <w:lang w:eastAsia="en-AU"/>
              </w:rPr>
            </w:pPr>
            <w:r w:rsidRPr="008C61D3">
              <w:rPr>
                <w:rFonts w:ascii="Arial Narrow" w:hAnsi="Arial Narrow"/>
                <w:lang w:eastAsia="en-AU"/>
              </w:rPr>
              <w:t>Adverse</w:t>
            </w:r>
            <w:r>
              <w:rPr>
                <w:rFonts w:ascii="Arial Narrow" w:hAnsi="Arial Narrow"/>
                <w:lang w:eastAsia="en-AU"/>
              </w:rPr>
              <w:t>*</w:t>
            </w:r>
            <w:r w:rsidRPr="008C61D3">
              <w:rPr>
                <w:rFonts w:ascii="Arial Narrow" w:hAnsi="Arial Narrow"/>
                <w:lang w:eastAsia="en-AU"/>
              </w:rPr>
              <w:t xml:space="preserve"> events</w:t>
            </w:r>
          </w:p>
        </w:tc>
        <w:tc>
          <w:tcPr>
            <w:tcW w:w="675" w:type="pct"/>
          </w:tcPr>
          <w:p w14:paraId="3FB24271" w14:textId="77777777" w:rsidR="00192D17" w:rsidRPr="008C61D3" w:rsidRDefault="00192D17" w:rsidP="00367C94">
            <w:pPr>
              <w:jc w:val="left"/>
              <w:cnfStyle w:val="000000000000" w:firstRow="0" w:lastRow="0" w:firstColumn="0" w:lastColumn="0" w:oddVBand="0" w:evenVBand="0" w:oddHBand="0" w:evenHBand="0" w:firstRowFirstColumn="0" w:firstRowLastColumn="0" w:lastRowFirstColumn="0" w:lastRowLastColumn="0"/>
              <w:rPr>
                <w:rFonts w:ascii="Arial Narrow" w:hAnsi="Arial Narrow"/>
                <w:lang w:eastAsia="en-AU"/>
              </w:rPr>
            </w:pPr>
            <w:r w:rsidRPr="008C61D3">
              <w:rPr>
                <w:rFonts w:ascii="Arial Narrow" w:hAnsi="Arial Narrow"/>
                <w:lang w:eastAsia="en-AU"/>
              </w:rPr>
              <w:t>Individual MAEs, from MAIC where available</w:t>
            </w:r>
          </w:p>
        </w:tc>
        <w:tc>
          <w:tcPr>
            <w:tcW w:w="1761" w:type="pct"/>
          </w:tcPr>
          <w:p w14:paraId="34ABAC7D" w14:textId="77777777" w:rsidR="00192D17" w:rsidRPr="008C61D3" w:rsidRDefault="00192D17" w:rsidP="00367C94">
            <w:pPr>
              <w:jc w:val="left"/>
              <w:cnfStyle w:val="000000000000" w:firstRow="0" w:lastRow="0" w:firstColumn="0" w:lastColumn="0" w:oddVBand="0" w:evenVBand="0" w:oddHBand="0" w:evenHBand="0" w:firstRowFirstColumn="0" w:firstRowLastColumn="0" w:lastRowFirstColumn="0" w:lastRowLastColumn="0"/>
              <w:rPr>
                <w:rFonts w:ascii="Arial Narrow" w:hAnsi="Arial Narrow"/>
                <w:lang w:eastAsia="en-AU"/>
              </w:rPr>
            </w:pPr>
            <w:r w:rsidRPr="008C61D3">
              <w:rPr>
                <w:rFonts w:ascii="Arial Narrow" w:hAnsi="Arial Narrow"/>
                <w:lang w:eastAsia="en-AU"/>
              </w:rPr>
              <w:t>Aggregate mixed MAEs from MAIC</w:t>
            </w:r>
          </w:p>
        </w:tc>
        <w:tc>
          <w:tcPr>
            <w:tcW w:w="650" w:type="pct"/>
          </w:tcPr>
          <w:p w14:paraId="3904FD2B" w14:textId="1D8EACCA" w:rsidR="00192D17" w:rsidRPr="002F6560" w:rsidRDefault="00192D17"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highlight w:val="yellow"/>
              </w:rPr>
            </w:pPr>
            <w:r w:rsidRPr="00E74A1A">
              <w:rPr>
                <w:rFonts w:ascii="Arial Narrow" w:hAnsi="Arial Narrow" w:cstheme="majorHAnsi"/>
                <w:szCs w:val="20"/>
              </w:rPr>
              <w:t>$</w:t>
            </w:r>
            <w:r w:rsidR="00592818" w:rsidRPr="00592818">
              <w:rPr>
                <w:rFonts w:ascii="Arial Narrow" w:hAnsi="Arial Narrow" w:cstheme="majorHAnsi" w:hint="eastAsia"/>
                <w:color w:val="000000"/>
                <w:w w:val="22"/>
                <w:szCs w:val="20"/>
                <w:shd w:val="solid" w:color="000000" w:fill="000000"/>
                <w:fitText w:val="100" w:id="-1256558064"/>
                <w14:textFill>
                  <w14:solidFill>
                    <w14:srgbClr w14:val="000000">
                      <w14:alpha w14:val="100000"/>
                    </w14:srgbClr>
                  </w14:solidFill>
                </w14:textFill>
              </w:rPr>
              <w:t xml:space="preserve">　</w:t>
            </w:r>
            <w:r w:rsidR="00592818" w:rsidRPr="00592818">
              <w:rPr>
                <w:rFonts w:ascii="Arial Narrow" w:hAnsi="Arial Narrow" w:cstheme="majorHAnsi"/>
                <w:color w:val="000000"/>
                <w:w w:val="22"/>
                <w:szCs w:val="20"/>
                <w:shd w:val="solid" w:color="000000" w:fill="000000"/>
                <w:fitText w:val="100" w:id="-1256558064"/>
                <w14:textFill>
                  <w14:solidFill>
                    <w14:srgbClr w14:val="000000">
                      <w14:alpha w14:val="100000"/>
                    </w14:srgbClr>
                  </w14:solidFill>
                </w14:textFill>
              </w:rPr>
              <w:t>|</w:t>
            </w:r>
            <w:r w:rsidR="00592818" w:rsidRPr="00592818">
              <w:rPr>
                <w:rFonts w:ascii="Arial Narrow" w:hAnsi="Arial Narrow" w:cstheme="majorHAnsi" w:hint="eastAsia"/>
                <w:color w:val="000000"/>
                <w:spacing w:val="3"/>
                <w:w w:val="22"/>
                <w:szCs w:val="20"/>
                <w:shd w:val="solid" w:color="000000" w:fill="000000"/>
                <w:fitText w:val="100" w:id="-1256558064"/>
                <w14:textFill>
                  <w14:solidFill>
                    <w14:srgbClr w14:val="000000">
                      <w14:alpha w14:val="100000"/>
                    </w14:srgbClr>
                  </w14:solidFill>
                </w14:textFill>
              </w:rPr>
              <w:t xml:space="preserve">　</w:t>
            </w:r>
          </w:p>
        </w:tc>
        <w:tc>
          <w:tcPr>
            <w:tcW w:w="651" w:type="pct"/>
          </w:tcPr>
          <w:p w14:paraId="0F713896" w14:textId="77777777" w:rsidR="00192D17" w:rsidRPr="008C61D3" w:rsidRDefault="00192D17"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rPr>
            </w:pPr>
            <w:r w:rsidRPr="008C61D3">
              <w:rPr>
                <w:rFonts w:ascii="Arial Narrow" w:hAnsi="Arial Narrow" w:cstheme="majorHAnsi"/>
                <w:szCs w:val="20"/>
              </w:rPr>
              <w:t>$36,040.27</w:t>
            </w:r>
          </w:p>
        </w:tc>
        <w:tc>
          <w:tcPr>
            <w:tcW w:w="651" w:type="pct"/>
            <w:tcBorders>
              <w:bottom w:val="single" w:sz="4" w:space="0" w:color="auto"/>
            </w:tcBorders>
            <w:shd w:val="solid" w:color="000000" w:fill="000000"/>
          </w:tcPr>
          <w:p w14:paraId="05947D6E" w14:textId="67BA0013" w:rsidR="00192D17" w:rsidRPr="002F6560" w:rsidRDefault="00592818"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highlight w:val="yellow"/>
              </w:rPr>
            </w:pPr>
            <w:r w:rsidRPr="00592818">
              <w:rPr>
                <w:rFonts w:ascii="Arial Narrow" w:hAnsi="Arial Narrow" w:cstheme="majorHAnsi" w:hint="eastAsia"/>
                <w:color w:val="000000"/>
                <w:w w:val="15"/>
                <w:szCs w:val="20"/>
                <w:fitText w:val="50" w:id="-1256558080"/>
                <w14:textFill>
                  <w14:solidFill>
                    <w14:srgbClr w14:val="000000">
                      <w14:alpha w14:val="100000"/>
                    </w14:srgbClr>
                  </w14:solidFill>
                </w14:textFill>
              </w:rPr>
              <w:t xml:space="preserve">　</w:t>
            </w:r>
            <w:r w:rsidRPr="00592818">
              <w:rPr>
                <w:rFonts w:ascii="Arial Narrow" w:hAnsi="Arial Narrow" w:cstheme="majorHAnsi"/>
                <w:color w:val="000000"/>
                <w:w w:val="15"/>
                <w:szCs w:val="20"/>
                <w:fitText w:val="50" w:id="-1256558080"/>
                <w14:textFill>
                  <w14:solidFill>
                    <w14:srgbClr w14:val="000000">
                      <w14:alpha w14:val="100000"/>
                    </w14:srgbClr>
                  </w14:solidFill>
                </w14:textFill>
              </w:rPr>
              <w:t>|</w:t>
            </w:r>
            <w:r w:rsidRPr="00592818">
              <w:rPr>
                <w:rFonts w:ascii="Arial Narrow" w:hAnsi="Arial Narrow" w:cstheme="majorHAnsi" w:hint="eastAsia"/>
                <w:color w:val="000000"/>
                <w:spacing w:val="-15"/>
                <w:w w:val="15"/>
                <w:szCs w:val="20"/>
                <w:fitText w:val="50" w:id="-1256558080"/>
                <w14:textFill>
                  <w14:solidFill>
                    <w14:srgbClr w14:val="000000">
                      <w14:alpha w14:val="100000"/>
                    </w14:srgbClr>
                  </w14:solidFill>
                </w14:textFill>
              </w:rPr>
              <w:t xml:space="preserve">　</w:t>
            </w:r>
          </w:p>
        </w:tc>
      </w:tr>
      <w:tr w:rsidR="00192D17" w:rsidRPr="008C61D3" w14:paraId="0355F072" w14:textId="77777777" w:rsidTr="00592818">
        <w:tc>
          <w:tcPr>
            <w:cnfStyle w:val="001000000000" w:firstRow="0" w:lastRow="0" w:firstColumn="1" w:lastColumn="0" w:oddVBand="0" w:evenVBand="0" w:oddHBand="0" w:evenHBand="0" w:firstRowFirstColumn="0" w:firstRowLastColumn="0" w:lastRowFirstColumn="0" w:lastRowLastColumn="0"/>
            <w:tcW w:w="612" w:type="pct"/>
            <w:vMerge/>
          </w:tcPr>
          <w:p w14:paraId="0F06AD0F" w14:textId="77777777" w:rsidR="00192D17" w:rsidRPr="008C61D3" w:rsidRDefault="00192D17" w:rsidP="00367C94">
            <w:pPr>
              <w:rPr>
                <w:rFonts w:ascii="Arial Narrow" w:hAnsi="Arial Narrow"/>
                <w:lang w:eastAsia="en-AU"/>
              </w:rPr>
            </w:pPr>
          </w:p>
        </w:tc>
        <w:tc>
          <w:tcPr>
            <w:tcW w:w="675" w:type="pct"/>
          </w:tcPr>
          <w:p w14:paraId="0E29E255" w14:textId="77777777" w:rsidR="00192D17" w:rsidRPr="008C61D3" w:rsidRDefault="00192D17" w:rsidP="00367C94">
            <w:pPr>
              <w:jc w:val="left"/>
              <w:cnfStyle w:val="000000000000" w:firstRow="0" w:lastRow="0" w:firstColumn="0" w:lastColumn="0" w:oddVBand="0" w:evenVBand="0" w:oddHBand="0" w:evenHBand="0" w:firstRowFirstColumn="0" w:firstRowLastColumn="0" w:lastRowFirstColumn="0" w:lastRowLastColumn="0"/>
              <w:rPr>
                <w:rFonts w:ascii="Arial Narrow" w:hAnsi="Arial Narrow"/>
                <w:lang w:eastAsia="en-AU"/>
              </w:rPr>
            </w:pPr>
            <w:r w:rsidRPr="008C61D3">
              <w:rPr>
                <w:rFonts w:ascii="Arial Narrow" w:hAnsi="Arial Narrow"/>
                <w:lang w:eastAsia="en-AU"/>
              </w:rPr>
              <w:t>Base case MAIC outcomes</w:t>
            </w:r>
          </w:p>
        </w:tc>
        <w:tc>
          <w:tcPr>
            <w:tcW w:w="1761" w:type="pct"/>
          </w:tcPr>
          <w:p w14:paraId="77DC8E19" w14:textId="77777777" w:rsidR="00192D17" w:rsidRPr="008C61D3" w:rsidRDefault="00192D17" w:rsidP="00367C94">
            <w:pPr>
              <w:jc w:val="left"/>
              <w:cnfStyle w:val="000000000000" w:firstRow="0" w:lastRow="0" w:firstColumn="0" w:lastColumn="0" w:oddVBand="0" w:evenVBand="0" w:oddHBand="0" w:evenHBand="0" w:firstRowFirstColumn="0" w:firstRowLastColumn="0" w:lastRowFirstColumn="0" w:lastRowLastColumn="0"/>
              <w:rPr>
                <w:rFonts w:ascii="Arial Narrow" w:hAnsi="Arial Narrow"/>
                <w:lang w:eastAsia="en-AU"/>
              </w:rPr>
            </w:pPr>
            <w:r w:rsidRPr="008C61D3">
              <w:rPr>
                <w:rFonts w:ascii="Arial Narrow" w:hAnsi="Arial Narrow"/>
                <w:lang w:eastAsia="en-AU"/>
              </w:rPr>
              <w:t>Sensitivity analysis MAIC</w:t>
            </w:r>
          </w:p>
        </w:tc>
        <w:tc>
          <w:tcPr>
            <w:tcW w:w="650" w:type="pct"/>
          </w:tcPr>
          <w:p w14:paraId="63445043" w14:textId="1A8BFDED" w:rsidR="00192D17" w:rsidRPr="002F6560" w:rsidRDefault="00192D17"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highlight w:val="yellow"/>
              </w:rPr>
            </w:pPr>
            <w:r w:rsidRPr="00E74A1A">
              <w:rPr>
                <w:rFonts w:ascii="Arial Narrow" w:hAnsi="Arial Narrow" w:cstheme="majorHAnsi"/>
                <w:szCs w:val="20"/>
              </w:rPr>
              <w:t>$</w:t>
            </w:r>
            <w:r w:rsidR="00592818" w:rsidRPr="00592818">
              <w:rPr>
                <w:rFonts w:ascii="Arial Narrow" w:hAnsi="Arial Narrow" w:cstheme="majorHAnsi" w:hint="eastAsia"/>
                <w:color w:val="000000"/>
                <w:w w:val="22"/>
                <w:szCs w:val="20"/>
                <w:shd w:val="solid" w:color="000000" w:fill="000000"/>
                <w:fitText w:val="100" w:id="-1256558079"/>
                <w14:textFill>
                  <w14:solidFill>
                    <w14:srgbClr w14:val="000000">
                      <w14:alpha w14:val="100000"/>
                    </w14:srgbClr>
                  </w14:solidFill>
                </w14:textFill>
              </w:rPr>
              <w:t xml:space="preserve">　</w:t>
            </w:r>
            <w:r w:rsidR="00592818" w:rsidRPr="00592818">
              <w:rPr>
                <w:rFonts w:ascii="Arial Narrow" w:hAnsi="Arial Narrow" w:cstheme="majorHAnsi"/>
                <w:color w:val="000000"/>
                <w:w w:val="22"/>
                <w:szCs w:val="20"/>
                <w:shd w:val="solid" w:color="000000" w:fill="000000"/>
                <w:fitText w:val="100" w:id="-1256558079"/>
                <w14:textFill>
                  <w14:solidFill>
                    <w14:srgbClr w14:val="000000">
                      <w14:alpha w14:val="100000"/>
                    </w14:srgbClr>
                  </w14:solidFill>
                </w14:textFill>
              </w:rPr>
              <w:t>|</w:t>
            </w:r>
            <w:r w:rsidR="00592818" w:rsidRPr="00592818">
              <w:rPr>
                <w:rFonts w:ascii="Arial Narrow" w:hAnsi="Arial Narrow" w:cstheme="majorHAnsi" w:hint="eastAsia"/>
                <w:color w:val="000000"/>
                <w:spacing w:val="3"/>
                <w:w w:val="22"/>
                <w:szCs w:val="20"/>
                <w:shd w:val="solid" w:color="000000" w:fill="000000"/>
                <w:fitText w:val="100" w:id="-1256558079"/>
                <w14:textFill>
                  <w14:solidFill>
                    <w14:srgbClr w14:val="000000">
                      <w14:alpha w14:val="100000"/>
                    </w14:srgbClr>
                  </w14:solidFill>
                </w14:textFill>
              </w:rPr>
              <w:t xml:space="preserve">　</w:t>
            </w:r>
          </w:p>
        </w:tc>
        <w:tc>
          <w:tcPr>
            <w:tcW w:w="651" w:type="pct"/>
          </w:tcPr>
          <w:p w14:paraId="4EC80BDB" w14:textId="77777777" w:rsidR="00192D17" w:rsidRPr="008C61D3" w:rsidRDefault="00192D17"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rPr>
            </w:pPr>
            <w:r w:rsidRPr="008C61D3">
              <w:rPr>
                <w:rFonts w:ascii="Arial Narrow" w:hAnsi="Arial Narrow" w:cstheme="majorHAnsi"/>
                <w:szCs w:val="20"/>
              </w:rPr>
              <w:t>$35,864.83</w:t>
            </w:r>
          </w:p>
        </w:tc>
        <w:tc>
          <w:tcPr>
            <w:tcW w:w="651" w:type="pct"/>
            <w:tcBorders>
              <w:bottom w:val="single" w:sz="4" w:space="0" w:color="auto"/>
            </w:tcBorders>
            <w:shd w:val="solid" w:color="000000" w:fill="000000"/>
          </w:tcPr>
          <w:p w14:paraId="6B7BB183" w14:textId="4B27BB20" w:rsidR="00192D17" w:rsidRPr="002F6560" w:rsidRDefault="00592818"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highlight w:val="yellow"/>
              </w:rPr>
            </w:pPr>
            <w:r w:rsidRPr="00592818">
              <w:rPr>
                <w:rFonts w:ascii="Arial Narrow" w:hAnsi="Arial Narrow" w:cstheme="majorHAnsi" w:hint="eastAsia"/>
                <w:color w:val="000000"/>
                <w:w w:val="15"/>
                <w:szCs w:val="20"/>
                <w:fitText w:val="50" w:id="-1256558078"/>
                <w14:textFill>
                  <w14:solidFill>
                    <w14:srgbClr w14:val="000000">
                      <w14:alpha w14:val="100000"/>
                    </w14:srgbClr>
                  </w14:solidFill>
                </w14:textFill>
              </w:rPr>
              <w:t xml:space="preserve">　</w:t>
            </w:r>
            <w:r w:rsidRPr="00592818">
              <w:rPr>
                <w:rFonts w:ascii="Arial Narrow" w:hAnsi="Arial Narrow" w:cstheme="majorHAnsi"/>
                <w:color w:val="000000"/>
                <w:w w:val="15"/>
                <w:szCs w:val="20"/>
                <w:fitText w:val="50" w:id="-1256558078"/>
                <w14:textFill>
                  <w14:solidFill>
                    <w14:srgbClr w14:val="000000">
                      <w14:alpha w14:val="100000"/>
                    </w14:srgbClr>
                  </w14:solidFill>
                </w14:textFill>
              </w:rPr>
              <w:t>|</w:t>
            </w:r>
            <w:r w:rsidRPr="00592818">
              <w:rPr>
                <w:rFonts w:ascii="Arial Narrow" w:hAnsi="Arial Narrow" w:cstheme="majorHAnsi" w:hint="eastAsia"/>
                <w:color w:val="000000"/>
                <w:spacing w:val="-15"/>
                <w:w w:val="15"/>
                <w:szCs w:val="20"/>
                <w:fitText w:val="50" w:id="-1256558078"/>
                <w14:textFill>
                  <w14:solidFill>
                    <w14:srgbClr w14:val="000000">
                      <w14:alpha w14:val="100000"/>
                    </w14:srgbClr>
                  </w14:solidFill>
                </w14:textFill>
              </w:rPr>
              <w:t xml:space="preserve">　</w:t>
            </w:r>
          </w:p>
        </w:tc>
      </w:tr>
      <w:tr w:rsidR="00192D17" w:rsidRPr="008C61D3" w14:paraId="14D98E07" w14:textId="77777777" w:rsidTr="00592818">
        <w:tc>
          <w:tcPr>
            <w:cnfStyle w:val="001000000000" w:firstRow="0" w:lastRow="0" w:firstColumn="1" w:lastColumn="0" w:oddVBand="0" w:evenVBand="0" w:oddHBand="0" w:evenHBand="0" w:firstRowFirstColumn="0" w:firstRowLastColumn="0" w:lastRowFirstColumn="0" w:lastRowLastColumn="0"/>
            <w:tcW w:w="612" w:type="pct"/>
            <w:vMerge/>
          </w:tcPr>
          <w:p w14:paraId="12F5F0A7" w14:textId="77777777" w:rsidR="00192D17" w:rsidRPr="008C61D3" w:rsidRDefault="00192D17" w:rsidP="00367C94">
            <w:pPr>
              <w:rPr>
                <w:rFonts w:ascii="Arial Narrow" w:hAnsi="Arial Narrow"/>
                <w:lang w:eastAsia="en-AU"/>
              </w:rPr>
            </w:pPr>
          </w:p>
        </w:tc>
        <w:tc>
          <w:tcPr>
            <w:tcW w:w="675" w:type="pct"/>
          </w:tcPr>
          <w:p w14:paraId="001DE2BB" w14:textId="77777777" w:rsidR="00192D17" w:rsidRPr="008C61D3" w:rsidRDefault="00192D17" w:rsidP="00367C94">
            <w:pPr>
              <w:jc w:val="left"/>
              <w:cnfStyle w:val="000000000000" w:firstRow="0" w:lastRow="0" w:firstColumn="0" w:lastColumn="0" w:oddVBand="0" w:evenVBand="0" w:oddHBand="0" w:evenHBand="0" w:firstRowFirstColumn="0" w:firstRowLastColumn="0" w:lastRowFirstColumn="0" w:lastRowLastColumn="0"/>
              <w:rPr>
                <w:rFonts w:ascii="Arial Narrow" w:hAnsi="Arial Narrow"/>
                <w:lang w:eastAsia="en-AU"/>
              </w:rPr>
            </w:pPr>
            <w:r w:rsidRPr="008C61D3">
              <w:rPr>
                <w:rFonts w:ascii="Arial Narrow" w:hAnsi="Arial Narrow"/>
                <w:lang w:eastAsia="en-AU"/>
              </w:rPr>
              <w:t>Base case MAIC</w:t>
            </w:r>
          </w:p>
        </w:tc>
        <w:tc>
          <w:tcPr>
            <w:tcW w:w="1761" w:type="pct"/>
          </w:tcPr>
          <w:p w14:paraId="158FCBEB" w14:textId="77777777" w:rsidR="00192D17" w:rsidRPr="008C61D3" w:rsidRDefault="00192D17" w:rsidP="00367C94">
            <w:pPr>
              <w:jc w:val="left"/>
              <w:cnfStyle w:val="000000000000" w:firstRow="0" w:lastRow="0" w:firstColumn="0" w:lastColumn="0" w:oddVBand="0" w:evenVBand="0" w:oddHBand="0" w:evenHBand="0" w:firstRowFirstColumn="0" w:firstRowLastColumn="0" w:lastRowFirstColumn="0" w:lastRowLastColumn="0"/>
              <w:rPr>
                <w:rFonts w:ascii="Arial Narrow" w:hAnsi="Arial Narrow"/>
                <w:lang w:eastAsia="en-AU"/>
              </w:rPr>
            </w:pPr>
            <w:r w:rsidRPr="008C61D3">
              <w:rPr>
                <w:rFonts w:ascii="Arial Narrow" w:hAnsi="Arial Narrow"/>
                <w:lang w:eastAsia="en-AU"/>
              </w:rPr>
              <w:t>Naïve comparison from individual studies (CLASP, COAPT and EVEREST-II) at 30-days</w:t>
            </w:r>
          </w:p>
        </w:tc>
        <w:tc>
          <w:tcPr>
            <w:tcW w:w="650" w:type="pct"/>
          </w:tcPr>
          <w:p w14:paraId="488EC1C0" w14:textId="27F81B04" w:rsidR="00192D17" w:rsidRPr="002F6560" w:rsidRDefault="00192D17"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highlight w:val="yellow"/>
              </w:rPr>
            </w:pPr>
            <w:r w:rsidRPr="00E74A1A">
              <w:rPr>
                <w:rFonts w:ascii="Arial Narrow" w:hAnsi="Arial Narrow" w:cstheme="majorHAnsi"/>
                <w:szCs w:val="20"/>
              </w:rPr>
              <w:t>$</w:t>
            </w:r>
            <w:r w:rsidR="00592818" w:rsidRPr="00592818">
              <w:rPr>
                <w:rFonts w:ascii="Arial Narrow" w:hAnsi="Arial Narrow" w:cstheme="majorHAnsi" w:hint="eastAsia"/>
                <w:color w:val="000000"/>
                <w:w w:val="22"/>
                <w:szCs w:val="20"/>
                <w:shd w:val="solid" w:color="000000" w:fill="000000"/>
                <w:fitText w:val="100" w:id="-1256558077"/>
                <w14:textFill>
                  <w14:solidFill>
                    <w14:srgbClr w14:val="000000">
                      <w14:alpha w14:val="100000"/>
                    </w14:srgbClr>
                  </w14:solidFill>
                </w14:textFill>
              </w:rPr>
              <w:t xml:space="preserve">　</w:t>
            </w:r>
            <w:r w:rsidR="00592818" w:rsidRPr="00592818">
              <w:rPr>
                <w:rFonts w:ascii="Arial Narrow" w:hAnsi="Arial Narrow" w:cstheme="majorHAnsi"/>
                <w:color w:val="000000"/>
                <w:w w:val="22"/>
                <w:szCs w:val="20"/>
                <w:shd w:val="solid" w:color="000000" w:fill="000000"/>
                <w:fitText w:val="100" w:id="-1256558077"/>
                <w14:textFill>
                  <w14:solidFill>
                    <w14:srgbClr w14:val="000000">
                      <w14:alpha w14:val="100000"/>
                    </w14:srgbClr>
                  </w14:solidFill>
                </w14:textFill>
              </w:rPr>
              <w:t>|</w:t>
            </w:r>
            <w:r w:rsidR="00592818" w:rsidRPr="00592818">
              <w:rPr>
                <w:rFonts w:ascii="Arial Narrow" w:hAnsi="Arial Narrow" w:cstheme="majorHAnsi" w:hint="eastAsia"/>
                <w:color w:val="000000"/>
                <w:spacing w:val="3"/>
                <w:w w:val="22"/>
                <w:szCs w:val="20"/>
                <w:shd w:val="solid" w:color="000000" w:fill="000000"/>
                <w:fitText w:val="100" w:id="-1256558077"/>
                <w14:textFill>
                  <w14:solidFill>
                    <w14:srgbClr w14:val="000000">
                      <w14:alpha w14:val="100000"/>
                    </w14:srgbClr>
                  </w14:solidFill>
                </w14:textFill>
              </w:rPr>
              <w:t xml:space="preserve">　</w:t>
            </w:r>
          </w:p>
        </w:tc>
        <w:tc>
          <w:tcPr>
            <w:tcW w:w="651" w:type="pct"/>
          </w:tcPr>
          <w:p w14:paraId="27ABC09E" w14:textId="77777777" w:rsidR="00192D17" w:rsidRPr="008C61D3" w:rsidRDefault="00192D17"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rPr>
            </w:pPr>
            <w:r w:rsidRPr="008C61D3">
              <w:rPr>
                <w:rFonts w:ascii="Arial Narrow" w:hAnsi="Arial Narrow" w:cstheme="majorHAnsi"/>
                <w:szCs w:val="20"/>
              </w:rPr>
              <w:t>$35,797.36</w:t>
            </w:r>
          </w:p>
        </w:tc>
        <w:tc>
          <w:tcPr>
            <w:tcW w:w="651" w:type="pct"/>
            <w:tcBorders>
              <w:bottom w:val="single" w:sz="4" w:space="0" w:color="auto"/>
            </w:tcBorders>
            <w:shd w:val="solid" w:color="000000" w:fill="000000"/>
          </w:tcPr>
          <w:p w14:paraId="03093F99" w14:textId="755CFEDB" w:rsidR="00192D17" w:rsidRPr="002F6560" w:rsidRDefault="00592818"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highlight w:val="yellow"/>
              </w:rPr>
            </w:pPr>
            <w:r w:rsidRPr="00592818">
              <w:rPr>
                <w:rFonts w:ascii="Arial Narrow" w:hAnsi="Arial Narrow" w:cstheme="majorHAnsi" w:hint="eastAsia"/>
                <w:color w:val="000000"/>
                <w:w w:val="15"/>
                <w:szCs w:val="20"/>
                <w:fitText w:val="50" w:id="-1256558076"/>
                <w14:textFill>
                  <w14:solidFill>
                    <w14:srgbClr w14:val="000000">
                      <w14:alpha w14:val="100000"/>
                    </w14:srgbClr>
                  </w14:solidFill>
                </w14:textFill>
              </w:rPr>
              <w:t xml:space="preserve">　</w:t>
            </w:r>
            <w:r w:rsidRPr="00592818">
              <w:rPr>
                <w:rFonts w:ascii="Arial Narrow" w:hAnsi="Arial Narrow" w:cstheme="majorHAnsi"/>
                <w:color w:val="000000"/>
                <w:w w:val="15"/>
                <w:szCs w:val="20"/>
                <w:fitText w:val="50" w:id="-1256558076"/>
                <w14:textFill>
                  <w14:solidFill>
                    <w14:srgbClr w14:val="000000">
                      <w14:alpha w14:val="100000"/>
                    </w14:srgbClr>
                  </w14:solidFill>
                </w14:textFill>
              </w:rPr>
              <w:t>|</w:t>
            </w:r>
            <w:r w:rsidRPr="00592818">
              <w:rPr>
                <w:rFonts w:ascii="Arial Narrow" w:hAnsi="Arial Narrow" w:cstheme="majorHAnsi" w:hint="eastAsia"/>
                <w:color w:val="000000"/>
                <w:spacing w:val="-15"/>
                <w:w w:val="15"/>
                <w:szCs w:val="20"/>
                <w:fitText w:val="50" w:id="-1256558076"/>
                <w14:textFill>
                  <w14:solidFill>
                    <w14:srgbClr w14:val="000000">
                      <w14:alpha w14:val="100000"/>
                    </w14:srgbClr>
                  </w14:solidFill>
                </w14:textFill>
              </w:rPr>
              <w:t xml:space="preserve">　</w:t>
            </w:r>
          </w:p>
        </w:tc>
      </w:tr>
      <w:tr w:rsidR="00192D17" w:rsidRPr="008C61D3" w14:paraId="76708E34" w14:textId="77777777" w:rsidTr="00592818">
        <w:tc>
          <w:tcPr>
            <w:cnfStyle w:val="001000000000" w:firstRow="0" w:lastRow="0" w:firstColumn="1" w:lastColumn="0" w:oddVBand="0" w:evenVBand="0" w:oddHBand="0" w:evenHBand="0" w:firstRowFirstColumn="0" w:firstRowLastColumn="0" w:lastRowFirstColumn="0" w:lastRowLastColumn="0"/>
            <w:tcW w:w="612" w:type="pct"/>
            <w:vMerge/>
          </w:tcPr>
          <w:p w14:paraId="792A53EB" w14:textId="77777777" w:rsidR="00192D17" w:rsidRPr="008C61D3" w:rsidRDefault="00192D17" w:rsidP="00367C94">
            <w:pPr>
              <w:rPr>
                <w:rFonts w:ascii="Arial Narrow" w:hAnsi="Arial Narrow"/>
                <w:lang w:eastAsia="en-AU"/>
              </w:rPr>
            </w:pPr>
          </w:p>
        </w:tc>
        <w:tc>
          <w:tcPr>
            <w:tcW w:w="675" w:type="pct"/>
          </w:tcPr>
          <w:p w14:paraId="67E26A1C" w14:textId="77777777" w:rsidR="00192D17" w:rsidRPr="008C61D3" w:rsidRDefault="00192D17" w:rsidP="00367C94">
            <w:pPr>
              <w:jc w:val="left"/>
              <w:cnfStyle w:val="000000000000" w:firstRow="0" w:lastRow="0" w:firstColumn="0" w:lastColumn="0" w:oddVBand="0" w:evenVBand="0" w:oddHBand="0" w:evenHBand="0" w:firstRowFirstColumn="0" w:firstRowLastColumn="0" w:lastRowFirstColumn="0" w:lastRowLastColumn="0"/>
              <w:rPr>
                <w:rFonts w:ascii="Arial Narrow" w:hAnsi="Arial Narrow"/>
                <w:lang w:eastAsia="en-AU"/>
              </w:rPr>
            </w:pPr>
            <w:r w:rsidRPr="008C61D3">
              <w:rPr>
                <w:rFonts w:ascii="Arial Narrow" w:hAnsi="Arial Narrow"/>
                <w:lang w:eastAsia="en-AU"/>
              </w:rPr>
              <w:t>30-day MI rate from MAIC</w:t>
            </w:r>
          </w:p>
        </w:tc>
        <w:tc>
          <w:tcPr>
            <w:tcW w:w="1761" w:type="pct"/>
          </w:tcPr>
          <w:p w14:paraId="740DAB3B" w14:textId="77777777" w:rsidR="00192D17" w:rsidRPr="008C61D3" w:rsidRDefault="00192D17" w:rsidP="00367C94">
            <w:pPr>
              <w:jc w:val="left"/>
              <w:cnfStyle w:val="000000000000" w:firstRow="0" w:lastRow="0" w:firstColumn="0" w:lastColumn="0" w:oddVBand="0" w:evenVBand="0" w:oddHBand="0" w:evenHBand="0" w:firstRowFirstColumn="0" w:firstRowLastColumn="0" w:lastRowFirstColumn="0" w:lastRowLastColumn="0"/>
              <w:rPr>
                <w:rFonts w:ascii="Arial Narrow" w:hAnsi="Arial Narrow"/>
                <w:lang w:eastAsia="en-AU"/>
              </w:rPr>
            </w:pPr>
            <w:r w:rsidRPr="008C61D3">
              <w:rPr>
                <w:rFonts w:ascii="Arial Narrow" w:hAnsi="Arial Narrow"/>
                <w:lang w:eastAsia="en-AU"/>
              </w:rPr>
              <w:t>24-month MI rate from MAIC (FMR only)</w:t>
            </w:r>
          </w:p>
        </w:tc>
        <w:tc>
          <w:tcPr>
            <w:tcW w:w="650" w:type="pct"/>
          </w:tcPr>
          <w:p w14:paraId="4B6EE853" w14:textId="5FF27156" w:rsidR="00192D17" w:rsidRPr="002F6560" w:rsidRDefault="00192D17"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highlight w:val="yellow"/>
              </w:rPr>
            </w:pPr>
            <w:r w:rsidRPr="00E74A1A">
              <w:rPr>
                <w:rFonts w:ascii="Arial Narrow" w:hAnsi="Arial Narrow" w:cstheme="majorHAnsi"/>
                <w:szCs w:val="20"/>
              </w:rPr>
              <w:t>$</w:t>
            </w:r>
            <w:r w:rsidR="00592818" w:rsidRPr="00592818">
              <w:rPr>
                <w:rFonts w:ascii="Arial Narrow" w:hAnsi="Arial Narrow" w:cstheme="majorHAnsi" w:hint="eastAsia"/>
                <w:color w:val="000000"/>
                <w:w w:val="22"/>
                <w:szCs w:val="20"/>
                <w:shd w:val="solid" w:color="000000" w:fill="000000"/>
                <w:fitText w:val="100" w:id="-1256558075"/>
                <w14:textFill>
                  <w14:solidFill>
                    <w14:srgbClr w14:val="000000">
                      <w14:alpha w14:val="100000"/>
                    </w14:srgbClr>
                  </w14:solidFill>
                </w14:textFill>
              </w:rPr>
              <w:t xml:space="preserve">　</w:t>
            </w:r>
            <w:r w:rsidR="00592818" w:rsidRPr="00592818">
              <w:rPr>
                <w:rFonts w:ascii="Arial Narrow" w:hAnsi="Arial Narrow" w:cstheme="majorHAnsi"/>
                <w:color w:val="000000"/>
                <w:w w:val="22"/>
                <w:szCs w:val="20"/>
                <w:shd w:val="solid" w:color="000000" w:fill="000000"/>
                <w:fitText w:val="100" w:id="-1256558075"/>
                <w14:textFill>
                  <w14:solidFill>
                    <w14:srgbClr w14:val="000000">
                      <w14:alpha w14:val="100000"/>
                    </w14:srgbClr>
                  </w14:solidFill>
                </w14:textFill>
              </w:rPr>
              <w:t>|</w:t>
            </w:r>
            <w:r w:rsidR="00592818" w:rsidRPr="00592818">
              <w:rPr>
                <w:rFonts w:ascii="Arial Narrow" w:hAnsi="Arial Narrow" w:cstheme="majorHAnsi" w:hint="eastAsia"/>
                <w:color w:val="000000"/>
                <w:spacing w:val="3"/>
                <w:w w:val="22"/>
                <w:szCs w:val="20"/>
                <w:shd w:val="solid" w:color="000000" w:fill="000000"/>
                <w:fitText w:val="100" w:id="-1256558075"/>
                <w14:textFill>
                  <w14:solidFill>
                    <w14:srgbClr w14:val="000000">
                      <w14:alpha w14:val="100000"/>
                    </w14:srgbClr>
                  </w14:solidFill>
                </w14:textFill>
              </w:rPr>
              <w:t xml:space="preserve">　</w:t>
            </w:r>
          </w:p>
        </w:tc>
        <w:tc>
          <w:tcPr>
            <w:tcW w:w="651" w:type="pct"/>
          </w:tcPr>
          <w:p w14:paraId="78D39596" w14:textId="77777777" w:rsidR="00192D17" w:rsidRPr="008C61D3" w:rsidRDefault="00192D17"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rPr>
            </w:pPr>
            <w:r w:rsidRPr="008C61D3">
              <w:rPr>
                <w:rFonts w:ascii="Arial Narrow" w:hAnsi="Arial Narrow" w:cstheme="majorHAnsi"/>
                <w:szCs w:val="20"/>
              </w:rPr>
              <w:t>$35,977.22</w:t>
            </w:r>
          </w:p>
        </w:tc>
        <w:tc>
          <w:tcPr>
            <w:tcW w:w="651" w:type="pct"/>
            <w:tcBorders>
              <w:bottom w:val="single" w:sz="4" w:space="0" w:color="auto"/>
            </w:tcBorders>
            <w:shd w:val="solid" w:color="000000" w:fill="000000"/>
          </w:tcPr>
          <w:p w14:paraId="681E88BC" w14:textId="65F2FEA6" w:rsidR="00192D17" w:rsidRPr="002F6560" w:rsidRDefault="00592818"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highlight w:val="yellow"/>
              </w:rPr>
            </w:pPr>
            <w:r w:rsidRPr="00592818">
              <w:rPr>
                <w:rFonts w:ascii="Arial Narrow" w:hAnsi="Arial Narrow" w:cstheme="majorHAnsi" w:hint="eastAsia"/>
                <w:color w:val="000000"/>
                <w:w w:val="15"/>
                <w:szCs w:val="20"/>
                <w:fitText w:val="50" w:id="-1256558074"/>
                <w14:textFill>
                  <w14:solidFill>
                    <w14:srgbClr w14:val="000000">
                      <w14:alpha w14:val="100000"/>
                    </w14:srgbClr>
                  </w14:solidFill>
                </w14:textFill>
              </w:rPr>
              <w:t xml:space="preserve">　</w:t>
            </w:r>
            <w:r w:rsidRPr="00592818">
              <w:rPr>
                <w:rFonts w:ascii="Arial Narrow" w:hAnsi="Arial Narrow" w:cstheme="majorHAnsi"/>
                <w:color w:val="000000"/>
                <w:w w:val="15"/>
                <w:szCs w:val="20"/>
                <w:fitText w:val="50" w:id="-1256558074"/>
                <w14:textFill>
                  <w14:solidFill>
                    <w14:srgbClr w14:val="000000">
                      <w14:alpha w14:val="100000"/>
                    </w14:srgbClr>
                  </w14:solidFill>
                </w14:textFill>
              </w:rPr>
              <w:t>|</w:t>
            </w:r>
            <w:r w:rsidRPr="00592818">
              <w:rPr>
                <w:rFonts w:ascii="Arial Narrow" w:hAnsi="Arial Narrow" w:cstheme="majorHAnsi" w:hint="eastAsia"/>
                <w:color w:val="000000"/>
                <w:spacing w:val="-15"/>
                <w:w w:val="15"/>
                <w:szCs w:val="20"/>
                <w:fitText w:val="50" w:id="-1256558074"/>
                <w14:textFill>
                  <w14:solidFill>
                    <w14:srgbClr w14:val="000000">
                      <w14:alpha w14:val="100000"/>
                    </w14:srgbClr>
                  </w14:solidFill>
                </w14:textFill>
              </w:rPr>
              <w:t xml:space="preserve">　</w:t>
            </w:r>
          </w:p>
        </w:tc>
      </w:tr>
      <w:tr w:rsidR="00192D17" w:rsidRPr="008C61D3" w14:paraId="6CEE0E11" w14:textId="77777777" w:rsidTr="00592818">
        <w:tc>
          <w:tcPr>
            <w:cnfStyle w:val="001000000000" w:firstRow="0" w:lastRow="0" w:firstColumn="1" w:lastColumn="0" w:oddVBand="0" w:evenVBand="0" w:oddHBand="0" w:evenHBand="0" w:firstRowFirstColumn="0" w:firstRowLastColumn="0" w:lastRowFirstColumn="0" w:lastRowLastColumn="0"/>
            <w:tcW w:w="612" w:type="pct"/>
            <w:vMerge/>
          </w:tcPr>
          <w:p w14:paraId="570C4F09" w14:textId="77777777" w:rsidR="00192D17" w:rsidRPr="008C61D3" w:rsidRDefault="00192D17" w:rsidP="00367C94">
            <w:pPr>
              <w:rPr>
                <w:rFonts w:ascii="Arial Narrow" w:hAnsi="Arial Narrow"/>
                <w:lang w:eastAsia="en-AU"/>
              </w:rPr>
            </w:pPr>
          </w:p>
        </w:tc>
        <w:tc>
          <w:tcPr>
            <w:tcW w:w="675" w:type="pct"/>
          </w:tcPr>
          <w:p w14:paraId="0E40E6B6" w14:textId="77777777" w:rsidR="00192D17" w:rsidRPr="008C61D3" w:rsidRDefault="00192D17" w:rsidP="00367C94">
            <w:pPr>
              <w:jc w:val="left"/>
              <w:cnfStyle w:val="000000000000" w:firstRow="0" w:lastRow="0" w:firstColumn="0" w:lastColumn="0" w:oddVBand="0" w:evenVBand="0" w:oddHBand="0" w:evenHBand="0" w:firstRowFirstColumn="0" w:firstRowLastColumn="0" w:lastRowFirstColumn="0" w:lastRowLastColumn="0"/>
              <w:rPr>
                <w:rFonts w:ascii="Arial Narrow" w:hAnsi="Arial Narrow"/>
                <w:lang w:eastAsia="en-AU"/>
              </w:rPr>
            </w:pPr>
            <w:r w:rsidRPr="008C61D3">
              <w:rPr>
                <w:rFonts w:ascii="Arial Narrow" w:hAnsi="Arial Narrow"/>
                <w:lang w:eastAsia="en-AU"/>
              </w:rPr>
              <w:t>Base case MAIC, 30-day results</w:t>
            </w:r>
          </w:p>
        </w:tc>
        <w:tc>
          <w:tcPr>
            <w:tcW w:w="1761" w:type="pct"/>
          </w:tcPr>
          <w:p w14:paraId="6ADF90CF" w14:textId="77777777" w:rsidR="00192D17" w:rsidRPr="008C61D3" w:rsidRDefault="00192D17" w:rsidP="00367C94">
            <w:pPr>
              <w:jc w:val="left"/>
              <w:cnfStyle w:val="000000000000" w:firstRow="0" w:lastRow="0" w:firstColumn="0" w:lastColumn="0" w:oddVBand="0" w:evenVBand="0" w:oddHBand="0" w:evenHBand="0" w:firstRowFirstColumn="0" w:firstRowLastColumn="0" w:lastRowFirstColumn="0" w:lastRowLastColumn="0"/>
              <w:rPr>
                <w:rFonts w:ascii="Arial Narrow" w:hAnsi="Arial Narrow"/>
                <w:lang w:eastAsia="en-AU"/>
              </w:rPr>
            </w:pPr>
            <w:r w:rsidRPr="008C61D3">
              <w:rPr>
                <w:rFonts w:ascii="Arial Narrow" w:hAnsi="Arial Narrow"/>
                <w:lang w:eastAsia="en-AU"/>
              </w:rPr>
              <w:t>24-month individual AE rates, naïve comparison from CLASP and COAPT, FMR and DMR assumed same</w:t>
            </w:r>
          </w:p>
        </w:tc>
        <w:tc>
          <w:tcPr>
            <w:tcW w:w="650" w:type="pct"/>
          </w:tcPr>
          <w:p w14:paraId="1DC333FC" w14:textId="71D335E9" w:rsidR="00192D17" w:rsidRPr="002F6560" w:rsidRDefault="00192D17"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highlight w:val="yellow"/>
              </w:rPr>
            </w:pPr>
            <w:r w:rsidRPr="00E74A1A">
              <w:rPr>
                <w:rFonts w:ascii="Arial Narrow" w:hAnsi="Arial Narrow"/>
              </w:rPr>
              <w:t>$</w:t>
            </w:r>
            <w:r w:rsidR="00592818" w:rsidRPr="00592818">
              <w:rPr>
                <w:rFonts w:ascii="Arial Narrow" w:hAnsi="Arial Narrow" w:hint="eastAsia"/>
                <w:color w:val="000000"/>
                <w:w w:val="22"/>
                <w:shd w:val="solid" w:color="000000" w:fill="000000"/>
                <w:fitText w:val="100" w:id="-1256558073"/>
                <w14:textFill>
                  <w14:solidFill>
                    <w14:srgbClr w14:val="000000">
                      <w14:alpha w14:val="100000"/>
                    </w14:srgbClr>
                  </w14:solidFill>
                </w14:textFill>
              </w:rPr>
              <w:t xml:space="preserve">　</w:t>
            </w:r>
            <w:r w:rsidR="00592818" w:rsidRPr="00592818">
              <w:rPr>
                <w:rFonts w:ascii="Arial Narrow" w:hAnsi="Arial Narrow"/>
                <w:color w:val="000000"/>
                <w:w w:val="22"/>
                <w:shd w:val="solid" w:color="000000" w:fill="000000"/>
                <w:fitText w:val="100" w:id="-1256558073"/>
                <w14:textFill>
                  <w14:solidFill>
                    <w14:srgbClr w14:val="000000">
                      <w14:alpha w14:val="100000"/>
                    </w14:srgbClr>
                  </w14:solidFill>
                </w14:textFill>
              </w:rPr>
              <w:t>|</w:t>
            </w:r>
            <w:r w:rsidR="00592818" w:rsidRPr="00592818">
              <w:rPr>
                <w:rFonts w:ascii="Arial Narrow" w:hAnsi="Arial Narrow" w:hint="eastAsia"/>
                <w:color w:val="000000"/>
                <w:spacing w:val="3"/>
                <w:w w:val="22"/>
                <w:shd w:val="solid" w:color="000000" w:fill="000000"/>
                <w:fitText w:val="100" w:id="-1256558073"/>
                <w14:textFill>
                  <w14:solidFill>
                    <w14:srgbClr w14:val="000000">
                      <w14:alpha w14:val="100000"/>
                    </w14:srgbClr>
                  </w14:solidFill>
                </w14:textFill>
              </w:rPr>
              <w:t xml:space="preserve">　</w:t>
            </w:r>
          </w:p>
        </w:tc>
        <w:tc>
          <w:tcPr>
            <w:tcW w:w="651" w:type="pct"/>
          </w:tcPr>
          <w:p w14:paraId="64AE1BD8" w14:textId="77777777" w:rsidR="00192D17" w:rsidRPr="008C61D3" w:rsidRDefault="00192D17"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rPr>
            </w:pPr>
            <w:r w:rsidRPr="008C61D3">
              <w:rPr>
                <w:rFonts w:ascii="Arial Narrow" w:hAnsi="Arial Narrow" w:cstheme="majorHAnsi"/>
                <w:szCs w:val="20"/>
              </w:rPr>
              <w:t>$38,107.26</w:t>
            </w:r>
          </w:p>
        </w:tc>
        <w:tc>
          <w:tcPr>
            <w:tcW w:w="651" w:type="pct"/>
            <w:tcBorders>
              <w:bottom w:val="single" w:sz="4" w:space="0" w:color="auto"/>
            </w:tcBorders>
            <w:shd w:val="solid" w:color="000000" w:fill="000000"/>
          </w:tcPr>
          <w:p w14:paraId="066F0A62" w14:textId="7E5610A4" w:rsidR="00192D17" w:rsidRPr="002F6560" w:rsidRDefault="00592818"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highlight w:val="yellow"/>
              </w:rPr>
            </w:pPr>
            <w:r w:rsidRPr="00592818">
              <w:rPr>
                <w:rFonts w:ascii="Arial Narrow" w:hAnsi="Arial Narrow" w:cstheme="majorHAnsi" w:hint="eastAsia"/>
                <w:color w:val="000000"/>
                <w:w w:val="15"/>
                <w:szCs w:val="20"/>
                <w:fitText w:val="50" w:id="-1256558072"/>
                <w14:textFill>
                  <w14:solidFill>
                    <w14:srgbClr w14:val="000000">
                      <w14:alpha w14:val="100000"/>
                    </w14:srgbClr>
                  </w14:solidFill>
                </w14:textFill>
              </w:rPr>
              <w:t xml:space="preserve">　</w:t>
            </w:r>
            <w:r w:rsidRPr="00592818">
              <w:rPr>
                <w:rFonts w:ascii="Arial Narrow" w:hAnsi="Arial Narrow" w:cstheme="majorHAnsi"/>
                <w:color w:val="000000"/>
                <w:w w:val="15"/>
                <w:szCs w:val="20"/>
                <w:fitText w:val="50" w:id="-1256558072"/>
                <w14:textFill>
                  <w14:solidFill>
                    <w14:srgbClr w14:val="000000">
                      <w14:alpha w14:val="100000"/>
                    </w14:srgbClr>
                  </w14:solidFill>
                </w14:textFill>
              </w:rPr>
              <w:t>|</w:t>
            </w:r>
            <w:r w:rsidRPr="00592818">
              <w:rPr>
                <w:rFonts w:ascii="Arial Narrow" w:hAnsi="Arial Narrow" w:cstheme="majorHAnsi" w:hint="eastAsia"/>
                <w:color w:val="000000"/>
                <w:spacing w:val="-15"/>
                <w:w w:val="15"/>
                <w:szCs w:val="20"/>
                <w:fitText w:val="50" w:id="-1256558072"/>
                <w14:textFill>
                  <w14:solidFill>
                    <w14:srgbClr w14:val="000000">
                      <w14:alpha w14:val="100000"/>
                    </w14:srgbClr>
                  </w14:solidFill>
                </w14:textFill>
              </w:rPr>
              <w:t xml:space="preserve">　</w:t>
            </w:r>
          </w:p>
        </w:tc>
      </w:tr>
      <w:tr w:rsidR="00192D17" w:rsidRPr="008C61D3" w14:paraId="41C5F91D" w14:textId="77777777" w:rsidTr="00592818">
        <w:tc>
          <w:tcPr>
            <w:cnfStyle w:val="001000000000" w:firstRow="0" w:lastRow="0" w:firstColumn="1" w:lastColumn="0" w:oddVBand="0" w:evenVBand="0" w:oddHBand="0" w:evenHBand="0" w:firstRowFirstColumn="0" w:firstRowLastColumn="0" w:lastRowFirstColumn="0" w:lastRowLastColumn="0"/>
            <w:tcW w:w="612" w:type="pct"/>
            <w:vMerge/>
          </w:tcPr>
          <w:p w14:paraId="039E926C" w14:textId="77777777" w:rsidR="00192D17" w:rsidRPr="008C61D3" w:rsidRDefault="00192D17" w:rsidP="00367C94">
            <w:pPr>
              <w:rPr>
                <w:rFonts w:ascii="Arial Narrow" w:hAnsi="Arial Narrow"/>
                <w:lang w:eastAsia="en-AU"/>
              </w:rPr>
            </w:pPr>
          </w:p>
        </w:tc>
        <w:tc>
          <w:tcPr>
            <w:tcW w:w="675" w:type="pct"/>
          </w:tcPr>
          <w:p w14:paraId="7563F09A" w14:textId="77777777" w:rsidR="00192D17" w:rsidRPr="008C61D3" w:rsidRDefault="00192D17" w:rsidP="00367C94">
            <w:pPr>
              <w:jc w:val="left"/>
              <w:cnfStyle w:val="000000000000" w:firstRow="0" w:lastRow="0" w:firstColumn="0" w:lastColumn="0" w:oddVBand="0" w:evenVBand="0" w:oddHBand="0" w:evenHBand="0" w:firstRowFirstColumn="0" w:firstRowLastColumn="0" w:lastRowFirstColumn="0" w:lastRowLastColumn="0"/>
              <w:rPr>
                <w:rFonts w:ascii="Arial Narrow" w:hAnsi="Arial Narrow"/>
                <w:lang w:eastAsia="en-AU"/>
              </w:rPr>
            </w:pPr>
            <w:r w:rsidRPr="008C61D3">
              <w:rPr>
                <w:rFonts w:ascii="Arial Narrow" w:hAnsi="Arial Narrow"/>
                <w:lang w:eastAsia="en-AU"/>
              </w:rPr>
              <w:t>Base case MAIC, 30-day results</w:t>
            </w:r>
          </w:p>
        </w:tc>
        <w:tc>
          <w:tcPr>
            <w:tcW w:w="1761" w:type="pct"/>
          </w:tcPr>
          <w:p w14:paraId="16124D11" w14:textId="77777777" w:rsidR="00192D17" w:rsidRPr="008C61D3" w:rsidRDefault="00192D17" w:rsidP="00367C94">
            <w:pPr>
              <w:jc w:val="left"/>
              <w:cnfStyle w:val="000000000000" w:firstRow="0" w:lastRow="0" w:firstColumn="0" w:lastColumn="0" w:oddVBand="0" w:evenVBand="0" w:oddHBand="0" w:evenHBand="0" w:firstRowFirstColumn="0" w:firstRowLastColumn="0" w:lastRowFirstColumn="0" w:lastRowLastColumn="0"/>
              <w:rPr>
                <w:rFonts w:ascii="Arial Narrow" w:hAnsi="Arial Narrow"/>
                <w:lang w:eastAsia="en-AU"/>
              </w:rPr>
            </w:pPr>
            <w:r w:rsidRPr="008C61D3">
              <w:rPr>
                <w:rFonts w:ascii="Arial Narrow" w:hAnsi="Arial Narrow"/>
                <w:lang w:eastAsia="en-AU"/>
              </w:rPr>
              <w:t>12-month mixed AEs, naïve comparison from CLASP and EVEREST-II, FMR and DMR assumed same</w:t>
            </w:r>
          </w:p>
        </w:tc>
        <w:tc>
          <w:tcPr>
            <w:tcW w:w="650" w:type="pct"/>
          </w:tcPr>
          <w:p w14:paraId="5723483C" w14:textId="725F556C" w:rsidR="00192D17" w:rsidRPr="002F6560" w:rsidRDefault="00192D17"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highlight w:val="yellow"/>
              </w:rPr>
            </w:pPr>
            <w:r w:rsidRPr="00E74A1A">
              <w:rPr>
                <w:rFonts w:ascii="Arial Narrow" w:hAnsi="Arial Narrow"/>
              </w:rPr>
              <w:t>$</w:t>
            </w:r>
            <w:r w:rsidR="00592818" w:rsidRPr="00592818">
              <w:rPr>
                <w:rFonts w:ascii="Arial Narrow" w:hAnsi="Arial Narrow" w:hint="eastAsia"/>
                <w:color w:val="000000"/>
                <w:w w:val="22"/>
                <w:shd w:val="solid" w:color="000000" w:fill="000000"/>
                <w:fitText w:val="100" w:id="-1256558071"/>
                <w14:textFill>
                  <w14:solidFill>
                    <w14:srgbClr w14:val="000000">
                      <w14:alpha w14:val="100000"/>
                    </w14:srgbClr>
                  </w14:solidFill>
                </w14:textFill>
              </w:rPr>
              <w:t xml:space="preserve">　</w:t>
            </w:r>
            <w:r w:rsidR="00592818" w:rsidRPr="00592818">
              <w:rPr>
                <w:rFonts w:ascii="Arial Narrow" w:hAnsi="Arial Narrow"/>
                <w:color w:val="000000"/>
                <w:w w:val="22"/>
                <w:shd w:val="solid" w:color="000000" w:fill="000000"/>
                <w:fitText w:val="100" w:id="-1256558071"/>
                <w14:textFill>
                  <w14:solidFill>
                    <w14:srgbClr w14:val="000000">
                      <w14:alpha w14:val="100000"/>
                    </w14:srgbClr>
                  </w14:solidFill>
                </w14:textFill>
              </w:rPr>
              <w:t>|</w:t>
            </w:r>
            <w:r w:rsidR="00592818" w:rsidRPr="00592818">
              <w:rPr>
                <w:rFonts w:ascii="Arial Narrow" w:hAnsi="Arial Narrow" w:hint="eastAsia"/>
                <w:color w:val="000000"/>
                <w:spacing w:val="3"/>
                <w:w w:val="22"/>
                <w:shd w:val="solid" w:color="000000" w:fill="000000"/>
                <w:fitText w:val="100" w:id="-1256558071"/>
                <w14:textFill>
                  <w14:solidFill>
                    <w14:srgbClr w14:val="000000">
                      <w14:alpha w14:val="100000"/>
                    </w14:srgbClr>
                  </w14:solidFill>
                </w14:textFill>
              </w:rPr>
              <w:t xml:space="preserve">　</w:t>
            </w:r>
          </w:p>
        </w:tc>
        <w:tc>
          <w:tcPr>
            <w:tcW w:w="651" w:type="pct"/>
          </w:tcPr>
          <w:p w14:paraId="7F971570" w14:textId="77777777" w:rsidR="00192D17" w:rsidRPr="008C61D3" w:rsidRDefault="00192D17"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rPr>
            </w:pPr>
            <w:r w:rsidRPr="008C61D3">
              <w:rPr>
                <w:rFonts w:ascii="Arial Narrow" w:hAnsi="Arial Narrow" w:cstheme="majorHAnsi"/>
                <w:szCs w:val="20"/>
              </w:rPr>
              <w:t>$38,211.57</w:t>
            </w:r>
          </w:p>
        </w:tc>
        <w:tc>
          <w:tcPr>
            <w:tcW w:w="651" w:type="pct"/>
            <w:tcBorders>
              <w:bottom w:val="single" w:sz="4" w:space="0" w:color="auto"/>
            </w:tcBorders>
            <w:shd w:val="solid" w:color="000000" w:fill="000000"/>
          </w:tcPr>
          <w:p w14:paraId="621E5C40" w14:textId="5E22975C" w:rsidR="00192D17" w:rsidRPr="002F6560" w:rsidRDefault="00592818"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highlight w:val="yellow"/>
              </w:rPr>
            </w:pPr>
            <w:r w:rsidRPr="00592818">
              <w:rPr>
                <w:rFonts w:ascii="Arial Narrow" w:hAnsi="Arial Narrow" w:cstheme="majorHAnsi" w:hint="eastAsia"/>
                <w:color w:val="000000"/>
                <w:w w:val="15"/>
                <w:szCs w:val="20"/>
                <w:fitText w:val="50" w:id="-1256558070"/>
                <w14:textFill>
                  <w14:solidFill>
                    <w14:srgbClr w14:val="000000">
                      <w14:alpha w14:val="100000"/>
                    </w14:srgbClr>
                  </w14:solidFill>
                </w14:textFill>
              </w:rPr>
              <w:t xml:space="preserve">　</w:t>
            </w:r>
            <w:r w:rsidRPr="00592818">
              <w:rPr>
                <w:rFonts w:ascii="Arial Narrow" w:hAnsi="Arial Narrow" w:cstheme="majorHAnsi"/>
                <w:color w:val="000000"/>
                <w:w w:val="15"/>
                <w:szCs w:val="20"/>
                <w:fitText w:val="50" w:id="-1256558070"/>
                <w14:textFill>
                  <w14:solidFill>
                    <w14:srgbClr w14:val="000000">
                      <w14:alpha w14:val="100000"/>
                    </w14:srgbClr>
                  </w14:solidFill>
                </w14:textFill>
              </w:rPr>
              <w:t>|</w:t>
            </w:r>
            <w:r w:rsidRPr="00592818">
              <w:rPr>
                <w:rFonts w:ascii="Arial Narrow" w:hAnsi="Arial Narrow" w:cstheme="majorHAnsi" w:hint="eastAsia"/>
                <w:color w:val="000000"/>
                <w:spacing w:val="-15"/>
                <w:w w:val="15"/>
                <w:szCs w:val="20"/>
                <w:fitText w:val="50" w:id="-1256558070"/>
                <w14:textFill>
                  <w14:solidFill>
                    <w14:srgbClr w14:val="000000">
                      <w14:alpha w14:val="100000"/>
                    </w14:srgbClr>
                  </w14:solidFill>
                </w14:textFill>
              </w:rPr>
              <w:t xml:space="preserve">　</w:t>
            </w:r>
          </w:p>
        </w:tc>
      </w:tr>
      <w:tr w:rsidR="00192D17" w:rsidRPr="008C61D3" w14:paraId="31CC0A9C" w14:textId="77777777" w:rsidTr="00592818">
        <w:tc>
          <w:tcPr>
            <w:cnfStyle w:val="001000000000" w:firstRow="0" w:lastRow="0" w:firstColumn="1" w:lastColumn="0" w:oddVBand="0" w:evenVBand="0" w:oddHBand="0" w:evenHBand="0" w:firstRowFirstColumn="0" w:firstRowLastColumn="0" w:lastRowFirstColumn="0" w:lastRowLastColumn="0"/>
            <w:tcW w:w="612" w:type="pct"/>
            <w:vMerge/>
          </w:tcPr>
          <w:p w14:paraId="62F29CA8" w14:textId="77777777" w:rsidR="00192D17" w:rsidRPr="008C61D3" w:rsidRDefault="00192D17" w:rsidP="00367C94">
            <w:pPr>
              <w:rPr>
                <w:rFonts w:ascii="Arial Narrow" w:hAnsi="Arial Narrow"/>
                <w:lang w:eastAsia="en-AU"/>
              </w:rPr>
            </w:pPr>
          </w:p>
        </w:tc>
        <w:tc>
          <w:tcPr>
            <w:tcW w:w="675" w:type="pct"/>
          </w:tcPr>
          <w:p w14:paraId="1070D20B" w14:textId="77777777" w:rsidR="00192D17" w:rsidRPr="008C61D3" w:rsidRDefault="00192D17" w:rsidP="00367C94">
            <w:pPr>
              <w:jc w:val="left"/>
              <w:cnfStyle w:val="000000000000" w:firstRow="0" w:lastRow="0" w:firstColumn="0" w:lastColumn="0" w:oddVBand="0" w:evenVBand="0" w:oddHBand="0" w:evenHBand="0" w:firstRowFirstColumn="0" w:firstRowLastColumn="0" w:lastRowFirstColumn="0" w:lastRowLastColumn="0"/>
              <w:rPr>
                <w:rFonts w:ascii="Arial Narrow" w:hAnsi="Arial Narrow"/>
                <w:lang w:eastAsia="en-AU"/>
              </w:rPr>
            </w:pPr>
            <w:r w:rsidRPr="008C61D3">
              <w:rPr>
                <w:rFonts w:ascii="Arial Narrow" w:hAnsi="Arial Narrow"/>
                <w:lang w:eastAsia="en-AU"/>
              </w:rPr>
              <w:t>Base case MAIC</w:t>
            </w:r>
          </w:p>
        </w:tc>
        <w:tc>
          <w:tcPr>
            <w:tcW w:w="1761" w:type="pct"/>
          </w:tcPr>
          <w:p w14:paraId="5336B0E2" w14:textId="77777777" w:rsidR="00192D17" w:rsidRPr="008C61D3" w:rsidRDefault="00192D17" w:rsidP="00367C94">
            <w:pPr>
              <w:jc w:val="left"/>
              <w:cnfStyle w:val="000000000000" w:firstRow="0" w:lastRow="0" w:firstColumn="0" w:lastColumn="0" w:oddVBand="0" w:evenVBand="0" w:oddHBand="0" w:evenHBand="0" w:firstRowFirstColumn="0" w:firstRowLastColumn="0" w:lastRowFirstColumn="0" w:lastRowLastColumn="0"/>
              <w:rPr>
                <w:rFonts w:ascii="Arial Narrow" w:hAnsi="Arial Narrow"/>
                <w:lang w:eastAsia="en-AU"/>
              </w:rPr>
            </w:pPr>
            <w:r w:rsidRPr="008C61D3">
              <w:rPr>
                <w:rFonts w:ascii="Arial Narrow" w:hAnsi="Arial Narrow"/>
                <w:lang w:eastAsia="en-AU"/>
              </w:rPr>
              <w:t xml:space="preserve">Naïve comparison using real-world results reported in Mauri 2020 for PASCAL and Mack 2022 for </w:t>
            </w:r>
            <w:proofErr w:type="spellStart"/>
            <w:r w:rsidRPr="008C61D3">
              <w:rPr>
                <w:rFonts w:ascii="Arial Narrow" w:hAnsi="Arial Narrow"/>
                <w:lang w:eastAsia="en-AU"/>
              </w:rPr>
              <w:t>MitraClip</w:t>
            </w:r>
            <w:proofErr w:type="spellEnd"/>
            <w:r w:rsidRPr="008C61D3">
              <w:rPr>
                <w:rFonts w:ascii="Arial Narrow" w:hAnsi="Arial Narrow"/>
                <w:lang w:eastAsia="en-AU"/>
              </w:rPr>
              <w:t>, FMR and DMR assumed same</w:t>
            </w:r>
          </w:p>
        </w:tc>
        <w:tc>
          <w:tcPr>
            <w:tcW w:w="650" w:type="pct"/>
          </w:tcPr>
          <w:p w14:paraId="742CB37A" w14:textId="0122F0E4" w:rsidR="00192D17" w:rsidRPr="002F6560" w:rsidRDefault="00192D17" w:rsidP="00367C94">
            <w:pPr>
              <w:cnfStyle w:val="000000000000" w:firstRow="0" w:lastRow="0" w:firstColumn="0" w:lastColumn="0" w:oddVBand="0" w:evenVBand="0" w:oddHBand="0" w:evenHBand="0" w:firstRowFirstColumn="0" w:firstRowLastColumn="0" w:lastRowFirstColumn="0" w:lastRowLastColumn="0"/>
              <w:rPr>
                <w:rFonts w:ascii="Arial Narrow" w:hAnsi="Arial Narrow"/>
                <w:highlight w:val="yellow"/>
              </w:rPr>
            </w:pPr>
            <w:r w:rsidRPr="00E74A1A">
              <w:rPr>
                <w:rFonts w:ascii="Arial Narrow" w:hAnsi="Arial Narrow" w:cstheme="majorHAnsi"/>
                <w:szCs w:val="20"/>
              </w:rPr>
              <w:t>$</w:t>
            </w:r>
            <w:r w:rsidR="00592818" w:rsidRPr="00592818">
              <w:rPr>
                <w:rFonts w:ascii="Arial Narrow" w:hAnsi="Arial Narrow" w:cstheme="majorHAnsi" w:hint="eastAsia"/>
                <w:color w:val="000000"/>
                <w:w w:val="22"/>
                <w:szCs w:val="20"/>
                <w:shd w:val="solid" w:color="000000" w:fill="000000"/>
                <w:fitText w:val="100" w:id="-1256558069"/>
                <w14:textFill>
                  <w14:solidFill>
                    <w14:srgbClr w14:val="000000">
                      <w14:alpha w14:val="100000"/>
                    </w14:srgbClr>
                  </w14:solidFill>
                </w14:textFill>
              </w:rPr>
              <w:t xml:space="preserve">　</w:t>
            </w:r>
            <w:r w:rsidR="00592818" w:rsidRPr="00592818">
              <w:rPr>
                <w:rFonts w:ascii="Arial Narrow" w:hAnsi="Arial Narrow" w:cstheme="majorHAnsi"/>
                <w:color w:val="000000"/>
                <w:w w:val="22"/>
                <w:szCs w:val="20"/>
                <w:shd w:val="solid" w:color="000000" w:fill="000000"/>
                <w:fitText w:val="100" w:id="-1256558069"/>
                <w14:textFill>
                  <w14:solidFill>
                    <w14:srgbClr w14:val="000000">
                      <w14:alpha w14:val="100000"/>
                    </w14:srgbClr>
                  </w14:solidFill>
                </w14:textFill>
              </w:rPr>
              <w:t>|</w:t>
            </w:r>
            <w:r w:rsidR="00592818" w:rsidRPr="00592818">
              <w:rPr>
                <w:rFonts w:ascii="Arial Narrow" w:hAnsi="Arial Narrow" w:cstheme="majorHAnsi" w:hint="eastAsia"/>
                <w:color w:val="000000"/>
                <w:spacing w:val="3"/>
                <w:w w:val="22"/>
                <w:szCs w:val="20"/>
                <w:shd w:val="solid" w:color="000000" w:fill="000000"/>
                <w:fitText w:val="100" w:id="-1256558069"/>
                <w14:textFill>
                  <w14:solidFill>
                    <w14:srgbClr w14:val="000000">
                      <w14:alpha w14:val="100000"/>
                    </w14:srgbClr>
                  </w14:solidFill>
                </w14:textFill>
              </w:rPr>
              <w:t xml:space="preserve">　</w:t>
            </w:r>
          </w:p>
        </w:tc>
        <w:tc>
          <w:tcPr>
            <w:tcW w:w="651" w:type="pct"/>
          </w:tcPr>
          <w:p w14:paraId="71EE464E" w14:textId="77777777" w:rsidR="00192D17" w:rsidRPr="008C61D3" w:rsidRDefault="00192D17"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rPr>
            </w:pPr>
            <w:r w:rsidRPr="008C61D3">
              <w:rPr>
                <w:rFonts w:ascii="Arial Narrow" w:hAnsi="Arial Narrow" w:cstheme="majorHAnsi"/>
                <w:szCs w:val="20"/>
              </w:rPr>
              <w:t>$36,145.55</w:t>
            </w:r>
          </w:p>
        </w:tc>
        <w:tc>
          <w:tcPr>
            <w:tcW w:w="651" w:type="pct"/>
            <w:tcBorders>
              <w:bottom w:val="single" w:sz="4" w:space="0" w:color="auto"/>
            </w:tcBorders>
            <w:shd w:val="solid" w:color="000000" w:fill="000000"/>
          </w:tcPr>
          <w:p w14:paraId="5D0C0942" w14:textId="25E9C943" w:rsidR="00192D17" w:rsidRPr="002F6560" w:rsidRDefault="00592818"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highlight w:val="yellow"/>
              </w:rPr>
            </w:pPr>
            <w:r w:rsidRPr="00592818">
              <w:rPr>
                <w:rFonts w:ascii="Arial Narrow" w:hAnsi="Arial Narrow" w:cstheme="majorHAnsi" w:hint="eastAsia"/>
                <w:color w:val="000000"/>
                <w:w w:val="15"/>
                <w:szCs w:val="20"/>
                <w:fitText w:val="50" w:id="-1256558068"/>
                <w14:textFill>
                  <w14:solidFill>
                    <w14:srgbClr w14:val="000000">
                      <w14:alpha w14:val="100000"/>
                    </w14:srgbClr>
                  </w14:solidFill>
                </w14:textFill>
              </w:rPr>
              <w:t xml:space="preserve">　</w:t>
            </w:r>
            <w:r w:rsidRPr="00592818">
              <w:rPr>
                <w:rFonts w:ascii="Arial Narrow" w:hAnsi="Arial Narrow" w:cstheme="majorHAnsi"/>
                <w:color w:val="000000"/>
                <w:w w:val="15"/>
                <w:szCs w:val="20"/>
                <w:fitText w:val="50" w:id="-1256558068"/>
                <w14:textFill>
                  <w14:solidFill>
                    <w14:srgbClr w14:val="000000">
                      <w14:alpha w14:val="100000"/>
                    </w14:srgbClr>
                  </w14:solidFill>
                </w14:textFill>
              </w:rPr>
              <w:t>|</w:t>
            </w:r>
            <w:r w:rsidRPr="00592818">
              <w:rPr>
                <w:rFonts w:ascii="Arial Narrow" w:hAnsi="Arial Narrow" w:cstheme="majorHAnsi" w:hint="eastAsia"/>
                <w:color w:val="000000"/>
                <w:spacing w:val="-15"/>
                <w:w w:val="15"/>
                <w:szCs w:val="20"/>
                <w:fitText w:val="50" w:id="-1256558068"/>
                <w14:textFill>
                  <w14:solidFill>
                    <w14:srgbClr w14:val="000000">
                      <w14:alpha w14:val="100000"/>
                    </w14:srgbClr>
                  </w14:solidFill>
                </w14:textFill>
              </w:rPr>
              <w:t xml:space="preserve">　</w:t>
            </w:r>
          </w:p>
        </w:tc>
      </w:tr>
      <w:tr w:rsidR="00192D17" w:rsidRPr="008C61D3" w14:paraId="59857FBF" w14:textId="77777777" w:rsidTr="00592818">
        <w:tc>
          <w:tcPr>
            <w:cnfStyle w:val="001000000000" w:firstRow="0" w:lastRow="0" w:firstColumn="1" w:lastColumn="0" w:oddVBand="0" w:evenVBand="0" w:oddHBand="0" w:evenHBand="0" w:firstRowFirstColumn="0" w:firstRowLastColumn="0" w:lastRowFirstColumn="0" w:lastRowLastColumn="0"/>
            <w:tcW w:w="612" w:type="pct"/>
            <w:vMerge w:val="restart"/>
          </w:tcPr>
          <w:p w14:paraId="7BBFD025" w14:textId="77777777" w:rsidR="00192D17" w:rsidRPr="008C61D3" w:rsidRDefault="00192D17" w:rsidP="00367C94">
            <w:pPr>
              <w:rPr>
                <w:rFonts w:ascii="Arial Narrow" w:hAnsi="Arial Narrow"/>
                <w:lang w:eastAsia="en-AU"/>
              </w:rPr>
            </w:pPr>
            <w:r w:rsidRPr="008C61D3">
              <w:rPr>
                <w:rFonts w:ascii="Arial Narrow" w:hAnsi="Arial Narrow"/>
                <w:lang w:eastAsia="en-AU"/>
              </w:rPr>
              <w:t>Revision</w:t>
            </w:r>
            <w:r>
              <w:rPr>
                <w:rFonts w:ascii="Arial Narrow" w:hAnsi="Arial Narrow"/>
                <w:lang w:eastAsia="en-AU"/>
              </w:rPr>
              <w:t>*</w:t>
            </w:r>
            <w:r w:rsidRPr="008C61D3">
              <w:rPr>
                <w:rFonts w:ascii="Arial Narrow" w:hAnsi="Arial Narrow"/>
                <w:lang w:eastAsia="en-AU"/>
              </w:rPr>
              <w:t xml:space="preserve"> surgery</w:t>
            </w:r>
          </w:p>
        </w:tc>
        <w:tc>
          <w:tcPr>
            <w:tcW w:w="675" w:type="pct"/>
            <w:vMerge w:val="restart"/>
          </w:tcPr>
          <w:p w14:paraId="08A1149B" w14:textId="77777777" w:rsidR="00192D17" w:rsidRPr="008C61D3" w:rsidRDefault="00192D17" w:rsidP="00367C94">
            <w:pPr>
              <w:jc w:val="left"/>
              <w:cnfStyle w:val="000000000000" w:firstRow="0" w:lastRow="0" w:firstColumn="0" w:lastColumn="0" w:oddVBand="0" w:evenVBand="0" w:oddHBand="0" w:evenHBand="0" w:firstRowFirstColumn="0" w:firstRowLastColumn="0" w:lastRowFirstColumn="0" w:lastRowLastColumn="0"/>
              <w:rPr>
                <w:rFonts w:ascii="Arial Narrow" w:hAnsi="Arial Narrow"/>
                <w:lang w:eastAsia="en-AU"/>
              </w:rPr>
            </w:pPr>
            <w:r w:rsidRPr="008C61D3">
              <w:rPr>
                <w:rFonts w:ascii="Arial Narrow" w:hAnsi="Arial Narrow"/>
                <w:i/>
                <w:iCs/>
                <w:lang w:eastAsia="en-AU"/>
              </w:rPr>
              <w:t>FMR:</w:t>
            </w:r>
            <w:r w:rsidRPr="008C61D3">
              <w:rPr>
                <w:rFonts w:ascii="Arial Narrow" w:hAnsi="Arial Narrow"/>
                <w:lang w:eastAsia="en-AU"/>
              </w:rPr>
              <w:t xml:space="preserve"> CLASP 30-day MAE, </w:t>
            </w:r>
            <w:proofErr w:type="spellStart"/>
            <w:r w:rsidRPr="008C61D3">
              <w:rPr>
                <w:rFonts w:ascii="Arial Narrow" w:hAnsi="Arial Narrow"/>
                <w:lang w:eastAsia="en-AU"/>
              </w:rPr>
              <w:t>MitraClip</w:t>
            </w:r>
            <w:proofErr w:type="spellEnd"/>
            <w:r w:rsidRPr="008C61D3">
              <w:rPr>
                <w:rFonts w:ascii="Arial Narrow" w:hAnsi="Arial Narrow"/>
                <w:lang w:eastAsia="en-AU"/>
              </w:rPr>
              <w:t xml:space="preserve"> assumed same</w:t>
            </w:r>
          </w:p>
          <w:p w14:paraId="26A026D9" w14:textId="77777777" w:rsidR="00192D17" w:rsidRPr="008C61D3" w:rsidRDefault="00192D17" w:rsidP="00367C94">
            <w:pPr>
              <w:jc w:val="left"/>
              <w:cnfStyle w:val="000000000000" w:firstRow="0" w:lastRow="0" w:firstColumn="0" w:lastColumn="0" w:oddVBand="0" w:evenVBand="0" w:oddHBand="0" w:evenHBand="0" w:firstRowFirstColumn="0" w:firstRowLastColumn="0" w:lastRowFirstColumn="0" w:lastRowLastColumn="0"/>
              <w:rPr>
                <w:rFonts w:ascii="Arial Narrow" w:hAnsi="Arial Narrow"/>
                <w:lang w:eastAsia="en-AU"/>
              </w:rPr>
            </w:pPr>
            <w:r w:rsidRPr="008C61D3">
              <w:rPr>
                <w:rFonts w:ascii="Arial Narrow" w:hAnsi="Arial Narrow"/>
                <w:i/>
                <w:iCs/>
                <w:lang w:eastAsia="en-AU"/>
              </w:rPr>
              <w:t>DMR:</w:t>
            </w:r>
            <w:r w:rsidRPr="008C61D3">
              <w:rPr>
                <w:rFonts w:ascii="Arial Narrow" w:hAnsi="Arial Narrow"/>
                <w:lang w:eastAsia="en-AU"/>
              </w:rPr>
              <w:t xml:space="preserve"> CLASP 30-day MAE, EVEREST-II 30-day MAE</w:t>
            </w:r>
          </w:p>
        </w:tc>
        <w:tc>
          <w:tcPr>
            <w:tcW w:w="1761" w:type="pct"/>
          </w:tcPr>
          <w:p w14:paraId="68FF1092" w14:textId="77777777" w:rsidR="00192D17" w:rsidRPr="008C61D3" w:rsidRDefault="00192D17" w:rsidP="00367C94">
            <w:pPr>
              <w:jc w:val="left"/>
              <w:cnfStyle w:val="000000000000" w:firstRow="0" w:lastRow="0" w:firstColumn="0" w:lastColumn="0" w:oddVBand="0" w:evenVBand="0" w:oddHBand="0" w:evenHBand="0" w:firstRowFirstColumn="0" w:firstRowLastColumn="0" w:lastRowFirstColumn="0" w:lastRowLastColumn="0"/>
              <w:rPr>
                <w:rFonts w:ascii="Arial Narrow" w:hAnsi="Arial Narrow"/>
                <w:lang w:eastAsia="en-AU"/>
              </w:rPr>
            </w:pPr>
            <w:r w:rsidRPr="008C61D3">
              <w:rPr>
                <w:rFonts w:ascii="Arial Narrow" w:hAnsi="Arial Narrow"/>
                <w:lang w:eastAsia="en-AU"/>
              </w:rPr>
              <w:t>20% increase in revision surgery for FMR with PASCAL</w:t>
            </w:r>
          </w:p>
        </w:tc>
        <w:tc>
          <w:tcPr>
            <w:tcW w:w="650" w:type="pct"/>
          </w:tcPr>
          <w:p w14:paraId="1C2BA4A8" w14:textId="6B810C7A" w:rsidR="00192D17" w:rsidRPr="002F6560" w:rsidRDefault="00192D17"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highlight w:val="yellow"/>
              </w:rPr>
            </w:pPr>
            <w:r w:rsidRPr="00E74A1A">
              <w:rPr>
                <w:rFonts w:ascii="Arial Narrow" w:hAnsi="Arial Narrow" w:cstheme="majorHAnsi"/>
                <w:szCs w:val="20"/>
              </w:rPr>
              <w:t>$</w:t>
            </w:r>
            <w:r w:rsidR="00592818" w:rsidRPr="00592818">
              <w:rPr>
                <w:rFonts w:ascii="Arial Narrow" w:hAnsi="Arial Narrow" w:cstheme="majorHAnsi" w:hint="eastAsia"/>
                <w:color w:val="000000"/>
                <w:w w:val="22"/>
                <w:szCs w:val="20"/>
                <w:shd w:val="solid" w:color="000000" w:fill="000000"/>
                <w:fitText w:val="100" w:id="-1256558067"/>
                <w14:textFill>
                  <w14:solidFill>
                    <w14:srgbClr w14:val="000000">
                      <w14:alpha w14:val="100000"/>
                    </w14:srgbClr>
                  </w14:solidFill>
                </w14:textFill>
              </w:rPr>
              <w:t xml:space="preserve">　</w:t>
            </w:r>
            <w:r w:rsidR="00592818" w:rsidRPr="00592818">
              <w:rPr>
                <w:rFonts w:ascii="Arial Narrow" w:hAnsi="Arial Narrow" w:cstheme="majorHAnsi"/>
                <w:color w:val="000000"/>
                <w:w w:val="22"/>
                <w:szCs w:val="20"/>
                <w:shd w:val="solid" w:color="000000" w:fill="000000"/>
                <w:fitText w:val="100" w:id="-1256558067"/>
                <w14:textFill>
                  <w14:solidFill>
                    <w14:srgbClr w14:val="000000">
                      <w14:alpha w14:val="100000"/>
                    </w14:srgbClr>
                  </w14:solidFill>
                </w14:textFill>
              </w:rPr>
              <w:t>|</w:t>
            </w:r>
            <w:r w:rsidR="00592818" w:rsidRPr="00592818">
              <w:rPr>
                <w:rFonts w:ascii="Arial Narrow" w:hAnsi="Arial Narrow" w:cstheme="majorHAnsi" w:hint="eastAsia"/>
                <w:color w:val="000000"/>
                <w:spacing w:val="3"/>
                <w:w w:val="22"/>
                <w:szCs w:val="20"/>
                <w:shd w:val="solid" w:color="000000" w:fill="000000"/>
                <w:fitText w:val="100" w:id="-1256558067"/>
                <w14:textFill>
                  <w14:solidFill>
                    <w14:srgbClr w14:val="000000">
                      <w14:alpha w14:val="100000"/>
                    </w14:srgbClr>
                  </w14:solidFill>
                </w14:textFill>
              </w:rPr>
              <w:t xml:space="preserve">　</w:t>
            </w:r>
          </w:p>
        </w:tc>
        <w:tc>
          <w:tcPr>
            <w:tcW w:w="651" w:type="pct"/>
          </w:tcPr>
          <w:p w14:paraId="51587EEC" w14:textId="77777777" w:rsidR="00192D17" w:rsidRPr="008C61D3" w:rsidRDefault="00192D17"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rPr>
            </w:pPr>
            <w:r w:rsidRPr="008C61D3">
              <w:rPr>
                <w:rFonts w:ascii="Arial Narrow" w:hAnsi="Arial Narrow" w:cstheme="majorHAnsi"/>
                <w:szCs w:val="20"/>
              </w:rPr>
              <w:t>$35,864.83</w:t>
            </w:r>
          </w:p>
        </w:tc>
        <w:tc>
          <w:tcPr>
            <w:tcW w:w="651" w:type="pct"/>
            <w:tcBorders>
              <w:bottom w:val="single" w:sz="4" w:space="0" w:color="auto"/>
            </w:tcBorders>
            <w:shd w:val="solid" w:color="000000" w:fill="000000"/>
          </w:tcPr>
          <w:p w14:paraId="4B09FEEC" w14:textId="0E4EF552" w:rsidR="00192D17" w:rsidRPr="002F6560" w:rsidRDefault="00592818"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highlight w:val="yellow"/>
              </w:rPr>
            </w:pPr>
            <w:r w:rsidRPr="00592818">
              <w:rPr>
                <w:rFonts w:ascii="Arial Narrow" w:hAnsi="Arial Narrow" w:cstheme="majorHAnsi" w:hint="eastAsia"/>
                <w:color w:val="000000"/>
                <w:w w:val="15"/>
                <w:szCs w:val="20"/>
                <w:fitText w:val="50" w:id="-1256558066"/>
                <w14:textFill>
                  <w14:solidFill>
                    <w14:srgbClr w14:val="000000">
                      <w14:alpha w14:val="100000"/>
                    </w14:srgbClr>
                  </w14:solidFill>
                </w14:textFill>
              </w:rPr>
              <w:t xml:space="preserve">　</w:t>
            </w:r>
            <w:r w:rsidRPr="00592818">
              <w:rPr>
                <w:rFonts w:ascii="Arial Narrow" w:hAnsi="Arial Narrow" w:cstheme="majorHAnsi"/>
                <w:color w:val="000000"/>
                <w:w w:val="15"/>
                <w:szCs w:val="20"/>
                <w:fitText w:val="50" w:id="-1256558066"/>
                <w14:textFill>
                  <w14:solidFill>
                    <w14:srgbClr w14:val="000000">
                      <w14:alpha w14:val="100000"/>
                    </w14:srgbClr>
                  </w14:solidFill>
                </w14:textFill>
              </w:rPr>
              <w:t>|</w:t>
            </w:r>
            <w:r w:rsidRPr="00592818">
              <w:rPr>
                <w:rFonts w:ascii="Arial Narrow" w:hAnsi="Arial Narrow" w:cstheme="majorHAnsi" w:hint="eastAsia"/>
                <w:color w:val="000000"/>
                <w:spacing w:val="-15"/>
                <w:w w:val="15"/>
                <w:szCs w:val="20"/>
                <w:fitText w:val="50" w:id="-1256558066"/>
                <w14:textFill>
                  <w14:solidFill>
                    <w14:srgbClr w14:val="000000">
                      <w14:alpha w14:val="100000"/>
                    </w14:srgbClr>
                  </w14:solidFill>
                </w14:textFill>
              </w:rPr>
              <w:t xml:space="preserve">　</w:t>
            </w:r>
          </w:p>
        </w:tc>
      </w:tr>
      <w:tr w:rsidR="00192D17" w:rsidRPr="008C61D3" w14:paraId="462EFCD8" w14:textId="77777777" w:rsidTr="00592818">
        <w:tc>
          <w:tcPr>
            <w:cnfStyle w:val="001000000000" w:firstRow="0" w:lastRow="0" w:firstColumn="1" w:lastColumn="0" w:oddVBand="0" w:evenVBand="0" w:oddHBand="0" w:evenHBand="0" w:firstRowFirstColumn="0" w:firstRowLastColumn="0" w:lastRowFirstColumn="0" w:lastRowLastColumn="0"/>
            <w:tcW w:w="612" w:type="pct"/>
            <w:vMerge/>
          </w:tcPr>
          <w:p w14:paraId="71829E52" w14:textId="77777777" w:rsidR="00192D17" w:rsidRPr="008C61D3" w:rsidRDefault="00192D17" w:rsidP="00367C94">
            <w:pPr>
              <w:rPr>
                <w:rFonts w:ascii="Arial Narrow" w:hAnsi="Arial Narrow"/>
                <w:lang w:eastAsia="en-AU"/>
              </w:rPr>
            </w:pPr>
          </w:p>
        </w:tc>
        <w:tc>
          <w:tcPr>
            <w:tcW w:w="675" w:type="pct"/>
            <w:vMerge/>
          </w:tcPr>
          <w:p w14:paraId="3B00AB1F" w14:textId="77777777" w:rsidR="00192D17" w:rsidRPr="008C61D3" w:rsidRDefault="00192D17" w:rsidP="00367C94">
            <w:pPr>
              <w:jc w:val="left"/>
              <w:cnfStyle w:val="000000000000" w:firstRow="0" w:lastRow="0" w:firstColumn="0" w:lastColumn="0" w:oddVBand="0" w:evenVBand="0" w:oddHBand="0" w:evenHBand="0" w:firstRowFirstColumn="0" w:firstRowLastColumn="0" w:lastRowFirstColumn="0" w:lastRowLastColumn="0"/>
              <w:rPr>
                <w:rFonts w:ascii="Arial Narrow" w:hAnsi="Arial Narrow"/>
                <w:lang w:eastAsia="en-AU"/>
              </w:rPr>
            </w:pPr>
          </w:p>
        </w:tc>
        <w:tc>
          <w:tcPr>
            <w:tcW w:w="1761" w:type="pct"/>
          </w:tcPr>
          <w:p w14:paraId="23B19D81" w14:textId="77777777" w:rsidR="00192D17" w:rsidRPr="008C61D3" w:rsidRDefault="00192D17" w:rsidP="00367C94">
            <w:pPr>
              <w:jc w:val="left"/>
              <w:cnfStyle w:val="000000000000" w:firstRow="0" w:lastRow="0" w:firstColumn="0" w:lastColumn="0" w:oddVBand="0" w:evenVBand="0" w:oddHBand="0" w:evenHBand="0" w:firstRowFirstColumn="0" w:firstRowLastColumn="0" w:lastRowFirstColumn="0" w:lastRowLastColumn="0"/>
              <w:rPr>
                <w:rFonts w:ascii="Arial Narrow" w:hAnsi="Arial Narrow"/>
                <w:lang w:eastAsia="en-AU"/>
              </w:rPr>
            </w:pPr>
            <w:r w:rsidRPr="008C61D3">
              <w:rPr>
                <w:rFonts w:ascii="Arial Narrow" w:hAnsi="Arial Narrow"/>
                <w:lang w:eastAsia="en-AU"/>
              </w:rPr>
              <w:t xml:space="preserve">20% increase in revision surgery for FMR with </w:t>
            </w:r>
            <w:proofErr w:type="spellStart"/>
            <w:r w:rsidRPr="008C61D3">
              <w:rPr>
                <w:rFonts w:ascii="Arial Narrow" w:hAnsi="Arial Narrow"/>
                <w:lang w:eastAsia="en-AU"/>
              </w:rPr>
              <w:t>MitraClip</w:t>
            </w:r>
            <w:proofErr w:type="spellEnd"/>
          </w:p>
        </w:tc>
        <w:tc>
          <w:tcPr>
            <w:tcW w:w="650" w:type="pct"/>
          </w:tcPr>
          <w:p w14:paraId="6FF41E26" w14:textId="3E14881D" w:rsidR="00192D17" w:rsidRPr="002F6560" w:rsidRDefault="00192D17"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highlight w:val="yellow"/>
              </w:rPr>
            </w:pPr>
            <w:r w:rsidRPr="00E74A1A">
              <w:rPr>
                <w:rFonts w:ascii="Arial Narrow" w:hAnsi="Arial Narrow" w:cstheme="majorHAnsi"/>
                <w:szCs w:val="20"/>
              </w:rPr>
              <w:t>$</w:t>
            </w:r>
            <w:r w:rsidR="00592818" w:rsidRPr="00592818">
              <w:rPr>
                <w:rFonts w:ascii="Arial Narrow" w:hAnsi="Arial Narrow" w:cstheme="majorHAnsi" w:hint="eastAsia"/>
                <w:color w:val="000000"/>
                <w:w w:val="22"/>
                <w:szCs w:val="20"/>
                <w:shd w:val="solid" w:color="000000" w:fill="000000"/>
                <w:fitText w:val="100" w:id="-1256558065"/>
                <w14:textFill>
                  <w14:solidFill>
                    <w14:srgbClr w14:val="000000">
                      <w14:alpha w14:val="100000"/>
                    </w14:srgbClr>
                  </w14:solidFill>
                </w14:textFill>
              </w:rPr>
              <w:t xml:space="preserve">　</w:t>
            </w:r>
            <w:r w:rsidR="00592818" w:rsidRPr="00592818">
              <w:rPr>
                <w:rFonts w:ascii="Arial Narrow" w:hAnsi="Arial Narrow" w:cstheme="majorHAnsi"/>
                <w:color w:val="000000"/>
                <w:w w:val="22"/>
                <w:szCs w:val="20"/>
                <w:shd w:val="solid" w:color="000000" w:fill="000000"/>
                <w:fitText w:val="100" w:id="-1256558065"/>
                <w14:textFill>
                  <w14:solidFill>
                    <w14:srgbClr w14:val="000000">
                      <w14:alpha w14:val="100000"/>
                    </w14:srgbClr>
                  </w14:solidFill>
                </w14:textFill>
              </w:rPr>
              <w:t>|</w:t>
            </w:r>
            <w:r w:rsidR="00592818" w:rsidRPr="00592818">
              <w:rPr>
                <w:rFonts w:ascii="Arial Narrow" w:hAnsi="Arial Narrow" w:cstheme="majorHAnsi" w:hint="eastAsia"/>
                <w:color w:val="000000"/>
                <w:spacing w:val="3"/>
                <w:w w:val="22"/>
                <w:szCs w:val="20"/>
                <w:shd w:val="solid" w:color="000000" w:fill="000000"/>
                <w:fitText w:val="100" w:id="-1256558065"/>
                <w14:textFill>
                  <w14:solidFill>
                    <w14:srgbClr w14:val="000000">
                      <w14:alpha w14:val="100000"/>
                    </w14:srgbClr>
                  </w14:solidFill>
                </w14:textFill>
              </w:rPr>
              <w:t xml:space="preserve">　</w:t>
            </w:r>
          </w:p>
        </w:tc>
        <w:tc>
          <w:tcPr>
            <w:tcW w:w="651" w:type="pct"/>
          </w:tcPr>
          <w:p w14:paraId="0335922B" w14:textId="77777777" w:rsidR="00192D17" w:rsidRPr="008C61D3" w:rsidRDefault="00192D17"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rPr>
            </w:pPr>
            <w:r w:rsidRPr="008C61D3">
              <w:rPr>
                <w:rFonts w:ascii="Arial Narrow" w:hAnsi="Arial Narrow" w:cstheme="majorHAnsi"/>
                <w:szCs w:val="20"/>
              </w:rPr>
              <w:t>$35,908.29</w:t>
            </w:r>
          </w:p>
        </w:tc>
        <w:tc>
          <w:tcPr>
            <w:tcW w:w="651" w:type="pct"/>
            <w:tcBorders>
              <w:bottom w:val="single" w:sz="4" w:space="0" w:color="auto"/>
            </w:tcBorders>
            <w:shd w:val="solid" w:color="000000" w:fill="000000"/>
          </w:tcPr>
          <w:p w14:paraId="39352090" w14:textId="28A3BA5D" w:rsidR="00192D17" w:rsidRPr="002F6560" w:rsidRDefault="00592818"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highlight w:val="yellow"/>
              </w:rPr>
            </w:pPr>
            <w:r w:rsidRPr="00592818">
              <w:rPr>
                <w:rFonts w:ascii="Arial Narrow" w:hAnsi="Arial Narrow" w:cstheme="majorHAnsi" w:hint="eastAsia"/>
                <w:color w:val="000000"/>
                <w:w w:val="15"/>
                <w:szCs w:val="20"/>
                <w:fitText w:val="50" w:id="-1256558064"/>
                <w14:textFill>
                  <w14:solidFill>
                    <w14:srgbClr w14:val="000000">
                      <w14:alpha w14:val="100000"/>
                    </w14:srgbClr>
                  </w14:solidFill>
                </w14:textFill>
              </w:rPr>
              <w:t xml:space="preserve">　</w:t>
            </w:r>
            <w:r w:rsidRPr="00592818">
              <w:rPr>
                <w:rFonts w:ascii="Arial Narrow" w:hAnsi="Arial Narrow" w:cstheme="majorHAnsi"/>
                <w:color w:val="000000"/>
                <w:w w:val="15"/>
                <w:szCs w:val="20"/>
                <w:fitText w:val="50" w:id="-1256558064"/>
                <w14:textFill>
                  <w14:solidFill>
                    <w14:srgbClr w14:val="000000">
                      <w14:alpha w14:val="100000"/>
                    </w14:srgbClr>
                  </w14:solidFill>
                </w14:textFill>
              </w:rPr>
              <w:t>|</w:t>
            </w:r>
            <w:r w:rsidRPr="00592818">
              <w:rPr>
                <w:rFonts w:ascii="Arial Narrow" w:hAnsi="Arial Narrow" w:cstheme="majorHAnsi" w:hint="eastAsia"/>
                <w:color w:val="000000"/>
                <w:spacing w:val="-15"/>
                <w:w w:val="15"/>
                <w:szCs w:val="20"/>
                <w:fitText w:val="50" w:id="-1256558064"/>
                <w14:textFill>
                  <w14:solidFill>
                    <w14:srgbClr w14:val="000000">
                      <w14:alpha w14:val="100000"/>
                    </w14:srgbClr>
                  </w14:solidFill>
                </w14:textFill>
              </w:rPr>
              <w:t xml:space="preserve">　</w:t>
            </w:r>
          </w:p>
        </w:tc>
      </w:tr>
      <w:tr w:rsidR="00192D17" w:rsidRPr="008C61D3" w14:paraId="10D8C239" w14:textId="77777777" w:rsidTr="00592818">
        <w:tc>
          <w:tcPr>
            <w:cnfStyle w:val="001000000000" w:firstRow="0" w:lastRow="0" w:firstColumn="1" w:lastColumn="0" w:oddVBand="0" w:evenVBand="0" w:oddHBand="0" w:evenHBand="0" w:firstRowFirstColumn="0" w:firstRowLastColumn="0" w:lastRowFirstColumn="0" w:lastRowLastColumn="0"/>
            <w:tcW w:w="612" w:type="pct"/>
            <w:vMerge/>
          </w:tcPr>
          <w:p w14:paraId="13A6D4B8" w14:textId="77777777" w:rsidR="00192D17" w:rsidRPr="008C61D3" w:rsidRDefault="00192D17" w:rsidP="00367C94">
            <w:pPr>
              <w:rPr>
                <w:rFonts w:ascii="Arial Narrow" w:hAnsi="Arial Narrow"/>
                <w:lang w:eastAsia="en-AU"/>
              </w:rPr>
            </w:pPr>
          </w:p>
        </w:tc>
        <w:tc>
          <w:tcPr>
            <w:tcW w:w="675" w:type="pct"/>
            <w:vMerge/>
          </w:tcPr>
          <w:p w14:paraId="023B600E" w14:textId="77777777" w:rsidR="00192D17" w:rsidRPr="008C61D3" w:rsidRDefault="00192D17" w:rsidP="00367C94">
            <w:pPr>
              <w:jc w:val="left"/>
              <w:cnfStyle w:val="000000000000" w:firstRow="0" w:lastRow="0" w:firstColumn="0" w:lastColumn="0" w:oddVBand="0" w:evenVBand="0" w:oddHBand="0" w:evenHBand="0" w:firstRowFirstColumn="0" w:firstRowLastColumn="0" w:lastRowFirstColumn="0" w:lastRowLastColumn="0"/>
              <w:rPr>
                <w:rFonts w:ascii="Arial Narrow" w:hAnsi="Arial Narrow"/>
                <w:lang w:eastAsia="en-AU"/>
              </w:rPr>
            </w:pPr>
          </w:p>
        </w:tc>
        <w:tc>
          <w:tcPr>
            <w:tcW w:w="1761" w:type="pct"/>
          </w:tcPr>
          <w:p w14:paraId="3AE097F5" w14:textId="77777777" w:rsidR="00192D17" w:rsidRPr="008C61D3" w:rsidRDefault="00192D17" w:rsidP="00367C94">
            <w:pPr>
              <w:jc w:val="left"/>
              <w:cnfStyle w:val="000000000000" w:firstRow="0" w:lastRow="0" w:firstColumn="0" w:lastColumn="0" w:oddVBand="0" w:evenVBand="0" w:oddHBand="0" w:evenHBand="0" w:firstRowFirstColumn="0" w:firstRowLastColumn="0" w:lastRowFirstColumn="0" w:lastRowLastColumn="0"/>
              <w:rPr>
                <w:rFonts w:ascii="Arial Narrow" w:hAnsi="Arial Narrow"/>
                <w:lang w:eastAsia="en-AU"/>
              </w:rPr>
            </w:pPr>
            <w:r w:rsidRPr="008C61D3">
              <w:rPr>
                <w:rFonts w:ascii="Arial Narrow" w:hAnsi="Arial Narrow"/>
                <w:lang w:eastAsia="en-AU"/>
              </w:rPr>
              <w:t>Rate for FMR comes from COAPT study “30-day unplanned mitral valve intervention”</w:t>
            </w:r>
          </w:p>
        </w:tc>
        <w:tc>
          <w:tcPr>
            <w:tcW w:w="650" w:type="pct"/>
          </w:tcPr>
          <w:p w14:paraId="5532658D" w14:textId="2D2CAD19" w:rsidR="00192D17" w:rsidRPr="002F6560" w:rsidRDefault="00192D17"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highlight w:val="yellow"/>
              </w:rPr>
            </w:pPr>
            <w:r w:rsidRPr="00E74A1A">
              <w:rPr>
                <w:rFonts w:ascii="Arial Narrow" w:hAnsi="Arial Narrow" w:cstheme="majorHAnsi"/>
                <w:szCs w:val="20"/>
              </w:rPr>
              <w:t>$</w:t>
            </w:r>
            <w:r w:rsidR="00592818" w:rsidRPr="00592818">
              <w:rPr>
                <w:rFonts w:ascii="Arial Narrow" w:hAnsi="Arial Narrow" w:cstheme="majorHAnsi" w:hint="eastAsia"/>
                <w:color w:val="000000"/>
                <w:w w:val="22"/>
                <w:szCs w:val="20"/>
                <w:shd w:val="solid" w:color="000000" w:fill="000000"/>
                <w:fitText w:val="100" w:id="-1256558080"/>
                <w14:textFill>
                  <w14:solidFill>
                    <w14:srgbClr w14:val="000000">
                      <w14:alpha w14:val="100000"/>
                    </w14:srgbClr>
                  </w14:solidFill>
                </w14:textFill>
              </w:rPr>
              <w:t xml:space="preserve">　</w:t>
            </w:r>
            <w:r w:rsidR="00592818" w:rsidRPr="00592818">
              <w:rPr>
                <w:rFonts w:ascii="Arial Narrow" w:hAnsi="Arial Narrow" w:cstheme="majorHAnsi"/>
                <w:color w:val="000000"/>
                <w:w w:val="22"/>
                <w:szCs w:val="20"/>
                <w:shd w:val="solid" w:color="000000" w:fill="000000"/>
                <w:fitText w:val="100" w:id="-1256558080"/>
                <w14:textFill>
                  <w14:solidFill>
                    <w14:srgbClr w14:val="000000">
                      <w14:alpha w14:val="100000"/>
                    </w14:srgbClr>
                  </w14:solidFill>
                </w14:textFill>
              </w:rPr>
              <w:t>|</w:t>
            </w:r>
            <w:r w:rsidR="00592818" w:rsidRPr="00592818">
              <w:rPr>
                <w:rFonts w:ascii="Arial Narrow" w:hAnsi="Arial Narrow" w:cstheme="majorHAnsi" w:hint="eastAsia"/>
                <w:color w:val="000000"/>
                <w:spacing w:val="3"/>
                <w:w w:val="22"/>
                <w:szCs w:val="20"/>
                <w:shd w:val="solid" w:color="000000" w:fill="000000"/>
                <w:fitText w:val="100" w:id="-1256558080"/>
                <w14:textFill>
                  <w14:solidFill>
                    <w14:srgbClr w14:val="000000">
                      <w14:alpha w14:val="100000"/>
                    </w14:srgbClr>
                  </w14:solidFill>
                </w14:textFill>
              </w:rPr>
              <w:t xml:space="preserve">　</w:t>
            </w:r>
          </w:p>
        </w:tc>
        <w:tc>
          <w:tcPr>
            <w:tcW w:w="651" w:type="pct"/>
          </w:tcPr>
          <w:p w14:paraId="096EB103" w14:textId="77777777" w:rsidR="00192D17" w:rsidRPr="008C61D3" w:rsidRDefault="00192D17"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rPr>
            </w:pPr>
            <w:r w:rsidRPr="008C61D3">
              <w:rPr>
                <w:rFonts w:ascii="Arial Narrow" w:hAnsi="Arial Narrow" w:cstheme="majorHAnsi"/>
                <w:szCs w:val="20"/>
              </w:rPr>
              <w:t>$35,828.62</w:t>
            </w:r>
          </w:p>
        </w:tc>
        <w:tc>
          <w:tcPr>
            <w:tcW w:w="651" w:type="pct"/>
            <w:tcBorders>
              <w:bottom w:val="single" w:sz="4" w:space="0" w:color="auto"/>
            </w:tcBorders>
            <w:shd w:val="solid" w:color="000000" w:fill="000000"/>
          </w:tcPr>
          <w:p w14:paraId="76896AF2" w14:textId="60AD1458" w:rsidR="00192D17" w:rsidRPr="002F6560" w:rsidRDefault="00592818"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highlight w:val="yellow"/>
              </w:rPr>
            </w:pPr>
            <w:r w:rsidRPr="00592818">
              <w:rPr>
                <w:rFonts w:ascii="Arial Narrow" w:hAnsi="Arial Narrow" w:cstheme="majorHAnsi" w:hint="eastAsia"/>
                <w:color w:val="000000"/>
                <w:w w:val="15"/>
                <w:szCs w:val="20"/>
                <w:fitText w:val="50" w:id="-1256558079"/>
                <w14:textFill>
                  <w14:solidFill>
                    <w14:srgbClr w14:val="000000">
                      <w14:alpha w14:val="100000"/>
                    </w14:srgbClr>
                  </w14:solidFill>
                </w14:textFill>
              </w:rPr>
              <w:t xml:space="preserve">　</w:t>
            </w:r>
            <w:r w:rsidRPr="00592818">
              <w:rPr>
                <w:rFonts w:ascii="Arial Narrow" w:hAnsi="Arial Narrow" w:cstheme="majorHAnsi"/>
                <w:color w:val="000000"/>
                <w:w w:val="15"/>
                <w:szCs w:val="20"/>
                <w:fitText w:val="50" w:id="-1256558079"/>
                <w14:textFill>
                  <w14:solidFill>
                    <w14:srgbClr w14:val="000000">
                      <w14:alpha w14:val="100000"/>
                    </w14:srgbClr>
                  </w14:solidFill>
                </w14:textFill>
              </w:rPr>
              <w:t>|</w:t>
            </w:r>
            <w:r w:rsidRPr="00592818">
              <w:rPr>
                <w:rFonts w:ascii="Arial Narrow" w:hAnsi="Arial Narrow" w:cstheme="majorHAnsi" w:hint="eastAsia"/>
                <w:color w:val="000000"/>
                <w:spacing w:val="-15"/>
                <w:w w:val="15"/>
                <w:szCs w:val="20"/>
                <w:fitText w:val="50" w:id="-1256558079"/>
                <w14:textFill>
                  <w14:solidFill>
                    <w14:srgbClr w14:val="000000">
                      <w14:alpha w14:val="100000"/>
                    </w14:srgbClr>
                  </w14:solidFill>
                </w14:textFill>
              </w:rPr>
              <w:t xml:space="preserve">　</w:t>
            </w:r>
          </w:p>
        </w:tc>
      </w:tr>
      <w:tr w:rsidR="00192D17" w:rsidRPr="008C61D3" w14:paraId="39C15005" w14:textId="77777777" w:rsidTr="00592818">
        <w:tc>
          <w:tcPr>
            <w:cnfStyle w:val="001000000000" w:firstRow="0" w:lastRow="0" w:firstColumn="1" w:lastColumn="0" w:oddVBand="0" w:evenVBand="0" w:oddHBand="0" w:evenHBand="0" w:firstRowFirstColumn="0" w:firstRowLastColumn="0" w:lastRowFirstColumn="0" w:lastRowLastColumn="0"/>
            <w:tcW w:w="612" w:type="pct"/>
            <w:vMerge/>
          </w:tcPr>
          <w:p w14:paraId="669FC55E" w14:textId="77777777" w:rsidR="00192D17" w:rsidRPr="008C61D3" w:rsidRDefault="00192D17" w:rsidP="00367C94">
            <w:pPr>
              <w:rPr>
                <w:rFonts w:ascii="Arial Narrow" w:hAnsi="Arial Narrow"/>
                <w:lang w:eastAsia="en-AU"/>
              </w:rPr>
            </w:pPr>
          </w:p>
        </w:tc>
        <w:tc>
          <w:tcPr>
            <w:tcW w:w="675" w:type="pct"/>
            <w:vMerge/>
          </w:tcPr>
          <w:p w14:paraId="1A639DFD" w14:textId="77777777" w:rsidR="00192D17" w:rsidRPr="008C61D3" w:rsidRDefault="00192D17" w:rsidP="00367C94">
            <w:pPr>
              <w:jc w:val="left"/>
              <w:cnfStyle w:val="000000000000" w:firstRow="0" w:lastRow="0" w:firstColumn="0" w:lastColumn="0" w:oddVBand="0" w:evenVBand="0" w:oddHBand="0" w:evenHBand="0" w:firstRowFirstColumn="0" w:firstRowLastColumn="0" w:lastRowFirstColumn="0" w:lastRowLastColumn="0"/>
              <w:rPr>
                <w:rFonts w:ascii="Arial Narrow" w:hAnsi="Arial Narrow"/>
                <w:lang w:eastAsia="en-AU"/>
              </w:rPr>
            </w:pPr>
          </w:p>
        </w:tc>
        <w:tc>
          <w:tcPr>
            <w:tcW w:w="1761" w:type="pct"/>
          </w:tcPr>
          <w:p w14:paraId="7AB0A988" w14:textId="77777777" w:rsidR="00192D17" w:rsidRPr="008C61D3" w:rsidRDefault="00192D17" w:rsidP="00367C94">
            <w:pPr>
              <w:jc w:val="left"/>
              <w:cnfStyle w:val="000000000000" w:firstRow="0" w:lastRow="0" w:firstColumn="0" w:lastColumn="0" w:oddVBand="0" w:evenVBand="0" w:oddHBand="0" w:evenHBand="0" w:firstRowFirstColumn="0" w:firstRowLastColumn="0" w:lastRowFirstColumn="0" w:lastRowLastColumn="0"/>
              <w:rPr>
                <w:rFonts w:ascii="Arial Narrow" w:hAnsi="Arial Narrow"/>
                <w:lang w:eastAsia="en-AU"/>
              </w:rPr>
            </w:pPr>
            <w:r w:rsidRPr="008C61D3">
              <w:rPr>
                <w:rFonts w:ascii="Arial Narrow" w:hAnsi="Arial Narrow"/>
                <w:lang w:eastAsia="en-AU"/>
              </w:rPr>
              <w:t xml:space="preserve">Rate for PASCAL and </w:t>
            </w:r>
            <w:proofErr w:type="spellStart"/>
            <w:r w:rsidRPr="008C61D3">
              <w:rPr>
                <w:rFonts w:ascii="Arial Narrow" w:hAnsi="Arial Narrow"/>
                <w:lang w:eastAsia="en-AU"/>
              </w:rPr>
              <w:t>MitraClip</w:t>
            </w:r>
            <w:proofErr w:type="spellEnd"/>
            <w:r w:rsidRPr="008C61D3">
              <w:rPr>
                <w:rFonts w:ascii="Arial Narrow" w:hAnsi="Arial Narrow"/>
                <w:lang w:eastAsia="en-AU"/>
              </w:rPr>
              <w:t xml:space="preserve"> comes from CLASP study 30-day outcomes, FMR and DMR assumed the same</w:t>
            </w:r>
          </w:p>
        </w:tc>
        <w:tc>
          <w:tcPr>
            <w:tcW w:w="650" w:type="pct"/>
          </w:tcPr>
          <w:p w14:paraId="6664B034" w14:textId="7CDDD40C" w:rsidR="00192D17" w:rsidRPr="002F6560" w:rsidRDefault="00192D17"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highlight w:val="yellow"/>
              </w:rPr>
            </w:pPr>
            <w:r w:rsidRPr="00E74A1A">
              <w:rPr>
                <w:rFonts w:ascii="Arial Narrow" w:hAnsi="Arial Narrow" w:cstheme="majorHAnsi"/>
                <w:szCs w:val="20"/>
              </w:rPr>
              <w:t>$</w:t>
            </w:r>
            <w:r w:rsidR="00592818" w:rsidRPr="00592818">
              <w:rPr>
                <w:rFonts w:ascii="Arial Narrow" w:hAnsi="Arial Narrow" w:cstheme="majorHAnsi" w:hint="eastAsia"/>
                <w:color w:val="000000"/>
                <w:w w:val="22"/>
                <w:szCs w:val="20"/>
                <w:shd w:val="solid" w:color="000000" w:fill="000000"/>
                <w:fitText w:val="100" w:id="-1256558078"/>
                <w14:textFill>
                  <w14:solidFill>
                    <w14:srgbClr w14:val="000000">
                      <w14:alpha w14:val="100000"/>
                    </w14:srgbClr>
                  </w14:solidFill>
                </w14:textFill>
              </w:rPr>
              <w:t xml:space="preserve">　</w:t>
            </w:r>
            <w:r w:rsidR="00592818" w:rsidRPr="00592818">
              <w:rPr>
                <w:rFonts w:ascii="Arial Narrow" w:hAnsi="Arial Narrow" w:cstheme="majorHAnsi"/>
                <w:color w:val="000000"/>
                <w:w w:val="22"/>
                <w:szCs w:val="20"/>
                <w:shd w:val="solid" w:color="000000" w:fill="000000"/>
                <w:fitText w:val="100" w:id="-1256558078"/>
                <w14:textFill>
                  <w14:solidFill>
                    <w14:srgbClr w14:val="000000">
                      <w14:alpha w14:val="100000"/>
                    </w14:srgbClr>
                  </w14:solidFill>
                </w14:textFill>
              </w:rPr>
              <w:t>|</w:t>
            </w:r>
            <w:r w:rsidR="00592818" w:rsidRPr="00592818">
              <w:rPr>
                <w:rFonts w:ascii="Arial Narrow" w:hAnsi="Arial Narrow" w:cstheme="majorHAnsi" w:hint="eastAsia"/>
                <w:color w:val="000000"/>
                <w:spacing w:val="3"/>
                <w:w w:val="22"/>
                <w:szCs w:val="20"/>
                <w:shd w:val="solid" w:color="000000" w:fill="000000"/>
                <w:fitText w:val="100" w:id="-1256558078"/>
                <w14:textFill>
                  <w14:solidFill>
                    <w14:srgbClr w14:val="000000">
                      <w14:alpha w14:val="100000"/>
                    </w14:srgbClr>
                  </w14:solidFill>
                </w14:textFill>
              </w:rPr>
              <w:t xml:space="preserve">　</w:t>
            </w:r>
          </w:p>
        </w:tc>
        <w:tc>
          <w:tcPr>
            <w:tcW w:w="651" w:type="pct"/>
          </w:tcPr>
          <w:p w14:paraId="3FC8A703" w14:textId="77777777" w:rsidR="00192D17" w:rsidRPr="008C61D3" w:rsidRDefault="00192D17"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rPr>
            </w:pPr>
            <w:r w:rsidRPr="008C61D3">
              <w:rPr>
                <w:rFonts w:ascii="Arial Narrow" w:hAnsi="Arial Narrow" w:cstheme="majorHAnsi"/>
                <w:szCs w:val="20"/>
              </w:rPr>
              <w:t>$36,335.61</w:t>
            </w:r>
          </w:p>
        </w:tc>
        <w:tc>
          <w:tcPr>
            <w:tcW w:w="651" w:type="pct"/>
            <w:tcBorders>
              <w:bottom w:val="single" w:sz="4" w:space="0" w:color="auto"/>
            </w:tcBorders>
            <w:shd w:val="solid" w:color="000000" w:fill="000000"/>
          </w:tcPr>
          <w:p w14:paraId="0FBBFC0E" w14:textId="482C4D11" w:rsidR="00192D17" w:rsidRPr="002F6560" w:rsidRDefault="00592818"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highlight w:val="yellow"/>
              </w:rPr>
            </w:pPr>
            <w:r w:rsidRPr="00592818">
              <w:rPr>
                <w:rFonts w:ascii="Arial Narrow" w:hAnsi="Arial Narrow" w:cstheme="majorHAnsi" w:hint="eastAsia"/>
                <w:color w:val="000000"/>
                <w:w w:val="15"/>
                <w:szCs w:val="20"/>
                <w:fitText w:val="50" w:id="-1256558077"/>
                <w14:textFill>
                  <w14:solidFill>
                    <w14:srgbClr w14:val="000000">
                      <w14:alpha w14:val="100000"/>
                    </w14:srgbClr>
                  </w14:solidFill>
                </w14:textFill>
              </w:rPr>
              <w:t xml:space="preserve">　</w:t>
            </w:r>
            <w:r w:rsidRPr="00592818">
              <w:rPr>
                <w:rFonts w:ascii="Arial Narrow" w:hAnsi="Arial Narrow" w:cstheme="majorHAnsi"/>
                <w:color w:val="000000"/>
                <w:w w:val="15"/>
                <w:szCs w:val="20"/>
                <w:fitText w:val="50" w:id="-1256558077"/>
                <w14:textFill>
                  <w14:solidFill>
                    <w14:srgbClr w14:val="000000">
                      <w14:alpha w14:val="100000"/>
                    </w14:srgbClr>
                  </w14:solidFill>
                </w14:textFill>
              </w:rPr>
              <w:t>|</w:t>
            </w:r>
            <w:r w:rsidRPr="00592818">
              <w:rPr>
                <w:rFonts w:ascii="Arial Narrow" w:hAnsi="Arial Narrow" w:cstheme="majorHAnsi" w:hint="eastAsia"/>
                <w:color w:val="000000"/>
                <w:spacing w:val="-15"/>
                <w:w w:val="15"/>
                <w:szCs w:val="20"/>
                <w:fitText w:val="50" w:id="-1256558077"/>
                <w14:textFill>
                  <w14:solidFill>
                    <w14:srgbClr w14:val="000000">
                      <w14:alpha w14:val="100000"/>
                    </w14:srgbClr>
                  </w14:solidFill>
                </w14:textFill>
              </w:rPr>
              <w:t xml:space="preserve">　</w:t>
            </w:r>
          </w:p>
        </w:tc>
      </w:tr>
      <w:tr w:rsidR="00192D17" w:rsidRPr="008C61D3" w14:paraId="2C25DFFC" w14:textId="77777777" w:rsidTr="00592818">
        <w:trPr>
          <w:trHeight w:val="129"/>
        </w:trPr>
        <w:tc>
          <w:tcPr>
            <w:cnfStyle w:val="001000000000" w:firstRow="0" w:lastRow="0" w:firstColumn="1" w:lastColumn="0" w:oddVBand="0" w:evenVBand="0" w:oddHBand="0" w:evenHBand="0" w:firstRowFirstColumn="0" w:firstRowLastColumn="0" w:lastRowFirstColumn="0" w:lastRowLastColumn="0"/>
            <w:tcW w:w="612" w:type="pct"/>
            <w:vMerge w:val="restart"/>
          </w:tcPr>
          <w:p w14:paraId="4827ACBA" w14:textId="77777777" w:rsidR="00192D17" w:rsidRPr="008C61D3" w:rsidRDefault="00192D17" w:rsidP="00367C94">
            <w:pPr>
              <w:rPr>
                <w:rFonts w:ascii="Arial Narrow" w:hAnsi="Arial Narrow"/>
                <w:lang w:eastAsia="en-AU"/>
              </w:rPr>
            </w:pPr>
            <w:r w:rsidRPr="008C61D3">
              <w:rPr>
                <w:rFonts w:ascii="Arial Narrow" w:hAnsi="Arial Narrow"/>
                <w:lang w:eastAsia="en-AU"/>
              </w:rPr>
              <w:t>Population split</w:t>
            </w:r>
            <w:r>
              <w:rPr>
                <w:rFonts w:ascii="Arial Narrow" w:hAnsi="Arial Narrow"/>
                <w:lang w:eastAsia="en-AU"/>
              </w:rPr>
              <w:t>*</w:t>
            </w:r>
          </w:p>
        </w:tc>
        <w:tc>
          <w:tcPr>
            <w:tcW w:w="675" w:type="pct"/>
            <w:vMerge w:val="restart"/>
          </w:tcPr>
          <w:p w14:paraId="351A3E67" w14:textId="77777777" w:rsidR="00192D17" w:rsidRPr="008C61D3" w:rsidRDefault="00192D17" w:rsidP="00367C94">
            <w:pPr>
              <w:jc w:val="left"/>
              <w:cnfStyle w:val="000000000000" w:firstRow="0" w:lastRow="0" w:firstColumn="0" w:lastColumn="0" w:oddVBand="0" w:evenVBand="0" w:oddHBand="0" w:evenHBand="0" w:firstRowFirstColumn="0" w:firstRowLastColumn="0" w:lastRowFirstColumn="0" w:lastRowLastColumn="0"/>
              <w:rPr>
                <w:rFonts w:ascii="Arial Narrow" w:hAnsi="Arial Narrow"/>
                <w:lang w:eastAsia="en-AU"/>
              </w:rPr>
            </w:pPr>
            <w:r w:rsidRPr="008C61D3">
              <w:rPr>
                <w:rFonts w:ascii="Arial Narrow" w:hAnsi="Arial Narrow"/>
                <w:lang w:eastAsia="en-AU"/>
              </w:rPr>
              <w:t>42% FMR/ 58% DMR</w:t>
            </w:r>
          </w:p>
        </w:tc>
        <w:tc>
          <w:tcPr>
            <w:tcW w:w="1761" w:type="pct"/>
          </w:tcPr>
          <w:p w14:paraId="4AD8BF4C" w14:textId="77777777" w:rsidR="00192D17" w:rsidRPr="008C61D3" w:rsidRDefault="00192D17" w:rsidP="00367C94">
            <w:pPr>
              <w:jc w:val="left"/>
              <w:cnfStyle w:val="000000000000" w:firstRow="0" w:lastRow="0" w:firstColumn="0" w:lastColumn="0" w:oddVBand="0" w:evenVBand="0" w:oddHBand="0" w:evenHBand="0" w:firstRowFirstColumn="0" w:firstRowLastColumn="0" w:lastRowFirstColumn="0" w:lastRowLastColumn="0"/>
              <w:rPr>
                <w:rFonts w:ascii="Arial Narrow" w:hAnsi="Arial Narrow"/>
                <w:lang w:eastAsia="en-AU"/>
              </w:rPr>
            </w:pPr>
            <w:r w:rsidRPr="008C61D3">
              <w:rPr>
                <w:rFonts w:ascii="Arial Narrow" w:hAnsi="Arial Narrow"/>
                <w:lang w:eastAsia="en-AU"/>
              </w:rPr>
              <w:t xml:space="preserve">65% FMR/35% DMR from </w:t>
            </w:r>
            <w:r w:rsidRPr="008C61D3">
              <w:rPr>
                <w:rFonts w:ascii="Arial Narrow" w:hAnsi="Arial Narrow"/>
                <w:lang w:eastAsia="en-AU"/>
              </w:rPr>
              <w:fldChar w:fldCharType="begin"/>
            </w:r>
            <w:r w:rsidRPr="008C61D3">
              <w:rPr>
                <w:rFonts w:ascii="Arial Narrow" w:hAnsi="Arial Narrow"/>
                <w:lang w:eastAsia="en-AU"/>
              </w:rPr>
              <w:instrText xml:space="preserve"> ADDIN EN.CITE &lt;EndNote&gt;&lt;Cite&gt;&lt;Author&gt;Coffey&lt;/Author&gt;&lt;Year&gt;2021&lt;/Year&gt;&lt;RecNum&gt;12&lt;/RecNum&gt;&lt;DisplayText&gt;(Coffey et al., 2021)&lt;/DisplayText&gt;&lt;record&gt;&lt;rec-number&gt;12&lt;/rec-number&gt;&lt;foreign-keys&gt;&lt;key app="EN" db-id="r0e5s05wh2pvz4efrdmx5vspzfpsffretvv5" timestamp="1654492275"&gt;12&lt;/key&gt;&lt;/foreign-keys&gt;&lt;ref-type name="Journal Article"&gt;17&lt;/ref-type&gt;&lt;contributors&gt;&lt;authors&gt;&lt;author&gt;Coffey, Sean&lt;/author&gt;&lt;author&gt;Roberts-Thomson, Ross&lt;/author&gt;&lt;author&gt;Brown, Alex&lt;/author&gt;&lt;author&gt;Carapetis, Jonathan&lt;/author&gt;&lt;author&gt;Chen, Mao&lt;/author&gt;&lt;author&gt;Enriquez-Sarano, Maurice&lt;/author&gt;&lt;author&gt;Zühlke, Liesl&lt;/author&gt;&lt;author&gt;Prendergast, Bernard D.&lt;/author&gt;&lt;/authors&gt;&lt;/contributors&gt;&lt;titles&gt;&lt;title&gt;Global epidemiology of valvular heart disease&lt;/title&gt;&lt;secondary-title&gt;Nature Reviews Cardiology&lt;/secondary-title&gt;&lt;/titles&gt;&lt;periodical&gt;&lt;full-title&gt;Nature reviews cardiology&lt;/full-title&gt;&lt;/periodical&gt;&lt;pages&gt;853-864&lt;/pages&gt;&lt;volume&gt;18&lt;/volume&gt;&lt;number&gt;12&lt;/number&gt;&lt;dates&gt;&lt;year&gt;2021&lt;/year&gt;&lt;pub-dates&gt;&lt;date&gt;2021/12/01&lt;/date&gt;&lt;/pub-dates&gt;&lt;/dates&gt;&lt;isbn&gt;1759-5010&lt;/isbn&gt;&lt;urls&gt;&lt;related-urls&gt;&lt;url&gt;https://doi.org/10.1038/s41569-021-00570-z&lt;/url&gt;&lt;/related-urls&gt;&lt;/urls&gt;&lt;electronic-resource-num&gt;10.1038/s41569-021-00570-z&lt;/electronic-resource-num&gt;&lt;/record&gt;&lt;/Cite&gt;&lt;/EndNote&gt;</w:instrText>
            </w:r>
            <w:r w:rsidRPr="008C61D3">
              <w:rPr>
                <w:rFonts w:ascii="Arial Narrow" w:hAnsi="Arial Narrow"/>
                <w:lang w:eastAsia="en-AU"/>
              </w:rPr>
              <w:fldChar w:fldCharType="separate"/>
            </w:r>
            <w:r w:rsidRPr="008C61D3">
              <w:rPr>
                <w:rFonts w:ascii="Arial Narrow" w:hAnsi="Arial Narrow"/>
                <w:noProof/>
                <w:lang w:eastAsia="en-AU"/>
              </w:rPr>
              <w:t>(Coffey 2021)</w:t>
            </w:r>
            <w:r w:rsidRPr="008C61D3">
              <w:rPr>
                <w:rFonts w:ascii="Arial Narrow" w:hAnsi="Arial Narrow"/>
                <w:lang w:eastAsia="en-AU"/>
              </w:rPr>
              <w:fldChar w:fldCharType="end"/>
            </w:r>
          </w:p>
        </w:tc>
        <w:tc>
          <w:tcPr>
            <w:tcW w:w="650" w:type="pct"/>
          </w:tcPr>
          <w:p w14:paraId="782FA431" w14:textId="2ACC641F" w:rsidR="00192D17" w:rsidRPr="002F6560" w:rsidRDefault="00192D17"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highlight w:val="yellow"/>
              </w:rPr>
            </w:pPr>
            <w:r w:rsidRPr="00E74A1A">
              <w:rPr>
                <w:rFonts w:ascii="Arial Narrow" w:hAnsi="Arial Narrow" w:cstheme="majorHAnsi"/>
                <w:szCs w:val="20"/>
              </w:rPr>
              <w:t>$</w:t>
            </w:r>
            <w:r w:rsidR="00592818" w:rsidRPr="00592818">
              <w:rPr>
                <w:rFonts w:ascii="Arial Narrow" w:hAnsi="Arial Narrow" w:cstheme="majorHAnsi" w:hint="eastAsia"/>
                <w:color w:val="000000"/>
                <w:w w:val="22"/>
                <w:szCs w:val="20"/>
                <w:shd w:val="solid" w:color="000000" w:fill="000000"/>
                <w:fitText w:val="100" w:id="-1256558076"/>
                <w14:textFill>
                  <w14:solidFill>
                    <w14:srgbClr w14:val="000000">
                      <w14:alpha w14:val="100000"/>
                    </w14:srgbClr>
                  </w14:solidFill>
                </w14:textFill>
              </w:rPr>
              <w:t xml:space="preserve">　</w:t>
            </w:r>
            <w:r w:rsidR="00592818" w:rsidRPr="00592818">
              <w:rPr>
                <w:rFonts w:ascii="Arial Narrow" w:hAnsi="Arial Narrow" w:cstheme="majorHAnsi"/>
                <w:color w:val="000000"/>
                <w:w w:val="22"/>
                <w:szCs w:val="20"/>
                <w:shd w:val="solid" w:color="000000" w:fill="000000"/>
                <w:fitText w:val="100" w:id="-1256558076"/>
                <w14:textFill>
                  <w14:solidFill>
                    <w14:srgbClr w14:val="000000">
                      <w14:alpha w14:val="100000"/>
                    </w14:srgbClr>
                  </w14:solidFill>
                </w14:textFill>
              </w:rPr>
              <w:t>|</w:t>
            </w:r>
            <w:r w:rsidR="00592818" w:rsidRPr="00592818">
              <w:rPr>
                <w:rFonts w:ascii="Arial Narrow" w:hAnsi="Arial Narrow" w:cstheme="majorHAnsi" w:hint="eastAsia"/>
                <w:color w:val="000000"/>
                <w:spacing w:val="3"/>
                <w:w w:val="22"/>
                <w:szCs w:val="20"/>
                <w:shd w:val="solid" w:color="000000" w:fill="000000"/>
                <w:fitText w:val="100" w:id="-1256558076"/>
                <w14:textFill>
                  <w14:solidFill>
                    <w14:srgbClr w14:val="000000">
                      <w14:alpha w14:val="100000"/>
                    </w14:srgbClr>
                  </w14:solidFill>
                </w14:textFill>
              </w:rPr>
              <w:t xml:space="preserve">　</w:t>
            </w:r>
          </w:p>
        </w:tc>
        <w:tc>
          <w:tcPr>
            <w:tcW w:w="651" w:type="pct"/>
          </w:tcPr>
          <w:p w14:paraId="56BAE6FB" w14:textId="77777777" w:rsidR="00192D17" w:rsidRPr="008C61D3" w:rsidRDefault="00192D17"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rPr>
            </w:pPr>
            <w:r w:rsidRPr="008C61D3">
              <w:rPr>
                <w:rFonts w:ascii="Arial Narrow" w:hAnsi="Arial Narrow" w:cstheme="majorHAnsi"/>
                <w:szCs w:val="20"/>
              </w:rPr>
              <w:t>$35,993.68</w:t>
            </w:r>
          </w:p>
        </w:tc>
        <w:tc>
          <w:tcPr>
            <w:tcW w:w="651" w:type="pct"/>
            <w:tcBorders>
              <w:bottom w:val="single" w:sz="4" w:space="0" w:color="auto"/>
            </w:tcBorders>
            <w:shd w:val="solid" w:color="000000" w:fill="000000"/>
          </w:tcPr>
          <w:p w14:paraId="5B3C1CB3" w14:textId="2A0DD45D" w:rsidR="00192D17" w:rsidRPr="002F6560" w:rsidRDefault="00592818"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highlight w:val="yellow"/>
              </w:rPr>
            </w:pPr>
            <w:r w:rsidRPr="00592818">
              <w:rPr>
                <w:rFonts w:ascii="Arial Narrow" w:hAnsi="Arial Narrow" w:cstheme="majorHAnsi" w:hint="eastAsia"/>
                <w:color w:val="000000"/>
                <w:w w:val="15"/>
                <w:szCs w:val="20"/>
                <w:fitText w:val="50" w:id="-1256558075"/>
                <w14:textFill>
                  <w14:solidFill>
                    <w14:srgbClr w14:val="000000">
                      <w14:alpha w14:val="100000"/>
                    </w14:srgbClr>
                  </w14:solidFill>
                </w14:textFill>
              </w:rPr>
              <w:t xml:space="preserve">　</w:t>
            </w:r>
            <w:r w:rsidRPr="00592818">
              <w:rPr>
                <w:rFonts w:ascii="Arial Narrow" w:hAnsi="Arial Narrow" w:cstheme="majorHAnsi"/>
                <w:color w:val="000000"/>
                <w:w w:val="15"/>
                <w:szCs w:val="20"/>
                <w:fitText w:val="50" w:id="-1256558075"/>
                <w14:textFill>
                  <w14:solidFill>
                    <w14:srgbClr w14:val="000000">
                      <w14:alpha w14:val="100000"/>
                    </w14:srgbClr>
                  </w14:solidFill>
                </w14:textFill>
              </w:rPr>
              <w:t>|</w:t>
            </w:r>
            <w:r w:rsidRPr="00592818">
              <w:rPr>
                <w:rFonts w:ascii="Arial Narrow" w:hAnsi="Arial Narrow" w:cstheme="majorHAnsi" w:hint="eastAsia"/>
                <w:color w:val="000000"/>
                <w:spacing w:val="-15"/>
                <w:w w:val="15"/>
                <w:szCs w:val="20"/>
                <w:fitText w:val="50" w:id="-1256558075"/>
                <w14:textFill>
                  <w14:solidFill>
                    <w14:srgbClr w14:val="000000">
                      <w14:alpha w14:val="100000"/>
                    </w14:srgbClr>
                  </w14:solidFill>
                </w14:textFill>
              </w:rPr>
              <w:t xml:space="preserve">　</w:t>
            </w:r>
          </w:p>
        </w:tc>
      </w:tr>
      <w:tr w:rsidR="00192D17" w:rsidRPr="008C61D3" w14:paraId="1E029377" w14:textId="77777777" w:rsidTr="00592818">
        <w:tc>
          <w:tcPr>
            <w:cnfStyle w:val="001000000000" w:firstRow="0" w:lastRow="0" w:firstColumn="1" w:lastColumn="0" w:oddVBand="0" w:evenVBand="0" w:oddHBand="0" w:evenHBand="0" w:firstRowFirstColumn="0" w:firstRowLastColumn="0" w:lastRowFirstColumn="0" w:lastRowLastColumn="0"/>
            <w:tcW w:w="612" w:type="pct"/>
            <w:vMerge/>
          </w:tcPr>
          <w:p w14:paraId="440EA209" w14:textId="77777777" w:rsidR="00192D17" w:rsidRPr="008C61D3" w:rsidRDefault="00192D17" w:rsidP="00367C94">
            <w:pPr>
              <w:rPr>
                <w:rFonts w:ascii="Arial Narrow" w:hAnsi="Arial Narrow"/>
                <w:lang w:eastAsia="en-AU"/>
              </w:rPr>
            </w:pPr>
          </w:p>
        </w:tc>
        <w:tc>
          <w:tcPr>
            <w:tcW w:w="675" w:type="pct"/>
            <w:vMerge/>
          </w:tcPr>
          <w:p w14:paraId="006B04CC" w14:textId="77777777" w:rsidR="00192D17" w:rsidRPr="008C61D3" w:rsidRDefault="00192D17" w:rsidP="00367C94">
            <w:pPr>
              <w:jc w:val="left"/>
              <w:cnfStyle w:val="000000000000" w:firstRow="0" w:lastRow="0" w:firstColumn="0" w:lastColumn="0" w:oddVBand="0" w:evenVBand="0" w:oddHBand="0" w:evenHBand="0" w:firstRowFirstColumn="0" w:firstRowLastColumn="0" w:lastRowFirstColumn="0" w:lastRowLastColumn="0"/>
              <w:rPr>
                <w:rFonts w:ascii="Arial Narrow" w:hAnsi="Arial Narrow"/>
                <w:lang w:eastAsia="en-AU"/>
              </w:rPr>
            </w:pPr>
          </w:p>
        </w:tc>
        <w:tc>
          <w:tcPr>
            <w:tcW w:w="1761" w:type="pct"/>
          </w:tcPr>
          <w:p w14:paraId="24A3AB33" w14:textId="77777777" w:rsidR="00192D17" w:rsidRPr="008C61D3" w:rsidRDefault="00192D17" w:rsidP="00367C94">
            <w:pPr>
              <w:jc w:val="left"/>
              <w:cnfStyle w:val="000000000000" w:firstRow="0" w:lastRow="0" w:firstColumn="0" w:lastColumn="0" w:oddVBand="0" w:evenVBand="0" w:oddHBand="0" w:evenHBand="0" w:firstRowFirstColumn="0" w:firstRowLastColumn="0" w:lastRowFirstColumn="0" w:lastRowLastColumn="0"/>
              <w:rPr>
                <w:rFonts w:ascii="Arial Narrow" w:hAnsi="Arial Narrow"/>
                <w:lang w:eastAsia="en-AU"/>
              </w:rPr>
            </w:pPr>
            <w:r w:rsidRPr="008C61D3">
              <w:rPr>
                <w:rFonts w:ascii="Arial Narrow" w:hAnsi="Arial Narrow"/>
                <w:lang w:eastAsia="en-AU"/>
              </w:rPr>
              <w:t>37% FMR/ 63% DMR from predicted utilisation MSAC Application No. 1192.3, Table 10</w:t>
            </w:r>
          </w:p>
        </w:tc>
        <w:tc>
          <w:tcPr>
            <w:tcW w:w="650" w:type="pct"/>
          </w:tcPr>
          <w:p w14:paraId="35EB99FF" w14:textId="7321255E" w:rsidR="00192D17" w:rsidRPr="002F6560" w:rsidRDefault="00192D17"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highlight w:val="yellow"/>
              </w:rPr>
            </w:pPr>
            <w:r w:rsidRPr="00E74A1A">
              <w:rPr>
                <w:rFonts w:ascii="Arial Narrow" w:hAnsi="Arial Narrow" w:cstheme="majorHAnsi"/>
                <w:szCs w:val="20"/>
              </w:rPr>
              <w:t>$</w:t>
            </w:r>
            <w:r w:rsidR="00592818" w:rsidRPr="00592818">
              <w:rPr>
                <w:rFonts w:ascii="Arial Narrow" w:hAnsi="Arial Narrow" w:cstheme="majorHAnsi" w:hint="eastAsia"/>
                <w:color w:val="000000"/>
                <w:w w:val="22"/>
                <w:szCs w:val="20"/>
                <w:shd w:val="solid" w:color="000000" w:fill="000000"/>
                <w:fitText w:val="100" w:id="-1256558074"/>
                <w14:textFill>
                  <w14:solidFill>
                    <w14:srgbClr w14:val="000000">
                      <w14:alpha w14:val="100000"/>
                    </w14:srgbClr>
                  </w14:solidFill>
                </w14:textFill>
              </w:rPr>
              <w:t xml:space="preserve">　</w:t>
            </w:r>
            <w:r w:rsidR="00592818" w:rsidRPr="00592818">
              <w:rPr>
                <w:rFonts w:ascii="Arial Narrow" w:hAnsi="Arial Narrow" w:cstheme="majorHAnsi"/>
                <w:color w:val="000000"/>
                <w:w w:val="22"/>
                <w:szCs w:val="20"/>
                <w:shd w:val="solid" w:color="000000" w:fill="000000"/>
                <w:fitText w:val="100" w:id="-1256558074"/>
                <w14:textFill>
                  <w14:solidFill>
                    <w14:srgbClr w14:val="000000">
                      <w14:alpha w14:val="100000"/>
                    </w14:srgbClr>
                  </w14:solidFill>
                </w14:textFill>
              </w:rPr>
              <w:t>|</w:t>
            </w:r>
            <w:r w:rsidR="00592818" w:rsidRPr="00592818">
              <w:rPr>
                <w:rFonts w:ascii="Arial Narrow" w:hAnsi="Arial Narrow" w:cstheme="majorHAnsi" w:hint="eastAsia"/>
                <w:color w:val="000000"/>
                <w:spacing w:val="3"/>
                <w:w w:val="22"/>
                <w:szCs w:val="20"/>
                <w:shd w:val="solid" w:color="000000" w:fill="000000"/>
                <w:fitText w:val="100" w:id="-1256558074"/>
                <w14:textFill>
                  <w14:solidFill>
                    <w14:srgbClr w14:val="000000">
                      <w14:alpha w14:val="100000"/>
                    </w14:srgbClr>
                  </w14:solidFill>
                </w14:textFill>
              </w:rPr>
              <w:t xml:space="preserve">　</w:t>
            </w:r>
          </w:p>
        </w:tc>
        <w:tc>
          <w:tcPr>
            <w:tcW w:w="651" w:type="pct"/>
          </w:tcPr>
          <w:p w14:paraId="2A7FA225" w14:textId="77777777" w:rsidR="00192D17" w:rsidRPr="008C61D3" w:rsidRDefault="00192D17"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rPr>
            </w:pPr>
            <w:r w:rsidRPr="008C61D3">
              <w:rPr>
                <w:rFonts w:ascii="Arial Narrow" w:hAnsi="Arial Narrow" w:cstheme="majorHAnsi"/>
                <w:szCs w:val="20"/>
              </w:rPr>
              <w:t>$35,834.17</w:t>
            </w:r>
          </w:p>
        </w:tc>
        <w:tc>
          <w:tcPr>
            <w:tcW w:w="651" w:type="pct"/>
            <w:shd w:val="solid" w:color="000000" w:fill="000000"/>
          </w:tcPr>
          <w:p w14:paraId="7D7C20C8" w14:textId="23CDA333" w:rsidR="00192D17" w:rsidRPr="002F6560" w:rsidRDefault="00592818" w:rsidP="00367C94">
            <w:pP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Cs w:val="20"/>
                <w:highlight w:val="yellow"/>
              </w:rPr>
            </w:pPr>
            <w:r w:rsidRPr="00592818">
              <w:rPr>
                <w:rFonts w:ascii="Arial Narrow" w:hAnsi="Arial Narrow" w:cstheme="majorHAnsi" w:hint="eastAsia"/>
                <w:color w:val="000000"/>
                <w:w w:val="15"/>
                <w:szCs w:val="20"/>
                <w:fitText w:val="50" w:id="-1256558073"/>
                <w14:textFill>
                  <w14:solidFill>
                    <w14:srgbClr w14:val="000000">
                      <w14:alpha w14:val="100000"/>
                    </w14:srgbClr>
                  </w14:solidFill>
                </w14:textFill>
              </w:rPr>
              <w:t xml:space="preserve">　</w:t>
            </w:r>
            <w:r w:rsidRPr="00592818">
              <w:rPr>
                <w:rFonts w:ascii="Arial Narrow" w:hAnsi="Arial Narrow" w:cstheme="majorHAnsi"/>
                <w:color w:val="000000"/>
                <w:w w:val="15"/>
                <w:szCs w:val="20"/>
                <w:fitText w:val="50" w:id="-1256558073"/>
                <w14:textFill>
                  <w14:solidFill>
                    <w14:srgbClr w14:val="000000">
                      <w14:alpha w14:val="100000"/>
                    </w14:srgbClr>
                  </w14:solidFill>
                </w14:textFill>
              </w:rPr>
              <w:t>|</w:t>
            </w:r>
            <w:r w:rsidRPr="00592818">
              <w:rPr>
                <w:rFonts w:ascii="Arial Narrow" w:hAnsi="Arial Narrow" w:cstheme="majorHAnsi" w:hint="eastAsia"/>
                <w:color w:val="000000"/>
                <w:spacing w:val="-15"/>
                <w:w w:val="15"/>
                <w:szCs w:val="20"/>
                <w:fitText w:val="50" w:id="-1256558073"/>
                <w14:textFill>
                  <w14:solidFill>
                    <w14:srgbClr w14:val="000000">
                      <w14:alpha w14:val="100000"/>
                    </w14:srgbClr>
                  </w14:solidFill>
                </w14:textFill>
              </w:rPr>
              <w:t xml:space="preserve">　</w:t>
            </w:r>
          </w:p>
        </w:tc>
      </w:tr>
    </w:tbl>
    <w:p w14:paraId="63E00AFA" w14:textId="77777777" w:rsidR="00192D17" w:rsidRDefault="00192D17" w:rsidP="00367C94">
      <w:pPr>
        <w:spacing w:before="0" w:after="0" w:line="240" w:lineRule="auto"/>
        <w:rPr>
          <w:rFonts w:ascii="Arial Narrow" w:hAnsi="Arial Narrow"/>
          <w:sz w:val="18"/>
          <w:szCs w:val="18"/>
        </w:rPr>
      </w:pPr>
      <w:r w:rsidRPr="008C61D3">
        <w:rPr>
          <w:rFonts w:ascii="Arial Narrow" w:hAnsi="Arial Narrow"/>
          <w:sz w:val="18"/>
          <w:szCs w:val="18"/>
        </w:rPr>
        <w:t>AE, adverse event; DMR, degenerative mitral regurgitation; FMR, functional mitral regurgitation; MAE, major adverse event; MAIC, matching adjusted indirect comparison; MI, myocardial infarction</w:t>
      </w:r>
    </w:p>
    <w:p w14:paraId="2512155A" w14:textId="77777777" w:rsidR="00192D17" w:rsidRDefault="00192D17" w:rsidP="00367C94">
      <w:pPr>
        <w:spacing w:before="0" w:after="0" w:line="240" w:lineRule="auto"/>
        <w:rPr>
          <w:rFonts w:ascii="Arial Narrow" w:hAnsi="Arial Narrow"/>
          <w:sz w:val="18"/>
          <w:szCs w:val="18"/>
        </w:rPr>
      </w:pPr>
      <w:r>
        <w:rPr>
          <w:rFonts w:ascii="Arial Narrow" w:hAnsi="Arial Narrow"/>
          <w:sz w:val="18"/>
          <w:szCs w:val="18"/>
        </w:rPr>
        <w:t>* Not independently validated or corrected for the minor error as in the base case analysis</w:t>
      </w:r>
    </w:p>
    <w:p w14:paraId="41C9F330" w14:textId="7DACD4AB" w:rsidR="00192D17" w:rsidRPr="00427322" w:rsidRDefault="00192D17" w:rsidP="00367C94">
      <w:r w:rsidRPr="00427322">
        <w:rPr>
          <w:lang w:eastAsia="en-AU"/>
        </w:rPr>
        <w:t>Given multiple and not sufficiently explained assumptions underlying most of the calculations presented in</w:t>
      </w:r>
      <w:r w:rsidR="002B04A4">
        <w:rPr>
          <w:lang w:eastAsia="en-AU"/>
        </w:rPr>
        <w:t xml:space="preserve"> </w:t>
      </w:r>
      <w:r w:rsidR="002B04A4">
        <w:rPr>
          <w:lang w:eastAsia="en-AU"/>
        </w:rPr>
        <w:fldChar w:fldCharType="begin"/>
      </w:r>
      <w:r w:rsidR="002B04A4">
        <w:rPr>
          <w:lang w:eastAsia="en-AU"/>
        </w:rPr>
        <w:instrText xml:space="preserve"> REF _Ref111521764 \h </w:instrText>
      </w:r>
      <w:r w:rsidR="002B04A4">
        <w:rPr>
          <w:lang w:eastAsia="en-AU"/>
        </w:rPr>
      </w:r>
      <w:r w:rsidR="002B04A4">
        <w:rPr>
          <w:lang w:eastAsia="en-AU"/>
        </w:rPr>
        <w:fldChar w:fldCharType="separate"/>
      </w:r>
      <w:r w:rsidR="002B04A4">
        <w:t xml:space="preserve">Table </w:t>
      </w:r>
      <w:r w:rsidR="002B04A4">
        <w:rPr>
          <w:noProof/>
        </w:rPr>
        <w:t>33</w:t>
      </w:r>
      <w:r w:rsidR="002B04A4">
        <w:rPr>
          <w:lang w:eastAsia="en-AU"/>
        </w:rPr>
        <w:fldChar w:fldCharType="end"/>
      </w:r>
      <w:r w:rsidRPr="00427322">
        <w:rPr>
          <w:lang w:eastAsia="en-AU"/>
        </w:rPr>
        <w:t xml:space="preserve">, these results could not be independently validated. </w:t>
      </w:r>
      <w:r w:rsidRPr="00427322">
        <w:t xml:space="preserve">Only selected sensitivity analyses from </w:t>
      </w:r>
      <w:r w:rsidR="002B04A4">
        <w:fldChar w:fldCharType="begin"/>
      </w:r>
      <w:r w:rsidR="002B04A4">
        <w:instrText xml:space="preserve"> REF _Ref111521764 \h </w:instrText>
      </w:r>
      <w:r w:rsidR="002B04A4">
        <w:fldChar w:fldCharType="separate"/>
      </w:r>
      <w:r w:rsidR="002B04A4">
        <w:t xml:space="preserve">Table </w:t>
      </w:r>
      <w:r w:rsidR="002B04A4">
        <w:rPr>
          <w:noProof/>
        </w:rPr>
        <w:t>33</w:t>
      </w:r>
      <w:r w:rsidR="002B04A4">
        <w:fldChar w:fldCharType="end"/>
      </w:r>
      <w:r w:rsidR="002B04A4">
        <w:t xml:space="preserve"> </w:t>
      </w:r>
      <w:r w:rsidRPr="00427322">
        <w:t xml:space="preserve">where the content of “scenario setting” could be deciphered were replicated. Every single scenario analysis produced a small per-person saving. The </w:t>
      </w:r>
      <w:r w:rsidR="00432474" w:rsidRPr="00427322">
        <w:t xml:space="preserve">current </w:t>
      </w:r>
      <w:r w:rsidR="00432474" w:rsidRPr="00427322">
        <w:lastRenderedPageBreak/>
        <w:t>ADAR</w:t>
      </w:r>
      <w:r w:rsidRPr="00427322">
        <w:t xml:space="preserve"> has interpreted </w:t>
      </w:r>
      <w:r w:rsidR="002A1816" w:rsidRPr="00427322">
        <w:t xml:space="preserve">the </w:t>
      </w:r>
      <w:r w:rsidRPr="00427322">
        <w:t xml:space="preserve">results as evidence of cost-neutrality. </w:t>
      </w:r>
      <w:r w:rsidR="00432474" w:rsidRPr="00427322">
        <w:t>A k</w:t>
      </w:r>
      <w:r w:rsidRPr="00427322">
        <w:t>ey driver of the model appear</w:t>
      </w:r>
      <w:r w:rsidR="00432474" w:rsidRPr="00427322">
        <w:t>s</w:t>
      </w:r>
      <w:r w:rsidRPr="00427322">
        <w:t xml:space="preserve"> to be the FMR/DMR split</w:t>
      </w:r>
      <w:r w:rsidR="00432474" w:rsidRPr="00427322">
        <w:t>.</w:t>
      </w:r>
      <w:r w:rsidRPr="00427322">
        <w:t xml:space="preserve">  </w:t>
      </w:r>
    </w:p>
    <w:bookmarkEnd w:id="76"/>
    <w:p w14:paraId="245E1AC6" w14:textId="32AB08E9" w:rsidR="00192D17" w:rsidRPr="00427322" w:rsidRDefault="00192D17" w:rsidP="00367C94">
      <w:r w:rsidRPr="00427322">
        <w:t xml:space="preserve">The cost-minimisation model presented by the </w:t>
      </w:r>
      <w:r w:rsidR="00432474" w:rsidRPr="00427322">
        <w:t>current</w:t>
      </w:r>
      <w:r w:rsidRPr="00427322">
        <w:t xml:space="preserve"> ADAR was insufficient </w:t>
      </w:r>
      <w:r w:rsidR="00366270" w:rsidRPr="00427322">
        <w:t>for a broad</w:t>
      </w:r>
      <w:r w:rsidRPr="00427322">
        <w:t xml:space="preserve"> estimate of the total cost of the downstream events. Only a limited number of the AEs were included in the downstream cost</w:t>
      </w:r>
      <w:r w:rsidR="00432474" w:rsidRPr="00427322">
        <w:t>s</w:t>
      </w:r>
      <w:r w:rsidRPr="00427322">
        <w:t xml:space="preserve">. For those that were included, there was a paucity of short-term (30 days) and longer-term (12- and 24-months) evidence to obtain reliable estimates. It is likely that the short-term downstream costs, even after being enhanced with the comprehensive number of AEs, will remain a smaller part of the overall cost of a </w:t>
      </w:r>
      <w:proofErr w:type="spellStart"/>
      <w:r w:rsidRPr="00427322">
        <w:t>TMVr</w:t>
      </w:r>
      <w:proofErr w:type="spellEnd"/>
      <w:r w:rsidRPr="00427322">
        <w:t xml:space="preserve">. However, it is these costs that relate to the incremental cost difference and, with respect to the longer time horizon </w:t>
      </w:r>
      <w:r w:rsidR="00F90145" w:rsidRPr="00427322">
        <w:t xml:space="preserve">could </w:t>
      </w:r>
      <w:r w:rsidRPr="00427322">
        <w:t xml:space="preserve">contain the factors that substantially differentiate the costs of PASCAL and </w:t>
      </w:r>
      <w:proofErr w:type="spellStart"/>
      <w:r w:rsidRPr="00427322">
        <w:t>MitraClip</w:t>
      </w:r>
      <w:proofErr w:type="spellEnd"/>
      <w:r w:rsidRPr="00427322">
        <w:t xml:space="preserve">. On the basis of the available evidence that provided the inputs for the cost-minimisation model, it remains uncertain as to whether cost neutrality between </w:t>
      </w:r>
      <w:proofErr w:type="spellStart"/>
      <w:r w:rsidR="00F90145" w:rsidRPr="00427322">
        <w:t>TMVr</w:t>
      </w:r>
      <w:proofErr w:type="spellEnd"/>
      <w:r w:rsidR="00F90145" w:rsidRPr="00427322">
        <w:t xml:space="preserve"> using </w:t>
      </w:r>
      <w:r w:rsidRPr="00427322">
        <w:t xml:space="preserve">PASCAL and </w:t>
      </w:r>
      <w:proofErr w:type="spellStart"/>
      <w:r w:rsidRPr="00427322">
        <w:t>MitraClip</w:t>
      </w:r>
      <w:proofErr w:type="spellEnd"/>
      <w:r w:rsidRPr="00427322">
        <w:t xml:space="preserve"> was established.</w:t>
      </w:r>
    </w:p>
    <w:p w14:paraId="25AE2BAC" w14:textId="04DA5437" w:rsidR="00772829" w:rsidRPr="00CE28E3" w:rsidRDefault="00772829" w:rsidP="00F35C7B">
      <w:pPr>
        <w:pStyle w:val="Heading2"/>
        <w:numPr>
          <w:ilvl w:val="0"/>
          <w:numId w:val="33"/>
        </w:numPr>
        <w:ind w:hanging="810"/>
      </w:pPr>
      <w:bookmarkStart w:id="84" w:name="_Toc69491426"/>
      <w:r w:rsidRPr="00CE28E3">
        <w:t>Financial/budgetary impacts</w:t>
      </w:r>
      <w:bookmarkEnd w:id="84"/>
    </w:p>
    <w:p w14:paraId="060FB904" w14:textId="530C9C13" w:rsidR="00B61FE9" w:rsidRDefault="00D81F42" w:rsidP="00E74A1A">
      <w:pPr>
        <w:pStyle w:val="NormalBeforeBullet"/>
      </w:pPr>
      <w:r w:rsidRPr="00E74A1A">
        <w:t xml:space="preserve">The ADAR </w:t>
      </w:r>
      <w:r w:rsidR="00B2041E" w:rsidRPr="00E74A1A">
        <w:t xml:space="preserve">used </w:t>
      </w:r>
      <w:r w:rsidR="00592818" w:rsidRPr="00592818">
        <w:rPr>
          <w:color w:val="000000"/>
          <w:w w:val="74"/>
          <w:shd w:val="solid" w:color="000000" w:fill="000000"/>
          <w:fitText w:val="451" w:id="-1256558072"/>
          <w14:textFill>
            <w14:solidFill>
              <w14:srgbClr w14:val="000000">
                <w14:alpha w14:val="100000"/>
              </w14:srgbClr>
            </w14:solidFill>
          </w14:textFill>
        </w:rPr>
        <w:t>|||||</w:t>
      </w:r>
      <w:r w:rsidR="00592818" w:rsidRPr="00592818">
        <w:rPr>
          <w:color w:val="000000"/>
          <w:spacing w:val="1"/>
          <w:w w:val="74"/>
          <w:shd w:val="solid" w:color="000000" w:fill="000000"/>
          <w:fitText w:val="451" w:id="-1256558072"/>
          <w14:textFill>
            <w14:solidFill>
              <w14:srgbClr w14:val="000000">
                <w14:alpha w14:val="100000"/>
              </w14:srgbClr>
            </w14:solidFill>
          </w14:textFill>
        </w:rPr>
        <w:t>|</w:t>
      </w:r>
      <w:r w:rsidR="00592818" w:rsidRPr="00592818">
        <w:t xml:space="preserve"> </w:t>
      </w:r>
      <w:r w:rsidR="00592818" w:rsidRPr="00592818">
        <w:rPr>
          <w:color w:val="000000"/>
          <w:w w:val="74"/>
          <w:shd w:val="solid" w:color="000000" w:fill="000000"/>
          <w:fitText w:val="451" w:id="-1256558071"/>
          <w14:textFill>
            <w14:solidFill>
              <w14:srgbClr w14:val="000000">
                <w14:alpha w14:val="100000"/>
              </w14:srgbClr>
            </w14:solidFill>
          </w14:textFill>
        </w:rPr>
        <w:t>|||||</w:t>
      </w:r>
      <w:r w:rsidR="00592818" w:rsidRPr="00592818">
        <w:rPr>
          <w:color w:val="000000"/>
          <w:spacing w:val="1"/>
          <w:w w:val="74"/>
          <w:shd w:val="solid" w:color="000000" w:fill="000000"/>
          <w:fitText w:val="451" w:id="-1256558071"/>
          <w14:textFill>
            <w14:solidFill>
              <w14:srgbClr w14:val="000000">
                <w14:alpha w14:val="100000"/>
              </w14:srgbClr>
            </w14:solidFill>
          </w14:textFill>
        </w:rPr>
        <w:t>|</w:t>
      </w:r>
      <w:r w:rsidR="00592818" w:rsidRPr="00592818">
        <w:t xml:space="preserve"> </w:t>
      </w:r>
      <w:r w:rsidR="00592818" w:rsidRPr="00592818">
        <w:rPr>
          <w:color w:val="000000"/>
          <w:w w:val="74"/>
          <w:shd w:val="solid" w:color="000000" w:fill="000000"/>
          <w:fitText w:val="451" w:id="-1256558070"/>
          <w14:textFill>
            <w14:solidFill>
              <w14:srgbClr w14:val="000000">
                <w14:alpha w14:val="100000"/>
              </w14:srgbClr>
            </w14:solidFill>
          </w14:textFill>
        </w:rPr>
        <w:t>|||||</w:t>
      </w:r>
      <w:r w:rsidR="00592818" w:rsidRPr="00592818">
        <w:rPr>
          <w:color w:val="000000"/>
          <w:spacing w:val="1"/>
          <w:w w:val="74"/>
          <w:shd w:val="solid" w:color="000000" w:fill="000000"/>
          <w:fitText w:val="451" w:id="-1256558070"/>
          <w14:textFill>
            <w14:solidFill>
              <w14:srgbClr w14:val="000000">
                <w14:alpha w14:val="100000"/>
              </w14:srgbClr>
            </w14:solidFill>
          </w14:textFill>
        </w:rPr>
        <w:t>|</w:t>
      </w:r>
      <w:r w:rsidR="00592818" w:rsidRPr="00592818">
        <w:t xml:space="preserve"> </w:t>
      </w:r>
      <w:r w:rsidR="00B2041E" w:rsidRPr="00E74A1A">
        <w:t xml:space="preserve">approach </w:t>
      </w:r>
      <w:r w:rsidRPr="00E74A1A">
        <w:t>to estimate the financial implications to the MBS</w:t>
      </w:r>
      <w:r w:rsidR="00B61FE9" w:rsidRPr="00E74A1A">
        <w:t xml:space="preserve"> </w:t>
      </w:r>
      <w:r w:rsidR="00B2041E" w:rsidRPr="00E74A1A">
        <w:t>only</w:t>
      </w:r>
      <w:r w:rsidR="00B61FE9" w:rsidRPr="00E74A1A">
        <w:t xml:space="preserve">. </w:t>
      </w:r>
      <w:r w:rsidR="00B61FE9" w:rsidRPr="00E74A1A">
        <w:rPr>
          <w:shd w:val="clear" w:color="auto" w:fill="FFFFFF" w:themeFill="background1"/>
        </w:rPr>
        <w:t xml:space="preserve">Unchanged from the previous ADAR, it was assumed </w:t>
      </w:r>
      <w:r w:rsidR="00B2041E" w:rsidRPr="00E74A1A">
        <w:rPr>
          <w:shd w:val="clear" w:color="auto" w:fill="FFFFFF" w:themeFill="background1"/>
        </w:rPr>
        <w:t xml:space="preserve">PASCAL would account for </w:t>
      </w:r>
      <w:r w:rsidR="00592818" w:rsidRPr="00592818">
        <w:rPr>
          <w:color w:val="000000"/>
          <w:w w:val="74"/>
          <w:shd w:val="solid" w:color="000000" w:fill="000000"/>
          <w:fitText w:val="451" w:id="-1256558069"/>
          <w14:textFill>
            <w14:solidFill>
              <w14:srgbClr w14:val="000000">
                <w14:alpha w14:val="100000"/>
              </w14:srgbClr>
            </w14:solidFill>
          </w14:textFill>
        </w:rPr>
        <w:t>|||||</w:t>
      </w:r>
      <w:r w:rsidR="00592818" w:rsidRPr="00592818">
        <w:rPr>
          <w:color w:val="000000"/>
          <w:spacing w:val="1"/>
          <w:w w:val="74"/>
          <w:shd w:val="solid" w:color="000000" w:fill="000000"/>
          <w:fitText w:val="451" w:id="-1256558069"/>
          <w14:textFill>
            <w14:solidFill>
              <w14:srgbClr w14:val="000000">
                <w14:alpha w14:val="100000"/>
              </w14:srgbClr>
            </w14:solidFill>
          </w14:textFill>
        </w:rPr>
        <w:t>|</w:t>
      </w:r>
      <w:r w:rsidR="00592818" w:rsidRPr="00592818">
        <w:rPr>
          <w:shd w:val="clear" w:color="auto" w:fill="B4C6E7" w:themeFill="accent5" w:themeFillTint="66"/>
        </w:rPr>
        <w:t xml:space="preserve"> </w:t>
      </w:r>
      <w:r w:rsidR="00592818" w:rsidRPr="00592818">
        <w:rPr>
          <w:color w:val="000000"/>
          <w:w w:val="74"/>
          <w:shd w:val="solid" w:color="000000" w:fill="000000"/>
          <w:fitText w:val="451" w:id="-1256558068"/>
          <w14:textFill>
            <w14:solidFill>
              <w14:srgbClr w14:val="000000">
                <w14:alpha w14:val="100000"/>
              </w14:srgbClr>
            </w14:solidFill>
          </w14:textFill>
        </w:rPr>
        <w:t>|||||</w:t>
      </w:r>
      <w:r w:rsidR="00592818" w:rsidRPr="00592818">
        <w:rPr>
          <w:color w:val="000000"/>
          <w:spacing w:val="1"/>
          <w:w w:val="74"/>
          <w:shd w:val="solid" w:color="000000" w:fill="000000"/>
          <w:fitText w:val="451" w:id="-1256558068"/>
          <w14:textFill>
            <w14:solidFill>
              <w14:srgbClr w14:val="000000">
                <w14:alpha w14:val="100000"/>
              </w14:srgbClr>
            </w14:solidFill>
          </w14:textFill>
        </w:rPr>
        <w:t>|</w:t>
      </w:r>
      <w:r w:rsidR="00592818" w:rsidRPr="00592818">
        <w:rPr>
          <w:shd w:val="clear" w:color="auto" w:fill="B4C6E7" w:themeFill="accent5" w:themeFillTint="66"/>
        </w:rPr>
        <w:t xml:space="preserve"> </w:t>
      </w:r>
      <w:r w:rsidR="00592818" w:rsidRPr="00592818">
        <w:rPr>
          <w:color w:val="000000"/>
          <w:w w:val="74"/>
          <w:shd w:val="solid" w:color="000000" w:fill="000000"/>
          <w:fitText w:val="451" w:id="-1256558067"/>
          <w14:textFill>
            <w14:solidFill>
              <w14:srgbClr w14:val="000000">
                <w14:alpha w14:val="100000"/>
              </w14:srgbClr>
            </w14:solidFill>
          </w14:textFill>
        </w:rPr>
        <w:t>|||||</w:t>
      </w:r>
      <w:r w:rsidR="00592818" w:rsidRPr="00592818">
        <w:rPr>
          <w:color w:val="000000"/>
          <w:spacing w:val="1"/>
          <w:w w:val="74"/>
          <w:shd w:val="solid" w:color="000000" w:fill="000000"/>
          <w:fitText w:val="451" w:id="-1256558067"/>
          <w14:textFill>
            <w14:solidFill>
              <w14:srgbClr w14:val="000000">
                <w14:alpha w14:val="100000"/>
              </w14:srgbClr>
            </w14:solidFill>
          </w14:textFill>
        </w:rPr>
        <w:t>|</w:t>
      </w:r>
      <w:r w:rsidR="00592818" w:rsidRPr="00592818">
        <w:rPr>
          <w:shd w:val="clear" w:color="auto" w:fill="B4C6E7" w:themeFill="accent5" w:themeFillTint="66"/>
        </w:rPr>
        <w:t xml:space="preserve"> </w:t>
      </w:r>
      <w:r w:rsidR="00592818" w:rsidRPr="00592818">
        <w:rPr>
          <w:color w:val="000000"/>
          <w:w w:val="74"/>
          <w:shd w:val="solid" w:color="000000" w:fill="000000"/>
          <w:fitText w:val="451" w:id="-1256558066"/>
          <w14:textFill>
            <w14:solidFill>
              <w14:srgbClr w14:val="000000">
                <w14:alpha w14:val="100000"/>
              </w14:srgbClr>
            </w14:solidFill>
          </w14:textFill>
        </w:rPr>
        <w:t>|||||</w:t>
      </w:r>
      <w:r w:rsidR="00592818" w:rsidRPr="00592818">
        <w:rPr>
          <w:color w:val="000000"/>
          <w:spacing w:val="1"/>
          <w:w w:val="74"/>
          <w:shd w:val="solid" w:color="000000" w:fill="000000"/>
          <w:fitText w:val="451" w:id="-1256558066"/>
          <w14:textFill>
            <w14:solidFill>
              <w14:srgbClr w14:val="000000">
                <w14:alpha w14:val="100000"/>
              </w14:srgbClr>
            </w14:solidFill>
          </w14:textFill>
        </w:rPr>
        <w:t>|</w:t>
      </w:r>
      <w:r w:rsidR="00592818" w:rsidRPr="00592818">
        <w:rPr>
          <w:shd w:val="clear" w:color="auto" w:fill="B4C6E7" w:themeFill="accent5" w:themeFillTint="66"/>
        </w:rPr>
        <w:t xml:space="preserve"> </w:t>
      </w:r>
      <w:r w:rsidR="00592818" w:rsidRPr="00592818">
        <w:rPr>
          <w:color w:val="000000"/>
          <w:w w:val="74"/>
          <w:shd w:val="solid" w:color="000000" w:fill="000000"/>
          <w:fitText w:val="451" w:id="-1256558065"/>
          <w14:textFill>
            <w14:solidFill>
              <w14:srgbClr w14:val="000000">
                <w14:alpha w14:val="100000"/>
              </w14:srgbClr>
            </w14:solidFill>
          </w14:textFill>
        </w:rPr>
        <w:t>|||||</w:t>
      </w:r>
      <w:r w:rsidR="00592818" w:rsidRPr="00592818">
        <w:rPr>
          <w:color w:val="000000"/>
          <w:spacing w:val="1"/>
          <w:w w:val="74"/>
          <w:shd w:val="solid" w:color="000000" w:fill="000000"/>
          <w:fitText w:val="451" w:id="-1256558065"/>
          <w14:textFill>
            <w14:solidFill>
              <w14:srgbClr w14:val="000000">
                <w14:alpha w14:val="100000"/>
              </w14:srgbClr>
            </w14:solidFill>
          </w14:textFill>
        </w:rPr>
        <w:t>|</w:t>
      </w:r>
      <w:r w:rsidR="00592818" w:rsidRPr="00592818">
        <w:rPr>
          <w:shd w:val="clear" w:color="auto" w:fill="B4C6E7" w:themeFill="accent5" w:themeFillTint="66"/>
        </w:rPr>
        <w:t xml:space="preserve"> </w:t>
      </w:r>
      <w:r w:rsidR="00592818" w:rsidRPr="00592818">
        <w:rPr>
          <w:color w:val="000000"/>
          <w:w w:val="74"/>
          <w:shd w:val="solid" w:color="000000" w:fill="000000"/>
          <w:fitText w:val="451" w:id="-1256558064"/>
          <w14:textFill>
            <w14:solidFill>
              <w14:srgbClr w14:val="000000">
                <w14:alpha w14:val="100000"/>
              </w14:srgbClr>
            </w14:solidFill>
          </w14:textFill>
        </w:rPr>
        <w:t>|||||</w:t>
      </w:r>
      <w:r w:rsidR="00592818" w:rsidRPr="00592818">
        <w:rPr>
          <w:color w:val="000000"/>
          <w:spacing w:val="1"/>
          <w:w w:val="74"/>
          <w:shd w:val="solid" w:color="000000" w:fill="000000"/>
          <w:fitText w:val="451" w:id="-1256558064"/>
          <w14:textFill>
            <w14:solidFill>
              <w14:srgbClr w14:val="000000">
                <w14:alpha w14:val="100000"/>
              </w14:srgbClr>
            </w14:solidFill>
          </w14:textFill>
        </w:rPr>
        <w:t>|</w:t>
      </w:r>
      <w:r w:rsidR="00592818" w:rsidRPr="00592818">
        <w:rPr>
          <w:shd w:val="clear" w:color="auto" w:fill="B4C6E7" w:themeFill="accent5" w:themeFillTint="66"/>
        </w:rPr>
        <w:t xml:space="preserve"> </w:t>
      </w:r>
      <w:r w:rsidR="00592818" w:rsidRPr="00592818">
        <w:rPr>
          <w:color w:val="000000"/>
          <w:w w:val="74"/>
          <w:shd w:val="solid" w:color="000000" w:fill="000000"/>
          <w:fitText w:val="451" w:id="-1256558080"/>
          <w14:textFill>
            <w14:solidFill>
              <w14:srgbClr w14:val="000000">
                <w14:alpha w14:val="100000"/>
              </w14:srgbClr>
            </w14:solidFill>
          </w14:textFill>
        </w:rPr>
        <w:t>|||||</w:t>
      </w:r>
      <w:r w:rsidR="00592818" w:rsidRPr="00592818">
        <w:rPr>
          <w:color w:val="000000"/>
          <w:spacing w:val="1"/>
          <w:w w:val="74"/>
          <w:shd w:val="solid" w:color="000000" w:fill="000000"/>
          <w:fitText w:val="451" w:id="-1256558080"/>
          <w14:textFill>
            <w14:solidFill>
              <w14:srgbClr w14:val="000000">
                <w14:alpha w14:val="100000"/>
              </w14:srgbClr>
            </w14:solidFill>
          </w14:textFill>
        </w:rPr>
        <w:t>|</w:t>
      </w:r>
      <w:r w:rsidR="00592818" w:rsidRPr="00592818">
        <w:rPr>
          <w:shd w:val="clear" w:color="auto" w:fill="B4C6E7" w:themeFill="accent5" w:themeFillTint="66"/>
        </w:rPr>
        <w:t xml:space="preserve"> </w:t>
      </w:r>
      <w:r w:rsidR="00592818" w:rsidRPr="00592818">
        <w:rPr>
          <w:color w:val="000000"/>
          <w:w w:val="74"/>
          <w:shd w:val="solid" w:color="000000" w:fill="000000"/>
          <w:fitText w:val="451" w:id="-1256558079"/>
          <w14:textFill>
            <w14:solidFill>
              <w14:srgbClr w14:val="000000">
                <w14:alpha w14:val="100000"/>
              </w14:srgbClr>
            </w14:solidFill>
          </w14:textFill>
        </w:rPr>
        <w:t>|||||</w:t>
      </w:r>
      <w:r w:rsidR="00592818" w:rsidRPr="00592818">
        <w:rPr>
          <w:color w:val="000000"/>
          <w:spacing w:val="1"/>
          <w:w w:val="74"/>
          <w:shd w:val="solid" w:color="000000" w:fill="000000"/>
          <w:fitText w:val="451" w:id="-1256558079"/>
          <w14:textFill>
            <w14:solidFill>
              <w14:srgbClr w14:val="000000">
                <w14:alpha w14:val="100000"/>
              </w14:srgbClr>
            </w14:solidFill>
          </w14:textFill>
        </w:rPr>
        <w:t>|</w:t>
      </w:r>
      <w:r w:rsidR="00592818" w:rsidRPr="00592818">
        <w:rPr>
          <w:shd w:val="clear" w:color="auto" w:fill="B4C6E7" w:themeFill="accent5" w:themeFillTint="66"/>
        </w:rPr>
        <w:t xml:space="preserve"> </w:t>
      </w:r>
      <w:r w:rsidR="00592818" w:rsidRPr="00592818">
        <w:rPr>
          <w:color w:val="000000"/>
          <w:w w:val="74"/>
          <w:shd w:val="solid" w:color="000000" w:fill="000000"/>
          <w:fitText w:val="450" w:id="-1256558078"/>
          <w14:textFill>
            <w14:solidFill>
              <w14:srgbClr w14:val="000000">
                <w14:alpha w14:val="100000"/>
              </w14:srgbClr>
            </w14:solidFill>
          </w14:textFill>
        </w:rPr>
        <w:t>||||||</w:t>
      </w:r>
      <w:r w:rsidR="00592818" w:rsidRPr="00592818">
        <w:rPr>
          <w:shd w:val="clear" w:color="auto" w:fill="B4C6E7" w:themeFill="accent5" w:themeFillTint="66"/>
        </w:rPr>
        <w:t xml:space="preserve"> </w:t>
      </w:r>
      <w:r w:rsidR="00592818" w:rsidRPr="00592818">
        <w:rPr>
          <w:color w:val="000000"/>
          <w:w w:val="74"/>
          <w:shd w:val="solid" w:color="000000" w:fill="000000"/>
          <w:fitText w:val="451" w:id="-1256558077"/>
          <w14:textFill>
            <w14:solidFill>
              <w14:srgbClr w14:val="000000">
                <w14:alpha w14:val="100000"/>
              </w14:srgbClr>
            </w14:solidFill>
          </w14:textFill>
        </w:rPr>
        <w:t>|||||</w:t>
      </w:r>
      <w:r w:rsidR="00592818" w:rsidRPr="00592818">
        <w:rPr>
          <w:color w:val="000000"/>
          <w:spacing w:val="1"/>
          <w:w w:val="74"/>
          <w:shd w:val="solid" w:color="000000" w:fill="000000"/>
          <w:fitText w:val="451" w:id="-1256558077"/>
          <w14:textFill>
            <w14:solidFill>
              <w14:srgbClr w14:val="000000">
                <w14:alpha w14:val="100000"/>
              </w14:srgbClr>
            </w14:solidFill>
          </w14:textFill>
        </w:rPr>
        <w:t>|</w:t>
      </w:r>
      <w:r w:rsidR="00592818" w:rsidRPr="00592818">
        <w:rPr>
          <w:shd w:val="clear" w:color="auto" w:fill="B4C6E7" w:themeFill="accent5" w:themeFillTint="66"/>
        </w:rPr>
        <w:t xml:space="preserve"> </w:t>
      </w:r>
      <w:r w:rsidR="00592818" w:rsidRPr="00592818">
        <w:rPr>
          <w:color w:val="000000"/>
          <w:w w:val="74"/>
          <w:shd w:val="solid" w:color="000000" w:fill="000000"/>
          <w:fitText w:val="451" w:id="-1256558076"/>
          <w14:textFill>
            <w14:solidFill>
              <w14:srgbClr w14:val="000000">
                <w14:alpha w14:val="100000"/>
              </w14:srgbClr>
            </w14:solidFill>
          </w14:textFill>
        </w:rPr>
        <w:t>|||||</w:t>
      </w:r>
      <w:r w:rsidR="00592818" w:rsidRPr="00592818">
        <w:rPr>
          <w:color w:val="000000"/>
          <w:spacing w:val="1"/>
          <w:w w:val="74"/>
          <w:shd w:val="solid" w:color="000000" w:fill="000000"/>
          <w:fitText w:val="451" w:id="-1256558076"/>
          <w14:textFill>
            <w14:solidFill>
              <w14:srgbClr w14:val="000000">
                <w14:alpha w14:val="100000"/>
              </w14:srgbClr>
            </w14:solidFill>
          </w14:textFill>
        </w:rPr>
        <w:t>|</w:t>
      </w:r>
      <w:r w:rsidR="00592818" w:rsidRPr="00592818">
        <w:rPr>
          <w:shd w:val="clear" w:color="auto" w:fill="B4C6E7" w:themeFill="accent5" w:themeFillTint="66"/>
        </w:rPr>
        <w:t xml:space="preserve"> </w:t>
      </w:r>
      <w:r w:rsidR="00592818" w:rsidRPr="00592818">
        <w:rPr>
          <w:color w:val="000000"/>
          <w:w w:val="74"/>
          <w:shd w:val="solid" w:color="000000" w:fill="000000"/>
          <w:fitText w:val="450" w:id="-1256558075"/>
          <w14:textFill>
            <w14:solidFill>
              <w14:srgbClr w14:val="000000">
                <w14:alpha w14:val="100000"/>
              </w14:srgbClr>
            </w14:solidFill>
          </w14:textFill>
        </w:rPr>
        <w:t>||||||</w:t>
      </w:r>
      <w:r w:rsidR="00353B8C" w:rsidRPr="00E74A1A">
        <w:rPr>
          <w:shd w:val="clear" w:color="auto" w:fill="B4C6E7" w:themeFill="accent5" w:themeFillTint="66"/>
        </w:rPr>
        <w:t>.</w:t>
      </w:r>
      <w:r w:rsidR="00353B8C" w:rsidRPr="004807F5">
        <w:rPr>
          <w:shd w:val="clear" w:color="auto" w:fill="B4C6E7" w:themeFill="accent5" w:themeFillTint="66"/>
        </w:rPr>
        <w:t xml:space="preserve"> </w:t>
      </w:r>
    </w:p>
    <w:p w14:paraId="7A7DE596" w14:textId="5C0C7A79" w:rsidR="00D428B9" w:rsidRPr="00D81F42" w:rsidRDefault="00D81F42" w:rsidP="00367C94">
      <w:pPr>
        <w:pStyle w:val="Instructionaltext"/>
        <w:rPr>
          <w:color w:val="auto"/>
        </w:rPr>
      </w:pPr>
      <w:r w:rsidRPr="00E74A1A">
        <w:rPr>
          <w:color w:val="auto"/>
        </w:rPr>
        <w:t xml:space="preserve">The </w:t>
      </w:r>
      <w:r w:rsidR="00B61FE9" w:rsidRPr="00E74A1A">
        <w:rPr>
          <w:color w:val="auto"/>
        </w:rPr>
        <w:t xml:space="preserve">number of total TMVR procedures Year 1 was </w:t>
      </w:r>
      <w:r w:rsidRPr="00E74A1A">
        <w:rPr>
          <w:color w:val="auto"/>
        </w:rPr>
        <w:t xml:space="preserve">assumed to be </w:t>
      </w:r>
      <w:r w:rsidR="00592818" w:rsidRPr="00592818">
        <w:rPr>
          <w:color w:val="000000"/>
          <w:w w:val="66"/>
          <w:shd w:val="solid" w:color="000000" w:fill="000000"/>
          <w:fitText w:val="439" w:id="-1256558074"/>
          <w14:textFill>
            <w14:solidFill>
              <w14:srgbClr w14:val="000000">
                <w14:alpha w14:val="100000"/>
              </w14:srgbClr>
            </w14:solidFill>
          </w14:textFill>
        </w:rPr>
        <w:t>|||||</w:t>
      </w:r>
      <w:r w:rsidR="00592818" w:rsidRPr="00592818">
        <w:rPr>
          <w:color w:val="000000"/>
          <w:spacing w:val="3"/>
          <w:w w:val="66"/>
          <w:shd w:val="solid" w:color="000000" w:fill="000000"/>
          <w:fitText w:val="439" w:id="-1256558074"/>
          <w14:textFill>
            <w14:solidFill>
              <w14:srgbClr w14:val="000000">
                <w14:alpha w14:val="100000"/>
              </w14:srgbClr>
            </w14:solidFill>
          </w14:textFill>
        </w:rPr>
        <w:t>|</w:t>
      </w:r>
      <w:r w:rsidR="00592818" w:rsidRPr="00592818">
        <w:rPr>
          <w:color w:val="auto"/>
        </w:rPr>
        <w:t xml:space="preserve"> </w:t>
      </w:r>
      <w:r w:rsidR="00592818" w:rsidRPr="00592818">
        <w:rPr>
          <w:color w:val="000000"/>
          <w:w w:val="66"/>
          <w:shd w:val="solid" w:color="000000" w:fill="000000"/>
          <w:fitText w:val="438" w:id="-1256558073"/>
          <w14:textFill>
            <w14:solidFill>
              <w14:srgbClr w14:val="000000">
                <w14:alpha w14:val="100000"/>
              </w14:srgbClr>
            </w14:solidFill>
          </w14:textFill>
        </w:rPr>
        <w:t>|||||</w:t>
      </w:r>
      <w:r w:rsidR="00592818" w:rsidRPr="00592818">
        <w:rPr>
          <w:color w:val="000000"/>
          <w:spacing w:val="2"/>
          <w:w w:val="66"/>
          <w:shd w:val="solid" w:color="000000" w:fill="000000"/>
          <w:fitText w:val="438" w:id="-1256558073"/>
          <w14:textFill>
            <w14:solidFill>
              <w14:srgbClr w14:val="000000">
                <w14:alpha w14:val="100000"/>
              </w14:srgbClr>
            </w14:solidFill>
          </w14:textFill>
        </w:rPr>
        <w:t>|</w:t>
      </w:r>
      <w:r w:rsidR="00592818" w:rsidRPr="00592818">
        <w:rPr>
          <w:color w:val="auto"/>
        </w:rPr>
        <w:t xml:space="preserve"> </w:t>
      </w:r>
      <w:r w:rsidR="00592818" w:rsidRPr="00592818">
        <w:rPr>
          <w:color w:val="000000"/>
          <w:w w:val="66"/>
          <w:shd w:val="solid" w:color="000000" w:fill="000000"/>
          <w:fitText w:val="438" w:id="-1256558072"/>
          <w14:textFill>
            <w14:solidFill>
              <w14:srgbClr w14:val="000000">
                <w14:alpha w14:val="100000"/>
              </w14:srgbClr>
            </w14:solidFill>
          </w14:textFill>
        </w:rPr>
        <w:t>|||||</w:t>
      </w:r>
      <w:r w:rsidR="00592818" w:rsidRPr="00592818">
        <w:rPr>
          <w:color w:val="000000"/>
          <w:spacing w:val="2"/>
          <w:w w:val="66"/>
          <w:shd w:val="solid" w:color="000000" w:fill="000000"/>
          <w:fitText w:val="438" w:id="-1256558072"/>
          <w14:textFill>
            <w14:solidFill>
              <w14:srgbClr w14:val="000000">
                <w14:alpha w14:val="100000"/>
              </w14:srgbClr>
            </w14:solidFill>
          </w14:textFill>
        </w:rPr>
        <w:t>|</w:t>
      </w:r>
      <w:r w:rsidR="00592818" w:rsidRPr="00592818">
        <w:rPr>
          <w:color w:val="auto"/>
        </w:rPr>
        <w:t xml:space="preserve"> </w:t>
      </w:r>
      <w:r w:rsidR="00592818" w:rsidRPr="00592818">
        <w:rPr>
          <w:color w:val="000000"/>
          <w:w w:val="66"/>
          <w:shd w:val="solid" w:color="000000" w:fill="000000"/>
          <w:fitText w:val="438" w:id="-1256558071"/>
          <w14:textFill>
            <w14:solidFill>
              <w14:srgbClr w14:val="000000">
                <w14:alpha w14:val="100000"/>
              </w14:srgbClr>
            </w14:solidFill>
          </w14:textFill>
        </w:rPr>
        <w:t>|||||</w:t>
      </w:r>
      <w:r w:rsidR="00592818" w:rsidRPr="00592818">
        <w:rPr>
          <w:color w:val="000000"/>
          <w:spacing w:val="2"/>
          <w:w w:val="66"/>
          <w:shd w:val="solid" w:color="000000" w:fill="000000"/>
          <w:fitText w:val="438" w:id="-1256558071"/>
          <w14:textFill>
            <w14:solidFill>
              <w14:srgbClr w14:val="000000">
                <w14:alpha w14:val="100000"/>
              </w14:srgbClr>
            </w14:solidFill>
          </w14:textFill>
        </w:rPr>
        <w:t>|</w:t>
      </w:r>
      <w:r w:rsidR="00592818" w:rsidRPr="00592818">
        <w:rPr>
          <w:color w:val="auto"/>
        </w:rPr>
        <w:t xml:space="preserve"> </w:t>
      </w:r>
      <w:r w:rsidR="00592818" w:rsidRPr="00592818">
        <w:rPr>
          <w:color w:val="000000"/>
          <w:w w:val="66"/>
          <w:shd w:val="solid" w:color="000000" w:fill="000000"/>
          <w:fitText w:val="438" w:id="-1256558070"/>
          <w14:textFill>
            <w14:solidFill>
              <w14:srgbClr w14:val="000000">
                <w14:alpha w14:val="100000"/>
              </w14:srgbClr>
            </w14:solidFill>
          </w14:textFill>
        </w:rPr>
        <w:t>|||||</w:t>
      </w:r>
      <w:r w:rsidR="00592818" w:rsidRPr="00592818">
        <w:rPr>
          <w:color w:val="000000"/>
          <w:spacing w:val="2"/>
          <w:w w:val="66"/>
          <w:shd w:val="solid" w:color="000000" w:fill="000000"/>
          <w:fitText w:val="438" w:id="-1256558070"/>
          <w14:textFill>
            <w14:solidFill>
              <w14:srgbClr w14:val="000000">
                <w14:alpha w14:val="100000"/>
              </w14:srgbClr>
            </w14:solidFill>
          </w14:textFill>
        </w:rPr>
        <w:t>|</w:t>
      </w:r>
      <w:r w:rsidR="00592818" w:rsidRPr="00592818">
        <w:rPr>
          <w:color w:val="auto"/>
        </w:rPr>
        <w:t xml:space="preserve"> </w:t>
      </w:r>
      <w:r w:rsidR="00592818" w:rsidRPr="00592818">
        <w:rPr>
          <w:color w:val="000000"/>
          <w:w w:val="66"/>
          <w:shd w:val="solid" w:color="000000" w:fill="000000"/>
          <w:fitText w:val="439" w:id="-1256558069"/>
          <w14:textFill>
            <w14:solidFill>
              <w14:srgbClr w14:val="000000">
                <w14:alpha w14:val="100000"/>
              </w14:srgbClr>
            </w14:solidFill>
          </w14:textFill>
        </w:rPr>
        <w:t>|||||</w:t>
      </w:r>
      <w:r w:rsidR="00592818" w:rsidRPr="00592818">
        <w:rPr>
          <w:color w:val="000000"/>
          <w:spacing w:val="3"/>
          <w:w w:val="66"/>
          <w:shd w:val="solid" w:color="000000" w:fill="000000"/>
          <w:fitText w:val="439" w:id="-1256558069"/>
          <w14:textFill>
            <w14:solidFill>
              <w14:srgbClr w14:val="000000">
                <w14:alpha w14:val="100000"/>
              </w14:srgbClr>
            </w14:solidFill>
          </w14:textFill>
        </w:rPr>
        <w:t>|</w:t>
      </w:r>
      <w:r w:rsidR="00592818" w:rsidRPr="00592818">
        <w:rPr>
          <w:color w:val="auto"/>
        </w:rPr>
        <w:t xml:space="preserve"> </w:t>
      </w:r>
      <w:r w:rsidR="00592818" w:rsidRPr="00592818">
        <w:rPr>
          <w:color w:val="000000"/>
          <w:w w:val="66"/>
          <w:shd w:val="solid" w:color="000000" w:fill="000000"/>
          <w:fitText w:val="439" w:id="-1256558068"/>
          <w14:textFill>
            <w14:solidFill>
              <w14:srgbClr w14:val="000000">
                <w14:alpha w14:val="100000"/>
              </w14:srgbClr>
            </w14:solidFill>
          </w14:textFill>
        </w:rPr>
        <w:t>|||||</w:t>
      </w:r>
      <w:r w:rsidR="00592818" w:rsidRPr="00592818">
        <w:rPr>
          <w:color w:val="000000"/>
          <w:spacing w:val="3"/>
          <w:w w:val="66"/>
          <w:shd w:val="solid" w:color="000000" w:fill="000000"/>
          <w:fitText w:val="439" w:id="-1256558068"/>
          <w14:textFill>
            <w14:solidFill>
              <w14:srgbClr w14:val="000000">
                <w14:alpha w14:val="100000"/>
              </w14:srgbClr>
            </w14:solidFill>
          </w14:textFill>
        </w:rPr>
        <w:t>|</w:t>
      </w:r>
      <w:r w:rsidR="00592818" w:rsidRPr="00592818">
        <w:rPr>
          <w:color w:val="auto"/>
        </w:rPr>
        <w:t xml:space="preserve"> </w:t>
      </w:r>
      <w:r w:rsidR="00592818" w:rsidRPr="00592818">
        <w:rPr>
          <w:color w:val="000000"/>
          <w:w w:val="66"/>
          <w:shd w:val="solid" w:color="000000" w:fill="000000"/>
          <w:fitText w:val="438" w:id="-1256558067"/>
          <w14:textFill>
            <w14:solidFill>
              <w14:srgbClr w14:val="000000">
                <w14:alpha w14:val="100000"/>
              </w14:srgbClr>
            </w14:solidFill>
          </w14:textFill>
        </w:rPr>
        <w:t>|||||</w:t>
      </w:r>
      <w:r w:rsidR="00592818" w:rsidRPr="00592818">
        <w:rPr>
          <w:color w:val="000000"/>
          <w:spacing w:val="2"/>
          <w:w w:val="66"/>
          <w:shd w:val="solid" w:color="000000" w:fill="000000"/>
          <w:fitText w:val="438" w:id="-1256558067"/>
          <w14:textFill>
            <w14:solidFill>
              <w14:srgbClr w14:val="000000">
                <w14:alpha w14:val="100000"/>
              </w14:srgbClr>
            </w14:solidFill>
          </w14:textFill>
        </w:rPr>
        <w:t>|</w:t>
      </w:r>
      <w:r w:rsidR="00592818" w:rsidRPr="00592818">
        <w:rPr>
          <w:color w:val="auto"/>
        </w:rPr>
        <w:t xml:space="preserve"> </w:t>
      </w:r>
      <w:r w:rsidR="00592818" w:rsidRPr="00592818">
        <w:rPr>
          <w:color w:val="000000"/>
          <w:w w:val="68"/>
          <w:shd w:val="solid" w:color="000000" w:fill="000000"/>
          <w:fitText w:val="451" w:id="-1256558066"/>
          <w14:textFill>
            <w14:solidFill>
              <w14:srgbClr w14:val="000000">
                <w14:alpha w14:val="100000"/>
              </w14:srgbClr>
            </w14:solidFill>
          </w14:textFill>
        </w:rPr>
        <w:t>|||||</w:t>
      </w:r>
      <w:r w:rsidR="00592818" w:rsidRPr="00592818">
        <w:rPr>
          <w:color w:val="000000"/>
          <w:spacing w:val="3"/>
          <w:w w:val="68"/>
          <w:shd w:val="solid" w:color="000000" w:fill="000000"/>
          <w:fitText w:val="451" w:id="-1256558066"/>
          <w14:textFill>
            <w14:solidFill>
              <w14:srgbClr w14:val="000000">
                <w14:alpha w14:val="100000"/>
              </w14:srgbClr>
            </w14:solidFill>
          </w14:textFill>
        </w:rPr>
        <w:t>|</w:t>
      </w:r>
      <w:r w:rsidR="00592818" w:rsidRPr="00592818">
        <w:rPr>
          <w:color w:val="auto"/>
        </w:rPr>
        <w:t xml:space="preserve"> </w:t>
      </w:r>
      <w:r w:rsidR="00592818" w:rsidRPr="00592818">
        <w:rPr>
          <w:color w:val="000000"/>
          <w:w w:val="66"/>
          <w:shd w:val="solid" w:color="000000" w:fill="000000"/>
          <w:fitText w:val="439" w:id="-1256558065"/>
          <w14:textFill>
            <w14:solidFill>
              <w14:srgbClr w14:val="000000">
                <w14:alpha w14:val="100000"/>
              </w14:srgbClr>
            </w14:solidFill>
          </w14:textFill>
        </w:rPr>
        <w:t>|||||</w:t>
      </w:r>
      <w:r w:rsidR="00592818" w:rsidRPr="00592818">
        <w:rPr>
          <w:color w:val="000000"/>
          <w:spacing w:val="3"/>
          <w:w w:val="66"/>
          <w:shd w:val="solid" w:color="000000" w:fill="000000"/>
          <w:fitText w:val="439" w:id="-1256558065"/>
          <w14:textFill>
            <w14:solidFill>
              <w14:srgbClr w14:val="000000">
                <w14:alpha w14:val="100000"/>
              </w14:srgbClr>
            </w14:solidFill>
          </w14:textFill>
        </w:rPr>
        <w:t>|</w:t>
      </w:r>
      <w:r w:rsidR="00592818" w:rsidRPr="00592818">
        <w:rPr>
          <w:color w:val="auto"/>
        </w:rPr>
        <w:t xml:space="preserve"> </w:t>
      </w:r>
      <w:r w:rsidR="00592818" w:rsidRPr="00592818">
        <w:rPr>
          <w:color w:val="000000"/>
          <w:w w:val="66"/>
          <w:shd w:val="solid" w:color="000000" w:fill="000000"/>
          <w:fitText w:val="438" w:id="-1256558064"/>
          <w14:textFill>
            <w14:solidFill>
              <w14:srgbClr w14:val="000000">
                <w14:alpha w14:val="100000"/>
              </w14:srgbClr>
            </w14:solidFill>
          </w14:textFill>
        </w:rPr>
        <w:t>|||||</w:t>
      </w:r>
      <w:r w:rsidR="00592818" w:rsidRPr="00592818">
        <w:rPr>
          <w:color w:val="000000"/>
          <w:spacing w:val="2"/>
          <w:w w:val="66"/>
          <w:shd w:val="solid" w:color="000000" w:fill="000000"/>
          <w:fitText w:val="438" w:id="-1256558064"/>
          <w14:textFill>
            <w14:solidFill>
              <w14:srgbClr w14:val="000000">
                <w14:alpha w14:val="100000"/>
              </w14:srgbClr>
            </w14:solidFill>
          </w14:textFill>
        </w:rPr>
        <w:t>|</w:t>
      </w:r>
      <w:r w:rsidR="00592818" w:rsidRPr="00592818">
        <w:rPr>
          <w:color w:val="auto"/>
        </w:rPr>
        <w:t xml:space="preserve"> </w:t>
      </w:r>
      <w:r w:rsidR="00592818" w:rsidRPr="00592818">
        <w:rPr>
          <w:color w:val="000000"/>
          <w:w w:val="68"/>
          <w:shd w:val="solid" w:color="000000" w:fill="000000"/>
          <w:fitText w:val="451" w:id="-1256558080"/>
          <w14:textFill>
            <w14:solidFill>
              <w14:srgbClr w14:val="000000">
                <w14:alpha w14:val="100000"/>
              </w14:srgbClr>
            </w14:solidFill>
          </w14:textFill>
        </w:rPr>
        <w:t>|||||</w:t>
      </w:r>
      <w:r w:rsidR="00592818" w:rsidRPr="00592818">
        <w:rPr>
          <w:color w:val="000000"/>
          <w:spacing w:val="3"/>
          <w:w w:val="68"/>
          <w:shd w:val="solid" w:color="000000" w:fill="000000"/>
          <w:fitText w:val="451" w:id="-1256558080"/>
          <w14:textFill>
            <w14:solidFill>
              <w14:srgbClr w14:val="000000">
                <w14:alpha w14:val="100000"/>
              </w14:srgbClr>
            </w14:solidFill>
          </w14:textFill>
        </w:rPr>
        <w:t>|</w:t>
      </w:r>
      <w:r w:rsidR="00592818" w:rsidRPr="00592818">
        <w:rPr>
          <w:color w:val="auto"/>
        </w:rPr>
        <w:t xml:space="preserve"> </w:t>
      </w:r>
      <w:r w:rsidR="00592818" w:rsidRPr="00592818">
        <w:rPr>
          <w:color w:val="000000"/>
          <w:w w:val="66"/>
          <w:shd w:val="solid" w:color="000000" w:fill="000000"/>
          <w:fitText w:val="439" w:id="-1256558079"/>
          <w14:textFill>
            <w14:solidFill>
              <w14:srgbClr w14:val="000000">
                <w14:alpha w14:val="100000"/>
              </w14:srgbClr>
            </w14:solidFill>
          </w14:textFill>
        </w:rPr>
        <w:t>|||||</w:t>
      </w:r>
      <w:r w:rsidR="00592818" w:rsidRPr="00592818">
        <w:rPr>
          <w:color w:val="000000"/>
          <w:spacing w:val="3"/>
          <w:w w:val="66"/>
          <w:shd w:val="solid" w:color="000000" w:fill="000000"/>
          <w:fitText w:val="439" w:id="-1256558079"/>
          <w14:textFill>
            <w14:solidFill>
              <w14:srgbClr w14:val="000000">
                <w14:alpha w14:val="100000"/>
              </w14:srgbClr>
            </w14:solidFill>
          </w14:textFill>
        </w:rPr>
        <w:t>|</w:t>
      </w:r>
      <w:r w:rsidR="00592818" w:rsidRPr="00592818">
        <w:rPr>
          <w:color w:val="auto"/>
        </w:rPr>
        <w:t xml:space="preserve"> </w:t>
      </w:r>
      <w:r w:rsidR="00592818" w:rsidRPr="00592818">
        <w:rPr>
          <w:color w:val="000000"/>
          <w:w w:val="66"/>
          <w:shd w:val="solid" w:color="000000" w:fill="000000"/>
          <w:fitText w:val="438" w:id="-1256558078"/>
          <w14:textFill>
            <w14:solidFill>
              <w14:srgbClr w14:val="000000">
                <w14:alpha w14:val="100000"/>
              </w14:srgbClr>
            </w14:solidFill>
          </w14:textFill>
        </w:rPr>
        <w:t>|||||</w:t>
      </w:r>
      <w:r w:rsidR="00592818" w:rsidRPr="00592818">
        <w:rPr>
          <w:color w:val="000000"/>
          <w:spacing w:val="2"/>
          <w:w w:val="66"/>
          <w:shd w:val="solid" w:color="000000" w:fill="000000"/>
          <w:fitText w:val="438" w:id="-1256558078"/>
          <w14:textFill>
            <w14:solidFill>
              <w14:srgbClr w14:val="000000">
                <w14:alpha w14:val="100000"/>
              </w14:srgbClr>
            </w14:solidFill>
          </w14:textFill>
        </w:rPr>
        <w:t>|</w:t>
      </w:r>
      <w:r w:rsidR="00592818" w:rsidRPr="00592818">
        <w:rPr>
          <w:color w:val="auto"/>
        </w:rPr>
        <w:t xml:space="preserve"> </w:t>
      </w:r>
      <w:r w:rsidR="00592818" w:rsidRPr="00592818">
        <w:rPr>
          <w:color w:val="000000"/>
          <w:w w:val="66"/>
          <w:shd w:val="solid" w:color="000000" w:fill="000000"/>
          <w:fitText w:val="438" w:id="-1256558077"/>
          <w14:textFill>
            <w14:solidFill>
              <w14:srgbClr w14:val="000000">
                <w14:alpha w14:val="100000"/>
              </w14:srgbClr>
            </w14:solidFill>
          </w14:textFill>
        </w:rPr>
        <w:t>|||||</w:t>
      </w:r>
      <w:r w:rsidR="00592818" w:rsidRPr="00592818">
        <w:rPr>
          <w:color w:val="000000"/>
          <w:spacing w:val="2"/>
          <w:w w:val="66"/>
          <w:shd w:val="solid" w:color="000000" w:fill="000000"/>
          <w:fitText w:val="438" w:id="-1256558077"/>
          <w14:textFill>
            <w14:solidFill>
              <w14:srgbClr w14:val="000000">
                <w14:alpha w14:val="100000"/>
              </w14:srgbClr>
            </w14:solidFill>
          </w14:textFill>
        </w:rPr>
        <w:t>|</w:t>
      </w:r>
      <w:r w:rsidR="00592818" w:rsidRPr="00592818">
        <w:rPr>
          <w:color w:val="auto"/>
        </w:rPr>
        <w:t xml:space="preserve"> </w:t>
      </w:r>
      <w:r w:rsidR="00592818" w:rsidRPr="00592818">
        <w:rPr>
          <w:color w:val="000000"/>
          <w:w w:val="66"/>
          <w:shd w:val="solid" w:color="000000" w:fill="000000"/>
          <w:fitText w:val="438" w:id="-1256558076"/>
          <w14:textFill>
            <w14:solidFill>
              <w14:srgbClr w14:val="000000">
                <w14:alpha w14:val="100000"/>
              </w14:srgbClr>
            </w14:solidFill>
          </w14:textFill>
        </w:rPr>
        <w:t>|||||</w:t>
      </w:r>
      <w:r w:rsidR="00592818" w:rsidRPr="00592818">
        <w:rPr>
          <w:color w:val="000000"/>
          <w:spacing w:val="2"/>
          <w:w w:val="66"/>
          <w:shd w:val="solid" w:color="000000" w:fill="000000"/>
          <w:fitText w:val="438" w:id="-1256558076"/>
          <w14:textFill>
            <w14:solidFill>
              <w14:srgbClr w14:val="000000">
                <w14:alpha w14:val="100000"/>
              </w14:srgbClr>
            </w14:solidFill>
          </w14:textFill>
        </w:rPr>
        <w:t>|</w:t>
      </w:r>
      <w:r w:rsidR="00592818" w:rsidRPr="00592818">
        <w:rPr>
          <w:color w:val="auto"/>
        </w:rPr>
        <w:t xml:space="preserve"> </w:t>
      </w:r>
      <w:r w:rsidR="00592818" w:rsidRPr="00592818">
        <w:rPr>
          <w:color w:val="000000"/>
          <w:w w:val="66"/>
          <w:shd w:val="solid" w:color="000000" w:fill="000000"/>
          <w:fitText w:val="439" w:id="-1256558075"/>
          <w14:textFill>
            <w14:solidFill>
              <w14:srgbClr w14:val="000000">
                <w14:alpha w14:val="100000"/>
              </w14:srgbClr>
            </w14:solidFill>
          </w14:textFill>
        </w:rPr>
        <w:t>|||||</w:t>
      </w:r>
      <w:r w:rsidR="00592818" w:rsidRPr="00592818">
        <w:rPr>
          <w:color w:val="000000"/>
          <w:spacing w:val="3"/>
          <w:w w:val="66"/>
          <w:shd w:val="solid" w:color="000000" w:fill="000000"/>
          <w:fitText w:val="439" w:id="-1256558075"/>
          <w14:textFill>
            <w14:solidFill>
              <w14:srgbClr w14:val="000000">
                <w14:alpha w14:val="100000"/>
              </w14:srgbClr>
            </w14:solidFill>
          </w14:textFill>
        </w:rPr>
        <w:t>|</w:t>
      </w:r>
      <w:r w:rsidR="00592818" w:rsidRPr="00592818">
        <w:rPr>
          <w:color w:val="auto"/>
        </w:rPr>
        <w:t xml:space="preserve"> </w:t>
      </w:r>
      <w:r w:rsidR="00592818" w:rsidRPr="00592818">
        <w:rPr>
          <w:color w:val="000000"/>
          <w:w w:val="66"/>
          <w:shd w:val="solid" w:color="000000" w:fill="000000"/>
          <w:fitText w:val="438" w:id="-1256558074"/>
          <w14:textFill>
            <w14:solidFill>
              <w14:srgbClr w14:val="000000">
                <w14:alpha w14:val="100000"/>
              </w14:srgbClr>
            </w14:solidFill>
          </w14:textFill>
        </w:rPr>
        <w:t>|||||</w:t>
      </w:r>
      <w:r w:rsidR="00592818" w:rsidRPr="00592818">
        <w:rPr>
          <w:color w:val="000000"/>
          <w:spacing w:val="2"/>
          <w:w w:val="66"/>
          <w:shd w:val="solid" w:color="000000" w:fill="000000"/>
          <w:fitText w:val="438" w:id="-1256558074"/>
          <w14:textFill>
            <w14:solidFill>
              <w14:srgbClr w14:val="000000">
                <w14:alpha w14:val="100000"/>
              </w14:srgbClr>
            </w14:solidFill>
          </w14:textFill>
        </w:rPr>
        <w:t>|</w:t>
      </w:r>
      <w:r w:rsidR="00592818" w:rsidRPr="00592818">
        <w:rPr>
          <w:color w:val="auto"/>
        </w:rPr>
        <w:t xml:space="preserve"> </w:t>
      </w:r>
      <w:r w:rsidR="00592818" w:rsidRPr="00592818">
        <w:rPr>
          <w:color w:val="000000"/>
          <w:w w:val="66"/>
          <w:shd w:val="solid" w:color="000000" w:fill="000000"/>
          <w:fitText w:val="438" w:id="-1256558073"/>
          <w14:textFill>
            <w14:solidFill>
              <w14:srgbClr w14:val="000000">
                <w14:alpha w14:val="100000"/>
              </w14:srgbClr>
            </w14:solidFill>
          </w14:textFill>
        </w:rPr>
        <w:t>|||||</w:t>
      </w:r>
      <w:r w:rsidR="00592818" w:rsidRPr="00592818">
        <w:rPr>
          <w:color w:val="000000"/>
          <w:spacing w:val="2"/>
          <w:w w:val="66"/>
          <w:shd w:val="solid" w:color="000000" w:fill="000000"/>
          <w:fitText w:val="438" w:id="-1256558073"/>
          <w14:textFill>
            <w14:solidFill>
              <w14:srgbClr w14:val="000000">
                <w14:alpha w14:val="100000"/>
              </w14:srgbClr>
            </w14:solidFill>
          </w14:textFill>
        </w:rPr>
        <w:t>|</w:t>
      </w:r>
      <w:r w:rsidR="00592818" w:rsidRPr="00592818">
        <w:rPr>
          <w:color w:val="auto"/>
        </w:rPr>
        <w:t xml:space="preserve"> </w:t>
      </w:r>
      <w:r w:rsidR="00592818" w:rsidRPr="00592818">
        <w:rPr>
          <w:color w:val="000000"/>
          <w:w w:val="66"/>
          <w:shd w:val="solid" w:color="000000" w:fill="000000"/>
          <w:fitText w:val="438" w:id="-1256558072"/>
          <w14:textFill>
            <w14:solidFill>
              <w14:srgbClr w14:val="000000">
                <w14:alpha w14:val="100000"/>
              </w14:srgbClr>
            </w14:solidFill>
          </w14:textFill>
        </w:rPr>
        <w:t>|||||</w:t>
      </w:r>
      <w:r w:rsidR="00592818" w:rsidRPr="00592818">
        <w:rPr>
          <w:color w:val="000000"/>
          <w:spacing w:val="2"/>
          <w:w w:val="66"/>
          <w:shd w:val="solid" w:color="000000" w:fill="000000"/>
          <w:fitText w:val="438" w:id="-1256558072"/>
          <w14:textFill>
            <w14:solidFill>
              <w14:srgbClr w14:val="000000">
                <w14:alpha w14:val="100000"/>
              </w14:srgbClr>
            </w14:solidFill>
          </w14:textFill>
        </w:rPr>
        <w:t>|</w:t>
      </w:r>
      <w:r w:rsidR="00592818" w:rsidRPr="00592818">
        <w:rPr>
          <w:color w:val="auto"/>
        </w:rPr>
        <w:t xml:space="preserve"> </w:t>
      </w:r>
      <w:r w:rsidR="00592818" w:rsidRPr="00592818">
        <w:rPr>
          <w:color w:val="000000"/>
          <w:w w:val="68"/>
          <w:shd w:val="solid" w:color="000000" w:fill="000000"/>
          <w:fitText w:val="451" w:id="-1256558071"/>
          <w14:textFill>
            <w14:solidFill>
              <w14:srgbClr w14:val="000000">
                <w14:alpha w14:val="100000"/>
              </w14:srgbClr>
            </w14:solidFill>
          </w14:textFill>
        </w:rPr>
        <w:t>|||||</w:t>
      </w:r>
      <w:r w:rsidR="00592818" w:rsidRPr="00592818">
        <w:rPr>
          <w:color w:val="000000"/>
          <w:spacing w:val="3"/>
          <w:w w:val="68"/>
          <w:shd w:val="solid" w:color="000000" w:fill="000000"/>
          <w:fitText w:val="451" w:id="-1256558071"/>
          <w14:textFill>
            <w14:solidFill>
              <w14:srgbClr w14:val="000000">
                <w14:alpha w14:val="100000"/>
              </w14:srgbClr>
            </w14:solidFill>
          </w14:textFill>
        </w:rPr>
        <w:t>|</w:t>
      </w:r>
      <w:r w:rsidR="00592818" w:rsidRPr="00592818">
        <w:rPr>
          <w:color w:val="auto"/>
        </w:rPr>
        <w:t xml:space="preserve"> </w:t>
      </w:r>
      <w:r w:rsidR="00592818" w:rsidRPr="00592818">
        <w:rPr>
          <w:color w:val="000000"/>
          <w:w w:val="66"/>
          <w:shd w:val="solid" w:color="000000" w:fill="000000"/>
          <w:fitText w:val="438" w:id="-1256558070"/>
          <w14:textFill>
            <w14:solidFill>
              <w14:srgbClr w14:val="000000">
                <w14:alpha w14:val="100000"/>
              </w14:srgbClr>
            </w14:solidFill>
          </w14:textFill>
        </w:rPr>
        <w:t>|||||</w:t>
      </w:r>
      <w:r w:rsidR="00592818" w:rsidRPr="00592818">
        <w:rPr>
          <w:color w:val="000000"/>
          <w:spacing w:val="2"/>
          <w:w w:val="66"/>
          <w:shd w:val="solid" w:color="000000" w:fill="000000"/>
          <w:fitText w:val="438" w:id="-1256558070"/>
          <w14:textFill>
            <w14:solidFill>
              <w14:srgbClr w14:val="000000">
                <w14:alpha w14:val="100000"/>
              </w14:srgbClr>
            </w14:solidFill>
          </w14:textFill>
        </w:rPr>
        <w:t>|</w:t>
      </w:r>
      <w:r w:rsidR="00592818" w:rsidRPr="00592818">
        <w:rPr>
          <w:color w:val="auto"/>
        </w:rPr>
        <w:t xml:space="preserve"> </w:t>
      </w:r>
      <w:r w:rsidR="00592818" w:rsidRPr="00592818">
        <w:rPr>
          <w:color w:val="000000"/>
          <w:w w:val="66"/>
          <w:shd w:val="solid" w:color="000000" w:fill="000000"/>
          <w:fitText w:val="438" w:id="-1256558069"/>
          <w14:textFill>
            <w14:solidFill>
              <w14:srgbClr w14:val="000000">
                <w14:alpha w14:val="100000"/>
              </w14:srgbClr>
            </w14:solidFill>
          </w14:textFill>
        </w:rPr>
        <w:t>|||||</w:t>
      </w:r>
      <w:r w:rsidR="00592818" w:rsidRPr="00592818">
        <w:rPr>
          <w:color w:val="000000"/>
          <w:spacing w:val="2"/>
          <w:w w:val="66"/>
          <w:shd w:val="solid" w:color="000000" w:fill="000000"/>
          <w:fitText w:val="438" w:id="-1256558069"/>
          <w14:textFill>
            <w14:solidFill>
              <w14:srgbClr w14:val="000000">
                <w14:alpha w14:val="100000"/>
              </w14:srgbClr>
            </w14:solidFill>
          </w14:textFill>
        </w:rPr>
        <w:t>|</w:t>
      </w:r>
      <w:r w:rsidR="00592818" w:rsidRPr="00592818">
        <w:rPr>
          <w:color w:val="auto"/>
        </w:rPr>
        <w:t xml:space="preserve"> </w:t>
      </w:r>
      <w:r w:rsidR="00592818" w:rsidRPr="00592818">
        <w:rPr>
          <w:color w:val="000000"/>
          <w:w w:val="68"/>
          <w:shd w:val="solid" w:color="000000" w:fill="000000"/>
          <w:fitText w:val="451" w:id="-1256558068"/>
          <w14:textFill>
            <w14:solidFill>
              <w14:srgbClr w14:val="000000">
                <w14:alpha w14:val="100000"/>
              </w14:srgbClr>
            </w14:solidFill>
          </w14:textFill>
        </w:rPr>
        <w:t>|||||</w:t>
      </w:r>
      <w:r w:rsidR="00592818" w:rsidRPr="00592818">
        <w:rPr>
          <w:color w:val="000000"/>
          <w:spacing w:val="3"/>
          <w:w w:val="68"/>
          <w:shd w:val="solid" w:color="000000" w:fill="000000"/>
          <w:fitText w:val="451" w:id="-1256558068"/>
          <w14:textFill>
            <w14:solidFill>
              <w14:srgbClr w14:val="000000">
                <w14:alpha w14:val="100000"/>
              </w14:srgbClr>
            </w14:solidFill>
          </w14:textFill>
        </w:rPr>
        <w:t>|</w:t>
      </w:r>
      <w:r w:rsidR="00592818" w:rsidRPr="00592818">
        <w:rPr>
          <w:color w:val="auto"/>
        </w:rPr>
        <w:t xml:space="preserve"> </w:t>
      </w:r>
      <w:r w:rsidR="00592818" w:rsidRPr="00592818">
        <w:rPr>
          <w:color w:val="000000"/>
          <w:w w:val="66"/>
          <w:shd w:val="solid" w:color="000000" w:fill="000000"/>
          <w:fitText w:val="439" w:id="-1256557824"/>
          <w14:textFill>
            <w14:solidFill>
              <w14:srgbClr w14:val="000000">
                <w14:alpha w14:val="100000"/>
              </w14:srgbClr>
            </w14:solidFill>
          </w14:textFill>
        </w:rPr>
        <w:t>|||||</w:t>
      </w:r>
      <w:r w:rsidR="00592818" w:rsidRPr="00592818">
        <w:rPr>
          <w:color w:val="000000"/>
          <w:spacing w:val="3"/>
          <w:w w:val="66"/>
          <w:shd w:val="solid" w:color="000000" w:fill="000000"/>
          <w:fitText w:val="439" w:id="-1256557824"/>
          <w14:textFill>
            <w14:solidFill>
              <w14:srgbClr w14:val="000000">
                <w14:alpha w14:val="100000"/>
              </w14:srgbClr>
            </w14:solidFill>
          </w14:textFill>
        </w:rPr>
        <w:t>|</w:t>
      </w:r>
      <w:r w:rsidR="00592818" w:rsidRPr="00592818">
        <w:rPr>
          <w:color w:val="auto"/>
        </w:rPr>
        <w:t xml:space="preserve"> </w:t>
      </w:r>
      <w:r w:rsidR="00592818" w:rsidRPr="00592818">
        <w:rPr>
          <w:color w:val="000000"/>
          <w:w w:val="66"/>
          <w:shd w:val="solid" w:color="000000" w:fill="000000"/>
          <w:fitText w:val="438" w:id="-1256557823"/>
          <w14:textFill>
            <w14:solidFill>
              <w14:srgbClr w14:val="000000">
                <w14:alpha w14:val="100000"/>
              </w14:srgbClr>
            </w14:solidFill>
          </w14:textFill>
        </w:rPr>
        <w:t>|||||</w:t>
      </w:r>
      <w:r w:rsidR="00592818" w:rsidRPr="00592818">
        <w:rPr>
          <w:color w:val="000000"/>
          <w:spacing w:val="2"/>
          <w:w w:val="66"/>
          <w:shd w:val="solid" w:color="000000" w:fill="000000"/>
          <w:fitText w:val="438" w:id="-1256557823"/>
          <w14:textFill>
            <w14:solidFill>
              <w14:srgbClr w14:val="000000">
                <w14:alpha w14:val="100000"/>
              </w14:srgbClr>
            </w14:solidFill>
          </w14:textFill>
        </w:rPr>
        <w:t>|</w:t>
      </w:r>
      <w:r w:rsidR="00592818" w:rsidRPr="00592818">
        <w:rPr>
          <w:color w:val="auto"/>
        </w:rPr>
        <w:t xml:space="preserve"> </w:t>
      </w:r>
      <w:r w:rsidR="00592818" w:rsidRPr="00592818">
        <w:rPr>
          <w:color w:val="000000"/>
          <w:w w:val="68"/>
          <w:shd w:val="solid" w:color="000000" w:fill="000000"/>
          <w:fitText w:val="451" w:id="-1256557822"/>
          <w14:textFill>
            <w14:solidFill>
              <w14:srgbClr w14:val="000000">
                <w14:alpha w14:val="100000"/>
              </w14:srgbClr>
            </w14:solidFill>
          </w14:textFill>
        </w:rPr>
        <w:t>|||||</w:t>
      </w:r>
      <w:r w:rsidR="00592818" w:rsidRPr="00592818">
        <w:rPr>
          <w:color w:val="000000"/>
          <w:spacing w:val="3"/>
          <w:w w:val="68"/>
          <w:shd w:val="solid" w:color="000000" w:fill="000000"/>
          <w:fitText w:val="451" w:id="-1256557822"/>
          <w14:textFill>
            <w14:solidFill>
              <w14:srgbClr w14:val="000000">
                <w14:alpha w14:val="100000"/>
              </w14:srgbClr>
            </w14:solidFill>
          </w14:textFill>
        </w:rPr>
        <w:t>|</w:t>
      </w:r>
      <w:r w:rsidR="00592818" w:rsidRPr="00592818">
        <w:rPr>
          <w:color w:val="auto"/>
        </w:rPr>
        <w:t xml:space="preserve"> </w:t>
      </w:r>
      <w:r w:rsidR="00592818" w:rsidRPr="00592818">
        <w:rPr>
          <w:color w:val="000000"/>
          <w:w w:val="66"/>
          <w:shd w:val="solid" w:color="000000" w:fill="000000"/>
          <w:fitText w:val="439" w:id="-1256557821"/>
          <w14:textFill>
            <w14:solidFill>
              <w14:srgbClr w14:val="000000">
                <w14:alpha w14:val="100000"/>
              </w14:srgbClr>
            </w14:solidFill>
          </w14:textFill>
        </w:rPr>
        <w:t>|||||</w:t>
      </w:r>
      <w:r w:rsidR="00592818" w:rsidRPr="00592818">
        <w:rPr>
          <w:color w:val="000000"/>
          <w:spacing w:val="3"/>
          <w:w w:val="66"/>
          <w:shd w:val="solid" w:color="000000" w:fill="000000"/>
          <w:fitText w:val="439" w:id="-1256557821"/>
          <w14:textFill>
            <w14:solidFill>
              <w14:srgbClr w14:val="000000">
                <w14:alpha w14:val="100000"/>
              </w14:srgbClr>
            </w14:solidFill>
          </w14:textFill>
        </w:rPr>
        <w:t>|</w:t>
      </w:r>
      <w:r w:rsidR="00592818" w:rsidRPr="00592818">
        <w:rPr>
          <w:color w:val="auto"/>
        </w:rPr>
        <w:t xml:space="preserve"> </w:t>
      </w:r>
      <w:r w:rsidR="00592818" w:rsidRPr="00592818">
        <w:rPr>
          <w:color w:val="000000"/>
          <w:w w:val="66"/>
          <w:shd w:val="solid" w:color="000000" w:fill="000000"/>
          <w:fitText w:val="438" w:id="-1256557820"/>
          <w14:textFill>
            <w14:solidFill>
              <w14:srgbClr w14:val="000000">
                <w14:alpha w14:val="100000"/>
              </w14:srgbClr>
            </w14:solidFill>
          </w14:textFill>
        </w:rPr>
        <w:t>|||||</w:t>
      </w:r>
      <w:r w:rsidR="00592818" w:rsidRPr="00592818">
        <w:rPr>
          <w:color w:val="000000"/>
          <w:spacing w:val="2"/>
          <w:w w:val="66"/>
          <w:shd w:val="solid" w:color="000000" w:fill="000000"/>
          <w:fitText w:val="438" w:id="-1256557820"/>
          <w14:textFill>
            <w14:solidFill>
              <w14:srgbClr w14:val="000000">
                <w14:alpha w14:val="100000"/>
              </w14:srgbClr>
            </w14:solidFill>
          </w14:textFill>
        </w:rPr>
        <w:t>|</w:t>
      </w:r>
      <w:r w:rsidR="00592818" w:rsidRPr="00592818">
        <w:rPr>
          <w:color w:val="auto"/>
        </w:rPr>
        <w:t xml:space="preserve"> </w:t>
      </w:r>
      <w:r w:rsidR="00592818" w:rsidRPr="00592818">
        <w:rPr>
          <w:color w:val="000000"/>
          <w:w w:val="68"/>
          <w:shd w:val="solid" w:color="000000" w:fill="000000"/>
          <w:fitText w:val="451" w:id="-1256557819"/>
          <w14:textFill>
            <w14:solidFill>
              <w14:srgbClr w14:val="000000">
                <w14:alpha w14:val="100000"/>
              </w14:srgbClr>
            </w14:solidFill>
          </w14:textFill>
        </w:rPr>
        <w:t>|||||</w:t>
      </w:r>
      <w:r w:rsidR="00592818" w:rsidRPr="00592818">
        <w:rPr>
          <w:color w:val="000000"/>
          <w:spacing w:val="3"/>
          <w:w w:val="68"/>
          <w:shd w:val="solid" w:color="000000" w:fill="000000"/>
          <w:fitText w:val="451" w:id="-1256557819"/>
          <w14:textFill>
            <w14:solidFill>
              <w14:srgbClr w14:val="000000">
                <w14:alpha w14:val="100000"/>
              </w14:srgbClr>
            </w14:solidFill>
          </w14:textFill>
        </w:rPr>
        <w:t>|</w:t>
      </w:r>
      <w:r w:rsidR="00592818" w:rsidRPr="00592818">
        <w:rPr>
          <w:color w:val="auto"/>
        </w:rPr>
        <w:t xml:space="preserve"> </w:t>
      </w:r>
      <w:r w:rsidR="00592818" w:rsidRPr="00592818">
        <w:rPr>
          <w:color w:val="000000"/>
          <w:w w:val="66"/>
          <w:shd w:val="solid" w:color="000000" w:fill="000000"/>
          <w:fitText w:val="439" w:id="-1256557818"/>
          <w14:textFill>
            <w14:solidFill>
              <w14:srgbClr w14:val="000000">
                <w14:alpha w14:val="100000"/>
              </w14:srgbClr>
            </w14:solidFill>
          </w14:textFill>
        </w:rPr>
        <w:t>|||||</w:t>
      </w:r>
      <w:r w:rsidR="00592818" w:rsidRPr="00592818">
        <w:rPr>
          <w:color w:val="000000"/>
          <w:spacing w:val="3"/>
          <w:w w:val="66"/>
          <w:shd w:val="solid" w:color="000000" w:fill="000000"/>
          <w:fitText w:val="439" w:id="-1256557818"/>
          <w14:textFill>
            <w14:solidFill>
              <w14:srgbClr w14:val="000000">
                <w14:alpha w14:val="100000"/>
              </w14:srgbClr>
            </w14:solidFill>
          </w14:textFill>
        </w:rPr>
        <w:t>|</w:t>
      </w:r>
      <w:r w:rsidR="00592818" w:rsidRPr="00592818">
        <w:rPr>
          <w:color w:val="auto"/>
        </w:rPr>
        <w:t xml:space="preserve"> </w:t>
      </w:r>
      <w:r w:rsidR="00592818" w:rsidRPr="00592818">
        <w:rPr>
          <w:color w:val="000000"/>
          <w:w w:val="66"/>
          <w:shd w:val="solid" w:color="000000" w:fill="000000"/>
          <w:fitText w:val="438" w:id="-1256557817"/>
          <w14:textFill>
            <w14:solidFill>
              <w14:srgbClr w14:val="000000">
                <w14:alpha w14:val="100000"/>
              </w14:srgbClr>
            </w14:solidFill>
          </w14:textFill>
        </w:rPr>
        <w:t>|||||</w:t>
      </w:r>
      <w:r w:rsidR="00592818" w:rsidRPr="00592818">
        <w:rPr>
          <w:color w:val="000000"/>
          <w:spacing w:val="2"/>
          <w:w w:val="66"/>
          <w:shd w:val="solid" w:color="000000" w:fill="000000"/>
          <w:fitText w:val="438" w:id="-1256557817"/>
          <w14:textFill>
            <w14:solidFill>
              <w14:srgbClr w14:val="000000">
                <w14:alpha w14:val="100000"/>
              </w14:srgbClr>
            </w14:solidFill>
          </w14:textFill>
        </w:rPr>
        <w:t>|</w:t>
      </w:r>
      <w:r w:rsidR="00592818" w:rsidRPr="00592818">
        <w:rPr>
          <w:color w:val="auto"/>
        </w:rPr>
        <w:t xml:space="preserve"> </w:t>
      </w:r>
      <w:r w:rsidR="00592818" w:rsidRPr="00592818">
        <w:rPr>
          <w:color w:val="000000"/>
          <w:w w:val="66"/>
          <w:shd w:val="solid" w:color="000000" w:fill="000000"/>
          <w:fitText w:val="438" w:id="-1256557816"/>
          <w14:textFill>
            <w14:solidFill>
              <w14:srgbClr w14:val="000000">
                <w14:alpha w14:val="100000"/>
              </w14:srgbClr>
            </w14:solidFill>
          </w14:textFill>
        </w:rPr>
        <w:t>|||||</w:t>
      </w:r>
      <w:r w:rsidR="00592818" w:rsidRPr="00592818">
        <w:rPr>
          <w:color w:val="000000"/>
          <w:spacing w:val="2"/>
          <w:w w:val="66"/>
          <w:shd w:val="solid" w:color="000000" w:fill="000000"/>
          <w:fitText w:val="438" w:id="-1256557816"/>
          <w14:textFill>
            <w14:solidFill>
              <w14:srgbClr w14:val="000000">
                <w14:alpha w14:val="100000"/>
              </w14:srgbClr>
            </w14:solidFill>
          </w14:textFill>
        </w:rPr>
        <w:t>|</w:t>
      </w:r>
      <w:r w:rsidR="00592818" w:rsidRPr="00592818">
        <w:rPr>
          <w:color w:val="auto"/>
        </w:rPr>
        <w:t xml:space="preserve"> </w:t>
      </w:r>
      <w:r w:rsidR="00592818" w:rsidRPr="00592818">
        <w:rPr>
          <w:color w:val="000000"/>
          <w:w w:val="66"/>
          <w:shd w:val="solid" w:color="000000" w:fill="000000"/>
          <w:fitText w:val="438" w:id="-1256557815"/>
          <w14:textFill>
            <w14:solidFill>
              <w14:srgbClr w14:val="000000">
                <w14:alpha w14:val="100000"/>
              </w14:srgbClr>
            </w14:solidFill>
          </w14:textFill>
        </w:rPr>
        <w:t>|||||</w:t>
      </w:r>
      <w:r w:rsidR="00592818" w:rsidRPr="00592818">
        <w:rPr>
          <w:color w:val="000000"/>
          <w:spacing w:val="2"/>
          <w:w w:val="66"/>
          <w:shd w:val="solid" w:color="000000" w:fill="000000"/>
          <w:fitText w:val="438" w:id="-1256557815"/>
          <w14:textFill>
            <w14:solidFill>
              <w14:srgbClr w14:val="000000">
                <w14:alpha w14:val="100000"/>
              </w14:srgbClr>
            </w14:solidFill>
          </w14:textFill>
        </w:rPr>
        <w:t>|</w:t>
      </w:r>
    </w:p>
    <w:p w14:paraId="4FE2390F" w14:textId="6C5150F4" w:rsidR="0072578A" w:rsidRDefault="00D428B9" w:rsidP="00367C94">
      <w:r w:rsidRPr="00CE28E3">
        <w:t>The financial implications to the</w:t>
      </w:r>
      <w:r w:rsidR="00865AB4">
        <w:t xml:space="preserve"> </w:t>
      </w:r>
      <w:r w:rsidRPr="00865AB4">
        <w:t>MBS</w:t>
      </w:r>
      <w:r w:rsidRPr="00CE28E3">
        <w:t xml:space="preserve"> resulting from the proposed listing of </w:t>
      </w:r>
      <w:r w:rsidR="00865AB4">
        <w:t xml:space="preserve">PASCAL Transcatheter Mitral Valve Repair System for the </w:t>
      </w:r>
      <w:r w:rsidR="00D81F42">
        <w:t xml:space="preserve">treatment of patients with DMR or FMR </w:t>
      </w:r>
      <w:r w:rsidRPr="00CE28E3">
        <w:t>are summarised in</w:t>
      </w:r>
      <w:r w:rsidR="002B04A4">
        <w:t xml:space="preserve"> </w:t>
      </w:r>
      <w:r w:rsidR="002B04A4">
        <w:fldChar w:fldCharType="begin"/>
      </w:r>
      <w:r w:rsidR="002B04A4">
        <w:instrText xml:space="preserve"> REF _Ref69726382 \h </w:instrText>
      </w:r>
      <w:r w:rsidR="002B04A4">
        <w:fldChar w:fldCharType="separate"/>
      </w:r>
      <w:r w:rsidR="002B04A4" w:rsidRPr="00CE28E3">
        <w:t>Table</w:t>
      </w:r>
      <w:r w:rsidR="002B04A4">
        <w:t> </w:t>
      </w:r>
      <w:r w:rsidR="002B04A4">
        <w:rPr>
          <w:noProof/>
        </w:rPr>
        <w:t>34</w:t>
      </w:r>
      <w:r w:rsidR="002B04A4">
        <w:fldChar w:fldCharType="end"/>
      </w:r>
      <w:r w:rsidRPr="00CE28E3">
        <w:t xml:space="preserve">. </w:t>
      </w:r>
    </w:p>
    <w:p w14:paraId="19785C23" w14:textId="39736130" w:rsidR="00005BEB" w:rsidRPr="00005BEB" w:rsidRDefault="004A2210" w:rsidP="00005BEB">
      <w:r>
        <w:t>Unlike the previous ADAR, t</w:t>
      </w:r>
      <w:r w:rsidR="00BD6681">
        <w:t xml:space="preserve">he </w:t>
      </w:r>
      <w:r>
        <w:t xml:space="preserve">current financial implications </w:t>
      </w:r>
      <w:r w:rsidR="00BD6681">
        <w:t xml:space="preserve">do not </w:t>
      </w:r>
      <w:r w:rsidR="00353B8C">
        <w:t>consider device or hospital costs</w:t>
      </w:r>
      <w:r w:rsidR="004F1877">
        <w:t xml:space="preserve">. </w:t>
      </w:r>
      <w:r w:rsidRPr="004A2210">
        <w:t>The PASCAL system consists of the Implant System, Guide Sheath as well as the optional Stabiliser and cardiac implantation catheter table</w:t>
      </w:r>
      <w:r>
        <w:t xml:space="preserve">. The applicant is asked to clarify in its pre-ESC response whether the proposed Prosthesis List benefit fully reimburses the price of the </w:t>
      </w:r>
      <w:r w:rsidRPr="004A2210">
        <w:t>Implant System</w:t>
      </w:r>
      <w:r>
        <w:t xml:space="preserve"> and </w:t>
      </w:r>
      <w:r w:rsidRPr="004A2210">
        <w:t>Guide Sheath</w:t>
      </w:r>
      <w:r>
        <w:t>.</w:t>
      </w:r>
      <w:bookmarkStart w:id="85" w:name="_Ref69726382"/>
      <w:r w:rsidR="00005BEB">
        <w:br w:type="page"/>
      </w:r>
    </w:p>
    <w:p w14:paraId="33FCA9D4" w14:textId="7588BAEF" w:rsidR="00D428B9" w:rsidRDefault="00D428B9" w:rsidP="00367C94">
      <w:pPr>
        <w:pStyle w:val="Caption"/>
      </w:pPr>
      <w:r w:rsidRPr="00CE28E3">
        <w:lastRenderedPageBreak/>
        <w:t>Table</w:t>
      </w:r>
      <w:r w:rsidR="003571C2">
        <w:t> </w:t>
      </w:r>
      <w:fldSimple w:instr=" SEQ Table \* ARABIC ">
        <w:r w:rsidR="002B04A4">
          <w:rPr>
            <w:noProof/>
          </w:rPr>
          <w:t>34</w:t>
        </w:r>
      </w:fldSimple>
      <w:bookmarkEnd w:id="85"/>
      <w:r w:rsidRPr="00CE28E3">
        <w:tab/>
        <w:t xml:space="preserve">Net financial implications of </w:t>
      </w:r>
      <w:r w:rsidR="001F74D5">
        <w:t>PASCAL</w:t>
      </w:r>
      <w:r w:rsidRPr="00CE28E3">
        <w:t xml:space="preserve"> to the </w:t>
      </w:r>
      <w:r w:rsidR="001F74D5">
        <w:t>MBS</w:t>
      </w:r>
    </w:p>
    <w:tbl>
      <w:tblPr>
        <w:tblStyle w:val="MSAC"/>
        <w:tblW w:w="4682" w:type="pct"/>
        <w:tblLook w:val="04A0" w:firstRow="1" w:lastRow="0" w:firstColumn="1" w:lastColumn="0" w:noHBand="0" w:noVBand="1"/>
      </w:tblPr>
      <w:tblGrid>
        <w:gridCol w:w="2722"/>
        <w:gridCol w:w="1150"/>
        <w:gridCol w:w="1150"/>
        <w:gridCol w:w="1150"/>
        <w:gridCol w:w="1145"/>
        <w:gridCol w:w="1126"/>
      </w:tblGrid>
      <w:tr w:rsidR="00EA4167" w:rsidRPr="00EA4167" w14:paraId="174433ED" w14:textId="77777777" w:rsidTr="00592818">
        <w:trPr>
          <w:cnfStyle w:val="100000000000" w:firstRow="1" w:lastRow="0" w:firstColumn="0" w:lastColumn="0" w:oddVBand="0" w:evenVBand="0" w:oddHBand="0" w:evenHBand="0" w:firstRowFirstColumn="0" w:firstRowLastColumn="0" w:lastRowFirstColumn="0" w:lastRowLastColumn="0"/>
        </w:trPr>
        <w:tc>
          <w:tcPr>
            <w:tcW w:w="1612" w:type="pct"/>
          </w:tcPr>
          <w:p w14:paraId="67C062C0" w14:textId="77777777" w:rsidR="00EA4167" w:rsidRPr="00EA4167" w:rsidRDefault="00EA4167" w:rsidP="00367C94">
            <w:pPr>
              <w:spacing w:before="40" w:after="40"/>
              <w:rPr>
                <w:rFonts w:ascii="Arial Narrow" w:hAnsi="Arial Narrow" w:cstheme="minorHAnsi"/>
              </w:rPr>
            </w:pPr>
          </w:p>
        </w:tc>
        <w:tc>
          <w:tcPr>
            <w:tcW w:w="681" w:type="pct"/>
            <w:tcBorders>
              <w:bottom w:val="single" w:sz="4" w:space="0" w:color="auto"/>
            </w:tcBorders>
          </w:tcPr>
          <w:p w14:paraId="5A9960A0" w14:textId="77777777" w:rsidR="00EA4167" w:rsidRPr="00EA4167" w:rsidRDefault="00EA4167" w:rsidP="00367C94">
            <w:pPr>
              <w:spacing w:before="40" w:after="40"/>
              <w:jc w:val="center"/>
              <w:rPr>
                <w:rFonts w:ascii="Arial Narrow" w:hAnsi="Arial Narrow" w:cstheme="minorHAnsi"/>
              </w:rPr>
            </w:pPr>
            <w:r w:rsidRPr="00EA4167">
              <w:rPr>
                <w:rFonts w:ascii="Arial Narrow" w:hAnsi="Arial Narrow" w:cstheme="minorHAnsi"/>
              </w:rPr>
              <w:t>Year 1</w:t>
            </w:r>
          </w:p>
        </w:tc>
        <w:tc>
          <w:tcPr>
            <w:tcW w:w="681" w:type="pct"/>
            <w:tcBorders>
              <w:bottom w:val="single" w:sz="4" w:space="0" w:color="auto"/>
            </w:tcBorders>
          </w:tcPr>
          <w:p w14:paraId="491CC426" w14:textId="77777777" w:rsidR="00EA4167" w:rsidRPr="00EA4167" w:rsidRDefault="00EA4167" w:rsidP="00367C94">
            <w:pPr>
              <w:spacing w:before="40" w:after="40"/>
              <w:jc w:val="center"/>
              <w:rPr>
                <w:rFonts w:ascii="Arial Narrow" w:hAnsi="Arial Narrow" w:cstheme="minorHAnsi"/>
              </w:rPr>
            </w:pPr>
            <w:r w:rsidRPr="00EA4167">
              <w:rPr>
                <w:rFonts w:ascii="Arial Narrow" w:hAnsi="Arial Narrow" w:cstheme="minorHAnsi"/>
              </w:rPr>
              <w:t>Year 2</w:t>
            </w:r>
          </w:p>
        </w:tc>
        <w:tc>
          <w:tcPr>
            <w:tcW w:w="681" w:type="pct"/>
            <w:tcBorders>
              <w:bottom w:val="single" w:sz="4" w:space="0" w:color="auto"/>
            </w:tcBorders>
          </w:tcPr>
          <w:p w14:paraId="6F9DC077" w14:textId="77777777" w:rsidR="00EA4167" w:rsidRPr="00EA4167" w:rsidRDefault="00EA4167" w:rsidP="00367C94">
            <w:pPr>
              <w:spacing w:before="40" w:after="40"/>
              <w:jc w:val="center"/>
              <w:rPr>
                <w:rFonts w:ascii="Arial Narrow" w:hAnsi="Arial Narrow" w:cstheme="minorHAnsi"/>
              </w:rPr>
            </w:pPr>
            <w:r w:rsidRPr="00EA4167">
              <w:rPr>
                <w:rFonts w:ascii="Arial Narrow" w:hAnsi="Arial Narrow" w:cstheme="minorHAnsi"/>
              </w:rPr>
              <w:t>Year 3</w:t>
            </w:r>
          </w:p>
        </w:tc>
        <w:tc>
          <w:tcPr>
            <w:tcW w:w="678" w:type="pct"/>
            <w:tcBorders>
              <w:bottom w:val="single" w:sz="4" w:space="0" w:color="auto"/>
            </w:tcBorders>
          </w:tcPr>
          <w:p w14:paraId="11ED8D32" w14:textId="77777777" w:rsidR="00EA4167" w:rsidRPr="00EA4167" w:rsidRDefault="00EA4167" w:rsidP="00367C94">
            <w:pPr>
              <w:spacing w:before="40" w:after="40"/>
              <w:jc w:val="center"/>
              <w:rPr>
                <w:rFonts w:ascii="Arial Narrow" w:hAnsi="Arial Narrow" w:cstheme="minorHAnsi"/>
              </w:rPr>
            </w:pPr>
            <w:r w:rsidRPr="00EA4167">
              <w:rPr>
                <w:rFonts w:ascii="Arial Narrow" w:hAnsi="Arial Narrow" w:cstheme="minorHAnsi"/>
              </w:rPr>
              <w:t>Year 4</w:t>
            </w:r>
          </w:p>
        </w:tc>
        <w:tc>
          <w:tcPr>
            <w:tcW w:w="667" w:type="pct"/>
            <w:tcBorders>
              <w:bottom w:val="single" w:sz="4" w:space="0" w:color="auto"/>
            </w:tcBorders>
          </w:tcPr>
          <w:p w14:paraId="614E634C" w14:textId="77777777" w:rsidR="00EA4167" w:rsidRPr="00EA4167" w:rsidRDefault="00EA4167" w:rsidP="00367C94">
            <w:pPr>
              <w:spacing w:before="40" w:after="40"/>
              <w:jc w:val="center"/>
              <w:rPr>
                <w:rFonts w:ascii="Arial Narrow" w:hAnsi="Arial Narrow" w:cstheme="minorHAnsi"/>
              </w:rPr>
            </w:pPr>
            <w:r w:rsidRPr="00EA4167">
              <w:rPr>
                <w:rFonts w:ascii="Arial Narrow" w:hAnsi="Arial Narrow" w:cstheme="minorHAnsi"/>
              </w:rPr>
              <w:t>Year 5</w:t>
            </w:r>
          </w:p>
        </w:tc>
      </w:tr>
      <w:tr w:rsidR="00592818" w:rsidRPr="00EA4167" w14:paraId="65CD1D3F" w14:textId="77777777" w:rsidTr="00592818">
        <w:tc>
          <w:tcPr>
            <w:tcW w:w="1612" w:type="pct"/>
          </w:tcPr>
          <w:p w14:paraId="2E88D25B" w14:textId="77777777" w:rsidR="00EA4167" w:rsidRPr="00EA4167" w:rsidRDefault="00EA4167" w:rsidP="00367C94">
            <w:pPr>
              <w:spacing w:before="40" w:after="40"/>
              <w:rPr>
                <w:rFonts w:ascii="Arial Narrow" w:hAnsi="Arial Narrow"/>
              </w:rPr>
            </w:pPr>
            <w:proofErr w:type="spellStart"/>
            <w:r w:rsidRPr="00EA4167">
              <w:rPr>
                <w:rFonts w:ascii="Arial Narrow" w:hAnsi="Arial Narrow"/>
              </w:rPr>
              <w:t>TMVr</w:t>
            </w:r>
            <w:proofErr w:type="spellEnd"/>
            <w:r w:rsidRPr="00EA4167">
              <w:rPr>
                <w:rFonts w:ascii="Arial Narrow" w:hAnsi="Arial Narrow"/>
              </w:rPr>
              <w:t xml:space="preserve"> procedures for </w:t>
            </w:r>
            <w:r w:rsidRPr="00EA4167">
              <w:rPr>
                <w:rFonts w:ascii="Arial Narrow" w:hAnsi="Arial Narrow"/>
                <w:b/>
                <w:bCs/>
              </w:rPr>
              <w:t>DMR</w:t>
            </w:r>
            <w:r w:rsidRPr="00EA4167">
              <w:rPr>
                <w:rFonts w:ascii="Arial Narrow" w:hAnsi="Arial Narrow"/>
              </w:rPr>
              <w:t xml:space="preserve"> conducted with PASCAL</w:t>
            </w:r>
          </w:p>
        </w:tc>
        <w:tc>
          <w:tcPr>
            <w:tcW w:w="681" w:type="pct"/>
            <w:tcBorders>
              <w:bottom w:val="single" w:sz="4" w:space="0" w:color="auto"/>
            </w:tcBorders>
            <w:shd w:val="solid" w:color="000000" w:fill="000000"/>
          </w:tcPr>
          <w:p w14:paraId="51FABCEE" w14:textId="371A3045"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14"/>
                <w14:textFill>
                  <w14:solidFill>
                    <w14:srgbClr w14:val="000000">
                      <w14:alpha w14:val="100000"/>
                    </w14:srgbClr>
                  </w14:solidFill>
                </w14:textFill>
              </w:rPr>
              <w:t xml:space="preserve">　</w:t>
            </w:r>
            <w:r w:rsidRPr="00592818">
              <w:rPr>
                <w:rFonts w:ascii="Arial Narrow" w:hAnsi="Arial Narrow"/>
                <w:color w:val="000000"/>
                <w:w w:val="16"/>
                <w:fitText w:val="75" w:id="-1256557814"/>
                <w14:textFill>
                  <w14:solidFill>
                    <w14:srgbClr w14:val="000000">
                      <w14:alpha w14:val="100000"/>
                    </w14:srgbClr>
                  </w14:solidFill>
                </w14:textFill>
              </w:rPr>
              <w:t>|</w:t>
            </w:r>
            <w:r w:rsidRPr="00592818">
              <w:rPr>
                <w:rFonts w:ascii="Arial Narrow" w:hAnsi="Arial Narrow" w:hint="eastAsia"/>
                <w:color w:val="000000"/>
                <w:w w:val="16"/>
                <w:fitText w:val="75" w:id="-1256557814"/>
                <w14:textFill>
                  <w14:solidFill>
                    <w14:srgbClr w14:val="000000">
                      <w14:alpha w14:val="100000"/>
                    </w14:srgbClr>
                  </w14:solidFill>
                </w14:textFill>
              </w:rPr>
              <w:t xml:space="preserve">　</w:t>
            </w:r>
          </w:p>
        </w:tc>
        <w:tc>
          <w:tcPr>
            <w:tcW w:w="681" w:type="pct"/>
            <w:tcBorders>
              <w:bottom w:val="single" w:sz="4" w:space="0" w:color="auto"/>
            </w:tcBorders>
            <w:shd w:val="solid" w:color="000000" w:fill="000000"/>
          </w:tcPr>
          <w:p w14:paraId="1B2EE86E" w14:textId="46850BF2"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13"/>
                <w14:textFill>
                  <w14:solidFill>
                    <w14:srgbClr w14:val="000000">
                      <w14:alpha w14:val="100000"/>
                    </w14:srgbClr>
                  </w14:solidFill>
                </w14:textFill>
              </w:rPr>
              <w:t xml:space="preserve">　</w:t>
            </w:r>
            <w:r w:rsidRPr="00592818">
              <w:rPr>
                <w:rFonts w:ascii="Arial Narrow" w:hAnsi="Arial Narrow"/>
                <w:color w:val="000000"/>
                <w:w w:val="16"/>
                <w:fitText w:val="75" w:id="-1256557813"/>
                <w14:textFill>
                  <w14:solidFill>
                    <w14:srgbClr w14:val="000000">
                      <w14:alpha w14:val="100000"/>
                    </w14:srgbClr>
                  </w14:solidFill>
                </w14:textFill>
              </w:rPr>
              <w:t>|</w:t>
            </w:r>
            <w:r w:rsidRPr="00592818">
              <w:rPr>
                <w:rFonts w:ascii="Arial Narrow" w:hAnsi="Arial Narrow" w:hint="eastAsia"/>
                <w:color w:val="000000"/>
                <w:w w:val="16"/>
                <w:fitText w:val="75" w:id="-1256557813"/>
                <w14:textFill>
                  <w14:solidFill>
                    <w14:srgbClr w14:val="000000">
                      <w14:alpha w14:val="100000"/>
                    </w14:srgbClr>
                  </w14:solidFill>
                </w14:textFill>
              </w:rPr>
              <w:t xml:space="preserve">　</w:t>
            </w:r>
          </w:p>
        </w:tc>
        <w:tc>
          <w:tcPr>
            <w:tcW w:w="681" w:type="pct"/>
            <w:tcBorders>
              <w:bottom w:val="single" w:sz="4" w:space="0" w:color="auto"/>
            </w:tcBorders>
            <w:shd w:val="solid" w:color="000000" w:fill="000000"/>
          </w:tcPr>
          <w:p w14:paraId="71978200" w14:textId="58A266D6"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12"/>
                <w14:textFill>
                  <w14:solidFill>
                    <w14:srgbClr w14:val="000000">
                      <w14:alpha w14:val="100000"/>
                    </w14:srgbClr>
                  </w14:solidFill>
                </w14:textFill>
              </w:rPr>
              <w:t xml:space="preserve">　</w:t>
            </w:r>
            <w:r w:rsidRPr="00592818">
              <w:rPr>
                <w:rFonts w:ascii="Arial Narrow" w:hAnsi="Arial Narrow"/>
                <w:color w:val="000000"/>
                <w:w w:val="16"/>
                <w:fitText w:val="75" w:id="-1256557812"/>
                <w14:textFill>
                  <w14:solidFill>
                    <w14:srgbClr w14:val="000000">
                      <w14:alpha w14:val="100000"/>
                    </w14:srgbClr>
                  </w14:solidFill>
                </w14:textFill>
              </w:rPr>
              <w:t>|</w:t>
            </w:r>
            <w:r w:rsidRPr="00592818">
              <w:rPr>
                <w:rFonts w:ascii="Arial Narrow" w:hAnsi="Arial Narrow" w:hint="eastAsia"/>
                <w:color w:val="000000"/>
                <w:w w:val="16"/>
                <w:fitText w:val="75" w:id="-1256557812"/>
                <w14:textFill>
                  <w14:solidFill>
                    <w14:srgbClr w14:val="000000">
                      <w14:alpha w14:val="100000"/>
                    </w14:srgbClr>
                  </w14:solidFill>
                </w14:textFill>
              </w:rPr>
              <w:t xml:space="preserve">　</w:t>
            </w:r>
          </w:p>
        </w:tc>
        <w:tc>
          <w:tcPr>
            <w:tcW w:w="678" w:type="pct"/>
            <w:tcBorders>
              <w:bottom w:val="single" w:sz="4" w:space="0" w:color="auto"/>
            </w:tcBorders>
            <w:shd w:val="solid" w:color="000000" w:fill="000000"/>
          </w:tcPr>
          <w:p w14:paraId="5C63231F" w14:textId="05780B7C"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9"/>
                <w:fitText w:val="87" w:id="-1256557811"/>
                <w14:textFill>
                  <w14:solidFill>
                    <w14:srgbClr w14:val="000000">
                      <w14:alpha w14:val="100000"/>
                    </w14:srgbClr>
                  </w14:solidFill>
                </w14:textFill>
              </w:rPr>
              <w:t xml:space="preserve">　</w:t>
            </w:r>
            <w:r w:rsidRPr="00592818">
              <w:rPr>
                <w:rFonts w:ascii="Arial Narrow" w:hAnsi="Arial Narrow"/>
                <w:color w:val="000000"/>
                <w:w w:val="19"/>
                <w:fitText w:val="87" w:id="-1256557811"/>
                <w14:textFill>
                  <w14:solidFill>
                    <w14:srgbClr w14:val="000000">
                      <w14:alpha w14:val="100000"/>
                    </w14:srgbClr>
                  </w14:solidFill>
                </w14:textFill>
              </w:rPr>
              <w:t>|</w:t>
            </w:r>
            <w:r w:rsidRPr="00592818">
              <w:rPr>
                <w:rFonts w:ascii="Arial Narrow" w:hAnsi="Arial Narrow" w:hint="eastAsia"/>
                <w:color w:val="000000"/>
                <w:w w:val="19"/>
                <w:fitText w:val="87" w:id="-1256557811"/>
                <w14:textFill>
                  <w14:solidFill>
                    <w14:srgbClr w14:val="000000">
                      <w14:alpha w14:val="100000"/>
                    </w14:srgbClr>
                  </w14:solidFill>
                </w14:textFill>
              </w:rPr>
              <w:t xml:space="preserve">　</w:t>
            </w:r>
          </w:p>
        </w:tc>
        <w:tc>
          <w:tcPr>
            <w:tcW w:w="667" w:type="pct"/>
            <w:tcBorders>
              <w:bottom w:val="single" w:sz="4" w:space="0" w:color="auto"/>
            </w:tcBorders>
            <w:shd w:val="solid" w:color="000000" w:fill="000000"/>
          </w:tcPr>
          <w:p w14:paraId="62475678" w14:textId="3FD88566"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9"/>
                <w:fitText w:val="88" w:id="-1256557810"/>
                <w14:textFill>
                  <w14:solidFill>
                    <w14:srgbClr w14:val="000000">
                      <w14:alpha w14:val="100000"/>
                    </w14:srgbClr>
                  </w14:solidFill>
                </w14:textFill>
              </w:rPr>
              <w:t xml:space="preserve">　</w:t>
            </w:r>
            <w:r w:rsidRPr="00592818">
              <w:rPr>
                <w:rFonts w:ascii="Arial Narrow" w:hAnsi="Arial Narrow"/>
                <w:color w:val="000000"/>
                <w:w w:val="19"/>
                <w:fitText w:val="88" w:id="-1256557810"/>
                <w14:textFill>
                  <w14:solidFill>
                    <w14:srgbClr w14:val="000000">
                      <w14:alpha w14:val="100000"/>
                    </w14:srgbClr>
                  </w14:solidFill>
                </w14:textFill>
              </w:rPr>
              <w:t>|</w:t>
            </w:r>
            <w:r w:rsidRPr="00592818">
              <w:rPr>
                <w:rFonts w:ascii="Arial Narrow" w:hAnsi="Arial Narrow" w:hint="eastAsia"/>
                <w:color w:val="000000"/>
                <w:w w:val="19"/>
                <w:fitText w:val="88" w:id="-1256557810"/>
                <w14:textFill>
                  <w14:solidFill>
                    <w14:srgbClr w14:val="000000">
                      <w14:alpha w14:val="100000"/>
                    </w14:srgbClr>
                  </w14:solidFill>
                </w14:textFill>
              </w:rPr>
              <w:t xml:space="preserve">　</w:t>
            </w:r>
          </w:p>
        </w:tc>
      </w:tr>
      <w:tr w:rsidR="00592818" w:rsidRPr="00EA4167" w14:paraId="420FE6F0" w14:textId="77777777" w:rsidTr="00592818">
        <w:tc>
          <w:tcPr>
            <w:tcW w:w="0" w:type="pct"/>
            <w:shd w:val="clear" w:color="auto" w:fill="B4C6E7" w:themeFill="accent5" w:themeFillTint="66"/>
          </w:tcPr>
          <w:p w14:paraId="46004A81" w14:textId="3B9916FF" w:rsidR="00B61FE9" w:rsidRPr="004807F5" w:rsidRDefault="00B61FE9" w:rsidP="00367C94">
            <w:pPr>
              <w:spacing w:before="40" w:after="40"/>
              <w:rPr>
                <w:rFonts w:ascii="Arial Narrow" w:hAnsi="Arial Narrow"/>
                <w:i/>
                <w:iCs/>
              </w:rPr>
            </w:pPr>
            <w:r>
              <w:rPr>
                <w:rFonts w:ascii="Arial Narrow" w:hAnsi="Arial Narrow"/>
                <w:i/>
                <w:iCs/>
              </w:rPr>
              <w:t>Previous ADAR</w:t>
            </w:r>
          </w:p>
        </w:tc>
        <w:tc>
          <w:tcPr>
            <w:tcW w:w="0" w:type="pct"/>
            <w:tcBorders>
              <w:bottom w:val="single" w:sz="4" w:space="0" w:color="auto"/>
            </w:tcBorders>
            <w:shd w:val="solid" w:color="000000" w:fill="000000"/>
            <w:vAlign w:val="top"/>
          </w:tcPr>
          <w:p w14:paraId="14371C8B" w14:textId="624BA278" w:rsidR="00B61FE9" w:rsidRPr="000B0F56" w:rsidRDefault="00592818" w:rsidP="00367C94">
            <w:pPr>
              <w:pStyle w:val="Tabletext0"/>
              <w:jc w:val="center"/>
              <w:rPr>
                <w:i/>
                <w:iCs/>
                <w:highlight w:val="yellow"/>
              </w:rPr>
            </w:pPr>
            <w:r w:rsidRPr="00592818">
              <w:rPr>
                <w:rFonts w:hint="eastAsia"/>
                <w:i/>
                <w:iCs/>
                <w:color w:val="000000"/>
                <w:w w:val="16"/>
                <w:fitText w:val="75" w:id="-1256557809"/>
                <w14:textFill>
                  <w14:solidFill>
                    <w14:srgbClr w14:val="000000">
                      <w14:alpha w14:val="100000"/>
                    </w14:srgbClr>
                  </w14:solidFill>
                </w14:textFill>
              </w:rPr>
              <w:t xml:space="preserve">　</w:t>
            </w:r>
            <w:r w:rsidRPr="00592818">
              <w:rPr>
                <w:i/>
                <w:iCs/>
                <w:color w:val="000000"/>
                <w:w w:val="16"/>
                <w:fitText w:val="75" w:id="-1256557809"/>
                <w14:textFill>
                  <w14:solidFill>
                    <w14:srgbClr w14:val="000000">
                      <w14:alpha w14:val="100000"/>
                    </w14:srgbClr>
                  </w14:solidFill>
                </w14:textFill>
              </w:rPr>
              <w:t>|</w:t>
            </w:r>
            <w:r w:rsidRPr="00592818">
              <w:rPr>
                <w:rFonts w:hint="eastAsia"/>
                <w:i/>
                <w:iCs/>
                <w:color w:val="000000"/>
                <w:w w:val="16"/>
                <w:fitText w:val="75" w:id="-1256557809"/>
                <w14:textFill>
                  <w14:solidFill>
                    <w14:srgbClr w14:val="000000">
                      <w14:alpha w14:val="100000"/>
                    </w14:srgbClr>
                  </w14:solidFill>
                </w14:textFill>
              </w:rPr>
              <w:t xml:space="preserve">　</w:t>
            </w:r>
          </w:p>
        </w:tc>
        <w:tc>
          <w:tcPr>
            <w:tcW w:w="0" w:type="pct"/>
            <w:tcBorders>
              <w:bottom w:val="single" w:sz="4" w:space="0" w:color="auto"/>
            </w:tcBorders>
            <w:shd w:val="solid" w:color="000000" w:fill="000000"/>
            <w:vAlign w:val="top"/>
          </w:tcPr>
          <w:p w14:paraId="214EC6A2" w14:textId="2219E8A7" w:rsidR="00B61FE9" w:rsidRPr="000B0F56" w:rsidRDefault="00592818" w:rsidP="00367C94">
            <w:pPr>
              <w:pStyle w:val="Tabletext0"/>
              <w:jc w:val="center"/>
              <w:rPr>
                <w:i/>
                <w:iCs/>
                <w:highlight w:val="yellow"/>
              </w:rPr>
            </w:pPr>
            <w:r w:rsidRPr="00592818">
              <w:rPr>
                <w:rFonts w:hint="eastAsia"/>
                <w:i/>
                <w:iCs/>
                <w:color w:val="000000"/>
                <w:w w:val="16"/>
                <w:fitText w:val="75" w:id="-1256557808"/>
                <w14:textFill>
                  <w14:solidFill>
                    <w14:srgbClr w14:val="000000">
                      <w14:alpha w14:val="100000"/>
                    </w14:srgbClr>
                  </w14:solidFill>
                </w14:textFill>
              </w:rPr>
              <w:t xml:space="preserve">　</w:t>
            </w:r>
            <w:r w:rsidRPr="00592818">
              <w:rPr>
                <w:i/>
                <w:iCs/>
                <w:color w:val="000000"/>
                <w:w w:val="16"/>
                <w:fitText w:val="75" w:id="-1256557808"/>
                <w14:textFill>
                  <w14:solidFill>
                    <w14:srgbClr w14:val="000000">
                      <w14:alpha w14:val="100000"/>
                    </w14:srgbClr>
                  </w14:solidFill>
                </w14:textFill>
              </w:rPr>
              <w:t>|</w:t>
            </w:r>
            <w:r w:rsidRPr="00592818">
              <w:rPr>
                <w:rFonts w:hint="eastAsia"/>
                <w:i/>
                <w:iCs/>
                <w:color w:val="000000"/>
                <w:w w:val="16"/>
                <w:fitText w:val="75" w:id="-1256557808"/>
                <w14:textFill>
                  <w14:solidFill>
                    <w14:srgbClr w14:val="000000">
                      <w14:alpha w14:val="100000"/>
                    </w14:srgbClr>
                  </w14:solidFill>
                </w14:textFill>
              </w:rPr>
              <w:t xml:space="preserve">　</w:t>
            </w:r>
          </w:p>
        </w:tc>
        <w:tc>
          <w:tcPr>
            <w:tcW w:w="0" w:type="pct"/>
            <w:tcBorders>
              <w:bottom w:val="single" w:sz="4" w:space="0" w:color="auto"/>
            </w:tcBorders>
            <w:shd w:val="solid" w:color="000000" w:fill="000000"/>
            <w:vAlign w:val="top"/>
          </w:tcPr>
          <w:p w14:paraId="6626E8ED" w14:textId="0D920C37" w:rsidR="00B61FE9" w:rsidRPr="000B0F56" w:rsidRDefault="00592818" w:rsidP="00367C94">
            <w:pPr>
              <w:pStyle w:val="Tabletext0"/>
              <w:jc w:val="center"/>
              <w:rPr>
                <w:i/>
                <w:iCs/>
                <w:highlight w:val="yellow"/>
              </w:rPr>
            </w:pPr>
            <w:r w:rsidRPr="00592818">
              <w:rPr>
                <w:rFonts w:hint="eastAsia"/>
                <w:i/>
                <w:iCs/>
                <w:color w:val="000000"/>
                <w:w w:val="16"/>
                <w:fitText w:val="75" w:id="-1256557824"/>
                <w14:textFill>
                  <w14:solidFill>
                    <w14:srgbClr w14:val="000000">
                      <w14:alpha w14:val="100000"/>
                    </w14:srgbClr>
                  </w14:solidFill>
                </w14:textFill>
              </w:rPr>
              <w:t xml:space="preserve">　</w:t>
            </w:r>
            <w:r w:rsidRPr="00592818">
              <w:rPr>
                <w:i/>
                <w:iCs/>
                <w:color w:val="000000"/>
                <w:w w:val="16"/>
                <w:fitText w:val="75" w:id="-1256557824"/>
                <w14:textFill>
                  <w14:solidFill>
                    <w14:srgbClr w14:val="000000">
                      <w14:alpha w14:val="100000"/>
                    </w14:srgbClr>
                  </w14:solidFill>
                </w14:textFill>
              </w:rPr>
              <w:t>|</w:t>
            </w:r>
            <w:r w:rsidRPr="00592818">
              <w:rPr>
                <w:rFonts w:hint="eastAsia"/>
                <w:i/>
                <w:iCs/>
                <w:color w:val="000000"/>
                <w:w w:val="16"/>
                <w:fitText w:val="75" w:id="-1256557824"/>
                <w14:textFill>
                  <w14:solidFill>
                    <w14:srgbClr w14:val="000000">
                      <w14:alpha w14:val="100000"/>
                    </w14:srgbClr>
                  </w14:solidFill>
                </w14:textFill>
              </w:rPr>
              <w:t xml:space="preserve">　</w:t>
            </w:r>
          </w:p>
        </w:tc>
        <w:tc>
          <w:tcPr>
            <w:tcW w:w="0" w:type="pct"/>
            <w:tcBorders>
              <w:bottom w:val="single" w:sz="4" w:space="0" w:color="auto"/>
            </w:tcBorders>
            <w:shd w:val="solid" w:color="000000" w:fill="000000"/>
            <w:vAlign w:val="top"/>
          </w:tcPr>
          <w:p w14:paraId="7DC2AF26" w14:textId="117B64DC" w:rsidR="00B61FE9" w:rsidRPr="000B0F56" w:rsidRDefault="00592818" w:rsidP="00367C94">
            <w:pPr>
              <w:pStyle w:val="Tabletext0"/>
              <w:jc w:val="center"/>
              <w:rPr>
                <w:i/>
                <w:iCs/>
                <w:highlight w:val="yellow"/>
              </w:rPr>
            </w:pPr>
            <w:r w:rsidRPr="00592818">
              <w:rPr>
                <w:rFonts w:hint="eastAsia"/>
                <w:i/>
                <w:iCs/>
                <w:color w:val="000000"/>
                <w:w w:val="19"/>
                <w:fitText w:val="87" w:id="-1256557823"/>
                <w14:textFill>
                  <w14:solidFill>
                    <w14:srgbClr w14:val="000000">
                      <w14:alpha w14:val="100000"/>
                    </w14:srgbClr>
                  </w14:solidFill>
                </w14:textFill>
              </w:rPr>
              <w:t xml:space="preserve">　</w:t>
            </w:r>
            <w:r w:rsidRPr="00592818">
              <w:rPr>
                <w:i/>
                <w:iCs/>
                <w:color w:val="000000"/>
                <w:w w:val="19"/>
                <w:fitText w:val="87" w:id="-1256557823"/>
                <w14:textFill>
                  <w14:solidFill>
                    <w14:srgbClr w14:val="000000">
                      <w14:alpha w14:val="100000"/>
                    </w14:srgbClr>
                  </w14:solidFill>
                </w14:textFill>
              </w:rPr>
              <w:t>|</w:t>
            </w:r>
            <w:r w:rsidRPr="00592818">
              <w:rPr>
                <w:rFonts w:hint="eastAsia"/>
                <w:i/>
                <w:iCs/>
                <w:color w:val="000000"/>
                <w:w w:val="19"/>
                <w:fitText w:val="87" w:id="-1256557823"/>
                <w14:textFill>
                  <w14:solidFill>
                    <w14:srgbClr w14:val="000000">
                      <w14:alpha w14:val="100000"/>
                    </w14:srgbClr>
                  </w14:solidFill>
                </w14:textFill>
              </w:rPr>
              <w:t xml:space="preserve">　</w:t>
            </w:r>
          </w:p>
        </w:tc>
        <w:tc>
          <w:tcPr>
            <w:tcW w:w="667" w:type="pct"/>
            <w:tcBorders>
              <w:bottom w:val="single" w:sz="4" w:space="0" w:color="auto"/>
            </w:tcBorders>
            <w:shd w:val="solid" w:color="000000" w:fill="000000"/>
            <w:vAlign w:val="top"/>
          </w:tcPr>
          <w:p w14:paraId="30C649F4" w14:textId="5A96855B" w:rsidR="00B61FE9" w:rsidRPr="000B0F56" w:rsidRDefault="00592818" w:rsidP="00367C94">
            <w:pPr>
              <w:pStyle w:val="Tabletext0"/>
              <w:jc w:val="center"/>
              <w:rPr>
                <w:i/>
                <w:iCs/>
                <w:highlight w:val="yellow"/>
              </w:rPr>
            </w:pPr>
            <w:r w:rsidRPr="00592818">
              <w:rPr>
                <w:rFonts w:hint="eastAsia"/>
                <w:i/>
                <w:iCs/>
                <w:color w:val="000000"/>
                <w:w w:val="19"/>
                <w:fitText w:val="88" w:id="-1256557822"/>
                <w14:textFill>
                  <w14:solidFill>
                    <w14:srgbClr w14:val="000000">
                      <w14:alpha w14:val="100000"/>
                    </w14:srgbClr>
                  </w14:solidFill>
                </w14:textFill>
              </w:rPr>
              <w:t xml:space="preserve">　</w:t>
            </w:r>
            <w:r w:rsidRPr="00592818">
              <w:rPr>
                <w:i/>
                <w:iCs/>
                <w:color w:val="000000"/>
                <w:w w:val="19"/>
                <w:fitText w:val="88" w:id="-1256557822"/>
                <w14:textFill>
                  <w14:solidFill>
                    <w14:srgbClr w14:val="000000">
                      <w14:alpha w14:val="100000"/>
                    </w14:srgbClr>
                  </w14:solidFill>
                </w14:textFill>
              </w:rPr>
              <w:t>|</w:t>
            </w:r>
            <w:r w:rsidRPr="00592818">
              <w:rPr>
                <w:rFonts w:hint="eastAsia"/>
                <w:i/>
                <w:iCs/>
                <w:color w:val="000000"/>
                <w:w w:val="19"/>
                <w:fitText w:val="88" w:id="-1256557822"/>
                <w14:textFill>
                  <w14:solidFill>
                    <w14:srgbClr w14:val="000000">
                      <w14:alpha w14:val="100000"/>
                    </w14:srgbClr>
                  </w14:solidFill>
                </w14:textFill>
              </w:rPr>
              <w:t xml:space="preserve">　</w:t>
            </w:r>
          </w:p>
        </w:tc>
      </w:tr>
      <w:tr w:rsidR="00592818" w:rsidRPr="00EA4167" w14:paraId="40D45738" w14:textId="77777777" w:rsidTr="00592818">
        <w:tc>
          <w:tcPr>
            <w:tcW w:w="1612" w:type="pct"/>
          </w:tcPr>
          <w:p w14:paraId="08E7EA0F" w14:textId="77777777" w:rsidR="00EA4167" w:rsidRPr="00EA4167" w:rsidRDefault="00EA4167" w:rsidP="00367C94">
            <w:pPr>
              <w:spacing w:before="40" w:after="40"/>
              <w:rPr>
                <w:rFonts w:ascii="Arial Narrow" w:hAnsi="Arial Narrow"/>
              </w:rPr>
            </w:pPr>
            <w:r w:rsidRPr="00EA4167">
              <w:rPr>
                <w:rFonts w:ascii="Arial Narrow" w:hAnsi="Arial Narrow"/>
              </w:rPr>
              <w:t xml:space="preserve">Change in </w:t>
            </w:r>
            <w:proofErr w:type="spellStart"/>
            <w:r w:rsidRPr="00EA4167">
              <w:rPr>
                <w:rFonts w:ascii="Arial Narrow" w:hAnsi="Arial Narrow"/>
              </w:rPr>
              <w:t>TMVr</w:t>
            </w:r>
            <w:proofErr w:type="spellEnd"/>
            <w:r w:rsidRPr="00EA4167">
              <w:rPr>
                <w:rFonts w:ascii="Arial Narrow" w:hAnsi="Arial Narrow"/>
              </w:rPr>
              <w:t xml:space="preserve"> procedures for DMR conducted with </w:t>
            </w:r>
            <w:proofErr w:type="spellStart"/>
            <w:r w:rsidRPr="00EA4167">
              <w:rPr>
                <w:rFonts w:ascii="Arial Narrow" w:hAnsi="Arial Narrow"/>
              </w:rPr>
              <w:t>MitraClip</w:t>
            </w:r>
            <w:proofErr w:type="spellEnd"/>
          </w:p>
        </w:tc>
        <w:tc>
          <w:tcPr>
            <w:tcW w:w="681" w:type="pct"/>
            <w:tcBorders>
              <w:bottom w:val="single" w:sz="4" w:space="0" w:color="auto"/>
            </w:tcBorders>
            <w:shd w:val="solid" w:color="000000" w:fill="000000"/>
          </w:tcPr>
          <w:p w14:paraId="440AF1B4" w14:textId="6AEDF1D6"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21"/>
                <w14:textFill>
                  <w14:solidFill>
                    <w14:srgbClr w14:val="000000">
                      <w14:alpha w14:val="100000"/>
                    </w14:srgbClr>
                  </w14:solidFill>
                </w14:textFill>
              </w:rPr>
              <w:t xml:space="preserve">　</w:t>
            </w:r>
            <w:r w:rsidRPr="00592818">
              <w:rPr>
                <w:rFonts w:ascii="Arial Narrow" w:hAnsi="Arial Narrow"/>
                <w:color w:val="000000"/>
                <w:w w:val="16"/>
                <w:fitText w:val="75" w:id="-1256557821"/>
                <w14:textFill>
                  <w14:solidFill>
                    <w14:srgbClr w14:val="000000">
                      <w14:alpha w14:val="100000"/>
                    </w14:srgbClr>
                  </w14:solidFill>
                </w14:textFill>
              </w:rPr>
              <w:t>|</w:t>
            </w:r>
            <w:r w:rsidRPr="00592818">
              <w:rPr>
                <w:rFonts w:ascii="Arial Narrow" w:hAnsi="Arial Narrow" w:hint="eastAsia"/>
                <w:color w:val="000000"/>
                <w:w w:val="16"/>
                <w:fitText w:val="75" w:id="-1256557821"/>
                <w14:textFill>
                  <w14:solidFill>
                    <w14:srgbClr w14:val="000000">
                      <w14:alpha w14:val="100000"/>
                    </w14:srgbClr>
                  </w14:solidFill>
                </w14:textFill>
              </w:rPr>
              <w:t xml:space="preserve">　</w:t>
            </w:r>
          </w:p>
        </w:tc>
        <w:tc>
          <w:tcPr>
            <w:tcW w:w="681" w:type="pct"/>
            <w:tcBorders>
              <w:bottom w:val="single" w:sz="4" w:space="0" w:color="auto"/>
            </w:tcBorders>
            <w:shd w:val="solid" w:color="000000" w:fill="000000"/>
          </w:tcPr>
          <w:p w14:paraId="72E75F54" w14:textId="61653813"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20"/>
                <w14:textFill>
                  <w14:solidFill>
                    <w14:srgbClr w14:val="000000">
                      <w14:alpha w14:val="100000"/>
                    </w14:srgbClr>
                  </w14:solidFill>
                </w14:textFill>
              </w:rPr>
              <w:t xml:space="preserve">　</w:t>
            </w:r>
            <w:r w:rsidRPr="00592818">
              <w:rPr>
                <w:rFonts w:ascii="Arial Narrow" w:hAnsi="Arial Narrow"/>
                <w:color w:val="000000"/>
                <w:w w:val="16"/>
                <w:fitText w:val="75" w:id="-1256557820"/>
                <w14:textFill>
                  <w14:solidFill>
                    <w14:srgbClr w14:val="000000">
                      <w14:alpha w14:val="100000"/>
                    </w14:srgbClr>
                  </w14:solidFill>
                </w14:textFill>
              </w:rPr>
              <w:t>|</w:t>
            </w:r>
            <w:r w:rsidRPr="00592818">
              <w:rPr>
                <w:rFonts w:ascii="Arial Narrow" w:hAnsi="Arial Narrow" w:hint="eastAsia"/>
                <w:color w:val="000000"/>
                <w:w w:val="16"/>
                <w:fitText w:val="75" w:id="-1256557820"/>
                <w14:textFill>
                  <w14:solidFill>
                    <w14:srgbClr w14:val="000000">
                      <w14:alpha w14:val="100000"/>
                    </w14:srgbClr>
                  </w14:solidFill>
                </w14:textFill>
              </w:rPr>
              <w:t xml:space="preserve">　</w:t>
            </w:r>
          </w:p>
        </w:tc>
        <w:tc>
          <w:tcPr>
            <w:tcW w:w="681" w:type="pct"/>
            <w:tcBorders>
              <w:bottom w:val="single" w:sz="4" w:space="0" w:color="auto"/>
            </w:tcBorders>
            <w:shd w:val="solid" w:color="000000" w:fill="000000"/>
          </w:tcPr>
          <w:p w14:paraId="31410AA9" w14:textId="29A5AB97"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19"/>
                <w14:textFill>
                  <w14:solidFill>
                    <w14:srgbClr w14:val="000000">
                      <w14:alpha w14:val="100000"/>
                    </w14:srgbClr>
                  </w14:solidFill>
                </w14:textFill>
              </w:rPr>
              <w:t xml:space="preserve">　</w:t>
            </w:r>
            <w:r w:rsidRPr="00592818">
              <w:rPr>
                <w:rFonts w:ascii="Arial Narrow" w:hAnsi="Arial Narrow"/>
                <w:color w:val="000000"/>
                <w:w w:val="16"/>
                <w:fitText w:val="75" w:id="-1256557819"/>
                <w14:textFill>
                  <w14:solidFill>
                    <w14:srgbClr w14:val="000000">
                      <w14:alpha w14:val="100000"/>
                    </w14:srgbClr>
                  </w14:solidFill>
                </w14:textFill>
              </w:rPr>
              <w:t>|</w:t>
            </w:r>
            <w:r w:rsidRPr="00592818">
              <w:rPr>
                <w:rFonts w:ascii="Arial Narrow" w:hAnsi="Arial Narrow" w:hint="eastAsia"/>
                <w:color w:val="000000"/>
                <w:w w:val="16"/>
                <w:fitText w:val="75" w:id="-1256557819"/>
                <w14:textFill>
                  <w14:solidFill>
                    <w14:srgbClr w14:val="000000">
                      <w14:alpha w14:val="100000"/>
                    </w14:srgbClr>
                  </w14:solidFill>
                </w14:textFill>
              </w:rPr>
              <w:t xml:space="preserve">　</w:t>
            </w:r>
          </w:p>
        </w:tc>
        <w:tc>
          <w:tcPr>
            <w:tcW w:w="678" w:type="pct"/>
            <w:tcBorders>
              <w:bottom w:val="single" w:sz="4" w:space="0" w:color="auto"/>
            </w:tcBorders>
            <w:shd w:val="solid" w:color="000000" w:fill="000000"/>
          </w:tcPr>
          <w:p w14:paraId="2742B3A9" w14:textId="25338350"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9"/>
                <w:fitText w:val="87" w:id="-1256557818"/>
                <w14:textFill>
                  <w14:solidFill>
                    <w14:srgbClr w14:val="000000">
                      <w14:alpha w14:val="100000"/>
                    </w14:srgbClr>
                  </w14:solidFill>
                </w14:textFill>
              </w:rPr>
              <w:t xml:space="preserve">　</w:t>
            </w:r>
            <w:r w:rsidRPr="00592818">
              <w:rPr>
                <w:rFonts w:ascii="Arial Narrow" w:hAnsi="Arial Narrow"/>
                <w:color w:val="000000"/>
                <w:w w:val="19"/>
                <w:fitText w:val="87" w:id="-1256557818"/>
                <w14:textFill>
                  <w14:solidFill>
                    <w14:srgbClr w14:val="000000">
                      <w14:alpha w14:val="100000"/>
                    </w14:srgbClr>
                  </w14:solidFill>
                </w14:textFill>
              </w:rPr>
              <w:t>|</w:t>
            </w:r>
            <w:r w:rsidRPr="00592818">
              <w:rPr>
                <w:rFonts w:ascii="Arial Narrow" w:hAnsi="Arial Narrow" w:hint="eastAsia"/>
                <w:color w:val="000000"/>
                <w:w w:val="19"/>
                <w:fitText w:val="87" w:id="-1256557818"/>
                <w14:textFill>
                  <w14:solidFill>
                    <w14:srgbClr w14:val="000000">
                      <w14:alpha w14:val="100000"/>
                    </w14:srgbClr>
                  </w14:solidFill>
                </w14:textFill>
              </w:rPr>
              <w:t xml:space="preserve">　</w:t>
            </w:r>
          </w:p>
        </w:tc>
        <w:tc>
          <w:tcPr>
            <w:tcW w:w="667" w:type="pct"/>
            <w:tcBorders>
              <w:bottom w:val="single" w:sz="4" w:space="0" w:color="auto"/>
            </w:tcBorders>
            <w:shd w:val="solid" w:color="000000" w:fill="000000"/>
          </w:tcPr>
          <w:p w14:paraId="44F33210" w14:textId="7A78FCE1"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9"/>
                <w:fitText w:val="88" w:id="-1256557817"/>
                <w14:textFill>
                  <w14:solidFill>
                    <w14:srgbClr w14:val="000000">
                      <w14:alpha w14:val="100000"/>
                    </w14:srgbClr>
                  </w14:solidFill>
                </w14:textFill>
              </w:rPr>
              <w:t xml:space="preserve">　</w:t>
            </w:r>
            <w:r w:rsidRPr="00592818">
              <w:rPr>
                <w:rFonts w:ascii="Arial Narrow" w:hAnsi="Arial Narrow"/>
                <w:color w:val="000000"/>
                <w:w w:val="19"/>
                <w:fitText w:val="88" w:id="-1256557817"/>
                <w14:textFill>
                  <w14:solidFill>
                    <w14:srgbClr w14:val="000000">
                      <w14:alpha w14:val="100000"/>
                    </w14:srgbClr>
                  </w14:solidFill>
                </w14:textFill>
              </w:rPr>
              <w:t>|</w:t>
            </w:r>
            <w:r w:rsidRPr="00592818">
              <w:rPr>
                <w:rFonts w:ascii="Arial Narrow" w:hAnsi="Arial Narrow" w:hint="eastAsia"/>
                <w:color w:val="000000"/>
                <w:w w:val="19"/>
                <w:fitText w:val="88" w:id="-1256557817"/>
                <w14:textFill>
                  <w14:solidFill>
                    <w14:srgbClr w14:val="000000">
                      <w14:alpha w14:val="100000"/>
                    </w14:srgbClr>
                  </w14:solidFill>
                </w14:textFill>
              </w:rPr>
              <w:t xml:space="preserve">　</w:t>
            </w:r>
          </w:p>
        </w:tc>
      </w:tr>
      <w:tr w:rsidR="00592818" w:rsidRPr="00EA4167" w14:paraId="29673606" w14:textId="77777777" w:rsidTr="00592818">
        <w:tc>
          <w:tcPr>
            <w:tcW w:w="1612" w:type="pct"/>
          </w:tcPr>
          <w:p w14:paraId="2D22DD28" w14:textId="77777777" w:rsidR="00EA4167" w:rsidRPr="00EA4167" w:rsidRDefault="00EA4167" w:rsidP="00367C94">
            <w:pPr>
              <w:spacing w:before="40" w:after="40"/>
              <w:rPr>
                <w:rFonts w:ascii="Arial Narrow" w:hAnsi="Arial Narrow"/>
              </w:rPr>
            </w:pPr>
            <w:r w:rsidRPr="00EA4167">
              <w:rPr>
                <w:rFonts w:ascii="Arial Narrow" w:hAnsi="Arial Narrow"/>
              </w:rPr>
              <w:t>Net change in MBS item 38461 utilisation</w:t>
            </w:r>
          </w:p>
        </w:tc>
        <w:tc>
          <w:tcPr>
            <w:tcW w:w="681" w:type="pct"/>
            <w:tcBorders>
              <w:bottom w:val="single" w:sz="4" w:space="0" w:color="auto"/>
            </w:tcBorders>
            <w:shd w:val="solid" w:color="000000" w:fill="000000"/>
          </w:tcPr>
          <w:p w14:paraId="2D8B0AE5" w14:textId="0C9A15F1"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16"/>
                <w14:textFill>
                  <w14:solidFill>
                    <w14:srgbClr w14:val="000000">
                      <w14:alpha w14:val="100000"/>
                    </w14:srgbClr>
                  </w14:solidFill>
                </w14:textFill>
              </w:rPr>
              <w:t xml:space="preserve">　</w:t>
            </w:r>
            <w:r w:rsidRPr="00592818">
              <w:rPr>
                <w:rFonts w:ascii="Arial Narrow" w:hAnsi="Arial Narrow"/>
                <w:color w:val="000000"/>
                <w:w w:val="16"/>
                <w:fitText w:val="75" w:id="-1256557816"/>
                <w14:textFill>
                  <w14:solidFill>
                    <w14:srgbClr w14:val="000000">
                      <w14:alpha w14:val="100000"/>
                    </w14:srgbClr>
                  </w14:solidFill>
                </w14:textFill>
              </w:rPr>
              <w:t>|</w:t>
            </w:r>
            <w:r w:rsidRPr="00592818">
              <w:rPr>
                <w:rFonts w:ascii="Arial Narrow" w:hAnsi="Arial Narrow" w:hint="eastAsia"/>
                <w:color w:val="000000"/>
                <w:w w:val="16"/>
                <w:fitText w:val="75" w:id="-1256557816"/>
                <w14:textFill>
                  <w14:solidFill>
                    <w14:srgbClr w14:val="000000">
                      <w14:alpha w14:val="100000"/>
                    </w14:srgbClr>
                  </w14:solidFill>
                </w14:textFill>
              </w:rPr>
              <w:t xml:space="preserve">　</w:t>
            </w:r>
          </w:p>
        </w:tc>
        <w:tc>
          <w:tcPr>
            <w:tcW w:w="681" w:type="pct"/>
            <w:tcBorders>
              <w:bottom w:val="single" w:sz="4" w:space="0" w:color="auto"/>
            </w:tcBorders>
            <w:shd w:val="solid" w:color="000000" w:fill="000000"/>
          </w:tcPr>
          <w:p w14:paraId="4A2DB1FB" w14:textId="5677D40F"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15"/>
                <w14:textFill>
                  <w14:solidFill>
                    <w14:srgbClr w14:val="000000">
                      <w14:alpha w14:val="100000"/>
                    </w14:srgbClr>
                  </w14:solidFill>
                </w14:textFill>
              </w:rPr>
              <w:t xml:space="preserve">　</w:t>
            </w:r>
            <w:r w:rsidRPr="00592818">
              <w:rPr>
                <w:rFonts w:ascii="Arial Narrow" w:hAnsi="Arial Narrow"/>
                <w:color w:val="000000"/>
                <w:w w:val="16"/>
                <w:fitText w:val="75" w:id="-1256557815"/>
                <w14:textFill>
                  <w14:solidFill>
                    <w14:srgbClr w14:val="000000">
                      <w14:alpha w14:val="100000"/>
                    </w14:srgbClr>
                  </w14:solidFill>
                </w14:textFill>
              </w:rPr>
              <w:t>|</w:t>
            </w:r>
            <w:r w:rsidRPr="00592818">
              <w:rPr>
                <w:rFonts w:ascii="Arial Narrow" w:hAnsi="Arial Narrow" w:hint="eastAsia"/>
                <w:color w:val="000000"/>
                <w:w w:val="16"/>
                <w:fitText w:val="75" w:id="-1256557815"/>
                <w14:textFill>
                  <w14:solidFill>
                    <w14:srgbClr w14:val="000000">
                      <w14:alpha w14:val="100000"/>
                    </w14:srgbClr>
                  </w14:solidFill>
                </w14:textFill>
              </w:rPr>
              <w:t xml:space="preserve">　</w:t>
            </w:r>
          </w:p>
        </w:tc>
        <w:tc>
          <w:tcPr>
            <w:tcW w:w="681" w:type="pct"/>
            <w:tcBorders>
              <w:bottom w:val="single" w:sz="4" w:space="0" w:color="auto"/>
            </w:tcBorders>
            <w:shd w:val="solid" w:color="000000" w:fill="000000"/>
          </w:tcPr>
          <w:p w14:paraId="5611CC44" w14:textId="3EC81DC3"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14"/>
                <w14:textFill>
                  <w14:solidFill>
                    <w14:srgbClr w14:val="000000">
                      <w14:alpha w14:val="100000"/>
                    </w14:srgbClr>
                  </w14:solidFill>
                </w14:textFill>
              </w:rPr>
              <w:t xml:space="preserve">　</w:t>
            </w:r>
            <w:r w:rsidRPr="00592818">
              <w:rPr>
                <w:rFonts w:ascii="Arial Narrow" w:hAnsi="Arial Narrow"/>
                <w:color w:val="000000"/>
                <w:w w:val="16"/>
                <w:fitText w:val="75" w:id="-1256557814"/>
                <w14:textFill>
                  <w14:solidFill>
                    <w14:srgbClr w14:val="000000">
                      <w14:alpha w14:val="100000"/>
                    </w14:srgbClr>
                  </w14:solidFill>
                </w14:textFill>
              </w:rPr>
              <w:t>|</w:t>
            </w:r>
            <w:r w:rsidRPr="00592818">
              <w:rPr>
                <w:rFonts w:ascii="Arial Narrow" w:hAnsi="Arial Narrow" w:hint="eastAsia"/>
                <w:color w:val="000000"/>
                <w:w w:val="16"/>
                <w:fitText w:val="75" w:id="-1256557814"/>
                <w14:textFill>
                  <w14:solidFill>
                    <w14:srgbClr w14:val="000000">
                      <w14:alpha w14:val="100000"/>
                    </w14:srgbClr>
                  </w14:solidFill>
                </w14:textFill>
              </w:rPr>
              <w:t xml:space="preserve">　</w:t>
            </w:r>
          </w:p>
        </w:tc>
        <w:tc>
          <w:tcPr>
            <w:tcW w:w="678" w:type="pct"/>
            <w:tcBorders>
              <w:bottom w:val="single" w:sz="4" w:space="0" w:color="auto"/>
            </w:tcBorders>
            <w:shd w:val="solid" w:color="000000" w:fill="000000"/>
          </w:tcPr>
          <w:p w14:paraId="03D61DA1" w14:textId="268E9C11"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9"/>
                <w:fitText w:val="87" w:id="-1256557813"/>
                <w14:textFill>
                  <w14:solidFill>
                    <w14:srgbClr w14:val="000000">
                      <w14:alpha w14:val="100000"/>
                    </w14:srgbClr>
                  </w14:solidFill>
                </w14:textFill>
              </w:rPr>
              <w:t xml:space="preserve">　</w:t>
            </w:r>
            <w:r w:rsidRPr="00592818">
              <w:rPr>
                <w:rFonts w:ascii="Arial Narrow" w:hAnsi="Arial Narrow"/>
                <w:color w:val="000000"/>
                <w:w w:val="19"/>
                <w:fitText w:val="87" w:id="-1256557813"/>
                <w14:textFill>
                  <w14:solidFill>
                    <w14:srgbClr w14:val="000000">
                      <w14:alpha w14:val="100000"/>
                    </w14:srgbClr>
                  </w14:solidFill>
                </w14:textFill>
              </w:rPr>
              <w:t>|</w:t>
            </w:r>
            <w:r w:rsidRPr="00592818">
              <w:rPr>
                <w:rFonts w:ascii="Arial Narrow" w:hAnsi="Arial Narrow" w:hint="eastAsia"/>
                <w:color w:val="000000"/>
                <w:w w:val="19"/>
                <w:fitText w:val="87" w:id="-1256557813"/>
                <w14:textFill>
                  <w14:solidFill>
                    <w14:srgbClr w14:val="000000">
                      <w14:alpha w14:val="100000"/>
                    </w14:srgbClr>
                  </w14:solidFill>
                </w14:textFill>
              </w:rPr>
              <w:t xml:space="preserve">　</w:t>
            </w:r>
          </w:p>
        </w:tc>
        <w:tc>
          <w:tcPr>
            <w:tcW w:w="667" w:type="pct"/>
            <w:tcBorders>
              <w:bottom w:val="single" w:sz="4" w:space="0" w:color="auto"/>
            </w:tcBorders>
            <w:shd w:val="solid" w:color="000000" w:fill="000000"/>
          </w:tcPr>
          <w:p w14:paraId="483B638F" w14:textId="08E45632"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9"/>
                <w:fitText w:val="88" w:id="-1256557812"/>
                <w14:textFill>
                  <w14:solidFill>
                    <w14:srgbClr w14:val="000000">
                      <w14:alpha w14:val="100000"/>
                    </w14:srgbClr>
                  </w14:solidFill>
                </w14:textFill>
              </w:rPr>
              <w:t xml:space="preserve">　</w:t>
            </w:r>
            <w:r w:rsidRPr="00592818">
              <w:rPr>
                <w:rFonts w:ascii="Arial Narrow" w:hAnsi="Arial Narrow"/>
                <w:color w:val="000000"/>
                <w:w w:val="19"/>
                <w:fitText w:val="88" w:id="-1256557812"/>
                <w14:textFill>
                  <w14:solidFill>
                    <w14:srgbClr w14:val="000000">
                      <w14:alpha w14:val="100000"/>
                    </w14:srgbClr>
                  </w14:solidFill>
                </w14:textFill>
              </w:rPr>
              <w:t>|</w:t>
            </w:r>
            <w:r w:rsidRPr="00592818">
              <w:rPr>
                <w:rFonts w:ascii="Arial Narrow" w:hAnsi="Arial Narrow" w:hint="eastAsia"/>
                <w:color w:val="000000"/>
                <w:w w:val="19"/>
                <w:fitText w:val="88" w:id="-1256557812"/>
                <w14:textFill>
                  <w14:solidFill>
                    <w14:srgbClr w14:val="000000">
                      <w14:alpha w14:val="100000"/>
                    </w14:srgbClr>
                  </w14:solidFill>
                </w14:textFill>
              </w:rPr>
              <w:t xml:space="preserve">　</w:t>
            </w:r>
          </w:p>
        </w:tc>
      </w:tr>
      <w:tr w:rsidR="00592818" w:rsidRPr="00EA4167" w14:paraId="0FEAF22E" w14:textId="77777777" w:rsidTr="00592818">
        <w:tc>
          <w:tcPr>
            <w:tcW w:w="1612" w:type="pct"/>
          </w:tcPr>
          <w:p w14:paraId="77904C2F" w14:textId="77777777" w:rsidR="00EA4167" w:rsidRPr="00EA4167" w:rsidRDefault="00EA4167" w:rsidP="00367C94">
            <w:pPr>
              <w:spacing w:before="40" w:after="40"/>
              <w:rPr>
                <w:rFonts w:ascii="Arial Narrow" w:hAnsi="Arial Narrow"/>
              </w:rPr>
            </w:pPr>
            <w:r w:rsidRPr="00EA4167">
              <w:rPr>
                <w:rFonts w:ascii="Arial Narrow" w:hAnsi="Arial Narrow"/>
              </w:rPr>
              <w:t>Increased cost of PASCAL in the DMR population at 75% benefit</w:t>
            </w:r>
          </w:p>
        </w:tc>
        <w:tc>
          <w:tcPr>
            <w:tcW w:w="681" w:type="pct"/>
            <w:tcBorders>
              <w:bottom w:val="single" w:sz="4" w:space="0" w:color="auto"/>
            </w:tcBorders>
            <w:shd w:val="solid" w:color="000000" w:fill="000000"/>
          </w:tcPr>
          <w:p w14:paraId="75C79644" w14:textId="1855D626"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11"/>
                <w14:textFill>
                  <w14:solidFill>
                    <w14:srgbClr w14:val="000000">
                      <w14:alpha w14:val="100000"/>
                    </w14:srgbClr>
                  </w14:solidFill>
                </w14:textFill>
              </w:rPr>
              <w:t xml:space="preserve">　</w:t>
            </w:r>
            <w:r w:rsidRPr="00592818">
              <w:rPr>
                <w:rFonts w:ascii="Arial Narrow" w:hAnsi="Arial Narrow"/>
                <w:color w:val="000000"/>
                <w:w w:val="16"/>
                <w:fitText w:val="75" w:id="-1256557811"/>
                <w14:textFill>
                  <w14:solidFill>
                    <w14:srgbClr w14:val="000000">
                      <w14:alpha w14:val="100000"/>
                    </w14:srgbClr>
                  </w14:solidFill>
                </w14:textFill>
              </w:rPr>
              <w:t>|</w:t>
            </w:r>
            <w:r w:rsidRPr="00592818">
              <w:rPr>
                <w:rFonts w:ascii="Arial Narrow" w:hAnsi="Arial Narrow" w:hint="eastAsia"/>
                <w:color w:val="000000"/>
                <w:w w:val="16"/>
                <w:fitText w:val="75" w:id="-1256557811"/>
                <w14:textFill>
                  <w14:solidFill>
                    <w14:srgbClr w14:val="000000">
                      <w14:alpha w14:val="100000"/>
                    </w14:srgbClr>
                  </w14:solidFill>
                </w14:textFill>
              </w:rPr>
              <w:t xml:space="preserve">　</w:t>
            </w:r>
          </w:p>
        </w:tc>
        <w:tc>
          <w:tcPr>
            <w:tcW w:w="681" w:type="pct"/>
            <w:tcBorders>
              <w:bottom w:val="single" w:sz="4" w:space="0" w:color="auto"/>
            </w:tcBorders>
            <w:shd w:val="solid" w:color="000000" w:fill="000000"/>
          </w:tcPr>
          <w:p w14:paraId="04DC9DD3" w14:textId="7EBCFD64"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10"/>
                <w14:textFill>
                  <w14:solidFill>
                    <w14:srgbClr w14:val="000000">
                      <w14:alpha w14:val="100000"/>
                    </w14:srgbClr>
                  </w14:solidFill>
                </w14:textFill>
              </w:rPr>
              <w:t xml:space="preserve">　</w:t>
            </w:r>
            <w:r w:rsidRPr="00592818">
              <w:rPr>
                <w:rFonts w:ascii="Arial Narrow" w:hAnsi="Arial Narrow"/>
                <w:color w:val="000000"/>
                <w:w w:val="16"/>
                <w:fitText w:val="75" w:id="-1256557810"/>
                <w14:textFill>
                  <w14:solidFill>
                    <w14:srgbClr w14:val="000000">
                      <w14:alpha w14:val="100000"/>
                    </w14:srgbClr>
                  </w14:solidFill>
                </w14:textFill>
              </w:rPr>
              <w:t>|</w:t>
            </w:r>
            <w:r w:rsidRPr="00592818">
              <w:rPr>
                <w:rFonts w:ascii="Arial Narrow" w:hAnsi="Arial Narrow" w:hint="eastAsia"/>
                <w:color w:val="000000"/>
                <w:w w:val="16"/>
                <w:fitText w:val="75" w:id="-1256557810"/>
                <w14:textFill>
                  <w14:solidFill>
                    <w14:srgbClr w14:val="000000">
                      <w14:alpha w14:val="100000"/>
                    </w14:srgbClr>
                  </w14:solidFill>
                </w14:textFill>
              </w:rPr>
              <w:t xml:space="preserve">　</w:t>
            </w:r>
          </w:p>
        </w:tc>
        <w:tc>
          <w:tcPr>
            <w:tcW w:w="681" w:type="pct"/>
            <w:tcBorders>
              <w:bottom w:val="single" w:sz="4" w:space="0" w:color="auto"/>
            </w:tcBorders>
            <w:shd w:val="solid" w:color="000000" w:fill="000000"/>
          </w:tcPr>
          <w:p w14:paraId="1E9F6984" w14:textId="6D13CF67"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09"/>
                <w14:textFill>
                  <w14:solidFill>
                    <w14:srgbClr w14:val="000000">
                      <w14:alpha w14:val="100000"/>
                    </w14:srgbClr>
                  </w14:solidFill>
                </w14:textFill>
              </w:rPr>
              <w:t xml:space="preserve">　</w:t>
            </w:r>
            <w:r w:rsidRPr="00592818">
              <w:rPr>
                <w:rFonts w:ascii="Arial Narrow" w:hAnsi="Arial Narrow"/>
                <w:color w:val="000000"/>
                <w:w w:val="16"/>
                <w:fitText w:val="75" w:id="-1256557809"/>
                <w14:textFill>
                  <w14:solidFill>
                    <w14:srgbClr w14:val="000000">
                      <w14:alpha w14:val="100000"/>
                    </w14:srgbClr>
                  </w14:solidFill>
                </w14:textFill>
              </w:rPr>
              <w:t>|</w:t>
            </w:r>
            <w:r w:rsidRPr="00592818">
              <w:rPr>
                <w:rFonts w:ascii="Arial Narrow" w:hAnsi="Arial Narrow" w:hint="eastAsia"/>
                <w:color w:val="000000"/>
                <w:w w:val="16"/>
                <w:fitText w:val="75" w:id="-1256557809"/>
                <w14:textFill>
                  <w14:solidFill>
                    <w14:srgbClr w14:val="000000">
                      <w14:alpha w14:val="100000"/>
                    </w14:srgbClr>
                  </w14:solidFill>
                </w14:textFill>
              </w:rPr>
              <w:t xml:space="preserve">　</w:t>
            </w:r>
          </w:p>
        </w:tc>
        <w:tc>
          <w:tcPr>
            <w:tcW w:w="678" w:type="pct"/>
            <w:tcBorders>
              <w:bottom w:val="single" w:sz="4" w:space="0" w:color="auto"/>
            </w:tcBorders>
            <w:shd w:val="solid" w:color="000000" w:fill="000000"/>
          </w:tcPr>
          <w:p w14:paraId="649FB9D4" w14:textId="033D3FBB"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9"/>
                <w:fitText w:val="87" w:id="-1256557808"/>
                <w14:textFill>
                  <w14:solidFill>
                    <w14:srgbClr w14:val="000000">
                      <w14:alpha w14:val="100000"/>
                    </w14:srgbClr>
                  </w14:solidFill>
                </w14:textFill>
              </w:rPr>
              <w:t xml:space="preserve">　</w:t>
            </w:r>
            <w:r w:rsidRPr="00592818">
              <w:rPr>
                <w:rFonts w:ascii="Arial Narrow" w:hAnsi="Arial Narrow"/>
                <w:color w:val="000000"/>
                <w:w w:val="19"/>
                <w:fitText w:val="87" w:id="-1256557808"/>
                <w14:textFill>
                  <w14:solidFill>
                    <w14:srgbClr w14:val="000000">
                      <w14:alpha w14:val="100000"/>
                    </w14:srgbClr>
                  </w14:solidFill>
                </w14:textFill>
              </w:rPr>
              <w:t>|</w:t>
            </w:r>
            <w:r w:rsidRPr="00592818">
              <w:rPr>
                <w:rFonts w:ascii="Arial Narrow" w:hAnsi="Arial Narrow" w:hint="eastAsia"/>
                <w:color w:val="000000"/>
                <w:w w:val="19"/>
                <w:fitText w:val="87" w:id="-1256557808"/>
                <w14:textFill>
                  <w14:solidFill>
                    <w14:srgbClr w14:val="000000">
                      <w14:alpha w14:val="100000"/>
                    </w14:srgbClr>
                  </w14:solidFill>
                </w14:textFill>
              </w:rPr>
              <w:t xml:space="preserve">　</w:t>
            </w:r>
          </w:p>
        </w:tc>
        <w:tc>
          <w:tcPr>
            <w:tcW w:w="667" w:type="pct"/>
            <w:tcBorders>
              <w:bottom w:val="single" w:sz="4" w:space="0" w:color="auto"/>
            </w:tcBorders>
            <w:shd w:val="solid" w:color="000000" w:fill="000000"/>
          </w:tcPr>
          <w:p w14:paraId="5EA8E1CA" w14:textId="77D52385"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9"/>
                <w:fitText w:val="88" w:id="-1256557824"/>
                <w14:textFill>
                  <w14:solidFill>
                    <w14:srgbClr w14:val="000000">
                      <w14:alpha w14:val="100000"/>
                    </w14:srgbClr>
                  </w14:solidFill>
                </w14:textFill>
              </w:rPr>
              <w:t xml:space="preserve">　</w:t>
            </w:r>
            <w:r w:rsidRPr="00592818">
              <w:rPr>
                <w:rFonts w:ascii="Arial Narrow" w:hAnsi="Arial Narrow"/>
                <w:color w:val="000000"/>
                <w:w w:val="19"/>
                <w:fitText w:val="88" w:id="-1256557824"/>
                <w14:textFill>
                  <w14:solidFill>
                    <w14:srgbClr w14:val="000000">
                      <w14:alpha w14:val="100000"/>
                    </w14:srgbClr>
                  </w14:solidFill>
                </w14:textFill>
              </w:rPr>
              <w:t>|</w:t>
            </w:r>
            <w:r w:rsidRPr="00592818">
              <w:rPr>
                <w:rFonts w:ascii="Arial Narrow" w:hAnsi="Arial Narrow" w:hint="eastAsia"/>
                <w:color w:val="000000"/>
                <w:w w:val="19"/>
                <w:fitText w:val="88" w:id="-1256557824"/>
                <w14:textFill>
                  <w14:solidFill>
                    <w14:srgbClr w14:val="000000">
                      <w14:alpha w14:val="100000"/>
                    </w14:srgbClr>
                  </w14:solidFill>
                </w14:textFill>
              </w:rPr>
              <w:t xml:space="preserve">　</w:t>
            </w:r>
          </w:p>
        </w:tc>
      </w:tr>
      <w:tr w:rsidR="00592818" w:rsidRPr="00091167" w14:paraId="489ABF8D" w14:textId="77777777" w:rsidTr="00592818">
        <w:tc>
          <w:tcPr>
            <w:tcW w:w="1612" w:type="pct"/>
          </w:tcPr>
          <w:p w14:paraId="4359827D" w14:textId="77777777" w:rsidR="00EA4167" w:rsidRPr="00091167" w:rsidRDefault="00EA4167" w:rsidP="00367C94">
            <w:pPr>
              <w:spacing w:before="40" w:after="40"/>
              <w:rPr>
                <w:rFonts w:ascii="Arial Narrow" w:hAnsi="Arial Narrow"/>
                <w:i/>
                <w:iCs/>
              </w:rPr>
            </w:pPr>
            <w:r w:rsidRPr="00091167">
              <w:rPr>
                <w:rFonts w:ascii="Arial Narrow" w:hAnsi="Arial Narrow"/>
                <w:i/>
                <w:iCs/>
              </w:rPr>
              <w:t>Update to reflect new schedule fee</w:t>
            </w:r>
          </w:p>
        </w:tc>
        <w:tc>
          <w:tcPr>
            <w:tcW w:w="681" w:type="pct"/>
            <w:tcBorders>
              <w:bottom w:val="single" w:sz="4" w:space="0" w:color="auto"/>
            </w:tcBorders>
            <w:shd w:val="solid" w:color="000000" w:fill="000000"/>
          </w:tcPr>
          <w:p w14:paraId="5BEFBC97" w14:textId="3B1A792D" w:rsidR="00EA4167" w:rsidRPr="000B0F56" w:rsidRDefault="00592818" w:rsidP="00367C94">
            <w:pPr>
              <w:spacing w:before="40" w:after="40"/>
              <w:jc w:val="center"/>
              <w:rPr>
                <w:rFonts w:ascii="Arial Narrow" w:hAnsi="Arial Narrow"/>
                <w:i/>
                <w:iCs/>
                <w:highlight w:val="yellow"/>
              </w:rPr>
            </w:pPr>
            <w:r w:rsidRPr="00592818">
              <w:rPr>
                <w:rFonts w:ascii="Arial Narrow" w:hAnsi="Arial Narrow" w:hint="eastAsia"/>
                <w:i/>
                <w:iCs/>
                <w:color w:val="000000"/>
                <w:w w:val="16"/>
                <w:fitText w:val="75" w:id="-1256557823"/>
                <w14:textFill>
                  <w14:solidFill>
                    <w14:srgbClr w14:val="000000">
                      <w14:alpha w14:val="100000"/>
                    </w14:srgbClr>
                  </w14:solidFill>
                </w14:textFill>
              </w:rPr>
              <w:t xml:space="preserve">　</w:t>
            </w:r>
            <w:r w:rsidRPr="00592818">
              <w:rPr>
                <w:rFonts w:ascii="Arial Narrow" w:hAnsi="Arial Narrow"/>
                <w:i/>
                <w:iCs/>
                <w:color w:val="000000"/>
                <w:w w:val="16"/>
                <w:fitText w:val="75" w:id="-1256557823"/>
                <w14:textFill>
                  <w14:solidFill>
                    <w14:srgbClr w14:val="000000">
                      <w14:alpha w14:val="100000"/>
                    </w14:srgbClr>
                  </w14:solidFill>
                </w14:textFill>
              </w:rPr>
              <w:t>|</w:t>
            </w:r>
            <w:r w:rsidRPr="00592818">
              <w:rPr>
                <w:rFonts w:ascii="Arial Narrow" w:hAnsi="Arial Narrow" w:hint="eastAsia"/>
                <w:i/>
                <w:iCs/>
                <w:color w:val="000000"/>
                <w:w w:val="16"/>
                <w:fitText w:val="75" w:id="-1256557823"/>
                <w14:textFill>
                  <w14:solidFill>
                    <w14:srgbClr w14:val="000000">
                      <w14:alpha w14:val="100000"/>
                    </w14:srgbClr>
                  </w14:solidFill>
                </w14:textFill>
              </w:rPr>
              <w:t xml:space="preserve">　</w:t>
            </w:r>
          </w:p>
        </w:tc>
        <w:tc>
          <w:tcPr>
            <w:tcW w:w="681" w:type="pct"/>
            <w:tcBorders>
              <w:bottom w:val="single" w:sz="4" w:space="0" w:color="auto"/>
            </w:tcBorders>
            <w:shd w:val="solid" w:color="000000" w:fill="000000"/>
          </w:tcPr>
          <w:p w14:paraId="1722DC20" w14:textId="2E015393" w:rsidR="00EA4167" w:rsidRPr="000B0F56" w:rsidRDefault="00592818" w:rsidP="00367C94">
            <w:pPr>
              <w:spacing w:before="40" w:after="40"/>
              <w:jc w:val="center"/>
              <w:rPr>
                <w:rFonts w:ascii="Arial Narrow" w:hAnsi="Arial Narrow"/>
                <w:i/>
                <w:iCs/>
                <w:highlight w:val="yellow"/>
              </w:rPr>
            </w:pPr>
            <w:r w:rsidRPr="00592818">
              <w:rPr>
                <w:rFonts w:ascii="Arial Narrow" w:hAnsi="Arial Narrow" w:hint="eastAsia"/>
                <w:i/>
                <w:iCs/>
                <w:color w:val="000000"/>
                <w:w w:val="16"/>
                <w:fitText w:val="75" w:id="-1256557822"/>
                <w14:textFill>
                  <w14:solidFill>
                    <w14:srgbClr w14:val="000000">
                      <w14:alpha w14:val="100000"/>
                    </w14:srgbClr>
                  </w14:solidFill>
                </w14:textFill>
              </w:rPr>
              <w:t xml:space="preserve">　</w:t>
            </w:r>
            <w:r w:rsidRPr="00592818">
              <w:rPr>
                <w:rFonts w:ascii="Arial Narrow" w:hAnsi="Arial Narrow"/>
                <w:i/>
                <w:iCs/>
                <w:color w:val="000000"/>
                <w:w w:val="16"/>
                <w:fitText w:val="75" w:id="-1256557822"/>
                <w14:textFill>
                  <w14:solidFill>
                    <w14:srgbClr w14:val="000000">
                      <w14:alpha w14:val="100000"/>
                    </w14:srgbClr>
                  </w14:solidFill>
                </w14:textFill>
              </w:rPr>
              <w:t>|</w:t>
            </w:r>
            <w:r w:rsidRPr="00592818">
              <w:rPr>
                <w:rFonts w:ascii="Arial Narrow" w:hAnsi="Arial Narrow" w:hint="eastAsia"/>
                <w:i/>
                <w:iCs/>
                <w:color w:val="000000"/>
                <w:w w:val="16"/>
                <w:fitText w:val="75" w:id="-1256557822"/>
                <w14:textFill>
                  <w14:solidFill>
                    <w14:srgbClr w14:val="000000">
                      <w14:alpha w14:val="100000"/>
                    </w14:srgbClr>
                  </w14:solidFill>
                </w14:textFill>
              </w:rPr>
              <w:t xml:space="preserve">　</w:t>
            </w:r>
          </w:p>
        </w:tc>
        <w:tc>
          <w:tcPr>
            <w:tcW w:w="681" w:type="pct"/>
            <w:tcBorders>
              <w:bottom w:val="single" w:sz="4" w:space="0" w:color="auto"/>
            </w:tcBorders>
            <w:shd w:val="solid" w:color="000000" w:fill="000000"/>
          </w:tcPr>
          <w:p w14:paraId="2F63875A" w14:textId="2DDC4565" w:rsidR="00EA4167" w:rsidRPr="000B0F56" w:rsidRDefault="00592818" w:rsidP="00367C94">
            <w:pPr>
              <w:spacing w:before="40" w:after="40"/>
              <w:jc w:val="center"/>
              <w:rPr>
                <w:rFonts w:ascii="Arial Narrow" w:hAnsi="Arial Narrow"/>
                <w:i/>
                <w:iCs/>
                <w:highlight w:val="yellow"/>
              </w:rPr>
            </w:pPr>
            <w:r w:rsidRPr="00592818">
              <w:rPr>
                <w:rFonts w:ascii="Arial Narrow" w:hAnsi="Arial Narrow" w:hint="eastAsia"/>
                <w:i/>
                <w:iCs/>
                <w:color w:val="000000"/>
                <w:w w:val="16"/>
                <w:fitText w:val="75" w:id="-1256557821"/>
                <w14:textFill>
                  <w14:solidFill>
                    <w14:srgbClr w14:val="000000">
                      <w14:alpha w14:val="100000"/>
                    </w14:srgbClr>
                  </w14:solidFill>
                </w14:textFill>
              </w:rPr>
              <w:t xml:space="preserve">　</w:t>
            </w:r>
            <w:r w:rsidRPr="00592818">
              <w:rPr>
                <w:rFonts w:ascii="Arial Narrow" w:hAnsi="Arial Narrow"/>
                <w:i/>
                <w:iCs/>
                <w:color w:val="000000"/>
                <w:w w:val="16"/>
                <w:fitText w:val="75" w:id="-1256557821"/>
                <w14:textFill>
                  <w14:solidFill>
                    <w14:srgbClr w14:val="000000">
                      <w14:alpha w14:val="100000"/>
                    </w14:srgbClr>
                  </w14:solidFill>
                </w14:textFill>
              </w:rPr>
              <w:t>|</w:t>
            </w:r>
            <w:r w:rsidRPr="00592818">
              <w:rPr>
                <w:rFonts w:ascii="Arial Narrow" w:hAnsi="Arial Narrow" w:hint="eastAsia"/>
                <w:i/>
                <w:iCs/>
                <w:color w:val="000000"/>
                <w:w w:val="16"/>
                <w:fitText w:val="75" w:id="-1256557821"/>
                <w14:textFill>
                  <w14:solidFill>
                    <w14:srgbClr w14:val="000000">
                      <w14:alpha w14:val="100000"/>
                    </w14:srgbClr>
                  </w14:solidFill>
                </w14:textFill>
              </w:rPr>
              <w:t xml:space="preserve">　</w:t>
            </w:r>
          </w:p>
        </w:tc>
        <w:tc>
          <w:tcPr>
            <w:tcW w:w="678" w:type="pct"/>
            <w:tcBorders>
              <w:bottom w:val="single" w:sz="4" w:space="0" w:color="auto"/>
            </w:tcBorders>
            <w:shd w:val="solid" w:color="000000" w:fill="000000"/>
          </w:tcPr>
          <w:p w14:paraId="184C455D" w14:textId="4B1CFB67" w:rsidR="00EA4167" w:rsidRPr="000B0F56" w:rsidRDefault="00592818" w:rsidP="00367C94">
            <w:pPr>
              <w:spacing w:before="40" w:after="40"/>
              <w:jc w:val="center"/>
              <w:rPr>
                <w:rFonts w:ascii="Arial Narrow" w:hAnsi="Arial Narrow"/>
                <w:i/>
                <w:iCs/>
                <w:highlight w:val="yellow"/>
              </w:rPr>
            </w:pPr>
            <w:r w:rsidRPr="00592818">
              <w:rPr>
                <w:rFonts w:ascii="Arial Narrow" w:hAnsi="Arial Narrow" w:hint="eastAsia"/>
                <w:i/>
                <w:iCs/>
                <w:color w:val="000000"/>
                <w:w w:val="19"/>
                <w:fitText w:val="87" w:id="-1256557820"/>
                <w14:textFill>
                  <w14:solidFill>
                    <w14:srgbClr w14:val="000000">
                      <w14:alpha w14:val="100000"/>
                    </w14:srgbClr>
                  </w14:solidFill>
                </w14:textFill>
              </w:rPr>
              <w:t xml:space="preserve">　</w:t>
            </w:r>
            <w:r w:rsidRPr="00592818">
              <w:rPr>
                <w:rFonts w:ascii="Arial Narrow" w:hAnsi="Arial Narrow"/>
                <w:i/>
                <w:iCs/>
                <w:color w:val="000000"/>
                <w:w w:val="19"/>
                <w:fitText w:val="87" w:id="-1256557820"/>
                <w14:textFill>
                  <w14:solidFill>
                    <w14:srgbClr w14:val="000000">
                      <w14:alpha w14:val="100000"/>
                    </w14:srgbClr>
                  </w14:solidFill>
                </w14:textFill>
              </w:rPr>
              <w:t>|</w:t>
            </w:r>
            <w:r w:rsidRPr="00592818">
              <w:rPr>
                <w:rFonts w:ascii="Arial Narrow" w:hAnsi="Arial Narrow" w:hint="eastAsia"/>
                <w:i/>
                <w:iCs/>
                <w:color w:val="000000"/>
                <w:w w:val="19"/>
                <w:fitText w:val="87" w:id="-1256557820"/>
                <w14:textFill>
                  <w14:solidFill>
                    <w14:srgbClr w14:val="000000">
                      <w14:alpha w14:val="100000"/>
                    </w14:srgbClr>
                  </w14:solidFill>
                </w14:textFill>
              </w:rPr>
              <w:t xml:space="preserve">　</w:t>
            </w:r>
          </w:p>
        </w:tc>
        <w:tc>
          <w:tcPr>
            <w:tcW w:w="667" w:type="pct"/>
            <w:tcBorders>
              <w:bottom w:val="single" w:sz="4" w:space="0" w:color="auto"/>
            </w:tcBorders>
            <w:shd w:val="solid" w:color="000000" w:fill="000000"/>
          </w:tcPr>
          <w:p w14:paraId="410DC711" w14:textId="2F670034" w:rsidR="00EA4167" w:rsidRPr="000B0F56" w:rsidRDefault="00592818" w:rsidP="00367C94">
            <w:pPr>
              <w:spacing w:before="40" w:after="40"/>
              <w:jc w:val="center"/>
              <w:rPr>
                <w:rFonts w:ascii="Arial Narrow" w:hAnsi="Arial Narrow"/>
                <w:i/>
                <w:iCs/>
                <w:highlight w:val="yellow"/>
              </w:rPr>
            </w:pPr>
            <w:r w:rsidRPr="00592818">
              <w:rPr>
                <w:rFonts w:ascii="Arial Narrow" w:hAnsi="Arial Narrow" w:hint="eastAsia"/>
                <w:i/>
                <w:iCs/>
                <w:color w:val="000000"/>
                <w:w w:val="19"/>
                <w:fitText w:val="88" w:id="-1256557819"/>
                <w14:textFill>
                  <w14:solidFill>
                    <w14:srgbClr w14:val="000000">
                      <w14:alpha w14:val="100000"/>
                    </w14:srgbClr>
                  </w14:solidFill>
                </w14:textFill>
              </w:rPr>
              <w:t xml:space="preserve">　</w:t>
            </w:r>
            <w:r w:rsidRPr="00592818">
              <w:rPr>
                <w:rFonts w:ascii="Arial Narrow" w:hAnsi="Arial Narrow"/>
                <w:i/>
                <w:iCs/>
                <w:color w:val="000000"/>
                <w:w w:val="19"/>
                <w:fitText w:val="88" w:id="-1256557819"/>
                <w14:textFill>
                  <w14:solidFill>
                    <w14:srgbClr w14:val="000000">
                      <w14:alpha w14:val="100000"/>
                    </w14:srgbClr>
                  </w14:solidFill>
                </w14:textFill>
              </w:rPr>
              <w:t>|</w:t>
            </w:r>
            <w:r w:rsidRPr="00592818">
              <w:rPr>
                <w:rFonts w:ascii="Arial Narrow" w:hAnsi="Arial Narrow" w:hint="eastAsia"/>
                <w:i/>
                <w:iCs/>
                <w:color w:val="000000"/>
                <w:w w:val="19"/>
                <w:fitText w:val="88" w:id="-1256557819"/>
                <w14:textFill>
                  <w14:solidFill>
                    <w14:srgbClr w14:val="000000">
                      <w14:alpha w14:val="100000"/>
                    </w14:srgbClr>
                  </w14:solidFill>
                </w14:textFill>
              </w:rPr>
              <w:t xml:space="preserve">　</w:t>
            </w:r>
          </w:p>
        </w:tc>
      </w:tr>
      <w:tr w:rsidR="00592818" w:rsidRPr="00EA4167" w14:paraId="19C2D130" w14:textId="77777777" w:rsidTr="00592818">
        <w:tc>
          <w:tcPr>
            <w:tcW w:w="1612" w:type="pct"/>
            <w:tcBorders>
              <w:bottom w:val="single" w:sz="4" w:space="0" w:color="auto"/>
            </w:tcBorders>
          </w:tcPr>
          <w:p w14:paraId="73B35F08" w14:textId="77777777" w:rsidR="00EA4167" w:rsidRPr="00EA4167" w:rsidRDefault="00EA4167" w:rsidP="00367C94">
            <w:pPr>
              <w:spacing w:before="40" w:after="40"/>
              <w:rPr>
                <w:rFonts w:ascii="Arial Narrow" w:hAnsi="Arial Narrow"/>
              </w:rPr>
            </w:pPr>
            <w:r w:rsidRPr="00EA4167">
              <w:rPr>
                <w:rFonts w:ascii="Arial Narrow" w:hAnsi="Arial Narrow"/>
              </w:rPr>
              <w:t xml:space="preserve">Decreased cost of </w:t>
            </w:r>
            <w:proofErr w:type="spellStart"/>
            <w:r w:rsidRPr="00EA4167">
              <w:rPr>
                <w:rFonts w:ascii="Arial Narrow" w:hAnsi="Arial Narrow"/>
              </w:rPr>
              <w:t>MitraClip</w:t>
            </w:r>
            <w:proofErr w:type="spellEnd"/>
            <w:r w:rsidRPr="00EA4167">
              <w:rPr>
                <w:rFonts w:ascii="Arial Narrow" w:hAnsi="Arial Narrow"/>
              </w:rPr>
              <w:t xml:space="preserve"> in the DMR population at 75% benefit</w:t>
            </w:r>
          </w:p>
        </w:tc>
        <w:tc>
          <w:tcPr>
            <w:tcW w:w="681" w:type="pct"/>
            <w:tcBorders>
              <w:bottom w:val="single" w:sz="4" w:space="0" w:color="auto"/>
            </w:tcBorders>
            <w:shd w:val="solid" w:color="000000" w:fill="000000"/>
          </w:tcPr>
          <w:p w14:paraId="4351BBCE" w14:textId="04ECEE6F"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18"/>
                <w14:textFill>
                  <w14:solidFill>
                    <w14:srgbClr w14:val="000000">
                      <w14:alpha w14:val="100000"/>
                    </w14:srgbClr>
                  </w14:solidFill>
                </w14:textFill>
              </w:rPr>
              <w:t xml:space="preserve">　</w:t>
            </w:r>
            <w:r w:rsidRPr="00592818">
              <w:rPr>
                <w:rFonts w:ascii="Arial Narrow" w:hAnsi="Arial Narrow"/>
                <w:color w:val="000000"/>
                <w:w w:val="16"/>
                <w:fitText w:val="75" w:id="-1256557818"/>
                <w14:textFill>
                  <w14:solidFill>
                    <w14:srgbClr w14:val="000000">
                      <w14:alpha w14:val="100000"/>
                    </w14:srgbClr>
                  </w14:solidFill>
                </w14:textFill>
              </w:rPr>
              <w:t>|</w:t>
            </w:r>
            <w:r w:rsidRPr="00592818">
              <w:rPr>
                <w:rFonts w:ascii="Arial Narrow" w:hAnsi="Arial Narrow" w:hint="eastAsia"/>
                <w:color w:val="000000"/>
                <w:w w:val="16"/>
                <w:fitText w:val="75" w:id="-1256557818"/>
                <w14:textFill>
                  <w14:solidFill>
                    <w14:srgbClr w14:val="000000">
                      <w14:alpha w14:val="100000"/>
                    </w14:srgbClr>
                  </w14:solidFill>
                </w14:textFill>
              </w:rPr>
              <w:t xml:space="preserve">　</w:t>
            </w:r>
          </w:p>
        </w:tc>
        <w:tc>
          <w:tcPr>
            <w:tcW w:w="681" w:type="pct"/>
            <w:tcBorders>
              <w:bottom w:val="single" w:sz="4" w:space="0" w:color="auto"/>
            </w:tcBorders>
            <w:shd w:val="solid" w:color="000000" w:fill="000000"/>
          </w:tcPr>
          <w:p w14:paraId="319E9817" w14:textId="08C1CB0B"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17"/>
                <w14:textFill>
                  <w14:solidFill>
                    <w14:srgbClr w14:val="000000">
                      <w14:alpha w14:val="100000"/>
                    </w14:srgbClr>
                  </w14:solidFill>
                </w14:textFill>
              </w:rPr>
              <w:t xml:space="preserve">　</w:t>
            </w:r>
            <w:r w:rsidRPr="00592818">
              <w:rPr>
                <w:rFonts w:ascii="Arial Narrow" w:hAnsi="Arial Narrow"/>
                <w:color w:val="000000"/>
                <w:w w:val="16"/>
                <w:fitText w:val="75" w:id="-1256557817"/>
                <w14:textFill>
                  <w14:solidFill>
                    <w14:srgbClr w14:val="000000">
                      <w14:alpha w14:val="100000"/>
                    </w14:srgbClr>
                  </w14:solidFill>
                </w14:textFill>
              </w:rPr>
              <w:t>|</w:t>
            </w:r>
            <w:r w:rsidRPr="00592818">
              <w:rPr>
                <w:rFonts w:ascii="Arial Narrow" w:hAnsi="Arial Narrow" w:hint="eastAsia"/>
                <w:color w:val="000000"/>
                <w:w w:val="16"/>
                <w:fitText w:val="75" w:id="-1256557817"/>
                <w14:textFill>
                  <w14:solidFill>
                    <w14:srgbClr w14:val="000000">
                      <w14:alpha w14:val="100000"/>
                    </w14:srgbClr>
                  </w14:solidFill>
                </w14:textFill>
              </w:rPr>
              <w:t xml:space="preserve">　</w:t>
            </w:r>
          </w:p>
        </w:tc>
        <w:tc>
          <w:tcPr>
            <w:tcW w:w="681" w:type="pct"/>
            <w:tcBorders>
              <w:bottom w:val="single" w:sz="4" w:space="0" w:color="auto"/>
            </w:tcBorders>
            <w:shd w:val="solid" w:color="000000" w:fill="000000"/>
          </w:tcPr>
          <w:p w14:paraId="2C3D846C" w14:textId="328B278C"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16"/>
                <w14:textFill>
                  <w14:solidFill>
                    <w14:srgbClr w14:val="000000">
                      <w14:alpha w14:val="100000"/>
                    </w14:srgbClr>
                  </w14:solidFill>
                </w14:textFill>
              </w:rPr>
              <w:t xml:space="preserve">　</w:t>
            </w:r>
            <w:r w:rsidRPr="00592818">
              <w:rPr>
                <w:rFonts w:ascii="Arial Narrow" w:hAnsi="Arial Narrow"/>
                <w:color w:val="000000"/>
                <w:w w:val="16"/>
                <w:fitText w:val="75" w:id="-1256557816"/>
                <w14:textFill>
                  <w14:solidFill>
                    <w14:srgbClr w14:val="000000">
                      <w14:alpha w14:val="100000"/>
                    </w14:srgbClr>
                  </w14:solidFill>
                </w14:textFill>
              </w:rPr>
              <w:t>|</w:t>
            </w:r>
            <w:r w:rsidRPr="00592818">
              <w:rPr>
                <w:rFonts w:ascii="Arial Narrow" w:hAnsi="Arial Narrow" w:hint="eastAsia"/>
                <w:color w:val="000000"/>
                <w:w w:val="16"/>
                <w:fitText w:val="75" w:id="-1256557816"/>
                <w14:textFill>
                  <w14:solidFill>
                    <w14:srgbClr w14:val="000000">
                      <w14:alpha w14:val="100000"/>
                    </w14:srgbClr>
                  </w14:solidFill>
                </w14:textFill>
              </w:rPr>
              <w:t xml:space="preserve">　</w:t>
            </w:r>
          </w:p>
        </w:tc>
        <w:tc>
          <w:tcPr>
            <w:tcW w:w="678" w:type="pct"/>
            <w:tcBorders>
              <w:bottom w:val="single" w:sz="4" w:space="0" w:color="auto"/>
            </w:tcBorders>
            <w:shd w:val="solid" w:color="000000" w:fill="000000"/>
          </w:tcPr>
          <w:p w14:paraId="4F0DE373" w14:textId="388C7CCA"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9"/>
                <w:fitText w:val="87" w:id="-1256557815"/>
                <w14:textFill>
                  <w14:solidFill>
                    <w14:srgbClr w14:val="000000">
                      <w14:alpha w14:val="100000"/>
                    </w14:srgbClr>
                  </w14:solidFill>
                </w14:textFill>
              </w:rPr>
              <w:t xml:space="preserve">　</w:t>
            </w:r>
            <w:r w:rsidRPr="00592818">
              <w:rPr>
                <w:rFonts w:ascii="Arial Narrow" w:hAnsi="Arial Narrow"/>
                <w:color w:val="000000"/>
                <w:w w:val="19"/>
                <w:fitText w:val="87" w:id="-1256557815"/>
                <w14:textFill>
                  <w14:solidFill>
                    <w14:srgbClr w14:val="000000">
                      <w14:alpha w14:val="100000"/>
                    </w14:srgbClr>
                  </w14:solidFill>
                </w14:textFill>
              </w:rPr>
              <w:t>|</w:t>
            </w:r>
            <w:r w:rsidRPr="00592818">
              <w:rPr>
                <w:rFonts w:ascii="Arial Narrow" w:hAnsi="Arial Narrow" w:hint="eastAsia"/>
                <w:color w:val="000000"/>
                <w:w w:val="19"/>
                <w:fitText w:val="87" w:id="-1256557815"/>
                <w14:textFill>
                  <w14:solidFill>
                    <w14:srgbClr w14:val="000000">
                      <w14:alpha w14:val="100000"/>
                    </w14:srgbClr>
                  </w14:solidFill>
                </w14:textFill>
              </w:rPr>
              <w:t xml:space="preserve">　</w:t>
            </w:r>
          </w:p>
        </w:tc>
        <w:tc>
          <w:tcPr>
            <w:tcW w:w="667" w:type="pct"/>
            <w:tcBorders>
              <w:bottom w:val="single" w:sz="4" w:space="0" w:color="auto"/>
            </w:tcBorders>
            <w:shd w:val="solid" w:color="000000" w:fill="000000"/>
          </w:tcPr>
          <w:p w14:paraId="62DB7FCD" w14:textId="43028158"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9"/>
                <w:fitText w:val="88" w:id="-1256557814"/>
                <w14:textFill>
                  <w14:solidFill>
                    <w14:srgbClr w14:val="000000">
                      <w14:alpha w14:val="100000"/>
                    </w14:srgbClr>
                  </w14:solidFill>
                </w14:textFill>
              </w:rPr>
              <w:t xml:space="preserve">　</w:t>
            </w:r>
            <w:r w:rsidRPr="00592818">
              <w:rPr>
                <w:rFonts w:ascii="Arial Narrow" w:hAnsi="Arial Narrow"/>
                <w:color w:val="000000"/>
                <w:w w:val="19"/>
                <w:fitText w:val="88" w:id="-1256557814"/>
                <w14:textFill>
                  <w14:solidFill>
                    <w14:srgbClr w14:val="000000">
                      <w14:alpha w14:val="100000"/>
                    </w14:srgbClr>
                  </w14:solidFill>
                </w14:textFill>
              </w:rPr>
              <w:t>|</w:t>
            </w:r>
            <w:r w:rsidRPr="00592818">
              <w:rPr>
                <w:rFonts w:ascii="Arial Narrow" w:hAnsi="Arial Narrow" w:hint="eastAsia"/>
                <w:color w:val="000000"/>
                <w:w w:val="19"/>
                <w:fitText w:val="88" w:id="-1256557814"/>
                <w14:textFill>
                  <w14:solidFill>
                    <w14:srgbClr w14:val="000000">
                      <w14:alpha w14:val="100000"/>
                    </w14:srgbClr>
                  </w14:solidFill>
                </w14:textFill>
              </w:rPr>
              <w:t xml:space="preserve">　</w:t>
            </w:r>
          </w:p>
        </w:tc>
      </w:tr>
      <w:tr w:rsidR="00592818" w:rsidRPr="00EA4167" w14:paraId="05ED4E34" w14:textId="77777777" w:rsidTr="00592818">
        <w:tc>
          <w:tcPr>
            <w:tcW w:w="1612" w:type="pct"/>
            <w:tcBorders>
              <w:bottom w:val="single" w:sz="12" w:space="0" w:color="auto"/>
            </w:tcBorders>
          </w:tcPr>
          <w:p w14:paraId="61DFDFA0" w14:textId="77777777" w:rsidR="00EA4167" w:rsidRPr="00091167" w:rsidRDefault="00EA4167" w:rsidP="00367C94">
            <w:pPr>
              <w:spacing w:before="40" w:after="40"/>
              <w:rPr>
                <w:rFonts w:ascii="Arial Narrow" w:hAnsi="Arial Narrow"/>
                <w:i/>
                <w:iCs/>
              </w:rPr>
            </w:pPr>
            <w:r w:rsidRPr="00091167">
              <w:rPr>
                <w:rFonts w:ascii="Arial Narrow" w:hAnsi="Arial Narrow"/>
                <w:i/>
                <w:iCs/>
              </w:rPr>
              <w:t>Update to reflect new schedule fee</w:t>
            </w:r>
          </w:p>
        </w:tc>
        <w:tc>
          <w:tcPr>
            <w:tcW w:w="681" w:type="pct"/>
            <w:tcBorders>
              <w:bottom w:val="single" w:sz="12" w:space="0" w:color="auto"/>
            </w:tcBorders>
            <w:shd w:val="solid" w:color="000000" w:fill="000000"/>
            <w:vAlign w:val="top"/>
          </w:tcPr>
          <w:p w14:paraId="6492D803" w14:textId="53FFF0DA" w:rsidR="00EA4167" w:rsidRPr="000B0F56" w:rsidRDefault="00592818" w:rsidP="00367C94">
            <w:pPr>
              <w:spacing w:before="40" w:after="40"/>
              <w:jc w:val="center"/>
              <w:rPr>
                <w:rFonts w:ascii="Arial Narrow" w:hAnsi="Arial Narrow"/>
                <w:i/>
                <w:iCs/>
                <w:highlight w:val="yellow"/>
              </w:rPr>
            </w:pPr>
            <w:r w:rsidRPr="00592818">
              <w:rPr>
                <w:rFonts w:ascii="Arial Narrow" w:hAnsi="Arial Narrow" w:hint="eastAsia"/>
                <w:i/>
                <w:iCs/>
                <w:color w:val="000000"/>
                <w:w w:val="16"/>
                <w:fitText w:val="75" w:id="-1256557813"/>
                <w14:textFill>
                  <w14:solidFill>
                    <w14:srgbClr w14:val="000000">
                      <w14:alpha w14:val="100000"/>
                    </w14:srgbClr>
                  </w14:solidFill>
                </w14:textFill>
              </w:rPr>
              <w:t xml:space="preserve">　</w:t>
            </w:r>
            <w:r w:rsidRPr="00592818">
              <w:rPr>
                <w:rFonts w:ascii="Arial Narrow" w:hAnsi="Arial Narrow"/>
                <w:i/>
                <w:iCs/>
                <w:color w:val="000000"/>
                <w:w w:val="16"/>
                <w:fitText w:val="75" w:id="-1256557813"/>
                <w14:textFill>
                  <w14:solidFill>
                    <w14:srgbClr w14:val="000000">
                      <w14:alpha w14:val="100000"/>
                    </w14:srgbClr>
                  </w14:solidFill>
                </w14:textFill>
              </w:rPr>
              <w:t>|</w:t>
            </w:r>
            <w:r w:rsidRPr="00592818">
              <w:rPr>
                <w:rFonts w:ascii="Arial Narrow" w:hAnsi="Arial Narrow" w:hint="eastAsia"/>
                <w:i/>
                <w:iCs/>
                <w:color w:val="000000"/>
                <w:w w:val="16"/>
                <w:fitText w:val="75" w:id="-1256557813"/>
                <w14:textFill>
                  <w14:solidFill>
                    <w14:srgbClr w14:val="000000">
                      <w14:alpha w14:val="100000"/>
                    </w14:srgbClr>
                  </w14:solidFill>
                </w14:textFill>
              </w:rPr>
              <w:t xml:space="preserve">　</w:t>
            </w:r>
          </w:p>
        </w:tc>
        <w:tc>
          <w:tcPr>
            <w:tcW w:w="681" w:type="pct"/>
            <w:tcBorders>
              <w:bottom w:val="single" w:sz="12" w:space="0" w:color="auto"/>
            </w:tcBorders>
            <w:shd w:val="solid" w:color="000000" w:fill="000000"/>
            <w:vAlign w:val="top"/>
          </w:tcPr>
          <w:p w14:paraId="7075D197" w14:textId="7A7BAF60" w:rsidR="00EA4167" w:rsidRPr="000B0F56" w:rsidRDefault="00592818" w:rsidP="00367C94">
            <w:pPr>
              <w:spacing w:before="40" w:after="40"/>
              <w:jc w:val="center"/>
              <w:rPr>
                <w:rFonts w:ascii="Arial Narrow" w:hAnsi="Arial Narrow"/>
                <w:i/>
                <w:iCs/>
                <w:highlight w:val="yellow"/>
              </w:rPr>
            </w:pPr>
            <w:r w:rsidRPr="00592818">
              <w:rPr>
                <w:rFonts w:ascii="Arial Narrow" w:hAnsi="Arial Narrow" w:hint="eastAsia"/>
                <w:i/>
                <w:iCs/>
                <w:color w:val="000000"/>
                <w:w w:val="16"/>
                <w:fitText w:val="75" w:id="-1256557812"/>
                <w14:textFill>
                  <w14:solidFill>
                    <w14:srgbClr w14:val="000000">
                      <w14:alpha w14:val="100000"/>
                    </w14:srgbClr>
                  </w14:solidFill>
                </w14:textFill>
              </w:rPr>
              <w:t xml:space="preserve">　</w:t>
            </w:r>
            <w:r w:rsidRPr="00592818">
              <w:rPr>
                <w:rFonts w:ascii="Arial Narrow" w:hAnsi="Arial Narrow"/>
                <w:i/>
                <w:iCs/>
                <w:color w:val="000000"/>
                <w:w w:val="16"/>
                <w:fitText w:val="75" w:id="-1256557812"/>
                <w14:textFill>
                  <w14:solidFill>
                    <w14:srgbClr w14:val="000000">
                      <w14:alpha w14:val="100000"/>
                    </w14:srgbClr>
                  </w14:solidFill>
                </w14:textFill>
              </w:rPr>
              <w:t>|</w:t>
            </w:r>
            <w:r w:rsidRPr="00592818">
              <w:rPr>
                <w:rFonts w:ascii="Arial Narrow" w:hAnsi="Arial Narrow" w:hint="eastAsia"/>
                <w:i/>
                <w:iCs/>
                <w:color w:val="000000"/>
                <w:w w:val="16"/>
                <w:fitText w:val="75" w:id="-1256557812"/>
                <w14:textFill>
                  <w14:solidFill>
                    <w14:srgbClr w14:val="000000">
                      <w14:alpha w14:val="100000"/>
                    </w14:srgbClr>
                  </w14:solidFill>
                </w14:textFill>
              </w:rPr>
              <w:t xml:space="preserve">　</w:t>
            </w:r>
          </w:p>
        </w:tc>
        <w:tc>
          <w:tcPr>
            <w:tcW w:w="681" w:type="pct"/>
            <w:tcBorders>
              <w:bottom w:val="single" w:sz="12" w:space="0" w:color="auto"/>
            </w:tcBorders>
            <w:shd w:val="solid" w:color="000000" w:fill="000000"/>
            <w:vAlign w:val="top"/>
          </w:tcPr>
          <w:p w14:paraId="72F67A46" w14:textId="31747241" w:rsidR="00EA4167" w:rsidRPr="000B0F56" w:rsidRDefault="00592818" w:rsidP="00367C94">
            <w:pPr>
              <w:spacing w:before="40" w:after="40"/>
              <w:jc w:val="center"/>
              <w:rPr>
                <w:rFonts w:ascii="Arial Narrow" w:hAnsi="Arial Narrow"/>
                <w:i/>
                <w:iCs/>
                <w:highlight w:val="yellow"/>
              </w:rPr>
            </w:pPr>
            <w:r w:rsidRPr="00592818">
              <w:rPr>
                <w:rFonts w:ascii="Arial Narrow" w:hAnsi="Arial Narrow" w:hint="eastAsia"/>
                <w:i/>
                <w:iCs/>
                <w:color w:val="000000"/>
                <w:w w:val="16"/>
                <w:fitText w:val="75" w:id="-1256557811"/>
                <w14:textFill>
                  <w14:solidFill>
                    <w14:srgbClr w14:val="000000">
                      <w14:alpha w14:val="100000"/>
                    </w14:srgbClr>
                  </w14:solidFill>
                </w14:textFill>
              </w:rPr>
              <w:t xml:space="preserve">　</w:t>
            </w:r>
            <w:r w:rsidRPr="00592818">
              <w:rPr>
                <w:rFonts w:ascii="Arial Narrow" w:hAnsi="Arial Narrow"/>
                <w:i/>
                <w:iCs/>
                <w:color w:val="000000"/>
                <w:w w:val="16"/>
                <w:fitText w:val="75" w:id="-1256557811"/>
                <w14:textFill>
                  <w14:solidFill>
                    <w14:srgbClr w14:val="000000">
                      <w14:alpha w14:val="100000"/>
                    </w14:srgbClr>
                  </w14:solidFill>
                </w14:textFill>
              </w:rPr>
              <w:t>|</w:t>
            </w:r>
            <w:r w:rsidRPr="00592818">
              <w:rPr>
                <w:rFonts w:ascii="Arial Narrow" w:hAnsi="Arial Narrow" w:hint="eastAsia"/>
                <w:i/>
                <w:iCs/>
                <w:color w:val="000000"/>
                <w:w w:val="16"/>
                <w:fitText w:val="75" w:id="-1256557811"/>
                <w14:textFill>
                  <w14:solidFill>
                    <w14:srgbClr w14:val="000000">
                      <w14:alpha w14:val="100000"/>
                    </w14:srgbClr>
                  </w14:solidFill>
                </w14:textFill>
              </w:rPr>
              <w:t xml:space="preserve">　</w:t>
            </w:r>
          </w:p>
        </w:tc>
        <w:tc>
          <w:tcPr>
            <w:tcW w:w="678" w:type="pct"/>
            <w:tcBorders>
              <w:bottom w:val="single" w:sz="12" w:space="0" w:color="auto"/>
            </w:tcBorders>
            <w:shd w:val="solid" w:color="000000" w:fill="000000"/>
            <w:vAlign w:val="top"/>
          </w:tcPr>
          <w:p w14:paraId="74BDC956" w14:textId="21DDEE13" w:rsidR="00EA4167" w:rsidRPr="000B0F56" w:rsidRDefault="00592818" w:rsidP="00367C94">
            <w:pPr>
              <w:spacing w:before="40" w:after="40"/>
              <w:jc w:val="center"/>
              <w:rPr>
                <w:rFonts w:ascii="Arial Narrow" w:hAnsi="Arial Narrow"/>
                <w:i/>
                <w:iCs/>
                <w:highlight w:val="yellow"/>
              </w:rPr>
            </w:pPr>
            <w:r w:rsidRPr="00592818">
              <w:rPr>
                <w:rFonts w:ascii="Arial Narrow" w:hAnsi="Arial Narrow" w:hint="eastAsia"/>
                <w:i/>
                <w:iCs/>
                <w:color w:val="000000"/>
                <w:w w:val="19"/>
                <w:fitText w:val="87" w:id="-1256557810"/>
                <w14:textFill>
                  <w14:solidFill>
                    <w14:srgbClr w14:val="000000">
                      <w14:alpha w14:val="100000"/>
                    </w14:srgbClr>
                  </w14:solidFill>
                </w14:textFill>
              </w:rPr>
              <w:t xml:space="preserve">　</w:t>
            </w:r>
            <w:r w:rsidRPr="00592818">
              <w:rPr>
                <w:rFonts w:ascii="Arial Narrow" w:hAnsi="Arial Narrow"/>
                <w:i/>
                <w:iCs/>
                <w:color w:val="000000"/>
                <w:w w:val="19"/>
                <w:fitText w:val="87" w:id="-1256557810"/>
                <w14:textFill>
                  <w14:solidFill>
                    <w14:srgbClr w14:val="000000">
                      <w14:alpha w14:val="100000"/>
                    </w14:srgbClr>
                  </w14:solidFill>
                </w14:textFill>
              </w:rPr>
              <w:t>|</w:t>
            </w:r>
            <w:r w:rsidRPr="00592818">
              <w:rPr>
                <w:rFonts w:ascii="Arial Narrow" w:hAnsi="Arial Narrow" w:hint="eastAsia"/>
                <w:i/>
                <w:iCs/>
                <w:color w:val="000000"/>
                <w:w w:val="19"/>
                <w:fitText w:val="87" w:id="-1256557810"/>
                <w14:textFill>
                  <w14:solidFill>
                    <w14:srgbClr w14:val="000000">
                      <w14:alpha w14:val="100000"/>
                    </w14:srgbClr>
                  </w14:solidFill>
                </w14:textFill>
              </w:rPr>
              <w:t xml:space="preserve">　</w:t>
            </w:r>
          </w:p>
        </w:tc>
        <w:tc>
          <w:tcPr>
            <w:tcW w:w="667" w:type="pct"/>
            <w:tcBorders>
              <w:bottom w:val="single" w:sz="12" w:space="0" w:color="auto"/>
            </w:tcBorders>
            <w:shd w:val="solid" w:color="000000" w:fill="000000"/>
            <w:vAlign w:val="top"/>
          </w:tcPr>
          <w:p w14:paraId="2FE1D677" w14:textId="49B4FD0D" w:rsidR="00EA4167" w:rsidRPr="000B0F56" w:rsidRDefault="00592818" w:rsidP="00367C94">
            <w:pPr>
              <w:spacing w:before="40" w:after="40"/>
              <w:jc w:val="center"/>
              <w:rPr>
                <w:rFonts w:ascii="Arial Narrow" w:hAnsi="Arial Narrow"/>
                <w:i/>
                <w:iCs/>
                <w:highlight w:val="yellow"/>
              </w:rPr>
            </w:pPr>
            <w:r w:rsidRPr="00592818">
              <w:rPr>
                <w:rFonts w:ascii="Arial Narrow" w:hAnsi="Arial Narrow" w:hint="eastAsia"/>
                <w:i/>
                <w:iCs/>
                <w:color w:val="000000"/>
                <w:w w:val="19"/>
                <w:fitText w:val="88" w:id="-1256557809"/>
                <w14:textFill>
                  <w14:solidFill>
                    <w14:srgbClr w14:val="000000">
                      <w14:alpha w14:val="100000"/>
                    </w14:srgbClr>
                  </w14:solidFill>
                </w14:textFill>
              </w:rPr>
              <w:t xml:space="preserve">　</w:t>
            </w:r>
            <w:r w:rsidRPr="00592818">
              <w:rPr>
                <w:rFonts w:ascii="Arial Narrow" w:hAnsi="Arial Narrow"/>
                <w:i/>
                <w:iCs/>
                <w:color w:val="000000"/>
                <w:w w:val="19"/>
                <w:fitText w:val="88" w:id="-1256557809"/>
                <w14:textFill>
                  <w14:solidFill>
                    <w14:srgbClr w14:val="000000">
                      <w14:alpha w14:val="100000"/>
                    </w14:srgbClr>
                  </w14:solidFill>
                </w14:textFill>
              </w:rPr>
              <w:t>|</w:t>
            </w:r>
            <w:r w:rsidRPr="00592818">
              <w:rPr>
                <w:rFonts w:ascii="Arial Narrow" w:hAnsi="Arial Narrow" w:hint="eastAsia"/>
                <w:i/>
                <w:iCs/>
                <w:color w:val="000000"/>
                <w:w w:val="19"/>
                <w:fitText w:val="88" w:id="-1256557809"/>
                <w14:textFill>
                  <w14:solidFill>
                    <w14:srgbClr w14:val="000000">
                      <w14:alpha w14:val="100000"/>
                    </w14:srgbClr>
                  </w14:solidFill>
                </w14:textFill>
              </w:rPr>
              <w:t xml:space="preserve">　</w:t>
            </w:r>
          </w:p>
        </w:tc>
      </w:tr>
      <w:tr w:rsidR="00592818" w:rsidRPr="00EA4167" w14:paraId="3F7938EF" w14:textId="77777777" w:rsidTr="00592818">
        <w:tc>
          <w:tcPr>
            <w:tcW w:w="1612" w:type="pct"/>
            <w:tcBorders>
              <w:top w:val="single" w:sz="12" w:space="0" w:color="auto"/>
            </w:tcBorders>
          </w:tcPr>
          <w:p w14:paraId="7BDDD27D" w14:textId="77777777" w:rsidR="00EA4167" w:rsidRPr="00EA4167" w:rsidRDefault="00EA4167" w:rsidP="00367C94">
            <w:pPr>
              <w:spacing w:before="40" w:after="40"/>
              <w:rPr>
                <w:rFonts w:ascii="Arial Narrow" w:hAnsi="Arial Narrow"/>
              </w:rPr>
            </w:pPr>
            <w:r w:rsidRPr="00EA4167">
              <w:rPr>
                <w:rFonts w:ascii="Arial Narrow" w:hAnsi="Arial Narrow"/>
              </w:rPr>
              <w:t>Net change in MBS cost</w:t>
            </w:r>
          </w:p>
        </w:tc>
        <w:tc>
          <w:tcPr>
            <w:tcW w:w="681" w:type="pct"/>
            <w:tcBorders>
              <w:top w:val="single" w:sz="12" w:space="0" w:color="auto"/>
              <w:bottom w:val="single" w:sz="4" w:space="0" w:color="auto"/>
            </w:tcBorders>
            <w:shd w:val="solid" w:color="000000" w:fill="000000"/>
          </w:tcPr>
          <w:p w14:paraId="07E10F0F" w14:textId="6BEBC374"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08"/>
                <w14:textFill>
                  <w14:solidFill>
                    <w14:srgbClr w14:val="000000">
                      <w14:alpha w14:val="100000"/>
                    </w14:srgbClr>
                  </w14:solidFill>
                </w14:textFill>
              </w:rPr>
              <w:t xml:space="preserve">　</w:t>
            </w:r>
            <w:r w:rsidRPr="00592818">
              <w:rPr>
                <w:rFonts w:ascii="Arial Narrow" w:hAnsi="Arial Narrow"/>
                <w:color w:val="000000"/>
                <w:w w:val="16"/>
                <w:fitText w:val="75" w:id="-1256557808"/>
                <w14:textFill>
                  <w14:solidFill>
                    <w14:srgbClr w14:val="000000">
                      <w14:alpha w14:val="100000"/>
                    </w14:srgbClr>
                  </w14:solidFill>
                </w14:textFill>
              </w:rPr>
              <w:t>|</w:t>
            </w:r>
            <w:r w:rsidRPr="00592818">
              <w:rPr>
                <w:rFonts w:ascii="Arial Narrow" w:hAnsi="Arial Narrow" w:hint="eastAsia"/>
                <w:color w:val="000000"/>
                <w:w w:val="16"/>
                <w:fitText w:val="75" w:id="-1256557808"/>
                <w14:textFill>
                  <w14:solidFill>
                    <w14:srgbClr w14:val="000000">
                      <w14:alpha w14:val="100000"/>
                    </w14:srgbClr>
                  </w14:solidFill>
                </w14:textFill>
              </w:rPr>
              <w:t xml:space="preserve">　</w:t>
            </w:r>
          </w:p>
        </w:tc>
        <w:tc>
          <w:tcPr>
            <w:tcW w:w="681" w:type="pct"/>
            <w:tcBorders>
              <w:top w:val="single" w:sz="12" w:space="0" w:color="auto"/>
              <w:bottom w:val="single" w:sz="4" w:space="0" w:color="auto"/>
            </w:tcBorders>
            <w:shd w:val="solid" w:color="000000" w:fill="000000"/>
          </w:tcPr>
          <w:p w14:paraId="600B597C" w14:textId="7172E9F9"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24"/>
                <w14:textFill>
                  <w14:solidFill>
                    <w14:srgbClr w14:val="000000">
                      <w14:alpha w14:val="100000"/>
                    </w14:srgbClr>
                  </w14:solidFill>
                </w14:textFill>
              </w:rPr>
              <w:t xml:space="preserve">　</w:t>
            </w:r>
            <w:r w:rsidRPr="00592818">
              <w:rPr>
                <w:rFonts w:ascii="Arial Narrow" w:hAnsi="Arial Narrow"/>
                <w:color w:val="000000"/>
                <w:w w:val="16"/>
                <w:fitText w:val="75" w:id="-1256557824"/>
                <w14:textFill>
                  <w14:solidFill>
                    <w14:srgbClr w14:val="000000">
                      <w14:alpha w14:val="100000"/>
                    </w14:srgbClr>
                  </w14:solidFill>
                </w14:textFill>
              </w:rPr>
              <w:t>|</w:t>
            </w:r>
            <w:r w:rsidRPr="00592818">
              <w:rPr>
                <w:rFonts w:ascii="Arial Narrow" w:hAnsi="Arial Narrow" w:hint="eastAsia"/>
                <w:color w:val="000000"/>
                <w:w w:val="16"/>
                <w:fitText w:val="75" w:id="-1256557824"/>
                <w14:textFill>
                  <w14:solidFill>
                    <w14:srgbClr w14:val="000000">
                      <w14:alpha w14:val="100000"/>
                    </w14:srgbClr>
                  </w14:solidFill>
                </w14:textFill>
              </w:rPr>
              <w:t xml:space="preserve">　</w:t>
            </w:r>
          </w:p>
        </w:tc>
        <w:tc>
          <w:tcPr>
            <w:tcW w:w="681" w:type="pct"/>
            <w:tcBorders>
              <w:top w:val="single" w:sz="12" w:space="0" w:color="auto"/>
              <w:bottom w:val="single" w:sz="4" w:space="0" w:color="auto"/>
            </w:tcBorders>
            <w:shd w:val="solid" w:color="000000" w:fill="000000"/>
          </w:tcPr>
          <w:p w14:paraId="2E74DC3D" w14:textId="28C8E2CD"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23"/>
                <w14:textFill>
                  <w14:solidFill>
                    <w14:srgbClr w14:val="000000">
                      <w14:alpha w14:val="100000"/>
                    </w14:srgbClr>
                  </w14:solidFill>
                </w14:textFill>
              </w:rPr>
              <w:t xml:space="preserve">　</w:t>
            </w:r>
            <w:r w:rsidRPr="00592818">
              <w:rPr>
                <w:rFonts w:ascii="Arial Narrow" w:hAnsi="Arial Narrow"/>
                <w:color w:val="000000"/>
                <w:w w:val="16"/>
                <w:fitText w:val="75" w:id="-1256557823"/>
                <w14:textFill>
                  <w14:solidFill>
                    <w14:srgbClr w14:val="000000">
                      <w14:alpha w14:val="100000"/>
                    </w14:srgbClr>
                  </w14:solidFill>
                </w14:textFill>
              </w:rPr>
              <w:t>|</w:t>
            </w:r>
            <w:r w:rsidRPr="00592818">
              <w:rPr>
                <w:rFonts w:ascii="Arial Narrow" w:hAnsi="Arial Narrow" w:hint="eastAsia"/>
                <w:color w:val="000000"/>
                <w:w w:val="16"/>
                <w:fitText w:val="75" w:id="-1256557823"/>
                <w14:textFill>
                  <w14:solidFill>
                    <w14:srgbClr w14:val="000000">
                      <w14:alpha w14:val="100000"/>
                    </w14:srgbClr>
                  </w14:solidFill>
                </w14:textFill>
              </w:rPr>
              <w:t xml:space="preserve">　</w:t>
            </w:r>
          </w:p>
        </w:tc>
        <w:tc>
          <w:tcPr>
            <w:tcW w:w="678" w:type="pct"/>
            <w:tcBorders>
              <w:top w:val="single" w:sz="12" w:space="0" w:color="auto"/>
              <w:bottom w:val="single" w:sz="4" w:space="0" w:color="auto"/>
            </w:tcBorders>
            <w:shd w:val="solid" w:color="000000" w:fill="000000"/>
          </w:tcPr>
          <w:p w14:paraId="5431E31B" w14:textId="5F9AEF59"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9"/>
                <w:fitText w:val="87" w:id="-1256557822"/>
                <w14:textFill>
                  <w14:solidFill>
                    <w14:srgbClr w14:val="000000">
                      <w14:alpha w14:val="100000"/>
                    </w14:srgbClr>
                  </w14:solidFill>
                </w14:textFill>
              </w:rPr>
              <w:t xml:space="preserve">　</w:t>
            </w:r>
            <w:r w:rsidRPr="00592818">
              <w:rPr>
                <w:rFonts w:ascii="Arial Narrow" w:hAnsi="Arial Narrow"/>
                <w:color w:val="000000"/>
                <w:w w:val="19"/>
                <w:fitText w:val="87" w:id="-1256557822"/>
                <w14:textFill>
                  <w14:solidFill>
                    <w14:srgbClr w14:val="000000">
                      <w14:alpha w14:val="100000"/>
                    </w14:srgbClr>
                  </w14:solidFill>
                </w14:textFill>
              </w:rPr>
              <w:t>|</w:t>
            </w:r>
            <w:r w:rsidRPr="00592818">
              <w:rPr>
                <w:rFonts w:ascii="Arial Narrow" w:hAnsi="Arial Narrow" w:hint="eastAsia"/>
                <w:color w:val="000000"/>
                <w:w w:val="19"/>
                <w:fitText w:val="87" w:id="-1256557822"/>
                <w14:textFill>
                  <w14:solidFill>
                    <w14:srgbClr w14:val="000000">
                      <w14:alpha w14:val="100000"/>
                    </w14:srgbClr>
                  </w14:solidFill>
                </w14:textFill>
              </w:rPr>
              <w:t xml:space="preserve">　</w:t>
            </w:r>
          </w:p>
        </w:tc>
        <w:tc>
          <w:tcPr>
            <w:tcW w:w="667" w:type="pct"/>
            <w:tcBorders>
              <w:top w:val="single" w:sz="12" w:space="0" w:color="auto"/>
              <w:bottom w:val="single" w:sz="4" w:space="0" w:color="auto"/>
            </w:tcBorders>
            <w:shd w:val="solid" w:color="000000" w:fill="000000"/>
          </w:tcPr>
          <w:p w14:paraId="18E25F93" w14:textId="45E842CC"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9"/>
                <w:fitText w:val="88" w:id="-1256557821"/>
                <w14:textFill>
                  <w14:solidFill>
                    <w14:srgbClr w14:val="000000">
                      <w14:alpha w14:val="100000"/>
                    </w14:srgbClr>
                  </w14:solidFill>
                </w14:textFill>
              </w:rPr>
              <w:t xml:space="preserve">　</w:t>
            </w:r>
            <w:r w:rsidRPr="00592818">
              <w:rPr>
                <w:rFonts w:ascii="Arial Narrow" w:hAnsi="Arial Narrow"/>
                <w:color w:val="000000"/>
                <w:w w:val="19"/>
                <w:fitText w:val="88" w:id="-1256557821"/>
                <w14:textFill>
                  <w14:solidFill>
                    <w14:srgbClr w14:val="000000">
                      <w14:alpha w14:val="100000"/>
                    </w14:srgbClr>
                  </w14:solidFill>
                </w14:textFill>
              </w:rPr>
              <w:t>|</w:t>
            </w:r>
            <w:r w:rsidRPr="00592818">
              <w:rPr>
                <w:rFonts w:ascii="Arial Narrow" w:hAnsi="Arial Narrow" w:hint="eastAsia"/>
                <w:color w:val="000000"/>
                <w:w w:val="19"/>
                <w:fitText w:val="88" w:id="-1256557821"/>
                <w14:textFill>
                  <w14:solidFill>
                    <w14:srgbClr w14:val="000000">
                      <w14:alpha w14:val="100000"/>
                    </w14:srgbClr>
                  </w14:solidFill>
                </w14:textFill>
              </w:rPr>
              <w:t xml:space="preserve">　</w:t>
            </w:r>
          </w:p>
        </w:tc>
      </w:tr>
      <w:tr w:rsidR="00592818" w:rsidRPr="00EA4167" w14:paraId="1D3AFB30" w14:textId="77777777" w:rsidTr="00592818">
        <w:tc>
          <w:tcPr>
            <w:tcW w:w="0" w:type="pct"/>
            <w:shd w:val="clear" w:color="auto" w:fill="B4C6E7" w:themeFill="accent5" w:themeFillTint="66"/>
          </w:tcPr>
          <w:p w14:paraId="3083094D" w14:textId="37B1046D" w:rsidR="00353B8C" w:rsidRPr="00EA4167" w:rsidRDefault="00353B8C" w:rsidP="00367C94">
            <w:pPr>
              <w:spacing w:before="40" w:after="40"/>
              <w:rPr>
                <w:rFonts w:ascii="Arial Narrow" w:hAnsi="Arial Narrow"/>
              </w:rPr>
            </w:pPr>
            <w:r>
              <w:rPr>
                <w:rFonts w:ascii="Arial Narrow" w:hAnsi="Arial Narrow"/>
                <w:i/>
                <w:iCs/>
              </w:rPr>
              <w:t>Previous ADAR</w:t>
            </w:r>
          </w:p>
        </w:tc>
        <w:tc>
          <w:tcPr>
            <w:tcW w:w="0" w:type="pct"/>
            <w:tcBorders>
              <w:bottom w:val="single" w:sz="4" w:space="0" w:color="auto"/>
            </w:tcBorders>
            <w:shd w:val="solid" w:color="000000" w:fill="000000"/>
            <w:vAlign w:val="top"/>
          </w:tcPr>
          <w:p w14:paraId="2E0899E7" w14:textId="7C3ADEB7" w:rsidR="00353B8C" w:rsidRPr="000B0F56" w:rsidRDefault="00592818" w:rsidP="00367C94">
            <w:pPr>
              <w:pStyle w:val="Tabletext0"/>
              <w:jc w:val="center"/>
              <w:rPr>
                <w:i/>
                <w:iCs/>
                <w:highlight w:val="yellow"/>
              </w:rPr>
            </w:pPr>
            <w:r w:rsidRPr="00592818">
              <w:rPr>
                <w:rFonts w:hint="eastAsia"/>
                <w:i/>
                <w:iCs/>
                <w:color w:val="000000"/>
                <w:w w:val="16"/>
                <w:fitText w:val="75" w:id="-1256557820"/>
                <w14:textFill>
                  <w14:solidFill>
                    <w14:srgbClr w14:val="000000">
                      <w14:alpha w14:val="100000"/>
                    </w14:srgbClr>
                  </w14:solidFill>
                </w14:textFill>
              </w:rPr>
              <w:t xml:space="preserve">　</w:t>
            </w:r>
            <w:r w:rsidRPr="00592818">
              <w:rPr>
                <w:i/>
                <w:iCs/>
                <w:color w:val="000000"/>
                <w:w w:val="16"/>
                <w:fitText w:val="75" w:id="-1256557820"/>
                <w14:textFill>
                  <w14:solidFill>
                    <w14:srgbClr w14:val="000000">
                      <w14:alpha w14:val="100000"/>
                    </w14:srgbClr>
                  </w14:solidFill>
                </w14:textFill>
              </w:rPr>
              <w:t>|</w:t>
            </w:r>
            <w:r w:rsidRPr="00592818">
              <w:rPr>
                <w:rFonts w:hint="eastAsia"/>
                <w:i/>
                <w:iCs/>
                <w:color w:val="000000"/>
                <w:w w:val="16"/>
                <w:fitText w:val="75" w:id="-1256557820"/>
                <w14:textFill>
                  <w14:solidFill>
                    <w14:srgbClr w14:val="000000">
                      <w14:alpha w14:val="100000"/>
                    </w14:srgbClr>
                  </w14:solidFill>
                </w14:textFill>
              </w:rPr>
              <w:t xml:space="preserve">　</w:t>
            </w:r>
          </w:p>
        </w:tc>
        <w:tc>
          <w:tcPr>
            <w:tcW w:w="0" w:type="pct"/>
            <w:tcBorders>
              <w:bottom w:val="single" w:sz="4" w:space="0" w:color="auto"/>
            </w:tcBorders>
            <w:shd w:val="solid" w:color="000000" w:fill="000000"/>
            <w:vAlign w:val="top"/>
          </w:tcPr>
          <w:p w14:paraId="1B04FEF9" w14:textId="4698EEBE" w:rsidR="00353B8C" w:rsidRPr="000B0F56" w:rsidRDefault="00592818" w:rsidP="00367C94">
            <w:pPr>
              <w:pStyle w:val="Tabletext0"/>
              <w:jc w:val="center"/>
              <w:rPr>
                <w:i/>
                <w:iCs/>
                <w:highlight w:val="yellow"/>
              </w:rPr>
            </w:pPr>
            <w:r w:rsidRPr="00592818">
              <w:rPr>
                <w:rFonts w:hint="eastAsia"/>
                <w:i/>
                <w:iCs/>
                <w:color w:val="000000"/>
                <w:w w:val="16"/>
                <w:fitText w:val="75" w:id="-1256557819"/>
                <w14:textFill>
                  <w14:solidFill>
                    <w14:srgbClr w14:val="000000">
                      <w14:alpha w14:val="100000"/>
                    </w14:srgbClr>
                  </w14:solidFill>
                </w14:textFill>
              </w:rPr>
              <w:t xml:space="preserve">　</w:t>
            </w:r>
            <w:r w:rsidRPr="00592818">
              <w:rPr>
                <w:i/>
                <w:iCs/>
                <w:color w:val="000000"/>
                <w:w w:val="16"/>
                <w:fitText w:val="75" w:id="-1256557819"/>
                <w14:textFill>
                  <w14:solidFill>
                    <w14:srgbClr w14:val="000000">
                      <w14:alpha w14:val="100000"/>
                    </w14:srgbClr>
                  </w14:solidFill>
                </w14:textFill>
              </w:rPr>
              <w:t>|</w:t>
            </w:r>
            <w:r w:rsidRPr="00592818">
              <w:rPr>
                <w:rFonts w:hint="eastAsia"/>
                <w:i/>
                <w:iCs/>
                <w:color w:val="000000"/>
                <w:w w:val="16"/>
                <w:fitText w:val="75" w:id="-1256557819"/>
                <w14:textFill>
                  <w14:solidFill>
                    <w14:srgbClr w14:val="000000">
                      <w14:alpha w14:val="100000"/>
                    </w14:srgbClr>
                  </w14:solidFill>
                </w14:textFill>
              </w:rPr>
              <w:t xml:space="preserve">　</w:t>
            </w:r>
          </w:p>
        </w:tc>
        <w:tc>
          <w:tcPr>
            <w:tcW w:w="0" w:type="pct"/>
            <w:tcBorders>
              <w:bottom w:val="single" w:sz="4" w:space="0" w:color="auto"/>
            </w:tcBorders>
            <w:shd w:val="solid" w:color="000000" w:fill="000000"/>
            <w:vAlign w:val="top"/>
          </w:tcPr>
          <w:p w14:paraId="29B657F2" w14:textId="666B25AD" w:rsidR="00353B8C" w:rsidRPr="000B0F56" w:rsidRDefault="00592818" w:rsidP="00367C94">
            <w:pPr>
              <w:pStyle w:val="Tabletext0"/>
              <w:jc w:val="center"/>
              <w:rPr>
                <w:i/>
                <w:iCs/>
                <w:highlight w:val="yellow"/>
              </w:rPr>
            </w:pPr>
            <w:r w:rsidRPr="00592818">
              <w:rPr>
                <w:rFonts w:hint="eastAsia"/>
                <w:i/>
                <w:iCs/>
                <w:color w:val="000000"/>
                <w:w w:val="16"/>
                <w:fitText w:val="75" w:id="-1256557818"/>
                <w14:textFill>
                  <w14:solidFill>
                    <w14:srgbClr w14:val="000000">
                      <w14:alpha w14:val="100000"/>
                    </w14:srgbClr>
                  </w14:solidFill>
                </w14:textFill>
              </w:rPr>
              <w:t xml:space="preserve">　</w:t>
            </w:r>
            <w:r w:rsidRPr="00592818">
              <w:rPr>
                <w:i/>
                <w:iCs/>
                <w:color w:val="000000"/>
                <w:w w:val="16"/>
                <w:fitText w:val="75" w:id="-1256557818"/>
                <w14:textFill>
                  <w14:solidFill>
                    <w14:srgbClr w14:val="000000">
                      <w14:alpha w14:val="100000"/>
                    </w14:srgbClr>
                  </w14:solidFill>
                </w14:textFill>
              </w:rPr>
              <w:t>|</w:t>
            </w:r>
            <w:r w:rsidRPr="00592818">
              <w:rPr>
                <w:rFonts w:hint="eastAsia"/>
                <w:i/>
                <w:iCs/>
                <w:color w:val="000000"/>
                <w:w w:val="16"/>
                <w:fitText w:val="75" w:id="-1256557818"/>
                <w14:textFill>
                  <w14:solidFill>
                    <w14:srgbClr w14:val="000000">
                      <w14:alpha w14:val="100000"/>
                    </w14:srgbClr>
                  </w14:solidFill>
                </w14:textFill>
              </w:rPr>
              <w:t xml:space="preserve">　</w:t>
            </w:r>
          </w:p>
        </w:tc>
        <w:tc>
          <w:tcPr>
            <w:tcW w:w="0" w:type="pct"/>
            <w:tcBorders>
              <w:bottom w:val="single" w:sz="4" w:space="0" w:color="auto"/>
            </w:tcBorders>
            <w:shd w:val="solid" w:color="000000" w:fill="000000"/>
            <w:vAlign w:val="top"/>
          </w:tcPr>
          <w:p w14:paraId="5358AF50" w14:textId="0014C9AD" w:rsidR="00353B8C" w:rsidRPr="000B0F56" w:rsidRDefault="00592818" w:rsidP="00367C94">
            <w:pPr>
              <w:pStyle w:val="Tabletext0"/>
              <w:jc w:val="center"/>
              <w:rPr>
                <w:i/>
                <w:iCs/>
                <w:highlight w:val="yellow"/>
              </w:rPr>
            </w:pPr>
            <w:r w:rsidRPr="00592818">
              <w:rPr>
                <w:rFonts w:hint="eastAsia"/>
                <w:i/>
                <w:iCs/>
                <w:color w:val="000000"/>
                <w:w w:val="19"/>
                <w:fitText w:val="87" w:id="-1256557817"/>
                <w14:textFill>
                  <w14:solidFill>
                    <w14:srgbClr w14:val="000000">
                      <w14:alpha w14:val="100000"/>
                    </w14:srgbClr>
                  </w14:solidFill>
                </w14:textFill>
              </w:rPr>
              <w:t xml:space="preserve">　</w:t>
            </w:r>
            <w:r w:rsidRPr="00592818">
              <w:rPr>
                <w:i/>
                <w:iCs/>
                <w:color w:val="000000"/>
                <w:w w:val="19"/>
                <w:fitText w:val="87" w:id="-1256557817"/>
                <w14:textFill>
                  <w14:solidFill>
                    <w14:srgbClr w14:val="000000">
                      <w14:alpha w14:val="100000"/>
                    </w14:srgbClr>
                  </w14:solidFill>
                </w14:textFill>
              </w:rPr>
              <w:t>|</w:t>
            </w:r>
            <w:r w:rsidRPr="00592818">
              <w:rPr>
                <w:rFonts w:hint="eastAsia"/>
                <w:i/>
                <w:iCs/>
                <w:color w:val="000000"/>
                <w:w w:val="19"/>
                <w:fitText w:val="87" w:id="-1256557817"/>
                <w14:textFill>
                  <w14:solidFill>
                    <w14:srgbClr w14:val="000000">
                      <w14:alpha w14:val="100000"/>
                    </w14:srgbClr>
                  </w14:solidFill>
                </w14:textFill>
              </w:rPr>
              <w:t xml:space="preserve">　</w:t>
            </w:r>
          </w:p>
        </w:tc>
        <w:tc>
          <w:tcPr>
            <w:tcW w:w="0" w:type="pct"/>
            <w:tcBorders>
              <w:bottom w:val="single" w:sz="4" w:space="0" w:color="auto"/>
            </w:tcBorders>
            <w:shd w:val="solid" w:color="000000" w:fill="000000"/>
            <w:vAlign w:val="top"/>
          </w:tcPr>
          <w:p w14:paraId="0C4A6615" w14:textId="0EAD224A" w:rsidR="00353B8C" w:rsidRPr="000B0F56" w:rsidRDefault="00592818" w:rsidP="00367C94">
            <w:pPr>
              <w:pStyle w:val="Tabletext0"/>
              <w:jc w:val="center"/>
              <w:rPr>
                <w:i/>
                <w:iCs/>
                <w:highlight w:val="yellow"/>
              </w:rPr>
            </w:pPr>
            <w:r w:rsidRPr="00592818">
              <w:rPr>
                <w:rFonts w:hint="eastAsia"/>
                <w:i/>
                <w:iCs/>
                <w:color w:val="000000"/>
                <w:w w:val="19"/>
                <w:fitText w:val="88" w:id="-1256557816"/>
                <w14:textFill>
                  <w14:solidFill>
                    <w14:srgbClr w14:val="000000">
                      <w14:alpha w14:val="100000"/>
                    </w14:srgbClr>
                  </w14:solidFill>
                </w14:textFill>
              </w:rPr>
              <w:t xml:space="preserve">　</w:t>
            </w:r>
            <w:r w:rsidRPr="00592818">
              <w:rPr>
                <w:i/>
                <w:iCs/>
                <w:color w:val="000000"/>
                <w:w w:val="19"/>
                <w:fitText w:val="88" w:id="-1256557816"/>
                <w14:textFill>
                  <w14:solidFill>
                    <w14:srgbClr w14:val="000000">
                      <w14:alpha w14:val="100000"/>
                    </w14:srgbClr>
                  </w14:solidFill>
                </w14:textFill>
              </w:rPr>
              <w:t>|</w:t>
            </w:r>
            <w:r w:rsidRPr="00592818">
              <w:rPr>
                <w:rFonts w:hint="eastAsia"/>
                <w:i/>
                <w:iCs/>
                <w:color w:val="000000"/>
                <w:w w:val="19"/>
                <w:fitText w:val="88" w:id="-1256557816"/>
                <w14:textFill>
                  <w14:solidFill>
                    <w14:srgbClr w14:val="000000">
                      <w14:alpha w14:val="100000"/>
                    </w14:srgbClr>
                  </w14:solidFill>
                </w14:textFill>
              </w:rPr>
              <w:t xml:space="preserve">　</w:t>
            </w:r>
          </w:p>
        </w:tc>
      </w:tr>
      <w:tr w:rsidR="00592818" w:rsidRPr="00EA4167" w14:paraId="14699030" w14:textId="77777777" w:rsidTr="00592818">
        <w:tc>
          <w:tcPr>
            <w:tcW w:w="1612" w:type="pct"/>
          </w:tcPr>
          <w:p w14:paraId="2960FF26" w14:textId="77777777" w:rsidR="00EA4167" w:rsidRPr="00EA4167" w:rsidRDefault="00EA4167" w:rsidP="00367C94">
            <w:pPr>
              <w:spacing w:before="40" w:after="40"/>
              <w:rPr>
                <w:rFonts w:ascii="Arial Narrow" w:hAnsi="Arial Narrow"/>
              </w:rPr>
            </w:pPr>
            <w:proofErr w:type="spellStart"/>
            <w:r w:rsidRPr="00EA4167">
              <w:rPr>
                <w:rFonts w:ascii="Arial Narrow" w:hAnsi="Arial Narrow"/>
              </w:rPr>
              <w:t>TMVr</w:t>
            </w:r>
            <w:proofErr w:type="spellEnd"/>
            <w:r w:rsidRPr="00EA4167">
              <w:rPr>
                <w:rFonts w:ascii="Arial Narrow" w:hAnsi="Arial Narrow"/>
              </w:rPr>
              <w:t xml:space="preserve"> procedures for </w:t>
            </w:r>
            <w:r w:rsidRPr="00830EF2">
              <w:rPr>
                <w:rFonts w:ascii="Arial Narrow" w:hAnsi="Arial Narrow"/>
                <w:b/>
                <w:bCs/>
              </w:rPr>
              <w:t>FMR</w:t>
            </w:r>
            <w:r w:rsidRPr="00EA4167">
              <w:rPr>
                <w:rFonts w:ascii="Arial Narrow" w:hAnsi="Arial Narrow"/>
              </w:rPr>
              <w:t xml:space="preserve"> conducted with PASCAL</w:t>
            </w:r>
          </w:p>
        </w:tc>
        <w:tc>
          <w:tcPr>
            <w:tcW w:w="681" w:type="pct"/>
            <w:tcBorders>
              <w:bottom w:val="single" w:sz="4" w:space="0" w:color="auto"/>
            </w:tcBorders>
            <w:shd w:val="solid" w:color="000000" w:fill="000000"/>
          </w:tcPr>
          <w:p w14:paraId="09291EFD" w14:textId="745B5F69"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15"/>
                <w14:textFill>
                  <w14:solidFill>
                    <w14:srgbClr w14:val="000000">
                      <w14:alpha w14:val="100000"/>
                    </w14:srgbClr>
                  </w14:solidFill>
                </w14:textFill>
              </w:rPr>
              <w:t xml:space="preserve">　</w:t>
            </w:r>
            <w:r w:rsidRPr="00592818">
              <w:rPr>
                <w:rFonts w:ascii="Arial Narrow" w:hAnsi="Arial Narrow"/>
                <w:color w:val="000000"/>
                <w:w w:val="16"/>
                <w:fitText w:val="75" w:id="-1256557815"/>
                <w14:textFill>
                  <w14:solidFill>
                    <w14:srgbClr w14:val="000000">
                      <w14:alpha w14:val="100000"/>
                    </w14:srgbClr>
                  </w14:solidFill>
                </w14:textFill>
              </w:rPr>
              <w:t>|</w:t>
            </w:r>
            <w:r w:rsidRPr="00592818">
              <w:rPr>
                <w:rFonts w:ascii="Arial Narrow" w:hAnsi="Arial Narrow" w:hint="eastAsia"/>
                <w:color w:val="000000"/>
                <w:w w:val="16"/>
                <w:fitText w:val="75" w:id="-1256557815"/>
                <w14:textFill>
                  <w14:solidFill>
                    <w14:srgbClr w14:val="000000">
                      <w14:alpha w14:val="100000"/>
                    </w14:srgbClr>
                  </w14:solidFill>
                </w14:textFill>
              </w:rPr>
              <w:t xml:space="preserve">　</w:t>
            </w:r>
          </w:p>
        </w:tc>
        <w:tc>
          <w:tcPr>
            <w:tcW w:w="681" w:type="pct"/>
            <w:tcBorders>
              <w:bottom w:val="single" w:sz="4" w:space="0" w:color="auto"/>
            </w:tcBorders>
            <w:shd w:val="solid" w:color="000000" w:fill="000000"/>
          </w:tcPr>
          <w:p w14:paraId="09967CA5" w14:textId="2C650759"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14"/>
                <w14:textFill>
                  <w14:solidFill>
                    <w14:srgbClr w14:val="000000">
                      <w14:alpha w14:val="100000"/>
                    </w14:srgbClr>
                  </w14:solidFill>
                </w14:textFill>
              </w:rPr>
              <w:t xml:space="preserve">　</w:t>
            </w:r>
            <w:r w:rsidRPr="00592818">
              <w:rPr>
                <w:rFonts w:ascii="Arial Narrow" w:hAnsi="Arial Narrow"/>
                <w:color w:val="000000"/>
                <w:w w:val="16"/>
                <w:fitText w:val="75" w:id="-1256557814"/>
                <w14:textFill>
                  <w14:solidFill>
                    <w14:srgbClr w14:val="000000">
                      <w14:alpha w14:val="100000"/>
                    </w14:srgbClr>
                  </w14:solidFill>
                </w14:textFill>
              </w:rPr>
              <w:t>|</w:t>
            </w:r>
            <w:r w:rsidRPr="00592818">
              <w:rPr>
                <w:rFonts w:ascii="Arial Narrow" w:hAnsi="Arial Narrow" w:hint="eastAsia"/>
                <w:color w:val="000000"/>
                <w:w w:val="16"/>
                <w:fitText w:val="75" w:id="-1256557814"/>
                <w14:textFill>
                  <w14:solidFill>
                    <w14:srgbClr w14:val="000000">
                      <w14:alpha w14:val="100000"/>
                    </w14:srgbClr>
                  </w14:solidFill>
                </w14:textFill>
              </w:rPr>
              <w:t xml:space="preserve">　</w:t>
            </w:r>
          </w:p>
        </w:tc>
        <w:tc>
          <w:tcPr>
            <w:tcW w:w="681" w:type="pct"/>
            <w:tcBorders>
              <w:bottom w:val="single" w:sz="4" w:space="0" w:color="auto"/>
            </w:tcBorders>
            <w:shd w:val="solid" w:color="000000" w:fill="000000"/>
          </w:tcPr>
          <w:p w14:paraId="6D388A46" w14:textId="0386F2C0"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13"/>
                <w14:textFill>
                  <w14:solidFill>
                    <w14:srgbClr w14:val="000000">
                      <w14:alpha w14:val="100000"/>
                    </w14:srgbClr>
                  </w14:solidFill>
                </w14:textFill>
              </w:rPr>
              <w:t xml:space="preserve">　</w:t>
            </w:r>
            <w:r w:rsidRPr="00592818">
              <w:rPr>
                <w:rFonts w:ascii="Arial Narrow" w:hAnsi="Arial Narrow"/>
                <w:color w:val="000000"/>
                <w:w w:val="16"/>
                <w:fitText w:val="75" w:id="-1256557813"/>
                <w14:textFill>
                  <w14:solidFill>
                    <w14:srgbClr w14:val="000000">
                      <w14:alpha w14:val="100000"/>
                    </w14:srgbClr>
                  </w14:solidFill>
                </w14:textFill>
              </w:rPr>
              <w:t>|</w:t>
            </w:r>
            <w:r w:rsidRPr="00592818">
              <w:rPr>
                <w:rFonts w:ascii="Arial Narrow" w:hAnsi="Arial Narrow" w:hint="eastAsia"/>
                <w:color w:val="000000"/>
                <w:w w:val="16"/>
                <w:fitText w:val="75" w:id="-1256557813"/>
                <w14:textFill>
                  <w14:solidFill>
                    <w14:srgbClr w14:val="000000">
                      <w14:alpha w14:val="100000"/>
                    </w14:srgbClr>
                  </w14:solidFill>
                </w14:textFill>
              </w:rPr>
              <w:t xml:space="preserve">　</w:t>
            </w:r>
          </w:p>
        </w:tc>
        <w:tc>
          <w:tcPr>
            <w:tcW w:w="678" w:type="pct"/>
            <w:tcBorders>
              <w:bottom w:val="single" w:sz="4" w:space="0" w:color="auto"/>
            </w:tcBorders>
            <w:shd w:val="solid" w:color="000000" w:fill="000000"/>
          </w:tcPr>
          <w:p w14:paraId="2D1D9272" w14:textId="43CC234E"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9"/>
                <w:fitText w:val="87" w:id="-1256557812"/>
                <w14:textFill>
                  <w14:solidFill>
                    <w14:srgbClr w14:val="000000">
                      <w14:alpha w14:val="100000"/>
                    </w14:srgbClr>
                  </w14:solidFill>
                </w14:textFill>
              </w:rPr>
              <w:t xml:space="preserve">　</w:t>
            </w:r>
            <w:r w:rsidRPr="00592818">
              <w:rPr>
                <w:rFonts w:ascii="Arial Narrow" w:hAnsi="Arial Narrow"/>
                <w:color w:val="000000"/>
                <w:w w:val="19"/>
                <w:fitText w:val="87" w:id="-1256557812"/>
                <w14:textFill>
                  <w14:solidFill>
                    <w14:srgbClr w14:val="000000">
                      <w14:alpha w14:val="100000"/>
                    </w14:srgbClr>
                  </w14:solidFill>
                </w14:textFill>
              </w:rPr>
              <w:t>|</w:t>
            </w:r>
            <w:r w:rsidRPr="00592818">
              <w:rPr>
                <w:rFonts w:ascii="Arial Narrow" w:hAnsi="Arial Narrow" w:hint="eastAsia"/>
                <w:color w:val="000000"/>
                <w:w w:val="19"/>
                <w:fitText w:val="87" w:id="-1256557812"/>
                <w14:textFill>
                  <w14:solidFill>
                    <w14:srgbClr w14:val="000000">
                      <w14:alpha w14:val="100000"/>
                    </w14:srgbClr>
                  </w14:solidFill>
                </w14:textFill>
              </w:rPr>
              <w:t xml:space="preserve">　</w:t>
            </w:r>
          </w:p>
        </w:tc>
        <w:tc>
          <w:tcPr>
            <w:tcW w:w="667" w:type="pct"/>
            <w:tcBorders>
              <w:bottom w:val="single" w:sz="4" w:space="0" w:color="auto"/>
            </w:tcBorders>
            <w:shd w:val="solid" w:color="000000" w:fill="000000"/>
          </w:tcPr>
          <w:p w14:paraId="6287F25C" w14:textId="721097EF"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9"/>
                <w:fitText w:val="88" w:id="-1256557811"/>
                <w14:textFill>
                  <w14:solidFill>
                    <w14:srgbClr w14:val="000000">
                      <w14:alpha w14:val="100000"/>
                    </w14:srgbClr>
                  </w14:solidFill>
                </w14:textFill>
              </w:rPr>
              <w:t xml:space="preserve">　</w:t>
            </w:r>
            <w:r w:rsidRPr="00592818">
              <w:rPr>
                <w:rFonts w:ascii="Arial Narrow" w:hAnsi="Arial Narrow"/>
                <w:color w:val="000000"/>
                <w:w w:val="19"/>
                <w:fitText w:val="88" w:id="-1256557811"/>
                <w14:textFill>
                  <w14:solidFill>
                    <w14:srgbClr w14:val="000000">
                      <w14:alpha w14:val="100000"/>
                    </w14:srgbClr>
                  </w14:solidFill>
                </w14:textFill>
              </w:rPr>
              <w:t>|</w:t>
            </w:r>
            <w:r w:rsidRPr="00592818">
              <w:rPr>
                <w:rFonts w:ascii="Arial Narrow" w:hAnsi="Arial Narrow" w:hint="eastAsia"/>
                <w:color w:val="000000"/>
                <w:w w:val="19"/>
                <w:fitText w:val="88" w:id="-1256557811"/>
                <w14:textFill>
                  <w14:solidFill>
                    <w14:srgbClr w14:val="000000">
                      <w14:alpha w14:val="100000"/>
                    </w14:srgbClr>
                  </w14:solidFill>
                </w14:textFill>
              </w:rPr>
              <w:t xml:space="preserve">　</w:t>
            </w:r>
          </w:p>
        </w:tc>
      </w:tr>
      <w:tr w:rsidR="00592818" w:rsidRPr="00EA4167" w14:paraId="6513C8E7" w14:textId="77777777" w:rsidTr="00592818">
        <w:tc>
          <w:tcPr>
            <w:tcW w:w="1612" w:type="pct"/>
          </w:tcPr>
          <w:p w14:paraId="30CD2FF8" w14:textId="77777777" w:rsidR="00EA4167" w:rsidRPr="00EA4167" w:rsidRDefault="00EA4167" w:rsidP="00367C94">
            <w:pPr>
              <w:spacing w:before="40" w:after="40"/>
              <w:rPr>
                <w:rFonts w:ascii="Arial Narrow" w:hAnsi="Arial Narrow"/>
              </w:rPr>
            </w:pPr>
            <w:r w:rsidRPr="00EA4167">
              <w:rPr>
                <w:rFonts w:ascii="Arial Narrow" w:hAnsi="Arial Narrow"/>
              </w:rPr>
              <w:t xml:space="preserve">Change in </w:t>
            </w:r>
            <w:proofErr w:type="spellStart"/>
            <w:r w:rsidRPr="00EA4167">
              <w:rPr>
                <w:rFonts w:ascii="Arial Narrow" w:hAnsi="Arial Narrow"/>
              </w:rPr>
              <w:t>TMVr</w:t>
            </w:r>
            <w:proofErr w:type="spellEnd"/>
            <w:r w:rsidRPr="00EA4167">
              <w:rPr>
                <w:rFonts w:ascii="Arial Narrow" w:hAnsi="Arial Narrow"/>
              </w:rPr>
              <w:t xml:space="preserve"> procedures for FMR conducted with </w:t>
            </w:r>
            <w:proofErr w:type="spellStart"/>
            <w:r w:rsidRPr="00EA4167">
              <w:rPr>
                <w:rFonts w:ascii="Arial Narrow" w:hAnsi="Arial Narrow"/>
              </w:rPr>
              <w:t>MitraClip</w:t>
            </w:r>
            <w:proofErr w:type="spellEnd"/>
          </w:p>
        </w:tc>
        <w:tc>
          <w:tcPr>
            <w:tcW w:w="681" w:type="pct"/>
            <w:tcBorders>
              <w:bottom w:val="single" w:sz="4" w:space="0" w:color="auto"/>
            </w:tcBorders>
            <w:shd w:val="solid" w:color="000000" w:fill="000000"/>
          </w:tcPr>
          <w:p w14:paraId="4AB60F37" w14:textId="79DA98D4"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10"/>
                <w14:textFill>
                  <w14:solidFill>
                    <w14:srgbClr w14:val="000000">
                      <w14:alpha w14:val="100000"/>
                    </w14:srgbClr>
                  </w14:solidFill>
                </w14:textFill>
              </w:rPr>
              <w:t xml:space="preserve">　</w:t>
            </w:r>
            <w:r w:rsidRPr="00592818">
              <w:rPr>
                <w:rFonts w:ascii="Arial Narrow" w:hAnsi="Arial Narrow"/>
                <w:color w:val="000000"/>
                <w:w w:val="16"/>
                <w:fitText w:val="75" w:id="-1256557810"/>
                <w14:textFill>
                  <w14:solidFill>
                    <w14:srgbClr w14:val="000000">
                      <w14:alpha w14:val="100000"/>
                    </w14:srgbClr>
                  </w14:solidFill>
                </w14:textFill>
              </w:rPr>
              <w:t>|</w:t>
            </w:r>
            <w:r w:rsidRPr="00592818">
              <w:rPr>
                <w:rFonts w:ascii="Arial Narrow" w:hAnsi="Arial Narrow" w:hint="eastAsia"/>
                <w:color w:val="000000"/>
                <w:w w:val="16"/>
                <w:fitText w:val="75" w:id="-1256557810"/>
                <w14:textFill>
                  <w14:solidFill>
                    <w14:srgbClr w14:val="000000">
                      <w14:alpha w14:val="100000"/>
                    </w14:srgbClr>
                  </w14:solidFill>
                </w14:textFill>
              </w:rPr>
              <w:t xml:space="preserve">　</w:t>
            </w:r>
          </w:p>
        </w:tc>
        <w:tc>
          <w:tcPr>
            <w:tcW w:w="681" w:type="pct"/>
            <w:tcBorders>
              <w:bottom w:val="single" w:sz="4" w:space="0" w:color="auto"/>
            </w:tcBorders>
            <w:shd w:val="solid" w:color="000000" w:fill="000000"/>
          </w:tcPr>
          <w:p w14:paraId="45728DD1" w14:textId="758F79E9"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09"/>
                <w14:textFill>
                  <w14:solidFill>
                    <w14:srgbClr w14:val="000000">
                      <w14:alpha w14:val="100000"/>
                    </w14:srgbClr>
                  </w14:solidFill>
                </w14:textFill>
              </w:rPr>
              <w:t xml:space="preserve">　</w:t>
            </w:r>
            <w:r w:rsidRPr="00592818">
              <w:rPr>
                <w:rFonts w:ascii="Arial Narrow" w:hAnsi="Arial Narrow"/>
                <w:color w:val="000000"/>
                <w:w w:val="16"/>
                <w:fitText w:val="75" w:id="-1256557809"/>
                <w14:textFill>
                  <w14:solidFill>
                    <w14:srgbClr w14:val="000000">
                      <w14:alpha w14:val="100000"/>
                    </w14:srgbClr>
                  </w14:solidFill>
                </w14:textFill>
              </w:rPr>
              <w:t>|</w:t>
            </w:r>
            <w:r w:rsidRPr="00592818">
              <w:rPr>
                <w:rFonts w:ascii="Arial Narrow" w:hAnsi="Arial Narrow" w:hint="eastAsia"/>
                <w:color w:val="000000"/>
                <w:w w:val="16"/>
                <w:fitText w:val="75" w:id="-1256557809"/>
                <w14:textFill>
                  <w14:solidFill>
                    <w14:srgbClr w14:val="000000">
                      <w14:alpha w14:val="100000"/>
                    </w14:srgbClr>
                  </w14:solidFill>
                </w14:textFill>
              </w:rPr>
              <w:t xml:space="preserve">　</w:t>
            </w:r>
          </w:p>
        </w:tc>
        <w:tc>
          <w:tcPr>
            <w:tcW w:w="681" w:type="pct"/>
            <w:tcBorders>
              <w:bottom w:val="single" w:sz="4" w:space="0" w:color="auto"/>
            </w:tcBorders>
            <w:shd w:val="solid" w:color="000000" w:fill="000000"/>
          </w:tcPr>
          <w:p w14:paraId="56B766C9" w14:textId="3EE67985"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08"/>
                <w14:textFill>
                  <w14:solidFill>
                    <w14:srgbClr w14:val="000000">
                      <w14:alpha w14:val="100000"/>
                    </w14:srgbClr>
                  </w14:solidFill>
                </w14:textFill>
              </w:rPr>
              <w:t xml:space="preserve">　</w:t>
            </w:r>
            <w:r w:rsidRPr="00592818">
              <w:rPr>
                <w:rFonts w:ascii="Arial Narrow" w:hAnsi="Arial Narrow"/>
                <w:color w:val="000000"/>
                <w:w w:val="16"/>
                <w:fitText w:val="75" w:id="-1256557808"/>
                <w14:textFill>
                  <w14:solidFill>
                    <w14:srgbClr w14:val="000000">
                      <w14:alpha w14:val="100000"/>
                    </w14:srgbClr>
                  </w14:solidFill>
                </w14:textFill>
              </w:rPr>
              <w:t>|</w:t>
            </w:r>
            <w:r w:rsidRPr="00592818">
              <w:rPr>
                <w:rFonts w:ascii="Arial Narrow" w:hAnsi="Arial Narrow" w:hint="eastAsia"/>
                <w:color w:val="000000"/>
                <w:w w:val="16"/>
                <w:fitText w:val="75" w:id="-1256557808"/>
                <w14:textFill>
                  <w14:solidFill>
                    <w14:srgbClr w14:val="000000">
                      <w14:alpha w14:val="100000"/>
                    </w14:srgbClr>
                  </w14:solidFill>
                </w14:textFill>
              </w:rPr>
              <w:t xml:space="preserve">　</w:t>
            </w:r>
          </w:p>
        </w:tc>
        <w:tc>
          <w:tcPr>
            <w:tcW w:w="678" w:type="pct"/>
            <w:tcBorders>
              <w:bottom w:val="single" w:sz="4" w:space="0" w:color="auto"/>
            </w:tcBorders>
            <w:shd w:val="solid" w:color="000000" w:fill="000000"/>
          </w:tcPr>
          <w:p w14:paraId="54EF2162" w14:textId="6F042C44"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9"/>
                <w:fitText w:val="87" w:id="-1256557824"/>
                <w14:textFill>
                  <w14:solidFill>
                    <w14:srgbClr w14:val="000000">
                      <w14:alpha w14:val="100000"/>
                    </w14:srgbClr>
                  </w14:solidFill>
                </w14:textFill>
              </w:rPr>
              <w:t xml:space="preserve">　</w:t>
            </w:r>
            <w:r w:rsidRPr="00592818">
              <w:rPr>
                <w:rFonts w:ascii="Arial Narrow" w:hAnsi="Arial Narrow"/>
                <w:color w:val="000000"/>
                <w:w w:val="19"/>
                <w:fitText w:val="87" w:id="-1256557824"/>
                <w14:textFill>
                  <w14:solidFill>
                    <w14:srgbClr w14:val="000000">
                      <w14:alpha w14:val="100000"/>
                    </w14:srgbClr>
                  </w14:solidFill>
                </w14:textFill>
              </w:rPr>
              <w:t>|</w:t>
            </w:r>
            <w:r w:rsidRPr="00592818">
              <w:rPr>
                <w:rFonts w:ascii="Arial Narrow" w:hAnsi="Arial Narrow" w:hint="eastAsia"/>
                <w:color w:val="000000"/>
                <w:w w:val="19"/>
                <w:fitText w:val="87" w:id="-1256557824"/>
                <w14:textFill>
                  <w14:solidFill>
                    <w14:srgbClr w14:val="000000">
                      <w14:alpha w14:val="100000"/>
                    </w14:srgbClr>
                  </w14:solidFill>
                </w14:textFill>
              </w:rPr>
              <w:t xml:space="preserve">　</w:t>
            </w:r>
          </w:p>
        </w:tc>
        <w:tc>
          <w:tcPr>
            <w:tcW w:w="667" w:type="pct"/>
            <w:tcBorders>
              <w:bottom w:val="single" w:sz="4" w:space="0" w:color="auto"/>
            </w:tcBorders>
            <w:shd w:val="solid" w:color="000000" w:fill="000000"/>
          </w:tcPr>
          <w:p w14:paraId="74E089CF" w14:textId="095879F2"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9"/>
                <w:fitText w:val="88" w:id="-1256557823"/>
                <w14:textFill>
                  <w14:solidFill>
                    <w14:srgbClr w14:val="000000">
                      <w14:alpha w14:val="100000"/>
                    </w14:srgbClr>
                  </w14:solidFill>
                </w14:textFill>
              </w:rPr>
              <w:t xml:space="preserve">　</w:t>
            </w:r>
            <w:r w:rsidRPr="00592818">
              <w:rPr>
                <w:rFonts w:ascii="Arial Narrow" w:hAnsi="Arial Narrow"/>
                <w:color w:val="000000"/>
                <w:w w:val="19"/>
                <w:fitText w:val="88" w:id="-1256557823"/>
                <w14:textFill>
                  <w14:solidFill>
                    <w14:srgbClr w14:val="000000">
                      <w14:alpha w14:val="100000"/>
                    </w14:srgbClr>
                  </w14:solidFill>
                </w14:textFill>
              </w:rPr>
              <w:t>|</w:t>
            </w:r>
            <w:r w:rsidRPr="00592818">
              <w:rPr>
                <w:rFonts w:ascii="Arial Narrow" w:hAnsi="Arial Narrow" w:hint="eastAsia"/>
                <w:color w:val="000000"/>
                <w:w w:val="19"/>
                <w:fitText w:val="88" w:id="-1256557823"/>
                <w14:textFill>
                  <w14:solidFill>
                    <w14:srgbClr w14:val="000000">
                      <w14:alpha w14:val="100000"/>
                    </w14:srgbClr>
                  </w14:solidFill>
                </w14:textFill>
              </w:rPr>
              <w:t xml:space="preserve">　</w:t>
            </w:r>
          </w:p>
        </w:tc>
      </w:tr>
      <w:tr w:rsidR="00592818" w:rsidRPr="00EA4167" w14:paraId="1060CE8D" w14:textId="77777777" w:rsidTr="00592818">
        <w:tc>
          <w:tcPr>
            <w:tcW w:w="1612" w:type="pct"/>
          </w:tcPr>
          <w:p w14:paraId="430F25C0" w14:textId="77777777" w:rsidR="00EA4167" w:rsidRPr="00EA4167" w:rsidRDefault="00EA4167" w:rsidP="00367C94">
            <w:pPr>
              <w:spacing w:before="40" w:after="40"/>
              <w:rPr>
                <w:rFonts w:ascii="Arial Narrow" w:hAnsi="Arial Narrow"/>
              </w:rPr>
            </w:pPr>
            <w:r w:rsidRPr="00EA4167">
              <w:rPr>
                <w:rFonts w:ascii="Arial Narrow" w:hAnsi="Arial Narrow"/>
              </w:rPr>
              <w:t>Net change in MBS item 38463 utilisation</w:t>
            </w:r>
          </w:p>
        </w:tc>
        <w:tc>
          <w:tcPr>
            <w:tcW w:w="681" w:type="pct"/>
            <w:tcBorders>
              <w:bottom w:val="single" w:sz="4" w:space="0" w:color="auto"/>
            </w:tcBorders>
            <w:shd w:val="solid" w:color="000000" w:fill="000000"/>
          </w:tcPr>
          <w:p w14:paraId="37281CCE" w14:textId="6354AF54"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22"/>
                <w14:textFill>
                  <w14:solidFill>
                    <w14:srgbClr w14:val="000000">
                      <w14:alpha w14:val="100000"/>
                    </w14:srgbClr>
                  </w14:solidFill>
                </w14:textFill>
              </w:rPr>
              <w:t xml:space="preserve">　</w:t>
            </w:r>
            <w:r w:rsidRPr="00592818">
              <w:rPr>
                <w:rFonts w:ascii="Arial Narrow" w:hAnsi="Arial Narrow"/>
                <w:color w:val="000000"/>
                <w:w w:val="16"/>
                <w:fitText w:val="75" w:id="-1256557822"/>
                <w14:textFill>
                  <w14:solidFill>
                    <w14:srgbClr w14:val="000000">
                      <w14:alpha w14:val="100000"/>
                    </w14:srgbClr>
                  </w14:solidFill>
                </w14:textFill>
              </w:rPr>
              <w:t>|</w:t>
            </w:r>
            <w:r w:rsidRPr="00592818">
              <w:rPr>
                <w:rFonts w:ascii="Arial Narrow" w:hAnsi="Arial Narrow" w:hint="eastAsia"/>
                <w:color w:val="000000"/>
                <w:w w:val="16"/>
                <w:fitText w:val="75" w:id="-1256557822"/>
                <w14:textFill>
                  <w14:solidFill>
                    <w14:srgbClr w14:val="000000">
                      <w14:alpha w14:val="100000"/>
                    </w14:srgbClr>
                  </w14:solidFill>
                </w14:textFill>
              </w:rPr>
              <w:t xml:space="preserve">　</w:t>
            </w:r>
          </w:p>
        </w:tc>
        <w:tc>
          <w:tcPr>
            <w:tcW w:w="681" w:type="pct"/>
            <w:tcBorders>
              <w:bottom w:val="single" w:sz="4" w:space="0" w:color="auto"/>
            </w:tcBorders>
            <w:shd w:val="solid" w:color="000000" w:fill="000000"/>
          </w:tcPr>
          <w:p w14:paraId="18E5CD73" w14:textId="5CC132EA"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21"/>
                <w14:textFill>
                  <w14:solidFill>
                    <w14:srgbClr w14:val="000000">
                      <w14:alpha w14:val="100000"/>
                    </w14:srgbClr>
                  </w14:solidFill>
                </w14:textFill>
              </w:rPr>
              <w:t xml:space="preserve">　</w:t>
            </w:r>
            <w:r w:rsidRPr="00592818">
              <w:rPr>
                <w:rFonts w:ascii="Arial Narrow" w:hAnsi="Arial Narrow"/>
                <w:color w:val="000000"/>
                <w:w w:val="16"/>
                <w:fitText w:val="75" w:id="-1256557821"/>
                <w14:textFill>
                  <w14:solidFill>
                    <w14:srgbClr w14:val="000000">
                      <w14:alpha w14:val="100000"/>
                    </w14:srgbClr>
                  </w14:solidFill>
                </w14:textFill>
              </w:rPr>
              <w:t>|</w:t>
            </w:r>
            <w:r w:rsidRPr="00592818">
              <w:rPr>
                <w:rFonts w:ascii="Arial Narrow" w:hAnsi="Arial Narrow" w:hint="eastAsia"/>
                <w:color w:val="000000"/>
                <w:w w:val="16"/>
                <w:fitText w:val="75" w:id="-1256557821"/>
                <w14:textFill>
                  <w14:solidFill>
                    <w14:srgbClr w14:val="000000">
                      <w14:alpha w14:val="100000"/>
                    </w14:srgbClr>
                  </w14:solidFill>
                </w14:textFill>
              </w:rPr>
              <w:t xml:space="preserve">　</w:t>
            </w:r>
          </w:p>
        </w:tc>
        <w:tc>
          <w:tcPr>
            <w:tcW w:w="681" w:type="pct"/>
            <w:tcBorders>
              <w:bottom w:val="single" w:sz="4" w:space="0" w:color="auto"/>
            </w:tcBorders>
            <w:shd w:val="solid" w:color="000000" w:fill="000000"/>
          </w:tcPr>
          <w:p w14:paraId="43077A9C" w14:textId="11E9612A"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20"/>
                <w14:textFill>
                  <w14:solidFill>
                    <w14:srgbClr w14:val="000000">
                      <w14:alpha w14:val="100000"/>
                    </w14:srgbClr>
                  </w14:solidFill>
                </w14:textFill>
              </w:rPr>
              <w:t xml:space="preserve">　</w:t>
            </w:r>
            <w:r w:rsidRPr="00592818">
              <w:rPr>
                <w:rFonts w:ascii="Arial Narrow" w:hAnsi="Arial Narrow"/>
                <w:color w:val="000000"/>
                <w:w w:val="16"/>
                <w:fitText w:val="75" w:id="-1256557820"/>
                <w14:textFill>
                  <w14:solidFill>
                    <w14:srgbClr w14:val="000000">
                      <w14:alpha w14:val="100000"/>
                    </w14:srgbClr>
                  </w14:solidFill>
                </w14:textFill>
              </w:rPr>
              <w:t>|</w:t>
            </w:r>
            <w:r w:rsidRPr="00592818">
              <w:rPr>
                <w:rFonts w:ascii="Arial Narrow" w:hAnsi="Arial Narrow" w:hint="eastAsia"/>
                <w:color w:val="000000"/>
                <w:w w:val="16"/>
                <w:fitText w:val="75" w:id="-1256557820"/>
                <w14:textFill>
                  <w14:solidFill>
                    <w14:srgbClr w14:val="000000">
                      <w14:alpha w14:val="100000"/>
                    </w14:srgbClr>
                  </w14:solidFill>
                </w14:textFill>
              </w:rPr>
              <w:t xml:space="preserve">　</w:t>
            </w:r>
          </w:p>
        </w:tc>
        <w:tc>
          <w:tcPr>
            <w:tcW w:w="678" w:type="pct"/>
            <w:tcBorders>
              <w:bottom w:val="single" w:sz="4" w:space="0" w:color="auto"/>
            </w:tcBorders>
            <w:shd w:val="solid" w:color="000000" w:fill="000000"/>
          </w:tcPr>
          <w:p w14:paraId="10F7979A" w14:textId="6BDC3A12"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9"/>
                <w:fitText w:val="87" w:id="-1256557819"/>
                <w14:textFill>
                  <w14:solidFill>
                    <w14:srgbClr w14:val="000000">
                      <w14:alpha w14:val="100000"/>
                    </w14:srgbClr>
                  </w14:solidFill>
                </w14:textFill>
              </w:rPr>
              <w:t xml:space="preserve">　</w:t>
            </w:r>
            <w:r w:rsidRPr="00592818">
              <w:rPr>
                <w:rFonts w:ascii="Arial Narrow" w:hAnsi="Arial Narrow"/>
                <w:color w:val="000000"/>
                <w:w w:val="19"/>
                <w:fitText w:val="87" w:id="-1256557819"/>
                <w14:textFill>
                  <w14:solidFill>
                    <w14:srgbClr w14:val="000000">
                      <w14:alpha w14:val="100000"/>
                    </w14:srgbClr>
                  </w14:solidFill>
                </w14:textFill>
              </w:rPr>
              <w:t>|</w:t>
            </w:r>
            <w:r w:rsidRPr="00592818">
              <w:rPr>
                <w:rFonts w:ascii="Arial Narrow" w:hAnsi="Arial Narrow" w:hint="eastAsia"/>
                <w:color w:val="000000"/>
                <w:w w:val="19"/>
                <w:fitText w:val="87" w:id="-1256557819"/>
                <w14:textFill>
                  <w14:solidFill>
                    <w14:srgbClr w14:val="000000">
                      <w14:alpha w14:val="100000"/>
                    </w14:srgbClr>
                  </w14:solidFill>
                </w14:textFill>
              </w:rPr>
              <w:t xml:space="preserve">　</w:t>
            </w:r>
          </w:p>
        </w:tc>
        <w:tc>
          <w:tcPr>
            <w:tcW w:w="667" w:type="pct"/>
            <w:tcBorders>
              <w:bottom w:val="single" w:sz="4" w:space="0" w:color="auto"/>
            </w:tcBorders>
            <w:shd w:val="solid" w:color="000000" w:fill="000000"/>
          </w:tcPr>
          <w:p w14:paraId="057FBC20" w14:textId="66584FA1"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9"/>
                <w:fitText w:val="88" w:id="-1256557818"/>
                <w14:textFill>
                  <w14:solidFill>
                    <w14:srgbClr w14:val="000000">
                      <w14:alpha w14:val="100000"/>
                    </w14:srgbClr>
                  </w14:solidFill>
                </w14:textFill>
              </w:rPr>
              <w:t xml:space="preserve">　</w:t>
            </w:r>
            <w:r w:rsidRPr="00592818">
              <w:rPr>
                <w:rFonts w:ascii="Arial Narrow" w:hAnsi="Arial Narrow"/>
                <w:color w:val="000000"/>
                <w:w w:val="19"/>
                <w:fitText w:val="88" w:id="-1256557818"/>
                <w14:textFill>
                  <w14:solidFill>
                    <w14:srgbClr w14:val="000000">
                      <w14:alpha w14:val="100000"/>
                    </w14:srgbClr>
                  </w14:solidFill>
                </w14:textFill>
              </w:rPr>
              <w:t>|</w:t>
            </w:r>
            <w:r w:rsidRPr="00592818">
              <w:rPr>
                <w:rFonts w:ascii="Arial Narrow" w:hAnsi="Arial Narrow" w:hint="eastAsia"/>
                <w:color w:val="000000"/>
                <w:w w:val="19"/>
                <w:fitText w:val="88" w:id="-1256557818"/>
                <w14:textFill>
                  <w14:solidFill>
                    <w14:srgbClr w14:val="000000">
                      <w14:alpha w14:val="100000"/>
                    </w14:srgbClr>
                  </w14:solidFill>
                </w14:textFill>
              </w:rPr>
              <w:t xml:space="preserve">　</w:t>
            </w:r>
          </w:p>
        </w:tc>
      </w:tr>
      <w:tr w:rsidR="00592818" w:rsidRPr="00EA4167" w14:paraId="77B743B2" w14:textId="77777777" w:rsidTr="00592818">
        <w:tc>
          <w:tcPr>
            <w:tcW w:w="1612" w:type="pct"/>
          </w:tcPr>
          <w:p w14:paraId="6CE0B02A" w14:textId="77777777" w:rsidR="00EA4167" w:rsidRPr="00EA4167" w:rsidRDefault="00EA4167" w:rsidP="00367C94">
            <w:pPr>
              <w:spacing w:before="40" w:after="40"/>
              <w:rPr>
                <w:rFonts w:ascii="Arial Narrow" w:hAnsi="Arial Narrow"/>
              </w:rPr>
            </w:pPr>
            <w:r w:rsidRPr="00EA4167">
              <w:rPr>
                <w:rFonts w:ascii="Arial Narrow" w:hAnsi="Arial Narrow"/>
              </w:rPr>
              <w:t>Increased cost of PASCAL in the FMR population at 75% benefit</w:t>
            </w:r>
          </w:p>
        </w:tc>
        <w:tc>
          <w:tcPr>
            <w:tcW w:w="681" w:type="pct"/>
            <w:tcBorders>
              <w:bottom w:val="single" w:sz="4" w:space="0" w:color="auto"/>
            </w:tcBorders>
            <w:shd w:val="solid" w:color="000000" w:fill="000000"/>
          </w:tcPr>
          <w:p w14:paraId="02D33D43" w14:textId="57A8B3C0"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17"/>
                <w14:textFill>
                  <w14:solidFill>
                    <w14:srgbClr w14:val="000000">
                      <w14:alpha w14:val="100000"/>
                    </w14:srgbClr>
                  </w14:solidFill>
                </w14:textFill>
              </w:rPr>
              <w:t xml:space="preserve">　</w:t>
            </w:r>
            <w:r w:rsidRPr="00592818">
              <w:rPr>
                <w:rFonts w:ascii="Arial Narrow" w:hAnsi="Arial Narrow"/>
                <w:color w:val="000000"/>
                <w:w w:val="16"/>
                <w:fitText w:val="75" w:id="-1256557817"/>
                <w14:textFill>
                  <w14:solidFill>
                    <w14:srgbClr w14:val="000000">
                      <w14:alpha w14:val="100000"/>
                    </w14:srgbClr>
                  </w14:solidFill>
                </w14:textFill>
              </w:rPr>
              <w:t>|</w:t>
            </w:r>
            <w:r w:rsidRPr="00592818">
              <w:rPr>
                <w:rFonts w:ascii="Arial Narrow" w:hAnsi="Arial Narrow" w:hint="eastAsia"/>
                <w:color w:val="000000"/>
                <w:w w:val="16"/>
                <w:fitText w:val="75" w:id="-1256557817"/>
                <w14:textFill>
                  <w14:solidFill>
                    <w14:srgbClr w14:val="000000">
                      <w14:alpha w14:val="100000"/>
                    </w14:srgbClr>
                  </w14:solidFill>
                </w14:textFill>
              </w:rPr>
              <w:t xml:space="preserve">　</w:t>
            </w:r>
          </w:p>
        </w:tc>
        <w:tc>
          <w:tcPr>
            <w:tcW w:w="681" w:type="pct"/>
            <w:tcBorders>
              <w:bottom w:val="single" w:sz="4" w:space="0" w:color="auto"/>
            </w:tcBorders>
            <w:shd w:val="solid" w:color="000000" w:fill="000000"/>
          </w:tcPr>
          <w:p w14:paraId="7CE1EC82" w14:textId="0791D0A3"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16"/>
                <w14:textFill>
                  <w14:solidFill>
                    <w14:srgbClr w14:val="000000">
                      <w14:alpha w14:val="100000"/>
                    </w14:srgbClr>
                  </w14:solidFill>
                </w14:textFill>
              </w:rPr>
              <w:t xml:space="preserve">　</w:t>
            </w:r>
            <w:r w:rsidRPr="00592818">
              <w:rPr>
                <w:rFonts w:ascii="Arial Narrow" w:hAnsi="Arial Narrow"/>
                <w:color w:val="000000"/>
                <w:w w:val="16"/>
                <w:fitText w:val="75" w:id="-1256557816"/>
                <w14:textFill>
                  <w14:solidFill>
                    <w14:srgbClr w14:val="000000">
                      <w14:alpha w14:val="100000"/>
                    </w14:srgbClr>
                  </w14:solidFill>
                </w14:textFill>
              </w:rPr>
              <w:t>|</w:t>
            </w:r>
            <w:r w:rsidRPr="00592818">
              <w:rPr>
                <w:rFonts w:ascii="Arial Narrow" w:hAnsi="Arial Narrow" w:hint="eastAsia"/>
                <w:color w:val="000000"/>
                <w:w w:val="16"/>
                <w:fitText w:val="75" w:id="-1256557816"/>
                <w14:textFill>
                  <w14:solidFill>
                    <w14:srgbClr w14:val="000000">
                      <w14:alpha w14:val="100000"/>
                    </w14:srgbClr>
                  </w14:solidFill>
                </w14:textFill>
              </w:rPr>
              <w:t xml:space="preserve">　</w:t>
            </w:r>
          </w:p>
        </w:tc>
        <w:tc>
          <w:tcPr>
            <w:tcW w:w="681" w:type="pct"/>
            <w:tcBorders>
              <w:bottom w:val="single" w:sz="4" w:space="0" w:color="auto"/>
            </w:tcBorders>
            <w:shd w:val="solid" w:color="000000" w:fill="000000"/>
          </w:tcPr>
          <w:p w14:paraId="023B27C6" w14:textId="7A24FD0B"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15"/>
                <w14:textFill>
                  <w14:solidFill>
                    <w14:srgbClr w14:val="000000">
                      <w14:alpha w14:val="100000"/>
                    </w14:srgbClr>
                  </w14:solidFill>
                </w14:textFill>
              </w:rPr>
              <w:t xml:space="preserve">　</w:t>
            </w:r>
            <w:r w:rsidRPr="00592818">
              <w:rPr>
                <w:rFonts w:ascii="Arial Narrow" w:hAnsi="Arial Narrow"/>
                <w:color w:val="000000"/>
                <w:w w:val="16"/>
                <w:fitText w:val="75" w:id="-1256557815"/>
                <w14:textFill>
                  <w14:solidFill>
                    <w14:srgbClr w14:val="000000">
                      <w14:alpha w14:val="100000"/>
                    </w14:srgbClr>
                  </w14:solidFill>
                </w14:textFill>
              </w:rPr>
              <w:t>|</w:t>
            </w:r>
            <w:r w:rsidRPr="00592818">
              <w:rPr>
                <w:rFonts w:ascii="Arial Narrow" w:hAnsi="Arial Narrow" w:hint="eastAsia"/>
                <w:color w:val="000000"/>
                <w:w w:val="16"/>
                <w:fitText w:val="75" w:id="-1256557815"/>
                <w14:textFill>
                  <w14:solidFill>
                    <w14:srgbClr w14:val="000000">
                      <w14:alpha w14:val="100000"/>
                    </w14:srgbClr>
                  </w14:solidFill>
                </w14:textFill>
              </w:rPr>
              <w:t xml:space="preserve">　</w:t>
            </w:r>
          </w:p>
        </w:tc>
        <w:tc>
          <w:tcPr>
            <w:tcW w:w="678" w:type="pct"/>
            <w:tcBorders>
              <w:bottom w:val="single" w:sz="4" w:space="0" w:color="auto"/>
            </w:tcBorders>
            <w:shd w:val="solid" w:color="000000" w:fill="000000"/>
          </w:tcPr>
          <w:p w14:paraId="32719ABE" w14:textId="5DAADF1A"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9"/>
                <w:fitText w:val="87" w:id="-1256557814"/>
                <w14:textFill>
                  <w14:solidFill>
                    <w14:srgbClr w14:val="000000">
                      <w14:alpha w14:val="100000"/>
                    </w14:srgbClr>
                  </w14:solidFill>
                </w14:textFill>
              </w:rPr>
              <w:t xml:space="preserve">　</w:t>
            </w:r>
            <w:r w:rsidRPr="00592818">
              <w:rPr>
                <w:rFonts w:ascii="Arial Narrow" w:hAnsi="Arial Narrow"/>
                <w:color w:val="000000"/>
                <w:w w:val="19"/>
                <w:fitText w:val="87" w:id="-1256557814"/>
                <w14:textFill>
                  <w14:solidFill>
                    <w14:srgbClr w14:val="000000">
                      <w14:alpha w14:val="100000"/>
                    </w14:srgbClr>
                  </w14:solidFill>
                </w14:textFill>
              </w:rPr>
              <w:t>|</w:t>
            </w:r>
            <w:r w:rsidRPr="00592818">
              <w:rPr>
                <w:rFonts w:ascii="Arial Narrow" w:hAnsi="Arial Narrow" w:hint="eastAsia"/>
                <w:color w:val="000000"/>
                <w:w w:val="19"/>
                <w:fitText w:val="87" w:id="-1256557814"/>
                <w14:textFill>
                  <w14:solidFill>
                    <w14:srgbClr w14:val="000000">
                      <w14:alpha w14:val="100000"/>
                    </w14:srgbClr>
                  </w14:solidFill>
                </w14:textFill>
              </w:rPr>
              <w:t xml:space="preserve">　</w:t>
            </w:r>
          </w:p>
        </w:tc>
        <w:tc>
          <w:tcPr>
            <w:tcW w:w="667" w:type="pct"/>
            <w:tcBorders>
              <w:bottom w:val="single" w:sz="4" w:space="0" w:color="auto"/>
            </w:tcBorders>
            <w:shd w:val="solid" w:color="000000" w:fill="000000"/>
          </w:tcPr>
          <w:p w14:paraId="4B4A2D43" w14:textId="7131EBA6"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9"/>
                <w:fitText w:val="88" w:id="-1256557813"/>
                <w14:textFill>
                  <w14:solidFill>
                    <w14:srgbClr w14:val="000000">
                      <w14:alpha w14:val="100000"/>
                    </w14:srgbClr>
                  </w14:solidFill>
                </w14:textFill>
              </w:rPr>
              <w:t xml:space="preserve">　</w:t>
            </w:r>
            <w:r w:rsidRPr="00592818">
              <w:rPr>
                <w:rFonts w:ascii="Arial Narrow" w:hAnsi="Arial Narrow"/>
                <w:color w:val="000000"/>
                <w:w w:val="19"/>
                <w:fitText w:val="88" w:id="-1256557813"/>
                <w14:textFill>
                  <w14:solidFill>
                    <w14:srgbClr w14:val="000000">
                      <w14:alpha w14:val="100000"/>
                    </w14:srgbClr>
                  </w14:solidFill>
                </w14:textFill>
              </w:rPr>
              <w:t>|</w:t>
            </w:r>
            <w:r w:rsidRPr="00592818">
              <w:rPr>
                <w:rFonts w:ascii="Arial Narrow" w:hAnsi="Arial Narrow" w:hint="eastAsia"/>
                <w:color w:val="000000"/>
                <w:w w:val="19"/>
                <w:fitText w:val="88" w:id="-1256557813"/>
                <w14:textFill>
                  <w14:solidFill>
                    <w14:srgbClr w14:val="000000">
                      <w14:alpha w14:val="100000"/>
                    </w14:srgbClr>
                  </w14:solidFill>
                </w14:textFill>
              </w:rPr>
              <w:t xml:space="preserve">　</w:t>
            </w:r>
          </w:p>
        </w:tc>
      </w:tr>
      <w:tr w:rsidR="00592818" w:rsidRPr="00EA4167" w14:paraId="77936B65" w14:textId="77777777" w:rsidTr="00592818">
        <w:tc>
          <w:tcPr>
            <w:tcW w:w="1612" w:type="pct"/>
          </w:tcPr>
          <w:p w14:paraId="4CACF422" w14:textId="77777777" w:rsidR="00EA4167" w:rsidRPr="00091167" w:rsidRDefault="00EA4167" w:rsidP="00367C94">
            <w:pPr>
              <w:spacing w:before="40" w:after="40"/>
              <w:rPr>
                <w:rFonts w:ascii="Arial Narrow" w:hAnsi="Arial Narrow"/>
                <w:i/>
                <w:iCs/>
              </w:rPr>
            </w:pPr>
            <w:r w:rsidRPr="00091167">
              <w:rPr>
                <w:rFonts w:ascii="Arial Narrow" w:hAnsi="Arial Narrow"/>
                <w:i/>
                <w:iCs/>
              </w:rPr>
              <w:t>Update to reflect new schedule fee</w:t>
            </w:r>
          </w:p>
        </w:tc>
        <w:tc>
          <w:tcPr>
            <w:tcW w:w="681" w:type="pct"/>
            <w:tcBorders>
              <w:bottom w:val="single" w:sz="4" w:space="0" w:color="auto"/>
            </w:tcBorders>
            <w:shd w:val="solid" w:color="000000" w:fill="000000"/>
          </w:tcPr>
          <w:p w14:paraId="221E888E" w14:textId="25B1EE24" w:rsidR="00EA4167" w:rsidRPr="000B0F56" w:rsidRDefault="00592818" w:rsidP="00367C94">
            <w:pPr>
              <w:spacing w:before="40" w:after="40"/>
              <w:jc w:val="center"/>
              <w:rPr>
                <w:rFonts w:ascii="Arial Narrow" w:hAnsi="Arial Narrow"/>
                <w:i/>
                <w:iCs/>
                <w:highlight w:val="yellow"/>
              </w:rPr>
            </w:pPr>
            <w:r w:rsidRPr="00592818">
              <w:rPr>
                <w:rFonts w:ascii="Arial Narrow" w:hAnsi="Arial Narrow" w:hint="eastAsia"/>
                <w:i/>
                <w:iCs/>
                <w:color w:val="000000"/>
                <w:w w:val="16"/>
                <w:fitText w:val="75" w:id="-1256557812"/>
                <w14:textFill>
                  <w14:solidFill>
                    <w14:srgbClr w14:val="000000">
                      <w14:alpha w14:val="100000"/>
                    </w14:srgbClr>
                  </w14:solidFill>
                </w14:textFill>
              </w:rPr>
              <w:t xml:space="preserve">　</w:t>
            </w:r>
            <w:r w:rsidRPr="00592818">
              <w:rPr>
                <w:rFonts w:ascii="Arial Narrow" w:hAnsi="Arial Narrow"/>
                <w:i/>
                <w:iCs/>
                <w:color w:val="000000"/>
                <w:w w:val="16"/>
                <w:fitText w:val="75" w:id="-1256557812"/>
                <w14:textFill>
                  <w14:solidFill>
                    <w14:srgbClr w14:val="000000">
                      <w14:alpha w14:val="100000"/>
                    </w14:srgbClr>
                  </w14:solidFill>
                </w14:textFill>
              </w:rPr>
              <w:t>|</w:t>
            </w:r>
            <w:r w:rsidRPr="00592818">
              <w:rPr>
                <w:rFonts w:ascii="Arial Narrow" w:hAnsi="Arial Narrow" w:hint="eastAsia"/>
                <w:i/>
                <w:iCs/>
                <w:color w:val="000000"/>
                <w:w w:val="16"/>
                <w:fitText w:val="75" w:id="-1256557812"/>
                <w14:textFill>
                  <w14:solidFill>
                    <w14:srgbClr w14:val="000000">
                      <w14:alpha w14:val="100000"/>
                    </w14:srgbClr>
                  </w14:solidFill>
                </w14:textFill>
              </w:rPr>
              <w:t xml:space="preserve">　</w:t>
            </w:r>
          </w:p>
        </w:tc>
        <w:tc>
          <w:tcPr>
            <w:tcW w:w="681" w:type="pct"/>
            <w:tcBorders>
              <w:bottom w:val="single" w:sz="4" w:space="0" w:color="auto"/>
            </w:tcBorders>
            <w:shd w:val="solid" w:color="000000" w:fill="000000"/>
          </w:tcPr>
          <w:p w14:paraId="08697F03" w14:textId="6FEC5ABA" w:rsidR="00EA4167" w:rsidRPr="000B0F56" w:rsidRDefault="00592818" w:rsidP="00367C94">
            <w:pPr>
              <w:spacing w:before="40" w:after="40"/>
              <w:jc w:val="center"/>
              <w:rPr>
                <w:rFonts w:ascii="Arial Narrow" w:hAnsi="Arial Narrow"/>
                <w:i/>
                <w:iCs/>
                <w:highlight w:val="yellow"/>
              </w:rPr>
            </w:pPr>
            <w:r w:rsidRPr="00592818">
              <w:rPr>
                <w:rFonts w:ascii="Arial Narrow" w:hAnsi="Arial Narrow" w:hint="eastAsia"/>
                <w:i/>
                <w:iCs/>
                <w:color w:val="000000"/>
                <w:w w:val="16"/>
                <w:fitText w:val="75" w:id="-1256557811"/>
                <w14:textFill>
                  <w14:solidFill>
                    <w14:srgbClr w14:val="000000">
                      <w14:alpha w14:val="100000"/>
                    </w14:srgbClr>
                  </w14:solidFill>
                </w14:textFill>
              </w:rPr>
              <w:t xml:space="preserve">　</w:t>
            </w:r>
            <w:r w:rsidRPr="00592818">
              <w:rPr>
                <w:rFonts w:ascii="Arial Narrow" w:hAnsi="Arial Narrow"/>
                <w:i/>
                <w:iCs/>
                <w:color w:val="000000"/>
                <w:w w:val="16"/>
                <w:fitText w:val="75" w:id="-1256557811"/>
                <w14:textFill>
                  <w14:solidFill>
                    <w14:srgbClr w14:val="000000">
                      <w14:alpha w14:val="100000"/>
                    </w14:srgbClr>
                  </w14:solidFill>
                </w14:textFill>
              </w:rPr>
              <w:t>|</w:t>
            </w:r>
            <w:r w:rsidRPr="00592818">
              <w:rPr>
                <w:rFonts w:ascii="Arial Narrow" w:hAnsi="Arial Narrow" w:hint="eastAsia"/>
                <w:i/>
                <w:iCs/>
                <w:color w:val="000000"/>
                <w:w w:val="16"/>
                <w:fitText w:val="75" w:id="-1256557811"/>
                <w14:textFill>
                  <w14:solidFill>
                    <w14:srgbClr w14:val="000000">
                      <w14:alpha w14:val="100000"/>
                    </w14:srgbClr>
                  </w14:solidFill>
                </w14:textFill>
              </w:rPr>
              <w:t xml:space="preserve">　</w:t>
            </w:r>
          </w:p>
        </w:tc>
        <w:tc>
          <w:tcPr>
            <w:tcW w:w="681" w:type="pct"/>
            <w:tcBorders>
              <w:bottom w:val="single" w:sz="4" w:space="0" w:color="auto"/>
            </w:tcBorders>
            <w:shd w:val="solid" w:color="000000" w:fill="000000"/>
          </w:tcPr>
          <w:p w14:paraId="523A5E3F" w14:textId="7A9E08A4" w:rsidR="00EA4167" w:rsidRPr="000B0F56" w:rsidRDefault="00592818" w:rsidP="00367C94">
            <w:pPr>
              <w:spacing w:before="40" w:after="40"/>
              <w:jc w:val="center"/>
              <w:rPr>
                <w:rFonts w:ascii="Arial Narrow" w:hAnsi="Arial Narrow"/>
                <w:i/>
                <w:iCs/>
                <w:highlight w:val="yellow"/>
              </w:rPr>
            </w:pPr>
            <w:r w:rsidRPr="00592818">
              <w:rPr>
                <w:rFonts w:ascii="Arial Narrow" w:hAnsi="Arial Narrow" w:hint="eastAsia"/>
                <w:i/>
                <w:iCs/>
                <w:color w:val="000000"/>
                <w:w w:val="16"/>
                <w:fitText w:val="75" w:id="-1256557810"/>
                <w14:textFill>
                  <w14:solidFill>
                    <w14:srgbClr w14:val="000000">
                      <w14:alpha w14:val="100000"/>
                    </w14:srgbClr>
                  </w14:solidFill>
                </w14:textFill>
              </w:rPr>
              <w:t xml:space="preserve">　</w:t>
            </w:r>
            <w:r w:rsidRPr="00592818">
              <w:rPr>
                <w:rFonts w:ascii="Arial Narrow" w:hAnsi="Arial Narrow"/>
                <w:i/>
                <w:iCs/>
                <w:color w:val="000000"/>
                <w:w w:val="16"/>
                <w:fitText w:val="75" w:id="-1256557810"/>
                <w14:textFill>
                  <w14:solidFill>
                    <w14:srgbClr w14:val="000000">
                      <w14:alpha w14:val="100000"/>
                    </w14:srgbClr>
                  </w14:solidFill>
                </w14:textFill>
              </w:rPr>
              <w:t>|</w:t>
            </w:r>
            <w:r w:rsidRPr="00592818">
              <w:rPr>
                <w:rFonts w:ascii="Arial Narrow" w:hAnsi="Arial Narrow" w:hint="eastAsia"/>
                <w:i/>
                <w:iCs/>
                <w:color w:val="000000"/>
                <w:w w:val="16"/>
                <w:fitText w:val="75" w:id="-1256557810"/>
                <w14:textFill>
                  <w14:solidFill>
                    <w14:srgbClr w14:val="000000">
                      <w14:alpha w14:val="100000"/>
                    </w14:srgbClr>
                  </w14:solidFill>
                </w14:textFill>
              </w:rPr>
              <w:t xml:space="preserve">　</w:t>
            </w:r>
          </w:p>
        </w:tc>
        <w:tc>
          <w:tcPr>
            <w:tcW w:w="678" w:type="pct"/>
            <w:tcBorders>
              <w:bottom w:val="single" w:sz="4" w:space="0" w:color="auto"/>
            </w:tcBorders>
            <w:shd w:val="solid" w:color="000000" w:fill="000000"/>
          </w:tcPr>
          <w:p w14:paraId="243E6DA8" w14:textId="1B2A86E5" w:rsidR="00EA4167" w:rsidRPr="000B0F56" w:rsidRDefault="00592818" w:rsidP="00367C94">
            <w:pPr>
              <w:spacing w:before="40" w:after="40"/>
              <w:jc w:val="center"/>
              <w:rPr>
                <w:rFonts w:ascii="Arial Narrow" w:hAnsi="Arial Narrow"/>
                <w:i/>
                <w:iCs/>
                <w:highlight w:val="yellow"/>
              </w:rPr>
            </w:pPr>
            <w:r w:rsidRPr="00592818">
              <w:rPr>
                <w:rFonts w:ascii="Arial Narrow" w:hAnsi="Arial Narrow" w:hint="eastAsia"/>
                <w:i/>
                <w:iCs/>
                <w:color w:val="000000"/>
                <w:w w:val="19"/>
                <w:fitText w:val="87" w:id="-1256557809"/>
                <w14:textFill>
                  <w14:solidFill>
                    <w14:srgbClr w14:val="000000">
                      <w14:alpha w14:val="100000"/>
                    </w14:srgbClr>
                  </w14:solidFill>
                </w14:textFill>
              </w:rPr>
              <w:t xml:space="preserve">　</w:t>
            </w:r>
            <w:r w:rsidRPr="00592818">
              <w:rPr>
                <w:rFonts w:ascii="Arial Narrow" w:hAnsi="Arial Narrow"/>
                <w:i/>
                <w:iCs/>
                <w:color w:val="000000"/>
                <w:w w:val="19"/>
                <w:fitText w:val="87" w:id="-1256557809"/>
                <w14:textFill>
                  <w14:solidFill>
                    <w14:srgbClr w14:val="000000">
                      <w14:alpha w14:val="100000"/>
                    </w14:srgbClr>
                  </w14:solidFill>
                </w14:textFill>
              </w:rPr>
              <w:t>|</w:t>
            </w:r>
            <w:r w:rsidRPr="00592818">
              <w:rPr>
                <w:rFonts w:ascii="Arial Narrow" w:hAnsi="Arial Narrow" w:hint="eastAsia"/>
                <w:i/>
                <w:iCs/>
                <w:color w:val="000000"/>
                <w:w w:val="19"/>
                <w:fitText w:val="87" w:id="-1256557809"/>
                <w14:textFill>
                  <w14:solidFill>
                    <w14:srgbClr w14:val="000000">
                      <w14:alpha w14:val="100000"/>
                    </w14:srgbClr>
                  </w14:solidFill>
                </w14:textFill>
              </w:rPr>
              <w:t xml:space="preserve">　</w:t>
            </w:r>
          </w:p>
        </w:tc>
        <w:tc>
          <w:tcPr>
            <w:tcW w:w="667" w:type="pct"/>
            <w:tcBorders>
              <w:bottom w:val="single" w:sz="4" w:space="0" w:color="auto"/>
            </w:tcBorders>
            <w:shd w:val="solid" w:color="000000" w:fill="000000"/>
          </w:tcPr>
          <w:p w14:paraId="0A01868C" w14:textId="61E4275D" w:rsidR="00EA4167" w:rsidRPr="000B0F56" w:rsidRDefault="00592818" w:rsidP="00367C94">
            <w:pPr>
              <w:spacing w:before="40" w:after="40"/>
              <w:jc w:val="center"/>
              <w:rPr>
                <w:rFonts w:ascii="Arial Narrow" w:hAnsi="Arial Narrow"/>
                <w:i/>
                <w:iCs/>
                <w:highlight w:val="yellow"/>
              </w:rPr>
            </w:pPr>
            <w:r w:rsidRPr="00592818">
              <w:rPr>
                <w:rFonts w:ascii="Arial Narrow" w:hAnsi="Arial Narrow" w:hint="eastAsia"/>
                <w:i/>
                <w:iCs/>
                <w:color w:val="000000"/>
                <w:w w:val="19"/>
                <w:fitText w:val="88" w:id="-1256557808"/>
                <w14:textFill>
                  <w14:solidFill>
                    <w14:srgbClr w14:val="000000">
                      <w14:alpha w14:val="100000"/>
                    </w14:srgbClr>
                  </w14:solidFill>
                </w14:textFill>
              </w:rPr>
              <w:t xml:space="preserve">　</w:t>
            </w:r>
            <w:r w:rsidRPr="00592818">
              <w:rPr>
                <w:rFonts w:ascii="Arial Narrow" w:hAnsi="Arial Narrow"/>
                <w:i/>
                <w:iCs/>
                <w:color w:val="000000"/>
                <w:w w:val="19"/>
                <w:fitText w:val="88" w:id="-1256557808"/>
                <w14:textFill>
                  <w14:solidFill>
                    <w14:srgbClr w14:val="000000">
                      <w14:alpha w14:val="100000"/>
                    </w14:srgbClr>
                  </w14:solidFill>
                </w14:textFill>
              </w:rPr>
              <w:t>|</w:t>
            </w:r>
            <w:r w:rsidRPr="00592818">
              <w:rPr>
                <w:rFonts w:ascii="Arial Narrow" w:hAnsi="Arial Narrow" w:hint="eastAsia"/>
                <w:i/>
                <w:iCs/>
                <w:color w:val="000000"/>
                <w:w w:val="19"/>
                <w:fitText w:val="88" w:id="-1256557808"/>
                <w14:textFill>
                  <w14:solidFill>
                    <w14:srgbClr w14:val="000000">
                      <w14:alpha w14:val="100000"/>
                    </w14:srgbClr>
                  </w14:solidFill>
                </w14:textFill>
              </w:rPr>
              <w:t xml:space="preserve">　</w:t>
            </w:r>
          </w:p>
        </w:tc>
      </w:tr>
      <w:tr w:rsidR="00592818" w:rsidRPr="00EA4167" w14:paraId="51DE0A26" w14:textId="77777777" w:rsidTr="00592818">
        <w:tc>
          <w:tcPr>
            <w:tcW w:w="1612" w:type="pct"/>
          </w:tcPr>
          <w:p w14:paraId="6D8BE6EB" w14:textId="77777777" w:rsidR="00EA4167" w:rsidRPr="00EA4167" w:rsidRDefault="00EA4167" w:rsidP="00367C94">
            <w:pPr>
              <w:spacing w:before="40" w:after="40"/>
              <w:rPr>
                <w:rFonts w:ascii="Arial Narrow" w:hAnsi="Arial Narrow"/>
              </w:rPr>
            </w:pPr>
            <w:r w:rsidRPr="00EA4167">
              <w:rPr>
                <w:rFonts w:ascii="Arial Narrow" w:hAnsi="Arial Narrow"/>
              </w:rPr>
              <w:t xml:space="preserve">Decreased cost of </w:t>
            </w:r>
            <w:proofErr w:type="spellStart"/>
            <w:r w:rsidRPr="00EA4167">
              <w:rPr>
                <w:rFonts w:ascii="Arial Narrow" w:hAnsi="Arial Narrow"/>
              </w:rPr>
              <w:t>MitraClip</w:t>
            </w:r>
            <w:proofErr w:type="spellEnd"/>
            <w:r w:rsidRPr="00EA4167">
              <w:rPr>
                <w:rFonts w:ascii="Arial Narrow" w:hAnsi="Arial Narrow"/>
              </w:rPr>
              <w:t xml:space="preserve"> in the FMR population at 75% benefit</w:t>
            </w:r>
          </w:p>
        </w:tc>
        <w:tc>
          <w:tcPr>
            <w:tcW w:w="681" w:type="pct"/>
            <w:tcBorders>
              <w:bottom w:val="single" w:sz="4" w:space="0" w:color="auto"/>
            </w:tcBorders>
            <w:shd w:val="solid" w:color="000000" w:fill="000000"/>
          </w:tcPr>
          <w:p w14:paraId="2B26AE7F" w14:textId="63A0F575"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24"/>
                <w14:textFill>
                  <w14:solidFill>
                    <w14:srgbClr w14:val="000000">
                      <w14:alpha w14:val="100000"/>
                    </w14:srgbClr>
                  </w14:solidFill>
                </w14:textFill>
              </w:rPr>
              <w:t xml:space="preserve">　</w:t>
            </w:r>
            <w:r w:rsidRPr="00592818">
              <w:rPr>
                <w:rFonts w:ascii="Arial Narrow" w:hAnsi="Arial Narrow"/>
                <w:color w:val="000000"/>
                <w:w w:val="16"/>
                <w:fitText w:val="75" w:id="-1256557824"/>
                <w14:textFill>
                  <w14:solidFill>
                    <w14:srgbClr w14:val="000000">
                      <w14:alpha w14:val="100000"/>
                    </w14:srgbClr>
                  </w14:solidFill>
                </w14:textFill>
              </w:rPr>
              <w:t>|</w:t>
            </w:r>
            <w:r w:rsidRPr="00592818">
              <w:rPr>
                <w:rFonts w:ascii="Arial Narrow" w:hAnsi="Arial Narrow" w:hint="eastAsia"/>
                <w:color w:val="000000"/>
                <w:w w:val="16"/>
                <w:fitText w:val="75" w:id="-1256557824"/>
                <w14:textFill>
                  <w14:solidFill>
                    <w14:srgbClr w14:val="000000">
                      <w14:alpha w14:val="100000"/>
                    </w14:srgbClr>
                  </w14:solidFill>
                </w14:textFill>
              </w:rPr>
              <w:t xml:space="preserve">　</w:t>
            </w:r>
          </w:p>
        </w:tc>
        <w:tc>
          <w:tcPr>
            <w:tcW w:w="681" w:type="pct"/>
            <w:tcBorders>
              <w:bottom w:val="single" w:sz="4" w:space="0" w:color="auto"/>
            </w:tcBorders>
            <w:shd w:val="solid" w:color="000000" w:fill="000000"/>
          </w:tcPr>
          <w:p w14:paraId="060111FC" w14:textId="47D953A2"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23"/>
                <w14:textFill>
                  <w14:solidFill>
                    <w14:srgbClr w14:val="000000">
                      <w14:alpha w14:val="100000"/>
                    </w14:srgbClr>
                  </w14:solidFill>
                </w14:textFill>
              </w:rPr>
              <w:t xml:space="preserve">　</w:t>
            </w:r>
            <w:r w:rsidRPr="00592818">
              <w:rPr>
                <w:rFonts w:ascii="Arial Narrow" w:hAnsi="Arial Narrow"/>
                <w:color w:val="000000"/>
                <w:w w:val="16"/>
                <w:fitText w:val="75" w:id="-1256557823"/>
                <w14:textFill>
                  <w14:solidFill>
                    <w14:srgbClr w14:val="000000">
                      <w14:alpha w14:val="100000"/>
                    </w14:srgbClr>
                  </w14:solidFill>
                </w14:textFill>
              </w:rPr>
              <w:t>|</w:t>
            </w:r>
            <w:r w:rsidRPr="00592818">
              <w:rPr>
                <w:rFonts w:ascii="Arial Narrow" w:hAnsi="Arial Narrow" w:hint="eastAsia"/>
                <w:color w:val="000000"/>
                <w:w w:val="16"/>
                <w:fitText w:val="75" w:id="-1256557823"/>
                <w14:textFill>
                  <w14:solidFill>
                    <w14:srgbClr w14:val="000000">
                      <w14:alpha w14:val="100000"/>
                    </w14:srgbClr>
                  </w14:solidFill>
                </w14:textFill>
              </w:rPr>
              <w:t xml:space="preserve">　</w:t>
            </w:r>
          </w:p>
        </w:tc>
        <w:tc>
          <w:tcPr>
            <w:tcW w:w="681" w:type="pct"/>
            <w:tcBorders>
              <w:bottom w:val="single" w:sz="4" w:space="0" w:color="auto"/>
            </w:tcBorders>
            <w:shd w:val="solid" w:color="000000" w:fill="000000"/>
          </w:tcPr>
          <w:p w14:paraId="721BADD6" w14:textId="72E6F521"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22"/>
                <w14:textFill>
                  <w14:solidFill>
                    <w14:srgbClr w14:val="000000">
                      <w14:alpha w14:val="100000"/>
                    </w14:srgbClr>
                  </w14:solidFill>
                </w14:textFill>
              </w:rPr>
              <w:t xml:space="preserve">　</w:t>
            </w:r>
            <w:r w:rsidRPr="00592818">
              <w:rPr>
                <w:rFonts w:ascii="Arial Narrow" w:hAnsi="Arial Narrow"/>
                <w:color w:val="000000"/>
                <w:w w:val="16"/>
                <w:fitText w:val="75" w:id="-1256557822"/>
                <w14:textFill>
                  <w14:solidFill>
                    <w14:srgbClr w14:val="000000">
                      <w14:alpha w14:val="100000"/>
                    </w14:srgbClr>
                  </w14:solidFill>
                </w14:textFill>
              </w:rPr>
              <w:t>|</w:t>
            </w:r>
            <w:r w:rsidRPr="00592818">
              <w:rPr>
                <w:rFonts w:ascii="Arial Narrow" w:hAnsi="Arial Narrow" w:hint="eastAsia"/>
                <w:color w:val="000000"/>
                <w:w w:val="16"/>
                <w:fitText w:val="75" w:id="-1256557822"/>
                <w14:textFill>
                  <w14:solidFill>
                    <w14:srgbClr w14:val="000000">
                      <w14:alpha w14:val="100000"/>
                    </w14:srgbClr>
                  </w14:solidFill>
                </w14:textFill>
              </w:rPr>
              <w:t xml:space="preserve">　</w:t>
            </w:r>
          </w:p>
        </w:tc>
        <w:tc>
          <w:tcPr>
            <w:tcW w:w="678" w:type="pct"/>
            <w:tcBorders>
              <w:bottom w:val="single" w:sz="4" w:space="0" w:color="auto"/>
            </w:tcBorders>
            <w:shd w:val="solid" w:color="000000" w:fill="000000"/>
          </w:tcPr>
          <w:p w14:paraId="2AE8DAE9" w14:textId="00E0287B"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9"/>
                <w:fitText w:val="87" w:id="-1256557821"/>
                <w14:textFill>
                  <w14:solidFill>
                    <w14:srgbClr w14:val="000000">
                      <w14:alpha w14:val="100000"/>
                    </w14:srgbClr>
                  </w14:solidFill>
                </w14:textFill>
              </w:rPr>
              <w:t xml:space="preserve">　</w:t>
            </w:r>
            <w:r w:rsidRPr="00592818">
              <w:rPr>
                <w:rFonts w:ascii="Arial Narrow" w:hAnsi="Arial Narrow"/>
                <w:color w:val="000000"/>
                <w:w w:val="19"/>
                <w:fitText w:val="87" w:id="-1256557821"/>
                <w14:textFill>
                  <w14:solidFill>
                    <w14:srgbClr w14:val="000000">
                      <w14:alpha w14:val="100000"/>
                    </w14:srgbClr>
                  </w14:solidFill>
                </w14:textFill>
              </w:rPr>
              <w:t>|</w:t>
            </w:r>
            <w:r w:rsidRPr="00592818">
              <w:rPr>
                <w:rFonts w:ascii="Arial Narrow" w:hAnsi="Arial Narrow" w:hint="eastAsia"/>
                <w:color w:val="000000"/>
                <w:w w:val="19"/>
                <w:fitText w:val="87" w:id="-1256557821"/>
                <w14:textFill>
                  <w14:solidFill>
                    <w14:srgbClr w14:val="000000">
                      <w14:alpha w14:val="100000"/>
                    </w14:srgbClr>
                  </w14:solidFill>
                </w14:textFill>
              </w:rPr>
              <w:t xml:space="preserve">　</w:t>
            </w:r>
          </w:p>
        </w:tc>
        <w:tc>
          <w:tcPr>
            <w:tcW w:w="667" w:type="pct"/>
            <w:tcBorders>
              <w:bottom w:val="single" w:sz="4" w:space="0" w:color="auto"/>
            </w:tcBorders>
            <w:shd w:val="solid" w:color="000000" w:fill="000000"/>
          </w:tcPr>
          <w:p w14:paraId="4222F356" w14:textId="66196A77"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9"/>
                <w:fitText w:val="88" w:id="-1256557820"/>
                <w14:textFill>
                  <w14:solidFill>
                    <w14:srgbClr w14:val="000000">
                      <w14:alpha w14:val="100000"/>
                    </w14:srgbClr>
                  </w14:solidFill>
                </w14:textFill>
              </w:rPr>
              <w:t xml:space="preserve">　</w:t>
            </w:r>
            <w:r w:rsidRPr="00592818">
              <w:rPr>
                <w:rFonts w:ascii="Arial Narrow" w:hAnsi="Arial Narrow"/>
                <w:color w:val="000000"/>
                <w:w w:val="19"/>
                <w:fitText w:val="88" w:id="-1256557820"/>
                <w14:textFill>
                  <w14:solidFill>
                    <w14:srgbClr w14:val="000000">
                      <w14:alpha w14:val="100000"/>
                    </w14:srgbClr>
                  </w14:solidFill>
                </w14:textFill>
              </w:rPr>
              <w:t>|</w:t>
            </w:r>
            <w:r w:rsidRPr="00592818">
              <w:rPr>
                <w:rFonts w:ascii="Arial Narrow" w:hAnsi="Arial Narrow" w:hint="eastAsia"/>
                <w:color w:val="000000"/>
                <w:w w:val="19"/>
                <w:fitText w:val="88" w:id="-1256557820"/>
                <w14:textFill>
                  <w14:solidFill>
                    <w14:srgbClr w14:val="000000">
                      <w14:alpha w14:val="100000"/>
                    </w14:srgbClr>
                  </w14:solidFill>
                </w14:textFill>
              </w:rPr>
              <w:t xml:space="preserve">　</w:t>
            </w:r>
          </w:p>
        </w:tc>
      </w:tr>
      <w:tr w:rsidR="00592818" w:rsidRPr="00EA4167" w14:paraId="3BDEB4E7" w14:textId="77777777" w:rsidTr="00592818">
        <w:tc>
          <w:tcPr>
            <w:tcW w:w="1612" w:type="pct"/>
          </w:tcPr>
          <w:p w14:paraId="4E3840D3" w14:textId="77777777" w:rsidR="00EA4167" w:rsidRPr="00091167" w:rsidRDefault="00EA4167" w:rsidP="00367C94">
            <w:pPr>
              <w:spacing w:before="40" w:after="40"/>
              <w:rPr>
                <w:rFonts w:ascii="Arial Narrow" w:hAnsi="Arial Narrow"/>
                <w:i/>
                <w:iCs/>
              </w:rPr>
            </w:pPr>
            <w:r w:rsidRPr="00091167">
              <w:rPr>
                <w:rFonts w:ascii="Arial Narrow" w:hAnsi="Arial Narrow"/>
                <w:i/>
                <w:iCs/>
              </w:rPr>
              <w:t>Update to reflect new schedule fee</w:t>
            </w:r>
          </w:p>
        </w:tc>
        <w:tc>
          <w:tcPr>
            <w:tcW w:w="681" w:type="pct"/>
            <w:tcBorders>
              <w:bottom w:val="single" w:sz="4" w:space="0" w:color="auto"/>
            </w:tcBorders>
            <w:shd w:val="solid" w:color="000000" w:fill="000000"/>
          </w:tcPr>
          <w:p w14:paraId="5F1BC381" w14:textId="428C36A4" w:rsidR="00EA4167" w:rsidRPr="000B0F56" w:rsidRDefault="00592818" w:rsidP="00367C94">
            <w:pPr>
              <w:spacing w:before="40" w:after="40"/>
              <w:jc w:val="center"/>
              <w:rPr>
                <w:rFonts w:ascii="Arial Narrow" w:hAnsi="Arial Narrow"/>
                <w:i/>
                <w:iCs/>
                <w:highlight w:val="yellow"/>
              </w:rPr>
            </w:pPr>
            <w:r w:rsidRPr="00592818">
              <w:rPr>
                <w:rFonts w:ascii="Arial Narrow" w:hAnsi="Arial Narrow" w:hint="eastAsia"/>
                <w:i/>
                <w:iCs/>
                <w:color w:val="000000"/>
                <w:w w:val="16"/>
                <w:fitText w:val="75" w:id="-1256557819"/>
                <w14:textFill>
                  <w14:solidFill>
                    <w14:srgbClr w14:val="000000">
                      <w14:alpha w14:val="100000"/>
                    </w14:srgbClr>
                  </w14:solidFill>
                </w14:textFill>
              </w:rPr>
              <w:t xml:space="preserve">　</w:t>
            </w:r>
            <w:r w:rsidRPr="00592818">
              <w:rPr>
                <w:rFonts w:ascii="Arial Narrow" w:hAnsi="Arial Narrow"/>
                <w:i/>
                <w:iCs/>
                <w:color w:val="000000"/>
                <w:w w:val="16"/>
                <w:fitText w:val="75" w:id="-1256557819"/>
                <w14:textFill>
                  <w14:solidFill>
                    <w14:srgbClr w14:val="000000">
                      <w14:alpha w14:val="100000"/>
                    </w14:srgbClr>
                  </w14:solidFill>
                </w14:textFill>
              </w:rPr>
              <w:t>|</w:t>
            </w:r>
            <w:r w:rsidRPr="00592818">
              <w:rPr>
                <w:rFonts w:ascii="Arial Narrow" w:hAnsi="Arial Narrow" w:hint="eastAsia"/>
                <w:i/>
                <w:iCs/>
                <w:color w:val="000000"/>
                <w:w w:val="16"/>
                <w:fitText w:val="75" w:id="-1256557819"/>
                <w14:textFill>
                  <w14:solidFill>
                    <w14:srgbClr w14:val="000000">
                      <w14:alpha w14:val="100000"/>
                    </w14:srgbClr>
                  </w14:solidFill>
                </w14:textFill>
              </w:rPr>
              <w:t xml:space="preserve">　</w:t>
            </w:r>
          </w:p>
        </w:tc>
        <w:tc>
          <w:tcPr>
            <w:tcW w:w="681" w:type="pct"/>
            <w:tcBorders>
              <w:bottom w:val="single" w:sz="4" w:space="0" w:color="auto"/>
            </w:tcBorders>
            <w:shd w:val="solid" w:color="000000" w:fill="000000"/>
          </w:tcPr>
          <w:p w14:paraId="4728186F" w14:textId="49AB4A7F" w:rsidR="00EA4167" w:rsidRPr="000B0F56" w:rsidRDefault="00592818" w:rsidP="00367C94">
            <w:pPr>
              <w:spacing w:before="40" w:after="40"/>
              <w:jc w:val="center"/>
              <w:rPr>
                <w:rFonts w:ascii="Arial Narrow" w:hAnsi="Arial Narrow"/>
                <w:i/>
                <w:iCs/>
                <w:highlight w:val="yellow"/>
              </w:rPr>
            </w:pPr>
            <w:r w:rsidRPr="00592818">
              <w:rPr>
                <w:rFonts w:ascii="Arial Narrow" w:hAnsi="Arial Narrow" w:hint="eastAsia"/>
                <w:i/>
                <w:iCs/>
                <w:color w:val="000000"/>
                <w:w w:val="16"/>
                <w:fitText w:val="75" w:id="-1256557818"/>
                <w14:textFill>
                  <w14:solidFill>
                    <w14:srgbClr w14:val="000000">
                      <w14:alpha w14:val="100000"/>
                    </w14:srgbClr>
                  </w14:solidFill>
                </w14:textFill>
              </w:rPr>
              <w:t xml:space="preserve">　</w:t>
            </w:r>
            <w:r w:rsidRPr="00592818">
              <w:rPr>
                <w:rFonts w:ascii="Arial Narrow" w:hAnsi="Arial Narrow"/>
                <w:i/>
                <w:iCs/>
                <w:color w:val="000000"/>
                <w:w w:val="16"/>
                <w:fitText w:val="75" w:id="-1256557818"/>
                <w14:textFill>
                  <w14:solidFill>
                    <w14:srgbClr w14:val="000000">
                      <w14:alpha w14:val="100000"/>
                    </w14:srgbClr>
                  </w14:solidFill>
                </w14:textFill>
              </w:rPr>
              <w:t>|</w:t>
            </w:r>
            <w:r w:rsidRPr="00592818">
              <w:rPr>
                <w:rFonts w:ascii="Arial Narrow" w:hAnsi="Arial Narrow" w:hint="eastAsia"/>
                <w:i/>
                <w:iCs/>
                <w:color w:val="000000"/>
                <w:w w:val="16"/>
                <w:fitText w:val="75" w:id="-1256557818"/>
                <w14:textFill>
                  <w14:solidFill>
                    <w14:srgbClr w14:val="000000">
                      <w14:alpha w14:val="100000"/>
                    </w14:srgbClr>
                  </w14:solidFill>
                </w14:textFill>
              </w:rPr>
              <w:t xml:space="preserve">　</w:t>
            </w:r>
          </w:p>
        </w:tc>
        <w:tc>
          <w:tcPr>
            <w:tcW w:w="681" w:type="pct"/>
            <w:tcBorders>
              <w:bottom w:val="single" w:sz="4" w:space="0" w:color="auto"/>
            </w:tcBorders>
            <w:shd w:val="solid" w:color="000000" w:fill="000000"/>
          </w:tcPr>
          <w:p w14:paraId="683E3BBB" w14:textId="22711F95" w:rsidR="00EA4167" w:rsidRPr="000B0F56" w:rsidRDefault="00592818" w:rsidP="00367C94">
            <w:pPr>
              <w:spacing w:before="40" w:after="40"/>
              <w:jc w:val="center"/>
              <w:rPr>
                <w:rFonts w:ascii="Arial Narrow" w:hAnsi="Arial Narrow"/>
                <w:i/>
                <w:iCs/>
                <w:highlight w:val="yellow"/>
              </w:rPr>
            </w:pPr>
            <w:r w:rsidRPr="00592818">
              <w:rPr>
                <w:rFonts w:ascii="Arial Narrow" w:hAnsi="Arial Narrow" w:hint="eastAsia"/>
                <w:i/>
                <w:iCs/>
                <w:color w:val="000000"/>
                <w:w w:val="16"/>
                <w:fitText w:val="75" w:id="-1256557817"/>
                <w14:textFill>
                  <w14:solidFill>
                    <w14:srgbClr w14:val="000000">
                      <w14:alpha w14:val="100000"/>
                    </w14:srgbClr>
                  </w14:solidFill>
                </w14:textFill>
              </w:rPr>
              <w:t xml:space="preserve">　</w:t>
            </w:r>
            <w:r w:rsidRPr="00592818">
              <w:rPr>
                <w:rFonts w:ascii="Arial Narrow" w:hAnsi="Arial Narrow"/>
                <w:i/>
                <w:iCs/>
                <w:color w:val="000000"/>
                <w:w w:val="16"/>
                <w:fitText w:val="75" w:id="-1256557817"/>
                <w14:textFill>
                  <w14:solidFill>
                    <w14:srgbClr w14:val="000000">
                      <w14:alpha w14:val="100000"/>
                    </w14:srgbClr>
                  </w14:solidFill>
                </w14:textFill>
              </w:rPr>
              <w:t>|</w:t>
            </w:r>
            <w:r w:rsidRPr="00592818">
              <w:rPr>
                <w:rFonts w:ascii="Arial Narrow" w:hAnsi="Arial Narrow" w:hint="eastAsia"/>
                <w:i/>
                <w:iCs/>
                <w:color w:val="000000"/>
                <w:w w:val="16"/>
                <w:fitText w:val="75" w:id="-1256557817"/>
                <w14:textFill>
                  <w14:solidFill>
                    <w14:srgbClr w14:val="000000">
                      <w14:alpha w14:val="100000"/>
                    </w14:srgbClr>
                  </w14:solidFill>
                </w14:textFill>
              </w:rPr>
              <w:t xml:space="preserve">　</w:t>
            </w:r>
          </w:p>
        </w:tc>
        <w:tc>
          <w:tcPr>
            <w:tcW w:w="678" w:type="pct"/>
            <w:tcBorders>
              <w:bottom w:val="single" w:sz="4" w:space="0" w:color="auto"/>
            </w:tcBorders>
            <w:shd w:val="solid" w:color="000000" w:fill="000000"/>
          </w:tcPr>
          <w:p w14:paraId="368653DE" w14:textId="6A9CA9BD" w:rsidR="00EA4167" w:rsidRPr="000B0F56" w:rsidRDefault="00592818" w:rsidP="00367C94">
            <w:pPr>
              <w:spacing w:before="40" w:after="40"/>
              <w:jc w:val="center"/>
              <w:rPr>
                <w:rFonts w:ascii="Arial Narrow" w:hAnsi="Arial Narrow"/>
                <w:i/>
                <w:iCs/>
                <w:highlight w:val="yellow"/>
              </w:rPr>
            </w:pPr>
            <w:r w:rsidRPr="00592818">
              <w:rPr>
                <w:rFonts w:ascii="Arial Narrow" w:hAnsi="Arial Narrow" w:hint="eastAsia"/>
                <w:i/>
                <w:iCs/>
                <w:color w:val="000000"/>
                <w:w w:val="19"/>
                <w:fitText w:val="87" w:id="-1256557816"/>
                <w14:textFill>
                  <w14:solidFill>
                    <w14:srgbClr w14:val="000000">
                      <w14:alpha w14:val="100000"/>
                    </w14:srgbClr>
                  </w14:solidFill>
                </w14:textFill>
              </w:rPr>
              <w:t xml:space="preserve">　</w:t>
            </w:r>
            <w:r w:rsidRPr="00592818">
              <w:rPr>
                <w:rFonts w:ascii="Arial Narrow" w:hAnsi="Arial Narrow"/>
                <w:i/>
                <w:iCs/>
                <w:color w:val="000000"/>
                <w:w w:val="19"/>
                <w:fitText w:val="87" w:id="-1256557816"/>
                <w14:textFill>
                  <w14:solidFill>
                    <w14:srgbClr w14:val="000000">
                      <w14:alpha w14:val="100000"/>
                    </w14:srgbClr>
                  </w14:solidFill>
                </w14:textFill>
              </w:rPr>
              <w:t>|</w:t>
            </w:r>
            <w:r w:rsidRPr="00592818">
              <w:rPr>
                <w:rFonts w:ascii="Arial Narrow" w:hAnsi="Arial Narrow" w:hint="eastAsia"/>
                <w:i/>
                <w:iCs/>
                <w:color w:val="000000"/>
                <w:w w:val="19"/>
                <w:fitText w:val="87" w:id="-1256557816"/>
                <w14:textFill>
                  <w14:solidFill>
                    <w14:srgbClr w14:val="000000">
                      <w14:alpha w14:val="100000"/>
                    </w14:srgbClr>
                  </w14:solidFill>
                </w14:textFill>
              </w:rPr>
              <w:t xml:space="preserve">　</w:t>
            </w:r>
          </w:p>
        </w:tc>
        <w:tc>
          <w:tcPr>
            <w:tcW w:w="667" w:type="pct"/>
            <w:tcBorders>
              <w:bottom w:val="single" w:sz="4" w:space="0" w:color="auto"/>
            </w:tcBorders>
            <w:shd w:val="solid" w:color="000000" w:fill="000000"/>
          </w:tcPr>
          <w:p w14:paraId="5A4C4ACE" w14:textId="6A260311" w:rsidR="00EA4167" w:rsidRPr="000B0F56" w:rsidRDefault="00592818" w:rsidP="00367C94">
            <w:pPr>
              <w:spacing w:before="40" w:after="40"/>
              <w:jc w:val="center"/>
              <w:rPr>
                <w:rFonts w:ascii="Arial Narrow" w:hAnsi="Arial Narrow"/>
                <w:i/>
                <w:iCs/>
                <w:highlight w:val="yellow"/>
              </w:rPr>
            </w:pPr>
            <w:r w:rsidRPr="00592818">
              <w:rPr>
                <w:rFonts w:ascii="Arial Narrow" w:hAnsi="Arial Narrow" w:hint="eastAsia"/>
                <w:i/>
                <w:iCs/>
                <w:color w:val="000000"/>
                <w:w w:val="19"/>
                <w:fitText w:val="88" w:id="-1256557815"/>
                <w14:textFill>
                  <w14:solidFill>
                    <w14:srgbClr w14:val="000000">
                      <w14:alpha w14:val="100000"/>
                    </w14:srgbClr>
                  </w14:solidFill>
                </w14:textFill>
              </w:rPr>
              <w:t xml:space="preserve">　</w:t>
            </w:r>
            <w:r w:rsidRPr="00592818">
              <w:rPr>
                <w:rFonts w:ascii="Arial Narrow" w:hAnsi="Arial Narrow"/>
                <w:i/>
                <w:iCs/>
                <w:color w:val="000000"/>
                <w:w w:val="19"/>
                <w:fitText w:val="88" w:id="-1256557815"/>
                <w14:textFill>
                  <w14:solidFill>
                    <w14:srgbClr w14:val="000000">
                      <w14:alpha w14:val="100000"/>
                    </w14:srgbClr>
                  </w14:solidFill>
                </w14:textFill>
              </w:rPr>
              <w:t>|</w:t>
            </w:r>
            <w:r w:rsidRPr="00592818">
              <w:rPr>
                <w:rFonts w:ascii="Arial Narrow" w:hAnsi="Arial Narrow" w:hint="eastAsia"/>
                <w:i/>
                <w:iCs/>
                <w:color w:val="000000"/>
                <w:w w:val="19"/>
                <w:fitText w:val="88" w:id="-1256557815"/>
                <w14:textFill>
                  <w14:solidFill>
                    <w14:srgbClr w14:val="000000">
                      <w14:alpha w14:val="100000"/>
                    </w14:srgbClr>
                  </w14:solidFill>
                </w14:textFill>
              </w:rPr>
              <w:t xml:space="preserve">　</w:t>
            </w:r>
          </w:p>
        </w:tc>
      </w:tr>
      <w:tr w:rsidR="00EA4167" w:rsidRPr="00EA4167" w14:paraId="1FDCABB0" w14:textId="77777777" w:rsidTr="00592818">
        <w:tc>
          <w:tcPr>
            <w:tcW w:w="1612" w:type="pct"/>
          </w:tcPr>
          <w:p w14:paraId="69CEC341" w14:textId="77777777" w:rsidR="00EA4167" w:rsidRPr="00EA4167" w:rsidRDefault="00EA4167" w:rsidP="00367C94">
            <w:pPr>
              <w:spacing w:before="40" w:after="40"/>
              <w:rPr>
                <w:rFonts w:ascii="Arial Narrow" w:hAnsi="Arial Narrow"/>
              </w:rPr>
            </w:pPr>
            <w:r w:rsidRPr="00EA4167">
              <w:rPr>
                <w:rFonts w:ascii="Arial Narrow" w:hAnsi="Arial Narrow"/>
              </w:rPr>
              <w:t>Net change in MBS cost</w:t>
            </w:r>
          </w:p>
        </w:tc>
        <w:tc>
          <w:tcPr>
            <w:tcW w:w="681" w:type="pct"/>
            <w:shd w:val="solid" w:color="000000" w:fill="000000"/>
          </w:tcPr>
          <w:p w14:paraId="3C257D70" w14:textId="7C076C03"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14"/>
                <w14:textFill>
                  <w14:solidFill>
                    <w14:srgbClr w14:val="000000">
                      <w14:alpha w14:val="100000"/>
                    </w14:srgbClr>
                  </w14:solidFill>
                </w14:textFill>
              </w:rPr>
              <w:t xml:space="preserve">　</w:t>
            </w:r>
            <w:r w:rsidRPr="00592818">
              <w:rPr>
                <w:rFonts w:ascii="Arial Narrow" w:hAnsi="Arial Narrow"/>
                <w:color w:val="000000"/>
                <w:w w:val="16"/>
                <w:fitText w:val="75" w:id="-1256557814"/>
                <w14:textFill>
                  <w14:solidFill>
                    <w14:srgbClr w14:val="000000">
                      <w14:alpha w14:val="100000"/>
                    </w14:srgbClr>
                  </w14:solidFill>
                </w14:textFill>
              </w:rPr>
              <w:t>|</w:t>
            </w:r>
            <w:r w:rsidRPr="00592818">
              <w:rPr>
                <w:rFonts w:ascii="Arial Narrow" w:hAnsi="Arial Narrow" w:hint="eastAsia"/>
                <w:color w:val="000000"/>
                <w:w w:val="16"/>
                <w:fitText w:val="75" w:id="-1256557814"/>
                <w14:textFill>
                  <w14:solidFill>
                    <w14:srgbClr w14:val="000000">
                      <w14:alpha w14:val="100000"/>
                    </w14:srgbClr>
                  </w14:solidFill>
                </w14:textFill>
              </w:rPr>
              <w:t xml:space="preserve">　</w:t>
            </w:r>
          </w:p>
        </w:tc>
        <w:tc>
          <w:tcPr>
            <w:tcW w:w="681" w:type="pct"/>
            <w:shd w:val="solid" w:color="000000" w:fill="000000"/>
          </w:tcPr>
          <w:p w14:paraId="054A0FF4" w14:textId="14FDF0CA"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13"/>
                <w14:textFill>
                  <w14:solidFill>
                    <w14:srgbClr w14:val="000000">
                      <w14:alpha w14:val="100000"/>
                    </w14:srgbClr>
                  </w14:solidFill>
                </w14:textFill>
              </w:rPr>
              <w:t xml:space="preserve">　</w:t>
            </w:r>
            <w:r w:rsidRPr="00592818">
              <w:rPr>
                <w:rFonts w:ascii="Arial Narrow" w:hAnsi="Arial Narrow"/>
                <w:color w:val="000000"/>
                <w:w w:val="16"/>
                <w:fitText w:val="75" w:id="-1256557813"/>
                <w14:textFill>
                  <w14:solidFill>
                    <w14:srgbClr w14:val="000000">
                      <w14:alpha w14:val="100000"/>
                    </w14:srgbClr>
                  </w14:solidFill>
                </w14:textFill>
              </w:rPr>
              <w:t>|</w:t>
            </w:r>
            <w:r w:rsidRPr="00592818">
              <w:rPr>
                <w:rFonts w:ascii="Arial Narrow" w:hAnsi="Arial Narrow" w:hint="eastAsia"/>
                <w:color w:val="000000"/>
                <w:w w:val="16"/>
                <w:fitText w:val="75" w:id="-1256557813"/>
                <w14:textFill>
                  <w14:solidFill>
                    <w14:srgbClr w14:val="000000">
                      <w14:alpha w14:val="100000"/>
                    </w14:srgbClr>
                  </w14:solidFill>
                </w14:textFill>
              </w:rPr>
              <w:t xml:space="preserve">　</w:t>
            </w:r>
          </w:p>
        </w:tc>
        <w:tc>
          <w:tcPr>
            <w:tcW w:w="681" w:type="pct"/>
            <w:shd w:val="solid" w:color="000000" w:fill="000000"/>
          </w:tcPr>
          <w:p w14:paraId="0552A417" w14:textId="3741A547"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6"/>
                <w:fitText w:val="75" w:id="-1256557812"/>
                <w14:textFill>
                  <w14:solidFill>
                    <w14:srgbClr w14:val="000000">
                      <w14:alpha w14:val="100000"/>
                    </w14:srgbClr>
                  </w14:solidFill>
                </w14:textFill>
              </w:rPr>
              <w:t xml:space="preserve">　</w:t>
            </w:r>
            <w:r w:rsidRPr="00592818">
              <w:rPr>
                <w:rFonts w:ascii="Arial Narrow" w:hAnsi="Arial Narrow"/>
                <w:color w:val="000000"/>
                <w:w w:val="16"/>
                <w:fitText w:val="75" w:id="-1256557812"/>
                <w14:textFill>
                  <w14:solidFill>
                    <w14:srgbClr w14:val="000000">
                      <w14:alpha w14:val="100000"/>
                    </w14:srgbClr>
                  </w14:solidFill>
                </w14:textFill>
              </w:rPr>
              <w:t>|</w:t>
            </w:r>
            <w:r w:rsidRPr="00592818">
              <w:rPr>
                <w:rFonts w:ascii="Arial Narrow" w:hAnsi="Arial Narrow" w:hint="eastAsia"/>
                <w:color w:val="000000"/>
                <w:w w:val="16"/>
                <w:fitText w:val="75" w:id="-1256557812"/>
                <w14:textFill>
                  <w14:solidFill>
                    <w14:srgbClr w14:val="000000">
                      <w14:alpha w14:val="100000"/>
                    </w14:srgbClr>
                  </w14:solidFill>
                </w14:textFill>
              </w:rPr>
              <w:t xml:space="preserve">　</w:t>
            </w:r>
          </w:p>
        </w:tc>
        <w:tc>
          <w:tcPr>
            <w:tcW w:w="678" w:type="pct"/>
            <w:shd w:val="solid" w:color="000000" w:fill="000000"/>
          </w:tcPr>
          <w:p w14:paraId="4E6DAC6B" w14:textId="117BB627"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9"/>
                <w:fitText w:val="87" w:id="-1256557811"/>
                <w14:textFill>
                  <w14:solidFill>
                    <w14:srgbClr w14:val="000000">
                      <w14:alpha w14:val="100000"/>
                    </w14:srgbClr>
                  </w14:solidFill>
                </w14:textFill>
              </w:rPr>
              <w:t xml:space="preserve">　</w:t>
            </w:r>
            <w:r w:rsidRPr="00592818">
              <w:rPr>
                <w:rFonts w:ascii="Arial Narrow" w:hAnsi="Arial Narrow"/>
                <w:color w:val="000000"/>
                <w:w w:val="19"/>
                <w:fitText w:val="87" w:id="-1256557811"/>
                <w14:textFill>
                  <w14:solidFill>
                    <w14:srgbClr w14:val="000000">
                      <w14:alpha w14:val="100000"/>
                    </w14:srgbClr>
                  </w14:solidFill>
                </w14:textFill>
              </w:rPr>
              <w:t>|</w:t>
            </w:r>
            <w:r w:rsidRPr="00592818">
              <w:rPr>
                <w:rFonts w:ascii="Arial Narrow" w:hAnsi="Arial Narrow" w:hint="eastAsia"/>
                <w:color w:val="000000"/>
                <w:w w:val="19"/>
                <w:fitText w:val="87" w:id="-1256557811"/>
                <w14:textFill>
                  <w14:solidFill>
                    <w14:srgbClr w14:val="000000">
                      <w14:alpha w14:val="100000"/>
                    </w14:srgbClr>
                  </w14:solidFill>
                </w14:textFill>
              </w:rPr>
              <w:t xml:space="preserve">　</w:t>
            </w:r>
          </w:p>
        </w:tc>
        <w:tc>
          <w:tcPr>
            <w:tcW w:w="667" w:type="pct"/>
            <w:shd w:val="solid" w:color="000000" w:fill="000000"/>
          </w:tcPr>
          <w:p w14:paraId="607C6933" w14:textId="599F9FDE" w:rsidR="00EA4167" w:rsidRPr="000B0F56" w:rsidRDefault="00592818" w:rsidP="00367C94">
            <w:pPr>
              <w:spacing w:before="40" w:after="40"/>
              <w:jc w:val="center"/>
              <w:rPr>
                <w:rFonts w:ascii="Arial Narrow" w:hAnsi="Arial Narrow"/>
                <w:highlight w:val="yellow"/>
              </w:rPr>
            </w:pPr>
            <w:r w:rsidRPr="00592818">
              <w:rPr>
                <w:rFonts w:ascii="Arial Narrow" w:hAnsi="Arial Narrow" w:hint="eastAsia"/>
                <w:color w:val="000000"/>
                <w:w w:val="19"/>
                <w:fitText w:val="88" w:id="-1256557810"/>
                <w14:textFill>
                  <w14:solidFill>
                    <w14:srgbClr w14:val="000000">
                      <w14:alpha w14:val="100000"/>
                    </w14:srgbClr>
                  </w14:solidFill>
                </w14:textFill>
              </w:rPr>
              <w:t xml:space="preserve">　</w:t>
            </w:r>
            <w:r w:rsidRPr="00592818">
              <w:rPr>
                <w:rFonts w:ascii="Arial Narrow" w:hAnsi="Arial Narrow"/>
                <w:color w:val="000000"/>
                <w:w w:val="19"/>
                <w:fitText w:val="88" w:id="-1256557810"/>
                <w14:textFill>
                  <w14:solidFill>
                    <w14:srgbClr w14:val="000000">
                      <w14:alpha w14:val="100000"/>
                    </w14:srgbClr>
                  </w14:solidFill>
                </w14:textFill>
              </w:rPr>
              <w:t>|</w:t>
            </w:r>
            <w:r w:rsidRPr="00592818">
              <w:rPr>
                <w:rFonts w:ascii="Arial Narrow" w:hAnsi="Arial Narrow" w:hint="eastAsia"/>
                <w:color w:val="000000"/>
                <w:w w:val="19"/>
                <w:fitText w:val="88" w:id="-1256557810"/>
                <w14:textFill>
                  <w14:solidFill>
                    <w14:srgbClr w14:val="000000">
                      <w14:alpha w14:val="100000"/>
                    </w14:srgbClr>
                  </w14:solidFill>
                </w14:textFill>
              </w:rPr>
              <w:t xml:space="preserve">　</w:t>
            </w:r>
          </w:p>
        </w:tc>
      </w:tr>
    </w:tbl>
    <w:p w14:paraId="4E031819" w14:textId="1EC50E84" w:rsidR="00EA4167" w:rsidRDefault="00353B8C" w:rsidP="00367C94">
      <w:pPr>
        <w:pStyle w:val="Tablenotes"/>
      </w:pPr>
      <w:r>
        <w:br/>
      </w:r>
      <w:proofErr w:type="spellStart"/>
      <w:r w:rsidR="007110F1" w:rsidRPr="007110F1">
        <w:t>TMVr</w:t>
      </w:r>
      <w:proofErr w:type="spellEnd"/>
      <w:r w:rsidR="007110F1" w:rsidRPr="007110F1">
        <w:t>=</w:t>
      </w:r>
      <w:r w:rsidRPr="007110F1">
        <w:t>transcatheter</w:t>
      </w:r>
      <w:r w:rsidR="007110F1" w:rsidRPr="007110F1">
        <w:t xml:space="preserve"> mitral valve repair; DMR=degenerative mitral regurgitation; FMR=functional mitral regurgitation </w:t>
      </w:r>
    </w:p>
    <w:p w14:paraId="7F731729" w14:textId="77777777" w:rsidR="00E13326" w:rsidRPr="00427322" w:rsidRDefault="00E13326" w:rsidP="00E13326">
      <w:pPr>
        <w:pStyle w:val="Tablenotes"/>
      </w:pPr>
      <w:r w:rsidRPr="00427322">
        <w:t xml:space="preserve">Cells </w:t>
      </w:r>
      <w:r w:rsidRPr="00427322">
        <w:rPr>
          <w:shd w:val="clear" w:color="auto" w:fill="B4C6E7" w:themeFill="accent5" w:themeFillTint="66"/>
        </w:rPr>
        <w:t>shaded in blue</w:t>
      </w:r>
      <w:r w:rsidRPr="00427322">
        <w:t xml:space="preserve"> represent results previously considered by MSAC</w:t>
      </w:r>
    </w:p>
    <w:p w14:paraId="7F2CE341" w14:textId="573B85F1" w:rsidR="007110F1" w:rsidRDefault="00973CBA" w:rsidP="00210CA3">
      <w:pPr>
        <w:pStyle w:val="Instructionaltext-afterfiguretable"/>
        <w:spacing w:before="240" w:after="240"/>
        <w:rPr>
          <w:color w:val="auto"/>
        </w:rPr>
      </w:pPr>
      <w:r>
        <w:rPr>
          <w:color w:val="auto"/>
        </w:rPr>
        <w:t>The assumptions in the financial analysis presented in the ADAR are that:</w:t>
      </w:r>
    </w:p>
    <w:p w14:paraId="0B02FC3B" w14:textId="77777777" w:rsidR="00E74A1A" w:rsidRDefault="00973CBA" w:rsidP="00E74A1A">
      <w:pPr>
        <w:pStyle w:val="Instructionaltext-afterfiguretable"/>
        <w:numPr>
          <w:ilvl w:val="0"/>
          <w:numId w:val="21"/>
        </w:numPr>
        <w:spacing w:before="120" w:after="120"/>
        <w:ind w:left="284" w:hanging="284"/>
        <w:rPr>
          <w:color w:val="auto"/>
        </w:rPr>
      </w:pPr>
      <w:r w:rsidRPr="00E74A1A">
        <w:rPr>
          <w:color w:val="auto"/>
        </w:rPr>
        <w:t xml:space="preserve">There is no difference in the adverse events between a </w:t>
      </w:r>
      <w:proofErr w:type="spellStart"/>
      <w:r w:rsidRPr="00E74A1A">
        <w:rPr>
          <w:color w:val="auto"/>
        </w:rPr>
        <w:t>TMVr</w:t>
      </w:r>
      <w:proofErr w:type="spellEnd"/>
      <w:r w:rsidRPr="00E74A1A">
        <w:rPr>
          <w:color w:val="auto"/>
        </w:rPr>
        <w:t xml:space="preserve"> procedure with </w:t>
      </w:r>
      <w:proofErr w:type="spellStart"/>
      <w:r w:rsidRPr="00E74A1A">
        <w:rPr>
          <w:color w:val="auto"/>
        </w:rPr>
        <w:t>MitraClip</w:t>
      </w:r>
      <w:proofErr w:type="spellEnd"/>
      <w:r w:rsidRPr="00E74A1A">
        <w:rPr>
          <w:color w:val="auto"/>
        </w:rPr>
        <w:t xml:space="preserve"> and PASCAL. The ADAR has not </w:t>
      </w:r>
      <w:r w:rsidR="000036E7" w:rsidRPr="00E74A1A">
        <w:rPr>
          <w:color w:val="auto"/>
        </w:rPr>
        <w:t xml:space="preserve">identified any </w:t>
      </w:r>
      <w:r w:rsidRPr="00E74A1A">
        <w:rPr>
          <w:color w:val="auto"/>
        </w:rPr>
        <w:t xml:space="preserve">adverse events </w:t>
      </w:r>
      <w:r w:rsidR="000036E7" w:rsidRPr="00E74A1A">
        <w:rPr>
          <w:color w:val="auto"/>
        </w:rPr>
        <w:t xml:space="preserve">or any difference in adverse events between the two systems, </w:t>
      </w:r>
      <w:r w:rsidRPr="00E74A1A">
        <w:rPr>
          <w:color w:val="auto"/>
        </w:rPr>
        <w:t xml:space="preserve">and </w:t>
      </w:r>
      <w:r w:rsidR="000036E7" w:rsidRPr="00E74A1A">
        <w:rPr>
          <w:color w:val="auto"/>
        </w:rPr>
        <w:t>the</w:t>
      </w:r>
      <w:r w:rsidRPr="00E74A1A">
        <w:rPr>
          <w:color w:val="auto"/>
        </w:rPr>
        <w:t xml:space="preserve"> use of MBS items to treat patients</w:t>
      </w:r>
      <w:r w:rsidR="000036E7" w:rsidRPr="00E74A1A">
        <w:rPr>
          <w:color w:val="auto"/>
        </w:rPr>
        <w:t>. This type of surgery can result in serious adverse events, and to the extent that there is a difference between the two systems, the financial analysis has underestimated the implications for the MBS.</w:t>
      </w:r>
    </w:p>
    <w:p w14:paraId="3CDDD0E0" w14:textId="4ED4C59A" w:rsidR="000036E7" w:rsidRPr="00E74A1A" w:rsidRDefault="000036E7" w:rsidP="00E74A1A">
      <w:pPr>
        <w:pStyle w:val="Instructionaltext-afterfiguretable"/>
        <w:numPr>
          <w:ilvl w:val="0"/>
          <w:numId w:val="21"/>
        </w:numPr>
        <w:spacing w:before="120" w:after="120"/>
        <w:ind w:left="284" w:hanging="284"/>
        <w:rPr>
          <w:color w:val="auto"/>
        </w:rPr>
      </w:pPr>
      <w:r w:rsidRPr="00E74A1A">
        <w:rPr>
          <w:color w:val="auto"/>
        </w:rPr>
        <w:t xml:space="preserve">The number of </w:t>
      </w:r>
      <w:proofErr w:type="spellStart"/>
      <w:r w:rsidRPr="00E74A1A">
        <w:rPr>
          <w:color w:val="auto"/>
        </w:rPr>
        <w:t>TMVr</w:t>
      </w:r>
      <w:proofErr w:type="spellEnd"/>
      <w:r w:rsidRPr="00E74A1A">
        <w:rPr>
          <w:color w:val="auto"/>
        </w:rPr>
        <w:t xml:space="preserve"> procedures was adjusted for retreatments, at 1.28%</w:t>
      </w:r>
      <w:r w:rsidRPr="00E74A1A">
        <w:t xml:space="preserve"> </w:t>
      </w:r>
      <w:r w:rsidRPr="00E74A1A">
        <w:rPr>
          <w:color w:val="auto"/>
        </w:rPr>
        <w:t xml:space="preserve">and 2.98% for DMR and FMR respectively, </w:t>
      </w:r>
      <w:r w:rsidR="00990E04" w:rsidRPr="00E74A1A">
        <w:rPr>
          <w:color w:val="auto"/>
        </w:rPr>
        <w:t>in Application 1192.3 (</w:t>
      </w:r>
      <w:proofErr w:type="spellStart"/>
      <w:r w:rsidRPr="00E74A1A">
        <w:rPr>
          <w:color w:val="auto"/>
        </w:rPr>
        <w:t>MitraClip</w:t>
      </w:r>
      <w:proofErr w:type="spellEnd"/>
      <w:r w:rsidR="00990E04" w:rsidRPr="00E74A1A">
        <w:rPr>
          <w:color w:val="auto"/>
        </w:rPr>
        <w:t xml:space="preserve">). </w:t>
      </w:r>
      <w:r w:rsidR="00390210" w:rsidRPr="00390210">
        <w:rPr>
          <w:color w:val="auto"/>
          <w:w w:val="63"/>
          <w:shd w:val="solid" w:color="000000" w:fill="000000"/>
          <w:fitText w:val="420" w:id="-1237121792"/>
          <w14:textFill>
            <w14:solidFill>
              <w14:srgbClr w14:val="000000">
                <w14:alpha w14:val="100000"/>
              </w14:srgbClr>
            </w14:solidFill>
          </w14:textFill>
        </w:rPr>
        <w:t>||||||</w:t>
      </w:r>
      <w:r w:rsidR="00390210">
        <w:rPr>
          <w:color w:val="auto"/>
        </w:rPr>
        <w:t xml:space="preserve"> </w:t>
      </w:r>
      <w:r w:rsidR="00390210" w:rsidRPr="00390210">
        <w:rPr>
          <w:color w:val="auto"/>
          <w:shd w:val="solid" w:color="000000" w:fill="000000"/>
          <w14:textFill>
            <w14:solidFill>
              <w14:srgbClr w14:val="000000">
                <w14:alpha w14:val="100000"/>
              </w14:srgbClr>
            </w14:solidFill>
          </w14:textFill>
        </w:rPr>
        <w:t>|</w:t>
      </w:r>
      <w:r w:rsidR="00390210">
        <w:rPr>
          <w:color w:val="auto"/>
        </w:rPr>
        <w:t xml:space="preserve"> </w:t>
      </w:r>
      <w:r w:rsidR="00390210" w:rsidRPr="00390210">
        <w:rPr>
          <w:color w:val="auto"/>
          <w:w w:val="88"/>
          <w:shd w:val="solid" w:color="000000" w:fill="000000"/>
          <w:fitText w:val="390" w:id="-1237121280"/>
          <w14:textFill>
            <w14:solidFill>
              <w14:srgbClr w14:val="000000">
                <w14:alpha w14:val="100000"/>
              </w14:srgbClr>
            </w14:solidFill>
          </w14:textFill>
        </w:rPr>
        <w:t>||||</w:t>
      </w:r>
      <w:r w:rsidR="00390210">
        <w:rPr>
          <w:color w:val="auto"/>
        </w:rPr>
        <w:t xml:space="preserve"> </w:t>
      </w:r>
      <w:r w:rsidR="00390210" w:rsidRPr="00390210">
        <w:rPr>
          <w:color w:val="auto"/>
          <w:w w:val="88"/>
          <w:shd w:val="solid" w:color="000000" w:fill="000000"/>
          <w:fitText w:val="195" w:id="-1237121279"/>
          <w14:textFill>
            <w14:solidFill>
              <w14:srgbClr w14:val="000000">
                <w14:alpha w14:val="100000"/>
              </w14:srgbClr>
            </w14:solidFill>
          </w14:textFill>
        </w:rPr>
        <w:t>||</w:t>
      </w:r>
      <w:r w:rsidR="00390210">
        <w:rPr>
          <w:color w:val="auto"/>
        </w:rPr>
        <w:t xml:space="preserve"> </w:t>
      </w:r>
      <w:r w:rsidR="00390210" w:rsidRPr="00390210">
        <w:rPr>
          <w:rFonts w:hint="eastAsia"/>
          <w:color w:val="auto"/>
          <w:w w:val="15"/>
          <w:shd w:val="solid" w:color="000000" w:fill="000000"/>
          <w:fitText w:val="15" w:id="-1237121278"/>
          <w14:textFill>
            <w14:solidFill>
              <w14:srgbClr w14:val="000000">
                <w14:alpha w14:val="100000"/>
              </w14:srgbClr>
            </w14:solidFill>
          </w14:textFill>
        </w:rPr>
        <w:t xml:space="preserve">　</w:t>
      </w:r>
      <w:r w:rsidR="00390210" w:rsidRPr="00390210">
        <w:rPr>
          <w:color w:val="auto"/>
          <w:w w:val="15"/>
          <w:shd w:val="solid" w:color="000000" w:fill="000000"/>
          <w:fitText w:val="15" w:id="-1237121278"/>
          <w14:textFill>
            <w14:solidFill>
              <w14:srgbClr w14:val="000000">
                <w14:alpha w14:val="100000"/>
              </w14:srgbClr>
            </w14:solidFill>
          </w14:textFill>
        </w:rPr>
        <w:t>|</w:t>
      </w:r>
      <w:r w:rsidR="00390210" w:rsidRPr="00390210">
        <w:rPr>
          <w:rFonts w:hint="eastAsia"/>
          <w:color w:val="auto"/>
          <w:spacing w:val="-66"/>
          <w:w w:val="15"/>
          <w:shd w:val="solid" w:color="000000" w:fill="000000"/>
          <w:fitText w:val="15" w:id="-1237121278"/>
          <w14:textFill>
            <w14:solidFill>
              <w14:srgbClr w14:val="000000">
                <w14:alpha w14:val="100000"/>
              </w14:srgbClr>
            </w14:solidFill>
          </w14:textFill>
        </w:rPr>
        <w:t xml:space="preserve">　</w:t>
      </w:r>
      <w:r w:rsidR="00390210">
        <w:rPr>
          <w:color w:val="auto"/>
        </w:rPr>
        <w:t xml:space="preserve"> </w:t>
      </w:r>
      <w:r w:rsidR="00592818" w:rsidRPr="00592818">
        <w:rPr>
          <w:color w:val="000000"/>
          <w:w w:val="74"/>
          <w:shd w:val="solid" w:color="000000" w:fill="000000"/>
          <w:fitText w:val="163" w:id="-1256557809"/>
          <w14:textFill>
            <w14:solidFill>
              <w14:srgbClr w14:val="000000">
                <w14:alpha w14:val="100000"/>
              </w14:srgbClr>
            </w14:solidFill>
          </w14:textFill>
        </w:rPr>
        <w:t>||</w:t>
      </w:r>
      <w:r w:rsidR="00592818" w:rsidRPr="00592818">
        <w:rPr>
          <w:color w:val="auto"/>
        </w:rPr>
        <w:t xml:space="preserve"> </w:t>
      </w:r>
      <w:r w:rsidR="00592818" w:rsidRPr="00592818">
        <w:rPr>
          <w:color w:val="000000"/>
          <w:w w:val="74"/>
          <w:shd w:val="solid" w:color="000000" w:fill="000000"/>
          <w:fitText w:val="163" w:id="-1256557808"/>
          <w14:textFill>
            <w14:solidFill>
              <w14:srgbClr w14:val="000000">
                <w14:alpha w14:val="100000"/>
              </w14:srgbClr>
            </w14:solidFill>
          </w14:textFill>
        </w:rPr>
        <w:t>||</w:t>
      </w:r>
      <w:r w:rsidR="00592818" w:rsidRPr="00592818">
        <w:rPr>
          <w:color w:val="auto"/>
        </w:rPr>
        <w:t xml:space="preserve"> </w:t>
      </w:r>
      <w:r w:rsidR="00592818" w:rsidRPr="00592818">
        <w:rPr>
          <w:rFonts w:hint="eastAsia"/>
          <w:color w:val="000000"/>
          <w:w w:val="27"/>
          <w:shd w:val="solid" w:color="000000" w:fill="000000"/>
          <w:fitText w:val="150" w:id="-1256557824"/>
          <w14:textFill>
            <w14:solidFill>
              <w14:srgbClr w14:val="000000">
                <w14:alpha w14:val="100000"/>
              </w14:srgbClr>
            </w14:solidFill>
          </w14:textFill>
        </w:rPr>
        <w:t xml:space="preserve">　</w:t>
      </w:r>
      <w:r w:rsidR="00592818" w:rsidRPr="00592818">
        <w:rPr>
          <w:color w:val="000000"/>
          <w:w w:val="27"/>
          <w:shd w:val="solid" w:color="000000" w:fill="000000"/>
          <w:fitText w:val="150" w:id="-1256557824"/>
          <w14:textFill>
            <w14:solidFill>
              <w14:srgbClr w14:val="000000">
                <w14:alpha w14:val="100000"/>
              </w14:srgbClr>
            </w14:solidFill>
          </w14:textFill>
        </w:rPr>
        <w:t>|</w:t>
      </w:r>
      <w:r w:rsidR="00592818" w:rsidRPr="00592818">
        <w:rPr>
          <w:rFonts w:hint="eastAsia"/>
          <w:color w:val="000000"/>
          <w:spacing w:val="3"/>
          <w:w w:val="27"/>
          <w:shd w:val="solid" w:color="000000" w:fill="000000"/>
          <w:fitText w:val="150" w:id="-1256557824"/>
          <w14:textFill>
            <w14:solidFill>
              <w14:srgbClr w14:val="000000">
                <w14:alpha w14:val="100000"/>
              </w14:srgbClr>
            </w14:solidFill>
          </w14:textFill>
        </w:rPr>
        <w:t xml:space="preserve">　</w:t>
      </w:r>
      <w:r w:rsidR="00592818" w:rsidRPr="00592818">
        <w:rPr>
          <w:color w:val="auto"/>
        </w:rPr>
        <w:t xml:space="preserve"> </w:t>
      </w:r>
      <w:r w:rsidR="00592818" w:rsidRPr="00592818">
        <w:rPr>
          <w:color w:val="000000"/>
          <w:w w:val="68"/>
          <w:shd w:val="solid" w:color="000000" w:fill="000000"/>
          <w:fitText w:val="151" w:id="-1256557823"/>
          <w14:textFill>
            <w14:solidFill>
              <w14:srgbClr w14:val="000000">
                <w14:alpha w14:val="100000"/>
              </w14:srgbClr>
            </w14:solidFill>
          </w14:textFill>
        </w:rPr>
        <w:t>|</w:t>
      </w:r>
      <w:r w:rsidR="00592818" w:rsidRPr="00592818">
        <w:rPr>
          <w:color w:val="000000"/>
          <w:spacing w:val="1"/>
          <w:w w:val="68"/>
          <w:shd w:val="solid" w:color="000000" w:fill="000000"/>
          <w:fitText w:val="151" w:id="-1256557823"/>
          <w14:textFill>
            <w14:solidFill>
              <w14:srgbClr w14:val="000000">
                <w14:alpha w14:val="100000"/>
              </w14:srgbClr>
            </w14:solidFill>
          </w14:textFill>
        </w:rPr>
        <w:t>|</w:t>
      </w:r>
      <w:r w:rsidR="00592818" w:rsidRPr="00592818">
        <w:rPr>
          <w:color w:val="auto"/>
        </w:rPr>
        <w:t xml:space="preserve"> </w:t>
      </w:r>
      <w:r w:rsidR="00592818" w:rsidRPr="00592818">
        <w:rPr>
          <w:color w:val="000000"/>
          <w:w w:val="68"/>
          <w:shd w:val="solid" w:color="000000" w:fill="000000"/>
          <w:fitText w:val="151" w:id="-1256557822"/>
          <w14:textFill>
            <w14:solidFill>
              <w14:srgbClr w14:val="000000">
                <w14:alpha w14:val="100000"/>
              </w14:srgbClr>
            </w14:solidFill>
          </w14:textFill>
        </w:rPr>
        <w:t>|</w:t>
      </w:r>
      <w:r w:rsidR="00592818" w:rsidRPr="00592818">
        <w:rPr>
          <w:color w:val="000000"/>
          <w:spacing w:val="1"/>
          <w:w w:val="68"/>
          <w:shd w:val="solid" w:color="000000" w:fill="000000"/>
          <w:fitText w:val="151" w:id="-1256557822"/>
          <w14:textFill>
            <w14:solidFill>
              <w14:srgbClr w14:val="000000">
                <w14:alpha w14:val="100000"/>
              </w14:srgbClr>
            </w14:solidFill>
          </w14:textFill>
        </w:rPr>
        <w:t>|</w:t>
      </w:r>
      <w:r w:rsidR="00592818" w:rsidRPr="00592818">
        <w:rPr>
          <w:color w:val="auto"/>
        </w:rPr>
        <w:t xml:space="preserve"> </w:t>
      </w:r>
      <w:r w:rsidR="00592818" w:rsidRPr="00592818">
        <w:rPr>
          <w:rFonts w:hint="eastAsia"/>
          <w:color w:val="000000"/>
          <w:w w:val="27"/>
          <w:shd w:val="solid" w:color="000000" w:fill="000000"/>
          <w:fitText w:val="150" w:id="-1256557821"/>
          <w14:textFill>
            <w14:solidFill>
              <w14:srgbClr w14:val="000000">
                <w14:alpha w14:val="100000"/>
              </w14:srgbClr>
            </w14:solidFill>
          </w14:textFill>
        </w:rPr>
        <w:t xml:space="preserve">　</w:t>
      </w:r>
      <w:r w:rsidR="00592818" w:rsidRPr="00592818">
        <w:rPr>
          <w:color w:val="000000"/>
          <w:w w:val="27"/>
          <w:shd w:val="solid" w:color="000000" w:fill="000000"/>
          <w:fitText w:val="150" w:id="-1256557821"/>
          <w14:textFill>
            <w14:solidFill>
              <w14:srgbClr w14:val="000000">
                <w14:alpha w14:val="100000"/>
              </w14:srgbClr>
            </w14:solidFill>
          </w14:textFill>
        </w:rPr>
        <w:t>|</w:t>
      </w:r>
      <w:r w:rsidR="00592818" w:rsidRPr="00592818">
        <w:rPr>
          <w:rFonts w:hint="eastAsia"/>
          <w:color w:val="000000"/>
          <w:spacing w:val="3"/>
          <w:w w:val="27"/>
          <w:shd w:val="solid" w:color="000000" w:fill="000000"/>
          <w:fitText w:val="150" w:id="-1256557821"/>
          <w14:textFill>
            <w14:solidFill>
              <w14:srgbClr w14:val="000000">
                <w14:alpha w14:val="100000"/>
              </w14:srgbClr>
            </w14:solidFill>
          </w14:textFill>
        </w:rPr>
        <w:t xml:space="preserve">　</w:t>
      </w:r>
      <w:r w:rsidR="00592818" w:rsidRPr="00592818">
        <w:rPr>
          <w:color w:val="auto"/>
        </w:rPr>
        <w:t xml:space="preserve"> </w:t>
      </w:r>
      <w:r w:rsidR="00592818" w:rsidRPr="00592818">
        <w:rPr>
          <w:rFonts w:hint="eastAsia"/>
          <w:color w:val="000000"/>
          <w:w w:val="27"/>
          <w:shd w:val="solid" w:color="000000" w:fill="000000"/>
          <w:fitText w:val="150" w:id="-1256557820"/>
          <w14:textFill>
            <w14:solidFill>
              <w14:srgbClr w14:val="000000">
                <w14:alpha w14:val="100000"/>
              </w14:srgbClr>
            </w14:solidFill>
          </w14:textFill>
        </w:rPr>
        <w:t xml:space="preserve">　</w:t>
      </w:r>
      <w:r w:rsidR="00592818" w:rsidRPr="00592818">
        <w:rPr>
          <w:color w:val="000000"/>
          <w:w w:val="27"/>
          <w:shd w:val="solid" w:color="000000" w:fill="000000"/>
          <w:fitText w:val="150" w:id="-1256557820"/>
          <w14:textFill>
            <w14:solidFill>
              <w14:srgbClr w14:val="000000">
                <w14:alpha w14:val="100000"/>
              </w14:srgbClr>
            </w14:solidFill>
          </w14:textFill>
        </w:rPr>
        <w:t>|</w:t>
      </w:r>
      <w:r w:rsidR="00592818" w:rsidRPr="00592818">
        <w:rPr>
          <w:rFonts w:hint="eastAsia"/>
          <w:color w:val="000000"/>
          <w:spacing w:val="3"/>
          <w:w w:val="27"/>
          <w:shd w:val="solid" w:color="000000" w:fill="000000"/>
          <w:fitText w:val="150" w:id="-1256557820"/>
          <w14:textFill>
            <w14:solidFill>
              <w14:srgbClr w14:val="000000">
                <w14:alpha w14:val="100000"/>
              </w14:srgbClr>
            </w14:solidFill>
          </w14:textFill>
        </w:rPr>
        <w:t xml:space="preserve">　</w:t>
      </w:r>
      <w:r w:rsidR="00592818" w:rsidRPr="00592818">
        <w:rPr>
          <w:color w:val="auto"/>
        </w:rPr>
        <w:t xml:space="preserve"> </w:t>
      </w:r>
      <w:r w:rsidR="00592818" w:rsidRPr="00592818">
        <w:rPr>
          <w:rFonts w:hint="eastAsia"/>
          <w:color w:val="000000"/>
          <w:w w:val="27"/>
          <w:shd w:val="solid" w:color="000000" w:fill="000000"/>
          <w:fitText w:val="150" w:id="-1256557819"/>
          <w14:textFill>
            <w14:solidFill>
              <w14:srgbClr w14:val="000000">
                <w14:alpha w14:val="100000"/>
              </w14:srgbClr>
            </w14:solidFill>
          </w14:textFill>
        </w:rPr>
        <w:t xml:space="preserve">　</w:t>
      </w:r>
      <w:r w:rsidR="00592818" w:rsidRPr="00592818">
        <w:rPr>
          <w:color w:val="000000"/>
          <w:w w:val="27"/>
          <w:shd w:val="solid" w:color="000000" w:fill="000000"/>
          <w:fitText w:val="150" w:id="-1256557819"/>
          <w14:textFill>
            <w14:solidFill>
              <w14:srgbClr w14:val="000000">
                <w14:alpha w14:val="100000"/>
              </w14:srgbClr>
            </w14:solidFill>
          </w14:textFill>
        </w:rPr>
        <w:t>|</w:t>
      </w:r>
      <w:r w:rsidR="00592818" w:rsidRPr="00592818">
        <w:rPr>
          <w:rFonts w:hint="eastAsia"/>
          <w:color w:val="000000"/>
          <w:spacing w:val="3"/>
          <w:w w:val="27"/>
          <w:shd w:val="solid" w:color="000000" w:fill="000000"/>
          <w:fitText w:val="150" w:id="-1256557819"/>
          <w14:textFill>
            <w14:solidFill>
              <w14:srgbClr w14:val="000000">
                <w14:alpha w14:val="100000"/>
              </w14:srgbClr>
            </w14:solidFill>
          </w14:textFill>
        </w:rPr>
        <w:t xml:space="preserve">　</w:t>
      </w:r>
      <w:r w:rsidR="00592818" w:rsidRPr="00592818">
        <w:rPr>
          <w:color w:val="auto"/>
        </w:rPr>
        <w:t xml:space="preserve"> </w:t>
      </w:r>
      <w:r w:rsidR="00592818" w:rsidRPr="00592818">
        <w:rPr>
          <w:color w:val="000000"/>
          <w:w w:val="68"/>
          <w:shd w:val="solid" w:color="000000" w:fill="000000"/>
          <w:fitText w:val="151" w:id="-1256557818"/>
          <w14:textFill>
            <w14:solidFill>
              <w14:srgbClr w14:val="000000">
                <w14:alpha w14:val="100000"/>
              </w14:srgbClr>
            </w14:solidFill>
          </w14:textFill>
        </w:rPr>
        <w:t>|</w:t>
      </w:r>
      <w:r w:rsidR="00592818" w:rsidRPr="00592818">
        <w:rPr>
          <w:color w:val="000000"/>
          <w:spacing w:val="1"/>
          <w:w w:val="68"/>
          <w:shd w:val="solid" w:color="000000" w:fill="000000"/>
          <w:fitText w:val="151" w:id="-1256557818"/>
          <w14:textFill>
            <w14:solidFill>
              <w14:srgbClr w14:val="000000">
                <w14:alpha w14:val="100000"/>
              </w14:srgbClr>
            </w14:solidFill>
          </w14:textFill>
        </w:rPr>
        <w:t>|</w:t>
      </w:r>
      <w:r w:rsidR="00592818" w:rsidRPr="00592818">
        <w:rPr>
          <w:color w:val="auto"/>
        </w:rPr>
        <w:t xml:space="preserve"> </w:t>
      </w:r>
      <w:r w:rsidR="00592818" w:rsidRPr="00592818">
        <w:rPr>
          <w:rFonts w:hint="eastAsia"/>
          <w:color w:val="000000"/>
          <w:w w:val="27"/>
          <w:shd w:val="solid" w:color="000000" w:fill="000000"/>
          <w:fitText w:val="150" w:id="-1256557817"/>
          <w14:textFill>
            <w14:solidFill>
              <w14:srgbClr w14:val="000000">
                <w14:alpha w14:val="100000"/>
              </w14:srgbClr>
            </w14:solidFill>
          </w14:textFill>
        </w:rPr>
        <w:t xml:space="preserve">　</w:t>
      </w:r>
      <w:r w:rsidR="00592818" w:rsidRPr="00592818">
        <w:rPr>
          <w:color w:val="000000"/>
          <w:w w:val="27"/>
          <w:shd w:val="solid" w:color="000000" w:fill="000000"/>
          <w:fitText w:val="150" w:id="-1256557817"/>
          <w14:textFill>
            <w14:solidFill>
              <w14:srgbClr w14:val="000000">
                <w14:alpha w14:val="100000"/>
              </w14:srgbClr>
            </w14:solidFill>
          </w14:textFill>
        </w:rPr>
        <w:t>|</w:t>
      </w:r>
      <w:r w:rsidR="00592818" w:rsidRPr="00592818">
        <w:rPr>
          <w:rFonts w:hint="eastAsia"/>
          <w:color w:val="000000"/>
          <w:spacing w:val="3"/>
          <w:w w:val="27"/>
          <w:shd w:val="solid" w:color="000000" w:fill="000000"/>
          <w:fitText w:val="150" w:id="-1256557817"/>
          <w14:textFill>
            <w14:solidFill>
              <w14:srgbClr w14:val="000000">
                <w14:alpha w14:val="100000"/>
              </w14:srgbClr>
            </w14:solidFill>
          </w14:textFill>
        </w:rPr>
        <w:t xml:space="preserve">　</w:t>
      </w:r>
      <w:r w:rsidR="00990E04" w:rsidRPr="00E74A1A">
        <w:rPr>
          <w:color w:val="auto"/>
        </w:rPr>
        <w:t>.</w:t>
      </w:r>
    </w:p>
    <w:p w14:paraId="69B87ECB" w14:textId="76E9B33B" w:rsidR="00E9210C" w:rsidRDefault="00E9210C" w:rsidP="00210CA3">
      <w:pPr>
        <w:pStyle w:val="Instructionaltext-afterfiguretable"/>
        <w:numPr>
          <w:ilvl w:val="0"/>
          <w:numId w:val="21"/>
        </w:numPr>
        <w:spacing w:before="120" w:after="120"/>
        <w:ind w:left="284" w:hanging="284"/>
        <w:rPr>
          <w:color w:val="auto"/>
        </w:rPr>
      </w:pPr>
      <w:r>
        <w:rPr>
          <w:color w:val="auto"/>
        </w:rPr>
        <w:lastRenderedPageBreak/>
        <w:t xml:space="preserve">The same MBS items that were costed in Application 1192.3 as being used either pre-surgery or post-surgery were also costed in this ADAR. However, these items do not include the cost of imaging done prior to surgery (transthoracic and transesophageal echocardiography) used to </w:t>
      </w:r>
      <w:r w:rsidR="00BD6681">
        <w:rPr>
          <w:color w:val="auto"/>
        </w:rPr>
        <w:t>provide detailed morphological analysis of the mitral valve and annulus (</w:t>
      </w:r>
      <w:proofErr w:type="spellStart"/>
      <w:r w:rsidR="00BD6681">
        <w:rPr>
          <w:color w:val="auto"/>
        </w:rPr>
        <w:t>Gercek</w:t>
      </w:r>
      <w:proofErr w:type="spellEnd"/>
      <w:r w:rsidR="00BD6681">
        <w:rPr>
          <w:color w:val="auto"/>
        </w:rPr>
        <w:t xml:space="preserve"> 2021 and </w:t>
      </w:r>
      <w:proofErr w:type="spellStart"/>
      <w:r w:rsidR="00BD6681">
        <w:rPr>
          <w:color w:val="auto"/>
        </w:rPr>
        <w:t>Moonen</w:t>
      </w:r>
      <w:proofErr w:type="spellEnd"/>
      <w:r w:rsidR="00BD6681">
        <w:rPr>
          <w:color w:val="auto"/>
        </w:rPr>
        <w:t xml:space="preserve"> 2022). Absence of the inclusion of these MBS items underestimates the cost to the MBS</w:t>
      </w:r>
      <w:r w:rsidR="00587749">
        <w:rPr>
          <w:color w:val="auto"/>
        </w:rPr>
        <w:t xml:space="preserve"> if the use of these services differ between PASCAL and </w:t>
      </w:r>
      <w:proofErr w:type="spellStart"/>
      <w:r w:rsidR="00587749">
        <w:rPr>
          <w:color w:val="auto"/>
        </w:rPr>
        <w:t>MitraClip</w:t>
      </w:r>
      <w:proofErr w:type="spellEnd"/>
      <w:r w:rsidR="00BD6681">
        <w:rPr>
          <w:color w:val="auto"/>
        </w:rPr>
        <w:t xml:space="preserve">. </w:t>
      </w:r>
    </w:p>
    <w:p w14:paraId="1D0A085D" w14:textId="50BAEA4A" w:rsidR="00561708" w:rsidRPr="004807F5" w:rsidRDefault="006D0EC2" w:rsidP="00210CA3">
      <w:pPr>
        <w:pStyle w:val="Instructionaltext-afterfiguretable"/>
        <w:numPr>
          <w:ilvl w:val="0"/>
          <w:numId w:val="21"/>
        </w:numPr>
        <w:spacing w:before="120" w:after="120"/>
        <w:ind w:left="284" w:hanging="284"/>
        <w:rPr>
          <w:color w:val="auto"/>
        </w:rPr>
      </w:pPr>
      <w:r w:rsidRPr="00561708">
        <w:rPr>
          <w:color w:val="auto"/>
        </w:rPr>
        <w:t xml:space="preserve">The average </w:t>
      </w:r>
      <w:r w:rsidR="00587749">
        <w:rPr>
          <w:color w:val="auto"/>
        </w:rPr>
        <w:t>fee</w:t>
      </w:r>
      <w:r w:rsidR="00587749" w:rsidRPr="00561708">
        <w:rPr>
          <w:color w:val="auto"/>
        </w:rPr>
        <w:t xml:space="preserve"> </w:t>
      </w:r>
      <w:r w:rsidRPr="00561708">
        <w:rPr>
          <w:color w:val="auto"/>
        </w:rPr>
        <w:t xml:space="preserve">of the proposed technology per patient per course is: </w:t>
      </w:r>
      <w:r w:rsidR="00990E04" w:rsidRPr="00561708">
        <w:rPr>
          <w:color w:val="auto"/>
        </w:rPr>
        <w:t>$2,009.15 or  $1,506.86 (75% benefit)</w:t>
      </w:r>
      <w:r w:rsidR="00E9210C" w:rsidRPr="00561708">
        <w:rPr>
          <w:color w:val="auto"/>
        </w:rPr>
        <w:t xml:space="preserve">. This proposed fee </w:t>
      </w:r>
      <w:r w:rsidR="00561708">
        <w:rPr>
          <w:color w:val="auto"/>
        </w:rPr>
        <w:t xml:space="preserve">includes </w:t>
      </w:r>
      <w:r w:rsidR="00990E04" w:rsidRPr="00561708">
        <w:rPr>
          <w:color w:val="auto"/>
        </w:rPr>
        <w:t xml:space="preserve">other MBS items associated with the </w:t>
      </w:r>
      <w:proofErr w:type="spellStart"/>
      <w:r w:rsidR="00990E04" w:rsidRPr="00561708">
        <w:rPr>
          <w:color w:val="auto"/>
        </w:rPr>
        <w:t>TMVr</w:t>
      </w:r>
      <w:proofErr w:type="spellEnd"/>
      <w:r w:rsidR="00990E04" w:rsidRPr="00561708">
        <w:rPr>
          <w:color w:val="auto"/>
        </w:rPr>
        <w:t xml:space="preserve"> procedure (case coordination, anaesthetics, post-procedure echocardiogram</w:t>
      </w:r>
      <w:r w:rsidR="00152206">
        <w:rPr>
          <w:color w:val="auto"/>
        </w:rPr>
        <w:t>, valvuloplasty</w:t>
      </w:r>
      <w:r w:rsidR="00561708">
        <w:rPr>
          <w:color w:val="auto"/>
        </w:rPr>
        <w:t xml:space="preserve">) but as already discussed </w:t>
      </w:r>
      <w:r w:rsidR="007136D5">
        <w:rPr>
          <w:color w:val="auto"/>
        </w:rPr>
        <w:t>could</w:t>
      </w:r>
      <w:r w:rsidR="00561708">
        <w:rPr>
          <w:color w:val="auto"/>
        </w:rPr>
        <w:t xml:space="preserve"> be an underestimate. </w:t>
      </w:r>
    </w:p>
    <w:p w14:paraId="194A86A3" w14:textId="592226C1" w:rsidR="00561708" w:rsidRDefault="00561708" w:rsidP="00210CA3">
      <w:pPr>
        <w:pStyle w:val="Instructionaltext-afterfiguretable"/>
        <w:numPr>
          <w:ilvl w:val="0"/>
          <w:numId w:val="21"/>
        </w:numPr>
        <w:spacing w:before="120" w:after="120"/>
        <w:ind w:left="284" w:hanging="284"/>
        <w:rPr>
          <w:color w:val="auto"/>
        </w:rPr>
      </w:pPr>
      <w:r>
        <w:rPr>
          <w:color w:val="auto"/>
        </w:rPr>
        <w:t xml:space="preserve">It is proposed that the frequency of use of the proposed technology is the same as for </w:t>
      </w:r>
      <w:proofErr w:type="spellStart"/>
      <w:r>
        <w:rPr>
          <w:color w:val="auto"/>
        </w:rPr>
        <w:t>MitraClip</w:t>
      </w:r>
      <w:proofErr w:type="spellEnd"/>
      <w:r>
        <w:rPr>
          <w:color w:val="auto"/>
        </w:rPr>
        <w:t>, that is it can only be provided once ever</w:t>
      </w:r>
      <w:r w:rsidR="0082404B">
        <w:rPr>
          <w:color w:val="auto"/>
        </w:rPr>
        <w:t>y five years.</w:t>
      </w:r>
    </w:p>
    <w:p w14:paraId="3A39FBAB" w14:textId="77777777" w:rsidR="00210CA3" w:rsidRPr="00CE28E3" w:rsidRDefault="00210CA3" w:rsidP="00210CA3">
      <w:pPr>
        <w:pStyle w:val="Heading2"/>
        <w:numPr>
          <w:ilvl w:val="0"/>
          <w:numId w:val="0"/>
        </w:numPr>
      </w:pPr>
      <w:r>
        <w:t>15.</w:t>
      </w:r>
      <w:r>
        <w:tab/>
      </w:r>
      <w:r w:rsidRPr="00CE28E3">
        <w:t xml:space="preserve">Other relevant </w:t>
      </w:r>
      <w:r>
        <w:t>information</w:t>
      </w:r>
    </w:p>
    <w:p w14:paraId="0E359FA3" w14:textId="7B4B5DED" w:rsidR="00210CA3" w:rsidRDefault="00210CA3" w:rsidP="00210CA3">
      <w:pPr>
        <w:pStyle w:val="Instructionaltext-afterfiguretable"/>
        <w:spacing w:before="120" w:after="120"/>
        <w:rPr>
          <w:color w:val="auto"/>
        </w:rPr>
      </w:pPr>
      <w:r>
        <w:rPr>
          <w:color w:val="auto"/>
        </w:rPr>
        <w:t>Nil</w:t>
      </w:r>
    </w:p>
    <w:p w14:paraId="019332E3" w14:textId="77777777" w:rsidR="00F35C7B" w:rsidRPr="008A2C9F" w:rsidRDefault="00F35C7B" w:rsidP="00F35C7B">
      <w:pPr>
        <w:pStyle w:val="Heading2"/>
        <w:numPr>
          <w:ilvl w:val="0"/>
          <w:numId w:val="0"/>
        </w:numPr>
      </w:pPr>
      <w:r>
        <w:t>16.</w:t>
      </w:r>
      <w:r>
        <w:tab/>
        <w:t>Key issues from ESC to MSAC</w:t>
      </w:r>
    </w:p>
    <w:tbl>
      <w:tblPr>
        <w:tblStyle w:val="TableGrid"/>
        <w:tblW w:w="9209" w:type="dxa"/>
        <w:tblInd w:w="-147" w:type="dxa"/>
        <w:tblLook w:val="04A0" w:firstRow="1" w:lastRow="0" w:firstColumn="1" w:lastColumn="0" w:noHBand="0" w:noVBand="1"/>
      </w:tblPr>
      <w:tblGrid>
        <w:gridCol w:w="9209"/>
      </w:tblGrid>
      <w:tr w:rsidR="00F35C7B" w:rsidRPr="00CE28E3" w14:paraId="6C2C5CB2" w14:textId="77777777" w:rsidTr="00032E3D">
        <w:tc>
          <w:tcPr>
            <w:tcW w:w="9209" w:type="dxa"/>
          </w:tcPr>
          <w:p w14:paraId="71BED831" w14:textId="77777777" w:rsidR="00F35C7B" w:rsidRPr="00310000" w:rsidRDefault="00F35C7B" w:rsidP="00032E3D">
            <w:pPr>
              <w:spacing w:before="240" w:after="240"/>
              <w:rPr>
                <w:b/>
                <w:bCs/>
                <w:sz w:val="24"/>
                <w:szCs w:val="24"/>
              </w:rPr>
            </w:pPr>
            <w:r w:rsidRPr="00310000">
              <w:rPr>
                <w:b/>
                <w:bCs/>
                <w:sz w:val="24"/>
                <w:szCs w:val="24"/>
              </w:rPr>
              <w:t xml:space="preserve">Main issues for MSAC consideration </w:t>
            </w:r>
          </w:p>
          <w:p w14:paraId="4178D22D" w14:textId="77777777" w:rsidR="00F35C7B" w:rsidRPr="00496BC6" w:rsidRDefault="00F35C7B" w:rsidP="00032E3D">
            <w:pPr>
              <w:pStyle w:val="Bullet"/>
              <w:numPr>
                <w:ilvl w:val="0"/>
                <w:numId w:val="0"/>
              </w:numPr>
              <w:rPr>
                <w:rFonts w:ascii="Franklin Gothic Book" w:hAnsi="Franklin Gothic Book"/>
                <w:b/>
                <w:bCs/>
              </w:rPr>
            </w:pPr>
            <w:r w:rsidRPr="00496BC6">
              <w:rPr>
                <w:rFonts w:ascii="Franklin Gothic Book" w:hAnsi="Franklin Gothic Book"/>
                <w:b/>
                <w:bCs/>
              </w:rPr>
              <w:t>Clinical issues:</w:t>
            </w:r>
          </w:p>
          <w:p w14:paraId="5323E449" w14:textId="77777777" w:rsidR="00F35C7B" w:rsidRPr="00496BC6" w:rsidRDefault="00F35C7B" w:rsidP="00032E3D">
            <w:pPr>
              <w:pStyle w:val="Bullet"/>
              <w:numPr>
                <w:ilvl w:val="0"/>
                <w:numId w:val="30"/>
              </w:numPr>
              <w:spacing w:before="0"/>
              <w:rPr>
                <w:rFonts w:ascii="Franklin Gothic Book" w:hAnsi="Franklin Gothic Book"/>
              </w:rPr>
            </w:pPr>
            <w:r>
              <w:rPr>
                <w:rFonts w:ascii="Franklin Gothic Book" w:hAnsi="Franklin Gothic Book"/>
              </w:rPr>
              <w:t>The</w:t>
            </w:r>
            <w:r w:rsidRPr="00496BC6">
              <w:rPr>
                <w:rFonts w:ascii="Franklin Gothic Book" w:hAnsi="Franklin Gothic Book"/>
              </w:rPr>
              <w:t xml:space="preserve"> current ADAR </w:t>
            </w:r>
            <w:r>
              <w:rPr>
                <w:rFonts w:ascii="Franklin Gothic Book" w:hAnsi="Franklin Gothic Book"/>
              </w:rPr>
              <w:t>did not</w:t>
            </w:r>
            <w:r w:rsidRPr="00496BC6">
              <w:rPr>
                <w:rFonts w:ascii="Franklin Gothic Book" w:hAnsi="Franklin Gothic Book"/>
              </w:rPr>
              <w:t xml:space="preserve"> provide</w:t>
            </w:r>
            <w:r>
              <w:rPr>
                <w:rFonts w:ascii="Franklin Gothic Book" w:hAnsi="Franklin Gothic Book"/>
              </w:rPr>
              <w:t xml:space="preserve"> </w:t>
            </w:r>
            <w:r w:rsidRPr="00496BC6">
              <w:rPr>
                <w:rFonts w:ascii="Franklin Gothic Book" w:hAnsi="Franklin Gothic Book"/>
              </w:rPr>
              <w:t xml:space="preserve">sufficient </w:t>
            </w:r>
            <w:r>
              <w:rPr>
                <w:rFonts w:ascii="Franklin Gothic Book" w:hAnsi="Franklin Gothic Book"/>
              </w:rPr>
              <w:t xml:space="preserve">additional </w:t>
            </w:r>
            <w:r w:rsidRPr="00496BC6">
              <w:rPr>
                <w:rFonts w:ascii="Franklin Gothic Book" w:hAnsi="Franklin Gothic Book"/>
              </w:rPr>
              <w:t>evidence to support a clinical claim of non</w:t>
            </w:r>
            <w:r>
              <w:rPr>
                <w:rFonts w:ascii="Franklin Gothic Book" w:hAnsi="Franklin Gothic Book"/>
              </w:rPr>
              <w:noBreakHyphen/>
            </w:r>
            <w:r w:rsidRPr="00496BC6">
              <w:rPr>
                <w:rFonts w:ascii="Franklin Gothic Book" w:hAnsi="Franklin Gothic Book"/>
              </w:rPr>
              <w:t xml:space="preserve">inferior safety and effectiveness for PASCAL compared to </w:t>
            </w:r>
            <w:proofErr w:type="spellStart"/>
            <w:r w:rsidRPr="00496BC6">
              <w:rPr>
                <w:rFonts w:ascii="Franklin Gothic Book" w:hAnsi="Franklin Gothic Book"/>
              </w:rPr>
              <w:t>MitraClip</w:t>
            </w:r>
            <w:proofErr w:type="spellEnd"/>
            <w:r w:rsidRPr="00496BC6">
              <w:rPr>
                <w:rFonts w:ascii="Franklin Gothic Book" w:hAnsi="Franklin Gothic Book"/>
              </w:rPr>
              <w:t xml:space="preserve">: </w:t>
            </w:r>
          </w:p>
          <w:p w14:paraId="22F9997E" w14:textId="77777777" w:rsidR="00F35C7B" w:rsidRPr="00496BC6" w:rsidRDefault="00F35C7B" w:rsidP="00032E3D">
            <w:pPr>
              <w:pStyle w:val="Bullet"/>
              <w:numPr>
                <w:ilvl w:val="1"/>
                <w:numId w:val="3"/>
              </w:numPr>
              <w:spacing w:before="0"/>
              <w:ind w:left="1080"/>
              <w:rPr>
                <w:rFonts w:ascii="Franklin Gothic Book" w:hAnsi="Franklin Gothic Book"/>
              </w:rPr>
            </w:pPr>
            <w:r>
              <w:rPr>
                <w:rFonts w:ascii="Franklin Gothic Book" w:hAnsi="Franklin Gothic Book"/>
              </w:rPr>
              <w:t>The ADAR mostly re-presented t</w:t>
            </w:r>
            <w:r w:rsidRPr="00496BC6">
              <w:rPr>
                <w:rFonts w:ascii="Franklin Gothic Book" w:hAnsi="Franklin Gothic Book"/>
              </w:rPr>
              <w:t>he unanchored matched adjusted indirect comparison (MAIC) presented in the current ADAR</w:t>
            </w:r>
            <w:r>
              <w:rPr>
                <w:rFonts w:ascii="Franklin Gothic Book" w:hAnsi="Franklin Gothic Book"/>
              </w:rPr>
              <w:t>. This</w:t>
            </w:r>
            <w:r w:rsidRPr="00496BC6">
              <w:rPr>
                <w:rFonts w:ascii="Franklin Gothic Book" w:hAnsi="Franklin Gothic Book"/>
              </w:rPr>
              <w:t xml:space="preserve"> did not substantially differ to that presented in the previous ADAR. </w:t>
            </w:r>
          </w:p>
          <w:p w14:paraId="5C822980" w14:textId="77777777" w:rsidR="00F35C7B" w:rsidRPr="009A6828" w:rsidRDefault="00F35C7B" w:rsidP="00032E3D">
            <w:pPr>
              <w:pStyle w:val="Bullet"/>
              <w:numPr>
                <w:ilvl w:val="1"/>
                <w:numId w:val="3"/>
              </w:numPr>
              <w:spacing w:before="0"/>
              <w:ind w:left="1023" w:hanging="284"/>
              <w:rPr>
                <w:rFonts w:ascii="Franklin Gothic Book" w:hAnsi="Franklin Gothic Book"/>
              </w:rPr>
            </w:pPr>
            <w:r w:rsidRPr="009A6828">
              <w:rPr>
                <w:rFonts w:ascii="Franklin Gothic Book" w:hAnsi="Franklin Gothic Book"/>
              </w:rPr>
              <w:t xml:space="preserve">Although there is some additional comparative evidence, the evidence is limited to the small, non-randomised studies that did not report safety and efficacy for the FMR and DMR subgroups separately. </w:t>
            </w:r>
            <w:r>
              <w:rPr>
                <w:rFonts w:ascii="Franklin Gothic Book" w:hAnsi="Franklin Gothic Book"/>
              </w:rPr>
              <w:t xml:space="preserve">This evidence presented in the ADAR was not of sufficient quality to support non-inferiority. </w:t>
            </w:r>
            <w:r w:rsidRPr="009A6828">
              <w:rPr>
                <w:rFonts w:ascii="Franklin Gothic Book" w:hAnsi="Franklin Gothic Book"/>
              </w:rPr>
              <w:t xml:space="preserve">MSAC advised that any future submission should preferably include evidence that is comparable in quality to the </w:t>
            </w:r>
            <w:proofErr w:type="spellStart"/>
            <w:r w:rsidRPr="009A6828">
              <w:rPr>
                <w:rFonts w:ascii="Franklin Gothic Book" w:hAnsi="Franklin Gothic Book"/>
              </w:rPr>
              <w:t>MitraClip</w:t>
            </w:r>
            <w:proofErr w:type="spellEnd"/>
            <w:r w:rsidRPr="009A6828">
              <w:rPr>
                <w:rFonts w:ascii="Franklin Gothic Book" w:hAnsi="Franklin Gothic Book"/>
              </w:rPr>
              <w:t xml:space="preserve"> trial evidence (RCT with 2 years follow-up) and comparative evidence for the DMR population alone. Longer-term comparative data should also be included.</w:t>
            </w:r>
          </w:p>
          <w:p w14:paraId="087EEC38" w14:textId="77777777" w:rsidR="00F35C7B" w:rsidRDefault="00F35C7B" w:rsidP="00032E3D">
            <w:pPr>
              <w:pStyle w:val="Bullet"/>
              <w:numPr>
                <w:ilvl w:val="1"/>
                <w:numId w:val="3"/>
              </w:numPr>
              <w:spacing w:before="0"/>
              <w:ind w:left="1080"/>
              <w:rPr>
                <w:rFonts w:ascii="Franklin Gothic Book" w:hAnsi="Franklin Gothic Book"/>
              </w:rPr>
            </w:pPr>
            <w:r>
              <w:rPr>
                <w:rFonts w:ascii="Franklin Gothic Book" w:hAnsi="Franklin Gothic Book"/>
              </w:rPr>
              <w:t>Additional comparative data from the CLASP IID study for the DMR population was provided in the pre-ESC response and not evaluated</w:t>
            </w:r>
          </w:p>
          <w:p w14:paraId="0838D639" w14:textId="77777777" w:rsidR="00F35C7B" w:rsidRPr="00496BC6" w:rsidRDefault="00F35C7B" w:rsidP="00032E3D">
            <w:pPr>
              <w:pStyle w:val="Bullet"/>
              <w:numPr>
                <w:ilvl w:val="0"/>
                <w:numId w:val="30"/>
              </w:numPr>
              <w:spacing w:before="0"/>
              <w:rPr>
                <w:rFonts w:ascii="Franklin Gothic Book" w:hAnsi="Franklin Gothic Book"/>
              </w:rPr>
            </w:pPr>
            <w:r>
              <w:rPr>
                <w:rFonts w:ascii="Franklin Gothic Book" w:hAnsi="Franklin Gothic Book"/>
              </w:rPr>
              <w:t>No</w:t>
            </w:r>
            <w:r w:rsidRPr="00496BC6">
              <w:rPr>
                <w:rFonts w:ascii="Franklin Gothic Book" w:hAnsi="Franklin Gothic Book"/>
              </w:rPr>
              <w:t xml:space="preserve"> comparative evidence (either direct or MAIC) specific for the DMR subgroup</w:t>
            </w:r>
            <w:r>
              <w:rPr>
                <w:rFonts w:ascii="Franklin Gothic Book" w:hAnsi="Franklin Gothic Book"/>
              </w:rPr>
              <w:t>, as requested by MSAC, was presented in the ADAR</w:t>
            </w:r>
            <w:r w:rsidRPr="00496BC6">
              <w:rPr>
                <w:rFonts w:ascii="Franklin Gothic Book" w:hAnsi="Franklin Gothic Book"/>
              </w:rPr>
              <w:t xml:space="preserve">. The ADAR relied on the studies that do not report results separately by DMR and FMR subgroups, reporting instead the outcomes for a “mixed” DMR/FMR population. The available sources of evidence did not identify the long-term safety outcomes (specifically device-related outcomes) for the PASCAL </w:t>
            </w:r>
            <w:proofErr w:type="spellStart"/>
            <w:r w:rsidRPr="00496BC6">
              <w:rPr>
                <w:rFonts w:ascii="Franklin Gothic Book" w:hAnsi="Franklin Gothic Book"/>
              </w:rPr>
              <w:t>TMVr</w:t>
            </w:r>
            <w:proofErr w:type="spellEnd"/>
            <w:r w:rsidRPr="00496BC6">
              <w:rPr>
                <w:rFonts w:ascii="Franklin Gothic Book" w:hAnsi="Franklin Gothic Book"/>
              </w:rPr>
              <w:t xml:space="preserve"> system.</w:t>
            </w:r>
          </w:p>
          <w:p w14:paraId="402C14EF" w14:textId="4F2E188B" w:rsidR="0053722A" w:rsidRPr="00A64CAC" w:rsidRDefault="00F35C7B" w:rsidP="00A64CAC">
            <w:pPr>
              <w:pStyle w:val="BulletBeforeDash"/>
              <w:spacing w:after="840"/>
              <w:ind w:left="357" w:hanging="357"/>
              <w:rPr>
                <w:rFonts w:eastAsiaTheme="minorHAnsi" w:cstheme="minorBidi"/>
                <w:color w:val="auto"/>
                <w:szCs w:val="22"/>
                <w:lang w:eastAsia="en-US"/>
              </w:rPr>
            </w:pPr>
            <w:r w:rsidRPr="00636031">
              <w:rPr>
                <w:rFonts w:eastAsiaTheme="minorHAnsi" w:cstheme="minorBidi"/>
                <w:color w:val="auto"/>
                <w:szCs w:val="22"/>
                <w:lang w:eastAsia="en-US"/>
              </w:rPr>
              <w:t>MSAC may want to consider if the emerging evidence from the RCT (presented at a conference and in press as an uncorrected proof at the time of the ESC review) in the pre-ESC response is sufficient or whether longer-term data beyond 6 months are needed.</w:t>
            </w:r>
          </w:p>
          <w:p w14:paraId="2B502342" w14:textId="5670CB17" w:rsidR="00F35C7B" w:rsidRPr="00310000" w:rsidRDefault="00F35C7B" w:rsidP="00032E3D">
            <w:pPr>
              <w:spacing w:after="160" w:line="259" w:lineRule="auto"/>
              <w:rPr>
                <w:rFonts w:eastAsia="Calibri"/>
                <w:b/>
              </w:rPr>
            </w:pPr>
            <w:r w:rsidRPr="00310000">
              <w:rPr>
                <w:rFonts w:eastAsia="Calibri"/>
                <w:b/>
              </w:rPr>
              <w:lastRenderedPageBreak/>
              <w:t>Economic issues:</w:t>
            </w:r>
          </w:p>
          <w:p w14:paraId="3C657531" w14:textId="77777777" w:rsidR="00F35C7B" w:rsidRPr="00496BC6" w:rsidRDefault="00F35C7B" w:rsidP="00032E3D">
            <w:pPr>
              <w:pStyle w:val="Bullet"/>
              <w:numPr>
                <w:ilvl w:val="0"/>
                <w:numId w:val="30"/>
              </w:numPr>
              <w:spacing w:before="0"/>
              <w:rPr>
                <w:rFonts w:ascii="Franklin Gothic Book" w:hAnsi="Franklin Gothic Book"/>
              </w:rPr>
            </w:pPr>
            <w:r w:rsidRPr="00496BC6">
              <w:rPr>
                <w:rFonts w:ascii="Franklin Gothic Book" w:hAnsi="Franklin Gothic Book"/>
              </w:rPr>
              <w:t xml:space="preserve">The cost-minimisation model in the current ADAR </w:t>
            </w:r>
            <w:r>
              <w:rPr>
                <w:rFonts w:ascii="Franklin Gothic Book" w:hAnsi="Franklin Gothic Book"/>
              </w:rPr>
              <w:t xml:space="preserve">is inconclusive due to uncertainty regarding comparative adverse events and long-term safety outcomes including mortality, hospitalisations and </w:t>
            </w:r>
            <w:r w:rsidRPr="006237FD">
              <w:rPr>
                <w:rFonts w:ascii="Franklin Gothic Book" w:hAnsi="Franklin Gothic Book"/>
              </w:rPr>
              <w:t>device-related surgical revisions</w:t>
            </w:r>
            <w:r>
              <w:rPr>
                <w:rFonts w:ascii="Franklin Gothic Book" w:hAnsi="Franklin Gothic Book"/>
              </w:rPr>
              <w:t>.</w:t>
            </w:r>
            <w:r w:rsidRPr="006237FD">
              <w:rPr>
                <w:rFonts w:ascii="Franklin Gothic Book" w:hAnsi="Franklin Gothic Book"/>
              </w:rPr>
              <w:t xml:space="preserve"> </w:t>
            </w:r>
          </w:p>
          <w:p w14:paraId="1B4DA6F4" w14:textId="77777777" w:rsidR="00F35C7B" w:rsidRPr="00496BC6" w:rsidRDefault="00F35C7B" w:rsidP="00032E3D">
            <w:pPr>
              <w:pStyle w:val="Bullet"/>
              <w:keepNext/>
              <w:numPr>
                <w:ilvl w:val="0"/>
                <w:numId w:val="0"/>
              </w:numPr>
              <w:spacing w:after="160" w:line="259" w:lineRule="auto"/>
              <w:rPr>
                <w:rFonts w:ascii="Franklin Gothic Book" w:eastAsia="Calibri" w:hAnsi="Franklin Gothic Book"/>
                <w:b/>
              </w:rPr>
            </w:pPr>
            <w:r w:rsidRPr="00496BC6">
              <w:rPr>
                <w:rFonts w:ascii="Franklin Gothic Book" w:eastAsia="Calibri" w:hAnsi="Franklin Gothic Book"/>
                <w:b/>
              </w:rPr>
              <w:t>Financial issues:</w:t>
            </w:r>
          </w:p>
          <w:p w14:paraId="0D0AA36E" w14:textId="77777777" w:rsidR="00F35C7B" w:rsidRPr="0070319A" w:rsidRDefault="00F35C7B" w:rsidP="00032E3D">
            <w:pPr>
              <w:pStyle w:val="Bullet"/>
              <w:numPr>
                <w:ilvl w:val="0"/>
                <w:numId w:val="30"/>
              </w:numPr>
              <w:spacing w:before="0"/>
            </w:pPr>
            <w:r w:rsidRPr="00496BC6">
              <w:rPr>
                <w:rFonts w:ascii="Franklin Gothic Book" w:hAnsi="Franklin Gothic Book"/>
              </w:rPr>
              <w:t>The financial implications do not consider device or hospital costs</w:t>
            </w:r>
            <w:r>
              <w:rPr>
                <w:rFonts w:ascii="Franklin Gothic Book" w:hAnsi="Franklin Gothic Book"/>
              </w:rPr>
              <w:t xml:space="preserve"> and are based on an assumption of a nil net impact on the MBS</w:t>
            </w:r>
            <w:r w:rsidRPr="00496BC6">
              <w:rPr>
                <w:rFonts w:ascii="Franklin Gothic Book" w:hAnsi="Franklin Gothic Book"/>
              </w:rPr>
              <w:t>.</w:t>
            </w:r>
            <w:r w:rsidRPr="00364BB2">
              <w:t xml:space="preserve"> </w:t>
            </w:r>
          </w:p>
        </w:tc>
      </w:tr>
    </w:tbl>
    <w:p w14:paraId="7CECF92B" w14:textId="77777777" w:rsidR="00F35C7B" w:rsidRPr="003B5C89" w:rsidRDefault="00F35C7B" w:rsidP="00F35C7B">
      <w:pPr>
        <w:keepNext/>
        <w:spacing w:before="240"/>
        <w:outlineLvl w:val="1"/>
        <w:rPr>
          <w:rFonts w:cs="Arial"/>
          <w:b/>
          <w:bCs/>
          <w:iCs/>
          <w:sz w:val="24"/>
          <w:szCs w:val="28"/>
        </w:rPr>
      </w:pPr>
      <w:r w:rsidRPr="003B5C89">
        <w:rPr>
          <w:rFonts w:cs="Arial"/>
          <w:b/>
          <w:bCs/>
          <w:iCs/>
          <w:sz w:val="24"/>
          <w:szCs w:val="28"/>
        </w:rPr>
        <w:lastRenderedPageBreak/>
        <w:t>ESC discussion</w:t>
      </w:r>
    </w:p>
    <w:p w14:paraId="2A1FE507" w14:textId="77777777" w:rsidR="00F35C7B" w:rsidRDefault="00F35C7B" w:rsidP="00F35C7B">
      <w:r>
        <w:t xml:space="preserve">ESC noted that this </w:t>
      </w:r>
      <w:r w:rsidRPr="00D60E78">
        <w:t>application from Edwards Lifesciences request</w:t>
      </w:r>
      <w:r>
        <w:t>ed</w:t>
      </w:r>
      <w:r w:rsidRPr="00D60E78">
        <w:t xml:space="preserve"> Medicare Benefits Schedule (MBS)</w:t>
      </w:r>
      <w:r>
        <w:t xml:space="preserve"> listing</w:t>
      </w:r>
      <w:r w:rsidRPr="00D60E78">
        <w:t xml:space="preserve"> for </w:t>
      </w:r>
      <w:r w:rsidRPr="002C6269">
        <w:t>transcatheter mitral valve repair</w:t>
      </w:r>
      <w:r>
        <w:t xml:space="preserve"> (</w:t>
      </w:r>
      <w:proofErr w:type="spellStart"/>
      <w:r w:rsidRPr="00D60E78">
        <w:t>TMVr</w:t>
      </w:r>
      <w:proofErr w:type="spellEnd"/>
      <w:r>
        <w:t>)</w:t>
      </w:r>
      <w:r w:rsidRPr="00D60E78">
        <w:t xml:space="preserve"> using PASCAL for treatment of patients with degenerative mitral regurgitation (DMR) or functional mitral regurgitation (FMR).</w:t>
      </w:r>
    </w:p>
    <w:p w14:paraId="24A20181" w14:textId="090701D4" w:rsidR="00F35C7B" w:rsidRDefault="00F35C7B" w:rsidP="00F35C7B">
      <w:r>
        <w:t xml:space="preserve">ESC noted that </w:t>
      </w:r>
      <w:r w:rsidRPr="00D60E78">
        <w:t>MBS items 38461</w:t>
      </w:r>
      <w:r>
        <w:t xml:space="preserve"> and</w:t>
      </w:r>
      <w:r w:rsidRPr="00D60E78">
        <w:t xml:space="preserve"> 38463</w:t>
      </w:r>
      <w:r>
        <w:t xml:space="preserve"> are for</w:t>
      </w:r>
      <w:r w:rsidRPr="00D60E78">
        <w:t xml:space="preserve"> </w:t>
      </w:r>
      <w:proofErr w:type="spellStart"/>
      <w:r w:rsidRPr="00D60E78">
        <w:t>TMVr</w:t>
      </w:r>
      <w:proofErr w:type="spellEnd"/>
      <w:r w:rsidRPr="00D60E78">
        <w:t xml:space="preserve"> by transvenous or transeptal techniques for DMR and FMR with the </w:t>
      </w:r>
      <w:proofErr w:type="spellStart"/>
      <w:r w:rsidRPr="00D60E78">
        <w:t>MitraClip</w:t>
      </w:r>
      <w:proofErr w:type="spellEnd"/>
      <w:r w:rsidRPr="00D60E78">
        <w:t xml:space="preserve"> system</w:t>
      </w:r>
      <w:r>
        <w:t>.</w:t>
      </w:r>
      <w:r w:rsidRPr="00D60E78">
        <w:t xml:space="preserve"> </w:t>
      </w:r>
      <w:r>
        <w:t>A</w:t>
      </w:r>
      <w:r w:rsidRPr="00D60E78">
        <w:t xml:space="preserve">t </w:t>
      </w:r>
      <w:r>
        <w:t>its</w:t>
      </w:r>
      <w:r w:rsidRPr="00D60E78">
        <w:t xml:space="preserve"> November 2021</w:t>
      </w:r>
      <w:r>
        <w:t xml:space="preserve"> meeting,</w:t>
      </w:r>
      <w:r w:rsidRPr="00D60E78">
        <w:t xml:space="preserve"> </w:t>
      </w:r>
      <w:r>
        <w:t>MSAC considered Application 1662 and did not support</w:t>
      </w:r>
      <w:r w:rsidRPr="00D60E78">
        <w:t xml:space="preserve"> </w:t>
      </w:r>
      <w:r>
        <w:t xml:space="preserve">amendment of these </w:t>
      </w:r>
      <w:r w:rsidRPr="00D60E78">
        <w:t xml:space="preserve">MBS items </w:t>
      </w:r>
      <w:r>
        <w:t xml:space="preserve">to make them </w:t>
      </w:r>
      <w:r w:rsidRPr="00D60E78">
        <w:t>device agnostic.</w:t>
      </w:r>
      <w:r>
        <w:t xml:space="preserve"> ESC noted that </w:t>
      </w:r>
      <w:r w:rsidRPr="00D60E78">
        <w:t xml:space="preserve">MSAC considered the quality of evidence for </w:t>
      </w:r>
      <w:proofErr w:type="spellStart"/>
      <w:r w:rsidRPr="00D60E78">
        <w:t>TMVr</w:t>
      </w:r>
      <w:proofErr w:type="spellEnd"/>
      <w:r w:rsidRPr="00D60E78">
        <w:t xml:space="preserve"> using the PASCAL system </w:t>
      </w:r>
      <w:r>
        <w:t>to be</w:t>
      </w:r>
      <w:r w:rsidRPr="00D60E78">
        <w:t xml:space="preserve"> low and did not adequately support the claim of clinical non-inferiority</w:t>
      </w:r>
      <w:r>
        <w:t xml:space="preserve"> for safety and effectiveness</w:t>
      </w:r>
      <w:r w:rsidRPr="00D60E78">
        <w:t>. MSAC</w:t>
      </w:r>
      <w:r w:rsidR="00A068A0">
        <w:t>’s previous 2021 consideration</w:t>
      </w:r>
      <w:r w:rsidRPr="00D60E78">
        <w:t xml:space="preserve"> advised that higher quality evidence would be needed to support the claim of non-inferiority. </w:t>
      </w:r>
      <w:r w:rsidR="00A068A0">
        <w:t xml:space="preserve">The previous </w:t>
      </w:r>
      <w:r w:rsidRPr="00D60E78">
        <w:t>MSAC also considered that an unmet clinical need for an alternative device was not clearly demonstrated.</w:t>
      </w:r>
    </w:p>
    <w:p w14:paraId="76208209" w14:textId="0C999B3F" w:rsidR="00F35C7B" w:rsidRDefault="00F35C7B" w:rsidP="00F35C7B">
      <w:pPr>
        <w:rPr>
          <w:color w:val="000000"/>
          <w:shd w:val="clear" w:color="auto" w:fill="FFFFFF"/>
        </w:rPr>
      </w:pPr>
      <w:r w:rsidRPr="00E74A1A">
        <w:t xml:space="preserve">ESC noted </w:t>
      </w:r>
      <w:r w:rsidRPr="00E74A1A">
        <w:rPr>
          <w:rStyle w:val="normaltextrun"/>
          <w:color w:val="000000"/>
          <w:shd w:val="clear" w:color="auto" w:fill="FFFFFF"/>
          <w:lang w:val="en-US"/>
        </w:rPr>
        <w:t xml:space="preserve">product information in the </w:t>
      </w:r>
      <w:r w:rsidR="00592818" w:rsidRPr="00592818">
        <w:rPr>
          <w:rStyle w:val="normaltextrun"/>
          <w:color w:val="000000"/>
          <w:w w:val="68"/>
          <w:shd w:val="solid" w:color="000000" w:fill="000000"/>
          <w:fitText w:val="451" w:id="-1256557816"/>
          <w:lang w:val="en-US"/>
          <w14:textFill>
            <w14:solidFill>
              <w14:srgbClr w14:val="000000">
                <w14:alpha w14:val="100000"/>
              </w14:srgbClr>
            </w14:solidFill>
          </w14:textFill>
        </w:rPr>
        <w:t>|||||</w:t>
      </w:r>
      <w:r w:rsidR="00592818" w:rsidRPr="00592818">
        <w:rPr>
          <w:rStyle w:val="normaltextrun"/>
          <w:color w:val="000000"/>
          <w:spacing w:val="3"/>
          <w:w w:val="68"/>
          <w:shd w:val="solid" w:color="000000" w:fill="000000"/>
          <w:fitText w:val="451" w:id="-1256557816"/>
          <w:lang w:val="en-US"/>
          <w14:textFill>
            <w14:solidFill>
              <w14:srgbClr w14:val="000000">
                <w14:alpha w14:val="100000"/>
              </w14:srgbClr>
            </w14:solidFill>
          </w14:textFill>
        </w:rPr>
        <w:t>|</w:t>
      </w:r>
      <w:r w:rsidR="00592818" w:rsidRPr="00592818">
        <w:rPr>
          <w:rStyle w:val="normaltextrun"/>
          <w:color w:val="000000"/>
          <w:shd w:val="clear" w:color="auto" w:fill="FFFFFF"/>
          <w:lang w:val="en-US"/>
        </w:rPr>
        <w:t xml:space="preserve"> </w:t>
      </w:r>
      <w:r w:rsidR="00592818" w:rsidRPr="00592818">
        <w:rPr>
          <w:rStyle w:val="normaltextrun"/>
          <w:color w:val="000000"/>
          <w:w w:val="66"/>
          <w:shd w:val="solid" w:color="000000" w:fill="000000"/>
          <w:fitText w:val="438" w:id="-1256557815"/>
          <w:lang w:val="en-US"/>
          <w14:textFill>
            <w14:solidFill>
              <w14:srgbClr w14:val="000000">
                <w14:alpha w14:val="100000"/>
              </w14:srgbClr>
            </w14:solidFill>
          </w14:textFill>
        </w:rPr>
        <w:t>|||||</w:t>
      </w:r>
      <w:r w:rsidR="00592818" w:rsidRPr="00592818">
        <w:rPr>
          <w:rStyle w:val="normaltextrun"/>
          <w:color w:val="000000"/>
          <w:spacing w:val="2"/>
          <w:w w:val="66"/>
          <w:shd w:val="solid" w:color="000000" w:fill="000000"/>
          <w:fitText w:val="438" w:id="-1256557815"/>
          <w:lang w:val="en-US"/>
          <w14:textFill>
            <w14:solidFill>
              <w14:srgbClr w14:val="000000">
                <w14:alpha w14:val="100000"/>
              </w14:srgbClr>
            </w14:solidFill>
          </w14:textFill>
        </w:rPr>
        <w:t>|</w:t>
      </w:r>
      <w:r w:rsidR="00592818" w:rsidRPr="00592818">
        <w:rPr>
          <w:rStyle w:val="normaltextrun"/>
          <w:color w:val="000000"/>
          <w:shd w:val="clear" w:color="auto" w:fill="FFFFFF"/>
          <w:lang w:val="en-US"/>
        </w:rPr>
        <w:t xml:space="preserve"> </w:t>
      </w:r>
      <w:r w:rsidR="00592818" w:rsidRPr="00592818">
        <w:rPr>
          <w:rStyle w:val="normaltextrun"/>
          <w:color w:val="000000"/>
          <w:w w:val="66"/>
          <w:shd w:val="solid" w:color="000000" w:fill="000000"/>
          <w:fitText w:val="438" w:id="-1256557814"/>
          <w:lang w:val="en-US"/>
          <w14:textFill>
            <w14:solidFill>
              <w14:srgbClr w14:val="000000">
                <w14:alpha w14:val="100000"/>
              </w14:srgbClr>
            </w14:solidFill>
          </w14:textFill>
        </w:rPr>
        <w:t>|||||</w:t>
      </w:r>
      <w:r w:rsidR="00592818" w:rsidRPr="00592818">
        <w:rPr>
          <w:rStyle w:val="normaltextrun"/>
          <w:color w:val="000000"/>
          <w:spacing w:val="2"/>
          <w:w w:val="66"/>
          <w:shd w:val="solid" w:color="000000" w:fill="000000"/>
          <w:fitText w:val="438" w:id="-1256557814"/>
          <w:lang w:val="en-US"/>
          <w14:textFill>
            <w14:solidFill>
              <w14:srgbClr w14:val="000000">
                <w14:alpha w14:val="100000"/>
              </w14:srgbClr>
            </w14:solidFill>
          </w14:textFill>
        </w:rPr>
        <w:t>|</w:t>
      </w:r>
      <w:r w:rsidR="00592818" w:rsidRPr="00592818">
        <w:rPr>
          <w:rStyle w:val="normaltextrun"/>
          <w:color w:val="000000"/>
          <w:shd w:val="clear" w:color="auto" w:fill="FFFFFF"/>
          <w:lang w:val="en-US"/>
        </w:rPr>
        <w:t xml:space="preserve"> </w:t>
      </w:r>
      <w:r w:rsidRPr="00E74A1A">
        <w:rPr>
          <w:rStyle w:val="normaltextrun"/>
          <w:color w:val="000000"/>
          <w:shd w:val="clear" w:color="auto" w:fill="FFFFFF"/>
          <w:lang w:val="en-US"/>
        </w:rPr>
        <w:t xml:space="preserve">for </w:t>
      </w:r>
      <w:r w:rsidR="00592818" w:rsidRPr="00592818">
        <w:rPr>
          <w:rStyle w:val="normaltextrun"/>
          <w:color w:val="000000"/>
          <w:w w:val="66"/>
          <w:shd w:val="solid" w:color="000000" w:fill="000000"/>
          <w:fitText w:val="439" w:id="-1256557813"/>
          <w:lang w:val="en-US"/>
          <w14:textFill>
            <w14:solidFill>
              <w14:srgbClr w14:val="000000">
                <w14:alpha w14:val="100000"/>
              </w14:srgbClr>
            </w14:solidFill>
          </w14:textFill>
        </w:rPr>
        <w:t>|||||</w:t>
      </w:r>
      <w:r w:rsidR="00592818" w:rsidRPr="00592818">
        <w:rPr>
          <w:rStyle w:val="normaltextrun"/>
          <w:color w:val="000000"/>
          <w:spacing w:val="3"/>
          <w:w w:val="66"/>
          <w:shd w:val="solid" w:color="000000" w:fill="000000"/>
          <w:fitText w:val="439" w:id="-1256557813"/>
          <w:lang w:val="en-US"/>
          <w14:textFill>
            <w14:solidFill>
              <w14:srgbClr w14:val="000000">
                <w14:alpha w14:val="100000"/>
              </w14:srgbClr>
            </w14:solidFill>
          </w14:textFill>
        </w:rPr>
        <w:t>|</w:t>
      </w:r>
      <w:r w:rsidR="00592818" w:rsidRPr="00592818">
        <w:rPr>
          <w:rStyle w:val="normaltextrun"/>
          <w:color w:val="000000"/>
          <w:shd w:val="clear" w:color="auto" w:fill="FFFFFF"/>
          <w:lang w:val="en-US"/>
        </w:rPr>
        <w:t xml:space="preserve"> </w:t>
      </w:r>
      <w:r w:rsidR="00592818" w:rsidRPr="00592818">
        <w:rPr>
          <w:rStyle w:val="normaltextrun"/>
          <w:color w:val="000000"/>
          <w:w w:val="66"/>
          <w:shd w:val="solid" w:color="000000" w:fill="000000"/>
          <w:fitText w:val="438" w:id="-1256557812"/>
          <w:lang w:val="en-US"/>
          <w14:textFill>
            <w14:solidFill>
              <w14:srgbClr w14:val="000000">
                <w14:alpha w14:val="100000"/>
              </w14:srgbClr>
            </w14:solidFill>
          </w14:textFill>
        </w:rPr>
        <w:t>|||||</w:t>
      </w:r>
      <w:r w:rsidR="00592818" w:rsidRPr="00592818">
        <w:rPr>
          <w:rStyle w:val="normaltextrun"/>
          <w:color w:val="000000"/>
          <w:spacing w:val="2"/>
          <w:w w:val="66"/>
          <w:shd w:val="solid" w:color="000000" w:fill="000000"/>
          <w:fitText w:val="438" w:id="-1256557812"/>
          <w:lang w:val="en-US"/>
          <w14:textFill>
            <w14:solidFill>
              <w14:srgbClr w14:val="000000">
                <w14:alpha w14:val="100000"/>
              </w14:srgbClr>
            </w14:solidFill>
          </w14:textFill>
        </w:rPr>
        <w:t>|</w:t>
      </w:r>
      <w:r w:rsidR="00592818" w:rsidRPr="00592818">
        <w:rPr>
          <w:rStyle w:val="normaltextrun"/>
          <w:color w:val="000000"/>
          <w:shd w:val="clear" w:color="auto" w:fill="FFFFFF"/>
          <w:lang w:val="en-US"/>
        </w:rPr>
        <w:t xml:space="preserve"> </w:t>
      </w:r>
      <w:r w:rsidRPr="00E74A1A">
        <w:rPr>
          <w:rStyle w:val="normaltextrun"/>
          <w:color w:val="000000"/>
          <w:shd w:val="clear" w:color="auto" w:fill="FFFFFF"/>
          <w:lang w:val="en-US"/>
        </w:rPr>
        <w:t xml:space="preserve">indicates that the device is intended to be used in treatment of </w:t>
      </w:r>
      <w:r w:rsidR="00592818" w:rsidRPr="00592818">
        <w:rPr>
          <w:rStyle w:val="normaltextrun"/>
          <w:color w:val="000000"/>
          <w:w w:val="66"/>
          <w:shd w:val="solid" w:color="000000" w:fill="000000"/>
          <w:fitText w:val="438" w:id="-1256557811"/>
          <w:lang w:val="en-US"/>
          <w14:textFill>
            <w14:solidFill>
              <w14:srgbClr w14:val="000000">
                <w14:alpha w14:val="100000"/>
              </w14:srgbClr>
            </w14:solidFill>
          </w14:textFill>
        </w:rPr>
        <w:t>|||||</w:t>
      </w:r>
      <w:r w:rsidR="00592818" w:rsidRPr="00592818">
        <w:rPr>
          <w:rStyle w:val="normaltextrun"/>
          <w:color w:val="000000"/>
          <w:spacing w:val="2"/>
          <w:w w:val="66"/>
          <w:shd w:val="solid" w:color="000000" w:fill="000000"/>
          <w:fitText w:val="438" w:id="-1256557811"/>
          <w:lang w:val="en-US"/>
          <w14:textFill>
            <w14:solidFill>
              <w14:srgbClr w14:val="000000">
                <w14:alpha w14:val="100000"/>
              </w14:srgbClr>
            </w14:solidFill>
          </w14:textFill>
        </w:rPr>
        <w:t>|</w:t>
      </w:r>
      <w:r w:rsidR="00592818" w:rsidRPr="00592818">
        <w:rPr>
          <w:rStyle w:val="normaltextrun"/>
          <w:color w:val="000000"/>
          <w:shd w:val="clear" w:color="auto" w:fill="FFFFFF"/>
          <w:lang w:val="en-US"/>
        </w:rPr>
        <w:t xml:space="preserve"> </w:t>
      </w:r>
      <w:r w:rsidR="00592818" w:rsidRPr="00592818">
        <w:rPr>
          <w:rStyle w:val="normaltextrun"/>
          <w:color w:val="000000"/>
          <w:w w:val="66"/>
          <w:u w:val="single"/>
          <w:shd w:val="solid" w:color="000000" w:fill="000000"/>
          <w:fitText w:val="438" w:id="-1256557810"/>
          <w:lang w:val="en-US"/>
          <w14:textFill>
            <w14:solidFill>
              <w14:srgbClr w14:val="000000">
                <w14:alpha w14:val="100000"/>
              </w14:srgbClr>
            </w14:solidFill>
          </w14:textFill>
        </w:rPr>
        <w:t>|||||</w:t>
      </w:r>
      <w:r w:rsidR="00592818" w:rsidRPr="00592818">
        <w:rPr>
          <w:rStyle w:val="normaltextrun"/>
          <w:color w:val="000000"/>
          <w:spacing w:val="2"/>
          <w:w w:val="66"/>
          <w:u w:val="single"/>
          <w:shd w:val="solid" w:color="000000" w:fill="000000"/>
          <w:fitText w:val="438" w:id="-1256557810"/>
          <w:lang w:val="en-US"/>
          <w14:textFill>
            <w14:solidFill>
              <w14:srgbClr w14:val="000000">
                <w14:alpha w14:val="100000"/>
              </w14:srgbClr>
            </w14:solidFill>
          </w14:textFill>
        </w:rPr>
        <w:t>|</w:t>
      </w:r>
      <w:r w:rsidR="00592818" w:rsidRPr="00592818">
        <w:rPr>
          <w:rStyle w:val="normaltextrun"/>
          <w:color w:val="000000"/>
          <w:u w:val="single"/>
          <w:shd w:val="clear" w:color="auto" w:fill="FFFFFF"/>
          <w:lang w:val="en-US"/>
        </w:rPr>
        <w:t xml:space="preserve"> </w:t>
      </w:r>
      <w:r w:rsidR="00592818" w:rsidRPr="00592818">
        <w:rPr>
          <w:rStyle w:val="findhit"/>
          <w:color w:val="000000"/>
          <w:w w:val="68"/>
          <w:u w:val="single"/>
          <w:shd w:val="solid" w:color="000000" w:fill="000000"/>
          <w:fitText w:val="451" w:id="-1256557809"/>
          <w:lang w:val="en-US"/>
          <w14:textFill>
            <w14:solidFill>
              <w14:srgbClr w14:val="000000">
                <w14:alpha w14:val="100000"/>
              </w14:srgbClr>
            </w14:solidFill>
          </w14:textFill>
        </w:rPr>
        <w:t>|||||</w:t>
      </w:r>
      <w:r w:rsidR="00592818" w:rsidRPr="00592818">
        <w:rPr>
          <w:rStyle w:val="findhit"/>
          <w:color w:val="000000"/>
          <w:spacing w:val="3"/>
          <w:w w:val="68"/>
          <w:u w:val="single"/>
          <w:shd w:val="solid" w:color="000000" w:fill="000000"/>
          <w:fitText w:val="451" w:id="-1256557809"/>
          <w:lang w:val="en-US"/>
          <w14:textFill>
            <w14:solidFill>
              <w14:srgbClr w14:val="000000">
                <w14:alpha w14:val="100000"/>
              </w14:srgbClr>
            </w14:solidFill>
          </w14:textFill>
        </w:rPr>
        <w:t>|</w:t>
      </w:r>
      <w:r w:rsidR="00592818" w:rsidRPr="00592818">
        <w:rPr>
          <w:rStyle w:val="normaltextrun"/>
          <w:color w:val="000000"/>
          <w:shd w:val="clear" w:color="auto" w:fill="FFFFFF"/>
          <w:lang w:val="en-US"/>
        </w:rPr>
        <w:t xml:space="preserve"> </w:t>
      </w:r>
      <w:r w:rsidR="00592818" w:rsidRPr="00592818">
        <w:rPr>
          <w:rStyle w:val="normaltextrun"/>
          <w:color w:val="000000"/>
          <w:w w:val="66"/>
          <w:shd w:val="solid" w:color="000000" w:fill="000000"/>
          <w:fitText w:val="438" w:id="-1256557808"/>
          <w:lang w:val="en-US"/>
          <w14:textFill>
            <w14:solidFill>
              <w14:srgbClr w14:val="000000">
                <w14:alpha w14:val="100000"/>
              </w14:srgbClr>
            </w14:solidFill>
          </w14:textFill>
        </w:rPr>
        <w:t>|||||</w:t>
      </w:r>
      <w:r w:rsidR="00592818" w:rsidRPr="00592818">
        <w:rPr>
          <w:rStyle w:val="normaltextrun"/>
          <w:color w:val="000000"/>
          <w:spacing w:val="2"/>
          <w:w w:val="66"/>
          <w:shd w:val="solid" w:color="000000" w:fill="000000"/>
          <w:fitText w:val="438" w:id="-1256557808"/>
          <w:lang w:val="en-US"/>
          <w14:textFill>
            <w14:solidFill>
              <w14:srgbClr w14:val="000000">
                <w14:alpha w14:val="100000"/>
              </w14:srgbClr>
            </w14:solidFill>
          </w14:textFill>
        </w:rPr>
        <w:t>|</w:t>
      </w:r>
      <w:r w:rsidR="00592818" w:rsidRPr="00592818">
        <w:rPr>
          <w:rStyle w:val="normaltextrun"/>
          <w:color w:val="000000"/>
          <w:shd w:val="clear" w:color="auto" w:fill="FFFFFF"/>
          <w:lang w:val="en-US"/>
        </w:rPr>
        <w:t xml:space="preserve"> </w:t>
      </w:r>
      <w:r w:rsidR="00592818" w:rsidRPr="00592818">
        <w:rPr>
          <w:rStyle w:val="normaltextrun"/>
          <w:color w:val="000000"/>
          <w:w w:val="66"/>
          <w:shd w:val="solid" w:color="000000" w:fill="000000"/>
          <w:fitText w:val="438" w:id="-1256557824"/>
          <w:lang w:val="en-US"/>
          <w14:textFill>
            <w14:solidFill>
              <w14:srgbClr w14:val="000000">
                <w14:alpha w14:val="100000"/>
              </w14:srgbClr>
            </w14:solidFill>
          </w14:textFill>
        </w:rPr>
        <w:t>|||||</w:t>
      </w:r>
      <w:r w:rsidR="00592818" w:rsidRPr="00592818">
        <w:rPr>
          <w:rStyle w:val="normaltextrun"/>
          <w:color w:val="000000"/>
          <w:spacing w:val="2"/>
          <w:w w:val="66"/>
          <w:shd w:val="solid" w:color="000000" w:fill="000000"/>
          <w:fitText w:val="438" w:id="-1256557824"/>
          <w:lang w:val="en-US"/>
          <w14:textFill>
            <w14:solidFill>
              <w14:srgbClr w14:val="000000">
                <w14:alpha w14:val="100000"/>
              </w14:srgbClr>
            </w14:solidFill>
          </w14:textFill>
        </w:rPr>
        <w:t>|</w:t>
      </w:r>
      <w:r w:rsidRPr="00E74A1A">
        <w:rPr>
          <w:rStyle w:val="normaltextrun"/>
          <w:color w:val="000000"/>
          <w:shd w:val="clear" w:color="auto" w:fill="FFFFFF"/>
          <w:lang w:val="en-US"/>
        </w:rPr>
        <w:t>. </w:t>
      </w:r>
      <w:r w:rsidRPr="00E74A1A">
        <w:rPr>
          <w:rStyle w:val="eop"/>
          <w:color w:val="000000"/>
          <w:shd w:val="clear" w:color="auto" w:fill="FFFFFF"/>
        </w:rPr>
        <w:t xml:space="preserve">ESC considered that </w:t>
      </w:r>
      <w:r w:rsidRPr="00E74A1A">
        <w:rPr>
          <w:color w:val="000000"/>
          <w:shd w:val="clear" w:color="auto" w:fill="FFFFFF"/>
          <w:lang w:val="en-US"/>
        </w:rPr>
        <w:t xml:space="preserve">there is a clinical unmet need for </w:t>
      </w:r>
      <w:r w:rsidR="00592818" w:rsidRPr="00592818">
        <w:rPr>
          <w:color w:val="000000"/>
          <w:w w:val="66"/>
          <w:shd w:val="solid" w:color="000000" w:fill="000000"/>
          <w:fitText w:val="438" w:id="-1256557823"/>
          <w:lang w:val="en-US"/>
          <w14:textFill>
            <w14:solidFill>
              <w14:srgbClr w14:val="000000">
                <w14:alpha w14:val="100000"/>
              </w14:srgbClr>
            </w14:solidFill>
          </w14:textFill>
        </w:rPr>
        <w:t>|||||</w:t>
      </w:r>
      <w:r w:rsidR="00592818" w:rsidRPr="00592818">
        <w:rPr>
          <w:color w:val="000000"/>
          <w:spacing w:val="2"/>
          <w:w w:val="66"/>
          <w:shd w:val="solid" w:color="000000" w:fill="000000"/>
          <w:fitText w:val="438" w:id="-1256557823"/>
          <w:lang w:val="en-US"/>
          <w14:textFill>
            <w14:solidFill>
              <w14:srgbClr w14:val="000000">
                <w14:alpha w14:val="100000"/>
              </w14:srgbClr>
            </w14:solidFill>
          </w14:textFill>
        </w:rPr>
        <w:t>|</w:t>
      </w:r>
      <w:r w:rsidR="00592818" w:rsidRPr="00592818">
        <w:rPr>
          <w:color w:val="000000"/>
          <w:shd w:val="clear" w:color="auto" w:fill="FFFFFF"/>
          <w:lang w:val="en-US"/>
        </w:rPr>
        <w:t xml:space="preserve"> </w:t>
      </w:r>
      <w:r w:rsidR="00592818" w:rsidRPr="00592818">
        <w:rPr>
          <w:color w:val="000000"/>
          <w:w w:val="66"/>
          <w:shd w:val="solid" w:color="000000" w:fill="000000"/>
          <w:fitText w:val="439" w:id="-1256557822"/>
          <w:lang w:val="en-US"/>
          <w14:textFill>
            <w14:solidFill>
              <w14:srgbClr w14:val="000000">
                <w14:alpha w14:val="100000"/>
              </w14:srgbClr>
            </w14:solidFill>
          </w14:textFill>
        </w:rPr>
        <w:t>|||||</w:t>
      </w:r>
      <w:r w:rsidR="00592818" w:rsidRPr="00592818">
        <w:rPr>
          <w:color w:val="000000"/>
          <w:spacing w:val="3"/>
          <w:w w:val="66"/>
          <w:shd w:val="solid" w:color="000000" w:fill="000000"/>
          <w:fitText w:val="439" w:id="-1256557822"/>
          <w:lang w:val="en-US"/>
          <w14:textFill>
            <w14:solidFill>
              <w14:srgbClr w14:val="000000">
                <w14:alpha w14:val="100000"/>
              </w14:srgbClr>
            </w14:solidFill>
          </w14:textFill>
        </w:rPr>
        <w:t>|</w:t>
      </w:r>
      <w:r w:rsidR="00592818" w:rsidRPr="00592818">
        <w:rPr>
          <w:color w:val="000000"/>
          <w:shd w:val="clear" w:color="auto" w:fill="FFFFFF"/>
          <w:lang w:val="en-US"/>
        </w:rPr>
        <w:t xml:space="preserve"> </w:t>
      </w:r>
      <w:r w:rsidR="00592818" w:rsidRPr="00592818">
        <w:rPr>
          <w:color w:val="000000"/>
          <w:w w:val="66"/>
          <w:shd w:val="solid" w:color="000000" w:fill="000000"/>
          <w:fitText w:val="439" w:id="-1256557821"/>
          <w:lang w:val="en-US"/>
          <w14:textFill>
            <w14:solidFill>
              <w14:srgbClr w14:val="000000">
                <w14:alpha w14:val="100000"/>
              </w14:srgbClr>
            </w14:solidFill>
          </w14:textFill>
        </w:rPr>
        <w:t>|||||</w:t>
      </w:r>
      <w:r w:rsidR="00592818" w:rsidRPr="00592818">
        <w:rPr>
          <w:color w:val="000000"/>
          <w:spacing w:val="3"/>
          <w:w w:val="66"/>
          <w:shd w:val="solid" w:color="000000" w:fill="000000"/>
          <w:fitText w:val="439" w:id="-1256557821"/>
          <w:lang w:val="en-US"/>
          <w14:textFill>
            <w14:solidFill>
              <w14:srgbClr w14:val="000000">
                <w14:alpha w14:val="100000"/>
              </w14:srgbClr>
            </w14:solidFill>
          </w14:textFill>
        </w:rPr>
        <w:t>|</w:t>
      </w:r>
      <w:r w:rsidR="00592818" w:rsidRPr="00592818">
        <w:rPr>
          <w:color w:val="000000"/>
          <w:shd w:val="clear" w:color="auto" w:fill="FFFFFF"/>
          <w:lang w:val="en-US"/>
        </w:rPr>
        <w:t xml:space="preserve"> </w:t>
      </w:r>
      <w:r w:rsidR="00592818" w:rsidRPr="00592818">
        <w:rPr>
          <w:color w:val="000000"/>
          <w:w w:val="66"/>
          <w:shd w:val="solid" w:color="000000" w:fill="000000"/>
          <w:fitText w:val="438" w:id="-1256557820"/>
          <w:lang w:val="en-US"/>
          <w14:textFill>
            <w14:solidFill>
              <w14:srgbClr w14:val="000000">
                <w14:alpha w14:val="100000"/>
              </w14:srgbClr>
            </w14:solidFill>
          </w14:textFill>
        </w:rPr>
        <w:t>|||||</w:t>
      </w:r>
      <w:r w:rsidR="00592818" w:rsidRPr="00592818">
        <w:rPr>
          <w:color w:val="000000"/>
          <w:spacing w:val="2"/>
          <w:w w:val="66"/>
          <w:shd w:val="solid" w:color="000000" w:fill="000000"/>
          <w:fitText w:val="438" w:id="-1256557820"/>
          <w:lang w:val="en-US"/>
          <w14:textFill>
            <w14:solidFill>
              <w14:srgbClr w14:val="000000">
                <w14:alpha w14:val="100000"/>
              </w14:srgbClr>
            </w14:solidFill>
          </w14:textFill>
        </w:rPr>
        <w:t>|</w:t>
      </w:r>
      <w:r w:rsidR="00592818" w:rsidRPr="00592818">
        <w:rPr>
          <w:color w:val="000000"/>
          <w:shd w:val="clear" w:color="auto" w:fill="FFFFFF"/>
          <w:lang w:val="en-US"/>
        </w:rPr>
        <w:t xml:space="preserve"> </w:t>
      </w:r>
      <w:r w:rsidRPr="00E74A1A">
        <w:rPr>
          <w:color w:val="000000"/>
          <w:shd w:val="clear" w:color="auto" w:fill="FFFFFF"/>
        </w:rPr>
        <w:t>but this indication will need a separate MSAC application with supporting data.</w:t>
      </w:r>
    </w:p>
    <w:p w14:paraId="58297ABF" w14:textId="77777777" w:rsidR="00F35C7B" w:rsidRDefault="00F35C7B" w:rsidP="00F35C7B">
      <w:pPr>
        <w:rPr>
          <w:color w:val="000000"/>
          <w:shd w:val="clear" w:color="auto" w:fill="FFFFFF"/>
        </w:rPr>
      </w:pPr>
      <w:r w:rsidRPr="00B165A4">
        <w:rPr>
          <w:color w:val="000000"/>
          <w:bdr w:val="none" w:sz="0" w:space="0" w:color="auto" w:frame="1"/>
        </w:rPr>
        <w:t xml:space="preserve">ESC considered that valve-in-valve intervention </w:t>
      </w:r>
      <w:r w:rsidRPr="00B165A4">
        <w:rPr>
          <w:color w:val="000000"/>
          <w:bdr w:val="none" w:sz="0" w:space="0" w:color="auto" w:frame="1"/>
          <w:lang w:val="en-US"/>
        </w:rPr>
        <w:t xml:space="preserve">(following failed surgical or transcatheter implanted valve) rather than the existing native valve repair services may need separate </w:t>
      </w:r>
      <w:r>
        <w:rPr>
          <w:color w:val="000000"/>
          <w:bdr w:val="none" w:sz="0" w:space="0" w:color="auto" w:frame="1"/>
          <w:lang w:val="en-US"/>
        </w:rPr>
        <w:t xml:space="preserve">health technology assessment </w:t>
      </w:r>
      <w:r w:rsidRPr="00B165A4">
        <w:rPr>
          <w:color w:val="000000"/>
          <w:bdr w:val="none" w:sz="0" w:space="0" w:color="auto" w:frame="1"/>
          <w:lang w:val="en-US"/>
        </w:rPr>
        <w:t>as the evidence presented in this application related to intervention on a native mitral valve. In this case, MSAC may wish to consider any potential restrictions on the current MBS items being utili</w:t>
      </w:r>
      <w:r>
        <w:rPr>
          <w:color w:val="000000"/>
          <w:bdr w:val="none" w:sz="0" w:space="0" w:color="auto" w:frame="1"/>
          <w:lang w:val="en-US"/>
        </w:rPr>
        <w:t>s</w:t>
      </w:r>
      <w:r w:rsidRPr="00B165A4">
        <w:rPr>
          <w:color w:val="000000"/>
          <w:bdr w:val="none" w:sz="0" w:space="0" w:color="auto" w:frame="1"/>
          <w:lang w:val="en-US"/>
        </w:rPr>
        <w:t>ed for valve</w:t>
      </w:r>
      <w:r>
        <w:rPr>
          <w:color w:val="000000"/>
          <w:bdr w:val="none" w:sz="0" w:space="0" w:color="auto" w:frame="1"/>
          <w:lang w:val="en-US"/>
        </w:rPr>
        <w:t>-</w:t>
      </w:r>
      <w:r w:rsidRPr="00B165A4">
        <w:rPr>
          <w:color w:val="000000"/>
          <w:bdr w:val="none" w:sz="0" w:space="0" w:color="auto" w:frame="1"/>
          <w:lang w:val="en-US"/>
        </w:rPr>
        <w:t>in</w:t>
      </w:r>
      <w:r>
        <w:rPr>
          <w:color w:val="000000"/>
          <w:bdr w:val="none" w:sz="0" w:space="0" w:color="auto" w:frame="1"/>
          <w:lang w:val="en-US"/>
        </w:rPr>
        <w:t>-</w:t>
      </w:r>
      <w:r w:rsidRPr="00B165A4">
        <w:rPr>
          <w:color w:val="000000"/>
          <w:bdr w:val="none" w:sz="0" w:space="0" w:color="auto" w:frame="1"/>
          <w:lang w:val="en-US"/>
        </w:rPr>
        <w:t>valve intervention</w:t>
      </w:r>
      <w:r>
        <w:rPr>
          <w:color w:val="000000"/>
          <w:bdr w:val="none" w:sz="0" w:space="0" w:color="auto" w:frame="1"/>
          <w:lang w:val="en-US"/>
        </w:rPr>
        <w:t xml:space="preserve">. </w:t>
      </w:r>
      <w:r>
        <w:rPr>
          <w:rStyle w:val="eop"/>
          <w:color w:val="000000"/>
          <w:shd w:val="clear" w:color="auto" w:fill="FFFFFF"/>
        </w:rPr>
        <w:t xml:space="preserve">ESC considered </w:t>
      </w:r>
      <w:r>
        <w:rPr>
          <w:color w:val="000000"/>
          <w:shd w:val="clear" w:color="auto" w:fill="FFFFFF"/>
          <w:lang w:val="en-US"/>
        </w:rPr>
        <w:t>b</w:t>
      </w:r>
      <w:r w:rsidRPr="00843DB8">
        <w:rPr>
          <w:color w:val="000000"/>
          <w:shd w:val="clear" w:color="auto" w:fill="FFFFFF"/>
          <w:lang w:val="en-US"/>
        </w:rPr>
        <w:t>alloon valvuloplasty</w:t>
      </w:r>
      <w:r>
        <w:rPr>
          <w:color w:val="000000"/>
          <w:shd w:val="clear" w:color="auto" w:fill="FFFFFF"/>
          <w:lang w:val="en-US"/>
        </w:rPr>
        <w:t xml:space="preserve"> (MBS item </w:t>
      </w:r>
      <w:r w:rsidRPr="00466CA6">
        <w:rPr>
          <w:rStyle w:val="normaltextrun"/>
          <w:color w:val="000000"/>
          <w:bdr w:val="none" w:sz="0" w:space="0" w:color="auto" w:frame="1"/>
          <w:lang w:val="en-US"/>
        </w:rPr>
        <w:t>38270</w:t>
      </w:r>
      <w:r>
        <w:rPr>
          <w:color w:val="000000"/>
          <w:shd w:val="clear" w:color="auto" w:fill="FFFFFF"/>
          <w:lang w:val="en-US"/>
        </w:rPr>
        <w:t>) was</w:t>
      </w:r>
      <w:r w:rsidRPr="00843DB8">
        <w:rPr>
          <w:color w:val="000000"/>
          <w:shd w:val="clear" w:color="auto" w:fill="FFFFFF"/>
          <w:lang w:val="en-US"/>
        </w:rPr>
        <w:t xml:space="preserve"> inherent to the procedure (complete service)</w:t>
      </w:r>
      <w:r>
        <w:rPr>
          <w:color w:val="000000"/>
          <w:shd w:val="clear" w:color="auto" w:fill="FFFFFF"/>
          <w:lang w:val="en-US"/>
        </w:rPr>
        <w:t xml:space="preserve"> and </w:t>
      </w:r>
      <w:r w:rsidRPr="00843DB8">
        <w:rPr>
          <w:color w:val="000000"/>
          <w:shd w:val="clear" w:color="auto" w:fill="FFFFFF"/>
          <w:lang w:val="en-US"/>
        </w:rPr>
        <w:t>should be blocked from co-claiming with items 38461 and 38463</w:t>
      </w:r>
      <w:r>
        <w:rPr>
          <w:color w:val="000000"/>
          <w:shd w:val="clear" w:color="auto" w:fill="FFFFFF"/>
          <w:lang w:val="en-US"/>
        </w:rPr>
        <w:t>.</w:t>
      </w:r>
      <w:r w:rsidRPr="00843DB8">
        <w:rPr>
          <w:color w:val="000000"/>
          <w:shd w:val="clear" w:color="auto" w:fill="FFFFFF"/>
        </w:rPr>
        <w:t xml:space="preserve"> </w:t>
      </w:r>
    </w:p>
    <w:p w14:paraId="4A56C562" w14:textId="77777777" w:rsidR="00F35C7B" w:rsidRDefault="00F35C7B" w:rsidP="00F35C7B">
      <w:r>
        <w:t>ESC noted that t</w:t>
      </w:r>
      <w:r w:rsidRPr="00523788">
        <w:t xml:space="preserve">he original </w:t>
      </w:r>
      <w:r>
        <w:t>applicant-developed assessment report (</w:t>
      </w:r>
      <w:r w:rsidRPr="00523788">
        <w:t>ADAR</w:t>
      </w:r>
      <w:r>
        <w:t>)</w:t>
      </w:r>
      <w:r w:rsidRPr="00523788">
        <w:t xml:space="preserve">, like this ADAR, was based on the ratified PICO for application 1192.3 (for </w:t>
      </w:r>
      <w:proofErr w:type="spellStart"/>
      <w:r w:rsidRPr="00523788">
        <w:t>MitraClip</w:t>
      </w:r>
      <w:proofErr w:type="spellEnd"/>
      <w:r w:rsidRPr="00523788">
        <w:t>) and bypassed PASC.</w:t>
      </w:r>
    </w:p>
    <w:p w14:paraId="7DDF0BD3" w14:textId="77777777" w:rsidR="00F35C7B" w:rsidRDefault="00F35C7B" w:rsidP="00F35C7B">
      <w:r>
        <w:t>ESC noted that two letters of support were received from consumer groups, which noted that this procedure reduces hospital time and improved quality of life. ESC noted that the issues in the descriptor wording raised by MSAC in November 2021 have been addressed to reflect the clinical algorithm and remove ‘symptomatic’ from the descriptor.</w:t>
      </w:r>
    </w:p>
    <w:p w14:paraId="70D5ABF0" w14:textId="77777777" w:rsidR="00F35C7B" w:rsidRPr="00994DBB" w:rsidRDefault="00F35C7B" w:rsidP="00F35C7B">
      <w:r>
        <w:t>ESC noted that t</w:t>
      </w:r>
      <w:r w:rsidRPr="00994DBB">
        <w:t xml:space="preserve">he current ADAR reformatted the same evidence </w:t>
      </w:r>
      <w:r>
        <w:t>from</w:t>
      </w:r>
      <w:r w:rsidRPr="00994DBB">
        <w:t xml:space="preserve"> the MAIC and complemented it with additional </w:t>
      </w:r>
      <w:r>
        <w:t xml:space="preserve">24-month follow-up </w:t>
      </w:r>
      <w:r w:rsidRPr="00994DBB">
        <w:t>observational data</w:t>
      </w:r>
      <w:r>
        <w:t xml:space="preserve"> for the mixed FMR/DMR population (CLASP and EVEREST-II)</w:t>
      </w:r>
      <w:r w:rsidRPr="00994DBB">
        <w:t xml:space="preserve">. The primary sources of evidence presented in the current ADAR consisted of two single-arm studies for PASCAL (CLASP and Mauri 2020), the </w:t>
      </w:r>
      <w:proofErr w:type="spellStart"/>
      <w:r w:rsidRPr="00994DBB">
        <w:t>MitraClip</w:t>
      </w:r>
      <w:proofErr w:type="spellEnd"/>
      <w:r w:rsidRPr="00994DBB">
        <w:t xml:space="preserve"> arms from two RCTs (COAPT and EVEREST-II) and data from the STS/ACC TVT Registry for </w:t>
      </w:r>
      <w:proofErr w:type="spellStart"/>
      <w:r w:rsidRPr="00994DBB">
        <w:t>MitraClip</w:t>
      </w:r>
      <w:proofErr w:type="spellEnd"/>
      <w:r w:rsidRPr="00994DBB">
        <w:t xml:space="preserve"> (Mack 2022). Results of these five observational datasets were presented </w:t>
      </w:r>
      <w:r>
        <w:t>as</w:t>
      </w:r>
      <w:r w:rsidRPr="00994DBB">
        <w:t xml:space="preserve"> naïve comparisons.</w:t>
      </w:r>
    </w:p>
    <w:p w14:paraId="503213FE" w14:textId="77777777" w:rsidR="00F35C7B" w:rsidRPr="00994DBB" w:rsidRDefault="00F35C7B" w:rsidP="00F35C7B">
      <w:r>
        <w:lastRenderedPageBreak/>
        <w:t>ESC noted that t</w:t>
      </w:r>
      <w:r w:rsidRPr="00994DBB">
        <w:t>he match</w:t>
      </w:r>
      <w:r>
        <w:t>ing-</w:t>
      </w:r>
      <w:r w:rsidRPr="00994DBB">
        <w:t xml:space="preserve">adjusted indirect comparison (MAIC) of the outcomes from a single-arm study of PASCAL </w:t>
      </w:r>
      <w:proofErr w:type="spellStart"/>
      <w:r w:rsidRPr="00994DBB">
        <w:t>TMVr</w:t>
      </w:r>
      <w:proofErr w:type="spellEnd"/>
      <w:r w:rsidRPr="00994DBB">
        <w:t xml:space="preserve"> (CLASP) and the </w:t>
      </w:r>
      <w:proofErr w:type="spellStart"/>
      <w:r w:rsidRPr="00994DBB">
        <w:t>MitraClip</w:t>
      </w:r>
      <w:proofErr w:type="spellEnd"/>
      <w:r w:rsidRPr="00994DBB">
        <w:t xml:space="preserve"> arms of two comparative trials (COAPT and EVEREST-II) that formed the core evidence in the previous ADAR was </w:t>
      </w:r>
      <w:r>
        <w:t xml:space="preserve">largely </w:t>
      </w:r>
      <w:r w:rsidRPr="00994DBB">
        <w:t>replicated in the current ADAR. The same patient characteristics were used for matching and results were mostly unchanged from the previous ADAR</w:t>
      </w:r>
      <w:r>
        <w:t xml:space="preserve"> except for an increase to 24 months follow-up data for the mixed FMR/DMR (CLASP and EVEREST-II) comparisons</w:t>
      </w:r>
      <w:r w:rsidRPr="00994DBB">
        <w:t>.</w:t>
      </w:r>
    </w:p>
    <w:p w14:paraId="2C35D037" w14:textId="2DBB035B" w:rsidR="00F35C7B" w:rsidRDefault="00F35C7B" w:rsidP="00F35C7B">
      <w:r>
        <w:t xml:space="preserve">ESC noted that additional </w:t>
      </w:r>
      <w:r w:rsidRPr="00994DBB">
        <w:t>non</w:t>
      </w:r>
      <w:r>
        <w:t>-</w:t>
      </w:r>
      <w:r w:rsidRPr="00994DBB">
        <w:t>randomised</w:t>
      </w:r>
      <w:r>
        <w:t>,</w:t>
      </w:r>
      <w:r w:rsidRPr="00994DBB">
        <w:t xml:space="preserve"> comparative clinical</w:t>
      </w:r>
      <w:r w:rsidR="00A068A0">
        <w:t xml:space="preserve"> studies</w:t>
      </w:r>
      <w:r w:rsidRPr="00994DBB">
        <w:t xml:space="preserve"> (Geis 2022, </w:t>
      </w:r>
      <w:proofErr w:type="spellStart"/>
      <w:r w:rsidRPr="00994DBB">
        <w:t>Haschemi</w:t>
      </w:r>
      <w:proofErr w:type="spellEnd"/>
      <w:r w:rsidRPr="00994DBB">
        <w:t>, 2022) were presented in Appendix D of the ADAR</w:t>
      </w:r>
      <w:r>
        <w:t xml:space="preserve"> but not the main body</w:t>
      </w:r>
      <w:r w:rsidRPr="00994DBB">
        <w:t xml:space="preserve">. The commentary conducted an independent quality assessment of these comparative clinical studies and assessed results from the two studies as having a low to medium level of bias (Geis 2022, </w:t>
      </w:r>
      <w:proofErr w:type="spellStart"/>
      <w:r w:rsidRPr="00994DBB">
        <w:t>Haschemi</w:t>
      </w:r>
      <w:proofErr w:type="spellEnd"/>
      <w:r w:rsidRPr="00994DBB">
        <w:t>, 2022)</w:t>
      </w:r>
      <w:r>
        <w:t xml:space="preserve">, however ESC considered the new studies did not address MSAC previous advice </w:t>
      </w:r>
      <w:r w:rsidRPr="009A6828">
        <w:t xml:space="preserve">that any future submission should preferably include evidence that is comparable in quality to the </w:t>
      </w:r>
      <w:proofErr w:type="spellStart"/>
      <w:r w:rsidRPr="009A6828">
        <w:t>MitraClip</w:t>
      </w:r>
      <w:proofErr w:type="spellEnd"/>
      <w:r w:rsidRPr="009A6828">
        <w:t xml:space="preserve"> trial evidence (RCT with 2 years follow-up) and comparative evidence for the DMR population alone</w:t>
      </w:r>
      <w:r>
        <w:t xml:space="preserve"> or request for l</w:t>
      </w:r>
      <w:r w:rsidRPr="009A6828">
        <w:t>onger-term comparative data</w:t>
      </w:r>
      <w:r>
        <w:t>.</w:t>
      </w:r>
    </w:p>
    <w:p w14:paraId="278198C3" w14:textId="77777777" w:rsidR="00F35C7B" w:rsidRDefault="00F35C7B" w:rsidP="00F35C7B">
      <w:r>
        <w:t xml:space="preserve">ESC noted that </w:t>
      </w:r>
      <w:r w:rsidRPr="00523788">
        <w:t xml:space="preserve">the ADAR quotes the study from </w:t>
      </w:r>
      <w:proofErr w:type="spellStart"/>
      <w:r w:rsidRPr="00523788">
        <w:t>Moonen</w:t>
      </w:r>
      <w:proofErr w:type="spellEnd"/>
      <w:r w:rsidRPr="00523788">
        <w:t xml:space="preserve"> et al</w:t>
      </w:r>
      <w:r>
        <w:t>.</w:t>
      </w:r>
      <w:r w:rsidRPr="00523788">
        <w:t xml:space="preserve"> 2022, </w:t>
      </w:r>
      <w:r>
        <w:t>which</w:t>
      </w:r>
      <w:r w:rsidRPr="00523788">
        <w:t xml:space="preserve"> included patients treated under compassionate use (</w:t>
      </w:r>
      <w:r w:rsidRPr="00093A67">
        <w:rPr>
          <w:i/>
          <w:iCs/>
        </w:rPr>
        <w:t>N</w:t>
      </w:r>
      <w:r>
        <w:t> </w:t>
      </w:r>
      <w:r w:rsidRPr="00523788">
        <w:t>=</w:t>
      </w:r>
      <w:r>
        <w:t> </w:t>
      </w:r>
      <w:r w:rsidRPr="00523788">
        <w:t xml:space="preserve">17; the reason for the compassionate use not explained) and some patients described as having anatomically complex </w:t>
      </w:r>
      <w:r>
        <w:t>mitral regurgitation</w:t>
      </w:r>
      <w:r w:rsidRPr="00523788">
        <w:t xml:space="preserve"> (</w:t>
      </w:r>
      <w:r w:rsidRPr="00093A67">
        <w:rPr>
          <w:i/>
          <w:iCs/>
        </w:rPr>
        <w:t>n</w:t>
      </w:r>
      <w:r>
        <w:t> </w:t>
      </w:r>
      <w:r w:rsidRPr="00523788">
        <w:t>=</w:t>
      </w:r>
      <w:r>
        <w:t> </w:t>
      </w:r>
      <w:r w:rsidRPr="00523788">
        <w:t xml:space="preserve">9), </w:t>
      </w:r>
      <w:r>
        <w:t>which</w:t>
      </w:r>
      <w:r w:rsidRPr="00523788">
        <w:t xml:space="preserve"> were considered technically difficult or anatomically challenging for successful treatment with available therapies</w:t>
      </w:r>
      <w:r>
        <w:t>,</w:t>
      </w:r>
      <w:r w:rsidRPr="00523788">
        <w:t xml:space="preserve"> had the </w:t>
      </w:r>
      <w:proofErr w:type="spellStart"/>
      <w:r w:rsidRPr="00523788">
        <w:t>TMVr</w:t>
      </w:r>
      <w:proofErr w:type="spellEnd"/>
      <w:r w:rsidRPr="00523788">
        <w:t xml:space="preserve"> procedure. Only the PASCAL system was used in this study. </w:t>
      </w:r>
      <w:r>
        <w:t>ESC considered t</w:t>
      </w:r>
      <w:r w:rsidRPr="00523788">
        <w:t xml:space="preserve">he ADAR </w:t>
      </w:r>
      <w:r>
        <w:t>did not identify a group of</w:t>
      </w:r>
      <w:r w:rsidRPr="00523788">
        <w:t xml:space="preserve"> patients </w:t>
      </w:r>
      <w:r>
        <w:t xml:space="preserve">that </w:t>
      </w:r>
      <w:r w:rsidRPr="00523788">
        <w:t>represent an unmet need</w:t>
      </w:r>
      <w:r>
        <w:t xml:space="preserve"> (i.e. cannot use </w:t>
      </w:r>
      <w:proofErr w:type="spellStart"/>
      <w:r>
        <w:t>MitraClip</w:t>
      </w:r>
      <w:proofErr w:type="spellEnd"/>
      <w:r>
        <w:t xml:space="preserve"> but can use PASCAL)</w:t>
      </w:r>
      <w:r w:rsidRPr="00523788">
        <w:t>.</w:t>
      </w:r>
      <w:r>
        <w:t xml:space="preserve"> ESC considered that in the pre-ESC response submitted by the applicant, the registry component of the CLASP IID and CLASP IIF study may provide data on unmet need through patients considered suitable for the PASCAL system but ineligible for </w:t>
      </w:r>
      <w:proofErr w:type="spellStart"/>
      <w:r>
        <w:t>MitraClip</w:t>
      </w:r>
      <w:proofErr w:type="spellEnd"/>
      <w:r>
        <w:t xml:space="preserve"> due to complex anatomical features.</w:t>
      </w:r>
    </w:p>
    <w:p w14:paraId="31CE2EF5" w14:textId="77777777" w:rsidR="00F35C7B" w:rsidRDefault="00F35C7B" w:rsidP="00F35C7B">
      <w:r w:rsidRPr="00364BB2">
        <w:t xml:space="preserve">The ADAR referenced a non-inferiority margin of 1.5 for the hazard ratio (HR) for overall survival (OS), which was poorly substantiated (i.e., taken from </w:t>
      </w:r>
      <w:proofErr w:type="spellStart"/>
      <w:r w:rsidRPr="00364BB2">
        <w:t>MitraClip</w:t>
      </w:r>
      <w:proofErr w:type="spellEnd"/>
      <w:r w:rsidRPr="00364BB2">
        <w:t xml:space="preserve"> </w:t>
      </w:r>
      <w:r>
        <w:t>randomised controlled trial)</w:t>
      </w:r>
      <w:r w:rsidRPr="00364BB2">
        <w:t xml:space="preserve">, where it refers to hospitalisation rates (not OS), and relates to a comparison with best-supportive care (rather than the alternative </w:t>
      </w:r>
      <w:proofErr w:type="spellStart"/>
      <w:r w:rsidRPr="00364BB2">
        <w:t>TMVr</w:t>
      </w:r>
      <w:proofErr w:type="spellEnd"/>
      <w:r w:rsidRPr="00364BB2">
        <w:t>). However, most outcomes also showed no statistically significant differences between the two devices.</w:t>
      </w:r>
    </w:p>
    <w:p w14:paraId="4DEC36BC" w14:textId="77777777" w:rsidR="00F35C7B" w:rsidRDefault="00F35C7B" w:rsidP="00F35C7B">
      <w:r>
        <w:t>ESC noted that the pre-ESC response presented the latest d</w:t>
      </w:r>
      <w:r w:rsidRPr="0044473F">
        <w:t>ata for the primary safety and efficacy outcomes from</w:t>
      </w:r>
      <w:r>
        <w:t xml:space="preserve"> the</w:t>
      </w:r>
      <w:r w:rsidRPr="0044473F">
        <w:t xml:space="preserve"> CLASP IID</w:t>
      </w:r>
      <w:r>
        <w:t xml:space="preserve"> study (for the DMR population), which were </w:t>
      </w:r>
      <w:r w:rsidRPr="0044473F">
        <w:t xml:space="preserve">presented at the </w:t>
      </w:r>
      <w:r w:rsidRPr="00A646E6">
        <w:t>Transcatheter Cardiovascular Therapeutics (TCT) conference</w:t>
      </w:r>
      <w:r w:rsidRPr="00A646E6" w:rsidDel="00A646E6">
        <w:t xml:space="preserve"> </w:t>
      </w:r>
      <w:r>
        <w:t xml:space="preserve">in </w:t>
      </w:r>
      <w:r w:rsidRPr="0044473F">
        <w:t>September 2022</w:t>
      </w:r>
      <w:r>
        <w:t xml:space="preserve"> and published as an uncorrected proof </w:t>
      </w:r>
      <w:r>
        <w:rPr>
          <w:rStyle w:val="FootnoteReference"/>
        </w:rPr>
        <w:footnoteReference w:id="9"/>
      </w:r>
      <w:r w:rsidRPr="0044473F">
        <w:t xml:space="preserve">. </w:t>
      </w:r>
      <w:r>
        <w:t>ESC noted the</w:t>
      </w:r>
      <w:r w:rsidRPr="0044473F">
        <w:t xml:space="preserve"> pre-specified interim analysis of 180 patients</w:t>
      </w:r>
      <w:r>
        <w:t xml:space="preserve"> </w:t>
      </w:r>
      <w:r w:rsidRPr="0044473F">
        <w:t xml:space="preserve">(117 PASCAL, 63 </w:t>
      </w:r>
      <w:proofErr w:type="spellStart"/>
      <w:r w:rsidRPr="0044473F">
        <w:t>MitraClip</w:t>
      </w:r>
      <w:proofErr w:type="spellEnd"/>
      <w:r w:rsidRPr="0044473F">
        <w:t>)</w:t>
      </w:r>
      <w:r>
        <w:t xml:space="preserve"> was brought forward due to meeting the </w:t>
      </w:r>
      <w:r w:rsidRPr="00954F8B">
        <w:rPr>
          <w:lang w:val="en-US"/>
        </w:rPr>
        <w:t>required Bayesian predictive probability for trial success</w:t>
      </w:r>
      <w:r>
        <w:rPr>
          <w:lang w:val="en-US"/>
        </w:rPr>
        <w:t>. The interim analysis found</w:t>
      </w:r>
      <w:r w:rsidRPr="0044473F">
        <w:t xml:space="preserve"> the rate of </w:t>
      </w:r>
      <w:r>
        <w:t>major adverse events (MAEs)</w:t>
      </w:r>
      <w:r w:rsidRPr="0044473F">
        <w:t xml:space="preserve"> at 30 days was 3.4% for PASCAL treated patients compared to 4.8% for patients treated with </w:t>
      </w:r>
      <w:proofErr w:type="spellStart"/>
      <w:r w:rsidRPr="0044473F">
        <w:t>MitraClip</w:t>
      </w:r>
      <w:proofErr w:type="spellEnd"/>
      <w:r>
        <w:t xml:space="preserve"> </w:t>
      </w:r>
      <w:r w:rsidRPr="0044473F">
        <w:t xml:space="preserve">(point estimate, </w:t>
      </w:r>
      <w:r>
        <w:t>–</w:t>
      </w:r>
      <w:r w:rsidRPr="0044473F">
        <w:t xml:space="preserve">1.3%; one-sided 95% </w:t>
      </w:r>
      <w:r>
        <w:t>confidence interval [CI]</w:t>
      </w:r>
      <w:r w:rsidRPr="0044473F">
        <w:t xml:space="preserve"> upper bound 5.1%). The</w:t>
      </w:r>
      <w:r>
        <w:t xml:space="preserve"> </w:t>
      </w:r>
      <w:r w:rsidRPr="0044473F">
        <w:t>upper bound of the</w:t>
      </w:r>
      <w:r>
        <w:t xml:space="preserve"> </w:t>
      </w:r>
      <w:r w:rsidRPr="0044473F">
        <w:t xml:space="preserve">one-sided </w:t>
      </w:r>
      <w:r>
        <w:t>CI</w:t>
      </w:r>
      <w:r w:rsidRPr="0044473F">
        <w:t xml:space="preserve"> (5.1%) was within the pre-specified 15% non-inferiority margin. The safety profile of both devices persisted to 6 months; the MAE rate for PASCAL was 6.1% vs 11.1% for </w:t>
      </w:r>
      <w:proofErr w:type="spellStart"/>
      <w:r w:rsidRPr="0044473F">
        <w:t>MitraClip</w:t>
      </w:r>
      <w:proofErr w:type="spellEnd"/>
      <w:r w:rsidRPr="0044473F">
        <w:t>.</w:t>
      </w:r>
      <w:r>
        <w:t xml:space="preserve"> </w:t>
      </w:r>
    </w:p>
    <w:p w14:paraId="79FC99F1" w14:textId="77777777" w:rsidR="00F35C7B" w:rsidRDefault="00F35C7B" w:rsidP="00F35C7B">
      <w:r>
        <w:rPr>
          <w:lang w:val="en-US"/>
        </w:rPr>
        <w:t>The interim analysis found</w:t>
      </w:r>
      <w:r w:rsidRPr="0044473F">
        <w:t xml:space="preserve"> the</w:t>
      </w:r>
      <w:r>
        <w:t xml:space="preserve"> proportion of patients with MR≤2+ at 6 months </w:t>
      </w:r>
      <w:r w:rsidRPr="0044473F">
        <w:t>was</w:t>
      </w:r>
      <w:r>
        <w:t xml:space="preserve"> 96.5% </w:t>
      </w:r>
      <w:r w:rsidRPr="0044473F">
        <w:t xml:space="preserve">for PASCAL treated patients compared to </w:t>
      </w:r>
      <w:r>
        <w:t>96.8</w:t>
      </w:r>
      <w:r w:rsidRPr="0044473F">
        <w:t xml:space="preserve">% for patients treated with </w:t>
      </w:r>
      <w:proofErr w:type="spellStart"/>
      <w:r w:rsidRPr="0044473F">
        <w:t>MitraClip</w:t>
      </w:r>
      <w:proofErr w:type="spellEnd"/>
      <w:r>
        <w:t xml:space="preserve"> </w:t>
      </w:r>
      <w:r w:rsidRPr="0044473F">
        <w:t>(point estimate</w:t>
      </w:r>
      <w:r>
        <w:t xml:space="preserve"> of difference</w:t>
      </w:r>
      <w:r w:rsidRPr="0044473F">
        <w:t xml:space="preserve">, </w:t>
      </w:r>
      <w:r>
        <w:t>–0</w:t>
      </w:r>
      <w:r w:rsidRPr="0044473F">
        <w:t xml:space="preserve">.3%; one-sided 95% </w:t>
      </w:r>
      <w:r>
        <w:t>confidence interval [CI]</w:t>
      </w:r>
      <w:r w:rsidRPr="0044473F">
        <w:t xml:space="preserve"> </w:t>
      </w:r>
      <w:r>
        <w:t>lower</w:t>
      </w:r>
      <w:r w:rsidRPr="0044473F">
        <w:t xml:space="preserve"> bound </w:t>
      </w:r>
      <w:r>
        <w:t>-6.2</w:t>
      </w:r>
      <w:r w:rsidRPr="0044473F">
        <w:t>%). The</w:t>
      </w:r>
      <w:r>
        <w:t xml:space="preserve"> lower</w:t>
      </w:r>
      <w:r w:rsidRPr="0044473F">
        <w:t xml:space="preserve"> bound of the</w:t>
      </w:r>
      <w:r>
        <w:t xml:space="preserve"> </w:t>
      </w:r>
      <w:r w:rsidRPr="0044473F">
        <w:t xml:space="preserve">one-sided </w:t>
      </w:r>
      <w:r>
        <w:t>CI</w:t>
      </w:r>
      <w:r w:rsidRPr="0044473F">
        <w:t xml:space="preserve"> (</w:t>
      </w:r>
      <w:r>
        <w:t>-6.2</w:t>
      </w:r>
      <w:r w:rsidRPr="0044473F">
        <w:t xml:space="preserve">%) was within the pre-specified </w:t>
      </w:r>
      <w:r>
        <w:t>-18</w:t>
      </w:r>
      <w:r w:rsidRPr="0044473F">
        <w:t>% non-inferiority margin</w:t>
      </w:r>
      <w:r>
        <w:t xml:space="preserve">. In the echocardiographic </w:t>
      </w:r>
      <w:proofErr w:type="spellStart"/>
      <w:r>
        <w:t>corelab</w:t>
      </w:r>
      <w:proofErr w:type="spellEnd"/>
      <w:r>
        <w:t xml:space="preserve"> subset of patients, ESC noted the reduction of MR severity ≤1+ </w:t>
      </w:r>
      <w:r>
        <w:lastRenderedPageBreak/>
        <w:t xml:space="preserve">appeared to be sustained over 6 months for the PASCAL system. ESC noted that the study will </w:t>
      </w:r>
      <w:r w:rsidRPr="0044473F">
        <w:t>continu</w:t>
      </w:r>
      <w:r>
        <w:t>e</w:t>
      </w:r>
      <w:r w:rsidRPr="0044473F">
        <w:t xml:space="preserve"> to </w:t>
      </w:r>
      <w:r>
        <w:t>report 2-year</w:t>
      </w:r>
      <w:r w:rsidRPr="0044473F">
        <w:t xml:space="preserve"> and 5</w:t>
      </w:r>
      <w:r>
        <w:t>-</w:t>
      </w:r>
      <w:r w:rsidRPr="0044473F">
        <w:t>y</w:t>
      </w:r>
      <w:r>
        <w:t>ear</w:t>
      </w:r>
      <w:r w:rsidRPr="0044473F">
        <w:t xml:space="preserve"> outcomes</w:t>
      </w:r>
      <w:r>
        <w:t xml:space="preserve">. </w:t>
      </w:r>
    </w:p>
    <w:p w14:paraId="6AAAB5F9" w14:textId="77777777" w:rsidR="00F35C7B" w:rsidRDefault="00F35C7B" w:rsidP="00F35C7B">
      <w:r>
        <w:t xml:space="preserve">ESC considered that the emergent evidence suggested likelihood of non-inferiority for PASCAL device up to 6 months in the DMR population, however the additional data from the CLASP IID study was not able to be formally evaluated as it was not included in the ADAR. </w:t>
      </w:r>
    </w:p>
    <w:p w14:paraId="32140260" w14:textId="2516FFD6" w:rsidR="00F35C7B" w:rsidRDefault="00F35C7B" w:rsidP="00F35C7B">
      <w:r w:rsidRPr="00E74A1A">
        <w:t xml:space="preserve">ESC noted that the procedure time for PASCAL was </w:t>
      </w:r>
      <w:r w:rsidR="00592818" w:rsidRPr="00592818">
        <w:rPr>
          <w:color w:val="000000"/>
          <w:w w:val="68"/>
          <w:shd w:val="solid" w:color="000000" w:fill="000000"/>
          <w:fitText w:val="450" w:id="-1256557819"/>
          <w14:textFill>
            <w14:solidFill>
              <w14:srgbClr w14:val="000000">
                <w14:alpha w14:val="100000"/>
              </w14:srgbClr>
            </w14:solidFill>
          </w14:textFill>
        </w:rPr>
        <w:t>|||||</w:t>
      </w:r>
      <w:r w:rsidR="00592818" w:rsidRPr="00592818">
        <w:rPr>
          <w:color w:val="000000"/>
          <w:spacing w:val="2"/>
          <w:w w:val="68"/>
          <w:shd w:val="solid" w:color="000000" w:fill="000000"/>
          <w:fitText w:val="450" w:id="-1256557819"/>
          <w14:textFill>
            <w14:solidFill>
              <w14:srgbClr w14:val="000000">
                <w14:alpha w14:val="100000"/>
              </w14:srgbClr>
            </w14:solidFill>
          </w14:textFill>
        </w:rPr>
        <w:t>|</w:t>
      </w:r>
      <w:r w:rsidRPr="00E74A1A">
        <w:t xml:space="preserve"> minutes compared to </w:t>
      </w:r>
      <w:r w:rsidR="00592818" w:rsidRPr="00592818">
        <w:rPr>
          <w:color w:val="000000"/>
          <w:w w:val="66"/>
          <w:shd w:val="solid" w:color="000000" w:fill="000000"/>
          <w:fitText w:val="439" w:id="-1256557818"/>
          <w14:textFill>
            <w14:solidFill>
              <w14:srgbClr w14:val="000000">
                <w14:alpha w14:val="100000"/>
              </w14:srgbClr>
            </w14:solidFill>
          </w14:textFill>
        </w:rPr>
        <w:t>|||||</w:t>
      </w:r>
      <w:r w:rsidR="00592818" w:rsidRPr="00592818">
        <w:rPr>
          <w:color w:val="000000"/>
          <w:spacing w:val="3"/>
          <w:w w:val="66"/>
          <w:shd w:val="solid" w:color="000000" w:fill="000000"/>
          <w:fitText w:val="439" w:id="-1256557818"/>
          <w14:textFill>
            <w14:solidFill>
              <w14:srgbClr w14:val="000000">
                <w14:alpha w14:val="100000"/>
              </w14:srgbClr>
            </w14:solidFill>
          </w14:textFill>
        </w:rPr>
        <w:t>|</w:t>
      </w:r>
      <w:r w:rsidRPr="00E74A1A">
        <w:t xml:space="preserve"> minutes for </w:t>
      </w:r>
      <w:proofErr w:type="spellStart"/>
      <w:r w:rsidRPr="00E74A1A">
        <w:t>MitraClip</w:t>
      </w:r>
      <w:proofErr w:type="spellEnd"/>
      <w:r w:rsidRPr="00E74A1A">
        <w:t xml:space="preserve">, but that this </w:t>
      </w:r>
      <w:r w:rsidR="00592818" w:rsidRPr="00592818">
        <w:rPr>
          <w:color w:val="000000"/>
          <w:w w:val="66"/>
          <w:shd w:val="solid" w:color="000000" w:fill="000000"/>
          <w:fitText w:val="439" w:id="-1256557817"/>
          <w14:textFill>
            <w14:solidFill>
              <w14:srgbClr w14:val="000000">
                <w14:alpha w14:val="100000"/>
              </w14:srgbClr>
            </w14:solidFill>
          </w14:textFill>
        </w:rPr>
        <w:t>|||||</w:t>
      </w:r>
      <w:r w:rsidR="00592818" w:rsidRPr="00592818">
        <w:rPr>
          <w:color w:val="000000"/>
          <w:spacing w:val="3"/>
          <w:w w:val="66"/>
          <w:shd w:val="solid" w:color="000000" w:fill="000000"/>
          <w:fitText w:val="439" w:id="-1256557817"/>
          <w14:textFill>
            <w14:solidFill>
              <w14:srgbClr w14:val="000000">
                <w14:alpha w14:val="100000"/>
              </w14:srgbClr>
            </w14:solidFill>
          </w14:textFill>
        </w:rPr>
        <w:t>|</w:t>
      </w:r>
      <w:r w:rsidRPr="00E74A1A">
        <w:t xml:space="preserve"> would likely </w:t>
      </w:r>
      <w:r w:rsidR="00592818" w:rsidRPr="00592818">
        <w:rPr>
          <w:color w:val="000000"/>
          <w:w w:val="68"/>
          <w:shd w:val="solid" w:color="000000" w:fill="000000"/>
          <w:fitText w:val="451" w:id="-1256557816"/>
          <w14:textFill>
            <w14:solidFill>
              <w14:srgbClr w14:val="000000">
                <w14:alpha w14:val="100000"/>
              </w14:srgbClr>
            </w14:solidFill>
          </w14:textFill>
        </w:rPr>
        <w:t>|||||</w:t>
      </w:r>
      <w:r w:rsidR="00592818" w:rsidRPr="00592818">
        <w:rPr>
          <w:color w:val="000000"/>
          <w:spacing w:val="3"/>
          <w:w w:val="68"/>
          <w:shd w:val="solid" w:color="000000" w:fill="000000"/>
          <w:fitText w:val="451" w:id="-1256557816"/>
          <w14:textFill>
            <w14:solidFill>
              <w14:srgbClr w14:val="000000">
                <w14:alpha w14:val="100000"/>
              </w14:srgbClr>
            </w14:solidFill>
          </w14:textFill>
        </w:rPr>
        <w:t>|</w:t>
      </w:r>
      <w:r w:rsidRPr="00E74A1A">
        <w:t xml:space="preserve"> over time due to </w:t>
      </w:r>
      <w:r w:rsidR="00592818" w:rsidRPr="00592818">
        <w:rPr>
          <w:color w:val="000000"/>
          <w:w w:val="66"/>
          <w:shd w:val="solid" w:color="000000" w:fill="000000"/>
          <w:fitText w:val="439" w:id="-1256557815"/>
          <w14:textFill>
            <w14:solidFill>
              <w14:srgbClr w14:val="000000">
                <w14:alpha w14:val="100000"/>
              </w14:srgbClr>
            </w14:solidFill>
          </w14:textFill>
        </w:rPr>
        <w:t>|||||</w:t>
      </w:r>
      <w:r w:rsidR="00592818" w:rsidRPr="00592818">
        <w:rPr>
          <w:color w:val="000000"/>
          <w:spacing w:val="3"/>
          <w:w w:val="66"/>
          <w:shd w:val="solid" w:color="000000" w:fill="000000"/>
          <w:fitText w:val="439" w:id="-1256557815"/>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7814"/>
          <w14:textFill>
            <w14:solidFill>
              <w14:srgbClr w14:val="000000">
                <w14:alpha w14:val="100000"/>
              </w14:srgbClr>
            </w14:solidFill>
          </w14:textFill>
        </w:rPr>
        <w:t>|||||</w:t>
      </w:r>
      <w:r w:rsidR="00592818" w:rsidRPr="00592818">
        <w:rPr>
          <w:color w:val="000000"/>
          <w:spacing w:val="2"/>
          <w:w w:val="66"/>
          <w:shd w:val="solid" w:color="000000" w:fill="000000"/>
          <w:fitText w:val="438" w:id="-1256557814"/>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7813"/>
          <w14:textFill>
            <w14:solidFill>
              <w14:srgbClr w14:val="000000">
                <w14:alpha w14:val="100000"/>
              </w14:srgbClr>
            </w14:solidFill>
          </w14:textFill>
        </w:rPr>
        <w:t>|||||</w:t>
      </w:r>
      <w:r w:rsidR="00592818" w:rsidRPr="00592818">
        <w:rPr>
          <w:color w:val="000000"/>
          <w:spacing w:val="2"/>
          <w:w w:val="66"/>
          <w:shd w:val="solid" w:color="000000" w:fill="000000"/>
          <w:fitText w:val="438" w:id="-1256557813"/>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7812"/>
          <w14:textFill>
            <w14:solidFill>
              <w14:srgbClr w14:val="000000">
                <w14:alpha w14:val="100000"/>
              </w14:srgbClr>
            </w14:solidFill>
          </w14:textFill>
        </w:rPr>
        <w:t>|||||</w:t>
      </w:r>
      <w:r w:rsidR="00592818" w:rsidRPr="00592818">
        <w:rPr>
          <w:color w:val="000000"/>
          <w:spacing w:val="2"/>
          <w:w w:val="66"/>
          <w:shd w:val="solid" w:color="000000" w:fill="000000"/>
          <w:fitText w:val="438" w:id="-1256557812"/>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9" w:id="-1256557811"/>
          <w14:textFill>
            <w14:solidFill>
              <w14:srgbClr w14:val="000000">
                <w14:alpha w14:val="100000"/>
              </w14:srgbClr>
            </w14:solidFill>
          </w14:textFill>
        </w:rPr>
        <w:t>|||||</w:t>
      </w:r>
      <w:r w:rsidR="00592818" w:rsidRPr="00592818">
        <w:rPr>
          <w:color w:val="000000"/>
          <w:spacing w:val="3"/>
          <w:w w:val="66"/>
          <w:shd w:val="solid" w:color="000000" w:fill="000000"/>
          <w:fitText w:val="439" w:id="-1256557811"/>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7810"/>
          <w14:textFill>
            <w14:solidFill>
              <w14:srgbClr w14:val="000000">
                <w14:alpha w14:val="100000"/>
              </w14:srgbClr>
            </w14:solidFill>
          </w14:textFill>
        </w:rPr>
        <w:t>|||||</w:t>
      </w:r>
      <w:r w:rsidR="00592818" w:rsidRPr="00592818">
        <w:rPr>
          <w:color w:val="000000"/>
          <w:spacing w:val="2"/>
          <w:w w:val="66"/>
          <w:shd w:val="solid" w:color="000000" w:fill="000000"/>
          <w:fitText w:val="438" w:id="-1256557810"/>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9" w:id="-1256557809"/>
          <w14:textFill>
            <w14:solidFill>
              <w14:srgbClr w14:val="000000">
                <w14:alpha w14:val="100000"/>
              </w14:srgbClr>
            </w14:solidFill>
          </w14:textFill>
        </w:rPr>
        <w:t>|||||</w:t>
      </w:r>
      <w:r w:rsidR="00592818" w:rsidRPr="00592818">
        <w:rPr>
          <w:color w:val="000000"/>
          <w:spacing w:val="3"/>
          <w:w w:val="66"/>
          <w:shd w:val="solid" w:color="000000" w:fill="000000"/>
          <w:fitText w:val="439" w:id="-1256557809"/>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8" w:id="-1256557808"/>
          <w14:textFill>
            <w14:solidFill>
              <w14:srgbClr w14:val="000000">
                <w14:alpha w14:val="100000"/>
              </w14:srgbClr>
            </w14:solidFill>
          </w14:textFill>
        </w:rPr>
        <w:t>|||||</w:t>
      </w:r>
      <w:r w:rsidR="00592818" w:rsidRPr="00592818">
        <w:rPr>
          <w:color w:val="000000"/>
          <w:spacing w:val="2"/>
          <w:w w:val="66"/>
          <w:shd w:val="solid" w:color="000000" w:fill="000000"/>
          <w:fitText w:val="438" w:id="-1256557808"/>
          <w14:textFill>
            <w14:solidFill>
              <w14:srgbClr w14:val="000000">
                <w14:alpha w14:val="100000"/>
              </w14:srgbClr>
            </w14:solidFill>
          </w14:textFill>
        </w:rPr>
        <w:t>|</w:t>
      </w:r>
      <w:r w:rsidR="00592818" w:rsidRPr="00592818">
        <w:t xml:space="preserve"> </w:t>
      </w:r>
      <w:r w:rsidR="00592818" w:rsidRPr="00592818">
        <w:rPr>
          <w:color w:val="000000"/>
          <w:w w:val="68"/>
          <w:shd w:val="solid" w:color="000000" w:fill="000000"/>
          <w:fitText w:val="451" w:id="-1256557824"/>
          <w14:textFill>
            <w14:solidFill>
              <w14:srgbClr w14:val="000000">
                <w14:alpha w14:val="100000"/>
              </w14:srgbClr>
            </w14:solidFill>
          </w14:textFill>
        </w:rPr>
        <w:t>|||||</w:t>
      </w:r>
      <w:r w:rsidR="00592818" w:rsidRPr="00592818">
        <w:rPr>
          <w:color w:val="000000"/>
          <w:spacing w:val="3"/>
          <w:w w:val="68"/>
          <w:shd w:val="solid" w:color="000000" w:fill="000000"/>
          <w:fitText w:val="451" w:id="-1256557824"/>
          <w14:textFill>
            <w14:solidFill>
              <w14:srgbClr w14:val="000000">
                <w14:alpha w14:val="100000"/>
              </w14:srgbClr>
            </w14:solidFill>
          </w14:textFill>
        </w:rPr>
        <w:t>|</w:t>
      </w:r>
      <w:r w:rsidR="00592818" w:rsidRPr="00592818">
        <w:t xml:space="preserve"> </w:t>
      </w:r>
      <w:r w:rsidR="00592818" w:rsidRPr="00592818">
        <w:rPr>
          <w:color w:val="000000"/>
          <w:w w:val="66"/>
          <w:shd w:val="solid" w:color="000000" w:fill="000000"/>
          <w:fitText w:val="439" w:id="-1256557823"/>
          <w14:textFill>
            <w14:solidFill>
              <w14:srgbClr w14:val="000000">
                <w14:alpha w14:val="100000"/>
              </w14:srgbClr>
            </w14:solidFill>
          </w14:textFill>
        </w:rPr>
        <w:t>|||||</w:t>
      </w:r>
      <w:r w:rsidR="00592818" w:rsidRPr="00592818">
        <w:rPr>
          <w:color w:val="000000"/>
          <w:spacing w:val="3"/>
          <w:w w:val="66"/>
          <w:shd w:val="solid" w:color="000000" w:fill="000000"/>
          <w:fitText w:val="439" w:id="-1256557823"/>
          <w14:textFill>
            <w14:solidFill>
              <w14:srgbClr w14:val="000000">
                <w14:alpha w14:val="100000"/>
              </w14:srgbClr>
            </w14:solidFill>
          </w14:textFill>
        </w:rPr>
        <w:t>|</w:t>
      </w:r>
      <w:r w:rsidR="00592818" w:rsidRPr="00592818">
        <w:t xml:space="preserve"> </w:t>
      </w:r>
      <w:r w:rsidR="00592818" w:rsidRPr="00520996">
        <w:rPr>
          <w:color w:val="000000"/>
          <w:w w:val="66"/>
          <w:shd w:val="solid" w:color="000000" w:fill="000000"/>
          <w:fitText w:val="438" w:id="-1256557822"/>
          <w14:textFill>
            <w14:solidFill>
              <w14:srgbClr w14:val="000000">
                <w14:alpha w14:val="100000"/>
              </w14:srgbClr>
            </w14:solidFill>
          </w14:textFill>
        </w:rPr>
        <w:t>|||||</w:t>
      </w:r>
      <w:r w:rsidR="00592818" w:rsidRPr="00520996">
        <w:rPr>
          <w:color w:val="000000"/>
          <w:spacing w:val="2"/>
          <w:w w:val="66"/>
          <w:shd w:val="solid" w:color="000000" w:fill="000000"/>
          <w:fitText w:val="438" w:id="-1256557822"/>
          <w14:textFill>
            <w14:solidFill>
              <w14:srgbClr w14:val="000000">
                <w14:alpha w14:val="100000"/>
              </w14:srgbClr>
            </w14:solidFill>
          </w14:textFill>
        </w:rPr>
        <w:t>|</w:t>
      </w:r>
      <w:r w:rsidRPr="00E74A1A">
        <w:t>.</w:t>
      </w:r>
    </w:p>
    <w:p w14:paraId="44ABEC73" w14:textId="08708B57" w:rsidR="00F35C7B" w:rsidRDefault="00F35C7B" w:rsidP="00F35C7B">
      <w:r>
        <w:t xml:space="preserve">Overall, ESC considered the evidence presented likely supported the claim of short-term non-inferior safety (up to 6 months). ESC considered the evidence presented did not sufficiently address </w:t>
      </w:r>
      <w:r w:rsidR="00A068A0">
        <w:t xml:space="preserve">the previous </w:t>
      </w:r>
      <w:r>
        <w:t xml:space="preserve">MSAC’s request for long-term effectiveness and safety data for </w:t>
      </w:r>
      <w:proofErr w:type="spellStart"/>
      <w:r>
        <w:t>TMVr</w:t>
      </w:r>
      <w:proofErr w:type="spellEnd"/>
      <w:r>
        <w:t xml:space="preserve"> using the PASCAL device.</w:t>
      </w:r>
    </w:p>
    <w:p w14:paraId="129ACDE0" w14:textId="55A648AD" w:rsidR="00F35C7B" w:rsidRDefault="00F35C7B" w:rsidP="00F35C7B">
      <w:r>
        <w:t>ESC noted that t</w:t>
      </w:r>
      <w:r w:rsidRPr="005D410F">
        <w:t xml:space="preserve">he previous ADAR </w:t>
      </w:r>
      <w:r w:rsidR="00A068A0">
        <w:t xml:space="preserve">(1662) </w:t>
      </w:r>
      <w:r w:rsidRPr="005D410F">
        <w:t xml:space="preserve">presented a cost-minimisation model with </w:t>
      </w:r>
      <w:r>
        <w:t>a</w:t>
      </w:r>
      <w:r w:rsidRPr="005D410F">
        <w:t xml:space="preserve"> time horizon of 30 days. </w:t>
      </w:r>
      <w:r>
        <w:t>The</w:t>
      </w:r>
      <w:r w:rsidRPr="005D410F">
        <w:t xml:space="preserve"> cost-minimisation analysis was presented assuming that PASCAL is non-inferior in safety and efficacy</w:t>
      </w:r>
      <w:r>
        <w:t xml:space="preserve"> </w:t>
      </w:r>
      <w:r w:rsidRPr="005D410F">
        <w:t xml:space="preserve">compared with </w:t>
      </w:r>
      <w:proofErr w:type="spellStart"/>
      <w:r w:rsidRPr="005D410F">
        <w:t>MitraClip</w:t>
      </w:r>
      <w:proofErr w:type="spellEnd"/>
      <w:r w:rsidRPr="005D410F">
        <w:t xml:space="preserve">. </w:t>
      </w:r>
      <w:r>
        <w:t>ESC considered that th</w:t>
      </w:r>
      <w:r w:rsidRPr="005D410F">
        <w:t xml:space="preserve">e type of the model and the overall approach </w:t>
      </w:r>
      <w:r>
        <w:t>used were both</w:t>
      </w:r>
      <w:r w:rsidRPr="005D410F">
        <w:t xml:space="preserve"> appropriate.</w:t>
      </w:r>
      <w:r>
        <w:t xml:space="preserve"> However, ESC noted </w:t>
      </w:r>
      <w:r w:rsidRPr="005D410F">
        <w:t>MSAC</w:t>
      </w:r>
      <w:r>
        <w:t xml:space="preserve">’s previous assessment </w:t>
      </w:r>
      <w:r w:rsidRPr="005D410F">
        <w:t>that the uncertainty associated with MAIC affected the economic analysis both directly through the adjusted rates of adverse events, and indirectly through the clinical claim of non-inferiority</w:t>
      </w:r>
      <w:r>
        <w:t xml:space="preserve">. </w:t>
      </w:r>
    </w:p>
    <w:p w14:paraId="57D8B289" w14:textId="77777777" w:rsidR="00F35C7B" w:rsidRDefault="00F35C7B" w:rsidP="00F35C7B">
      <w:r w:rsidRPr="005D410F">
        <w:t xml:space="preserve">As in the previous ADAR, </w:t>
      </w:r>
      <w:r>
        <w:t xml:space="preserve">ESC noted that </w:t>
      </w:r>
      <w:r w:rsidRPr="005D410F">
        <w:t xml:space="preserve">the current ADAR reported the costs of the procedure including prosthesis, revision surgery costs and adverse event costs. The most expensive inputs in the cost-minimisation analysis were the costs of </w:t>
      </w:r>
      <w:proofErr w:type="spellStart"/>
      <w:r w:rsidRPr="005D410F">
        <w:t>TMVr</w:t>
      </w:r>
      <w:proofErr w:type="spellEnd"/>
      <w:r w:rsidRPr="005D410F">
        <w:t xml:space="preserve"> devices (prostheses) followed by the procedural costs. These costs comprised the largest part (97</w:t>
      </w:r>
      <w:r>
        <w:t>–</w:t>
      </w:r>
      <w:r w:rsidRPr="005D410F">
        <w:t xml:space="preserve">99%) of the total cost and were assumed to be equivalent for PASCAL and </w:t>
      </w:r>
      <w:proofErr w:type="spellStart"/>
      <w:r w:rsidRPr="005D410F">
        <w:t>MitraClip</w:t>
      </w:r>
      <w:proofErr w:type="spellEnd"/>
      <w:r>
        <w:t>,</w:t>
      </w:r>
      <w:r w:rsidRPr="005D410F">
        <w:t xml:space="preserve"> and equally applied to the FMR and DMR populations. As in the previous ADAR, the current ADAR used a weighted approach to determine the overall result of the cost-minimisation analysis. However, instead of using a 54% FMR to 46% DMR split, the new proportions of 42% and 58% for FMR and DMR, respectively,</w:t>
      </w:r>
      <w:r>
        <w:t xml:space="preserve"> were</w:t>
      </w:r>
      <w:r w:rsidRPr="005D410F">
        <w:t xml:space="preserve"> applied. The rationale for the change in the proportions of FMR/DMR were not provided.</w:t>
      </w:r>
    </w:p>
    <w:p w14:paraId="2F461966" w14:textId="77777777" w:rsidR="00F35C7B" w:rsidRDefault="00F35C7B" w:rsidP="00F35C7B">
      <w:r>
        <w:t xml:space="preserve">ESC noted that the ADAR claimed that all sensitivity analyses had minimal impact on the results of the cost-minimisation model, with PASCAL remaining slightly cost-saving in all scenarios assessed and that overall, the model result is robust and a conclusion of cost neutrality between PASCAL and </w:t>
      </w:r>
      <w:proofErr w:type="spellStart"/>
      <w:r>
        <w:t>MitraClip</w:t>
      </w:r>
      <w:proofErr w:type="spellEnd"/>
      <w:r>
        <w:t xml:space="preserve"> is appropriate. However, the commentary noted that only </w:t>
      </w:r>
      <w:r w:rsidRPr="00364BB2">
        <w:t>a limited number of the</w:t>
      </w:r>
      <w:r>
        <w:t xml:space="preserve"> adverse events </w:t>
      </w:r>
      <w:r w:rsidRPr="00364BB2">
        <w:t>were included in the downstream costs. For those that were included, there was limited short-term (30 days) and longer-term (12 and 24</w:t>
      </w:r>
      <w:r>
        <w:t> </w:t>
      </w:r>
      <w:r w:rsidRPr="00364BB2">
        <w:t xml:space="preserve">months) evidence to obtain reliable estimates. It is likely that the short-term downstream costs, even after being enhanced with the comprehensive number of </w:t>
      </w:r>
      <w:r>
        <w:t>adverse events</w:t>
      </w:r>
      <w:r w:rsidRPr="00364BB2">
        <w:t xml:space="preserve">, will remain a smaller part of the overall cost of a </w:t>
      </w:r>
      <w:proofErr w:type="spellStart"/>
      <w:r w:rsidRPr="00364BB2">
        <w:t>TMVr</w:t>
      </w:r>
      <w:proofErr w:type="spellEnd"/>
      <w:r w:rsidRPr="00364BB2">
        <w:t>. However, it is these costs that relate to the incremental cost difference and, with respect to a longer time horizon</w:t>
      </w:r>
      <w:r>
        <w:t>,</w:t>
      </w:r>
      <w:r w:rsidRPr="00364BB2">
        <w:t xml:space="preserve"> could contain the factors that substantially differentiate the costs of PASCAL and </w:t>
      </w:r>
      <w:proofErr w:type="spellStart"/>
      <w:r w:rsidRPr="00364BB2">
        <w:t>MitraClip</w:t>
      </w:r>
      <w:proofErr w:type="spellEnd"/>
      <w:r w:rsidRPr="00364BB2">
        <w:t xml:space="preserve">. </w:t>
      </w:r>
      <w:r>
        <w:t>ESC noted that o</w:t>
      </w:r>
      <w:r w:rsidRPr="00364BB2">
        <w:t xml:space="preserve">n the basis of the available evidence that provided the inputs for the cost-minimisation model, </w:t>
      </w:r>
      <w:r>
        <w:t xml:space="preserve">it was uncertain if long-term </w:t>
      </w:r>
      <w:r w:rsidRPr="00364BB2">
        <w:t xml:space="preserve">cost neutrality between PASCAL and </w:t>
      </w:r>
      <w:proofErr w:type="spellStart"/>
      <w:r w:rsidRPr="00364BB2">
        <w:t>MitraClip</w:t>
      </w:r>
      <w:proofErr w:type="spellEnd"/>
      <w:r w:rsidRPr="00364BB2">
        <w:t xml:space="preserve"> was established.</w:t>
      </w:r>
    </w:p>
    <w:p w14:paraId="2F49198D" w14:textId="77777777" w:rsidR="00F35C7B" w:rsidRDefault="00F35C7B" w:rsidP="00F35C7B">
      <w:r>
        <w:t xml:space="preserve">ESC considered the additional data did not represent a material improvement to the model however the results of the economic evaluation are reliant on and secondary to whether the clinical claim of non-inferiority was adequately supported by the clinical evidence. </w:t>
      </w:r>
    </w:p>
    <w:p w14:paraId="2265F23E" w14:textId="7A7C982A" w:rsidR="00F35C7B" w:rsidRDefault="00F35C7B" w:rsidP="00F35C7B">
      <w:r>
        <w:t xml:space="preserve">In terms of financial impact, ESC noted it was reasonable to expect that </w:t>
      </w:r>
      <w:r w:rsidRPr="00093A67">
        <w:t xml:space="preserve">the increase in utilisation of PASCAL </w:t>
      </w:r>
      <w:r>
        <w:t>would</w:t>
      </w:r>
      <w:r w:rsidRPr="00093A67">
        <w:t xml:space="preserve"> be offset by a reduction in the use of </w:t>
      </w:r>
      <w:proofErr w:type="spellStart"/>
      <w:r w:rsidRPr="00093A67">
        <w:t>MitraClip</w:t>
      </w:r>
      <w:proofErr w:type="spellEnd"/>
      <w:r>
        <w:t xml:space="preserve"> but considered if design differences between the two devices could lead to additional unmet need being satisfied</w:t>
      </w:r>
      <w:r w:rsidR="003F3289">
        <w:t>,</w:t>
      </w:r>
      <w:r>
        <w:t xml:space="preserve"> there </w:t>
      </w:r>
      <w:r>
        <w:lastRenderedPageBreak/>
        <w:t xml:space="preserve">would be incremental utilisation. ESC noted the impact to other health system budgets (such as hospitalisation costs) was not considered. However, ESC advised that </w:t>
      </w:r>
      <w:proofErr w:type="spellStart"/>
      <w:r>
        <w:t>TMVr</w:t>
      </w:r>
      <w:proofErr w:type="spellEnd"/>
      <w:r>
        <w:t xml:space="preserve"> using PASCAL is likely to have the same hospital costs as </w:t>
      </w:r>
      <w:proofErr w:type="spellStart"/>
      <w:r>
        <w:t>TMVr</w:t>
      </w:r>
      <w:proofErr w:type="spellEnd"/>
      <w:r>
        <w:t xml:space="preserve"> using </w:t>
      </w:r>
      <w:proofErr w:type="spellStart"/>
      <w:r>
        <w:t>Mitraclip</w:t>
      </w:r>
      <w:proofErr w:type="spellEnd"/>
      <w:r>
        <w:t xml:space="preserve">. </w:t>
      </w:r>
    </w:p>
    <w:p w14:paraId="3C0AFAF5" w14:textId="77777777" w:rsidR="00F35C7B" w:rsidRDefault="00F35C7B" w:rsidP="00F35C7B">
      <w:r>
        <w:t xml:space="preserve">ESC noted that, in the pre-ESC response, the applicant </w:t>
      </w:r>
      <w:r w:rsidRPr="0073436C">
        <w:t>confirm</w:t>
      </w:r>
      <w:r>
        <w:t xml:space="preserve">ed </w:t>
      </w:r>
      <w:r w:rsidRPr="0073436C">
        <w:t xml:space="preserve">that the proposed Prosthesis List benefit will fully reimburse the price of the PASCAL device, </w:t>
      </w:r>
      <w:r>
        <w:t>i</w:t>
      </w:r>
      <w:r w:rsidRPr="0073436C">
        <w:t xml:space="preserve">mplant </w:t>
      </w:r>
      <w:r>
        <w:t>s</w:t>
      </w:r>
      <w:r w:rsidRPr="0073436C">
        <w:t>ystem and</w:t>
      </w:r>
      <w:r>
        <w:t xml:space="preserve"> g</w:t>
      </w:r>
      <w:r w:rsidRPr="0073436C">
        <w:t>uide sheath.</w:t>
      </w:r>
      <w:r>
        <w:t xml:space="preserve"> ESC noted that the department was aware that hospitals are being charged costs higher than the Prosthesis List Benefit for cardiac devices. This cost would be incurred by the hospital or patient. ESC noted that the procedural costs (excluding AEs) included in the economic model were the same for PASCAL and </w:t>
      </w:r>
      <w:proofErr w:type="spellStart"/>
      <w:r>
        <w:t>MitraClip</w:t>
      </w:r>
      <w:proofErr w:type="spellEnd"/>
      <w:r>
        <w:t>. These included the prosthesis cost (including the aforementioned devices for the PASCAL system), hospital costs (ICU and non-ICU), and</w:t>
      </w:r>
      <w:r w:rsidDel="006715EB">
        <w:t xml:space="preserve"> </w:t>
      </w:r>
      <w:r>
        <w:t>MBS items (</w:t>
      </w:r>
      <w:proofErr w:type="spellStart"/>
      <w:r>
        <w:t>TMVr</w:t>
      </w:r>
      <w:proofErr w:type="spellEnd"/>
      <w:r>
        <w:t xml:space="preserve"> procedure, post-procedure echocardiogram, anaesthetics, multidisciplinary heart team attendance and coordination). ESC considered this was reasonable as the </w:t>
      </w:r>
      <w:proofErr w:type="spellStart"/>
      <w:r>
        <w:t>TMVr</w:t>
      </w:r>
      <w:proofErr w:type="spellEnd"/>
      <w:r>
        <w:t xml:space="preserve"> procedure is expected to be similar for PASCAL and </w:t>
      </w:r>
      <w:proofErr w:type="spellStart"/>
      <w:r>
        <w:t>MitraClip</w:t>
      </w:r>
      <w:proofErr w:type="spellEnd"/>
      <w:r>
        <w:t>.</w:t>
      </w:r>
      <w:r w:rsidDel="00850A2A">
        <w:t xml:space="preserve"> </w:t>
      </w:r>
    </w:p>
    <w:p w14:paraId="0C4A58F5" w14:textId="77777777" w:rsidR="00F35C7B" w:rsidRPr="0073436C" w:rsidRDefault="00F35C7B" w:rsidP="00F35C7B">
      <w:r>
        <w:t>ESC noted that MBS i</w:t>
      </w:r>
      <w:r w:rsidRPr="0073436C">
        <w:t xml:space="preserve">tem 38519 </w:t>
      </w:r>
      <w:r>
        <w:t xml:space="preserve">cannot be </w:t>
      </w:r>
      <w:r w:rsidRPr="0073436C">
        <w:t xml:space="preserve">claimed by a cardiothoracic surgeon when explanting a </w:t>
      </w:r>
      <w:proofErr w:type="spellStart"/>
      <w:r w:rsidRPr="0073436C">
        <w:t>TMVr</w:t>
      </w:r>
      <w:proofErr w:type="spellEnd"/>
      <w:r w:rsidRPr="0073436C">
        <w:t xml:space="preserve"> implant during </w:t>
      </w:r>
      <w:r>
        <w:t xml:space="preserve">surgical </w:t>
      </w:r>
      <w:r w:rsidRPr="00CA4138">
        <w:t>mitral valve repair</w:t>
      </w:r>
      <w:r>
        <w:t>. ESC also noted that</w:t>
      </w:r>
      <w:r w:rsidRPr="0073436C">
        <w:rPr>
          <w:rFonts w:asciiTheme="minorHAnsi" w:hAnsiTheme="minorHAnsi"/>
        </w:rPr>
        <w:t xml:space="preserve"> </w:t>
      </w:r>
      <w:r>
        <w:rPr>
          <w:rFonts w:asciiTheme="minorHAnsi" w:hAnsiTheme="minorHAnsi"/>
        </w:rPr>
        <w:t>b</w:t>
      </w:r>
      <w:r w:rsidRPr="0073436C">
        <w:t xml:space="preserve">alloon valvuloplasty </w:t>
      </w:r>
      <w:r>
        <w:t xml:space="preserve">is </w:t>
      </w:r>
      <w:r w:rsidRPr="0073436C">
        <w:t xml:space="preserve">inherent to the procedure (complete service) so </w:t>
      </w:r>
      <w:r>
        <w:t xml:space="preserve">it cannot be </w:t>
      </w:r>
      <w:r w:rsidRPr="0073436C">
        <w:t>co-claim</w:t>
      </w:r>
      <w:r>
        <w:t>ed</w:t>
      </w:r>
      <w:r w:rsidRPr="0073436C">
        <w:t xml:space="preserve"> with </w:t>
      </w:r>
      <w:r>
        <w:t xml:space="preserve">MBS </w:t>
      </w:r>
      <w:r w:rsidRPr="0073436C">
        <w:t>items 38461 and 38463</w:t>
      </w:r>
      <w:r>
        <w:t>.</w:t>
      </w:r>
    </w:p>
    <w:p w14:paraId="45166D07" w14:textId="77777777" w:rsidR="00F35C7B" w:rsidRDefault="00F35C7B" w:rsidP="00F35C7B">
      <w:pPr>
        <w:pStyle w:val="Heading2"/>
        <w:numPr>
          <w:ilvl w:val="0"/>
          <w:numId w:val="0"/>
        </w:numPr>
      </w:pPr>
      <w:r>
        <w:t>17.</w:t>
      </w:r>
      <w:r>
        <w:tab/>
        <w:t>Applicant comments on MSAC’s Public Summary Document</w:t>
      </w:r>
    </w:p>
    <w:p w14:paraId="2650B67C" w14:textId="1930E644" w:rsidR="00A1432C" w:rsidRPr="00335614" w:rsidRDefault="002F6560" w:rsidP="00A1432C">
      <w:pPr>
        <w:spacing w:after="240"/>
        <w:rPr>
          <w:rFonts w:ascii="Times New Roman" w:hAnsi="Times New Roman"/>
          <w:szCs w:val="24"/>
        </w:rPr>
      </w:pPr>
      <w:r w:rsidRPr="00335614">
        <w:rPr>
          <w:szCs w:val="24"/>
        </w:rPr>
        <w:t xml:space="preserve">Edwards Lifesciences </w:t>
      </w:r>
      <w:r w:rsidR="00DC7B7B" w:rsidRPr="00335614">
        <w:rPr>
          <w:szCs w:val="24"/>
        </w:rPr>
        <w:t>are</w:t>
      </w:r>
      <w:r w:rsidRPr="00335614">
        <w:rPr>
          <w:szCs w:val="24"/>
        </w:rPr>
        <w:t xml:space="preserve"> disappointed with </w:t>
      </w:r>
      <w:r w:rsidR="00DC7B7B" w:rsidRPr="00335614">
        <w:rPr>
          <w:szCs w:val="24"/>
        </w:rPr>
        <w:t xml:space="preserve">the </w:t>
      </w:r>
      <w:r w:rsidRPr="00335614">
        <w:rPr>
          <w:szCs w:val="24"/>
        </w:rPr>
        <w:t>decision from MSAC not to</w:t>
      </w:r>
      <w:r w:rsidR="00DC7B7B" w:rsidRPr="00335614">
        <w:rPr>
          <w:szCs w:val="24"/>
        </w:rPr>
        <w:t xml:space="preserve"> support public funding of PASCAL. Edwards Lifesciences are looking forward to working with the Department on addressing any uncertainty thereby allowing Australian patients access to an alternative TEER device in the Australian healthcare system. </w:t>
      </w:r>
    </w:p>
    <w:p w14:paraId="1E806E5D" w14:textId="77777777" w:rsidR="00F35C7B" w:rsidRDefault="00F35C7B" w:rsidP="00F35C7B">
      <w:pPr>
        <w:pStyle w:val="Heading2"/>
        <w:numPr>
          <w:ilvl w:val="0"/>
          <w:numId w:val="0"/>
        </w:numPr>
      </w:pPr>
      <w:r>
        <w:t>18.</w:t>
      </w:r>
      <w:r>
        <w:tab/>
        <w:t>Further information on MSAC</w:t>
      </w:r>
    </w:p>
    <w:p w14:paraId="2483DCEB" w14:textId="4DB61AD7" w:rsidR="00F35C7B" w:rsidRPr="0053722A" w:rsidRDefault="00F35C7B" w:rsidP="0053722A">
      <w:pPr>
        <w:pStyle w:val="BodyText"/>
        <w:rPr>
          <w:rFonts w:ascii="Franklin Gothic Book" w:hAnsi="Franklin Gothic Book"/>
          <w:b/>
          <w:bCs/>
          <w:i/>
          <w:iCs/>
        </w:rPr>
      </w:pPr>
      <w:r w:rsidRPr="00F309FA">
        <w:rPr>
          <w:rFonts w:ascii="Franklin Gothic Book" w:hAnsi="Franklin Gothic Book"/>
          <w:bCs/>
          <w:iCs/>
        </w:rPr>
        <w:t xml:space="preserve">MSAC Terms of Reference and other information are available on the MSAC Website: </w:t>
      </w:r>
      <w:hyperlink r:id="rId18" w:tooltip="Link to the MSAC website" w:history="1">
        <w:r w:rsidRPr="00F309FA">
          <w:rPr>
            <w:rStyle w:val="Hyperlink"/>
            <w:rFonts w:ascii="Franklin Gothic Book" w:hAnsi="Franklin Gothic Book"/>
            <w:bCs/>
            <w:iCs/>
          </w:rPr>
          <w:t>visit the MSAC website</w:t>
        </w:r>
      </w:hyperlink>
    </w:p>
    <w:sectPr w:rsidR="00F35C7B" w:rsidRPr="0053722A" w:rsidSect="00784341">
      <w:footerReference w:type="even" r:id="rId19"/>
      <w:footerReference w:type="default" r:id="rId20"/>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1DDFF" w14:textId="77777777" w:rsidR="00475EEA" w:rsidRDefault="00475EEA" w:rsidP="00B62DF2">
      <w:pPr>
        <w:spacing w:after="0" w:line="240" w:lineRule="auto"/>
      </w:pPr>
      <w:r>
        <w:separator/>
      </w:r>
    </w:p>
  </w:endnote>
  <w:endnote w:type="continuationSeparator" w:id="0">
    <w:p w14:paraId="03194DB8" w14:textId="77777777" w:rsidR="00475EEA" w:rsidRDefault="00475EEA" w:rsidP="00B62DF2">
      <w:pPr>
        <w:spacing w:after="0" w:line="240" w:lineRule="auto"/>
      </w:pPr>
      <w:r>
        <w:continuationSeparator/>
      </w:r>
    </w:p>
  </w:endnote>
  <w:endnote w:type="continuationNotice" w:id="1">
    <w:p w14:paraId="03593885" w14:textId="77777777" w:rsidR="00475EEA" w:rsidRDefault="00475EE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Italic">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217058"/>
      <w:docPartObj>
        <w:docPartGallery w:val="Page Numbers (Bottom of Page)"/>
        <w:docPartUnique/>
      </w:docPartObj>
    </w:sdtPr>
    <w:sdtEndPr>
      <w:rPr>
        <w:noProof/>
      </w:rPr>
    </w:sdtEndPr>
    <w:sdtContent>
      <w:p w14:paraId="1A3C255D" w14:textId="351C0CEF" w:rsidR="003D0037" w:rsidRDefault="009957D5" w:rsidP="00A64C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410161"/>
      <w:docPartObj>
        <w:docPartGallery w:val="Page Numbers (Bottom of Page)"/>
        <w:docPartUnique/>
      </w:docPartObj>
    </w:sdtPr>
    <w:sdtEndPr>
      <w:rPr>
        <w:noProof/>
      </w:rPr>
    </w:sdtEndPr>
    <w:sdtContent>
      <w:p w14:paraId="686D11B5" w14:textId="1ACB5B83" w:rsidR="009957D5" w:rsidRDefault="009957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76D499" w14:textId="40B4855D" w:rsidR="00366F79" w:rsidRDefault="00366F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2C0CBD07" w:rsidR="00366F79" w:rsidRDefault="00366F79" w:rsidP="00052DD3">
        <w:pPr>
          <w:pStyle w:val="Footer"/>
          <w:jc w:val="right"/>
        </w:pPr>
        <w:r>
          <w:fldChar w:fldCharType="begin"/>
        </w:r>
        <w:r>
          <w:instrText xml:space="preserve"> PAGE   \* MERGEFORMAT </w:instrText>
        </w:r>
        <w:r>
          <w:fldChar w:fldCharType="separate"/>
        </w:r>
        <w:r>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F0C8C" w14:textId="77777777" w:rsidR="00475EEA" w:rsidRDefault="00475EEA" w:rsidP="00B62DF2">
      <w:pPr>
        <w:spacing w:after="0" w:line="240" w:lineRule="auto"/>
      </w:pPr>
      <w:r>
        <w:separator/>
      </w:r>
    </w:p>
  </w:footnote>
  <w:footnote w:type="continuationSeparator" w:id="0">
    <w:p w14:paraId="33BB87F9" w14:textId="77777777" w:rsidR="00475EEA" w:rsidRDefault="00475EEA" w:rsidP="00B62DF2">
      <w:pPr>
        <w:spacing w:after="0" w:line="240" w:lineRule="auto"/>
      </w:pPr>
      <w:r>
        <w:continuationSeparator/>
      </w:r>
    </w:p>
  </w:footnote>
  <w:footnote w:type="continuationNotice" w:id="1">
    <w:p w14:paraId="38E5913D" w14:textId="77777777" w:rsidR="00475EEA" w:rsidRDefault="00475EEA">
      <w:pPr>
        <w:spacing w:before="0" w:after="0" w:line="240" w:lineRule="auto"/>
      </w:pPr>
    </w:p>
  </w:footnote>
  <w:footnote w:id="2">
    <w:p w14:paraId="424D2FB9" w14:textId="4B5D4260" w:rsidR="00A17E77" w:rsidRDefault="00A17E77">
      <w:pPr>
        <w:pStyle w:val="FootnoteText"/>
      </w:pPr>
      <w:r>
        <w:rPr>
          <w:rStyle w:val="FootnoteReference"/>
        </w:rPr>
        <w:footnoteRef/>
      </w:r>
      <w:r>
        <w:t xml:space="preserve"> </w:t>
      </w:r>
      <w:proofErr w:type="spellStart"/>
      <w:r>
        <w:t>P</w:t>
      </w:r>
      <w:r w:rsidRPr="00A17E77">
        <w:t>hillippo</w:t>
      </w:r>
      <w:proofErr w:type="spellEnd"/>
      <w:r w:rsidRPr="00A17E77">
        <w:t xml:space="preserve"> DM et al. Methods for Population-Adjusted Indirect Comparisons in Health Technology Appraisal. Med </w:t>
      </w:r>
      <w:proofErr w:type="spellStart"/>
      <w:r w:rsidRPr="00A17E77">
        <w:t>Decis</w:t>
      </w:r>
      <w:proofErr w:type="spellEnd"/>
      <w:r w:rsidRPr="00A17E77">
        <w:t xml:space="preserve"> Making. 2018;38(2):200-211.</w:t>
      </w:r>
    </w:p>
  </w:footnote>
  <w:footnote w:id="3">
    <w:p w14:paraId="0F346367" w14:textId="74509744" w:rsidR="00A17E77" w:rsidRDefault="00A17E77">
      <w:pPr>
        <w:pStyle w:val="FootnoteText"/>
      </w:pPr>
      <w:r>
        <w:rPr>
          <w:rStyle w:val="FootnoteReference"/>
        </w:rPr>
        <w:footnoteRef/>
      </w:r>
      <w:r>
        <w:t xml:space="preserve"> </w:t>
      </w:r>
      <w:proofErr w:type="spellStart"/>
      <w:r w:rsidRPr="00A17E77">
        <w:t>Phillippo</w:t>
      </w:r>
      <w:proofErr w:type="spellEnd"/>
      <w:r w:rsidRPr="00A17E77">
        <w:t xml:space="preserve"> DM et al. NICE DSU Technical Support Document 18: Methods for population-adjusted indirect comparisons in submission to NICE. 2016. Available from http://nicedsu.org.uk/wpcontent/uploads/2018/08/Population-adjustment-TSD-FINAL-ref-rerun.pdf</w:t>
      </w:r>
    </w:p>
  </w:footnote>
  <w:footnote w:id="4">
    <w:p w14:paraId="7A10D896" w14:textId="77777777" w:rsidR="00AF78DA" w:rsidRDefault="00AF78DA" w:rsidP="00AF78DA">
      <w:pPr>
        <w:pStyle w:val="FootnoteText"/>
      </w:pPr>
      <w:r>
        <w:rPr>
          <w:rStyle w:val="FootnoteReference"/>
        </w:rPr>
        <w:footnoteRef/>
      </w:r>
      <w:r>
        <w:t xml:space="preserve"> </w:t>
      </w:r>
      <w:r w:rsidRPr="00633136">
        <w:t>Lim D, Smith R, Gillam L, et al. Randomized Comparison of Transcatheter Edge-to-Edge Repair for Degenerative Mitral Regurgitation in Prohibitive Surgical Risk Patients. </w:t>
      </w:r>
      <w:r w:rsidRPr="00633136">
        <w:rPr>
          <w:i/>
          <w:iCs/>
        </w:rPr>
        <w:t xml:space="preserve">J Am Coll </w:t>
      </w:r>
      <w:proofErr w:type="spellStart"/>
      <w:r w:rsidRPr="00633136">
        <w:rPr>
          <w:i/>
          <w:iCs/>
        </w:rPr>
        <w:t>Cardiol</w:t>
      </w:r>
      <w:proofErr w:type="spellEnd"/>
      <w:r w:rsidRPr="00633136">
        <w:rPr>
          <w:i/>
          <w:iCs/>
        </w:rPr>
        <w:t xml:space="preserve"> </w:t>
      </w:r>
      <w:proofErr w:type="spellStart"/>
      <w:r w:rsidRPr="00633136">
        <w:rPr>
          <w:i/>
          <w:iCs/>
        </w:rPr>
        <w:t>Intv</w:t>
      </w:r>
      <w:proofErr w:type="spellEnd"/>
      <w:r w:rsidRPr="00633136">
        <w:rPr>
          <w:i/>
          <w:iCs/>
        </w:rPr>
        <w:t>. </w:t>
      </w:r>
      <w:r w:rsidRPr="00496BC6">
        <w:t>Sep 17, 2022</w:t>
      </w:r>
      <w:r>
        <w:rPr>
          <w:i/>
          <w:iCs/>
        </w:rPr>
        <w:t xml:space="preserve"> </w:t>
      </w:r>
      <w:r w:rsidRPr="0018029A">
        <w:t>https://doi.org/10.1016/j.jcin.2022.09.005</w:t>
      </w:r>
    </w:p>
  </w:footnote>
  <w:footnote w:id="5">
    <w:p w14:paraId="47DC99C1" w14:textId="748AF3FD" w:rsidR="00661DA9" w:rsidRPr="00661DA9" w:rsidRDefault="00661DA9">
      <w:pPr>
        <w:pStyle w:val="FootnoteText"/>
      </w:pPr>
      <w:r>
        <w:rPr>
          <w:rStyle w:val="FootnoteReference"/>
        </w:rPr>
        <w:footnoteRef/>
      </w:r>
      <w:r>
        <w:t xml:space="preserve"> Stone GW, et al. (2015). </w:t>
      </w:r>
      <w:r w:rsidRPr="00661DA9">
        <w:t>Clinical trial design principles and endpoint definitions for transcatheter mitral valve repair and replacement: part 2: endpoint definitions: A consensus document from the Mitral Valve Academic Research Consortium</w:t>
      </w:r>
      <w:r>
        <w:t xml:space="preserve">. </w:t>
      </w:r>
      <w:r>
        <w:rPr>
          <w:i/>
          <w:iCs/>
        </w:rPr>
        <w:t xml:space="preserve">European Heart Journal, </w:t>
      </w:r>
      <w:r>
        <w:t>36(29): 1878-1891.</w:t>
      </w:r>
    </w:p>
  </w:footnote>
  <w:footnote w:id="6">
    <w:p w14:paraId="42CEBD77" w14:textId="24806A73" w:rsidR="00633136" w:rsidRDefault="00633136">
      <w:pPr>
        <w:pStyle w:val="FootnoteText"/>
      </w:pPr>
      <w:r>
        <w:rPr>
          <w:rStyle w:val="FootnoteReference"/>
        </w:rPr>
        <w:footnoteRef/>
      </w:r>
      <w:r>
        <w:t xml:space="preserve"> </w:t>
      </w:r>
      <w:r w:rsidRPr="00633136">
        <w:t> Lim D, Smith R, Gillam L, et al. Randomized Comparison of Transcatheter Edge-to-Edge Repair for Degenerative Mitral Regurgitation in Prohibitive Surgical Risk Patients. </w:t>
      </w:r>
      <w:r w:rsidRPr="00633136">
        <w:rPr>
          <w:i/>
          <w:iCs/>
        </w:rPr>
        <w:t xml:space="preserve">J Am Coll </w:t>
      </w:r>
      <w:proofErr w:type="spellStart"/>
      <w:r w:rsidRPr="00633136">
        <w:rPr>
          <w:i/>
          <w:iCs/>
        </w:rPr>
        <w:t>Cardiol</w:t>
      </w:r>
      <w:proofErr w:type="spellEnd"/>
      <w:r w:rsidRPr="00633136">
        <w:rPr>
          <w:i/>
          <w:iCs/>
        </w:rPr>
        <w:t xml:space="preserve"> </w:t>
      </w:r>
      <w:proofErr w:type="spellStart"/>
      <w:r w:rsidRPr="00633136">
        <w:rPr>
          <w:i/>
          <w:iCs/>
        </w:rPr>
        <w:t>Intv</w:t>
      </w:r>
      <w:proofErr w:type="spellEnd"/>
      <w:r w:rsidRPr="00633136">
        <w:rPr>
          <w:i/>
          <w:iCs/>
        </w:rPr>
        <w:t>. </w:t>
      </w:r>
      <w:r w:rsidRPr="00496BC6">
        <w:t>Sep 17, 2022</w:t>
      </w:r>
      <w:r>
        <w:rPr>
          <w:i/>
          <w:iCs/>
        </w:rPr>
        <w:t xml:space="preserve"> </w:t>
      </w:r>
      <w:r w:rsidR="00AE2C9D" w:rsidRPr="0018029A">
        <w:t>https://doi.org/10.1016/j.jcin.2022.09.005</w:t>
      </w:r>
    </w:p>
  </w:footnote>
  <w:footnote w:id="7">
    <w:p w14:paraId="03B39B8A" w14:textId="2CD35218" w:rsidR="00E80FC7" w:rsidRDefault="00E80FC7">
      <w:pPr>
        <w:pStyle w:val="FootnoteText"/>
      </w:pPr>
      <w:r>
        <w:rPr>
          <w:rStyle w:val="FootnoteReference"/>
        </w:rPr>
        <w:footnoteRef/>
      </w:r>
      <w:r>
        <w:t xml:space="preserve"> Figure 2 adapted from </w:t>
      </w:r>
      <w:proofErr w:type="spellStart"/>
      <w:r>
        <w:rPr>
          <w:rFonts w:ascii="Segoe UI" w:hAnsi="Segoe UI" w:cs="Segoe UI"/>
          <w:color w:val="212121"/>
          <w:shd w:val="clear" w:color="auto" w:fill="FFFFFF"/>
        </w:rPr>
        <w:t>Szerlip</w:t>
      </w:r>
      <w:proofErr w:type="spellEnd"/>
      <w:r>
        <w:rPr>
          <w:rFonts w:ascii="Segoe UI" w:hAnsi="Segoe UI" w:cs="Segoe UI"/>
          <w:color w:val="212121"/>
          <w:shd w:val="clear" w:color="auto" w:fill="FFFFFF"/>
        </w:rPr>
        <w:t xml:space="preserve"> </w:t>
      </w:r>
      <w:r>
        <w:rPr>
          <w:rFonts w:ascii="Segoe UI" w:hAnsi="Segoe UI" w:cs="Segoe UI"/>
          <w:i/>
          <w:iCs/>
          <w:color w:val="212121"/>
          <w:shd w:val="clear" w:color="auto" w:fill="FFFFFF"/>
        </w:rPr>
        <w:t>et al.,</w:t>
      </w:r>
      <w:r>
        <w:rPr>
          <w:rFonts w:ascii="Segoe UI" w:hAnsi="Segoe UI" w:cs="Segoe UI"/>
          <w:color w:val="212121"/>
          <w:shd w:val="clear" w:color="auto" w:fill="FFFFFF"/>
        </w:rPr>
        <w:t xml:space="preserve"> </w:t>
      </w:r>
      <w:r w:rsidRPr="00E80FC7">
        <w:rPr>
          <w:rFonts w:cstheme="minorHAnsi"/>
          <w:color w:val="212121"/>
          <w:shd w:val="clear" w:color="auto" w:fill="FFFFFF"/>
        </w:rPr>
        <w:t xml:space="preserve">2-Year Outcomes for Transcatheter Repair in Patients With Mitral Regurgitation From the CLASP Study. JACC Cardiovasc </w:t>
      </w:r>
      <w:proofErr w:type="spellStart"/>
      <w:r w:rsidRPr="00E80FC7">
        <w:rPr>
          <w:rFonts w:cstheme="minorHAnsi"/>
          <w:color w:val="212121"/>
          <w:shd w:val="clear" w:color="auto" w:fill="FFFFFF"/>
        </w:rPr>
        <w:t>Interv</w:t>
      </w:r>
      <w:proofErr w:type="spellEnd"/>
      <w:r w:rsidRPr="00E80FC7">
        <w:rPr>
          <w:rFonts w:cstheme="minorHAnsi"/>
          <w:color w:val="212121"/>
          <w:shd w:val="clear" w:color="auto" w:fill="FFFFFF"/>
        </w:rPr>
        <w:t xml:space="preserve">. 2021 Jul 26;14(14):1538-1548. </w:t>
      </w:r>
      <w:proofErr w:type="spellStart"/>
      <w:r w:rsidRPr="00E80FC7">
        <w:rPr>
          <w:rFonts w:cstheme="minorHAnsi"/>
          <w:color w:val="212121"/>
          <w:shd w:val="clear" w:color="auto" w:fill="FFFFFF"/>
        </w:rPr>
        <w:t>doi</w:t>
      </w:r>
      <w:proofErr w:type="spellEnd"/>
      <w:r w:rsidRPr="00E80FC7">
        <w:rPr>
          <w:rFonts w:cstheme="minorHAnsi"/>
          <w:color w:val="212121"/>
          <w:shd w:val="clear" w:color="auto" w:fill="FFFFFF"/>
        </w:rPr>
        <w:t>: 10.1016/j.jcin.2021.04.001</w:t>
      </w:r>
    </w:p>
  </w:footnote>
  <w:footnote w:id="8">
    <w:p w14:paraId="3A8D9867" w14:textId="77777777" w:rsidR="007D3920" w:rsidRDefault="007D3920" w:rsidP="007D3920">
      <w:pPr>
        <w:pStyle w:val="FootnoteText"/>
      </w:pPr>
      <w:r>
        <w:rPr>
          <w:rStyle w:val="FootnoteReference"/>
        </w:rPr>
        <w:footnoteRef/>
      </w:r>
      <w:r>
        <w:t xml:space="preserve"> </w:t>
      </w:r>
      <w:r w:rsidRPr="00091167">
        <w:t>Arnold S. 2019. Health Status After Transcatheter Mitral-Valve Repair in Heart Failure and Secondary Mitral Regurgitation: COAPT Trial, Journal of the American College of Cardiology; 73 (17): 2123-2132.</w:t>
      </w:r>
    </w:p>
  </w:footnote>
  <w:footnote w:id="9">
    <w:p w14:paraId="1B435B37" w14:textId="77777777" w:rsidR="00F35C7B" w:rsidRDefault="00F35C7B" w:rsidP="00F35C7B">
      <w:pPr>
        <w:pStyle w:val="FootnoteText"/>
      </w:pPr>
      <w:r>
        <w:rPr>
          <w:rStyle w:val="FootnoteReference"/>
        </w:rPr>
        <w:footnoteRef/>
      </w:r>
      <w:r>
        <w:t xml:space="preserve"> </w:t>
      </w:r>
      <w:r w:rsidRPr="00633136">
        <w:t>Lim D, Smith R, Gillam L, et al. Randomized Comparison of Transcatheter Edge-to-Edge Repair for Degenerative Mitral Regurgitation in Prohibitive Surgical Risk Patients. </w:t>
      </w:r>
      <w:r w:rsidRPr="00633136">
        <w:rPr>
          <w:i/>
          <w:iCs/>
        </w:rPr>
        <w:t xml:space="preserve">J Am Coll </w:t>
      </w:r>
      <w:proofErr w:type="spellStart"/>
      <w:r w:rsidRPr="00633136">
        <w:rPr>
          <w:i/>
          <w:iCs/>
        </w:rPr>
        <w:t>Cardiol</w:t>
      </w:r>
      <w:proofErr w:type="spellEnd"/>
      <w:r w:rsidRPr="00633136">
        <w:rPr>
          <w:i/>
          <w:iCs/>
        </w:rPr>
        <w:t xml:space="preserve"> </w:t>
      </w:r>
      <w:proofErr w:type="spellStart"/>
      <w:r w:rsidRPr="00633136">
        <w:rPr>
          <w:i/>
          <w:iCs/>
        </w:rPr>
        <w:t>Intv</w:t>
      </w:r>
      <w:proofErr w:type="spellEnd"/>
      <w:r w:rsidRPr="00633136">
        <w:rPr>
          <w:i/>
          <w:iCs/>
        </w:rPr>
        <w:t>. </w:t>
      </w:r>
      <w:r w:rsidRPr="00496BC6">
        <w:t>Sep 17,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92B"/>
    <w:multiLevelType w:val="hybridMultilevel"/>
    <w:tmpl w:val="3E98A52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EA33EE"/>
    <w:multiLevelType w:val="hybridMultilevel"/>
    <w:tmpl w:val="FB220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422476"/>
    <w:multiLevelType w:val="hybridMultilevel"/>
    <w:tmpl w:val="02A8697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FF556F"/>
    <w:multiLevelType w:val="hybridMultilevel"/>
    <w:tmpl w:val="A5AAD880"/>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55256B"/>
    <w:multiLevelType w:val="hybridMultilevel"/>
    <w:tmpl w:val="72267A7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0CE2AA4"/>
    <w:multiLevelType w:val="hybridMultilevel"/>
    <w:tmpl w:val="270664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FF76B7"/>
    <w:multiLevelType w:val="hybridMultilevel"/>
    <w:tmpl w:val="584E4122"/>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8" w15:restartNumberingAfterBreak="0">
    <w:nsid w:val="254F70D2"/>
    <w:multiLevelType w:val="hybridMultilevel"/>
    <w:tmpl w:val="77407042"/>
    <w:lvl w:ilvl="0" w:tplc="8E7E201C">
      <w:start w:val="1"/>
      <w:numFmt w:val="bullet"/>
      <w:pStyle w:val="Table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3872E6"/>
    <w:multiLevelType w:val="hybridMultilevel"/>
    <w:tmpl w:val="E2AEE50C"/>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C113508"/>
    <w:multiLevelType w:val="hybridMultilevel"/>
    <w:tmpl w:val="2B26D0A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4371DC"/>
    <w:multiLevelType w:val="multilevel"/>
    <w:tmpl w:val="992480AC"/>
    <w:lvl w:ilvl="0">
      <w:start w:val="1"/>
      <w:numFmt w:val="decimal"/>
      <w:pStyle w:val="Heading1"/>
      <w:lvlText w:val="Section %1"/>
      <w:lvlJc w:val="left"/>
      <w:pPr>
        <w:ind w:left="786" w:hanging="360"/>
      </w:pPr>
      <w:rPr>
        <w:rFonts w:hint="default"/>
      </w:rPr>
    </w:lvl>
    <w:lvl w:ilvl="1">
      <w:start w:val="11"/>
      <w:numFmt w:val="decimal"/>
      <w:pStyle w:val="Heading2"/>
      <w:lvlText w:val="%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46AA1"/>
    <w:multiLevelType w:val="hybridMultilevel"/>
    <w:tmpl w:val="8152B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4F368B"/>
    <w:multiLevelType w:val="hybridMultilevel"/>
    <w:tmpl w:val="7F36D186"/>
    <w:lvl w:ilvl="0" w:tplc="A86E385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3F30E08"/>
    <w:multiLevelType w:val="hybridMultilevel"/>
    <w:tmpl w:val="1CB23D3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5157159"/>
    <w:multiLevelType w:val="hybridMultilevel"/>
    <w:tmpl w:val="7DC2FC94"/>
    <w:lvl w:ilvl="0" w:tplc="EB3887A0">
      <w:start w:val="13"/>
      <w:numFmt w:val="decimal"/>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7CD3C42"/>
    <w:multiLevelType w:val="hybridMultilevel"/>
    <w:tmpl w:val="E4EE2C6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1038CA"/>
    <w:multiLevelType w:val="hybridMultilevel"/>
    <w:tmpl w:val="AA0E6970"/>
    <w:lvl w:ilvl="0" w:tplc="778CCCA8">
      <w:start w:val="1"/>
      <w:numFmt w:val="bullet"/>
      <w:lvlText w:val="•"/>
      <w:lvlJc w:val="left"/>
      <w:pPr>
        <w:tabs>
          <w:tab w:val="num" w:pos="720"/>
        </w:tabs>
        <w:ind w:left="720" w:hanging="360"/>
      </w:pPr>
      <w:rPr>
        <w:rFonts w:ascii="Arial" w:hAnsi="Arial" w:hint="default"/>
      </w:rPr>
    </w:lvl>
    <w:lvl w:ilvl="1" w:tplc="F5683AD4" w:tentative="1">
      <w:start w:val="1"/>
      <w:numFmt w:val="bullet"/>
      <w:lvlText w:val="•"/>
      <w:lvlJc w:val="left"/>
      <w:pPr>
        <w:tabs>
          <w:tab w:val="num" w:pos="1440"/>
        </w:tabs>
        <w:ind w:left="1440" w:hanging="360"/>
      </w:pPr>
      <w:rPr>
        <w:rFonts w:ascii="Arial" w:hAnsi="Arial" w:hint="default"/>
      </w:rPr>
    </w:lvl>
    <w:lvl w:ilvl="2" w:tplc="370ADFBA" w:tentative="1">
      <w:start w:val="1"/>
      <w:numFmt w:val="bullet"/>
      <w:lvlText w:val="•"/>
      <w:lvlJc w:val="left"/>
      <w:pPr>
        <w:tabs>
          <w:tab w:val="num" w:pos="2160"/>
        </w:tabs>
        <w:ind w:left="2160" w:hanging="360"/>
      </w:pPr>
      <w:rPr>
        <w:rFonts w:ascii="Arial" w:hAnsi="Arial" w:hint="default"/>
      </w:rPr>
    </w:lvl>
    <w:lvl w:ilvl="3" w:tplc="A7BA1980" w:tentative="1">
      <w:start w:val="1"/>
      <w:numFmt w:val="bullet"/>
      <w:lvlText w:val="•"/>
      <w:lvlJc w:val="left"/>
      <w:pPr>
        <w:tabs>
          <w:tab w:val="num" w:pos="2880"/>
        </w:tabs>
        <w:ind w:left="2880" w:hanging="360"/>
      </w:pPr>
      <w:rPr>
        <w:rFonts w:ascii="Arial" w:hAnsi="Arial" w:hint="default"/>
      </w:rPr>
    </w:lvl>
    <w:lvl w:ilvl="4" w:tplc="AC9684C0" w:tentative="1">
      <w:start w:val="1"/>
      <w:numFmt w:val="bullet"/>
      <w:lvlText w:val="•"/>
      <w:lvlJc w:val="left"/>
      <w:pPr>
        <w:tabs>
          <w:tab w:val="num" w:pos="3600"/>
        </w:tabs>
        <w:ind w:left="3600" w:hanging="360"/>
      </w:pPr>
      <w:rPr>
        <w:rFonts w:ascii="Arial" w:hAnsi="Arial" w:hint="default"/>
      </w:rPr>
    </w:lvl>
    <w:lvl w:ilvl="5" w:tplc="226E2672" w:tentative="1">
      <w:start w:val="1"/>
      <w:numFmt w:val="bullet"/>
      <w:lvlText w:val="•"/>
      <w:lvlJc w:val="left"/>
      <w:pPr>
        <w:tabs>
          <w:tab w:val="num" w:pos="4320"/>
        </w:tabs>
        <w:ind w:left="4320" w:hanging="360"/>
      </w:pPr>
      <w:rPr>
        <w:rFonts w:ascii="Arial" w:hAnsi="Arial" w:hint="default"/>
      </w:rPr>
    </w:lvl>
    <w:lvl w:ilvl="6" w:tplc="43C2D74C" w:tentative="1">
      <w:start w:val="1"/>
      <w:numFmt w:val="bullet"/>
      <w:lvlText w:val="•"/>
      <w:lvlJc w:val="left"/>
      <w:pPr>
        <w:tabs>
          <w:tab w:val="num" w:pos="5040"/>
        </w:tabs>
        <w:ind w:left="5040" w:hanging="360"/>
      </w:pPr>
      <w:rPr>
        <w:rFonts w:ascii="Arial" w:hAnsi="Arial" w:hint="default"/>
      </w:rPr>
    </w:lvl>
    <w:lvl w:ilvl="7" w:tplc="16BC68C6" w:tentative="1">
      <w:start w:val="1"/>
      <w:numFmt w:val="bullet"/>
      <w:lvlText w:val="•"/>
      <w:lvlJc w:val="left"/>
      <w:pPr>
        <w:tabs>
          <w:tab w:val="num" w:pos="5760"/>
        </w:tabs>
        <w:ind w:left="5760" w:hanging="360"/>
      </w:pPr>
      <w:rPr>
        <w:rFonts w:ascii="Arial" w:hAnsi="Arial" w:hint="default"/>
      </w:rPr>
    </w:lvl>
    <w:lvl w:ilvl="8" w:tplc="CF5EF2C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235EC4"/>
    <w:multiLevelType w:val="hybridMultilevel"/>
    <w:tmpl w:val="840E8FC8"/>
    <w:lvl w:ilvl="0" w:tplc="0C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71179F"/>
    <w:multiLevelType w:val="hybridMultilevel"/>
    <w:tmpl w:val="5484D746"/>
    <w:lvl w:ilvl="0" w:tplc="0C09000F">
      <w:start w:val="1"/>
      <w:numFmt w:val="decimal"/>
      <w:lvlText w:val="%1."/>
      <w:lvlJc w:val="left"/>
      <w:pPr>
        <w:ind w:left="720" w:hanging="360"/>
      </w:pPr>
    </w:lvl>
    <w:lvl w:ilvl="1" w:tplc="3C805F2C">
      <w:numFmt w:val="bullet"/>
      <w:lvlText w:val="-"/>
      <w:lvlJc w:val="left"/>
      <w:pPr>
        <w:ind w:left="1440" w:hanging="360"/>
      </w:pPr>
      <w:rPr>
        <w:rFonts w:ascii="Franklin Gothic Book" w:eastAsiaTheme="minorHAnsi" w:hAnsi="Franklin Gothic Book"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E02469"/>
    <w:multiLevelType w:val="hybridMultilevel"/>
    <w:tmpl w:val="5D5E6F6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1C5945"/>
    <w:multiLevelType w:val="hybridMultilevel"/>
    <w:tmpl w:val="F5706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2E03A2"/>
    <w:multiLevelType w:val="hybridMultilevel"/>
    <w:tmpl w:val="7974B9C2"/>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E220154"/>
    <w:multiLevelType w:val="hybridMultilevel"/>
    <w:tmpl w:val="6414D59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B16604"/>
    <w:multiLevelType w:val="hybridMultilevel"/>
    <w:tmpl w:val="E162FD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19902F4"/>
    <w:multiLevelType w:val="multilevel"/>
    <w:tmpl w:val="13F2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A35970"/>
    <w:multiLevelType w:val="hybridMultilevel"/>
    <w:tmpl w:val="F13C0FFE"/>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4C7A92"/>
    <w:multiLevelType w:val="hybridMultilevel"/>
    <w:tmpl w:val="5B985E1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8D31FB"/>
    <w:multiLevelType w:val="hybridMultilevel"/>
    <w:tmpl w:val="0FEAFAB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8AE29E76">
      <w:start w:val="1"/>
      <w:numFmt w:val="lowerLetter"/>
      <w:lvlText w:val="%5."/>
      <w:lvlJc w:val="left"/>
      <w:pPr>
        <w:ind w:left="3600" w:hanging="360"/>
      </w:pPr>
      <w:rPr>
        <w:rFonts w:asciiTheme="majorHAnsi" w:hAnsiTheme="majorHAnsi" w:cstheme="majorHAnsi"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415840"/>
    <w:multiLevelType w:val="hybridMultilevel"/>
    <w:tmpl w:val="BBF66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A06627"/>
    <w:multiLevelType w:val="hybridMultilevel"/>
    <w:tmpl w:val="3E98A524"/>
    <w:lvl w:ilvl="0" w:tplc="FFFFFFFF">
      <w:start w:val="1"/>
      <w:numFmt w:val="lowerRoman"/>
      <w:lvlText w:val="%1."/>
      <w:lvlJc w:val="right"/>
      <w:pPr>
        <w:ind w:left="532" w:hanging="360"/>
      </w:pPr>
    </w:lvl>
    <w:lvl w:ilvl="1" w:tplc="FFFFFFFF" w:tentative="1">
      <w:start w:val="1"/>
      <w:numFmt w:val="lowerLetter"/>
      <w:lvlText w:val="%2."/>
      <w:lvlJc w:val="left"/>
      <w:pPr>
        <w:ind w:left="1252" w:hanging="360"/>
      </w:pPr>
    </w:lvl>
    <w:lvl w:ilvl="2" w:tplc="FFFFFFFF" w:tentative="1">
      <w:start w:val="1"/>
      <w:numFmt w:val="lowerRoman"/>
      <w:lvlText w:val="%3."/>
      <w:lvlJc w:val="right"/>
      <w:pPr>
        <w:ind w:left="1972" w:hanging="180"/>
      </w:pPr>
    </w:lvl>
    <w:lvl w:ilvl="3" w:tplc="FFFFFFFF" w:tentative="1">
      <w:start w:val="1"/>
      <w:numFmt w:val="decimal"/>
      <w:lvlText w:val="%4."/>
      <w:lvlJc w:val="left"/>
      <w:pPr>
        <w:ind w:left="2692" w:hanging="360"/>
      </w:pPr>
    </w:lvl>
    <w:lvl w:ilvl="4" w:tplc="FFFFFFFF">
      <w:start w:val="1"/>
      <w:numFmt w:val="lowerLetter"/>
      <w:lvlText w:val="%5."/>
      <w:lvlJc w:val="left"/>
      <w:pPr>
        <w:ind w:left="3412" w:hanging="360"/>
      </w:pPr>
    </w:lvl>
    <w:lvl w:ilvl="5" w:tplc="FFFFFFFF" w:tentative="1">
      <w:start w:val="1"/>
      <w:numFmt w:val="lowerRoman"/>
      <w:lvlText w:val="%6."/>
      <w:lvlJc w:val="right"/>
      <w:pPr>
        <w:ind w:left="4132" w:hanging="180"/>
      </w:pPr>
    </w:lvl>
    <w:lvl w:ilvl="6" w:tplc="FFFFFFFF" w:tentative="1">
      <w:start w:val="1"/>
      <w:numFmt w:val="decimal"/>
      <w:lvlText w:val="%7."/>
      <w:lvlJc w:val="left"/>
      <w:pPr>
        <w:ind w:left="4852" w:hanging="360"/>
      </w:pPr>
    </w:lvl>
    <w:lvl w:ilvl="7" w:tplc="FFFFFFFF">
      <w:start w:val="1"/>
      <w:numFmt w:val="lowerLetter"/>
      <w:lvlText w:val="%8."/>
      <w:lvlJc w:val="left"/>
      <w:pPr>
        <w:ind w:left="5572" w:hanging="360"/>
      </w:pPr>
    </w:lvl>
    <w:lvl w:ilvl="8" w:tplc="FFFFFFFF" w:tentative="1">
      <w:start w:val="1"/>
      <w:numFmt w:val="lowerRoman"/>
      <w:lvlText w:val="%9."/>
      <w:lvlJc w:val="right"/>
      <w:pPr>
        <w:ind w:left="6292" w:hanging="180"/>
      </w:pPr>
    </w:lvl>
  </w:abstractNum>
  <w:abstractNum w:abstractNumId="36"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817B9B"/>
    <w:multiLevelType w:val="hybridMultilevel"/>
    <w:tmpl w:val="80F6E740"/>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abstractNumId w:val="14"/>
  </w:num>
  <w:num w:numId="2">
    <w:abstractNumId w:val="39"/>
  </w:num>
  <w:num w:numId="3">
    <w:abstractNumId w:val="3"/>
  </w:num>
  <w:num w:numId="4">
    <w:abstractNumId w:val="7"/>
  </w:num>
  <w:num w:numId="5">
    <w:abstractNumId w:val="36"/>
  </w:num>
  <w:num w:numId="6">
    <w:abstractNumId w:val="10"/>
  </w:num>
  <w:num w:numId="7">
    <w:abstractNumId w:val="11"/>
  </w:num>
  <w:num w:numId="8">
    <w:abstractNumId w:val="13"/>
  </w:num>
  <w:num w:numId="9">
    <w:abstractNumId w:val="20"/>
  </w:num>
  <w:num w:numId="10">
    <w:abstractNumId w:val="29"/>
  </w:num>
  <w:num w:numId="11">
    <w:abstractNumId w:val="1"/>
  </w:num>
  <w:num w:numId="12">
    <w:abstractNumId w:val="8"/>
  </w:num>
  <w:num w:numId="13">
    <w:abstractNumId w:val="18"/>
  </w:num>
  <w:num w:numId="14">
    <w:abstractNumId w:val="38"/>
  </w:num>
  <w:num w:numId="15">
    <w:abstractNumId w:val="27"/>
  </w:num>
  <w:num w:numId="16">
    <w:abstractNumId w:val="32"/>
  </w:num>
  <w:num w:numId="17">
    <w:abstractNumId w:val="9"/>
  </w:num>
  <w:num w:numId="18">
    <w:abstractNumId w:val="35"/>
  </w:num>
  <w:num w:numId="19">
    <w:abstractNumId w:val="0"/>
  </w:num>
  <w:num w:numId="20">
    <w:abstractNumId w:val="33"/>
  </w:num>
  <w:num w:numId="21">
    <w:abstractNumId w:val="28"/>
  </w:num>
  <w:num w:numId="22">
    <w:abstractNumId w:val="5"/>
  </w:num>
  <w:num w:numId="23">
    <w:abstractNumId w:val="34"/>
  </w:num>
  <w:num w:numId="24">
    <w:abstractNumId w:val="24"/>
  </w:num>
  <w:num w:numId="25">
    <w:abstractNumId w:val="6"/>
  </w:num>
  <w:num w:numId="26">
    <w:abstractNumId w:val="25"/>
  </w:num>
  <w:num w:numId="27">
    <w:abstractNumId w:val="31"/>
  </w:num>
  <w:num w:numId="28">
    <w:abstractNumId w:val="21"/>
  </w:num>
  <w:num w:numId="29">
    <w:abstractNumId w:val="15"/>
  </w:num>
  <w:num w:numId="30">
    <w:abstractNumId w:val="37"/>
  </w:num>
  <w:num w:numId="31">
    <w:abstractNumId w:val="30"/>
  </w:num>
  <w:num w:numId="32">
    <w:abstractNumId w:val="22"/>
  </w:num>
  <w:num w:numId="33">
    <w:abstractNumId w:val="19"/>
  </w:num>
  <w:num w:numId="34">
    <w:abstractNumId w:val="14"/>
  </w:num>
  <w:num w:numId="35">
    <w:abstractNumId w:val="14"/>
  </w:num>
  <w:num w:numId="36">
    <w:abstractNumId w:val="17"/>
  </w:num>
  <w:num w:numId="37">
    <w:abstractNumId w:val="26"/>
  </w:num>
  <w:num w:numId="38">
    <w:abstractNumId w:val="16"/>
  </w:num>
  <w:num w:numId="39">
    <w:abstractNumId w:val="23"/>
  </w:num>
  <w:num w:numId="40">
    <w:abstractNumId w:val="2"/>
  </w:num>
  <w:num w:numId="41">
    <w:abstractNumId w:val="4"/>
  </w:num>
  <w:num w:numId="42">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109A"/>
    <w:rsid w:val="000019B5"/>
    <w:rsid w:val="00001AE6"/>
    <w:rsid w:val="00001D55"/>
    <w:rsid w:val="000036E7"/>
    <w:rsid w:val="00003940"/>
    <w:rsid w:val="00003D77"/>
    <w:rsid w:val="00004D69"/>
    <w:rsid w:val="00004F17"/>
    <w:rsid w:val="00004F7F"/>
    <w:rsid w:val="000050D5"/>
    <w:rsid w:val="000054C9"/>
    <w:rsid w:val="00005BEB"/>
    <w:rsid w:val="0000621E"/>
    <w:rsid w:val="0000778B"/>
    <w:rsid w:val="00010021"/>
    <w:rsid w:val="00010857"/>
    <w:rsid w:val="00011568"/>
    <w:rsid w:val="00014974"/>
    <w:rsid w:val="00020D91"/>
    <w:rsid w:val="000228B8"/>
    <w:rsid w:val="0002381B"/>
    <w:rsid w:val="00024412"/>
    <w:rsid w:val="00024EA5"/>
    <w:rsid w:val="0002755F"/>
    <w:rsid w:val="00027784"/>
    <w:rsid w:val="00032343"/>
    <w:rsid w:val="00032541"/>
    <w:rsid w:val="00032C87"/>
    <w:rsid w:val="00032E3D"/>
    <w:rsid w:val="000330B2"/>
    <w:rsid w:val="0003423A"/>
    <w:rsid w:val="0003477F"/>
    <w:rsid w:val="00034B20"/>
    <w:rsid w:val="00036AD8"/>
    <w:rsid w:val="00037037"/>
    <w:rsid w:val="00037302"/>
    <w:rsid w:val="0004005D"/>
    <w:rsid w:val="00040674"/>
    <w:rsid w:val="00040ADF"/>
    <w:rsid w:val="00040FB4"/>
    <w:rsid w:val="0004178C"/>
    <w:rsid w:val="00041F5D"/>
    <w:rsid w:val="00043180"/>
    <w:rsid w:val="000443A6"/>
    <w:rsid w:val="000449D1"/>
    <w:rsid w:val="00045B8D"/>
    <w:rsid w:val="00045CC5"/>
    <w:rsid w:val="00046B6A"/>
    <w:rsid w:val="000472D4"/>
    <w:rsid w:val="00052DD3"/>
    <w:rsid w:val="0005326D"/>
    <w:rsid w:val="00053F6C"/>
    <w:rsid w:val="00054565"/>
    <w:rsid w:val="00061716"/>
    <w:rsid w:val="0006339C"/>
    <w:rsid w:val="00063ADA"/>
    <w:rsid w:val="00064783"/>
    <w:rsid w:val="000647C2"/>
    <w:rsid w:val="00065B02"/>
    <w:rsid w:val="0007021F"/>
    <w:rsid w:val="000709A0"/>
    <w:rsid w:val="00071691"/>
    <w:rsid w:val="000727A6"/>
    <w:rsid w:val="00074199"/>
    <w:rsid w:val="00080241"/>
    <w:rsid w:val="000805F7"/>
    <w:rsid w:val="00081778"/>
    <w:rsid w:val="00082291"/>
    <w:rsid w:val="00084423"/>
    <w:rsid w:val="000870B6"/>
    <w:rsid w:val="00090613"/>
    <w:rsid w:val="00090BD1"/>
    <w:rsid w:val="00091167"/>
    <w:rsid w:val="00091857"/>
    <w:rsid w:val="00091C59"/>
    <w:rsid w:val="00092A21"/>
    <w:rsid w:val="00093D9A"/>
    <w:rsid w:val="00094656"/>
    <w:rsid w:val="0009467A"/>
    <w:rsid w:val="00094DD4"/>
    <w:rsid w:val="00096B52"/>
    <w:rsid w:val="00096DBF"/>
    <w:rsid w:val="000A1027"/>
    <w:rsid w:val="000A10BF"/>
    <w:rsid w:val="000A1906"/>
    <w:rsid w:val="000A2ACD"/>
    <w:rsid w:val="000A2B65"/>
    <w:rsid w:val="000A2D86"/>
    <w:rsid w:val="000A2DA8"/>
    <w:rsid w:val="000A5832"/>
    <w:rsid w:val="000A5C47"/>
    <w:rsid w:val="000A629E"/>
    <w:rsid w:val="000A6B30"/>
    <w:rsid w:val="000A6E60"/>
    <w:rsid w:val="000A7AA3"/>
    <w:rsid w:val="000B0F56"/>
    <w:rsid w:val="000B130F"/>
    <w:rsid w:val="000B1CEC"/>
    <w:rsid w:val="000B3330"/>
    <w:rsid w:val="000B6CF0"/>
    <w:rsid w:val="000B720C"/>
    <w:rsid w:val="000B7665"/>
    <w:rsid w:val="000C2152"/>
    <w:rsid w:val="000C259E"/>
    <w:rsid w:val="000C2C98"/>
    <w:rsid w:val="000C6FE7"/>
    <w:rsid w:val="000C7C46"/>
    <w:rsid w:val="000D1876"/>
    <w:rsid w:val="000D1B52"/>
    <w:rsid w:val="000D4C1B"/>
    <w:rsid w:val="000D5523"/>
    <w:rsid w:val="000D77DD"/>
    <w:rsid w:val="000E03DC"/>
    <w:rsid w:val="000E04A4"/>
    <w:rsid w:val="000E1124"/>
    <w:rsid w:val="000E1B9E"/>
    <w:rsid w:val="000E2156"/>
    <w:rsid w:val="000E234F"/>
    <w:rsid w:val="000E412E"/>
    <w:rsid w:val="000E5531"/>
    <w:rsid w:val="000E6410"/>
    <w:rsid w:val="000E65A8"/>
    <w:rsid w:val="000E678B"/>
    <w:rsid w:val="000F150A"/>
    <w:rsid w:val="000F26F2"/>
    <w:rsid w:val="000F2E01"/>
    <w:rsid w:val="000F46BC"/>
    <w:rsid w:val="000F5A54"/>
    <w:rsid w:val="000F6D33"/>
    <w:rsid w:val="000F6EFC"/>
    <w:rsid w:val="000F753B"/>
    <w:rsid w:val="000F7987"/>
    <w:rsid w:val="0010051C"/>
    <w:rsid w:val="00100B76"/>
    <w:rsid w:val="001031D1"/>
    <w:rsid w:val="0010389F"/>
    <w:rsid w:val="00103C2A"/>
    <w:rsid w:val="00104057"/>
    <w:rsid w:val="001042A8"/>
    <w:rsid w:val="0010448B"/>
    <w:rsid w:val="0010521F"/>
    <w:rsid w:val="0010625A"/>
    <w:rsid w:val="0010728F"/>
    <w:rsid w:val="00107524"/>
    <w:rsid w:val="00107DCD"/>
    <w:rsid w:val="00107EF0"/>
    <w:rsid w:val="001102EC"/>
    <w:rsid w:val="00111417"/>
    <w:rsid w:val="00112955"/>
    <w:rsid w:val="001132B4"/>
    <w:rsid w:val="00113C60"/>
    <w:rsid w:val="00114C3B"/>
    <w:rsid w:val="00115691"/>
    <w:rsid w:val="00117039"/>
    <w:rsid w:val="00117F04"/>
    <w:rsid w:val="00120BD3"/>
    <w:rsid w:val="00122AE3"/>
    <w:rsid w:val="00122EE1"/>
    <w:rsid w:val="0012364D"/>
    <w:rsid w:val="00123658"/>
    <w:rsid w:val="00123799"/>
    <w:rsid w:val="001237AF"/>
    <w:rsid w:val="00123E70"/>
    <w:rsid w:val="00124228"/>
    <w:rsid w:val="001247EB"/>
    <w:rsid w:val="00124F3C"/>
    <w:rsid w:val="00125B61"/>
    <w:rsid w:val="00125E2F"/>
    <w:rsid w:val="00125F1B"/>
    <w:rsid w:val="00126122"/>
    <w:rsid w:val="00126B1F"/>
    <w:rsid w:val="00126DA8"/>
    <w:rsid w:val="00127EA7"/>
    <w:rsid w:val="001307CB"/>
    <w:rsid w:val="001313BA"/>
    <w:rsid w:val="00131D45"/>
    <w:rsid w:val="00132092"/>
    <w:rsid w:val="001320F0"/>
    <w:rsid w:val="00132D4B"/>
    <w:rsid w:val="00133535"/>
    <w:rsid w:val="001336E0"/>
    <w:rsid w:val="00133F34"/>
    <w:rsid w:val="001347FA"/>
    <w:rsid w:val="00134BC7"/>
    <w:rsid w:val="00135273"/>
    <w:rsid w:val="00135FC9"/>
    <w:rsid w:val="001366FD"/>
    <w:rsid w:val="00143478"/>
    <w:rsid w:val="00143F2F"/>
    <w:rsid w:val="00144C54"/>
    <w:rsid w:val="00146624"/>
    <w:rsid w:val="00147D63"/>
    <w:rsid w:val="00150376"/>
    <w:rsid w:val="00150C34"/>
    <w:rsid w:val="00151DBD"/>
    <w:rsid w:val="00152146"/>
    <w:rsid w:val="00152206"/>
    <w:rsid w:val="00152F0C"/>
    <w:rsid w:val="001531D6"/>
    <w:rsid w:val="001539FA"/>
    <w:rsid w:val="00155434"/>
    <w:rsid w:val="00155BDA"/>
    <w:rsid w:val="00156FA7"/>
    <w:rsid w:val="00157F26"/>
    <w:rsid w:val="0016023A"/>
    <w:rsid w:val="0016039F"/>
    <w:rsid w:val="00162DBF"/>
    <w:rsid w:val="00164CF8"/>
    <w:rsid w:val="001653AE"/>
    <w:rsid w:val="001670EE"/>
    <w:rsid w:val="00170D5B"/>
    <w:rsid w:val="00172B8F"/>
    <w:rsid w:val="00173519"/>
    <w:rsid w:val="001736F8"/>
    <w:rsid w:val="00173D85"/>
    <w:rsid w:val="00174FD4"/>
    <w:rsid w:val="0018029A"/>
    <w:rsid w:val="001849DA"/>
    <w:rsid w:val="00184BAE"/>
    <w:rsid w:val="0018534C"/>
    <w:rsid w:val="00190362"/>
    <w:rsid w:val="00190914"/>
    <w:rsid w:val="0019123F"/>
    <w:rsid w:val="001915FB"/>
    <w:rsid w:val="00192D17"/>
    <w:rsid w:val="0019362A"/>
    <w:rsid w:val="0019474E"/>
    <w:rsid w:val="0019519D"/>
    <w:rsid w:val="0019523F"/>
    <w:rsid w:val="00195444"/>
    <w:rsid w:val="00195728"/>
    <w:rsid w:val="001970C0"/>
    <w:rsid w:val="001A1442"/>
    <w:rsid w:val="001A1CB7"/>
    <w:rsid w:val="001A2937"/>
    <w:rsid w:val="001A420B"/>
    <w:rsid w:val="001A4B97"/>
    <w:rsid w:val="001A4D9F"/>
    <w:rsid w:val="001A4F7D"/>
    <w:rsid w:val="001A4FDE"/>
    <w:rsid w:val="001A5529"/>
    <w:rsid w:val="001A63EF"/>
    <w:rsid w:val="001A7B42"/>
    <w:rsid w:val="001A7D8F"/>
    <w:rsid w:val="001A7DA5"/>
    <w:rsid w:val="001A7DDE"/>
    <w:rsid w:val="001B0327"/>
    <w:rsid w:val="001B0348"/>
    <w:rsid w:val="001B21D3"/>
    <w:rsid w:val="001B2A97"/>
    <w:rsid w:val="001B2CD4"/>
    <w:rsid w:val="001B37F1"/>
    <w:rsid w:val="001B3C50"/>
    <w:rsid w:val="001B51DB"/>
    <w:rsid w:val="001B5CC3"/>
    <w:rsid w:val="001B6C2A"/>
    <w:rsid w:val="001B7329"/>
    <w:rsid w:val="001C00B8"/>
    <w:rsid w:val="001C174A"/>
    <w:rsid w:val="001C1D05"/>
    <w:rsid w:val="001C1E42"/>
    <w:rsid w:val="001C2A48"/>
    <w:rsid w:val="001C4084"/>
    <w:rsid w:val="001C4F65"/>
    <w:rsid w:val="001C69E3"/>
    <w:rsid w:val="001C6DFD"/>
    <w:rsid w:val="001C7279"/>
    <w:rsid w:val="001D1F69"/>
    <w:rsid w:val="001D23E1"/>
    <w:rsid w:val="001D2757"/>
    <w:rsid w:val="001D27FE"/>
    <w:rsid w:val="001D32C0"/>
    <w:rsid w:val="001D3A64"/>
    <w:rsid w:val="001D457D"/>
    <w:rsid w:val="001D5793"/>
    <w:rsid w:val="001D74A7"/>
    <w:rsid w:val="001E15F2"/>
    <w:rsid w:val="001E1B1F"/>
    <w:rsid w:val="001E22F7"/>
    <w:rsid w:val="001E35AC"/>
    <w:rsid w:val="001E4042"/>
    <w:rsid w:val="001E465F"/>
    <w:rsid w:val="001E5A77"/>
    <w:rsid w:val="001E724C"/>
    <w:rsid w:val="001E75E1"/>
    <w:rsid w:val="001F0743"/>
    <w:rsid w:val="001F1E14"/>
    <w:rsid w:val="001F2902"/>
    <w:rsid w:val="001F3774"/>
    <w:rsid w:val="001F3F36"/>
    <w:rsid w:val="001F4AE9"/>
    <w:rsid w:val="001F658C"/>
    <w:rsid w:val="001F675C"/>
    <w:rsid w:val="001F67F1"/>
    <w:rsid w:val="001F6F44"/>
    <w:rsid w:val="001F74D5"/>
    <w:rsid w:val="001F7563"/>
    <w:rsid w:val="00207F59"/>
    <w:rsid w:val="00210B78"/>
    <w:rsid w:val="00210CA3"/>
    <w:rsid w:val="002114C9"/>
    <w:rsid w:val="00211DC3"/>
    <w:rsid w:val="00213635"/>
    <w:rsid w:val="0021428D"/>
    <w:rsid w:val="002155B6"/>
    <w:rsid w:val="002157E4"/>
    <w:rsid w:val="00215AFB"/>
    <w:rsid w:val="00215DEA"/>
    <w:rsid w:val="00215FDE"/>
    <w:rsid w:val="00216F0F"/>
    <w:rsid w:val="00217A7D"/>
    <w:rsid w:val="002200D8"/>
    <w:rsid w:val="00220790"/>
    <w:rsid w:val="002225B8"/>
    <w:rsid w:val="00223664"/>
    <w:rsid w:val="00223754"/>
    <w:rsid w:val="00223A56"/>
    <w:rsid w:val="00223BFA"/>
    <w:rsid w:val="00225833"/>
    <w:rsid w:val="00225B60"/>
    <w:rsid w:val="00226095"/>
    <w:rsid w:val="002268F9"/>
    <w:rsid w:val="00227B89"/>
    <w:rsid w:val="00227F43"/>
    <w:rsid w:val="00230D28"/>
    <w:rsid w:val="002311AB"/>
    <w:rsid w:val="00231B73"/>
    <w:rsid w:val="002326AD"/>
    <w:rsid w:val="00233E2F"/>
    <w:rsid w:val="00234640"/>
    <w:rsid w:val="00234F9E"/>
    <w:rsid w:val="00236AED"/>
    <w:rsid w:val="00237FE3"/>
    <w:rsid w:val="00240106"/>
    <w:rsid w:val="002405F2"/>
    <w:rsid w:val="002409DA"/>
    <w:rsid w:val="002411C7"/>
    <w:rsid w:val="00242980"/>
    <w:rsid w:val="00242E76"/>
    <w:rsid w:val="00242F4E"/>
    <w:rsid w:val="00244642"/>
    <w:rsid w:val="002452A0"/>
    <w:rsid w:val="002463A6"/>
    <w:rsid w:val="00246ADB"/>
    <w:rsid w:val="00247248"/>
    <w:rsid w:val="00250D2A"/>
    <w:rsid w:val="002517A5"/>
    <w:rsid w:val="00251F6C"/>
    <w:rsid w:val="0025249C"/>
    <w:rsid w:val="002524AF"/>
    <w:rsid w:val="0025351F"/>
    <w:rsid w:val="002539ED"/>
    <w:rsid w:val="00253C65"/>
    <w:rsid w:val="0025440D"/>
    <w:rsid w:val="0025450E"/>
    <w:rsid w:val="00255152"/>
    <w:rsid w:val="0025554E"/>
    <w:rsid w:val="00256200"/>
    <w:rsid w:val="00262B1A"/>
    <w:rsid w:val="002638F4"/>
    <w:rsid w:val="00264C52"/>
    <w:rsid w:val="00265B98"/>
    <w:rsid w:val="00266DBE"/>
    <w:rsid w:val="0027160C"/>
    <w:rsid w:val="002722FE"/>
    <w:rsid w:val="00273E31"/>
    <w:rsid w:val="0027437D"/>
    <w:rsid w:val="002751D1"/>
    <w:rsid w:val="00275209"/>
    <w:rsid w:val="002757E2"/>
    <w:rsid w:val="00275EBF"/>
    <w:rsid w:val="00284340"/>
    <w:rsid w:val="00286A1E"/>
    <w:rsid w:val="002872A6"/>
    <w:rsid w:val="00287AB5"/>
    <w:rsid w:val="00287E78"/>
    <w:rsid w:val="00290676"/>
    <w:rsid w:val="00291462"/>
    <w:rsid w:val="00291572"/>
    <w:rsid w:val="002941F9"/>
    <w:rsid w:val="00295314"/>
    <w:rsid w:val="002A04B4"/>
    <w:rsid w:val="002A145B"/>
    <w:rsid w:val="002A14AC"/>
    <w:rsid w:val="002A1816"/>
    <w:rsid w:val="002A18BE"/>
    <w:rsid w:val="002A1AF9"/>
    <w:rsid w:val="002A36F6"/>
    <w:rsid w:val="002A4084"/>
    <w:rsid w:val="002A4AD6"/>
    <w:rsid w:val="002A609F"/>
    <w:rsid w:val="002A7196"/>
    <w:rsid w:val="002A758A"/>
    <w:rsid w:val="002A76AE"/>
    <w:rsid w:val="002B04A4"/>
    <w:rsid w:val="002B1384"/>
    <w:rsid w:val="002B1BB2"/>
    <w:rsid w:val="002B209B"/>
    <w:rsid w:val="002B29BA"/>
    <w:rsid w:val="002B2ADD"/>
    <w:rsid w:val="002B2C1B"/>
    <w:rsid w:val="002B3681"/>
    <w:rsid w:val="002B39D1"/>
    <w:rsid w:val="002B667C"/>
    <w:rsid w:val="002B66BB"/>
    <w:rsid w:val="002B72E4"/>
    <w:rsid w:val="002B7ADD"/>
    <w:rsid w:val="002C11CA"/>
    <w:rsid w:val="002C45E8"/>
    <w:rsid w:val="002C5139"/>
    <w:rsid w:val="002C70CE"/>
    <w:rsid w:val="002C75EB"/>
    <w:rsid w:val="002D27B2"/>
    <w:rsid w:val="002D367C"/>
    <w:rsid w:val="002D5097"/>
    <w:rsid w:val="002D55E4"/>
    <w:rsid w:val="002D690D"/>
    <w:rsid w:val="002D6A8D"/>
    <w:rsid w:val="002E1B9A"/>
    <w:rsid w:val="002E46C8"/>
    <w:rsid w:val="002E4F96"/>
    <w:rsid w:val="002E63BE"/>
    <w:rsid w:val="002E7241"/>
    <w:rsid w:val="002E7489"/>
    <w:rsid w:val="002E7775"/>
    <w:rsid w:val="002E7AD2"/>
    <w:rsid w:val="002F1399"/>
    <w:rsid w:val="002F32FB"/>
    <w:rsid w:val="002F4C34"/>
    <w:rsid w:val="002F5611"/>
    <w:rsid w:val="002F5C29"/>
    <w:rsid w:val="002F5F5E"/>
    <w:rsid w:val="002F5F85"/>
    <w:rsid w:val="002F6560"/>
    <w:rsid w:val="002F693F"/>
    <w:rsid w:val="002F74F3"/>
    <w:rsid w:val="003008CC"/>
    <w:rsid w:val="00301763"/>
    <w:rsid w:val="00302252"/>
    <w:rsid w:val="0030242B"/>
    <w:rsid w:val="00303C60"/>
    <w:rsid w:val="00304557"/>
    <w:rsid w:val="00304FB8"/>
    <w:rsid w:val="00307299"/>
    <w:rsid w:val="00310000"/>
    <w:rsid w:val="003104E6"/>
    <w:rsid w:val="00310B9B"/>
    <w:rsid w:val="00310C3F"/>
    <w:rsid w:val="00310D25"/>
    <w:rsid w:val="00312F95"/>
    <w:rsid w:val="0031398F"/>
    <w:rsid w:val="003140D2"/>
    <w:rsid w:val="00316D6B"/>
    <w:rsid w:val="00317714"/>
    <w:rsid w:val="00320A17"/>
    <w:rsid w:val="00322DA9"/>
    <w:rsid w:val="00323AF6"/>
    <w:rsid w:val="0032489F"/>
    <w:rsid w:val="003251C2"/>
    <w:rsid w:val="00325FA0"/>
    <w:rsid w:val="00326CD8"/>
    <w:rsid w:val="00326F1C"/>
    <w:rsid w:val="00327162"/>
    <w:rsid w:val="00330A0A"/>
    <w:rsid w:val="00332065"/>
    <w:rsid w:val="003328A9"/>
    <w:rsid w:val="00332F5E"/>
    <w:rsid w:val="00335614"/>
    <w:rsid w:val="00336F11"/>
    <w:rsid w:val="003371B5"/>
    <w:rsid w:val="00337600"/>
    <w:rsid w:val="00337BAF"/>
    <w:rsid w:val="00340341"/>
    <w:rsid w:val="003417CB"/>
    <w:rsid w:val="00341965"/>
    <w:rsid w:val="003435A9"/>
    <w:rsid w:val="00344649"/>
    <w:rsid w:val="00345496"/>
    <w:rsid w:val="00345BCF"/>
    <w:rsid w:val="003466F9"/>
    <w:rsid w:val="00347720"/>
    <w:rsid w:val="00350092"/>
    <w:rsid w:val="00350491"/>
    <w:rsid w:val="00350777"/>
    <w:rsid w:val="003519AD"/>
    <w:rsid w:val="00351E0E"/>
    <w:rsid w:val="00352633"/>
    <w:rsid w:val="00352D04"/>
    <w:rsid w:val="00353B8C"/>
    <w:rsid w:val="003540E7"/>
    <w:rsid w:val="00354EB4"/>
    <w:rsid w:val="00356D29"/>
    <w:rsid w:val="00356F14"/>
    <w:rsid w:val="003571C2"/>
    <w:rsid w:val="00361990"/>
    <w:rsid w:val="0036359D"/>
    <w:rsid w:val="00363AC0"/>
    <w:rsid w:val="00363E55"/>
    <w:rsid w:val="003640A7"/>
    <w:rsid w:val="00365447"/>
    <w:rsid w:val="00365C00"/>
    <w:rsid w:val="00366270"/>
    <w:rsid w:val="00366F79"/>
    <w:rsid w:val="0036794E"/>
    <w:rsid w:val="00367C94"/>
    <w:rsid w:val="003705DC"/>
    <w:rsid w:val="003720E2"/>
    <w:rsid w:val="00373DA0"/>
    <w:rsid w:val="003759BE"/>
    <w:rsid w:val="00380073"/>
    <w:rsid w:val="00380FCD"/>
    <w:rsid w:val="0038146C"/>
    <w:rsid w:val="003815A7"/>
    <w:rsid w:val="00382609"/>
    <w:rsid w:val="00386124"/>
    <w:rsid w:val="003864D5"/>
    <w:rsid w:val="00390210"/>
    <w:rsid w:val="00390567"/>
    <w:rsid w:val="00390DC5"/>
    <w:rsid w:val="00392FFB"/>
    <w:rsid w:val="00394891"/>
    <w:rsid w:val="00396547"/>
    <w:rsid w:val="003966F6"/>
    <w:rsid w:val="0039677D"/>
    <w:rsid w:val="00397D83"/>
    <w:rsid w:val="003A0660"/>
    <w:rsid w:val="003A0D52"/>
    <w:rsid w:val="003A2ED1"/>
    <w:rsid w:val="003A46D8"/>
    <w:rsid w:val="003A4C47"/>
    <w:rsid w:val="003A4C83"/>
    <w:rsid w:val="003A5063"/>
    <w:rsid w:val="003A6724"/>
    <w:rsid w:val="003A6E1A"/>
    <w:rsid w:val="003A7403"/>
    <w:rsid w:val="003B0BA1"/>
    <w:rsid w:val="003B0E38"/>
    <w:rsid w:val="003B1082"/>
    <w:rsid w:val="003B4599"/>
    <w:rsid w:val="003B51D7"/>
    <w:rsid w:val="003B561C"/>
    <w:rsid w:val="003B61B7"/>
    <w:rsid w:val="003C1083"/>
    <w:rsid w:val="003C1218"/>
    <w:rsid w:val="003C1AE2"/>
    <w:rsid w:val="003C1E94"/>
    <w:rsid w:val="003C3C23"/>
    <w:rsid w:val="003C4F8F"/>
    <w:rsid w:val="003C57C5"/>
    <w:rsid w:val="003C6B59"/>
    <w:rsid w:val="003C6E47"/>
    <w:rsid w:val="003C6F44"/>
    <w:rsid w:val="003D0037"/>
    <w:rsid w:val="003D299E"/>
    <w:rsid w:val="003D55E1"/>
    <w:rsid w:val="003D62E5"/>
    <w:rsid w:val="003D641A"/>
    <w:rsid w:val="003D71EB"/>
    <w:rsid w:val="003E0761"/>
    <w:rsid w:val="003E22CB"/>
    <w:rsid w:val="003E2343"/>
    <w:rsid w:val="003E406B"/>
    <w:rsid w:val="003E40CB"/>
    <w:rsid w:val="003E4F96"/>
    <w:rsid w:val="003E5CCA"/>
    <w:rsid w:val="003E70DA"/>
    <w:rsid w:val="003E7773"/>
    <w:rsid w:val="003E796E"/>
    <w:rsid w:val="003E7F51"/>
    <w:rsid w:val="003F115E"/>
    <w:rsid w:val="003F14C2"/>
    <w:rsid w:val="003F2210"/>
    <w:rsid w:val="003F3289"/>
    <w:rsid w:val="003F40CD"/>
    <w:rsid w:val="003F535C"/>
    <w:rsid w:val="003F7196"/>
    <w:rsid w:val="004008AF"/>
    <w:rsid w:val="00400B5F"/>
    <w:rsid w:val="00401DBF"/>
    <w:rsid w:val="004033D9"/>
    <w:rsid w:val="0040340A"/>
    <w:rsid w:val="00404A94"/>
    <w:rsid w:val="0040551F"/>
    <w:rsid w:val="00405FE8"/>
    <w:rsid w:val="00406275"/>
    <w:rsid w:val="00406A17"/>
    <w:rsid w:val="00406C5F"/>
    <w:rsid w:val="004075C5"/>
    <w:rsid w:val="0040771F"/>
    <w:rsid w:val="004111F7"/>
    <w:rsid w:val="0041217D"/>
    <w:rsid w:val="004125C6"/>
    <w:rsid w:val="0041275F"/>
    <w:rsid w:val="00414470"/>
    <w:rsid w:val="004156D9"/>
    <w:rsid w:val="00415D49"/>
    <w:rsid w:val="004174D0"/>
    <w:rsid w:val="00421A89"/>
    <w:rsid w:val="00421EBC"/>
    <w:rsid w:val="0042304B"/>
    <w:rsid w:val="0042332D"/>
    <w:rsid w:val="00424084"/>
    <w:rsid w:val="00427322"/>
    <w:rsid w:val="004273AD"/>
    <w:rsid w:val="004278CC"/>
    <w:rsid w:val="004305AE"/>
    <w:rsid w:val="00430A6D"/>
    <w:rsid w:val="00431800"/>
    <w:rsid w:val="00432474"/>
    <w:rsid w:val="00433541"/>
    <w:rsid w:val="00434426"/>
    <w:rsid w:val="004347B2"/>
    <w:rsid w:val="00436514"/>
    <w:rsid w:val="00440547"/>
    <w:rsid w:val="00441063"/>
    <w:rsid w:val="00441A22"/>
    <w:rsid w:val="00441AD3"/>
    <w:rsid w:val="004423F7"/>
    <w:rsid w:val="00442839"/>
    <w:rsid w:val="00442A0B"/>
    <w:rsid w:val="00442A49"/>
    <w:rsid w:val="00443183"/>
    <w:rsid w:val="004453D1"/>
    <w:rsid w:val="00446515"/>
    <w:rsid w:val="0044681B"/>
    <w:rsid w:val="0044690B"/>
    <w:rsid w:val="00446BBE"/>
    <w:rsid w:val="0044782C"/>
    <w:rsid w:val="004502BE"/>
    <w:rsid w:val="004503FA"/>
    <w:rsid w:val="0045093D"/>
    <w:rsid w:val="00450AE6"/>
    <w:rsid w:val="00451645"/>
    <w:rsid w:val="00452C64"/>
    <w:rsid w:val="00452F2F"/>
    <w:rsid w:val="00454100"/>
    <w:rsid w:val="00454F8E"/>
    <w:rsid w:val="00456169"/>
    <w:rsid w:val="004606FC"/>
    <w:rsid w:val="00462778"/>
    <w:rsid w:val="00464F6C"/>
    <w:rsid w:val="00465BA4"/>
    <w:rsid w:val="00466CA6"/>
    <w:rsid w:val="004671C0"/>
    <w:rsid w:val="00467BDB"/>
    <w:rsid w:val="00471D0D"/>
    <w:rsid w:val="00471F2C"/>
    <w:rsid w:val="00473F13"/>
    <w:rsid w:val="004749C9"/>
    <w:rsid w:val="00474E01"/>
    <w:rsid w:val="00475EEA"/>
    <w:rsid w:val="004807F5"/>
    <w:rsid w:val="00480926"/>
    <w:rsid w:val="00481E9E"/>
    <w:rsid w:val="00482804"/>
    <w:rsid w:val="00482B47"/>
    <w:rsid w:val="0048323E"/>
    <w:rsid w:val="00483CE6"/>
    <w:rsid w:val="00484DC5"/>
    <w:rsid w:val="00485675"/>
    <w:rsid w:val="0048599A"/>
    <w:rsid w:val="004859C7"/>
    <w:rsid w:val="00485C46"/>
    <w:rsid w:val="00486F47"/>
    <w:rsid w:val="00487991"/>
    <w:rsid w:val="00487C85"/>
    <w:rsid w:val="00490DC4"/>
    <w:rsid w:val="00494F64"/>
    <w:rsid w:val="00495D36"/>
    <w:rsid w:val="00496BC6"/>
    <w:rsid w:val="00497079"/>
    <w:rsid w:val="00497B9F"/>
    <w:rsid w:val="00497EF2"/>
    <w:rsid w:val="004A2084"/>
    <w:rsid w:val="004A2210"/>
    <w:rsid w:val="004A4430"/>
    <w:rsid w:val="004A4FDF"/>
    <w:rsid w:val="004A5489"/>
    <w:rsid w:val="004A5E5F"/>
    <w:rsid w:val="004A5E73"/>
    <w:rsid w:val="004A6C2A"/>
    <w:rsid w:val="004A7A52"/>
    <w:rsid w:val="004A7CD4"/>
    <w:rsid w:val="004B0481"/>
    <w:rsid w:val="004B07AC"/>
    <w:rsid w:val="004B19FE"/>
    <w:rsid w:val="004B2A4D"/>
    <w:rsid w:val="004B2F45"/>
    <w:rsid w:val="004B33C2"/>
    <w:rsid w:val="004B4214"/>
    <w:rsid w:val="004B47A4"/>
    <w:rsid w:val="004B689D"/>
    <w:rsid w:val="004B741A"/>
    <w:rsid w:val="004C0E97"/>
    <w:rsid w:val="004C35E9"/>
    <w:rsid w:val="004C48C8"/>
    <w:rsid w:val="004C4D73"/>
    <w:rsid w:val="004C598D"/>
    <w:rsid w:val="004C6724"/>
    <w:rsid w:val="004C72CF"/>
    <w:rsid w:val="004D1023"/>
    <w:rsid w:val="004D2587"/>
    <w:rsid w:val="004D3897"/>
    <w:rsid w:val="004D3D91"/>
    <w:rsid w:val="004D4425"/>
    <w:rsid w:val="004D7191"/>
    <w:rsid w:val="004D7FC6"/>
    <w:rsid w:val="004E1937"/>
    <w:rsid w:val="004E1B67"/>
    <w:rsid w:val="004E1EBC"/>
    <w:rsid w:val="004E2BD6"/>
    <w:rsid w:val="004E3DBA"/>
    <w:rsid w:val="004E49C1"/>
    <w:rsid w:val="004E59BC"/>
    <w:rsid w:val="004E6352"/>
    <w:rsid w:val="004E68DA"/>
    <w:rsid w:val="004E7164"/>
    <w:rsid w:val="004E73B7"/>
    <w:rsid w:val="004F0AFA"/>
    <w:rsid w:val="004F1562"/>
    <w:rsid w:val="004F17F1"/>
    <w:rsid w:val="004F1877"/>
    <w:rsid w:val="004F5B2B"/>
    <w:rsid w:val="004F6AD3"/>
    <w:rsid w:val="00501386"/>
    <w:rsid w:val="00501BD9"/>
    <w:rsid w:val="00501C25"/>
    <w:rsid w:val="005027A6"/>
    <w:rsid w:val="00502DAE"/>
    <w:rsid w:val="00502FFB"/>
    <w:rsid w:val="005038A0"/>
    <w:rsid w:val="00504084"/>
    <w:rsid w:val="00504A82"/>
    <w:rsid w:val="00505E19"/>
    <w:rsid w:val="0050702B"/>
    <w:rsid w:val="005103C5"/>
    <w:rsid w:val="005131D3"/>
    <w:rsid w:val="0051352C"/>
    <w:rsid w:val="00514BAC"/>
    <w:rsid w:val="00514FC2"/>
    <w:rsid w:val="00515BFA"/>
    <w:rsid w:val="00517647"/>
    <w:rsid w:val="00517A86"/>
    <w:rsid w:val="00520996"/>
    <w:rsid w:val="00521B7C"/>
    <w:rsid w:val="0052349D"/>
    <w:rsid w:val="00523D75"/>
    <w:rsid w:val="00524774"/>
    <w:rsid w:val="005247C2"/>
    <w:rsid w:val="00524BE8"/>
    <w:rsid w:val="0052575D"/>
    <w:rsid w:val="00525FEA"/>
    <w:rsid w:val="00526C92"/>
    <w:rsid w:val="00527472"/>
    <w:rsid w:val="005275FC"/>
    <w:rsid w:val="0052768C"/>
    <w:rsid w:val="0053011A"/>
    <w:rsid w:val="00530896"/>
    <w:rsid w:val="005310AF"/>
    <w:rsid w:val="00531D1A"/>
    <w:rsid w:val="00532064"/>
    <w:rsid w:val="00532C76"/>
    <w:rsid w:val="005342C3"/>
    <w:rsid w:val="00534A0A"/>
    <w:rsid w:val="005355AB"/>
    <w:rsid w:val="005359EA"/>
    <w:rsid w:val="005362F5"/>
    <w:rsid w:val="0053722A"/>
    <w:rsid w:val="0053725B"/>
    <w:rsid w:val="005407F1"/>
    <w:rsid w:val="00540C57"/>
    <w:rsid w:val="00541907"/>
    <w:rsid w:val="00542638"/>
    <w:rsid w:val="0054293C"/>
    <w:rsid w:val="00542E70"/>
    <w:rsid w:val="00543F44"/>
    <w:rsid w:val="00546FF0"/>
    <w:rsid w:val="00547A5D"/>
    <w:rsid w:val="005514BC"/>
    <w:rsid w:val="005531BD"/>
    <w:rsid w:val="0055368B"/>
    <w:rsid w:val="00553EA7"/>
    <w:rsid w:val="0055634E"/>
    <w:rsid w:val="005567B2"/>
    <w:rsid w:val="00557870"/>
    <w:rsid w:val="00560277"/>
    <w:rsid w:val="00560938"/>
    <w:rsid w:val="00560AF1"/>
    <w:rsid w:val="00561562"/>
    <w:rsid w:val="00561708"/>
    <w:rsid w:val="00561E3D"/>
    <w:rsid w:val="00563DE6"/>
    <w:rsid w:val="00565139"/>
    <w:rsid w:val="0056521A"/>
    <w:rsid w:val="0056528D"/>
    <w:rsid w:val="0056628B"/>
    <w:rsid w:val="00566298"/>
    <w:rsid w:val="00566B47"/>
    <w:rsid w:val="0057086C"/>
    <w:rsid w:val="0057091E"/>
    <w:rsid w:val="00571A41"/>
    <w:rsid w:val="005723D6"/>
    <w:rsid w:val="00572E53"/>
    <w:rsid w:val="00574A6E"/>
    <w:rsid w:val="0057574A"/>
    <w:rsid w:val="00577145"/>
    <w:rsid w:val="005773BE"/>
    <w:rsid w:val="005775EB"/>
    <w:rsid w:val="00577932"/>
    <w:rsid w:val="00577B3B"/>
    <w:rsid w:val="00582365"/>
    <w:rsid w:val="00584352"/>
    <w:rsid w:val="00585C1B"/>
    <w:rsid w:val="00586B33"/>
    <w:rsid w:val="00587639"/>
    <w:rsid w:val="00587749"/>
    <w:rsid w:val="00587D90"/>
    <w:rsid w:val="00590A0C"/>
    <w:rsid w:val="00590FCA"/>
    <w:rsid w:val="00592638"/>
    <w:rsid w:val="005927D1"/>
    <w:rsid w:val="00592818"/>
    <w:rsid w:val="00593138"/>
    <w:rsid w:val="00593A33"/>
    <w:rsid w:val="005947B5"/>
    <w:rsid w:val="005960BB"/>
    <w:rsid w:val="00597407"/>
    <w:rsid w:val="005A0496"/>
    <w:rsid w:val="005A4047"/>
    <w:rsid w:val="005A4384"/>
    <w:rsid w:val="005A4D04"/>
    <w:rsid w:val="005A7012"/>
    <w:rsid w:val="005A7A5E"/>
    <w:rsid w:val="005A7C24"/>
    <w:rsid w:val="005B0CC9"/>
    <w:rsid w:val="005B1C07"/>
    <w:rsid w:val="005B3020"/>
    <w:rsid w:val="005B3432"/>
    <w:rsid w:val="005B3B46"/>
    <w:rsid w:val="005B3BD6"/>
    <w:rsid w:val="005B7D6C"/>
    <w:rsid w:val="005C05C3"/>
    <w:rsid w:val="005C1F35"/>
    <w:rsid w:val="005C2F40"/>
    <w:rsid w:val="005C3143"/>
    <w:rsid w:val="005C379E"/>
    <w:rsid w:val="005C3DD1"/>
    <w:rsid w:val="005C3FFB"/>
    <w:rsid w:val="005C4281"/>
    <w:rsid w:val="005C6992"/>
    <w:rsid w:val="005C7215"/>
    <w:rsid w:val="005C73C4"/>
    <w:rsid w:val="005D00EA"/>
    <w:rsid w:val="005D023B"/>
    <w:rsid w:val="005D02C4"/>
    <w:rsid w:val="005D0AAF"/>
    <w:rsid w:val="005D2304"/>
    <w:rsid w:val="005D3A04"/>
    <w:rsid w:val="005D44E9"/>
    <w:rsid w:val="005D48FE"/>
    <w:rsid w:val="005D508A"/>
    <w:rsid w:val="005D5461"/>
    <w:rsid w:val="005D7471"/>
    <w:rsid w:val="005D749D"/>
    <w:rsid w:val="005E1874"/>
    <w:rsid w:val="005E2567"/>
    <w:rsid w:val="005E2702"/>
    <w:rsid w:val="005E3BEB"/>
    <w:rsid w:val="005E5874"/>
    <w:rsid w:val="005E6F11"/>
    <w:rsid w:val="005E75D5"/>
    <w:rsid w:val="005F1555"/>
    <w:rsid w:val="005F1772"/>
    <w:rsid w:val="005F2978"/>
    <w:rsid w:val="005F4721"/>
    <w:rsid w:val="005F5CC5"/>
    <w:rsid w:val="005F720A"/>
    <w:rsid w:val="005F7EB1"/>
    <w:rsid w:val="006018AB"/>
    <w:rsid w:val="00602F43"/>
    <w:rsid w:val="006034F7"/>
    <w:rsid w:val="00603B08"/>
    <w:rsid w:val="00605776"/>
    <w:rsid w:val="00610162"/>
    <w:rsid w:val="00610A3D"/>
    <w:rsid w:val="00610ABA"/>
    <w:rsid w:val="00610D02"/>
    <w:rsid w:val="00613037"/>
    <w:rsid w:val="006135AB"/>
    <w:rsid w:val="006138E4"/>
    <w:rsid w:val="006144F6"/>
    <w:rsid w:val="006158C3"/>
    <w:rsid w:val="00616407"/>
    <w:rsid w:val="00620E5A"/>
    <w:rsid w:val="0062136A"/>
    <w:rsid w:val="006237FD"/>
    <w:rsid w:val="006250E9"/>
    <w:rsid w:val="0063188C"/>
    <w:rsid w:val="00633136"/>
    <w:rsid w:val="00633811"/>
    <w:rsid w:val="00633B2F"/>
    <w:rsid w:val="006347C4"/>
    <w:rsid w:val="00634985"/>
    <w:rsid w:val="00636031"/>
    <w:rsid w:val="00636311"/>
    <w:rsid w:val="00636B8B"/>
    <w:rsid w:val="00637091"/>
    <w:rsid w:val="00640017"/>
    <w:rsid w:val="00640C31"/>
    <w:rsid w:val="006412B2"/>
    <w:rsid w:val="00641628"/>
    <w:rsid w:val="00643226"/>
    <w:rsid w:val="006459EF"/>
    <w:rsid w:val="00646367"/>
    <w:rsid w:val="006465F3"/>
    <w:rsid w:val="006472D7"/>
    <w:rsid w:val="00652F4D"/>
    <w:rsid w:val="006534BF"/>
    <w:rsid w:val="006537CE"/>
    <w:rsid w:val="006537D7"/>
    <w:rsid w:val="0065444A"/>
    <w:rsid w:val="00654F68"/>
    <w:rsid w:val="00655424"/>
    <w:rsid w:val="00655967"/>
    <w:rsid w:val="00655CF9"/>
    <w:rsid w:val="00655D45"/>
    <w:rsid w:val="0065714C"/>
    <w:rsid w:val="0065747D"/>
    <w:rsid w:val="00660A74"/>
    <w:rsid w:val="00661DA9"/>
    <w:rsid w:val="00662812"/>
    <w:rsid w:val="00662E5F"/>
    <w:rsid w:val="00663160"/>
    <w:rsid w:val="00664434"/>
    <w:rsid w:val="0066561F"/>
    <w:rsid w:val="0066630A"/>
    <w:rsid w:val="00666A58"/>
    <w:rsid w:val="00666B6A"/>
    <w:rsid w:val="0066754D"/>
    <w:rsid w:val="00670650"/>
    <w:rsid w:val="006712C0"/>
    <w:rsid w:val="006715EB"/>
    <w:rsid w:val="00671740"/>
    <w:rsid w:val="006723D1"/>
    <w:rsid w:val="00672C2A"/>
    <w:rsid w:val="00673AD6"/>
    <w:rsid w:val="006744AC"/>
    <w:rsid w:val="00674C7D"/>
    <w:rsid w:val="00680B40"/>
    <w:rsid w:val="00681EC9"/>
    <w:rsid w:val="006822FA"/>
    <w:rsid w:val="0068288C"/>
    <w:rsid w:val="00683F36"/>
    <w:rsid w:val="00684B97"/>
    <w:rsid w:val="00685589"/>
    <w:rsid w:val="006866B9"/>
    <w:rsid w:val="0068682C"/>
    <w:rsid w:val="0068799C"/>
    <w:rsid w:val="006902EA"/>
    <w:rsid w:val="00691334"/>
    <w:rsid w:val="0069154A"/>
    <w:rsid w:val="006916A0"/>
    <w:rsid w:val="00693861"/>
    <w:rsid w:val="006938AA"/>
    <w:rsid w:val="0069474B"/>
    <w:rsid w:val="0069475D"/>
    <w:rsid w:val="00694EE6"/>
    <w:rsid w:val="00695715"/>
    <w:rsid w:val="006964F4"/>
    <w:rsid w:val="00697966"/>
    <w:rsid w:val="006A0BCB"/>
    <w:rsid w:val="006A27BD"/>
    <w:rsid w:val="006A3A2B"/>
    <w:rsid w:val="006A6BF1"/>
    <w:rsid w:val="006A77D3"/>
    <w:rsid w:val="006B118F"/>
    <w:rsid w:val="006B1F21"/>
    <w:rsid w:val="006B2B75"/>
    <w:rsid w:val="006B3032"/>
    <w:rsid w:val="006B4B4A"/>
    <w:rsid w:val="006B75C6"/>
    <w:rsid w:val="006C1AE3"/>
    <w:rsid w:val="006C34FD"/>
    <w:rsid w:val="006C354C"/>
    <w:rsid w:val="006C3B76"/>
    <w:rsid w:val="006C3C43"/>
    <w:rsid w:val="006C4572"/>
    <w:rsid w:val="006C4BE4"/>
    <w:rsid w:val="006C5D28"/>
    <w:rsid w:val="006C750B"/>
    <w:rsid w:val="006C7B03"/>
    <w:rsid w:val="006D0EC2"/>
    <w:rsid w:val="006D1A80"/>
    <w:rsid w:val="006D3C7A"/>
    <w:rsid w:val="006D4B0A"/>
    <w:rsid w:val="006D4C72"/>
    <w:rsid w:val="006D4E4C"/>
    <w:rsid w:val="006D5351"/>
    <w:rsid w:val="006D5585"/>
    <w:rsid w:val="006D5F76"/>
    <w:rsid w:val="006D6218"/>
    <w:rsid w:val="006D621E"/>
    <w:rsid w:val="006D6D96"/>
    <w:rsid w:val="006D7211"/>
    <w:rsid w:val="006D75C8"/>
    <w:rsid w:val="006D7B28"/>
    <w:rsid w:val="006E1597"/>
    <w:rsid w:val="006E1F86"/>
    <w:rsid w:val="006F0D46"/>
    <w:rsid w:val="006F23DD"/>
    <w:rsid w:val="006F465E"/>
    <w:rsid w:val="006F4786"/>
    <w:rsid w:val="006F4C2D"/>
    <w:rsid w:val="006F5158"/>
    <w:rsid w:val="006F6AB3"/>
    <w:rsid w:val="006F7FDC"/>
    <w:rsid w:val="00700950"/>
    <w:rsid w:val="00700CB4"/>
    <w:rsid w:val="00701136"/>
    <w:rsid w:val="0070115B"/>
    <w:rsid w:val="007017D1"/>
    <w:rsid w:val="0070319A"/>
    <w:rsid w:val="00703CB4"/>
    <w:rsid w:val="00704146"/>
    <w:rsid w:val="00707745"/>
    <w:rsid w:val="00707C18"/>
    <w:rsid w:val="007103A9"/>
    <w:rsid w:val="007108D0"/>
    <w:rsid w:val="007110F1"/>
    <w:rsid w:val="0071218D"/>
    <w:rsid w:val="00712E8C"/>
    <w:rsid w:val="007136D5"/>
    <w:rsid w:val="00713AEE"/>
    <w:rsid w:val="00716AD2"/>
    <w:rsid w:val="007203CA"/>
    <w:rsid w:val="00721377"/>
    <w:rsid w:val="00721D56"/>
    <w:rsid w:val="007226F5"/>
    <w:rsid w:val="00723B2C"/>
    <w:rsid w:val="00724A09"/>
    <w:rsid w:val="00724ED0"/>
    <w:rsid w:val="00724F92"/>
    <w:rsid w:val="007253D6"/>
    <w:rsid w:val="0072578A"/>
    <w:rsid w:val="0072597A"/>
    <w:rsid w:val="00734CC1"/>
    <w:rsid w:val="0073792C"/>
    <w:rsid w:val="00737FF9"/>
    <w:rsid w:val="0074257A"/>
    <w:rsid w:val="00747434"/>
    <w:rsid w:val="0074788B"/>
    <w:rsid w:val="007479FA"/>
    <w:rsid w:val="00750D64"/>
    <w:rsid w:val="007512A8"/>
    <w:rsid w:val="0075137C"/>
    <w:rsid w:val="00752DA7"/>
    <w:rsid w:val="0075418A"/>
    <w:rsid w:val="0075685C"/>
    <w:rsid w:val="00757BEA"/>
    <w:rsid w:val="00761C57"/>
    <w:rsid w:val="00762092"/>
    <w:rsid w:val="0076260D"/>
    <w:rsid w:val="00763B77"/>
    <w:rsid w:val="0076470D"/>
    <w:rsid w:val="00766705"/>
    <w:rsid w:val="007668EA"/>
    <w:rsid w:val="0076702C"/>
    <w:rsid w:val="00767F6C"/>
    <w:rsid w:val="00771E17"/>
    <w:rsid w:val="00772340"/>
    <w:rsid w:val="00772829"/>
    <w:rsid w:val="00777848"/>
    <w:rsid w:val="00777893"/>
    <w:rsid w:val="0078090E"/>
    <w:rsid w:val="007812B9"/>
    <w:rsid w:val="0078393C"/>
    <w:rsid w:val="00784341"/>
    <w:rsid w:val="00784BAA"/>
    <w:rsid w:val="007852E9"/>
    <w:rsid w:val="00786ECD"/>
    <w:rsid w:val="0078741C"/>
    <w:rsid w:val="00790B15"/>
    <w:rsid w:val="00790F49"/>
    <w:rsid w:val="00791C4E"/>
    <w:rsid w:val="00792579"/>
    <w:rsid w:val="007931CB"/>
    <w:rsid w:val="007951D4"/>
    <w:rsid w:val="00795B55"/>
    <w:rsid w:val="007965E4"/>
    <w:rsid w:val="0079779D"/>
    <w:rsid w:val="007979CD"/>
    <w:rsid w:val="00797B4E"/>
    <w:rsid w:val="00797C46"/>
    <w:rsid w:val="007A0F54"/>
    <w:rsid w:val="007A172B"/>
    <w:rsid w:val="007A19F6"/>
    <w:rsid w:val="007A2B65"/>
    <w:rsid w:val="007A4A3E"/>
    <w:rsid w:val="007A5617"/>
    <w:rsid w:val="007A6963"/>
    <w:rsid w:val="007A711C"/>
    <w:rsid w:val="007A728E"/>
    <w:rsid w:val="007B0118"/>
    <w:rsid w:val="007B0245"/>
    <w:rsid w:val="007B083F"/>
    <w:rsid w:val="007B0880"/>
    <w:rsid w:val="007B0D01"/>
    <w:rsid w:val="007B1960"/>
    <w:rsid w:val="007B2085"/>
    <w:rsid w:val="007B2FDC"/>
    <w:rsid w:val="007B35BC"/>
    <w:rsid w:val="007B38A0"/>
    <w:rsid w:val="007B38B7"/>
    <w:rsid w:val="007B4F7B"/>
    <w:rsid w:val="007B583D"/>
    <w:rsid w:val="007B6684"/>
    <w:rsid w:val="007B6B21"/>
    <w:rsid w:val="007B7024"/>
    <w:rsid w:val="007B763C"/>
    <w:rsid w:val="007C0390"/>
    <w:rsid w:val="007C14A2"/>
    <w:rsid w:val="007C1B09"/>
    <w:rsid w:val="007C22A4"/>
    <w:rsid w:val="007C300E"/>
    <w:rsid w:val="007C328D"/>
    <w:rsid w:val="007C336F"/>
    <w:rsid w:val="007C41B1"/>
    <w:rsid w:val="007C590C"/>
    <w:rsid w:val="007C72A2"/>
    <w:rsid w:val="007C7A8A"/>
    <w:rsid w:val="007C7DEA"/>
    <w:rsid w:val="007D0915"/>
    <w:rsid w:val="007D1F31"/>
    <w:rsid w:val="007D24FF"/>
    <w:rsid w:val="007D30B7"/>
    <w:rsid w:val="007D3920"/>
    <w:rsid w:val="007D77ED"/>
    <w:rsid w:val="007D7A18"/>
    <w:rsid w:val="007E0D82"/>
    <w:rsid w:val="007E0FEC"/>
    <w:rsid w:val="007E15AD"/>
    <w:rsid w:val="007E20E0"/>
    <w:rsid w:val="007E25ED"/>
    <w:rsid w:val="007E2BC0"/>
    <w:rsid w:val="007F057F"/>
    <w:rsid w:val="007F079B"/>
    <w:rsid w:val="007F1209"/>
    <w:rsid w:val="007F1646"/>
    <w:rsid w:val="007F67E9"/>
    <w:rsid w:val="007F71A3"/>
    <w:rsid w:val="007F7C7B"/>
    <w:rsid w:val="008002AB"/>
    <w:rsid w:val="00800C9C"/>
    <w:rsid w:val="0080317E"/>
    <w:rsid w:val="00803597"/>
    <w:rsid w:val="008040A2"/>
    <w:rsid w:val="00804632"/>
    <w:rsid w:val="008054D9"/>
    <w:rsid w:val="00806688"/>
    <w:rsid w:val="00807A3E"/>
    <w:rsid w:val="00807B3D"/>
    <w:rsid w:val="00807F14"/>
    <w:rsid w:val="00810338"/>
    <w:rsid w:val="008121AB"/>
    <w:rsid w:val="00812282"/>
    <w:rsid w:val="008148E4"/>
    <w:rsid w:val="008157F1"/>
    <w:rsid w:val="00816377"/>
    <w:rsid w:val="00816EC2"/>
    <w:rsid w:val="00817F4F"/>
    <w:rsid w:val="008201C5"/>
    <w:rsid w:val="00822714"/>
    <w:rsid w:val="008236E1"/>
    <w:rsid w:val="0082404B"/>
    <w:rsid w:val="00824081"/>
    <w:rsid w:val="00824458"/>
    <w:rsid w:val="008244A3"/>
    <w:rsid w:val="0082461D"/>
    <w:rsid w:val="008249F7"/>
    <w:rsid w:val="00824B74"/>
    <w:rsid w:val="008259C4"/>
    <w:rsid w:val="00827027"/>
    <w:rsid w:val="00830EF2"/>
    <w:rsid w:val="008318DD"/>
    <w:rsid w:val="00835EC9"/>
    <w:rsid w:val="0083698F"/>
    <w:rsid w:val="00840554"/>
    <w:rsid w:val="00840AE9"/>
    <w:rsid w:val="00841388"/>
    <w:rsid w:val="00841EFB"/>
    <w:rsid w:val="00841F44"/>
    <w:rsid w:val="00842C82"/>
    <w:rsid w:val="008436D7"/>
    <w:rsid w:val="00843DB8"/>
    <w:rsid w:val="008440FE"/>
    <w:rsid w:val="00846119"/>
    <w:rsid w:val="008470E9"/>
    <w:rsid w:val="008472CC"/>
    <w:rsid w:val="008474E3"/>
    <w:rsid w:val="008475AF"/>
    <w:rsid w:val="00847CE7"/>
    <w:rsid w:val="00850A2A"/>
    <w:rsid w:val="008517DD"/>
    <w:rsid w:val="008527ED"/>
    <w:rsid w:val="008537F7"/>
    <w:rsid w:val="00853CA5"/>
    <w:rsid w:val="00853D66"/>
    <w:rsid w:val="008546BE"/>
    <w:rsid w:val="00854773"/>
    <w:rsid w:val="00854A0C"/>
    <w:rsid w:val="00856074"/>
    <w:rsid w:val="00857949"/>
    <w:rsid w:val="00857F36"/>
    <w:rsid w:val="00862AEF"/>
    <w:rsid w:val="00863328"/>
    <w:rsid w:val="008633F9"/>
    <w:rsid w:val="008652EE"/>
    <w:rsid w:val="00865AB4"/>
    <w:rsid w:val="008711A8"/>
    <w:rsid w:val="00871945"/>
    <w:rsid w:val="008719C2"/>
    <w:rsid w:val="0087277A"/>
    <w:rsid w:val="00872A47"/>
    <w:rsid w:val="008736E2"/>
    <w:rsid w:val="008741AD"/>
    <w:rsid w:val="00874565"/>
    <w:rsid w:val="0087479E"/>
    <w:rsid w:val="0087523A"/>
    <w:rsid w:val="0087687E"/>
    <w:rsid w:val="00876897"/>
    <w:rsid w:val="008769DB"/>
    <w:rsid w:val="00877247"/>
    <w:rsid w:val="008801AE"/>
    <w:rsid w:val="00880AA3"/>
    <w:rsid w:val="00880FB2"/>
    <w:rsid w:val="00882A82"/>
    <w:rsid w:val="00882CE8"/>
    <w:rsid w:val="00883147"/>
    <w:rsid w:val="00884001"/>
    <w:rsid w:val="0088421C"/>
    <w:rsid w:val="0088445B"/>
    <w:rsid w:val="00884919"/>
    <w:rsid w:val="00891AF6"/>
    <w:rsid w:val="00891BC3"/>
    <w:rsid w:val="00892CEF"/>
    <w:rsid w:val="008934D7"/>
    <w:rsid w:val="008937C8"/>
    <w:rsid w:val="008967C4"/>
    <w:rsid w:val="00897108"/>
    <w:rsid w:val="008977A6"/>
    <w:rsid w:val="008A0D2A"/>
    <w:rsid w:val="008A1693"/>
    <w:rsid w:val="008A254F"/>
    <w:rsid w:val="008A2630"/>
    <w:rsid w:val="008A3535"/>
    <w:rsid w:val="008A39AB"/>
    <w:rsid w:val="008A537D"/>
    <w:rsid w:val="008A5833"/>
    <w:rsid w:val="008B195D"/>
    <w:rsid w:val="008B1B53"/>
    <w:rsid w:val="008B1E61"/>
    <w:rsid w:val="008B1FFD"/>
    <w:rsid w:val="008B3A88"/>
    <w:rsid w:val="008B4BFC"/>
    <w:rsid w:val="008B4C6D"/>
    <w:rsid w:val="008B51B4"/>
    <w:rsid w:val="008B5B67"/>
    <w:rsid w:val="008B5D7A"/>
    <w:rsid w:val="008B66E3"/>
    <w:rsid w:val="008B735E"/>
    <w:rsid w:val="008B7848"/>
    <w:rsid w:val="008C0D5F"/>
    <w:rsid w:val="008C0FC0"/>
    <w:rsid w:val="008C109E"/>
    <w:rsid w:val="008C1542"/>
    <w:rsid w:val="008C1E05"/>
    <w:rsid w:val="008C2A77"/>
    <w:rsid w:val="008C34BB"/>
    <w:rsid w:val="008C3F9A"/>
    <w:rsid w:val="008C45E2"/>
    <w:rsid w:val="008C732A"/>
    <w:rsid w:val="008C7F33"/>
    <w:rsid w:val="008D0CC9"/>
    <w:rsid w:val="008D2890"/>
    <w:rsid w:val="008D3726"/>
    <w:rsid w:val="008D4543"/>
    <w:rsid w:val="008D4CB0"/>
    <w:rsid w:val="008D4D07"/>
    <w:rsid w:val="008D5982"/>
    <w:rsid w:val="008D5C2C"/>
    <w:rsid w:val="008D5CCD"/>
    <w:rsid w:val="008D6397"/>
    <w:rsid w:val="008D73C9"/>
    <w:rsid w:val="008E0532"/>
    <w:rsid w:val="008E0C88"/>
    <w:rsid w:val="008E16BF"/>
    <w:rsid w:val="008E2B47"/>
    <w:rsid w:val="008E3049"/>
    <w:rsid w:val="008E35A3"/>
    <w:rsid w:val="008E4EF2"/>
    <w:rsid w:val="008E629F"/>
    <w:rsid w:val="008E7274"/>
    <w:rsid w:val="008F0562"/>
    <w:rsid w:val="008F13A6"/>
    <w:rsid w:val="008F20F7"/>
    <w:rsid w:val="008F260B"/>
    <w:rsid w:val="008F57E9"/>
    <w:rsid w:val="0090039E"/>
    <w:rsid w:val="00903F22"/>
    <w:rsid w:val="00905FF7"/>
    <w:rsid w:val="00906821"/>
    <w:rsid w:val="00906E65"/>
    <w:rsid w:val="00910D4B"/>
    <w:rsid w:val="00911318"/>
    <w:rsid w:val="00911462"/>
    <w:rsid w:val="0091224E"/>
    <w:rsid w:val="009125D0"/>
    <w:rsid w:val="009144D5"/>
    <w:rsid w:val="00915811"/>
    <w:rsid w:val="00915F98"/>
    <w:rsid w:val="00915FA3"/>
    <w:rsid w:val="009217F8"/>
    <w:rsid w:val="00921FBD"/>
    <w:rsid w:val="0092470E"/>
    <w:rsid w:val="00924F78"/>
    <w:rsid w:val="00925187"/>
    <w:rsid w:val="0092709C"/>
    <w:rsid w:val="0092717F"/>
    <w:rsid w:val="00927744"/>
    <w:rsid w:val="00927B05"/>
    <w:rsid w:val="00930F4E"/>
    <w:rsid w:val="00932ABD"/>
    <w:rsid w:val="00933062"/>
    <w:rsid w:val="0093454E"/>
    <w:rsid w:val="00935C33"/>
    <w:rsid w:val="00936062"/>
    <w:rsid w:val="00936202"/>
    <w:rsid w:val="009365ED"/>
    <w:rsid w:val="00937CBE"/>
    <w:rsid w:val="00937CF4"/>
    <w:rsid w:val="00940D7D"/>
    <w:rsid w:val="009415B0"/>
    <w:rsid w:val="0094177A"/>
    <w:rsid w:val="00942269"/>
    <w:rsid w:val="00942C66"/>
    <w:rsid w:val="0094304E"/>
    <w:rsid w:val="00944087"/>
    <w:rsid w:val="00944E74"/>
    <w:rsid w:val="009478A4"/>
    <w:rsid w:val="0095012E"/>
    <w:rsid w:val="00951934"/>
    <w:rsid w:val="0095207B"/>
    <w:rsid w:val="009523E9"/>
    <w:rsid w:val="009531D6"/>
    <w:rsid w:val="00954C8C"/>
    <w:rsid w:val="00954F8B"/>
    <w:rsid w:val="00955C86"/>
    <w:rsid w:val="009566F3"/>
    <w:rsid w:val="00956ACE"/>
    <w:rsid w:val="009572A0"/>
    <w:rsid w:val="00957379"/>
    <w:rsid w:val="00957D24"/>
    <w:rsid w:val="00960DCF"/>
    <w:rsid w:val="00961B53"/>
    <w:rsid w:val="00963264"/>
    <w:rsid w:val="0096389D"/>
    <w:rsid w:val="0096543A"/>
    <w:rsid w:val="00965EC6"/>
    <w:rsid w:val="009676C0"/>
    <w:rsid w:val="00967F2B"/>
    <w:rsid w:val="0097122C"/>
    <w:rsid w:val="0097126D"/>
    <w:rsid w:val="00973CBA"/>
    <w:rsid w:val="009749CF"/>
    <w:rsid w:val="009803A9"/>
    <w:rsid w:val="009803CB"/>
    <w:rsid w:val="009803D4"/>
    <w:rsid w:val="009807A2"/>
    <w:rsid w:val="0098199C"/>
    <w:rsid w:val="00981A4A"/>
    <w:rsid w:val="00983271"/>
    <w:rsid w:val="00983A2B"/>
    <w:rsid w:val="00984F4B"/>
    <w:rsid w:val="009873F3"/>
    <w:rsid w:val="00990E04"/>
    <w:rsid w:val="0099105A"/>
    <w:rsid w:val="009911B7"/>
    <w:rsid w:val="009911F3"/>
    <w:rsid w:val="00991ACD"/>
    <w:rsid w:val="00992FC1"/>
    <w:rsid w:val="009939D7"/>
    <w:rsid w:val="009957D5"/>
    <w:rsid w:val="00995A12"/>
    <w:rsid w:val="00995E98"/>
    <w:rsid w:val="009967A4"/>
    <w:rsid w:val="00996F15"/>
    <w:rsid w:val="00997BA8"/>
    <w:rsid w:val="009A06F4"/>
    <w:rsid w:val="009A25A1"/>
    <w:rsid w:val="009A31ED"/>
    <w:rsid w:val="009A3778"/>
    <w:rsid w:val="009A3E2E"/>
    <w:rsid w:val="009A5FFE"/>
    <w:rsid w:val="009A6828"/>
    <w:rsid w:val="009A7F34"/>
    <w:rsid w:val="009B143C"/>
    <w:rsid w:val="009B18E4"/>
    <w:rsid w:val="009B2245"/>
    <w:rsid w:val="009B258E"/>
    <w:rsid w:val="009B3273"/>
    <w:rsid w:val="009B4FE0"/>
    <w:rsid w:val="009B5997"/>
    <w:rsid w:val="009B6B23"/>
    <w:rsid w:val="009B7ABD"/>
    <w:rsid w:val="009C0F05"/>
    <w:rsid w:val="009C1D27"/>
    <w:rsid w:val="009C38C9"/>
    <w:rsid w:val="009C3B2A"/>
    <w:rsid w:val="009C3BD9"/>
    <w:rsid w:val="009C40A1"/>
    <w:rsid w:val="009C4B83"/>
    <w:rsid w:val="009C5B82"/>
    <w:rsid w:val="009C756E"/>
    <w:rsid w:val="009D0A95"/>
    <w:rsid w:val="009D1DC8"/>
    <w:rsid w:val="009D21BE"/>
    <w:rsid w:val="009D2F28"/>
    <w:rsid w:val="009D3C3D"/>
    <w:rsid w:val="009D4200"/>
    <w:rsid w:val="009D4310"/>
    <w:rsid w:val="009D5288"/>
    <w:rsid w:val="009D70DF"/>
    <w:rsid w:val="009E0480"/>
    <w:rsid w:val="009E2AD3"/>
    <w:rsid w:val="009E2B1A"/>
    <w:rsid w:val="009E4451"/>
    <w:rsid w:val="009E47E5"/>
    <w:rsid w:val="009E5AAF"/>
    <w:rsid w:val="009F146F"/>
    <w:rsid w:val="009F26B2"/>
    <w:rsid w:val="009F3C75"/>
    <w:rsid w:val="009F4FA5"/>
    <w:rsid w:val="009F78C8"/>
    <w:rsid w:val="00A0037E"/>
    <w:rsid w:val="00A00659"/>
    <w:rsid w:val="00A01303"/>
    <w:rsid w:val="00A02C4F"/>
    <w:rsid w:val="00A03C58"/>
    <w:rsid w:val="00A04A09"/>
    <w:rsid w:val="00A05416"/>
    <w:rsid w:val="00A05821"/>
    <w:rsid w:val="00A05D1D"/>
    <w:rsid w:val="00A05EA2"/>
    <w:rsid w:val="00A068A0"/>
    <w:rsid w:val="00A07686"/>
    <w:rsid w:val="00A076CC"/>
    <w:rsid w:val="00A10A14"/>
    <w:rsid w:val="00A1165C"/>
    <w:rsid w:val="00A125D6"/>
    <w:rsid w:val="00A12885"/>
    <w:rsid w:val="00A13EEB"/>
    <w:rsid w:val="00A1432C"/>
    <w:rsid w:val="00A14A2B"/>
    <w:rsid w:val="00A14A90"/>
    <w:rsid w:val="00A14E53"/>
    <w:rsid w:val="00A15580"/>
    <w:rsid w:val="00A16449"/>
    <w:rsid w:val="00A16841"/>
    <w:rsid w:val="00A17E77"/>
    <w:rsid w:val="00A2019E"/>
    <w:rsid w:val="00A2260A"/>
    <w:rsid w:val="00A22EFC"/>
    <w:rsid w:val="00A23DC4"/>
    <w:rsid w:val="00A242B0"/>
    <w:rsid w:val="00A26389"/>
    <w:rsid w:val="00A303B8"/>
    <w:rsid w:val="00A30D10"/>
    <w:rsid w:val="00A32B13"/>
    <w:rsid w:val="00A32F26"/>
    <w:rsid w:val="00A32FD5"/>
    <w:rsid w:val="00A337F9"/>
    <w:rsid w:val="00A34735"/>
    <w:rsid w:val="00A34D51"/>
    <w:rsid w:val="00A35ED9"/>
    <w:rsid w:val="00A361C3"/>
    <w:rsid w:val="00A3727C"/>
    <w:rsid w:val="00A37E13"/>
    <w:rsid w:val="00A411FA"/>
    <w:rsid w:val="00A43A4E"/>
    <w:rsid w:val="00A449B1"/>
    <w:rsid w:val="00A44EC1"/>
    <w:rsid w:val="00A454B3"/>
    <w:rsid w:val="00A45E52"/>
    <w:rsid w:val="00A46652"/>
    <w:rsid w:val="00A46D15"/>
    <w:rsid w:val="00A4713D"/>
    <w:rsid w:val="00A502EB"/>
    <w:rsid w:val="00A51667"/>
    <w:rsid w:val="00A51F74"/>
    <w:rsid w:val="00A5323B"/>
    <w:rsid w:val="00A54CBD"/>
    <w:rsid w:val="00A54FB4"/>
    <w:rsid w:val="00A56DE0"/>
    <w:rsid w:val="00A5798C"/>
    <w:rsid w:val="00A57ED4"/>
    <w:rsid w:val="00A601AE"/>
    <w:rsid w:val="00A63C18"/>
    <w:rsid w:val="00A64BE5"/>
    <w:rsid w:val="00A64C52"/>
    <w:rsid w:val="00A64CAC"/>
    <w:rsid w:val="00A662DC"/>
    <w:rsid w:val="00A665FB"/>
    <w:rsid w:val="00A6741B"/>
    <w:rsid w:val="00A67D68"/>
    <w:rsid w:val="00A737EB"/>
    <w:rsid w:val="00A74226"/>
    <w:rsid w:val="00A7564C"/>
    <w:rsid w:val="00A757B0"/>
    <w:rsid w:val="00A75AC0"/>
    <w:rsid w:val="00A75E58"/>
    <w:rsid w:val="00A776A4"/>
    <w:rsid w:val="00A77A30"/>
    <w:rsid w:val="00A77D89"/>
    <w:rsid w:val="00A80260"/>
    <w:rsid w:val="00A8049D"/>
    <w:rsid w:val="00A80F2F"/>
    <w:rsid w:val="00A822C2"/>
    <w:rsid w:val="00A82990"/>
    <w:rsid w:val="00A83546"/>
    <w:rsid w:val="00A85234"/>
    <w:rsid w:val="00A859BD"/>
    <w:rsid w:val="00A860CE"/>
    <w:rsid w:val="00A901A5"/>
    <w:rsid w:val="00A90401"/>
    <w:rsid w:val="00A921E3"/>
    <w:rsid w:val="00A928BC"/>
    <w:rsid w:val="00A92E0E"/>
    <w:rsid w:val="00A93591"/>
    <w:rsid w:val="00A939A0"/>
    <w:rsid w:val="00A94D20"/>
    <w:rsid w:val="00A95D00"/>
    <w:rsid w:val="00A9747D"/>
    <w:rsid w:val="00A9752B"/>
    <w:rsid w:val="00AA2461"/>
    <w:rsid w:val="00AA2865"/>
    <w:rsid w:val="00AA338A"/>
    <w:rsid w:val="00AA3A9B"/>
    <w:rsid w:val="00AA3BF1"/>
    <w:rsid w:val="00AA3DCE"/>
    <w:rsid w:val="00AA5365"/>
    <w:rsid w:val="00AA5410"/>
    <w:rsid w:val="00AA54F3"/>
    <w:rsid w:val="00AA5B05"/>
    <w:rsid w:val="00AA6415"/>
    <w:rsid w:val="00AB00F9"/>
    <w:rsid w:val="00AB0885"/>
    <w:rsid w:val="00AB1395"/>
    <w:rsid w:val="00AB18AD"/>
    <w:rsid w:val="00AB1C0E"/>
    <w:rsid w:val="00AB21C6"/>
    <w:rsid w:val="00AB2841"/>
    <w:rsid w:val="00AB370E"/>
    <w:rsid w:val="00AB408C"/>
    <w:rsid w:val="00AC3C77"/>
    <w:rsid w:val="00AC4EBC"/>
    <w:rsid w:val="00AC592F"/>
    <w:rsid w:val="00AC6CA9"/>
    <w:rsid w:val="00AC6F7D"/>
    <w:rsid w:val="00AC720A"/>
    <w:rsid w:val="00AD34F5"/>
    <w:rsid w:val="00AD4429"/>
    <w:rsid w:val="00AD55DB"/>
    <w:rsid w:val="00AD60EA"/>
    <w:rsid w:val="00AD60F8"/>
    <w:rsid w:val="00AD67D4"/>
    <w:rsid w:val="00AE1449"/>
    <w:rsid w:val="00AE2C9D"/>
    <w:rsid w:val="00AE4331"/>
    <w:rsid w:val="00AE614D"/>
    <w:rsid w:val="00AE7849"/>
    <w:rsid w:val="00AE7977"/>
    <w:rsid w:val="00AF1F10"/>
    <w:rsid w:val="00AF3D39"/>
    <w:rsid w:val="00AF497B"/>
    <w:rsid w:val="00AF5A09"/>
    <w:rsid w:val="00AF6A4C"/>
    <w:rsid w:val="00AF78DA"/>
    <w:rsid w:val="00AF7DAE"/>
    <w:rsid w:val="00B0013C"/>
    <w:rsid w:val="00B0132B"/>
    <w:rsid w:val="00B01F92"/>
    <w:rsid w:val="00B02183"/>
    <w:rsid w:val="00B047C2"/>
    <w:rsid w:val="00B04CB1"/>
    <w:rsid w:val="00B05198"/>
    <w:rsid w:val="00B05635"/>
    <w:rsid w:val="00B058CE"/>
    <w:rsid w:val="00B06C61"/>
    <w:rsid w:val="00B07620"/>
    <w:rsid w:val="00B1314F"/>
    <w:rsid w:val="00B151CF"/>
    <w:rsid w:val="00B15214"/>
    <w:rsid w:val="00B165A4"/>
    <w:rsid w:val="00B1795E"/>
    <w:rsid w:val="00B2041E"/>
    <w:rsid w:val="00B20445"/>
    <w:rsid w:val="00B20735"/>
    <w:rsid w:val="00B227E6"/>
    <w:rsid w:val="00B22EA8"/>
    <w:rsid w:val="00B2415C"/>
    <w:rsid w:val="00B24442"/>
    <w:rsid w:val="00B247AD"/>
    <w:rsid w:val="00B25D05"/>
    <w:rsid w:val="00B26622"/>
    <w:rsid w:val="00B26669"/>
    <w:rsid w:val="00B26BFA"/>
    <w:rsid w:val="00B26C80"/>
    <w:rsid w:val="00B276B4"/>
    <w:rsid w:val="00B303F6"/>
    <w:rsid w:val="00B307B7"/>
    <w:rsid w:val="00B30F2B"/>
    <w:rsid w:val="00B32700"/>
    <w:rsid w:val="00B35AE7"/>
    <w:rsid w:val="00B36028"/>
    <w:rsid w:val="00B36503"/>
    <w:rsid w:val="00B36A85"/>
    <w:rsid w:val="00B40064"/>
    <w:rsid w:val="00B403A9"/>
    <w:rsid w:val="00B411D1"/>
    <w:rsid w:val="00B4137A"/>
    <w:rsid w:val="00B43BF6"/>
    <w:rsid w:val="00B445D3"/>
    <w:rsid w:val="00B44E83"/>
    <w:rsid w:val="00B478AF"/>
    <w:rsid w:val="00B50440"/>
    <w:rsid w:val="00B50A44"/>
    <w:rsid w:val="00B51F7B"/>
    <w:rsid w:val="00B52A57"/>
    <w:rsid w:val="00B53470"/>
    <w:rsid w:val="00B55524"/>
    <w:rsid w:val="00B575BF"/>
    <w:rsid w:val="00B612EA"/>
    <w:rsid w:val="00B6191E"/>
    <w:rsid w:val="00B61C66"/>
    <w:rsid w:val="00B61FE9"/>
    <w:rsid w:val="00B62604"/>
    <w:rsid w:val="00B62DF2"/>
    <w:rsid w:val="00B63CAD"/>
    <w:rsid w:val="00B640B9"/>
    <w:rsid w:val="00B6448E"/>
    <w:rsid w:val="00B6563F"/>
    <w:rsid w:val="00B66061"/>
    <w:rsid w:val="00B668FA"/>
    <w:rsid w:val="00B66A87"/>
    <w:rsid w:val="00B67DA8"/>
    <w:rsid w:val="00B712D0"/>
    <w:rsid w:val="00B72058"/>
    <w:rsid w:val="00B74FC0"/>
    <w:rsid w:val="00B750E9"/>
    <w:rsid w:val="00B757E5"/>
    <w:rsid w:val="00B77D21"/>
    <w:rsid w:val="00B80967"/>
    <w:rsid w:val="00B81514"/>
    <w:rsid w:val="00B81F38"/>
    <w:rsid w:val="00B8249A"/>
    <w:rsid w:val="00B83B62"/>
    <w:rsid w:val="00B85169"/>
    <w:rsid w:val="00B8535F"/>
    <w:rsid w:val="00B878CD"/>
    <w:rsid w:val="00B91090"/>
    <w:rsid w:val="00B91CB1"/>
    <w:rsid w:val="00B9249B"/>
    <w:rsid w:val="00B944AB"/>
    <w:rsid w:val="00B9536C"/>
    <w:rsid w:val="00B95C49"/>
    <w:rsid w:val="00B96949"/>
    <w:rsid w:val="00B97BD7"/>
    <w:rsid w:val="00BA16D3"/>
    <w:rsid w:val="00BA1FFB"/>
    <w:rsid w:val="00BA21B0"/>
    <w:rsid w:val="00BA2203"/>
    <w:rsid w:val="00BA29BA"/>
    <w:rsid w:val="00BA2B3F"/>
    <w:rsid w:val="00BA32C9"/>
    <w:rsid w:val="00BA4B00"/>
    <w:rsid w:val="00BA4E45"/>
    <w:rsid w:val="00BA59D2"/>
    <w:rsid w:val="00BA59FB"/>
    <w:rsid w:val="00BA5F7E"/>
    <w:rsid w:val="00BA7913"/>
    <w:rsid w:val="00BB0225"/>
    <w:rsid w:val="00BB14A3"/>
    <w:rsid w:val="00BB2204"/>
    <w:rsid w:val="00BB2D2E"/>
    <w:rsid w:val="00BB4305"/>
    <w:rsid w:val="00BB6949"/>
    <w:rsid w:val="00BC15DE"/>
    <w:rsid w:val="00BC17C8"/>
    <w:rsid w:val="00BC1A25"/>
    <w:rsid w:val="00BC369C"/>
    <w:rsid w:val="00BC4972"/>
    <w:rsid w:val="00BC6897"/>
    <w:rsid w:val="00BC70E2"/>
    <w:rsid w:val="00BD194E"/>
    <w:rsid w:val="00BD1B8D"/>
    <w:rsid w:val="00BD33D4"/>
    <w:rsid w:val="00BD3AB1"/>
    <w:rsid w:val="00BD40B1"/>
    <w:rsid w:val="00BD50EB"/>
    <w:rsid w:val="00BD57A1"/>
    <w:rsid w:val="00BD6681"/>
    <w:rsid w:val="00BD67B7"/>
    <w:rsid w:val="00BE47BF"/>
    <w:rsid w:val="00BE5374"/>
    <w:rsid w:val="00BE5EFA"/>
    <w:rsid w:val="00BE627A"/>
    <w:rsid w:val="00BE6AA5"/>
    <w:rsid w:val="00BE6CE8"/>
    <w:rsid w:val="00BE7261"/>
    <w:rsid w:val="00BF119B"/>
    <w:rsid w:val="00BF2DC5"/>
    <w:rsid w:val="00BF3782"/>
    <w:rsid w:val="00BF4105"/>
    <w:rsid w:val="00BF4389"/>
    <w:rsid w:val="00BF6288"/>
    <w:rsid w:val="00BF68BC"/>
    <w:rsid w:val="00BF7C54"/>
    <w:rsid w:val="00C001EE"/>
    <w:rsid w:val="00C01D5F"/>
    <w:rsid w:val="00C0345A"/>
    <w:rsid w:val="00C03511"/>
    <w:rsid w:val="00C04C3A"/>
    <w:rsid w:val="00C0562B"/>
    <w:rsid w:val="00C05700"/>
    <w:rsid w:val="00C0614C"/>
    <w:rsid w:val="00C074CD"/>
    <w:rsid w:val="00C1012D"/>
    <w:rsid w:val="00C107C3"/>
    <w:rsid w:val="00C11CA1"/>
    <w:rsid w:val="00C13520"/>
    <w:rsid w:val="00C1377E"/>
    <w:rsid w:val="00C14F9B"/>
    <w:rsid w:val="00C14FAB"/>
    <w:rsid w:val="00C15F42"/>
    <w:rsid w:val="00C1610B"/>
    <w:rsid w:val="00C1611D"/>
    <w:rsid w:val="00C16C9A"/>
    <w:rsid w:val="00C17039"/>
    <w:rsid w:val="00C175E4"/>
    <w:rsid w:val="00C21AB0"/>
    <w:rsid w:val="00C22C04"/>
    <w:rsid w:val="00C231C4"/>
    <w:rsid w:val="00C232E0"/>
    <w:rsid w:val="00C24B5E"/>
    <w:rsid w:val="00C2534F"/>
    <w:rsid w:val="00C276F9"/>
    <w:rsid w:val="00C30058"/>
    <w:rsid w:val="00C30158"/>
    <w:rsid w:val="00C317A2"/>
    <w:rsid w:val="00C3343F"/>
    <w:rsid w:val="00C34230"/>
    <w:rsid w:val="00C343FC"/>
    <w:rsid w:val="00C3651F"/>
    <w:rsid w:val="00C36633"/>
    <w:rsid w:val="00C36E53"/>
    <w:rsid w:val="00C36E96"/>
    <w:rsid w:val="00C36E9D"/>
    <w:rsid w:val="00C36F38"/>
    <w:rsid w:val="00C37C86"/>
    <w:rsid w:val="00C412B1"/>
    <w:rsid w:val="00C42B9B"/>
    <w:rsid w:val="00C430E0"/>
    <w:rsid w:val="00C4436C"/>
    <w:rsid w:val="00C461B2"/>
    <w:rsid w:val="00C461D2"/>
    <w:rsid w:val="00C47C8E"/>
    <w:rsid w:val="00C515C8"/>
    <w:rsid w:val="00C52FD1"/>
    <w:rsid w:val="00C5359B"/>
    <w:rsid w:val="00C53AF7"/>
    <w:rsid w:val="00C554B5"/>
    <w:rsid w:val="00C55AFE"/>
    <w:rsid w:val="00C56939"/>
    <w:rsid w:val="00C56EF2"/>
    <w:rsid w:val="00C570A6"/>
    <w:rsid w:val="00C579F3"/>
    <w:rsid w:val="00C600B3"/>
    <w:rsid w:val="00C60DE1"/>
    <w:rsid w:val="00C61464"/>
    <w:rsid w:val="00C65EEB"/>
    <w:rsid w:val="00C67E8E"/>
    <w:rsid w:val="00C72177"/>
    <w:rsid w:val="00C74633"/>
    <w:rsid w:val="00C7475F"/>
    <w:rsid w:val="00C74B8C"/>
    <w:rsid w:val="00C757FE"/>
    <w:rsid w:val="00C76010"/>
    <w:rsid w:val="00C76482"/>
    <w:rsid w:val="00C801D0"/>
    <w:rsid w:val="00C8268F"/>
    <w:rsid w:val="00C83535"/>
    <w:rsid w:val="00C83D84"/>
    <w:rsid w:val="00C841FE"/>
    <w:rsid w:val="00C842CF"/>
    <w:rsid w:val="00C87436"/>
    <w:rsid w:val="00C8774D"/>
    <w:rsid w:val="00C87E71"/>
    <w:rsid w:val="00C91651"/>
    <w:rsid w:val="00C917A4"/>
    <w:rsid w:val="00C922A2"/>
    <w:rsid w:val="00C934AE"/>
    <w:rsid w:val="00C94D10"/>
    <w:rsid w:val="00C95749"/>
    <w:rsid w:val="00C97CEE"/>
    <w:rsid w:val="00CA1FDF"/>
    <w:rsid w:val="00CA2587"/>
    <w:rsid w:val="00CA26D4"/>
    <w:rsid w:val="00CA26EA"/>
    <w:rsid w:val="00CA2FB2"/>
    <w:rsid w:val="00CA3D3A"/>
    <w:rsid w:val="00CA42D6"/>
    <w:rsid w:val="00CA528A"/>
    <w:rsid w:val="00CA608B"/>
    <w:rsid w:val="00CA68A0"/>
    <w:rsid w:val="00CB02B4"/>
    <w:rsid w:val="00CB1047"/>
    <w:rsid w:val="00CB149B"/>
    <w:rsid w:val="00CB15E9"/>
    <w:rsid w:val="00CB2BD5"/>
    <w:rsid w:val="00CB5C55"/>
    <w:rsid w:val="00CC1D1A"/>
    <w:rsid w:val="00CC3E04"/>
    <w:rsid w:val="00CC4042"/>
    <w:rsid w:val="00CC5956"/>
    <w:rsid w:val="00CC6260"/>
    <w:rsid w:val="00CD06DD"/>
    <w:rsid w:val="00CD1404"/>
    <w:rsid w:val="00CD1E2E"/>
    <w:rsid w:val="00CD31C2"/>
    <w:rsid w:val="00CD3AF0"/>
    <w:rsid w:val="00CD6673"/>
    <w:rsid w:val="00CD690A"/>
    <w:rsid w:val="00CD759E"/>
    <w:rsid w:val="00CD77D6"/>
    <w:rsid w:val="00CE194B"/>
    <w:rsid w:val="00CE24D7"/>
    <w:rsid w:val="00CE28E3"/>
    <w:rsid w:val="00CE589D"/>
    <w:rsid w:val="00CE6617"/>
    <w:rsid w:val="00CE7454"/>
    <w:rsid w:val="00CE7A3C"/>
    <w:rsid w:val="00CE7EF5"/>
    <w:rsid w:val="00CF1A2D"/>
    <w:rsid w:val="00CF2186"/>
    <w:rsid w:val="00CF2913"/>
    <w:rsid w:val="00CF3F66"/>
    <w:rsid w:val="00CF439F"/>
    <w:rsid w:val="00CF7120"/>
    <w:rsid w:val="00CF724C"/>
    <w:rsid w:val="00CF74C2"/>
    <w:rsid w:val="00CF7F08"/>
    <w:rsid w:val="00D001B4"/>
    <w:rsid w:val="00D003B7"/>
    <w:rsid w:val="00D00E36"/>
    <w:rsid w:val="00D02F4F"/>
    <w:rsid w:val="00D04CB3"/>
    <w:rsid w:val="00D065F7"/>
    <w:rsid w:val="00D07533"/>
    <w:rsid w:val="00D0786C"/>
    <w:rsid w:val="00D104DE"/>
    <w:rsid w:val="00D10986"/>
    <w:rsid w:val="00D10F30"/>
    <w:rsid w:val="00D12E08"/>
    <w:rsid w:val="00D14E59"/>
    <w:rsid w:val="00D15B73"/>
    <w:rsid w:val="00D15E15"/>
    <w:rsid w:val="00D16370"/>
    <w:rsid w:val="00D17382"/>
    <w:rsid w:val="00D17D3C"/>
    <w:rsid w:val="00D20031"/>
    <w:rsid w:val="00D20963"/>
    <w:rsid w:val="00D21000"/>
    <w:rsid w:val="00D224CD"/>
    <w:rsid w:val="00D226FD"/>
    <w:rsid w:val="00D269A5"/>
    <w:rsid w:val="00D27965"/>
    <w:rsid w:val="00D27C30"/>
    <w:rsid w:val="00D3043A"/>
    <w:rsid w:val="00D313B3"/>
    <w:rsid w:val="00D315C4"/>
    <w:rsid w:val="00D3292B"/>
    <w:rsid w:val="00D33F02"/>
    <w:rsid w:val="00D34A70"/>
    <w:rsid w:val="00D353D7"/>
    <w:rsid w:val="00D358F7"/>
    <w:rsid w:val="00D35DE2"/>
    <w:rsid w:val="00D36376"/>
    <w:rsid w:val="00D36E67"/>
    <w:rsid w:val="00D37268"/>
    <w:rsid w:val="00D37EF5"/>
    <w:rsid w:val="00D40DC4"/>
    <w:rsid w:val="00D40E82"/>
    <w:rsid w:val="00D41176"/>
    <w:rsid w:val="00D419C9"/>
    <w:rsid w:val="00D428B9"/>
    <w:rsid w:val="00D43246"/>
    <w:rsid w:val="00D45750"/>
    <w:rsid w:val="00D457EA"/>
    <w:rsid w:val="00D45C42"/>
    <w:rsid w:val="00D511B7"/>
    <w:rsid w:val="00D526AF"/>
    <w:rsid w:val="00D52E54"/>
    <w:rsid w:val="00D52FF5"/>
    <w:rsid w:val="00D5436D"/>
    <w:rsid w:val="00D5511F"/>
    <w:rsid w:val="00D5519C"/>
    <w:rsid w:val="00D551C2"/>
    <w:rsid w:val="00D5564B"/>
    <w:rsid w:val="00D56500"/>
    <w:rsid w:val="00D56DFA"/>
    <w:rsid w:val="00D60E22"/>
    <w:rsid w:val="00D61302"/>
    <w:rsid w:val="00D618A9"/>
    <w:rsid w:val="00D62672"/>
    <w:rsid w:val="00D62F4D"/>
    <w:rsid w:val="00D6304A"/>
    <w:rsid w:val="00D63FED"/>
    <w:rsid w:val="00D64906"/>
    <w:rsid w:val="00D652D9"/>
    <w:rsid w:val="00D70DDA"/>
    <w:rsid w:val="00D710B9"/>
    <w:rsid w:val="00D73AD9"/>
    <w:rsid w:val="00D762AB"/>
    <w:rsid w:val="00D76A21"/>
    <w:rsid w:val="00D80C29"/>
    <w:rsid w:val="00D81F42"/>
    <w:rsid w:val="00D82437"/>
    <w:rsid w:val="00D8316D"/>
    <w:rsid w:val="00D83B51"/>
    <w:rsid w:val="00D84467"/>
    <w:rsid w:val="00D84ECA"/>
    <w:rsid w:val="00D8525E"/>
    <w:rsid w:val="00D9041B"/>
    <w:rsid w:val="00D907ED"/>
    <w:rsid w:val="00D90DBB"/>
    <w:rsid w:val="00D9141D"/>
    <w:rsid w:val="00D91DE0"/>
    <w:rsid w:val="00D92597"/>
    <w:rsid w:val="00D92980"/>
    <w:rsid w:val="00D93782"/>
    <w:rsid w:val="00D946C9"/>
    <w:rsid w:val="00D946F1"/>
    <w:rsid w:val="00D94CF3"/>
    <w:rsid w:val="00D956B0"/>
    <w:rsid w:val="00D967A8"/>
    <w:rsid w:val="00D970AD"/>
    <w:rsid w:val="00D978D6"/>
    <w:rsid w:val="00DA058E"/>
    <w:rsid w:val="00DA08B1"/>
    <w:rsid w:val="00DA16BB"/>
    <w:rsid w:val="00DA1EB3"/>
    <w:rsid w:val="00DA1F8F"/>
    <w:rsid w:val="00DA347B"/>
    <w:rsid w:val="00DA405C"/>
    <w:rsid w:val="00DA4F8D"/>
    <w:rsid w:val="00DA512C"/>
    <w:rsid w:val="00DA6765"/>
    <w:rsid w:val="00DB003C"/>
    <w:rsid w:val="00DB1E91"/>
    <w:rsid w:val="00DB26BF"/>
    <w:rsid w:val="00DB4410"/>
    <w:rsid w:val="00DB4485"/>
    <w:rsid w:val="00DB5117"/>
    <w:rsid w:val="00DB6031"/>
    <w:rsid w:val="00DB6115"/>
    <w:rsid w:val="00DB664A"/>
    <w:rsid w:val="00DB6AA9"/>
    <w:rsid w:val="00DB6FE2"/>
    <w:rsid w:val="00DB7463"/>
    <w:rsid w:val="00DB7709"/>
    <w:rsid w:val="00DC14AF"/>
    <w:rsid w:val="00DC1720"/>
    <w:rsid w:val="00DC3633"/>
    <w:rsid w:val="00DC383F"/>
    <w:rsid w:val="00DC4108"/>
    <w:rsid w:val="00DC4572"/>
    <w:rsid w:val="00DC47BB"/>
    <w:rsid w:val="00DC4EC7"/>
    <w:rsid w:val="00DC4F4B"/>
    <w:rsid w:val="00DC4F64"/>
    <w:rsid w:val="00DC50C5"/>
    <w:rsid w:val="00DC6125"/>
    <w:rsid w:val="00DC64A7"/>
    <w:rsid w:val="00DC6557"/>
    <w:rsid w:val="00DC7B7B"/>
    <w:rsid w:val="00DC7C73"/>
    <w:rsid w:val="00DD0953"/>
    <w:rsid w:val="00DD12FC"/>
    <w:rsid w:val="00DD1A95"/>
    <w:rsid w:val="00DD2C81"/>
    <w:rsid w:val="00DD39C2"/>
    <w:rsid w:val="00DD459E"/>
    <w:rsid w:val="00DD59A7"/>
    <w:rsid w:val="00DD5ECD"/>
    <w:rsid w:val="00DD67AE"/>
    <w:rsid w:val="00DD6ABB"/>
    <w:rsid w:val="00DD76FE"/>
    <w:rsid w:val="00DE2496"/>
    <w:rsid w:val="00DE254C"/>
    <w:rsid w:val="00DE2E74"/>
    <w:rsid w:val="00DE508B"/>
    <w:rsid w:val="00DE58EE"/>
    <w:rsid w:val="00DE5EC5"/>
    <w:rsid w:val="00DE689A"/>
    <w:rsid w:val="00DE7099"/>
    <w:rsid w:val="00DF08C6"/>
    <w:rsid w:val="00DF0C46"/>
    <w:rsid w:val="00DF0FAA"/>
    <w:rsid w:val="00DF341B"/>
    <w:rsid w:val="00DF3912"/>
    <w:rsid w:val="00DF39E9"/>
    <w:rsid w:val="00DF431B"/>
    <w:rsid w:val="00DF571E"/>
    <w:rsid w:val="00DF5CF5"/>
    <w:rsid w:val="00DF6404"/>
    <w:rsid w:val="00DF74D9"/>
    <w:rsid w:val="00DF7C1A"/>
    <w:rsid w:val="00DF7D09"/>
    <w:rsid w:val="00E018E8"/>
    <w:rsid w:val="00E0360B"/>
    <w:rsid w:val="00E03A96"/>
    <w:rsid w:val="00E05D56"/>
    <w:rsid w:val="00E06CF9"/>
    <w:rsid w:val="00E079B8"/>
    <w:rsid w:val="00E105A9"/>
    <w:rsid w:val="00E110A5"/>
    <w:rsid w:val="00E12398"/>
    <w:rsid w:val="00E13326"/>
    <w:rsid w:val="00E15056"/>
    <w:rsid w:val="00E15412"/>
    <w:rsid w:val="00E158E2"/>
    <w:rsid w:val="00E15DB1"/>
    <w:rsid w:val="00E17552"/>
    <w:rsid w:val="00E21061"/>
    <w:rsid w:val="00E2143C"/>
    <w:rsid w:val="00E2176D"/>
    <w:rsid w:val="00E21B03"/>
    <w:rsid w:val="00E22445"/>
    <w:rsid w:val="00E260A3"/>
    <w:rsid w:val="00E26BDE"/>
    <w:rsid w:val="00E26D15"/>
    <w:rsid w:val="00E27DDB"/>
    <w:rsid w:val="00E3116D"/>
    <w:rsid w:val="00E31702"/>
    <w:rsid w:val="00E31963"/>
    <w:rsid w:val="00E31A2B"/>
    <w:rsid w:val="00E31B75"/>
    <w:rsid w:val="00E3242E"/>
    <w:rsid w:val="00E32801"/>
    <w:rsid w:val="00E330C9"/>
    <w:rsid w:val="00E3330E"/>
    <w:rsid w:val="00E3351F"/>
    <w:rsid w:val="00E33992"/>
    <w:rsid w:val="00E340D2"/>
    <w:rsid w:val="00E353FE"/>
    <w:rsid w:val="00E3588D"/>
    <w:rsid w:val="00E35B7A"/>
    <w:rsid w:val="00E36456"/>
    <w:rsid w:val="00E40980"/>
    <w:rsid w:val="00E40DAE"/>
    <w:rsid w:val="00E40F62"/>
    <w:rsid w:val="00E415E5"/>
    <w:rsid w:val="00E43249"/>
    <w:rsid w:val="00E436A2"/>
    <w:rsid w:val="00E458D8"/>
    <w:rsid w:val="00E465D6"/>
    <w:rsid w:val="00E470B6"/>
    <w:rsid w:val="00E47769"/>
    <w:rsid w:val="00E513B3"/>
    <w:rsid w:val="00E515ED"/>
    <w:rsid w:val="00E518A7"/>
    <w:rsid w:val="00E529F5"/>
    <w:rsid w:val="00E5356B"/>
    <w:rsid w:val="00E53E00"/>
    <w:rsid w:val="00E54221"/>
    <w:rsid w:val="00E55FB3"/>
    <w:rsid w:val="00E5650A"/>
    <w:rsid w:val="00E574EC"/>
    <w:rsid w:val="00E57F9C"/>
    <w:rsid w:val="00E615F9"/>
    <w:rsid w:val="00E6193C"/>
    <w:rsid w:val="00E62BC2"/>
    <w:rsid w:val="00E63827"/>
    <w:rsid w:val="00E63BA4"/>
    <w:rsid w:val="00E63DAA"/>
    <w:rsid w:val="00E65056"/>
    <w:rsid w:val="00E6519E"/>
    <w:rsid w:val="00E65418"/>
    <w:rsid w:val="00E67177"/>
    <w:rsid w:val="00E7095B"/>
    <w:rsid w:val="00E71A40"/>
    <w:rsid w:val="00E71A94"/>
    <w:rsid w:val="00E71E03"/>
    <w:rsid w:val="00E71FA9"/>
    <w:rsid w:val="00E7221D"/>
    <w:rsid w:val="00E72CAF"/>
    <w:rsid w:val="00E74A1A"/>
    <w:rsid w:val="00E7504B"/>
    <w:rsid w:val="00E75418"/>
    <w:rsid w:val="00E75A41"/>
    <w:rsid w:val="00E7615F"/>
    <w:rsid w:val="00E762D6"/>
    <w:rsid w:val="00E763E1"/>
    <w:rsid w:val="00E76AE0"/>
    <w:rsid w:val="00E80F08"/>
    <w:rsid w:val="00E80FC7"/>
    <w:rsid w:val="00E81A87"/>
    <w:rsid w:val="00E81DE3"/>
    <w:rsid w:val="00E82199"/>
    <w:rsid w:val="00E83948"/>
    <w:rsid w:val="00E83CF9"/>
    <w:rsid w:val="00E84496"/>
    <w:rsid w:val="00E857C2"/>
    <w:rsid w:val="00E86C51"/>
    <w:rsid w:val="00E87B52"/>
    <w:rsid w:val="00E900C3"/>
    <w:rsid w:val="00E9210C"/>
    <w:rsid w:val="00E92974"/>
    <w:rsid w:val="00E92F98"/>
    <w:rsid w:val="00E9331D"/>
    <w:rsid w:val="00E945FE"/>
    <w:rsid w:val="00E95322"/>
    <w:rsid w:val="00E95490"/>
    <w:rsid w:val="00E95C4E"/>
    <w:rsid w:val="00E96796"/>
    <w:rsid w:val="00E968C1"/>
    <w:rsid w:val="00E971F6"/>
    <w:rsid w:val="00EA0E54"/>
    <w:rsid w:val="00EA1769"/>
    <w:rsid w:val="00EA2ED0"/>
    <w:rsid w:val="00EA3671"/>
    <w:rsid w:val="00EA4167"/>
    <w:rsid w:val="00EA7A6E"/>
    <w:rsid w:val="00EB0DEA"/>
    <w:rsid w:val="00EB1F63"/>
    <w:rsid w:val="00EB2555"/>
    <w:rsid w:val="00EB27BC"/>
    <w:rsid w:val="00EB67FA"/>
    <w:rsid w:val="00EB6A32"/>
    <w:rsid w:val="00EB6DCD"/>
    <w:rsid w:val="00EC26D1"/>
    <w:rsid w:val="00EC33A0"/>
    <w:rsid w:val="00EC4836"/>
    <w:rsid w:val="00EC5088"/>
    <w:rsid w:val="00EC5FD0"/>
    <w:rsid w:val="00EC6E11"/>
    <w:rsid w:val="00ED1565"/>
    <w:rsid w:val="00ED28E7"/>
    <w:rsid w:val="00ED45BA"/>
    <w:rsid w:val="00ED54EF"/>
    <w:rsid w:val="00ED5E38"/>
    <w:rsid w:val="00ED6C1C"/>
    <w:rsid w:val="00ED73CC"/>
    <w:rsid w:val="00ED76FA"/>
    <w:rsid w:val="00ED7945"/>
    <w:rsid w:val="00ED7AEF"/>
    <w:rsid w:val="00ED7FEA"/>
    <w:rsid w:val="00EE2051"/>
    <w:rsid w:val="00EE3107"/>
    <w:rsid w:val="00EE3F63"/>
    <w:rsid w:val="00EE422D"/>
    <w:rsid w:val="00EE4490"/>
    <w:rsid w:val="00EE4EEF"/>
    <w:rsid w:val="00EE5C67"/>
    <w:rsid w:val="00EE6832"/>
    <w:rsid w:val="00EE7493"/>
    <w:rsid w:val="00EF0175"/>
    <w:rsid w:val="00EF04D0"/>
    <w:rsid w:val="00EF1755"/>
    <w:rsid w:val="00EF3D58"/>
    <w:rsid w:val="00EF42EF"/>
    <w:rsid w:val="00EF4CD5"/>
    <w:rsid w:val="00EF58AF"/>
    <w:rsid w:val="00EF7063"/>
    <w:rsid w:val="00EF7084"/>
    <w:rsid w:val="00EF7AE2"/>
    <w:rsid w:val="00F007A1"/>
    <w:rsid w:val="00F013D3"/>
    <w:rsid w:val="00F03B39"/>
    <w:rsid w:val="00F04052"/>
    <w:rsid w:val="00F04FED"/>
    <w:rsid w:val="00F06673"/>
    <w:rsid w:val="00F06961"/>
    <w:rsid w:val="00F1066F"/>
    <w:rsid w:val="00F12478"/>
    <w:rsid w:val="00F1415F"/>
    <w:rsid w:val="00F14201"/>
    <w:rsid w:val="00F1508C"/>
    <w:rsid w:val="00F1578E"/>
    <w:rsid w:val="00F16A97"/>
    <w:rsid w:val="00F20763"/>
    <w:rsid w:val="00F207F3"/>
    <w:rsid w:val="00F20C39"/>
    <w:rsid w:val="00F223A2"/>
    <w:rsid w:val="00F227C8"/>
    <w:rsid w:val="00F23397"/>
    <w:rsid w:val="00F234CF"/>
    <w:rsid w:val="00F23C63"/>
    <w:rsid w:val="00F23CB7"/>
    <w:rsid w:val="00F257B5"/>
    <w:rsid w:val="00F259E1"/>
    <w:rsid w:val="00F25FD1"/>
    <w:rsid w:val="00F2720E"/>
    <w:rsid w:val="00F275E9"/>
    <w:rsid w:val="00F2776D"/>
    <w:rsid w:val="00F30643"/>
    <w:rsid w:val="00F328E5"/>
    <w:rsid w:val="00F32D67"/>
    <w:rsid w:val="00F341BA"/>
    <w:rsid w:val="00F3437D"/>
    <w:rsid w:val="00F346E6"/>
    <w:rsid w:val="00F35C7B"/>
    <w:rsid w:val="00F40864"/>
    <w:rsid w:val="00F40CE9"/>
    <w:rsid w:val="00F43411"/>
    <w:rsid w:val="00F44895"/>
    <w:rsid w:val="00F46D2A"/>
    <w:rsid w:val="00F504A2"/>
    <w:rsid w:val="00F50585"/>
    <w:rsid w:val="00F516E3"/>
    <w:rsid w:val="00F54832"/>
    <w:rsid w:val="00F56FD3"/>
    <w:rsid w:val="00F575F8"/>
    <w:rsid w:val="00F576ED"/>
    <w:rsid w:val="00F57885"/>
    <w:rsid w:val="00F6493E"/>
    <w:rsid w:val="00F64E5D"/>
    <w:rsid w:val="00F65A68"/>
    <w:rsid w:val="00F66144"/>
    <w:rsid w:val="00F6713F"/>
    <w:rsid w:val="00F71AC8"/>
    <w:rsid w:val="00F72687"/>
    <w:rsid w:val="00F7304E"/>
    <w:rsid w:val="00F74B51"/>
    <w:rsid w:val="00F76A99"/>
    <w:rsid w:val="00F77A3F"/>
    <w:rsid w:val="00F77EA1"/>
    <w:rsid w:val="00F80771"/>
    <w:rsid w:val="00F81362"/>
    <w:rsid w:val="00F82312"/>
    <w:rsid w:val="00F83BA7"/>
    <w:rsid w:val="00F84494"/>
    <w:rsid w:val="00F854EE"/>
    <w:rsid w:val="00F87390"/>
    <w:rsid w:val="00F87D02"/>
    <w:rsid w:val="00F90145"/>
    <w:rsid w:val="00F91353"/>
    <w:rsid w:val="00F916A9"/>
    <w:rsid w:val="00F95F8E"/>
    <w:rsid w:val="00F9684A"/>
    <w:rsid w:val="00FA0825"/>
    <w:rsid w:val="00FA08AD"/>
    <w:rsid w:val="00FA1AE7"/>
    <w:rsid w:val="00FA2F27"/>
    <w:rsid w:val="00FA30FA"/>
    <w:rsid w:val="00FA3497"/>
    <w:rsid w:val="00FA4150"/>
    <w:rsid w:val="00FA5766"/>
    <w:rsid w:val="00FA7D7D"/>
    <w:rsid w:val="00FB08BB"/>
    <w:rsid w:val="00FB2010"/>
    <w:rsid w:val="00FB289A"/>
    <w:rsid w:val="00FB3347"/>
    <w:rsid w:val="00FB3390"/>
    <w:rsid w:val="00FB3822"/>
    <w:rsid w:val="00FB4977"/>
    <w:rsid w:val="00FB520A"/>
    <w:rsid w:val="00FB620D"/>
    <w:rsid w:val="00FB6F67"/>
    <w:rsid w:val="00FB7B40"/>
    <w:rsid w:val="00FC0AD7"/>
    <w:rsid w:val="00FC10DE"/>
    <w:rsid w:val="00FC1424"/>
    <w:rsid w:val="00FC1D69"/>
    <w:rsid w:val="00FC2D5F"/>
    <w:rsid w:val="00FC3246"/>
    <w:rsid w:val="00FC3F63"/>
    <w:rsid w:val="00FC5603"/>
    <w:rsid w:val="00FC5D98"/>
    <w:rsid w:val="00FD0B28"/>
    <w:rsid w:val="00FD14A1"/>
    <w:rsid w:val="00FD17BA"/>
    <w:rsid w:val="00FD2336"/>
    <w:rsid w:val="00FD2C9D"/>
    <w:rsid w:val="00FD2F74"/>
    <w:rsid w:val="00FD326D"/>
    <w:rsid w:val="00FD3B94"/>
    <w:rsid w:val="00FD40DD"/>
    <w:rsid w:val="00FD43B3"/>
    <w:rsid w:val="00FD6212"/>
    <w:rsid w:val="00FD6295"/>
    <w:rsid w:val="00FD70F5"/>
    <w:rsid w:val="00FD79ED"/>
    <w:rsid w:val="00FE01EA"/>
    <w:rsid w:val="00FE1118"/>
    <w:rsid w:val="00FE3D8C"/>
    <w:rsid w:val="00FE40E5"/>
    <w:rsid w:val="00FE4739"/>
    <w:rsid w:val="00FE4DB2"/>
    <w:rsid w:val="00FE681D"/>
    <w:rsid w:val="00FE6C5A"/>
    <w:rsid w:val="00FE74DF"/>
    <w:rsid w:val="00FF0DBD"/>
    <w:rsid w:val="00FF1CCE"/>
    <w:rsid w:val="00FF2100"/>
    <w:rsid w:val="00FF2DC2"/>
    <w:rsid w:val="00FF35AB"/>
    <w:rsid w:val="00FF3A07"/>
    <w:rsid w:val="00FF3FEA"/>
    <w:rsid w:val="00FF4B54"/>
    <w:rsid w:val="00FF4C68"/>
    <w:rsid w:val="00FF4F95"/>
    <w:rsid w:val="00FF4FE5"/>
    <w:rsid w:val="00FF51F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99"/>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uiPriority w:val="99"/>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PBAC table,HTAtableplain,Lash Style Table"/>
    <w:basedOn w:val="TableNormal"/>
    <w:uiPriority w:val="5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rial Narrow" w:hAnsi="Arial Narrow"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rial Narrow" w:hAnsi="Arial Narrow"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rial Narrow" w:hAnsi="Arial Narrow"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paragraph" w:styleId="BodyText">
    <w:name w:val="Body Text"/>
    <w:basedOn w:val="Normal"/>
    <w:link w:val="BodyTextChar"/>
    <w:unhideWhenUsed/>
    <w:rsid w:val="002326AD"/>
    <w:pPr>
      <w:jc w:val="both"/>
    </w:pPr>
    <w:rPr>
      <w:rFonts w:asciiTheme="minorHAnsi" w:hAnsiTheme="minorHAnsi"/>
    </w:rPr>
  </w:style>
  <w:style w:type="character" w:customStyle="1" w:styleId="BodyTextChar">
    <w:name w:val="Body Text Char"/>
    <w:basedOn w:val="DefaultParagraphFont"/>
    <w:link w:val="BodyText"/>
    <w:rsid w:val="002326AD"/>
  </w:style>
  <w:style w:type="paragraph" w:customStyle="1" w:styleId="Tablelist">
    <w:name w:val="Table list"/>
    <w:basedOn w:val="Normal"/>
    <w:link w:val="TablelistChar"/>
    <w:qFormat/>
    <w:rsid w:val="002326AD"/>
    <w:pPr>
      <w:numPr>
        <w:numId w:val="12"/>
      </w:numPr>
      <w:spacing w:before="20" w:after="20" w:line="240" w:lineRule="auto"/>
    </w:pPr>
    <w:rPr>
      <w:rFonts w:asciiTheme="minorHAnsi" w:hAnsiTheme="minorHAnsi"/>
      <w:sz w:val="20"/>
    </w:rPr>
  </w:style>
  <w:style w:type="character" w:customStyle="1" w:styleId="TablelistChar">
    <w:name w:val="Table list Char"/>
    <w:basedOn w:val="DefaultParagraphFont"/>
    <w:link w:val="Tablelist"/>
    <w:rsid w:val="002326AD"/>
    <w:rPr>
      <w:sz w:val="20"/>
    </w:rPr>
  </w:style>
  <w:style w:type="table" w:customStyle="1" w:styleId="MSAC">
    <w:name w:val="MSAC"/>
    <w:basedOn w:val="TableNormal"/>
    <w:next w:val="TableGrid"/>
    <w:locked/>
    <w:rsid w:val="00EA4167"/>
    <w:pPr>
      <w:widowControl w:val="0"/>
      <w:spacing w:before="20" w:after="2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20" w:beforeAutospacing="0" w:afterLines="0" w:after="20" w:afterAutospacing="0"/>
      </w:pPr>
      <w:rPr>
        <w:rFonts w:ascii="Arial Italic" w:hAnsi="Arial Italic"/>
        <w:b/>
        <w:sz w:val="20"/>
      </w:rPr>
      <w:tblPr/>
      <w:trPr>
        <w:tblHeader/>
      </w:trPr>
      <w:tcPr>
        <w:vAlign w:val="top"/>
      </w:tcPr>
    </w:tblStylePr>
  </w:style>
  <w:style w:type="table" w:customStyle="1" w:styleId="Style2">
    <w:name w:val="Style2"/>
    <w:basedOn w:val="TableNormal"/>
    <w:uiPriority w:val="99"/>
    <w:rsid w:val="00192D17"/>
    <w:pPr>
      <w:spacing w:after="0" w:line="240" w:lineRule="auto"/>
      <w:jc w:val="center"/>
    </w:pPr>
    <w:rPr>
      <w:rFonts w:ascii="Calibri Light" w:hAnsi="Calibri Light"/>
      <w:sz w:val="20"/>
    </w:rPr>
    <w:tblPr>
      <w:tblBorders>
        <w:top w:val="single" w:sz="4" w:space="0" w:color="auto"/>
        <w:bottom w:val="single" w:sz="4" w:space="0" w:color="auto"/>
        <w:insideH w:val="single" w:sz="4" w:space="0" w:color="auto"/>
      </w:tblBorders>
    </w:tblPr>
    <w:tcPr>
      <w:vAlign w:val="center"/>
    </w:tcPr>
    <w:tblStylePr w:type="firstRow">
      <w:pPr>
        <w:wordWrap/>
        <w:spacing w:line="360" w:lineRule="auto"/>
      </w:pPr>
      <w:rPr>
        <w:rFonts w:asciiTheme="majorHAnsi" w:hAnsiTheme="majorHAnsi"/>
        <w:b/>
      </w:rPr>
    </w:tblStylePr>
    <w:tblStylePr w:type="firstCol">
      <w:pPr>
        <w:jc w:val="left"/>
      </w:pPr>
    </w:tblStylePr>
  </w:style>
  <w:style w:type="paragraph" w:customStyle="1" w:styleId="Comment">
    <w:name w:val="Comment"/>
    <w:basedOn w:val="Normal"/>
    <w:link w:val="CommentChar"/>
    <w:qFormat/>
    <w:rsid w:val="00E31963"/>
    <w:pPr>
      <w:tabs>
        <w:tab w:val="num" w:pos="720"/>
      </w:tabs>
      <w:spacing w:before="240" w:after="240" w:line="312" w:lineRule="auto"/>
      <w:jc w:val="both"/>
    </w:pPr>
    <w:rPr>
      <w:rFonts w:ascii="Calibri" w:eastAsia="Times New Roman" w:hAnsi="Calibri" w:cs="Tahoma"/>
      <w:i/>
      <w:lang w:eastAsia="en-AU"/>
    </w:rPr>
  </w:style>
  <w:style w:type="character" w:customStyle="1" w:styleId="CommentChar">
    <w:name w:val="Comment Char"/>
    <w:basedOn w:val="DefaultParagraphFont"/>
    <w:link w:val="Comment"/>
    <w:rsid w:val="00E31963"/>
    <w:rPr>
      <w:rFonts w:ascii="Calibri" w:eastAsia="Times New Roman" w:hAnsi="Calibri" w:cs="Tahoma"/>
      <w:i/>
      <w:lang w:eastAsia="en-AU"/>
    </w:rPr>
  </w:style>
  <w:style w:type="table" w:customStyle="1" w:styleId="TableGrid27">
    <w:name w:val="Table Grid27"/>
    <w:basedOn w:val="TableNormal"/>
    <w:next w:val="TableGrid"/>
    <w:uiPriority w:val="39"/>
    <w:rsid w:val="00E3196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s18">
    <w:name w:val="TableFigNotes+18"/>
    <w:basedOn w:val="Normal"/>
    <w:next w:val="BodyText"/>
    <w:uiPriority w:val="4"/>
    <w:qFormat/>
    <w:rsid w:val="000330B2"/>
    <w:pPr>
      <w:spacing w:after="0" w:line="240" w:lineRule="auto"/>
      <w:jc w:val="both"/>
    </w:pPr>
    <w:rPr>
      <w:rFonts w:asciiTheme="minorHAnsi" w:hAnsiTheme="minorHAnsi"/>
      <w:sz w:val="16"/>
      <w:szCs w:val="20"/>
    </w:rPr>
  </w:style>
  <w:style w:type="table" w:customStyle="1" w:styleId="TableGrid25">
    <w:name w:val="Table Grid25"/>
    <w:basedOn w:val="TableNormal"/>
    <w:next w:val="TableGrid"/>
    <w:uiPriority w:val="39"/>
    <w:rsid w:val="000330B2"/>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79FA"/>
    <w:pPr>
      <w:autoSpaceDE w:val="0"/>
      <w:autoSpaceDN w:val="0"/>
      <w:adjustRightInd w:val="0"/>
      <w:spacing w:after="0" w:line="240" w:lineRule="auto"/>
    </w:pPr>
    <w:rPr>
      <w:rFonts w:ascii="Calibri" w:hAnsi="Calibri" w:cs="Calibri"/>
      <w:color w:val="000000"/>
      <w:sz w:val="24"/>
      <w:szCs w:val="24"/>
    </w:rPr>
  </w:style>
  <w:style w:type="table" w:customStyle="1" w:styleId="TableGrid271">
    <w:name w:val="Table Grid271"/>
    <w:basedOn w:val="TableNormal"/>
    <w:next w:val="TableGrid"/>
    <w:uiPriority w:val="39"/>
    <w:rsid w:val="00EB2555"/>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3136"/>
    <w:rPr>
      <w:color w:val="605E5C"/>
      <w:shd w:val="clear" w:color="auto" w:fill="E1DFDD"/>
    </w:rPr>
  </w:style>
  <w:style w:type="paragraph" w:customStyle="1" w:styleId="BulletBeforeDash">
    <w:name w:val="BulletBeforeDash"/>
    <w:basedOn w:val="Normal"/>
    <w:rsid w:val="00310000"/>
    <w:pPr>
      <w:numPr>
        <w:numId w:val="30"/>
      </w:numPr>
      <w:spacing w:before="0" w:after="0" w:line="240" w:lineRule="auto"/>
    </w:pPr>
    <w:rPr>
      <w:rFonts w:eastAsia="Times New Roman" w:cs="Times New Roman"/>
      <w:color w:val="000000"/>
      <w:szCs w:val="20"/>
      <w:lang w:eastAsia="en-AU"/>
    </w:rPr>
  </w:style>
  <w:style w:type="character" w:customStyle="1" w:styleId="normaltextrun">
    <w:name w:val="normaltextrun"/>
    <w:basedOn w:val="DefaultParagraphFont"/>
    <w:rsid w:val="00A7564C"/>
  </w:style>
  <w:style w:type="character" w:customStyle="1" w:styleId="findhit">
    <w:name w:val="findhit"/>
    <w:basedOn w:val="DefaultParagraphFont"/>
    <w:rsid w:val="00A7564C"/>
  </w:style>
  <w:style w:type="character" w:customStyle="1" w:styleId="eop">
    <w:name w:val="eop"/>
    <w:basedOn w:val="DefaultParagraphFont"/>
    <w:rsid w:val="00A7564C"/>
  </w:style>
  <w:style w:type="paragraph" w:styleId="NormalWeb">
    <w:name w:val="Normal (Web)"/>
    <w:basedOn w:val="Normal"/>
    <w:uiPriority w:val="99"/>
    <w:semiHidden/>
    <w:unhideWhenUsed/>
    <w:rsid w:val="00954F8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281764872">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59807334">
      <w:bodyDiv w:val="1"/>
      <w:marLeft w:val="0"/>
      <w:marRight w:val="0"/>
      <w:marTop w:val="0"/>
      <w:marBottom w:val="0"/>
      <w:divBdr>
        <w:top w:val="none" w:sz="0" w:space="0" w:color="auto"/>
        <w:left w:val="none" w:sz="0" w:space="0" w:color="auto"/>
        <w:bottom w:val="none" w:sz="0" w:space="0" w:color="auto"/>
        <w:right w:val="none" w:sz="0" w:space="0" w:color="auto"/>
      </w:divBdr>
      <w:divsChild>
        <w:div w:id="297692211">
          <w:marLeft w:val="288"/>
          <w:marRight w:val="0"/>
          <w:marTop w:val="115"/>
          <w:marBottom w:val="0"/>
          <w:divBdr>
            <w:top w:val="none" w:sz="0" w:space="0" w:color="auto"/>
            <w:left w:val="none" w:sz="0" w:space="0" w:color="auto"/>
            <w:bottom w:val="none" w:sz="0" w:space="0" w:color="auto"/>
            <w:right w:val="none" w:sz="0" w:space="0" w:color="auto"/>
          </w:divBdr>
        </w:div>
      </w:divsChild>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51967780">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70343546">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6684095">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23257292">
      <w:bodyDiv w:val="1"/>
      <w:marLeft w:val="0"/>
      <w:marRight w:val="0"/>
      <w:marTop w:val="0"/>
      <w:marBottom w:val="0"/>
      <w:divBdr>
        <w:top w:val="none" w:sz="0" w:space="0" w:color="auto"/>
        <w:left w:val="none" w:sz="0" w:space="0" w:color="auto"/>
        <w:bottom w:val="none" w:sz="0" w:space="0" w:color="auto"/>
        <w:right w:val="none" w:sz="0" w:space="0" w:color="auto"/>
      </w:divBdr>
      <w:divsChild>
        <w:div w:id="55007575">
          <w:marLeft w:val="0"/>
          <w:marRight w:val="0"/>
          <w:marTop w:val="0"/>
          <w:marBottom w:val="0"/>
          <w:divBdr>
            <w:top w:val="none" w:sz="0" w:space="0" w:color="auto"/>
            <w:left w:val="none" w:sz="0" w:space="0" w:color="auto"/>
            <w:bottom w:val="none" w:sz="0" w:space="0" w:color="auto"/>
            <w:right w:val="none" w:sz="0" w:space="0" w:color="auto"/>
          </w:divBdr>
        </w:div>
        <w:div w:id="1275558914">
          <w:marLeft w:val="0"/>
          <w:marRight w:val="0"/>
          <w:marTop w:val="0"/>
          <w:marBottom w:val="0"/>
          <w:divBdr>
            <w:top w:val="none" w:sz="0" w:space="0" w:color="auto"/>
            <w:left w:val="none" w:sz="0" w:space="0" w:color="auto"/>
            <w:bottom w:val="none" w:sz="0" w:space="0" w:color="auto"/>
            <w:right w:val="none" w:sz="0" w:space="0" w:color="auto"/>
          </w:divBdr>
          <w:divsChild>
            <w:div w:id="810711287">
              <w:marLeft w:val="0"/>
              <w:marRight w:val="0"/>
              <w:marTop w:val="0"/>
              <w:marBottom w:val="0"/>
              <w:divBdr>
                <w:top w:val="none" w:sz="0" w:space="0" w:color="auto"/>
                <w:left w:val="none" w:sz="0" w:space="0" w:color="auto"/>
                <w:bottom w:val="none" w:sz="0" w:space="0" w:color="auto"/>
                <w:right w:val="none" w:sz="0" w:space="0" w:color="auto"/>
              </w:divBdr>
            </w:div>
            <w:div w:id="11668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683046846">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03766823">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81090169">
      <w:bodyDiv w:val="1"/>
      <w:marLeft w:val="0"/>
      <w:marRight w:val="0"/>
      <w:marTop w:val="0"/>
      <w:marBottom w:val="0"/>
      <w:divBdr>
        <w:top w:val="none" w:sz="0" w:space="0" w:color="auto"/>
        <w:left w:val="none" w:sz="0" w:space="0" w:color="auto"/>
        <w:bottom w:val="none" w:sz="0" w:space="0" w:color="auto"/>
        <w:right w:val="none" w:sz="0" w:space="0" w:color="auto"/>
      </w:divBdr>
    </w:div>
    <w:div w:id="188929937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yperlink" Target="http://www.msac.gov.au/internet/msac/publishing.nsf/Content/858BDE0D9325F183CA25867A00008E9B/$File/1662%20-%20Final%20PSD_redacted_Nov2021.pdf" TargetMode="External"/><Relationship Id="rId18" Type="http://schemas.openxmlformats.org/officeDocument/2006/relationships/hyperlink" Target="http://msac.gov.au/internet/msac/publishing.nsf/Content/Home-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sac.gov.au/internet/msac/publishing.nsf/Content/0AB23F265C0E67ADCA2583C8007C7B8E/$File/1192.3%20Final%20PSD_updated%20Sept2020_redacted.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858BDE0D9325F183CA25867A00008E9B/$File/1662%20-%20Final%20PSD_redacted_Nov2021.pdf"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msac.gov.au/internet/msac/publishing.nsf/Content/0AB23F265C0E67ADCA2583C8007C7B8E/$File/1192.3%20Final%20PSD_updated%20Sept2020_redacted.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sac.gov.au/internet/msac/publishing.nsf/Content/858BDE0D9325F183CA25867A00008E9B/$File/1662%20-%20Final%20PSD_redacted_Nov2021.pdf" TargetMode="External"/><Relationship Id="rId14" Type="http://schemas.openxmlformats.org/officeDocument/2006/relationships/hyperlink" Target="http://www.msac.gov.au/internet/msac/publishing.nsf/Content/0AB23F265C0E67ADCA2583C8007C7B8E/$File/1192.3%20Final%20PSD_updated%20Sept2020_redacted.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7703-A24C-4C87-98C7-16C364BB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22316</Words>
  <Characters>127205</Characters>
  <Application>Microsoft Office Word</Application>
  <DocSecurity>0</DocSecurity>
  <Lines>1060</Lines>
  <Paragraphs>298</Paragraphs>
  <ScaleCrop>false</ScaleCrop>
  <Manager/>
  <Company/>
  <LinksUpToDate>false</LinksUpToDate>
  <CharactersWithSpaces>149223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2023-06-07T05:54:00Z</dcterms:created>
  <dcterms:modified xsi:type="dcterms:W3CDTF">2023-06-08T02:07:00Z</dcterms:modified>
  <cp:category/>
</cp:coreProperties>
</file>