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4906" w14:textId="77777777" w:rsidR="00CB5FB7" w:rsidRDefault="00CB5FB7" w:rsidP="00CB5FB7">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bookmarkStart w:id="0" w:name="_Hlk68005436"/>
      <w:r>
        <w:rPr>
          <w:rFonts w:ascii="Arial" w:hAnsi="Arial" w:cs="Arial"/>
          <w:b/>
          <w:bCs/>
          <w:color w:val="000080"/>
          <w:sz w:val="36"/>
          <w:szCs w:val="36"/>
        </w:rPr>
        <w:t>Medical Services Advisory Committee (MSAC)</w:t>
      </w:r>
      <w:r>
        <w:rPr>
          <w:rFonts w:ascii="Arial" w:hAnsi="Arial" w:cs="Arial"/>
          <w:b/>
          <w:bCs/>
          <w:color w:val="000080"/>
          <w:sz w:val="36"/>
          <w:szCs w:val="36"/>
        </w:rPr>
        <w:br/>
      </w:r>
      <w:r w:rsidRPr="00F76D74">
        <w:rPr>
          <w:rFonts w:ascii="Arial" w:hAnsi="Arial" w:cs="Arial"/>
          <w:b/>
          <w:bCs/>
          <w:color w:val="000080"/>
          <w:sz w:val="36"/>
          <w:szCs w:val="36"/>
        </w:rPr>
        <w:t>Public Summary Document</w:t>
      </w:r>
    </w:p>
    <w:bookmarkEnd w:id="0"/>
    <w:p w14:paraId="7A128FDE" w14:textId="624D730B" w:rsidR="00772829" w:rsidRPr="00746136" w:rsidRDefault="00133970" w:rsidP="00746136">
      <w:pPr>
        <w:pStyle w:val="Subtitle"/>
      </w:pPr>
      <w:r w:rsidRPr="00746136">
        <w:t xml:space="preserve">Application No.1716 – Germline </w:t>
      </w:r>
      <w:r w:rsidRPr="00071D90">
        <w:rPr>
          <w:i w:val="0"/>
          <w:iCs/>
        </w:rPr>
        <w:t>BRCA</w:t>
      </w:r>
      <w:r w:rsidRPr="00746136">
        <w:t xml:space="preserve"> mutation test to detect </w:t>
      </w:r>
      <w:r w:rsidRPr="00071D90">
        <w:rPr>
          <w:i w:val="0"/>
          <w:iCs/>
        </w:rPr>
        <w:t>BRCA1</w:t>
      </w:r>
      <w:r w:rsidRPr="00746136">
        <w:t xml:space="preserve"> or </w:t>
      </w:r>
      <w:r w:rsidRPr="00071D90">
        <w:rPr>
          <w:i w:val="0"/>
          <w:iCs/>
        </w:rPr>
        <w:t>BRCA2</w:t>
      </w:r>
      <w:r w:rsidRPr="00746136">
        <w:t xml:space="preserve"> mutations in patients with HER2-negative high risk early breast cancer to determine eligibility for PBS-listed olaparib treatment</w:t>
      </w:r>
    </w:p>
    <w:p w14:paraId="35263561" w14:textId="65A4FEB4"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133970" w:rsidRPr="00133970">
        <w:rPr>
          <w:rFonts w:ascii="Arial" w:hAnsi="Arial" w:cs="Arial"/>
          <w:b/>
          <w:szCs w:val="24"/>
        </w:rPr>
        <w:t>AstraZeneca Pty Limited</w:t>
      </w:r>
    </w:p>
    <w:p w14:paraId="15DA9C4A" w14:textId="4A23B29B" w:rsidR="009A3778" w:rsidRDefault="00772829" w:rsidP="00772829">
      <w:pPr>
        <w:tabs>
          <w:tab w:val="left" w:pos="3686"/>
        </w:tabs>
        <w:spacing w:after="360"/>
        <w:rPr>
          <w:rFonts w:ascii="Arial" w:hAnsi="Arial" w:cs="Arial"/>
          <w:b/>
          <w:szCs w:val="24"/>
        </w:rPr>
      </w:pPr>
      <w:r w:rsidRPr="00CE28E3">
        <w:rPr>
          <w:rFonts w:ascii="Arial" w:hAnsi="Arial" w:cs="Arial"/>
          <w:b/>
          <w:szCs w:val="24"/>
        </w:rPr>
        <w:t>Date of MSAC consideration:</w:t>
      </w:r>
      <w:r w:rsidRPr="00CE28E3">
        <w:rPr>
          <w:rFonts w:ascii="Arial" w:hAnsi="Arial" w:cs="Arial"/>
          <w:b/>
          <w:szCs w:val="24"/>
        </w:rPr>
        <w:tab/>
      </w:r>
      <w:r w:rsidR="009E3F3D">
        <w:rPr>
          <w:rFonts w:ascii="Arial" w:hAnsi="Arial" w:cs="Arial"/>
          <w:b/>
          <w:szCs w:val="24"/>
        </w:rPr>
        <w:t>2</w:t>
      </w:r>
      <w:r w:rsidR="00CB5FB7">
        <w:rPr>
          <w:rFonts w:ascii="Arial" w:hAnsi="Arial" w:cs="Arial"/>
          <w:b/>
          <w:szCs w:val="24"/>
        </w:rPr>
        <w:t>3</w:t>
      </w:r>
      <w:r w:rsidR="009E3F3D">
        <w:rPr>
          <w:rFonts w:ascii="Arial" w:hAnsi="Arial" w:cs="Arial"/>
          <w:b/>
          <w:szCs w:val="24"/>
        </w:rPr>
        <w:t>−2</w:t>
      </w:r>
      <w:r w:rsidR="00CB5FB7">
        <w:rPr>
          <w:rFonts w:ascii="Arial" w:hAnsi="Arial" w:cs="Arial"/>
          <w:b/>
          <w:szCs w:val="24"/>
        </w:rPr>
        <w:t>4</w:t>
      </w:r>
      <w:r w:rsidR="009E3F3D">
        <w:rPr>
          <w:rFonts w:ascii="Arial" w:hAnsi="Arial" w:cs="Arial"/>
          <w:b/>
          <w:szCs w:val="24"/>
        </w:rPr>
        <w:t xml:space="preserve"> November </w:t>
      </w:r>
      <w:r w:rsidR="007949DA" w:rsidRPr="007949DA">
        <w:rPr>
          <w:rFonts w:ascii="Arial" w:hAnsi="Arial" w:cs="Arial"/>
          <w:b/>
          <w:szCs w:val="24"/>
        </w:rPr>
        <w:t>2023</w:t>
      </w:r>
    </w:p>
    <w:p w14:paraId="11DC5163" w14:textId="77777777" w:rsidR="00CB5FB7" w:rsidRPr="00415A9B" w:rsidRDefault="00CB5FB7" w:rsidP="00CB5FB7">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1" w:name="_Toc69491415"/>
      <w:r>
        <w:t>1.</w:t>
      </w:r>
      <w:r>
        <w:tab/>
      </w:r>
      <w:r w:rsidR="00772829" w:rsidRPr="00CE28E3">
        <w:t xml:space="preserve">Purpose </w:t>
      </w:r>
      <w:r w:rsidR="00772829" w:rsidRPr="00CE28E3">
        <w:rPr>
          <w:szCs w:val="32"/>
        </w:rPr>
        <w:t>of</w:t>
      </w:r>
      <w:r w:rsidR="00772829" w:rsidRPr="00CE28E3">
        <w:t xml:space="preserve"> application</w:t>
      </w:r>
      <w:bookmarkEnd w:id="1"/>
    </w:p>
    <w:p w14:paraId="2B03B099" w14:textId="2209B095" w:rsidR="00772829" w:rsidRPr="009A3778" w:rsidRDefault="00D77F0F" w:rsidP="00EE256D">
      <w:bookmarkStart w:id="2" w:name="_Hlk69734469"/>
      <w:r>
        <w:t xml:space="preserve">A streamlined </w:t>
      </w:r>
      <w:r w:rsidR="00772829" w:rsidRPr="009A3778">
        <w:t xml:space="preserve">codependent </w:t>
      </w:r>
      <w:r w:rsidR="00507D99" w:rsidRPr="00507D99">
        <w:t xml:space="preserve">standard re-entry submission </w:t>
      </w:r>
      <w:r w:rsidR="00772829" w:rsidRPr="009A3778">
        <w:t>requested:</w:t>
      </w:r>
    </w:p>
    <w:p w14:paraId="46C66D63" w14:textId="683D4DB8" w:rsidR="00F0465E" w:rsidRDefault="00F0465E" w:rsidP="00746136">
      <w:pPr>
        <w:pStyle w:val="ListParagraph"/>
      </w:pPr>
      <w:bookmarkStart w:id="3" w:name="_Toc69491416"/>
      <w:bookmarkEnd w:id="2"/>
      <w:r w:rsidRPr="00F0465E">
        <w:t>A M</w:t>
      </w:r>
      <w:r w:rsidR="00CB5FB7">
        <w:t xml:space="preserve">edicare </w:t>
      </w:r>
      <w:r w:rsidRPr="00F0465E">
        <w:t>B</w:t>
      </w:r>
      <w:r w:rsidR="00CB5FB7">
        <w:t xml:space="preserve">enefits </w:t>
      </w:r>
      <w:r w:rsidRPr="00F0465E">
        <w:t>S</w:t>
      </w:r>
      <w:r w:rsidR="00CB5FB7">
        <w:t>chedule (MBS)</w:t>
      </w:r>
      <w:r w:rsidRPr="00F0465E">
        <w:t xml:space="preserve"> item for </w:t>
      </w:r>
      <w:r w:rsidR="001B7AF2" w:rsidRPr="001B7AF2">
        <w:rPr>
          <w:lang w:val="en-US"/>
        </w:rPr>
        <w:t xml:space="preserve">germline </w:t>
      </w:r>
      <w:r w:rsidR="001B7AF2" w:rsidRPr="001B7AF2">
        <w:rPr>
          <w:i/>
          <w:iCs/>
          <w:lang w:val="en-US"/>
        </w:rPr>
        <w:t>BReast CAncer</w:t>
      </w:r>
      <w:r w:rsidR="001B7AF2" w:rsidRPr="001B7AF2">
        <w:rPr>
          <w:lang w:val="en-US"/>
        </w:rPr>
        <w:t xml:space="preserve"> </w:t>
      </w:r>
      <w:r w:rsidR="001B7AF2" w:rsidRPr="007964AB">
        <w:rPr>
          <w:i/>
          <w:iCs/>
          <w:lang w:val="en-US"/>
        </w:rPr>
        <w:t>gene</w:t>
      </w:r>
      <w:r w:rsidR="007964AB" w:rsidRPr="007964AB">
        <w:rPr>
          <w:i/>
          <w:iCs/>
          <w:lang w:val="en-US"/>
        </w:rPr>
        <w:t xml:space="preserve"> 1 and 2</w:t>
      </w:r>
      <w:r w:rsidR="001B7AF2" w:rsidRPr="00B66471">
        <w:rPr>
          <w:i/>
          <w:iCs/>
          <w:lang w:val="en-US"/>
        </w:rPr>
        <w:t xml:space="preserve"> </w:t>
      </w:r>
      <w:r w:rsidR="001B7AF2" w:rsidRPr="007949DA">
        <w:rPr>
          <w:lang w:val="en-US"/>
        </w:rPr>
        <w:t>(</w:t>
      </w:r>
      <w:r w:rsidR="001B7AF2" w:rsidRPr="000D659D">
        <w:rPr>
          <w:lang w:val="en-US"/>
        </w:rPr>
        <w:t>g</w:t>
      </w:r>
      <w:r w:rsidR="001B7AF2" w:rsidRPr="000D659D">
        <w:rPr>
          <w:i/>
          <w:iCs/>
          <w:lang w:val="en-US"/>
        </w:rPr>
        <w:t>BRCA</w:t>
      </w:r>
      <w:r w:rsidR="001B7AF2" w:rsidRPr="007949DA">
        <w:rPr>
          <w:lang w:val="en-US"/>
        </w:rPr>
        <w:t>)</w:t>
      </w:r>
      <w:r w:rsidR="001B7AF2">
        <w:rPr>
          <w:lang w:val="en-US"/>
        </w:rPr>
        <w:t xml:space="preserve"> </w:t>
      </w:r>
      <w:r w:rsidRPr="00F0465E">
        <w:t>test</w:t>
      </w:r>
      <w:r w:rsidR="009E5995">
        <w:t>ing</w:t>
      </w:r>
      <w:r w:rsidRPr="00F0465E">
        <w:t xml:space="preserve"> to determine eligibility for access to PBS-subsidised adjuvant olaparib</w:t>
      </w:r>
      <w:r w:rsidR="009E5995">
        <w:t xml:space="preserve"> </w:t>
      </w:r>
      <w:r w:rsidRPr="00F0465E">
        <w:t xml:space="preserve">in </w:t>
      </w:r>
      <w:r w:rsidR="009E5995">
        <w:t xml:space="preserve">patients with </w:t>
      </w:r>
      <w:r w:rsidR="007964AB" w:rsidRPr="007964AB">
        <w:t xml:space="preserve">human epidermal growth factor receptor 2 negative </w:t>
      </w:r>
      <w:r w:rsidR="007964AB">
        <w:t>(</w:t>
      </w:r>
      <w:r w:rsidRPr="00F0465E">
        <w:t>HER2</w:t>
      </w:r>
      <w:r w:rsidR="009E5995">
        <w:t>−</w:t>
      </w:r>
      <w:r w:rsidR="007964AB">
        <w:t>)</w:t>
      </w:r>
      <w:r w:rsidRPr="00F0465E">
        <w:t xml:space="preserve"> high risk early breast cancer.</w:t>
      </w:r>
    </w:p>
    <w:p w14:paraId="561066BD" w14:textId="41A781D1" w:rsidR="00F0465E" w:rsidRDefault="00F0465E" w:rsidP="00746136">
      <w:pPr>
        <w:pStyle w:val="ListParagraph"/>
      </w:pPr>
      <w:r w:rsidRPr="00F0465E">
        <w:t>A P</w:t>
      </w:r>
      <w:r w:rsidR="00CB5FB7">
        <w:t xml:space="preserve">harmaceutical </w:t>
      </w:r>
      <w:r w:rsidRPr="00F0465E">
        <w:t>B</w:t>
      </w:r>
      <w:r w:rsidR="00CB5FB7">
        <w:t xml:space="preserve">enefits </w:t>
      </w:r>
      <w:r w:rsidRPr="00F0465E">
        <w:t>S</w:t>
      </w:r>
      <w:r w:rsidR="00CB5FB7">
        <w:t>cheme (PBS)</w:t>
      </w:r>
      <w:r w:rsidRPr="00F0465E">
        <w:t xml:space="preserve"> listing for adjuvant olaparib in HER2</w:t>
      </w:r>
      <w:r w:rsidR="009E5995">
        <w:t>−</w:t>
      </w:r>
      <w:r w:rsidRPr="00F0465E">
        <w:t xml:space="preserve"> high risk early breast cancer with confirmed </w:t>
      </w:r>
      <w:r w:rsidR="000D659D" w:rsidRPr="000D659D">
        <w:rPr>
          <w:lang w:val="en-US"/>
        </w:rPr>
        <w:t>g</w:t>
      </w:r>
      <w:r w:rsidR="000D659D" w:rsidRPr="000D659D">
        <w:rPr>
          <w:i/>
          <w:iCs/>
          <w:lang w:val="en-US"/>
        </w:rPr>
        <w:t>BRCA</w:t>
      </w:r>
      <w:r w:rsidR="000D659D">
        <w:t xml:space="preserve"> </w:t>
      </w:r>
      <w:r w:rsidR="007964AB">
        <w:t xml:space="preserve">pathogenic or likely pathogenic </w:t>
      </w:r>
      <w:r w:rsidRPr="00F0465E">
        <w:t>variants</w:t>
      </w:r>
      <w:r w:rsidR="007964AB">
        <w:t xml:space="preserve"> (</w:t>
      </w:r>
      <w:r w:rsidR="000D659D" w:rsidRPr="000D659D">
        <w:rPr>
          <w:lang w:val="en-US"/>
        </w:rPr>
        <w:t>g</w:t>
      </w:r>
      <w:r w:rsidR="000D659D" w:rsidRPr="000D659D">
        <w:rPr>
          <w:i/>
          <w:iCs/>
          <w:lang w:val="en-US"/>
        </w:rPr>
        <w:t>BRCA</w:t>
      </w:r>
      <w:r w:rsidR="000D659D">
        <w:t xml:space="preserve"> </w:t>
      </w:r>
      <w:r w:rsidR="007964AB">
        <w:t>variants)</w:t>
      </w:r>
      <w:r w:rsidRPr="00F0465E">
        <w:t>.</w:t>
      </w:r>
    </w:p>
    <w:p w14:paraId="532CEF05" w14:textId="40F3A61C" w:rsidR="00D77F0F" w:rsidRDefault="00D77F0F" w:rsidP="00D77F0F">
      <w:pPr>
        <w:rPr>
          <w:i/>
        </w:rPr>
      </w:pPr>
      <w:r w:rsidRPr="00F0465E">
        <w:rPr>
          <w:i/>
        </w:rPr>
        <w:t xml:space="preserve">The </w:t>
      </w:r>
      <w:r w:rsidR="008D430B">
        <w:rPr>
          <w:i/>
        </w:rPr>
        <w:t xml:space="preserve">Commentary </w:t>
      </w:r>
      <w:r w:rsidR="008D430B" w:rsidRPr="008D430B">
        <w:rPr>
          <w:i/>
        </w:rPr>
        <w:t>Executive Summary</w:t>
      </w:r>
      <w:r w:rsidRPr="00F0465E">
        <w:rPr>
          <w:i/>
        </w:rPr>
        <w:t xml:space="preserve"> refers to the ‘PBAC resubmission’ where relevant information was sourced from the resubmission to the Pharmaceutical Benefits Advisory Committee (PBAC).</w:t>
      </w:r>
      <w:r w:rsidRPr="00D77F0F">
        <w:rPr>
          <w:i/>
        </w:rPr>
        <w:t xml:space="preserve"> </w:t>
      </w:r>
    </w:p>
    <w:p w14:paraId="12977E2E" w14:textId="77777777" w:rsidR="00CB5FB7" w:rsidRDefault="00CB5FB7" w:rsidP="00CB5FB7">
      <w:pPr>
        <w:pStyle w:val="Heading2"/>
        <w:numPr>
          <w:ilvl w:val="1"/>
          <w:numId w:val="0"/>
        </w:numPr>
      </w:pPr>
      <w:r>
        <w:t>2.</w:t>
      </w:r>
      <w:r>
        <w:tab/>
        <w:t>MSAC’s advice to the Minister</w:t>
      </w:r>
    </w:p>
    <w:p w14:paraId="03E048DA" w14:textId="33593243" w:rsidR="002E7BE7" w:rsidRPr="00E43529" w:rsidRDefault="00CB5FB7" w:rsidP="002E7BE7">
      <w:pPr>
        <w:rPr>
          <w:rFonts w:eastAsia="Franklin Gothic Book" w:cs="Franklin Gothic Book"/>
        </w:rPr>
      </w:pPr>
      <w:r w:rsidRPr="000A352D">
        <w:rPr>
          <w:iCs/>
        </w:rPr>
        <w:t>After considering the strength of the available evidence in relation to comparative safety, clinical effectiveness, cost-effectiveness and total cost, MSAC</w:t>
      </w:r>
      <w:r w:rsidR="00FE2AE7">
        <w:rPr>
          <w:iCs/>
          <w:color w:val="FF0000"/>
        </w:rPr>
        <w:t xml:space="preserve"> </w:t>
      </w:r>
      <w:r w:rsidR="002E7BE7" w:rsidRPr="4C75B400">
        <w:t>supported the amendment of an existing MBS item</w:t>
      </w:r>
      <w:r w:rsidR="002E7BE7" w:rsidRPr="4C75B400">
        <w:rPr>
          <w:rFonts w:eastAsia="Franklin Gothic Book" w:cs="Franklin Gothic Book"/>
          <w:sz w:val="20"/>
        </w:rPr>
        <w:t xml:space="preserve"> (</w:t>
      </w:r>
      <w:r w:rsidR="002E7BE7" w:rsidRPr="4C75B400">
        <w:rPr>
          <w:rFonts w:eastAsia="Franklin Gothic Book" w:cs="Franklin Gothic Book"/>
        </w:rPr>
        <w:t>item 73295)</w:t>
      </w:r>
      <w:r w:rsidR="002E7BE7" w:rsidRPr="4C75B400">
        <w:t xml:space="preserve"> to detect</w:t>
      </w:r>
      <w:r w:rsidR="002E7BE7" w:rsidRPr="4C75B400">
        <w:rPr>
          <w:rFonts w:eastAsia="Franklin Gothic Book" w:cs="Franklin Gothic Book"/>
        </w:rPr>
        <w:t xml:space="preserve"> </w:t>
      </w:r>
      <w:r w:rsidR="002E7BE7" w:rsidRPr="4C75B400">
        <w:rPr>
          <w:rFonts w:eastAsia="Franklin Gothic Book" w:cs="Franklin Gothic Book"/>
          <w:lang w:val="en-US"/>
        </w:rPr>
        <w:t xml:space="preserve">germline </w:t>
      </w:r>
      <w:r w:rsidR="002E7BE7" w:rsidRPr="4C75B400">
        <w:rPr>
          <w:rFonts w:eastAsia="Franklin Gothic Book" w:cs="Franklin Gothic Book"/>
          <w:i/>
          <w:iCs/>
          <w:lang w:val="en-US"/>
        </w:rPr>
        <w:t>BReast CAncer</w:t>
      </w:r>
      <w:r w:rsidR="002E7BE7" w:rsidRPr="4C75B400">
        <w:rPr>
          <w:rFonts w:eastAsia="Franklin Gothic Book" w:cs="Franklin Gothic Book"/>
          <w:lang w:val="en-US"/>
        </w:rPr>
        <w:t xml:space="preserve"> </w:t>
      </w:r>
      <w:r w:rsidR="002E7BE7" w:rsidRPr="4C75B400">
        <w:rPr>
          <w:rFonts w:eastAsia="Franklin Gothic Book" w:cs="Franklin Gothic Book"/>
          <w:i/>
          <w:iCs/>
          <w:lang w:val="en-US"/>
        </w:rPr>
        <w:t xml:space="preserve">gene 1 and 2 </w:t>
      </w:r>
      <w:r w:rsidR="002E7BE7" w:rsidRPr="4C75B400">
        <w:rPr>
          <w:rFonts w:eastAsia="Franklin Gothic Book" w:cs="Franklin Gothic Book"/>
          <w:lang w:val="en-US"/>
        </w:rPr>
        <w:t>(g</w:t>
      </w:r>
      <w:r w:rsidR="002E7BE7" w:rsidRPr="4C75B400">
        <w:rPr>
          <w:rFonts w:eastAsia="Franklin Gothic Book" w:cs="Franklin Gothic Book"/>
          <w:i/>
          <w:iCs/>
          <w:lang w:val="en-US"/>
        </w:rPr>
        <w:t>BRCA</w:t>
      </w:r>
      <w:r w:rsidR="002E7BE7" w:rsidRPr="4C75B400">
        <w:rPr>
          <w:rFonts w:eastAsia="Franklin Gothic Book" w:cs="Franklin Gothic Book"/>
          <w:lang w:val="en-US"/>
        </w:rPr>
        <w:t xml:space="preserve">) pathogenic or likely pathogenic gene variants </w:t>
      </w:r>
      <w:r w:rsidR="002E7BE7" w:rsidRPr="4C75B400">
        <w:rPr>
          <w:rFonts w:eastAsia="Franklin Gothic Book" w:cs="Franklin Gothic Book"/>
        </w:rPr>
        <w:t>to determine eligibility for access to PBS-subsidised adjuvant olaparib (a poly (adenosine diphosphate [ADP]-ribose) polymerase (PARP) inhibitor) in patients with hormone receptor positive human epidermal growth factor receptor 2 negative (HER2−) high risk early breast cancer (eBC)</w:t>
      </w:r>
      <w:r w:rsidR="002E7BE7" w:rsidRPr="0002441C">
        <w:rPr>
          <w:rFonts w:eastAsia="Franklin Gothic Book" w:cs="Franklin Gothic Book"/>
          <w:sz w:val="20"/>
        </w:rPr>
        <w:t xml:space="preserve"> </w:t>
      </w:r>
      <w:r w:rsidR="002E7BE7" w:rsidRPr="0002441C">
        <w:rPr>
          <w:rFonts w:eastAsia="Franklin Gothic Book" w:cs="Franklin Gothic Book"/>
        </w:rPr>
        <w:t>or triple negative early breast cancer (TNBC</w:t>
      </w:r>
      <w:r w:rsidR="002E7BE7" w:rsidRPr="0002441C">
        <w:rPr>
          <w:rFonts w:eastAsia="Franklin Gothic Book" w:cs="Franklin Gothic Book"/>
          <w:sz w:val="20"/>
        </w:rPr>
        <w:t>)</w:t>
      </w:r>
      <w:r w:rsidR="002E7BE7" w:rsidRPr="4C75B400">
        <w:rPr>
          <w:rFonts w:eastAsia="Franklin Gothic Book" w:cs="Franklin Gothic Book"/>
        </w:rPr>
        <w:t xml:space="preserve">. MSAC noted the clinical claim of superior comparative efficacy and inferior, but manageable safety for olaparib. MSAC considered the comparative claims of safety and effectiveness to be reasonable. MSAC noted that the testing population </w:t>
      </w:r>
      <w:r w:rsidR="005B2524">
        <w:rPr>
          <w:rFonts w:eastAsia="Franklin Gothic Book" w:cs="Franklin Gothic Book"/>
        </w:rPr>
        <w:t>is</w:t>
      </w:r>
      <w:r w:rsidR="009B6367">
        <w:rPr>
          <w:rFonts w:eastAsia="Franklin Gothic Book" w:cs="Franklin Gothic Book"/>
        </w:rPr>
        <w:t xml:space="preserve"> </w:t>
      </w:r>
      <w:r w:rsidR="002E7BE7" w:rsidRPr="4C75B400">
        <w:rPr>
          <w:rFonts w:eastAsia="Franklin Gothic Book" w:cs="Franklin Gothic Book"/>
        </w:rPr>
        <w:t>at a high risk of poor outcomes and g</w:t>
      </w:r>
      <w:r w:rsidR="002E7BE7" w:rsidRPr="4C75B400">
        <w:rPr>
          <w:rFonts w:eastAsia="Franklin Gothic Book" w:cs="Franklin Gothic Book"/>
          <w:i/>
          <w:iCs/>
        </w:rPr>
        <w:t>BRCA1</w:t>
      </w:r>
      <w:r w:rsidR="002E7BE7" w:rsidRPr="4C75B400">
        <w:rPr>
          <w:rFonts w:eastAsia="Franklin Gothic Book" w:cs="Franklin Gothic Book"/>
        </w:rPr>
        <w:t xml:space="preserve"> and g</w:t>
      </w:r>
      <w:r w:rsidR="002E7BE7" w:rsidRPr="4C75B400">
        <w:rPr>
          <w:rFonts w:eastAsia="Franklin Gothic Book" w:cs="Franklin Gothic Book"/>
          <w:i/>
          <w:iCs/>
        </w:rPr>
        <w:t>BRCA2</w:t>
      </w:r>
      <w:r w:rsidR="002E7BE7" w:rsidRPr="4C75B400">
        <w:rPr>
          <w:rFonts w:eastAsia="Franklin Gothic Book" w:cs="Franklin Gothic Book"/>
        </w:rPr>
        <w:t xml:space="preserve"> testing is required to determine eligibility for PARP inhibitors.</w:t>
      </w:r>
    </w:p>
    <w:p w14:paraId="0F8B5E03" w14:textId="59A057B5" w:rsidR="002E7BE7" w:rsidRPr="00E43529" w:rsidRDefault="002E7BE7" w:rsidP="002E7BE7">
      <w:pPr>
        <w:rPr>
          <w:rFonts w:eastAsia="Franklin Gothic Book" w:cs="Franklin Gothic Book"/>
        </w:rPr>
      </w:pPr>
      <w:r w:rsidRPr="7ABCC384">
        <w:rPr>
          <w:rFonts w:eastAsia="Franklin Gothic Book" w:cs="Franklin Gothic Book"/>
        </w:rPr>
        <w:t xml:space="preserve">MSAC noted that </w:t>
      </w:r>
      <w:r w:rsidR="006F424D" w:rsidRPr="00345BB7">
        <w:t>PBAC recommended</w:t>
      </w:r>
      <w:r w:rsidR="00C335E4">
        <w:t xml:space="preserve"> PBS</w:t>
      </w:r>
      <w:r w:rsidR="006F424D" w:rsidRPr="00345BB7">
        <w:t xml:space="preserve"> </w:t>
      </w:r>
      <w:r w:rsidR="00A96400">
        <w:t xml:space="preserve">listing of </w:t>
      </w:r>
      <w:r w:rsidR="006F424D">
        <w:t>olaparib</w:t>
      </w:r>
      <w:r w:rsidR="006E3BA7">
        <w:t xml:space="preserve"> (a type of PARP inhibitor)</w:t>
      </w:r>
      <w:r w:rsidR="006F424D" w:rsidRPr="00345BB7">
        <w:t xml:space="preserve"> at its November 2023 meeting</w:t>
      </w:r>
      <w:r w:rsidRPr="7ABCC384">
        <w:rPr>
          <w:rFonts w:eastAsia="Franklin Gothic Book" w:cs="Franklin Gothic Book"/>
        </w:rPr>
        <w:t>. MSAC considered that it was appropriate for the eligible testing population to remain broader than the eligible population for PBS-subsidised olaparib as aligning the two populations may lead to delays in treatment initiation.</w:t>
      </w:r>
      <w:r w:rsidR="000B5B5A" w:rsidRPr="000B5B5A">
        <w:t xml:space="preserve"> </w:t>
      </w:r>
      <w:r w:rsidR="000B5B5A" w:rsidRPr="000B5B5A">
        <w:rPr>
          <w:rFonts w:eastAsia="Franklin Gothic Book" w:cs="Franklin Gothic Book"/>
        </w:rPr>
        <w:t xml:space="preserve">Concerns were noted by MSAC </w:t>
      </w:r>
      <w:r w:rsidR="000B5B5A" w:rsidRPr="000B5B5A">
        <w:rPr>
          <w:rFonts w:eastAsia="Franklin Gothic Book" w:cs="Franklin Gothic Book"/>
        </w:rPr>
        <w:lastRenderedPageBreak/>
        <w:t>previously that misalignment of the testing and treatment populations may be a cause for confusion in clinicians and disappointment in patients, despite knowing their gBRCA status.</w:t>
      </w:r>
      <w:r w:rsidRPr="7ABCC384">
        <w:rPr>
          <w:rFonts w:eastAsia="Franklin Gothic Book" w:cs="Franklin Gothic Book"/>
        </w:rPr>
        <w:t xml:space="preserve"> MSAC considered that</w:t>
      </w:r>
      <w:r w:rsidR="00843C0D">
        <w:rPr>
          <w:rFonts w:eastAsia="Franklin Gothic Book" w:cs="Franklin Gothic Book"/>
        </w:rPr>
        <w:t xml:space="preserve"> in light of PBAC’s support for </w:t>
      </w:r>
      <w:r w:rsidR="00C335E4">
        <w:rPr>
          <w:rFonts w:eastAsia="Franklin Gothic Book" w:cs="Franklin Gothic Book"/>
        </w:rPr>
        <w:t xml:space="preserve">PBS </w:t>
      </w:r>
      <w:r w:rsidR="00843C0D">
        <w:rPr>
          <w:rFonts w:eastAsia="Franklin Gothic Book" w:cs="Franklin Gothic Book"/>
        </w:rPr>
        <w:t xml:space="preserve">listing of </w:t>
      </w:r>
      <w:r w:rsidR="00C335E4">
        <w:rPr>
          <w:rFonts w:eastAsia="Franklin Gothic Book" w:cs="Franklin Gothic Book"/>
        </w:rPr>
        <w:t>o</w:t>
      </w:r>
      <w:r w:rsidR="00843C0D">
        <w:rPr>
          <w:rFonts w:eastAsia="Franklin Gothic Book" w:cs="Franklin Gothic Book"/>
        </w:rPr>
        <w:t>laparib,</w:t>
      </w:r>
      <w:r w:rsidRPr="7ABCC384">
        <w:rPr>
          <w:rFonts w:eastAsia="Franklin Gothic Book" w:cs="Franklin Gothic Book"/>
        </w:rPr>
        <w:t xml:space="preserve"> the amended item descriptor</w:t>
      </w:r>
      <w:r w:rsidR="007C54D2">
        <w:rPr>
          <w:rFonts w:eastAsia="Franklin Gothic Book" w:cs="Franklin Gothic Book"/>
        </w:rPr>
        <w:t xml:space="preserve"> </w:t>
      </w:r>
      <w:r w:rsidR="00B25E79">
        <w:rPr>
          <w:rFonts w:eastAsia="Franklin Gothic Book" w:cs="Franklin Gothic Book"/>
        </w:rPr>
        <w:t xml:space="preserve">to include </w:t>
      </w:r>
      <w:r w:rsidR="007C54D2">
        <w:rPr>
          <w:rFonts w:eastAsia="Franklin Gothic Book" w:cs="Franklin Gothic Book"/>
        </w:rPr>
        <w:t>gBRCA testing</w:t>
      </w:r>
      <w:r w:rsidRPr="7ABCC384">
        <w:rPr>
          <w:rFonts w:eastAsia="Franklin Gothic Book" w:cs="Franklin Gothic Book"/>
        </w:rPr>
        <w:t xml:space="preserve"> </w:t>
      </w:r>
      <w:r w:rsidR="002E76B0">
        <w:rPr>
          <w:rFonts w:eastAsia="Franklin Gothic Book" w:cs="Franklin Gothic Book"/>
        </w:rPr>
        <w:t xml:space="preserve"> </w:t>
      </w:r>
      <w:r w:rsidR="002E76B0" w:rsidRPr="4C75B400">
        <w:rPr>
          <w:rFonts w:eastAsia="Franklin Gothic Book" w:cs="Franklin Gothic Book"/>
        </w:rPr>
        <w:t>to determine eligibility for PARP inhibitors</w:t>
      </w:r>
      <w:r w:rsidR="002E76B0" w:rsidRPr="7ABCC384">
        <w:rPr>
          <w:rFonts w:eastAsia="Franklin Gothic Book" w:cs="Franklin Gothic Book"/>
        </w:rPr>
        <w:t xml:space="preserve"> </w:t>
      </w:r>
      <w:r w:rsidRPr="7ABCC384">
        <w:rPr>
          <w:rFonts w:eastAsia="Franklin Gothic Book" w:cs="Franklin Gothic Book"/>
        </w:rPr>
        <w:t xml:space="preserve">with a fee of $1200 as proposed by the Department of Health and Aged Care was appropriate and did not require further amendment. </w:t>
      </w:r>
    </w:p>
    <w:tbl>
      <w:tblPr>
        <w:tblStyle w:val="TableGrid"/>
        <w:tblW w:w="0" w:type="auto"/>
        <w:tblLook w:val="04A0" w:firstRow="1" w:lastRow="0" w:firstColumn="1" w:lastColumn="0" w:noHBand="0" w:noVBand="1"/>
      </w:tblPr>
      <w:tblGrid>
        <w:gridCol w:w="3458"/>
        <w:gridCol w:w="5558"/>
      </w:tblGrid>
      <w:tr w:rsidR="00A8338C" w:rsidRPr="00141B6E" w14:paraId="04989212" w14:textId="77777777" w:rsidTr="008B56CD">
        <w:tc>
          <w:tcPr>
            <w:tcW w:w="9016" w:type="dxa"/>
            <w:gridSpan w:val="2"/>
            <w:tcBorders>
              <w:top w:val="single" w:sz="4" w:space="0" w:color="auto"/>
              <w:left w:val="single" w:sz="4" w:space="0" w:color="auto"/>
              <w:bottom w:val="single" w:sz="4" w:space="0" w:color="auto"/>
              <w:right w:val="single" w:sz="4" w:space="0" w:color="auto"/>
            </w:tcBorders>
          </w:tcPr>
          <w:p w14:paraId="6A456DF7" w14:textId="77777777" w:rsidR="00A8338C" w:rsidRPr="00141B6E" w:rsidRDefault="00A8338C" w:rsidP="00715FC8">
            <w:pPr>
              <w:pStyle w:val="TableText1"/>
              <w:keepLines/>
              <w:spacing w:before="0" w:after="0"/>
              <w:jc w:val="right"/>
              <w:rPr>
                <w:rFonts w:cs="Arial"/>
                <w:sz w:val="20"/>
                <w:szCs w:val="20"/>
              </w:rPr>
            </w:pPr>
            <w:r w:rsidRPr="00141B6E">
              <w:rPr>
                <w:rFonts w:cs="Arial"/>
                <w:sz w:val="20"/>
                <w:szCs w:val="20"/>
              </w:rPr>
              <w:t>Category 6 – Pathology Services</w:t>
            </w:r>
          </w:p>
        </w:tc>
      </w:tr>
      <w:tr w:rsidR="00A8338C" w:rsidRPr="00141B6E" w14:paraId="568696DE" w14:textId="77777777" w:rsidTr="008B56CD">
        <w:tc>
          <w:tcPr>
            <w:tcW w:w="3458" w:type="dxa"/>
            <w:tcBorders>
              <w:top w:val="single" w:sz="4" w:space="0" w:color="auto"/>
              <w:left w:val="single" w:sz="4" w:space="0" w:color="auto"/>
              <w:bottom w:val="single" w:sz="4" w:space="0" w:color="auto"/>
              <w:right w:val="nil"/>
            </w:tcBorders>
          </w:tcPr>
          <w:p w14:paraId="6C28813F" w14:textId="77777777" w:rsidR="00A8338C" w:rsidRPr="00141B6E" w:rsidRDefault="00A8338C" w:rsidP="00715FC8">
            <w:pPr>
              <w:pStyle w:val="TableText1"/>
              <w:keepLines/>
              <w:spacing w:before="0" w:after="0"/>
              <w:rPr>
                <w:rFonts w:cs="Arial"/>
                <w:sz w:val="20"/>
                <w:szCs w:val="20"/>
              </w:rPr>
            </w:pPr>
            <w:r w:rsidRPr="00141B6E">
              <w:rPr>
                <w:rFonts w:cs="Arial"/>
                <w:sz w:val="20"/>
                <w:szCs w:val="20"/>
              </w:rPr>
              <w:t xml:space="preserve">MBS item </w:t>
            </w:r>
            <w:r>
              <w:rPr>
                <w:rFonts w:cs="Arial"/>
                <w:sz w:val="20"/>
                <w:szCs w:val="20"/>
              </w:rPr>
              <w:t>73295</w:t>
            </w:r>
          </w:p>
        </w:tc>
        <w:tc>
          <w:tcPr>
            <w:tcW w:w="5558" w:type="dxa"/>
            <w:tcBorders>
              <w:top w:val="single" w:sz="4" w:space="0" w:color="auto"/>
              <w:left w:val="nil"/>
              <w:bottom w:val="single" w:sz="4" w:space="0" w:color="auto"/>
              <w:right w:val="single" w:sz="4" w:space="0" w:color="auto"/>
            </w:tcBorders>
          </w:tcPr>
          <w:p w14:paraId="68F33D61" w14:textId="77777777" w:rsidR="00A8338C" w:rsidRPr="00141B6E" w:rsidRDefault="00A8338C" w:rsidP="00715FC8">
            <w:pPr>
              <w:pStyle w:val="TableText1"/>
              <w:keepLines/>
              <w:spacing w:before="0" w:after="0"/>
              <w:jc w:val="right"/>
              <w:rPr>
                <w:rFonts w:cs="Arial"/>
                <w:sz w:val="20"/>
                <w:szCs w:val="20"/>
              </w:rPr>
            </w:pPr>
            <w:r w:rsidRPr="00141B6E">
              <w:rPr>
                <w:rFonts w:cs="Arial"/>
                <w:sz w:val="20"/>
                <w:szCs w:val="20"/>
              </w:rPr>
              <w:t>Group P7 – Genetics</w:t>
            </w:r>
          </w:p>
        </w:tc>
      </w:tr>
      <w:tr w:rsidR="00A8338C" w:rsidRPr="00141B6E" w14:paraId="3EF1C26B" w14:textId="77777777" w:rsidTr="008B56CD">
        <w:tc>
          <w:tcPr>
            <w:tcW w:w="9016" w:type="dxa"/>
            <w:gridSpan w:val="2"/>
            <w:tcBorders>
              <w:top w:val="single" w:sz="4" w:space="0" w:color="auto"/>
              <w:left w:val="single" w:sz="4" w:space="0" w:color="auto"/>
              <w:bottom w:val="single" w:sz="4" w:space="0" w:color="auto"/>
              <w:right w:val="single" w:sz="4" w:space="0" w:color="auto"/>
            </w:tcBorders>
          </w:tcPr>
          <w:p w14:paraId="04569A52" w14:textId="77777777" w:rsidR="00A8338C" w:rsidRPr="009F6097" w:rsidRDefault="00A8338C" w:rsidP="00715FC8">
            <w:pPr>
              <w:pStyle w:val="TableText1"/>
              <w:keepLines/>
              <w:rPr>
                <w:rFonts w:cs="Arial"/>
                <w:sz w:val="20"/>
                <w:szCs w:val="20"/>
                <w:lang w:val="en-US"/>
              </w:rPr>
            </w:pPr>
            <w:r w:rsidRPr="009F6097">
              <w:rPr>
                <w:rFonts w:cs="Arial"/>
                <w:sz w:val="20"/>
                <w:szCs w:val="20"/>
                <w:lang w:val="en-US"/>
              </w:rPr>
              <w:t xml:space="preserve">Detection of germline </w:t>
            </w:r>
            <w:r w:rsidRPr="009F6097">
              <w:rPr>
                <w:rFonts w:cs="Arial"/>
                <w:i/>
                <w:iCs/>
                <w:sz w:val="20"/>
                <w:szCs w:val="20"/>
                <w:lang w:val="en-US"/>
              </w:rPr>
              <w:t>BRCA1</w:t>
            </w:r>
            <w:r w:rsidRPr="009F6097">
              <w:rPr>
                <w:rFonts w:cs="Arial"/>
                <w:sz w:val="20"/>
                <w:szCs w:val="20"/>
                <w:lang w:val="en-US"/>
              </w:rPr>
              <w:t xml:space="preserve"> or </w:t>
            </w:r>
            <w:r w:rsidRPr="009F6097">
              <w:rPr>
                <w:rFonts w:cs="Arial"/>
                <w:i/>
                <w:iCs/>
                <w:sz w:val="20"/>
                <w:szCs w:val="20"/>
                <w:lang w:val="en-US"/>
              </w:rPr>
              <w:t>BRCA2</w:t>
            </w:r>
            <w:r w:rsidRPr="009F6097">
              <w:rPr>
                <w:rFonts w:cs="Arial"/>
                <w:sz w:val="20"/>
                <w:szCs w:val="20"/>
                <w:lang w:val="en-US"/>
              </w:rPr>
              <w:t xml:space="preserve"> pathogenic or likely pathogenic gene variants, requested by a specialist or consultant physician, to determine eligibility for treatment with a poly (adenosine diphosphate [ADP]-ribose) polymerase (PARP) inhibitor under the Pharmaceutical Benefits Scheme (PBS), in a patient with: </w:t>
            </w:r>
          </w:p>
          <w:p w14:paraId="096ADCD6" w14:textId="77777777" w:rsidR="00A8338C" w:rsidRPr="009F6097" w:rsidRDefault="00A8338C" w:rsidP="00A8338C">
            <w:pPr>
              <w:pStyle w:val="TableText1"/>
              <w:keepLines/>
              <w:numPr>
                <w:ilvl w:val="0"/>
                <w:numId w:val="36"/>
              </w:numPr>
              <w:rPr>
                <w:rFonts w:cs="Arial"/>
                <w:sz w:val="20"/>
                <w:szCs w:val="20"/>
                <w:lang w:val="en-US"/>
              </w:rPr>
            </w:pPr>
            <w:r w:rsidRPr="009F6097">
              <w:rPr>
                <w:rFonts w:cs="Arial"/>
                <w:sz w:val="20"/>
                <w:szCs w:val="20"/>
                <w:lang w:val="en-US"/>
              </w:rPr>
              <w:t>advanced (FIGO III-IV) high-grade serous or high-grade epithelial ovarian, fallopian tube or primary peritoneal cancer for whom testing of tumour tissue is not feasible; or </w:t>
            </w:r>
          </w:p>
          <w:p w14:paraId="63A6B530" w14:textId="77777777" w:rsidR="00A8338C" w:rsidRPr="009F6097" w:rsidRDefault="00A8338C" w:rsidP="00A8338C">
            <w:pPr>
              <w:pStyle w:val="TableText1"/>
              <w:keepLines/>
              <w:numPr>
                <w:ilvl w:val="0"/>
                <w:numId w:val="36"/>
              </w:numPr>
              <w:rPr>
                <w:rFonts w:cs="Arial"/>
                <w:sz w:val="20"/>
                <w:szCs w:val="20"/>
                <w:lang w:val="en-US"/>
              </w:rPr>
            </w:pPr>
            <w:r w:rsidRPr="009F6097">
              <w:rPr>
                <w:rFonts w:cs="Arial"/>
                <w:sz w:val="20"/>
                <w:szCs w:val="20"/>
                <w:lang w:val="en-US"/>
              </w:rPr>
              <w:t>triple negative early breast cancer; or </w:t>
            </w:r>
          </w:p>
          <w:p w14:paraId="0D81DC2A" w14:textId="200AD400" w:rsidR="00A8338C" w:rsidRPr="009F6097" w:rsidRDefault="00A8338C" w:rsidP="00A8338C">
            <w:pPr>
              <w:pStyle w:val="TableText1"/>
              <w:keepLines/>
              <w:numPr>
                <w:ilvl w:val="0"/>
                <w:numId w:val="36"/>
              </w:numPr>
              <w:rPr>
                <w:rFonts w:cs="Arial"/>
                <w:sz w:val="20"/>
                <w:szCs w:val="20"/>
                <w:lang w:val="en-US"/>
              </w:rPr>
            </w:pPr>
            <w:r w:rsidRPr="009F6097">
              <w:rPr>
                <w:rFonts w:cs="Arial"/>
                <w:sz w:val="20"/>
                <w:szCs w:val="20"/>
                <w:lang w:val="en-US"/>
              </w:rPr>
              <w:t xml:space="preserve">hormone receptor positive, </w:t>
            </w:r>
            <w:r w:rsidRPr="009F6097">
              <w:rPr>
                <w:rFonts w:cs="Arial"/>
                <w:i/>
                <w:iCs/>
                <w:sz w:val="20"/>
                <w:szCs w:val="20"/>
                <w:lang w:val="en-US"/>
              </w:rPr>
              <w:t>HER2</w:t>
            </w:r>
            <w:r w:rsidRPr="009F6097">
              <w:rPr>
                <w:rFonts w:cs="Arial"/>
                <w:sz w:val="20"/>
                <w:szCs w:val="20"/>
                <w:lang w:val="en-US"/>
              </w:rPr>
              <w:t>-negative, early breast cancer with one or more high-risk characteristics </w:t>
            </w:r>
          </w:p>
          <w:p w14:paraId="62D70C70" w14:textId="504718F0" w:rsidR="00A8338C" w:rsidRPr="009F6097" w:rsidRDefault="00A8338C" w:rsidP="00715FC8">
            <w:pPr>
              <w:pStyle w:val="TableText1"/>
              <w:keepLines/>
              <w:rPr>
                <w:rFonts w:cs="Arial"/>
                <w:sz w:val="20"/>
                <w:szCs w:val="20"/>
                <w:lang w:val="en-US"/>
              </w:rPr>
            </w:pPr>
            <w:r w:rsidRPr="009F6097">
              <w:rPr>
                <w:rFonts w:cs="Arial"/>
                <w:sz w:val="20"/>
                <w:szCs w:val="20"/>
                <w:lang w:val="en-US"/>
              </w:rPr>
              <w:t> requested by a specialist or consultant physician, to determine eligibility for treatment with a poly (adenosine diphosphate [ADP]-ribose) polymerase (PARP) inhibitor under the Pharmaceutical Benefits Scheme (PBS)</w:t>
            </w:r>
          </w:p>
          <w:p w14:paraId="320EFFE4" w14:textId="278A8105" w:rsidR="00A8338C" w:rsidRPr="009F6097" w:rsidRDefault="00A8338C" w:rsidP="008B56CD">
            <w:pPr>
              <w:pStyle w:val="TableText1"/>
              <w:keepLines/>
              <w:spacing w:before="240" w:after="240"/>
              <w:rPr>
                <w:rFonts w:cs="Arial"/>
                <w:sz w:val="20"/>
                <w:szCs w:val="20"/>
                <w:lang w:val="en-US"/>
              </w:rPr>
            </w:pPr>
            <w:r w:rsidRPr="009F6097">
              <w:rPr>
                <w:rFonts w:cs="Arial"/>
                <w:sz w:val="20"/>
                <w:szCs w:val="20"/>
                <w:lang w:val="en-US"/>
              </w:rPr>
              <w:t>Maximum of one test per patient’s lifetime. </w:t>
            </w:r>
          </w:p>
          <w:p w14:paraId="047B9EFB" w14:textId="77777777" w:rsidR="00A8338C" w:rsidRPr="009F6097" w:rsidRDefault="00A8338C" w:rsidP="00715FC8">
            <w:pPr>
              <w:pStyle w:val="TableText1"/>
              <w:keepLines/>
              <w:rPr>
                <w:rFonts w:cs="Arial"/>
                <w:sz w:val="20"/>
                <w:szCs w:val="20"/>
                <w:lang w:val="en-US"/>
              </w:rPr>
            </w:pPr>
            <w:r w:rsidRPr="009F6097">
              <w:rPr>
                <w:rFonts w:cs="Arial"/>
                <w:sz w:val="20"/>
                <w:szCs w:val="20"/>
                <w:lang w:val="en-US"/>
              </w:rPr>
              <w:t>Fee: $1,200.00</w:t>
            </w:r>
          </w:p>
          <w:p w14:paraId="158EABCC" w14:textId="77777777" w:rsidR="00A8338C" w:rsidRPr="009F6097" w:rsidRDefault="00A8338C" w:rsidP="00715FC8">
            <w:pPr>
              <w:pStyle w:val="TableText1"/>
              <w:keepLines/>
              <w:rPr>
                <w:rFonts w:cs="Arial"/>
                <w:sz w:val="20"/>
                <w:szCs w:val="20"/>
                <w:lang w:val="en-US"/>
              </w:rPr>
            </w:pPr>
            <w:r w:rsidRPr="009F6097">
              <w:rPr>
                <w:rFonts w:cs="Arial"/>
                <w:sz w:val="20"/>
                <w:szCs w:val="20"/>
                <w:lang w:val="en-US"/>
              </w:rPr>
              <w:t>Benefit: 75% = $900.00 85% = $1,106.80 $1,101.30 </w:t>
            </w:r>
          </w:p>
          <w:p w14:paraId="1D6175D2" w14:textId="77777777" w:rsidR="00A8338C" w:rsidRPr="009F6097" w:rsidRDefault="00A8338C" w:rsidP="00715FC8">
            <w:pPr>
              <w:pStyle w:val="TableText1"/>
              <w:keepLines/>
              <w:spacing w:before="240" w:after="0"/>
              <w:rPr>
                <w:rFonts w:cs="Arial"/>
                <w:sz w:val="20"/>
                <w:szCs w:val="20"/>
              </w:rPr>
            </w:pPr>
            <w:r w:rsidRPr="009F6097">
              <w:rPr>
                <w:rFonts w:eastAsiaTheme="minorHAnsi" w:cs="Arial"/>
                <w:sz w:val="20"/>
                <w:szCs w:val="20"/>
                <w:lang w:val="en-US" w:eastAsia="en-US"/>
              </w:rPr>
              <w:t>(See para PN.0.23 of explanatory notes to this Category)</w:t>
            </w:r>
          </w:p>
        </w:tc>
      </w:tr>
      <w:tr w:rsidR="00A8338C" w:rsidRPr="00141B6E" w14:paraId="2E914607" w14:textId="77777777" w:rsidTr="008B56CD">
        <w:tc>
          <w:tcPr>
            <w:tcW w:w="9016" w:type="dxa"/>
            <w:gridSpan w:val="2"/>
            <w:tcBorders>
              <w:top w:val="single" w:sz="4" w:space="0" w:color="auto"/>
              <w:left w:val="single" w:sz="4" w:space="0" w:color="auto"/>
              <w:bottom w:val="single" w:sz="4" w:space="0" w:color="auto"/>
              <w:right w:val="single" w:sz="4" w:space="0" w:color="auto"/>
            </w:tcBorders>
          </w:tcPr>
          <w:p w14:paraId="5BBC6780" w14:textId="77777777" w:rsidR="00A8338C" w:rsidRPr="00141B6E" w:rsidRDefault="00A8338C" w:rsidP="00715FC8">
            <w:pPr>
              <w:pStyle w:val="TableText1"/>
              <w:keepLines/>
              <w:spacing w:before="0" w:after="0"/>
              <w:rPr>
                <w:rFonts w:cs="Arial"/>
                <w:b/>
                <w:bCs/>
                <w:sz w:val="20"/>
                <w:szCs w:val="20"/>
              </w:rPr>
            </w:pPr>
            <w:r w:rsidRPr="00141B6E">
              <w:rPr>
                <w:rFonts w:cs="Arial"/>
                <w:b/>
                <w:bCs/>
                <w:sz w:val="20"/>
                <w:szCs w:val="20"/>
              </w:rPr>
              <w:t xml:space="preserve">Explanatory </w:t>
            </w:r>
            <w:r w:rsidRPr="71EE27CB">
              <w:rPr>
                <w:rFonts w:cs="Arial"/>
                <w:b/>
                <w:bCs/>
                <w:sz w:val="20"/>
                <w:szCs w:val="20"/>
              </w:rPr>
              <w:t>note PN.0.27</w:t>
            </w:r>
          </w:p>
          <w:p w14:paraId="65DB712A" w14:textId="77777777" w:rsidR="00A8338C" w:rsidRPr="00141B6E" w:rsidRDefault="00A8338C" w:rsidP="00715FC8">
            <w:pPr>
              <w:pStyle w:val="TableText1"/>
              <w:keepLines/>
              <w:spacing w:before="0" w:after="0"/>
              <w:rPr>
                <w:rFonts w:cs="Arial"/>
                <w:sz w:val="20"/>
                <w:szCs w:val="20"/>
              </w:rPr>
            </w:pPr>
            <w:r w:rsidRPr="00141B6E">
              <w:rPr>
                <w:rFonts w:cs="Arial"/>
                <w:sz w:val="20"/>
                <w:szCs w:val="20"/>
              </w:rPr>
              <w:t xml:space="preserve">Patients who are found to have </w:t>
            </w:r>
            <w:r w:rsidRPr="71EE27CB">
              <w:rPr>
                <w:rFonts w:cs="Arial"/>
                <w:sz w:val="20"/>
                <w:szCs w:val="20"/>
                <w:lang w:val="en-US"/>
              </w:rPr>
              <w:t xml:space="preserve">any form of affected allele </w:t>
            </w:r>
            <w:r w:rsidRPr="00141B6E">
              <w:rPr>
                <w:rFonts w:cs="Arial"/>
                <w:sz w:val="20"/>
                <w:szCs w:val="20"/>
              </w:rPr>
              <w:t>should be referred for post-test genetic counselling as there may be implications for other family members. Appropriate genetic counselling should be provided to the patient either by the specialist treating practitioner, a genetic counselling service or a clinical geneticist.</w:t>
            </w:r>
          </w:p>
        </w:tc>
      </w:tr>
    </w:tbl>
    <w:p w14:paraId="5A9B20F0" w14:textId="0C4B71DB" w:rsidR="009166BF" w:rsidRDefault="009166BF" w:rsidP="00CB5FB7">
      <w:pPr>
        <w:spacing w:after="240"/>
        <w:rPr>
          <w:iCs/>
        </w:rPr>
      </w:pPr>
    </w:p>
    <w:tbl>
      <w:tblPr>
        <w:tblStyle w:val="TableGrid"/>
        <w:tblW w:w="0" w:type="auto"/>
        <w:tblLook w:val="04A0" w:firstRow="1" w:lastRow="0" w:firstColumn="1" w:lastColumn="0" w:noHBand="0" w:noVBand="1"/>
        <w:tblDescription w:val="Consumer summary of MSAC consideration"/>
      </w:tblPr>
      <w:tblGrid>
        <w:gridCol w:w="9016"/>
      </w:tblGrid>
      <w:tr w:rsidR="00CB5FB7" w:rsidRPr="00AF46D8" w14:paraId="016CC908" w14:textId="77777777" w:rsidTr="40F721B4">
        <w:trPr>
          <w:tblHeader/>
        </w:trPr>
        <w:tc>
          <w:tcPr>
            <w:tcW w:w="9016" w:type="dxa"/>
          </w:tcPr>
          <w:p w14:paraId="4B7277DA" w14:textId="77777777" w:rsidR="00CB5FB7" w:rsidRPr="00AF46D8" w:rsidRDefault="00CB5FB7" w:rsidP="006A51BF">
            <w:pPr>
              <w:pStyle w:val="Heading3"/>
              <w:spacing w:before="120"/>
              <w:ind w:left="720" w:hanging="720"/>
              <w:rPr>
                <w:iCs/>
              </w:rPr>
            </w:pPr>
            <w:r w:rsidRPr="00AF46D8">
              <w:t>Consumer summary</w:t>
            </w:r>
          </w:p>
        </w:tc>
      </w:tr>
      <w:tr w:rsidR="00CB5FB7" w:rsidRPr="00AF46D8" w14:paraId="061D758B" w14:textId="77777777" w:rsidTr="40F721B4">
        <w:tc>
          <w:tcPr>
            <w:tcW w:w="9016" w:type="dxa"/>
          </w:tcPr>
          <w:p w14:paraId="1A2920DD" w14:textId="6F975283" w:rsidR="00D2112D" w:rsidRDefault="00D2112D" w:rsidP="00D2112D">
            <w:r w:rsidRPr="00AF46D8">
              <w:t xml:space="preserve">This </w:t>
            </w:r>
            <w:r>
              <w:t>wa</w:t>
            </w:r>
            <w:r w:rsidRPr="00AF46D8">
              <w:t xml:space="preserve">s </w:t>
            </w:r>
            <w:r w:rsidR="001366BD">
              <w:t>the</w:t>
            </w:r>
            <w:r w:rsidRPr="00AF46D8">
              <w:t xml:space="preserve"> </w:t>
            </w:r>
            <w:r w:rsidR="002E7BE7">
              <w:t>second submission</w:t>
            </w:r>
            <w:r w:rsidR="004C246D">
              <w:t xml:space="preserve"> </w:t>
            </w:r>
            <w:r w:rsidR="001366BD">
              <w:t xml:space="preserve">(resubmission) </w:t>
            </w:r>
            <w:r w:rsidRPr="00AF46D8">
              <w:t xml:space="preserve">from </w:t>
            </w:r>
            <w:r>
              <w:t>AstraZeneca</w:t>
            </w:r>
            <w:r w:rsidRPr="00AF46D8">
              <w:t xml:space="preserve"> requesting </w:t>
            </w:r>
            <w:r>
              <w:t>an expansion of Medicare Benefits Schedule (MBS) item 73295 to include people</w:t>
            </w:r>
            <w:r w:rsidRPr="002D7F05">
              <w:t xml:space="preserve"> with triple</w:t>
            </w:r>
            <w:r>
              <w:t>-</w:t>
            </w:r>
            <w:r w:rsidRPr="002D7F05">
              <w:t>negative early breast cancer (TNBC) or hormone receptor (HR)</w:t>
            </w:r>
            <w:r>
              <w:t>-</w:t>
            </w:r>
            <w:r w:rsidRPr="002D7F05">
              <w:t xml:space="preserve">positive, </w:t>
            </w:r>
            <w:r w:rsidRPr="008A50C8">
              <w:t>HER2</w:t>
            </w:r>
            <w:r w:rsidRPr="002D7F05">
              <w:t>-negative early breast cancer with high</w:t>
            </w:r>
            <w:r>
              <w:t>-</w:t>
            </w:r>
            <w:r w:rsidRPr="002D7F05">
              <w:t>risk characteristics of high</w:t>
            </w:r>
            <w:r>
              <w:t>-</w:t>
            </w:r>
            <w:r w:rsidRPr="002D7F05">
              <w:t>grade tumour</w:t>
            </w:r>
            <w:r>
              <w:t xml:space="preserve">, to determine if they </w:t>
            </w:r>
            <w:r w:rsidR="001366BD">
              <w:t>are eligible for</w:t>
            </w:r>
            <w:r>
              <w:t xml:space="preserve"> a medicine called olaparib (a type of PARP inhibitor). This was a codependent submission to MSAC and the Pharmaceutical Benefits Advisory Committee (PBAC).</w:t>
            </w:r>
            <w:r w:rsidR="001366BD">
              <w:t xml:space="preserve"> The was </w:t>
            </w:r>
            <w:r w:rsidR="00400C0E">
              <w:t>first considered by MSAC in March 2023.</w:t>
            </w:r>
          </w:p>
          <w:p w14:paraId="36DE74C2" w14:textId="0005F9E0" w:rsidR="00D2112D" w:rsidRDefault="00D2112D" w:rsidP="00D2112D">
            <w:r>
              <w:t xml:space="preserve">MBS item 73295 is for genetic testing for </w:t>
            </w:r>
            <w:r w:rsidRPr="002D7F05">
              <w:t xml:space="preserve">germline </w:t>
            </w:r>
            <w:r w:rsidR="00CA0639" w:rsidRPr="00775448">
              <w:t>(inherited)</w:t>
            </w:r>
            <w:r w:rsidR="00CA0639">
              <w:t xml:space="preserve"> </w:t>
            </w:r>
            <w:r w:rsidRPr="002D7F05">
              <w:rPr>
                <w:i/>
                <w:iCs/>
              </w:rPr>
              <w:t>BRCA1</w:t>
            </w:r>
            <w:r w:rsidRPr="002D7F05">
              <w:t xml:space="preserve"> or </w:t>
            </w:r>
            <w:r w:rsidRPr="002D7F05">
              <w:rPr>
                <w:i/>
                <w:iCs/>
              </w:rPr>
              <w:t>BRCA2</w:t>
            </w:r>
            <w:r w:rsidRPr="002D7F05">
              <w:t xml:space="preserve"> pathogenic or likely pathogenic gene variants</w:t>
            </w:r>
            <w:r>
              <w:t xml:space="preserve"> in people with </w:t>
            </w:r>
            <w:r w:rsidRPr="0071070A">
              <w:t>advanced (FIGO</w:t>
            </w:r>
            <w:r>
              <w:t> </w:t>
            </w:r>
            <w:r w:rsidRPr="0071070A">
              <w:t>III</w:t>
            </w:r>
            <w:r>
              <w:t>–</w:t>
            </w:r>
            <w:r w:rsidRPr="0071070A">
              <w:t>IV) high-grade serous or high-grade epithelial ovarian, fallopian tube or primary peritoneal cancer</w:t>
            </w:r>
            <w:r>
              <w:t xml:space="preserve">, for </w:t>
            </w:r>
            <w:r w:rsidR="00CA0639">
              <w:t xml:space="preserve">funded </w:t>
            </w:r>
            <w:r>
              <w:t xml:space="preserve">access to PARP inhibitors. </w:t>
            </w:r>
          </w:p>
          <w:p w14:paraId="0EF6619C" w14:textId="747F4BCE" w:rsidR="00D2112D" w:rsidRDefault="00D2112D" w:rsidP="00D2112D">
            <w:r>
              <w:t xml:space="preserve">A genetic variant is a permanent difference in a gene’s DNA sequence. A genetic variant can be inherited (called a germline variant) if it is present in a person’s egg or sperm, </w:t>
            </w:r>
            <w:r w:rsidR="001547DD">
              <w:t xml:space="preserve">and becomes incorporated into the DNA of cells throughout the body of their children, </w:t>
            </w:r>
            <w:r>
              <w:t xml:space="preserve">or it can </w:t>
            </w:r>
            <w:r w:rsidR="1136C088">
              <w:t>develop</w:t>
            </w:r>
            <w:r w:rsidR="1201C094">
              <w:t xml:space="preserve"> during an individual’s lifetime</w:t>
            </w:r>
            <w:r>
              <w:t xml:space="preserve"> in the cells of the body that do not pass on DNA to the person’s children (called a somatic variant). </w:t>
            </w:r>
            <w:r w:rsidR="001547DD">
              <w:t>If a variant has the potential to cause disease, it is called a pathogenic variant (if germline), or a variant of clinical significance (if somatic).</w:t>
            </w:r>
            <w:r w:rsidR="00CA0639">
              <w:t xml:space="preserve"> </w:t>
            </w:r>
            <w:r w:rsidR="005A269C">
              <w:t xml:space="preserve">Olaparib comes from a family of medications called PARP inhibitors. </w:t>
            </w:r>
            <w:r>
              <w:t xml:space="preserve">Some drugs are more likely to work better if the person has certain </w:t>
            </w:r>
            <w:r w:rsidR="00B9379C">
              <w:t xml:space="preserve">genetic </w:t>
            </w:r>
            <w:r>
              <w:t xml:space="preserve">variants. In this case, drugs called PARP inhibitors, such as olaparib, work for people with </w:t>
            </w:r>
            <w:r w:rsidR="00CA0639">
              <w:t xml:space="preserve">pathogenic </w:t>
            </w:r>
            <w:r>
              <w:t xml:space="preserve">variants in their </w:t>
            </w:r>
            <w:r w:rsidRPr="00BB7397">
              <w:rPr>
                <w:i/>
                <w:iCs/>
              </w:rPr>
              <w:t>BRCA1</w:t>
            </w:r>
            <w:r>
              <w:t xml:space="preserve"> or </w:t>
            </w:r>
            <w:r w:rsidRPr="00BB7397">
              <w:rPr>
                <w:i/>
                <w:iCs/>
              </w:rPr>
              <w:t>BR</w:t>
            </w:r>
            <w:r>
              <w:rPr>
                <w:i/>
                <w:iCs/>
              </w:rPr>
              <w:t>C</w:t>
            </w:r>
            <w:r w:rsidRPr="00BB7397">
              <w:rPr>
                <w:i/>
                <w:iCs/>
              </w:rPr>
              <w:t>A2</w:t>
            </w:r>
            <w:r>
              <w:t xml:space="preserve"> genes.  </w:t>
            </w:r>
          </w:p>
          <w:p w14:paraId="1D0B5486" w14:textId="185D4BC2" w:rsidR="00D2112D" w:rsidRPr="00345BB7" w:rsidRDefault="00D2112D" w:rsidP="00D2112D">
            <w:r>
              <w:lastRenderedPageBreak/>
              <w:t xml:space="preserve">Because this test is for germline pathogenic variants, MSAC considered it appropriate that </w:t>
            </w:r>
            <w:r w:rsidR="00CA0639">
              <w:t xml:space="preserve">testing for the particular </w:t>
            </w:r>
            <w:r w:rsidRPr="00D860CD">
              <w:rPr>
                <w:i/>
                <w:iCs/>
              </w:rPr>
              <w:t>BRCA1</w:t>
            </w:r>
            <w:r>
              <w:rPr>
                <w:i/>
                <w:iCs/>
              </w:rPr>
              <w:t xml:space="preserve"> </w:t>
            </w:r>
            <w:r>
              <w:t>and</w:t>
            </w:r>
            <w:r>
              <w:rPr>
                <w:i/>
                <w:iCs/>
              </w:rPr>
              <w:t xml:space="preserve"> BRCA</w:t>
            </w:r>
            <w:r w:rsidRPr="00D860CD">
              <w:rPr>
                <w:i/>
                <w:iCs/>
              </w:rPr>
              <w:t>2</w:t>
            </w:r>
            <w:r>
              <w:rPr>
                <w:i/>
                <w:iCs/>
              </w:rPr>
              <w:t xml:space="preserve"> </w:t>
            </w:r>
            <w:r w:rsidR="00CA0639">
              <w:t>variant is</w:t>
            </w:r>
            <w:r>
              <w:t xml:space="preserve"> available for biological relatives</w:t>
            </w:r>
            <w:r w:rsidR="00CA0639">
              <w:t xml:space="preserve"> (cascade testing)</w:t>
            </w:r>
            <w:r>
              <w:t xml:space="preserve">. This is because </w:t>
            </w:r>
            <w:r w:rsidR="00CA0639">
              <w:t xml:space="preserve">relatives who carry </w:t>
            </w:r>
            <w:r>
              <w:t>pathogenic variants in the</w:t>
            </w:r>
            <w:r w:rsidR="00CA0639">
              <w:t>ir</w:t>
            </w:r>
            <w:r>
              <w:t xml:space="preserve"> </w:t>
            </w:r>
            <w:r w:rsidR="001547DD">
              <w:t xml:space="preserve">germline </w:t>
            </w:r>
            <w:r w:rsidRPr="00D860CD">
              <w:rPr>
                <w:i/>
                <w:iCs/>
              </w:rPr>
              <w:t>BRCA</w:t>
            </w:r>
            <w:r>
              <w:t xml:space="preserve"> genes </w:t>
            </w:r>
            <w:r w:rsidR="00CA0639">
              <w:t>have an increased</w:t>
            </w:r>
            <w:r w:rsidRPr="00345BB7">
              <w:t xml:space="preserve"> chance of developing certain types of cancer.</w:t>
            </w:r>
          </w:p>
          <w:p w14:paraId="56B64AA8" w14:textId="2A768ACD" w:rsidR="00D2112D" w:rsidRDefault="00D2112D" w:rsidP="00D2112D">
            <w:r w:rsidRPr="00345BB7">
              <w:t xml:space="preserve">MSAC and the PBAC agreed that olaparib appeared to </w:t>
            </w:r>
            <w:r>
              <w:t>help</w:t>
            </w:r>
            <w:r w:rsidRPr="00345BB7">
              <w:t xml:space="preserve"> this group of patients surviv</w:t>
            </w:r>
            <w:r>
              <w:t>e</w:t>
            </w:r>
            <w:r w:rsidRPr="00345BB7">
              <w:t xml:space="preserve"> longer, and it appeared to be safe. MSAC considered the test itself to be effective and safe. MSAC also noted that the PBAC</w:t>
            </w:r>
            <w:r w:rsidR="00A96400">
              <w:t xml:space="preserve"> supported </w:t>
            </w:r>
            <w:r w:rsidR="00DA6851">
              <w:t xml:space="preserve">Pharmaceutical Benefits Scheme </w:t>
            </w:r>
            <w:r w:rsidR="00AD7A1C">
              <w:t>(</w:t>
            </w:r>
            <w:r w:rsidR="00A96400">
              <w:t>PBS</w:t>
            </w:r>
            <w:r w:rsidR="00AD7A1C">
              <w:t>)</w:t>
            </w:r>
            <w:r w:rsidR="00A96400">
              <w:t xml:space="preserve"> listing of </w:t>
            </w:r>
            <w:r>
              <w:t>olaparib</w:t>
            </w:r>
            <w:r w:rsidRPr="00345BB7">
              <w:t xml:space="preserve"> at its November 2023 meeting</w:t>
            </w:r>
            <w:r>
              <w:t xml:space="preserve">, prompting MSAC to </w:t>
            </w:r>
            <w:r w:rsidR="00AD7A1C">
              <w:t>support expanding MBS item 732</w:t>
            </w:r>
            <w:r w:rsidR="0046495E">
              <w:t xml:space="preserve">95 </w:t>
            </w:r>
            <w:r w:rsidR="005A5C8A">
              <w:t xml:space="preserve">for public funding of the </w:t>
            </w:r>
            <w:r>
              <w:t xml:space="preserve">accompanying genetic test to </w:t>
            </w:r>
            <w:r w:rsidR="005A5C8A">
              <w:t>determine eligibility for olaparib</w:t>
            </w:r>
            <w:r>
              <w:t>.</w:t>
            </w:r>
          </w:p>
          <w:p w14:paraId="62B69BD2" w14:textId="77777777" w:rsidR="00CB5FB7" w:rsidRPr="00AF46D8" w:rsidRDefault="00CB5FB7" w:rsidP="006A51BF">
            <w:pPr>
              <w:pStyle w:val="Heading3"/>
              <w:ind w:left="720" w:hanging="720"/>
            </w:pPr>
            <w:r w:rsidRPr="00AF46D8">
              <w:t>MSAC’s advice to the Commonwealth Minister for Health</w:t>
            </w:r>
            <w:r>
              <w:t xml:space="preserve"> and Aged Care</w:t>
            </w:r>
          </w:p>
          <w:p w14:paraId="1284A793" w14:textId="4EF6F966" w:rsidR="00CB5FB7" w:rsidRPr="00AF46D8" w:rsidRDefault="005C496B" w:rsidP="006A51BF">
            <w:pPr>
              <w:spacing w:after="120"/>
            </w:pPr>
            <w:r w:rsidRPr="00AF46D8">
              <w:t>MSAC supported</w:t>
            </w:r>
            <w:r>
              <w:t xml:space="preserve"> expanding MBS item 73295 to include people</w:t>
            </w:r>
            <w:r w:rsidRPr="002D7F05">
              <w:t xml:space="preserve"> with triple</w:t>
            </w:r>
            <w:r>
              <w:t>-</w:t>
            </w:r>
            <w:r w:rsidRPr="002D7F05">
              <w:t>negative early breast cancer (TNBC) or hormone receptor (HR)</w:t>
            </w:r>
            <w:r>
              <w:t>-</w:t>
            </w:r>
            <w:r w:rsidRPr="002D7F05">
              <w:t xml:space="preserve">positive, </w:t>
            </w:r>
            <w:r w:rsidRPr="004920BC">
              <w:t>HER2</w:t>
            </w:r>
            <w:r w:rsidRPr="002D7F05">
              <w:t>-negative early breast cancer with high</w:t>
            </w:r>
            <w:r>
              <w:t>-</w:t>
            </w:r>
            <w:r w:rsidRPr="002D7F05">
              <w:t>risk characteristics of high</w:t>
            </w:r>
            <w:r>
              <w:t>-</w:t>
            </w:r>
            <w:r w:rsidRPr="002D7F05">
              <w:t>grade tumour</w:t>
            </w:r>
            <w:r>
              <w:t>, to determine if they can access olaparib on the PBS. MSAC considered the genetic testing to be safe, effective and good value for money.</w:t>
            </w:r>
          </w:p>
        </w:tc>
      </w:tr>
    </w:tbl>
    <w:p w14:paraId="467C1AAF" w14:textId="77777777" w:rsidR="00CB5FB7" w:rsidRDefault="00CB5FB7" w:rsidP="00CB5FB7">
      <w:pPr>
        <w:pStyle w:val="Heading2"/>
        <w:numPr>
          <w:ilvl w:val="1"/>
          <w:numId w:val="0"/>
        </w:numPr>
      </w:pPr>
      <w:r>
        <w:lastRenderedPageBreak/>
        <w:t>3.</w:t>
      </w:r>
      <w:r>
        <w:tab/>
        <w:t>Summary of consideration and rationale for MSAC’s advice</w:t>
      </w:r>
    </w:p>
    <w:p w14:paraId="23942F50" w14:textId="3ED5BD8B" w:rsidR="00177D88" w:rsidRPr="00345BB7" w:rsidRDefault="00177D88" w:rsidP="00177D88">
      <w:r w:rsidRPr="00516D4E">
        <w:t>MSAC</w:t>
      </w:r>
      <w:r>
        <w:t xml:space="preserve"> noted that this was a streamlined, codependent application from AstraZeneca Pty Ltd </w:t>
      </w:r>
      <w:r w:rsidRPr="002D7F05">
        <w:t>request</w:t>
      </w:r>
      <w:r>
        <w:t xml:space="preserve">ing </w:t>
      </w:r>
      <w:r w:rsidRPr="00260AF7">
        <w:t>MBS</w:t>
      </w:r>
      <w:r w:rsidRPr="002D7F05">
        <w:t xml:space="preserve"> listing to </w:t>
      </w:r>
      <w:r w:rsidR="004467A3">
        <w:t>detect</w:t>
      </w:r>
      <w:r w:rsidRPr="002D7F05">
        <w:t xml:space="preserve"> germline </w:t>
      </w:r>
      <w:r w:rsidRPr="002D7F05">
        <w:rPr>
          <w:i/>
          <w:iCs/>
        </w:rPr>
        <w:t>BRCA1</w:t>
      </w:r>
      <w:r w:rsidRPr="002D7F05">
        <w:t xml:space="preserve"> or </w:t>
      </w:r>
      <w:r w:rsidRPr="002D7F05">
        <w:rPr>
          <w:i/>
          <w:iCs/>
        </w:rPr>
        <w:t>BRCA2</w:t>
      </w:r>
      <w:r w:rsidRPr="002D7F05">
        <w:t xml:space="preserve"> </w:t>
      </w:r>
      <w:r w:rsidR="00DA6444">
        <w:t>(</w:t>
      </w:r>
      <w:r w:rsidR="00DA6444" w:rsidRPr="000E600F">
        <w:rPr>
          <w:i/>
          <w:iCs/>
        </w:rPr>
        <w:t>gBRCA1/2</w:t>
      </w:r>
      <w:r w:rsidR="00DA6444">
        <w:t xml:space="preserve">) </w:t>
      </w:r>
      <w:r w:rsidRPr="002D7F05">
        <w:t>pathogenic or likely pathogenic</w:t>
      </w:r>
      <w:r w:rsidR="00EF4E53">
        <w:t xml:space="preserve"> (P/LP)</w:t>
      </w:r>
      <w:r w:rsidRPr="002D7F05">
        <w:t xml:space="preserve"> gene variants in a patient with triple</w:t>
      </w:r>
      <w:r>
        <w:t>-</w:t>
      </w:r>
      <w:r w:rsidRPr="002D7F05">
        <w:t>negative early breast cancer (TNBC) or hormone receptor (HR)</w:t>
      </w:r>
      <w:r>
        <w:t>-</w:t>
      </w:r>
      <w:r w:rsidRPr="002D7F05">
        <w:t xml:space="preserve">positive, </w:t>
      </w:r>
      <w:r w:rsidRPr="005649F9">
        <w:t>HER2</w:t>
      </w:r>
      <w:r w:rsidRPr="002D7F05">
        <w:t>-negative early breast cancer with high</w:t>
      </w:r>
      <w:r>
        <w:t>-</w:t>
      </w:r>
      <w:r w:rsidRPr="002D7F05">
        <w:t>risk characteristics of high</w:t>
      </w:r>
      <w:r>
        <w:t>-</w:t>
      </w:r>
      <w:r w:rsidRPr="002D7F05">
        <w:t>grade tumour (Grade</w:t>
      </w:r>
      <w:r>
        <w:t> </w:t>
      </w:r>
      <w:r w:rsidRPr="002D7F05">
        <w:t>3) and/or large tumour size (≥2</w:t>
      </w:r>
      <w:r>
        <w:t> </w:t>
      </w:r>
      <w:r w:rsidRPr="002D7F05">
        <w:t xml:space="preserve">cm) and/or pathologically involved lymph nodes and/or high recurrence score (multigene assay), requested by a specialist or consultant physician, to determine eligibility for olaparib under the </w:t>
      </w:r>
      <w:r>
        <w:t>Pharmaceutical Benefits Scheme (</w:t>
      </w:r>
      <w:r w:rsidRPr="002D7F05">
        <w:t>PBS</w:t>
      </w:r>
      <w:r>
        <w:t>)</w:t>
      </w:r>
      <w:r w:rsidRPr="002D7F05">
        <w:t>.</w:t>
      </w:r>
      <w:r>
        <w:t xml:space="preserve"> MSAC recalled that it </w:t>
      </w:r>
      <w:r w:rsidR="00CF60C1">
        <w:t>had</w:t>
      </w:r>
      <w:r>
        <w:t xml:space="preserve"> deferred its decision in March 2023 </w:t>
      </w:r>
      <w:r w:rsidRPr="00345BB7">
        <w:t xml:space="preserve">and foreshadowed that </w:t>
      </w:r>
      <w:r>
        <w:t xml:space="preserve">it </w:t>
      </w:r>
      <w:r w:rsidRPr="00345BB7">
        <w:t xml:space="preserve">would </w:t>
      </w:r>
      <w:r>
        <w:t xml:space="preserve">support the application </w:t>
      </w:r>
      <w:r w:rsidRPr="00345BB7">
        <w:t xml:space="preserve">if the </w:t>
      </w:r>
      <w:r>
        <w:t>Pharmaceutical Benefits Advisory Committee (</w:t>
      </w:r>
      <w:r w:rsidRPr="00345BB7">
        <w:t>PBAC</w:t>
      </w:r>
      <w:r>
        <w:t>)</w:t>
      </w:r>
      <w:r w:rsidRPr="00345BB7">
        <w:t xml:space="preserve"> recommended the PBS listing of olaparib for the patients in this population who have previously been treated with neoadjuvant or adjuvant chemotherapy. </w:t>
      </w:r>
      <w:r>
        <w:t xml:space="preserve">MSAC also requested that the applicant provide </w:t>
      </w:r>
      <w:r w:rsidR="004274D1">
        <w:t xml:space="preserve">further </w:t>
      </w:r>
      <w:r w:rsidRPr="00345BB7">
        <w:t>information on the projected patient numbers, cost of the test</w:t>
      </w:r>
      <w:r w:rsidR="00C312AB">
        <w:t>, cascade testing costs</w:t>
      </w:r>
      <w:r w:rsidRPr="00345BB7">
        <w:t xml:space="preserve"> and other testing requirements.</w:t>
      </w:r>
    </w:p>
    <w:p w14:paraId="6B0788CD" w14:textId="6497D5EC" w:rsidR="00AC6703" w:rsidRDefault="00177D88" w:rsidP="00177D88">
      <w:r>
        <w:t>MSAC noted that h</w:t>
      </w:r>
      <w:r w:rsidRPr="0096493D">
        <w:t>igh</w:t>
      </w:r>
      <w:r>
        <w:t>-</w:t>
      </w:r>
      <w:r w:rsidRPr="0096493D">
        <w:t xml:space="preserve">risk breast cancers such as </w:t>
      </w:r>
      <w:r>
        <w:t>TNBCs</w:t>
      </w:r>
      <w:r w:rsidRPr="0096493D">
        <w:t xml:space="preserve"> are more likely to occur in younger women and be associated with </w:t>
      </w:r>
      <w:r w:rsidR="00EF4E53">
        <w:t>P/LP</w:t>
      </w:r>
      <w:r w:rsidR="00EF4E53" w:rsidRPr="0096493D">
        <w:t xml:space="preserve"> </w:t>
      </w:r>
      <w:r w:rsidRPr="0096493D">
        <w:t xml:space="preserve">variants in </w:t>
      </w:r>
      <w:r w:rsidR="00DA6444">
        <w:t>g</w:t>
      </w:r>
      <w:r w:rsidRPr="0096493D">
        <w:rPr>
          <w:i/>
          <w:iCs/>
        </w:rPr>
        <w:t>BRCA1</w:t>
      </w:r>
      <w:r w:rsidRPr="0096493D">
        <w:t xml:space="preserve"> and </w:t>
      </w:r>
      <w:r w:rsidR="00DA6444">
        <w:t>g</w:t>
      </w:r>
      <w:r w:rsidRPr="0096493D">
        <w:rPr>
          <w:i/>
          <w:iCs/>
        </w:rPr>
        <w:t>BRCA2</w:t>
      </w:r>
      <w:r w:rsidR="00D569A2">
        <w:rPr>
          <w:i/>
          <w:iCs/>
        </w:rPr>
        <w:t xml:space="preserve"> </w:t>
      </w:r>
      <w:r w:rsidR="00D569A2" w:rsidRPr="000E600F">
        <w:t>genes</w:t>
      </w:r>
      <w:r>
        <w:t>, and that p</w:t>
      </w:r>
      <w:r w:rsidRPr="0096493D">
        <w:t xml:space="preserve">atients with </w:t>
      </w:r>
      <w:r w:rsidR="00EF4E53">
        <w:t>P/LP</w:t>
      </w:r>
      <w:r w:rsidR="00EF4E53" w:rsidRPr="0096493D">
        <w:t xml:space="preserve"> </w:t>
      </w:r>
      <w:r w:rsidRPr="0096493D">
        <w:t xml:space="preserve">variants in </w:t>
      </w:r>
      <w:r w:rsidRPr="0096493D">
        <w:rPr>
          <w:i/>
          <w:iCs/>
        </w:rPr>
        <w:t>BRCA1</w:t>
      </w:r>
      <w:r w:rsidRPr="0096493D">
        <w:t xml:space="preserve"> and </w:t>
      </w:r>
      <w:r w:rsidRPr="0096493D">
        <w:rPr>
          <w:i/>
          <w:iCs/>
        </w:rPr>
        <w:t>BRCA2</w:t>
      </w:r>
      <w:r w:rsidRPr="0096493D">
        <w:t xml:space="preserve"> genes are more likely to respond to treatment with </w:t>
      </w:r>
      <w:r w:rsidR="00584D9D">
        <w:t>poly-ADP</w:t>
      </w:r>
      <w:r w:rsidR="0098427B">
        <w:t xml:space="preserve"> ribose polymerase (</w:t>
      </w:r>
      <w:r w:rsidRPr="0096493D">
        <w:t>PARP</w:t>
      </w:r>
      <w:r w:rsidR="0098427B">
        <w:t>)</w:t>
      </w:r>
      <w:r w:rsidRPr="0096493D">
        <w:t xml:space="preserve"> inhibitors such as </w:t>
      </w:r>
      <w:r>
        <w:t>o</w:t>
      </w:r>
      <w:r w:rsidRPr="0096493D">
        <w:t>laparib.</w:t>
      </w:r>
      <w:r>
        <w:t xml:space="preserve"> </w:t>
      </w:r>
      <w:r w:rsidRPr="0096493D">
        <w:t xml:space="preserve">Identifying </w:t>
      </w:r>
      <w:r w:rsidR="00502E01">
        <w:t>P/LP</w:t>
      </w:r>
      <w:r w:rsidR="00502E01" w:rsidRPr="0096493D">
        <w:t xml:space="preserve"> </w:t>
      </w:r>
      <w:r w:rsidRPr="0096493D">
        <w:t xml:space="preserve">variants requires sequencing of </w:t>
      </w:r>
      <w:r w:rsidR="00502E01" w:rsidRPr="0096493D">
        <w:t>the</w:t>
      </w:r>
      <w:r w:rsidR="00502E01">
        <w:t xml:space="preserve"> </w:t>
      </w:r>
      <w:r w:rsidR="00502E01" w:rsidRPr="000E600F">
        <w:rPr>
          <w:i/>
          <w:iCs/>
        </w:rPr>
        <w:t>BRCA1/2</w:t>
      </w:r>
      <w:r w:rsidR="00502E01" w:rsidRPr="0096493D">
        <w:t xml:space="preserve"> </w:t>
      </w:r>
      <w:r w:rsidRPr="0096493D">
        <w:t>genes</w:t>
      </w:r>
      <w:r>
        <w:t>,</w:t>
      </w:r>
      <w:r w:rsidRPr="0096493D">
        <w:t xml:space="preserve"> and may also need a technique such as</w:t>
      </w:r>
      <w:r>
        <w:t xml:space="preserve"> m</w:t>
      </w:r>
      <w:r w:rsidRPr="00BA26C3">
        <w:t>ultiplex ligation-dependent probe amplification</w:t>
      </w:r>
      <w:r w:rsidRPr="0096493D">
        <w:t xml:space="preserve"> </w:t>
      </w:r>
      <w:r>
        <w:t>(</w:t>
      </w:r>
      <w:r w:rsidRPr="0096493D">
        <w:t>MLPA</w:t>
      </w:r>
      <w:r>
        <w:t>)</w:t>
      </w:r>
      <w:r w:rsidRPr="0096493D">
        <w:t xml:space="preserve"> to identify deletions.</w:t>
      </w:r>
      <w:r>
        <w:t xml:space="preserve"> </w:t>
      </w:r>
      <w:r w:rsidR="00D3589B">
        <w:t>MSAC noted that g</w:t>
      </w:r>
      <w:r w:rsidR="00D3589B" w:rsidRPr="00D3589B">
        <w:t xml:space="preserve">ermline and somatic </w:t>
      </w:r>
      <w:r w:rsidR="00D3589B" w:rsidRPr="000E600F">
        <w:rPr>
          <w:i/>
        </w:rPr>
        <w:t xml:space="preserve">BRCA1 </w:t>
      </w:r>
      <w:r w:rsidR="00D3589B" w:rsidRPr="00D3589B">
        <w:t xml:space="preserve">and </w:t>
      </w:r>
      <w:r w:rsidR="00D3589B" w:rsidRPr="000E600F">
        <w:rPr>
          <w:i/>
        </w:rPr>
        <w:t>BRCA2</w:t>
      </w:r>
      <w:r w:rsidR="00D3589B" w:rsidRPr="00D3589B">
        <w:t xml:space="preserve"> testing is used in routine clinical practice for patients with a number of cancers, including breast, ovarian and prostate</w:t>
      </w:r>
      <w:r w:rsidR="003025EC">
        <w:t xml:space="preserve"> and s</w:t>
      </w:r>
      <w:r w:rsidR="00D3589B" w:rsidRPr="00D3589B">
        <w:t xml:space="preserve">equencing is already funded under the MBS </w:t>
      </w:r>
      <w:r w:rsidR="00E66463">
        <w:t xml:space="preserve">items </w:t>
      </w:r>
      <w:r w:rsidR="00D3589B" w:rsidRPr="00D3589B">
        <w:t>73295, 73296, 73304 and single variant testing under MBS items 73297 (cascade) and 73302 (somatic positive</w:t>
      </w:r>
      <w:r w:rsidR="003025EC">
        <w:t xml:space="preserve">). </w:t>
      </w:r>
    </w:p>
    <w:p w14:paraId="06E7CA6F" w14:textId="1E0C65E6" w:rsidR="00177D88" w:rsidRDefault="003025EC" w:rsidP="00177D88">
      <w:r>
        <w:t>MSAC considered that the proposed t</w:t>
      </w:r>
      <w:r w:rsidRPr="0096493D">
        <w:t xml:space="preserve">esting will address unmet </w:t>
      </w:r>
      <w:r w:rsidR="00AC6703">
        <w:t xml:space="preserve">clinical </w:t>
      </w:r>
      <w:r w:rsidRPr="0096493D">
        <w:t xml:space="preserve">needs for women </w:t>
      </w:r>
      <w:r w:rsidR="00B54EF3">
        <w:t xml:space="preserve">at high risk of </w:t>
      </w:r>
      <w:r w:rsidRPr="0096493D">
        <w:t xml:space="preserve">HER2 negative early breast cancer </w:t>
      </w:r>
      <w:r>
        <w:t>by</w:t>
      </w:r>
      <w:r w:rsidRPr="0096493D">
        <w:t xml:space="preserve"> enabl</w:t>
      </w:r>
      <w:r>
        <w:t>ing</w:t>
      </w:r>
      <w:r w:rsidRPr="0096493D">
        <w:t xml:space="preserve"> access to PARP inhibitors</w:t>
      </w:r>
      <w:r>
        <w:t>.</w:t>
      </w:r>
      <w:r w:rsidR="00DD41B7">
        <w:t xml:space="preserve"> MSAC noted that this population (</w:t>
      </w:r>
      <w:r w:rsidR="006B3C6C" w:rsidRPr="0096493D">
        <w:t xml:space="preserve">women </w:t>
      </w:r>
      <w:r w:rsidR="00CA0639">
        <w:t>with</w:t>
      </w:r>
      <w:r w:rsidR="00B54EF3">
        <w:t xml:space="preserve"> </w:t>
      </w:r>
      <w:r w:rsidR="006B3C6C" w:rsidRPr="0096493D">
        <w:t>HER2 negative early breast cancer</w:t>
      </w:r>
      <w:r w:rsidR="00834FA5">
        <w:t xml:space="preserve">) included </w:t>
      </w:r>
      <w:r w:rsidR="000E1D63">
        <w:t xml:space="preserve">women </w:t>
      </w:r>
      <w:r w:rsidR="00CA0639">
        <w:t>with</w:t>
      </w:r>
      <w:r w:rsidR="000E1D63">
        <w:t xml:space="preserve"> triple negative breast cancers </w:t>
      </w:r>
      <w:r w:rsidR="00311926">
        <w:t>(TNBC)</w:t>
      </w:r>
      <w:r w:rsidR="00CA0639">
        <w:t xml:space="preserve">. </w:t>
      </w:r>
      <w:r w:rsidR="005D5924">
        <w:t>TNBC</w:t>
      </w:r>
      <w:r w:rsidR="008D2F4B">
        <w:t xml:space="preserve">s </w:t>
      </w:r>
      <w:r w:rsidR="00453A7E" w:rsidRPr="00453A7E">
        <w:t>are typically more aggressive and more common among younger women, with a 60% 5-year survival rate and 40% relapse rate</w:t>
      </w:r>
      <w:r w:rsidR="00307BB6">
        <w:t xml:space="preserve">. </w:t>
      </w:r>
    </w:p>
    <w:p w14:paraId="054DCAE9" w14:textId="77777777" w:rsidR="00177D88" w:rsidRDefault="00177D88" w:rsidP="00177D88">
      <w:r>
        <w:lastRenderedPageBreak/>
        <w:t>MSAC noted the proposed fee of $1,200 in the original submission was decreased to $1,000 in the resubmission. However, after stakeholder feedback, the fee was increased back to $1,200. MSAC agreed with the higher fee, because MLPA would sometimes be required. MSAC also considered the proposed MBS item descriptor to be appropriate.</w:t>
      </w:r>
    </w:p>
    <w:p w14:paraId="146E042B" w14:textId="77777777" w:rsidR="00177D88" w:rsidRDefault="00177D88" w:rsidP="00177D88">
      <w:r>
        <w:t>MSAC noted the applicant’s</w:t>
      </w:r>
      <w:r w:rsidRPr="00BA26C3">
        <w:t xml:space="preserve"> propos</w:t>
      </w:r>
      <w:r>
        <w:t>al</w:t>
      </w:r>
      <w:r w:rsidRPr="00BA26C3">
        <w:t xml:space="preserve"> to merge all MBS items related to detection of germline </w:t>
      </w:r>
      <w:r w:rsidRPr="00BA26C3">
        <w:rPr>
          <w:i/>
          <w:iCs/>
        </w:rPr>
        <w:t>BRCA1</w:t>
      </w:r>
      <w:r w:rsidRPr="00BA26C3">
        <w:t xml:space="preserve"> or </w:t>
      </w:r>
      <w:r w:rsidRPr="00BA26C3">
        <w:rPr>
          <w:i/>
          <w:iCs/>
        </w:rPr>
        <w:t>BRCA2</w:t>
      </w:r>
      <w:r w:rsidRPr="00BA26C3">
        <w:t xml:space="preserve"> pathogenic or likely pathogenic gene variants</w:t>
      </w:r>
      <w:r>
        <w:t>.</w:t>
      </w:r>
      <w:r w:rsidRPr="00BA26C3">
        <w:t xml:space="preserve"> </w:t>
      </w:r>
      <w:r>
        <w:t>This would cover</w:t>
      </w:r>
      <w:r w:rsidRPr="00BA26C3">
        <w:t xml:space="preserve"> patient</w:t>
      </w:r>
      <w:r>
        <w:t>s</w:t>
      </w:r>
      <w:r w:rsidRPr="00BA26C3">
        <w:t xml:space="preserve"> with advanced (FIGO</w:t>
      </w:r>
      <w:r>
        <w:t> </w:t>
      </w:r>
      <w:r w:rsidRPr="00BA26C3">
        <w:t>III</w:t>
      </w:r>
      <w:r>
        <w:t>–</w:t>
      </w:r>
      <w:r w:rsidRPr="00BA26C3">
        <w:t>IV) high-grade serous or high-grade epithelial ovarian, fallopian tube or primary peritoneal cancer</w:t>
      </w:r>
      <w:r>
        <w:t>;</w:t>
      </w:r>
      <w:r w:rsidRPr="00BA26C3">
        <w:t xml:space="preserve"> metastatic castration</w:t>
      </w:r>
      <w:r w:rsidRPr="00BA26C3">
        <w:rPr>
          <w:rFonts w:ascii="Cambria Math" w:hAnsi="Cambria Math" w:cs="Cambria Math"/>
        </w:rPr>
        <w:t>‑</w:t>
      </w:r>
      <w:r w:rsidRPr="00BA26C3">
        <w:t>resistant prostate cancer</w:t>
      </w:r>
      <w:r>
        <w:t>;</w:t>
      </w:r>
      <w:r w:rsidRPr="00BA26C3">
        <w:t xml:space="preserve"> </w:t>
      </w:r>
      <w:r>
        <w:t>TNBC;</w:t>
      </w:r>
      <w:r w:rsidRPr="00BA26C3">
        <w:t xml:space="preserve"> and </w:t>
      </w:r>
      <w:r>
        <w:t>HR-</w:t>
      </w:r>
      <w:r w:rsidRPr="00BA26C3">
        <w:t xml:space="preserve">positive, </w:t>
      </w:r>
      <w:r w:rsidRPr="000E600F">
        <w:t>HER2</w:t>
      </w:r>
      <w:r w:rsidRPr="00BA26C3">
        <w:t>-negative early breast cancer with at least one of the following high-risk characteristics</w:t>
      </w:r>
      <w:r>
        <w:t>:</w:t>
      </w:r>
      <w:r w:rsidRPr="00BA26C3">
        <w:t xml:space="preserve"> (i) tumour histological grading of at least 3; (ii) tumour size of greater than 2</w:t>
      </w:r>
      <w:r>
        <w:t> </w:t>
      </w:r>
      <w:r w:rsidRPr="00BA26C3">
        <w:t>cm; or (iii) one or more axillary lymph node metastases</w:t>
      </w:r>
      <w:r>
        <w:t xml:space="preserve">. MSAC considered that one </w:t>
      </w:r>
      <w:r w:rsidRPr="00C7230D">
        <w:t>g</w:t>
      </w:r>
      <w:r w:rsidRPr="00C7230D">
        <w:rPr>
          <w:i/>
          <w:iCs/>
        </w:rPr>
        <w:t>BRCA</w:t>
      </w:r>
      <w:r w:rsidRPr="00C7230D">
        <w:t xml:space="preserve"> </w:t>
      </w:r>
      <w:r>
        <w:t>MBS</w:t>
      </w:r>
      <w:r w:rsidRPr="00C7230D">
        <w:t xml:space="preserve"> item </w:t>
      </w:r>
      <w:r>
        <w:t xml:space="preserve">would be appropriate. </w:t>
      </w:r>
    </w:p>
    <w:p w14:paraId="5BA2AFF3" w14:textId="0BC84BB0" w:rsidR="00177D88" w:rsidRDefault="00510FC6" w:rsidP="00177D88">
      <w:r>
        <w:t xml:space="preserve">MSAC noted that prespecifying the </w:t>
      </w:r>
      <w:r w:rsidRPr="00510FC6">
        <w:t>risk of inherited cancer predisposition was</w:t>
      </w:r>
      <w:r w:rsidR="009C182F">
        <w:t xml:space="preserve"> historically used to</w:t>
      </w:r>
      <w:r w:rsidRPr="00510FC6">
        <w:t xml:space="preserve"> decide who should access testing</w:t>
      </w:r>
      <w:r w:rsidR="009C182F">
        <w:t xml:space="preserve"> dating from when such </w:t>
      </w:r>
      <w:r w:rsidRPr="00510FC6">
        <w:t>testing was very expensive</w:t>
      </w:r>
      <w:r w:rsidR="009C182F">
        <w:t xml:space="preserve">. </w:t>
      </w:r>
      <w:r w:rsidR="00A55CEC">
        <w:t xml:space="preserve">MSAC agreed with the Department that </w:t>
      </w:r>
      <w:r w:rsidR="003808BB">
        <w:t xml:space="preserve">details of </w:t>
      </w:r>
      <w:r w:rsidR="00A55CEC" w:rsidRPr="00AD16E2">
        <w:t>the</w:t>
      </w:r>
      <w:r w:rsidR="00A55CEC">
        <w:t xml:space="preserve"> specific</w:t>
      </w:r>
      <w:r w:rsidR="00A55CEC" w:rsidRPr="00AD16E2">
        <w:t xml:space="preserve"> ‘high risk’ characteristics of breast cancer can be </w:t>
      </w:r>
      <w:r w:rsidR="00A55CEC">
        <w:t xml:space="preserve">omitted </w:t>
      </w:r>
      <w:r w:rsidR="00A55CEC" w:rsidRPr="00AD16E2">
        <w:t>from the proposed new item descriptor</w:t>
      </w:r>
      <w:r w:rsidR="00A55CEC">
        <w:t xml:space="preserve"> </w:t>
      </w:r>
      <w:r w:rsidR="003808BB">
        <w:rPr>
          <w:bCs/>
        </w:rPr>
        <w:t xml:space="preserve">as </w:t>
      </w:r>
      <w:r w:rsidR="00A55CEC">
        <w:rPr>
          <w:bCs/>
        </w:rPr>
        <w:t xml:space="preserve">whether a patient is at ‘high risk’ </w:t>
      </w:r>
      <w:r w:rsidR="003808BB">
        <w:rPr>
          <w:bCs/>
        </w:rPr>
        <w:t>is based on the</w:t>
      </w:r>
      <w:r w:rsidR="00A55CEC">
        <w:rPr>
          <w:bCs/>
        </w:rPr>
        <w:t xml:space="preserve"> expert clinical opinion of the requesting specialist or consultant physician</w:t>
      </w:r>
      <w:r w:rsidR="00A55CEC">
        <w:t xml:space="preserve">. </w:t>
      </w:r>
      <w:r w:rsidR="007B010E">
        <w:t xml:space="preserve">MSAC further considered that </w:t>
      </w:r>
      <w:r w:rsidR="00AA5007" w:rsidRPr="00AA5007">
        <w:t>it is appropriate for the eligible population for testing to remain broader than the eligible population for PBS treatment, noting that aligning the two populations may lead to delays in treatment initiation</w:t>
      </w:r>
      <w:r w:rsidR="00AA5007">
        <w:t xml:space="preserve">. </w:t>
      </w:r>
      <w:r w:rsidR="00177D88">
        <w:t>MSAC noted the clinical management algorithm and the comparator (no testing). Because this test is for g</w:t>
      </w:r>
      <w:r w:rsidR="00177D88" w:rsidRPr="000C7313">
        <w:rPr>
          <w:i/>
          <w:iCs/>
        </w:rPr>
        <w:t>BRCA</w:t>
      </w:r>
      <w:r w:rsidR="00527F79">
        <w:t xml:space="preserve"> P/LP </w:t>
      </w:r>
      <w:r w:rsidR="00177D88">
        <w:t xml:space="preserve">variants, MSAC considered it appropriate that </w:t>
      </w:r>
      <w:r w:rsidR="00177D88" w:rsidRPr="00D860CD">
        <w:rPr>
          <w:i/>
          <w:iCs/>
        </w:rPr>
        <w:t>BRCA1</w:t>
      </w:r>
      <w:r w:rsidR="00177D88">
        <w:rPr>
          <w:i/>
          <w:iCs/>
        </w:rPr>
        <w:t xml:space="preserve"> </w:t>
      </w:r>
      <w:r w:rsidR="00177D88" w:rsidRPr="009131FB">
        <w:t>and</w:t>
      </w:r>
      <w:r w:rsidR="00177D88">
        <w:rPr>
          <w:i/>
          <w:iCs/>
        </w:rPr>
        <w:t xml:space="preserve"> BRCA</w:t>
      </w:r>
      <w:r w:rsidR="00177D88" w:rsidRPr="00D860CD">
        <w:rPr>
          <w:i/>
          <w:iCs/>
        </w:rPr>
        <w:t>2</w:t>
      </w:r>
      <w:r w:rsidR="00177D88">
        <w:rPr>
          <w:i/>
          <w:iCs/>
        </w:rPr>
        <w:t xml:space="preserve"> </w:t>
      </w:r>
      <w:r w:rsidR="00177D88">
        <w:t>cascade testing be available for biological relatives</w:t>
      </w:r>
      <w:r w:rsidR="00527F79">
        <w:t xml:space="preserve"> of </w:t>
      </w:r>
      <w:r w:rsidR="0093501F" w:rsidRPr="000E600F">
        <w:rPr>
          <w:i/>
          <w:iCs/>
        </w:rPr>
        <w:t>gBRCA</w:t>
      </w:r>
      <w:r w:rsidR="0093501F">
        <w:t xml:space="preserve"> positive patients</w:t>
      </w:r>
      <w:r w:rsidR="00177D88">
        <w:t>.</w:t>
      </w:r>
    </w:p>
    <w:p w14:paraId="0B44DE50" w14:textId="71843CED" w:rsidR="00177D88" w:rsidRDefault="00177D88" w:rsidP="00177D88">
      <w:r>
        <w:t>MSAC noted that n</w:t>
      </w:r>
      <w:r w:rsidRPr="0096493D">
        <w:t xml:space="preserve">o additional safety data </w:t>
      </w:r>
      <w:r>
        <w:t xml:space="preserve">were </w:t>
      </w:r>
      <w:r w:rsidR="00B7106B">
        <w:t>included</w:t>
      </w:r>
      <w:r>
        <w:t xml:space="preserve"> in</w:t>
      </w:r>
      <w:r w:rsidRPr="0096493D">
        <w:t xml:space="preserve"> the resubmission to support the comparative safety of g</w:t>
      </w:r>
      <w:r w:rsidRPr="0096493D">
        <w:rPr>
          <w:i/>
          <w:iCs/>
        </w:rPr>
        <w:t>BRCA</w:t>
      </w:r>
      <w:r w:rsidRPr="0096493D">
        <w:t xml:space="preserve"> testing. </w:t>
      </w:r>
      <w:r>
        <w:t xml:space="preserve">MSAC previously considered </w:t>
      </w:r>
      <w:r w:rsidRPr="0096493D">
        <w:t xml:space="preserve">that adverse events </w:t>
      </w:r>
      <w:r>
        <w:t xml:space="preserve">(AEs) </w:t>
      </w:r>
      <w:r w:rsidRPr="0096493D">
        <w:t>resulting from the testing procedure were unlikely</w:t>
      </w:r>
      <w:r>
        <w:t>,</w:t>
      </w:r>
      <w:r w:rsidRPr="0096493D">
        <w:t xml:space="preserve"> and that the </w:t>
      </w:r>
      <w:r w:rsidR="003808BB">
        <w:t>accuracy</w:t>
      </w:r>
      <w:r w:rsidRPr="0096493D">
        <w:t xml:space="preserve"> of </w:t>
      </w:r>
      <w:r w:rsidR="00CF7791">
        <w:t xml:space="preserve">contemporary </w:t>
      </w:r>
      <w:r w:rsidRPr="0096493D">
        <w:t xml:space="preserve">testing </w:t>
      </w:r>
      <w:r w:rsidR="003808BB">
        <w:t xml:space="preserve">and variant curation </w:t>
      </w:r>
      <w:r>
        <w:t xml:space="preserve">meant </w:t>
      </w:r>
      <w:r w:rsidRPr="0096493D">
        <w:t>downstream safety concerns resulting from false positive or false negative test results</w:t>
      </w:r>
      <w:r>
        <w:t xml:space="preserve"> were unlikely. MSAC noted t</w:t>
      </w:r>
      <w:r w:rsidRPr="0096493D">
        <w:t>he commentary</w:t>
      </w:r>
      <w:r>
        <w:t xml:space="preserve">’s observation </w:t>
      </w:r>
      <w:r w:rsidRPr="0096493D">
        <w:t>that the claim of inferior, but manageable</w:t>
      </w:r>
      <w:r>
        <w:t>,</w:t>
      </w:r>
      <w:r w:rsidRPr="0096493D">
        <w:t xml:space="preserve"> safety for olaparib compared to placebo was supported by the evidence</w:t>
      </w:r>
      <w:r w:rsidR="0022615C">
        <w:t xml:space="preserve"> </w:t>
      </w:r>
      <w:r w:rsidR="0022615C" w:rsidRPr="0096493D">
        <w:t>presented</w:t>
      </w:r>
      <w:r>
        <w:t>.</w:t>
      </w:r>
      <w:r w:rsidRPr="0096493D">
        <w:t xml:space="preserve"> </w:t>
      </w:r>
      <w:r>
        <w:t>I</w:t>
      </w:r>
      <w:r w:rsidRPr="0096493D">
        <w:t>n the OlympiA trial</w:t>
      </w:r>
      <w:r>
        <w:t> – </w:t>
      </w:r>
      <w:r w:rsidRPr="0096493D">
        <w:t xml:space="preserve">a randomised controlled trial </w:t>
      </w:r>
      <w:r>
        <w:t>(RCT) that</w:t>
      </w:r>
      <w:r w:rsidRPr="0096493D">
        <w:t xml:space="preserve"> compared olaparib to placebo in high-risk </w:t>
      </w:r>
      <w:r w:rsidRPr="005649F9">
        <w:t>HER2</w:t>
      </w:r>
      <w:r>
        <w:t>-negative</w:t>
      </w:r>
      <w:r w:rsidRPr="0096493D">
        <w:t xml:space="preserve"> early breast cancer patients who </w:t>
      </w:r>
      <w:r w:rsidR="001C62A7" w:rsidRPr="0096493D">
        <w:t>ha</w:t>
      </w:r>
      <w:r w:rsidR="001C62A7">
        <w:t>d</w:t>
      </w:r>
      <w:r w:rsidR="001C62A7" w:rsidRPr="0096493D">
        <w:t xml:space="preserve"> </w:t>
      </w:r>
      <w:r w:rsidRPr="0096493D">
        <w:t>g</w:t>
      </w:r>
      <w:r w:rsidRPr="0096493D">
        <w:rPr>
          <w:i/>
          <w:iCs/>
        </w:rPr>
        <w:t>BRCA</w:t>
      </w:r>
      <w:r w:rsidRPr="0096493D">
        <w:t xml:space="preserve"> variants and who had received adjuvant or neoadjuvant chemotherapy</w:t>
      </w:r>
      <w:r>
        <w:t> – </w:t>
      </w:r>
      <w:r w:rsidRPr="0096493D">
        <w:t>patients receiving olaparib had more treatment-related AEs overall (80.8% vs 53.1%)</w:t>
      </w:r>
      <w:r>
        <w:t>.</w:t>
      </w:r>
    </w:p>
    <w:p w14:paraId="6C115F27" w14:textId="77777777" w:rsidR="00177D88" w:rsidRDefault="00177D88" w:rsidP="00177D88">
      <w:r>
        <w:t>MSAC also noted that t</w:t>
      </w:r>
      <w:r w:rsidRPr="0096493D">
        <w:t>he clinical evidence presented in the PBAC resubmission remained based on the OlympiA trial. No updated data from this trial were provided.</w:t>
      </w:r>
      <w:r>
        <w:t xml:space="preserve"> However, MSAC previously accepted that </w:t>
      </w:r>
      <w:r w:rsidRPr="00700151">
        <w:t>g</w:t>
      </w:r>
      <w:r w:rsidRPr="00700151">
        <w:rPr>
          <w:i/>
          <w:iCs/>
        </w:rPr>
        <w:t>BRCA</w:t>
      </w:r>
      <w:r w:rsidRPr="00700151">
        <w:t xml:space="preserve"> testing</w:t>
      </w:r>
      <w:r>
        <w:t xml:space="preserve"> was safe and effective. MSAC also noted that t</w:t>
      </w:r>
      <w:r w:rsidRPr="00700151">
        <w:t xml:space="preserve">he PBAC previously considered that a claim of superior efficacy was supported for olaparib compared with placebo, based on immature </w:t>
      </w:r>
      <w:r>
        <w:t xml:space="preserve">invasive disease-free </w:t>
      </w:r>
      <w:r w:rsidRPr="00220D9D">
        <w:t xml:space="preserve">survival data. </w:t>
      </w:r>
      <w:r>
        <w:t>Although</w:t>
      </w:r>
      <w:r w:rsidRPr="00700151">
        <w:t xml:space="preserve"> the data presented </w:t>
      </w:r>
      <w:r>
        <w:t>ha</w:t>
      </w:r>
      <w:r w:rsidRPr="00700151">
        <w:t>d not change</w:t>
      </w:r>
      <w:r>
        <w:t>d</w:t>
      </w:r>
      <w:r w:rsidRPr="00700151">
        <w:t xml:space="preserve"> since the previous submission (and so remain</w:t>
      </w:r>
      <w:r>
        <w:t>ed</w:t>
      </w:r>
      <w:r w:rsidRPr="00700151">
        <w:t xml:space="preserve"> immature), th</w:t>
      </w:r>
      <w:r>
        <w:t>e</w:t>
      </w:r>
      <w:r w:rsidRPr="00700151">
        <w:t xml:space="preserve"> claim </w:t>
      </w:r>
      <w:r>
        <w:t>of superior efficacy was</w:t>
      </w:r>
      <w:r w:rsidRPr="00700151">
        <w:t xml:space="preserve"> supported by the evidence presented.</w:t>
      </w:r>
    </w:p>
    <w:p w14:paraId="717C4EEE" w14:textId="02BFE656" w:rsidR="00177D88" w:rsidRDefault="00177D88" w:rsidP="00177D88">
      <w:r>
        <w:t>MSAC noted that t</w:t>
      </w:r>
      <w:r w:rsidRPr="00F20194">
        <w:t xml:space="preserve">he PBAC resubmission presented a stepped economic evaluation </w:t>
      </w:r>
      <w:r>
        <w:t>that</w:t>
      </w:r>
      <w:r w:rsidRPr="00F20194">
        <w:t xml:space="preserve"> </w:t>
      </w:r>
      <w:r>
        <w:t xml:space="preserve">also </w:t>
      </w:r>
      <w:r w:rsidRPr="00F20194">
        <w:t xml:space="preserve">remained based on the OlympiA </w:t>
      </w:r>
      <w:r>
        <w:t>RCT</w:t>
      </w:r>
      <w:r w:rsidRPr="00F20194">
        <w:t xml:space="preserve">. The economic evaluation was a cost-effectiveness analysis and a cost-utility analysis. The structure of the model was unchanged from that presented previously, </w:t>
      </w:r>
      <w:r>
        <w:t>which was</w:t>
      </w:r>
      <w:r w:rsidRPr="00F20194">
        <w:t xml:space="preserve"> a semi-Markov model with time varying transition probabilities and a</w:t>
      </w:r>
      <w:r w:rsidR="008B56CD">
        <w:br/>
      </w:r>
      <w:r w:rsidRPr="00F20194">
        <w:t xml:space="preserve">40-year time horizon in the base case. </w:t>
      </w:r>
      <w:r>
        <w:t>The incremental cost-effectiveness ratio (</w:t>
      </w:r>
      <w:r w:rsidRPr="00F20194">
        <w:t>ICER</w:t>
      </w:r>
      <w:r>
        <w:t>)</w:t>
      </w:r>
      <w:r w:rsidRPr="00F20194">
        <w:t xml:space="preserve"> was moderately sensitive to accounting for the difference in the population eligible for testing and that eligible for treatment. </w:t>
      </w:r>
      <w:r>
        <w:t>MSAC</w:t>
      </w:r>
      <w:r w:rsidRPr="00F20194">
        <w:t xml:space="preserve"> acknowledged that this analysis does not </w:t>
      </w:r>
      <w:r>
        <w:t>consider</w:t>
      </w:r>
      <w:r w:rsidRPr="00F20194">
        <w:t xml:space="preserve"> the other benefits associated with identifying g</w:t>
      </w:r>
      <w:r w:rsidRPr="00F20194">
        <w:rPr>
          <w:i/>
          <w:iCs/>
        </w:rPr>
        <w:t>BRCA</w:t>
      </w:r>
      <w:r w:rsidRPr="00F20194">
        <w:t xml:space="preserve"> variants beyond access to olaparib treatment (such </w:t>
      </w:r>
      <w:r w:rsidRPr="00F20194">
        <w:lastRenderedPageBreak/>
        <w:t>as increased monitoring for other cancers and preventative actions</w:t>
      </w:r>
      <w:r>
        <w:t xml:space="preserve">, </w:t>
      </w:r>
      <w:r w:rsidRPr="00F20194">
        <w:t>e.g.</w:t>
      </w:r>
      <w:r>
        <w:t> </w:t>
      </w:r>
      <w:r w:rsidRPr="00F20194">
        <w:t xml:space="preserve">bilateral salpingo-oophorectomy or mastectomy). </w:t>
      </w:r>
      <w:r>
        <w:t>The r</w:t>
      </w:r>
      <w:r w:rsidRPr="00F20194">
        <w:t xml:space="preserve">esubmission </w:t>
      </w:r>
      <w:r>
        <w:t xml:space="preserve">presented an </w:t>
      </w:r>
      <w:r w:rsidRPr="00F20194">
        <w:t xml:space="preserve">ICER </w:t>
      </w:r>
      <w:r>
        <w:t xml:space="preserve">of </w:t>
      </w:r>
      <w:r w:rsidRPr="00F20194">
        <w:t>$</w:t>
      </w:r>
      <w:r w:rsidR="002A7CD6">
        <w:t>35</w:t>
      </w:r>
      <w:r w:rsidR="00D62A5A">
        <w:t>,000 to &lt;</w:t>
      </w:r>
      <w:r w:rsidR="00492B6D">
        <w:t xml:space="preserve"> </w:t>
      </w:r>
      <w:r w:rsidR="00D62A5A">
        <w:t>$45,000</w:t>
      </w:r>
      <w:r w:rsidR="006D3900">
        <w:t xml:space="preserve"> </w:t>
      </w:r>
      <w:r w:rsidR="00D62A5A">
        <w:t xml:space="preserve"> </w:t>
      </w:r>
      <w:r>
        <w:t xml:space="preserve"> </w:t>
      </w:r>
      <w:r w:rsidR="00154FC9">
        <w:t>(</w:t>
      </w:r>
      <w:r w:rsidR="00F717A2" w:rsidRPr="00F20194">
        <w:t>$</w:t>
      </w:r>
      <w:r w:rsidR="000F0591">
        <w:t>45</w:t>
      </w:r>
      <w:r w:rsidR="00F717A2">
        <w:t>,000 to &lt;</w:t>
      </w:r>
      <w:r w:rsidR="00492B6D">
        <w:t xml:space="preserve"> </w:t>
      </w:r>
      <w:r w:rsidR="00F717A2">
        <w:t>$</w:t>
      </w:r>
      <w:r w:rsidR="000F0591">
        <w:t>5</w:t>
      </w:r>
      <w:r w:rsidR="00F717A2">
        <w:t xml:space="preserve">5,000 </w:t>
      </w:r>
      <w:r w:rsidRPr="00F20194">
        <w:t xml:space="preserve"> per </w:t>
      </w:r>
      <w:r>
        <w:t>quality-adjusted life year [</w:t>
      </w:r>
      <w:r w:rsidRPr="00F20194">
        <w:t>QALY</w:t>
      </w:r>
      <w:r>
        <w:t>]</w:t>
      </w:r>
      <w:r w:rsidRPr="00F20194">
        <w:t xml:space="preserve"> at $1</w:t>
      </w:r>
      <w:r>
        <w:t>,</w:t>
      </w:r>
      <w:r w:rsidRPr="00F20194">
        <w:t>200 per test</w:t>
      </w:r>
      <w:r>
        <w:t xml:space="preserve">), which was less than the ICER in the </w:t>
      </w:r>
      <w:r w:rsidRPr="00F20194">
        <w:t xml:space="preserve">initial submission </w:t>
      </w:r>
      <w:r>
        <w:t>(</w:t>
      </w:r>
      <w:r w:rsidRPr="00F20194">
        <w:t>$4</w:t>
      </w:r>
      <w:r w:rsidR="00FB41DD">
        <w:t>5</w:t>
      </w:r>
      <w:r w:rsidR="002A7CD6">
        <w:t>,000 to &lt;</w:t>
      </w:r>
      <w:r w:rsidR="00492B6D">
        <w:t xml:space="preserve"> </w:t>
      </w:r>
      <w:r w:rsidR="002A7CD6">
        <w:t>$5</w:t>
      </w:r>
      <w:r w:rsidR="00FB41DD">
        <w:t>5</w:t>
      </w:r>
      <w:r w:rsidR="002A7CD6">
        <w:t>,000</w:t>
      </w:r>
      <w:r>
        <w:t>). MSAC noted that the key driver of the ICER was the time horizon.</w:t>
      </w:r>
    </w:p>
    <w:p w14:paraId="48ECF2BA" w14:textId="0CE542A7" w:rsidR="00177D88" w:rsidRDefault="00177D88" w:rsidP="00177D88">
      <w:r>
        <w:t xml:space="preserve">MSAC noted the pre-MSAC response justified the ICER by stating that this testing </w:t>
      </w:r>
      <w:r w:rsidR="00ED7C20" w:rsidRPr="00BA26C3">
        <w:t>present</w:t>
      </w:r>
      <w:r w:rsidR="00ED7C20">
        <w:t>ed</w:t>
      </w:r>
      <w:r w:rsidR="00ED7C20" w:rsidRPr="00BA26C3">
        <w:t xml:space="preserve"> </w:t>
      </w:r>
      <w:r w:rsidRPr="00BA26C3">
        <w:t xml:space="preserve">an opportunity of a cure in the adjuvant setting for younger </w:t>
      </w:r>
      <w:r w:rsidRPr="000E600F">
        <w:t>HER2</w:t>
      </w:r>
      <w:r w:rsidRPr="00BA26C3">
        <w:t>-negative</w:t>
      </w:r>
      <w:r>
        <w:t>,</w:t>
      </w:r>
      <w:r w:rsidRPr="00BA26C3">
        <w:t xml:space="preserve"> high</w:t>
      </w:r>
      <w:r>
        <w:t>-</w:t>
      </w:r>
      <w:r w:rsidRPr="00BA26C3">
        <w:t>risk</w:t>
      </w:r>
      <w:r>
        <w:t>,</w:t>
      </w:r>
      <w:r w:rsidRPr="00BA26C3">
        <w:t xml:space="preserve"> early breast cancer patients.</w:t>
      </w:r>
      <w:r>
        <w:t xml:space="preserve"> Because these patients are younger than the average breast cancer patient, </w:t>
      </w:r>
      <w:r w:rsidRPr="00BA26C3">
        <w:t xml:space="preserve">with treatment, </w:t>
      </w:r>
      <w:r>
        <w:t xml:space="preserve">they </w:t>
      </w:r>
      <w:r w:rsidRPr="00BA26C3">
        <w:t xml:space="preserve">will have the capacity to remain in employment or start employment following treatment, </w:t>
      </w:r>
      <w:r w:rsidR="0028501E">
        <w:t xml:space="preserve">and </w:t>
      </w:r>
      <w:r>
        <w:t xml:space="preserve">so can </w:t>
      </w:r>
      <w:r w:rsidR="0028501E">
        <w:t xml:space="preserve">better </w:t>
      </w:r>
      <w:r>
        <w:t>contribute</w:t>
      </w:r>
      <w:r w:rsidRPr="00BA26C3">
        <w:t xml:space="preserve"> to society.</w:t>
      </w:r>
    </w:p>
    <w:p w14:paraId="4528A38F" w14:textId="6D410771" w:rsidR="00177D88" w:rsidRDefault="00177D88" w:rsidP="00177D88">
      <w:r>
        <w:t>MSAC noted that the</w:t>
      </w:r>
      <w:r w:rsidR="00144812">
        <w:t xml:space="preserve"> base case of the </w:t>
      </w:r>
      <w:r>
        <w:t>financial impact in the resubmission did not consider cascade testing, which MSAC considered inappropriate</w:t>
      </w:r>
      <w:r w:rsidR="0019282A">
        <w:t xml:space="preserve">, though the </w:t>
      </w:r>
      <w:r w:rsidR="009F0469">
        <w:t xml:space="preserve">results of cascade testing were reported in a </w:t>
      </w:r>
      <w:r w:rsidR="00F47835">
        <w:t>scenario analysis</w:t>
      </w:r>
      <w:r>
        <w:t xml:space="preserve">. </w:t>
      </w:r>
      <w:r w:rsidR="00F47835">
        <w:t xml:space="preserve">The scenario analysis reported that </w:t>
      </w:r>
      <w:r w:rsidR="004933B5">
        <w:t xml:space="preserve">under a </w:t>
      </w:r>
      <w:r>
        <w:t xml:space="preserve">$1,200 fee and cascade testing (using a fee of $400), </w:t>
      </w:r>
      <w:r w:rsidR="004933B5">
        <w:t xml:space="preserve">the financial impacts to the MBS </w:t>
      </w:r>
      <w:r>
        <w:t xml:space="preserve">ranged from </w:t>
      </w:r>
      <w:r w:rsidR="00E454C1">
        <w:br/>
      </w:r>
      <w:r w:rsidR="00D5569B" w:rsidRPr="00D5569B">
        <w:t>$0 to &lt; $10</w:t>
      </w:r>
      <w:r w:rsidR="00E454C1">
        <w:t> </w:t>
      </w:r>
      <w:r w:rsidR="00D5569B" w:rsidRPr="00D5569B">
        <w:t>million</w:t>
      </w:r>
      <w:r w:rsidR="002F73D7">
        <w:t xml:space="preserve"> </w:t>
      </w:r>
      <w:r>
        <w:t xml:space="preserve">in year 1 to </w:t>
      </w:r>
      <w:r w:rsidR="00D5569B" w:rsidRPr="00D5569B">
        <w:t>$0 to &lt; $10 million</w:t>
      </w:r>
      <w:r w:rsidR="00D5569B">
        <w:t xml:space="preserve"> </w:t>
      </w:r>
      <w:r>
        <w:t>in year 6.</w:t>
      </w:r>
    </w:p>
    <w:p w14:paraId="752EA67C" w14:textId="4BAD1C64" w:rsidR="005E7254" w:rsidRPr="00E43529" w:rsidRDefault="007634E1" w:rsidP="005E7254">
      <w:pPr>
        <w:rPr>
          <w:rFonts w:eastAsia="Franklin Gothic Book" w:cs="Franklin Gothic Book"/>
        </w:rPr>
      </w:pPr>
      <w:r>
        <w:rPr>
          <w:rFonts w:eastAsia="Franklin Gothic Book" w:cs="Franklin Gothic Book"/>
        </w:rPr>
        <w:t>MSAC con</w:t>
      </w:r>
      <w:r w:rsidR="004C6454">
        <w:rPr>
          <w:rFonts w:eastAsia="Franklin Gothic Book" w:cs="Franklin Gothic Book"/>
        </w:rPr>
        <w:t>sidered that gi</w:t>
      </w:r>
      <w:r w:rsidR="004A0D1C">
        <w:rPr>
          <w:rFonts w:eastAsia="Franklin Gothic Book" w:cs="Franklin Gothic Book"/>
        </w:rPr>
        <w:t>ven</w:t>
      </w:r>
      <w:r w:rsidR="005E7254" w:rsidRPr="4C75B400">
        <w:rPr>
          <w:rFonts w:eastAsia="Franklin Gothic Book" w:cs="Franklin Gothic Book"/>
        </w:rPr>
        <w:t xml:space="preserve"> the testing population are at a high risk of poor outcomes</w:t>
      </w:r>
      <w:r w:rsidR="005E7254">
        <w:rPr>
          <w:rFonts w:eastAsia="Franklin Gothic Book" w:cs="Franklin Gothic Book"/>
        </w:rPr>
        <w:t xml:space="preserve">, </w:t>
      </w:r>
      <w:r w:rsidR="005E7254" w:rsidRPr="4C75B400">
        <w:rPr>
          <w:rFonts w:eastAsia="Franklin Gothic Book" w:cs="Franklin Gothic Book"/>
        </w:rPr>
        <w:t>g</w:t>
      </w:r>
      <w:r w:rsidR="005E7254" w:rsidRPr="4C75B400">
        <w:rPr>
          <w:rFonts w:eastAsia="Franklin Gothic Book" w:cs="Franklin Gothic Book"/>
          <w:i/>
          <w:iCs/>
        </w:rPr>
        <w:t>BRCA1</w:t>
      </w:r>
      <w:r w:rsidR="005E7254" w:rsidRPr="4C75B400">
        <w:rPr>
          <w:rFonts w:eastAsia="Franklin Gothic Book" w:cs="Franklin Gothic Book"/>
        </w:rPr>
        <w:t xml:space="preserve"> and g</w:t>
      </w:r>
      <w:r w:rsidR="005E7254" w:rsidRPr="4C75B400">
        <w:rPr>
          <w:rFonts w:eastAsia="Franklin Gothic Book" w:cs="Franklin Gothic Book"/>
          <w:i/>
          <w:iCs/>
        </w:rPr>
        <w:t>BRCA2</w:t>
      </w:r>
      <w:r w:rsidR="005E7254" w:rsidRPr="4C75B400">
        <w:rPr>
          <w:rFonts w:eastAsia="Franklin Gothic Book" w:cs="Franklin Gothic Book"/>
        </w:rPr>
        <w:t xml:space="preserve"> testing is required to determine eligibility for PARP inhibitors</w:t>
      </w:r>
      <w:r w:rsidR="005E7254">
        <w:rPr>
          <w:rFonts w:eastAsia="Franklin Gothic Book" w:cs="Franklin Gothic Book"/>
        </w:rPr>
        <w:t xml:space="preserve"> and </w:t>
      </w:r>
      <w:r w:rsidR="004A0D1C">
        <w:rPr>
          <w:rFonts w:eastAsia="Franklin Gothic Book" w:cs="Franklin Gothic Book"/>
        </w:rPr>
        <w:t>PBAC</w:t>
      </w:r>
      <w:r w:rsidR="003D4683">
        <w:rPr>
          <w:rFonts w:eastAsia="Franklin Gothic Book" w:cs="Franklin Gothic Book"/>
        </w:rPr>
        <w:t xml:space="preserve"> had recommended the listing </w:t>
      </w:r>
      <w:r w:rsidR="003D1172">
        <w:rPr>
          <w:rFonts w:eastAsia="Franklin Gothic Book" w:cs="Franklin Gothic Book"/>
        </w:rPr>
        <w:t>of olaparib, the item descriptor</w:t>
      </w:r>
      <w:r w:rsidR="005F6AFE">
        <w:rPr>
          <w:rFonts w:eastAsia="Franklin Gothic Book" w:cs="Franklin Gothic Book"/>
        </w:rPr>
        <w:t xml:space="preserve"> for</w:t>
      </w:r>
      <w:r w:rsidR="00527D5E">
        <w:rPr>
          <w:rFonts w:eastAsia="Franklin Gothic Book" w:cs="Franklin Gothic Book"/>
        </w:rPr>
        <w:t xml:space="preserve"> </w:t>
      </w:r>
      <w:r w:rsidR="00527D5E" w:rsidRPr="4C75B400">
        <w:rPr>
          <w:rFonts w:eastAsia="Franklin Gothic Book" w:cs="Franklin Gothic Book"/>
        </w:rPr>
        <w:t>g</w:t>
      </w:r>
      <w:r w:rsidR="00527D5E" w:rsidRPr="4C75B400">
        <w:rPr>
          <w:rFonts w:eastAsia="Franklin Gothic Book" w:cs="Franklin Gothic Book"/>
          <w:i/>
          <w:iCs/>
        </w:rPr>
        <w:t>BRCA1</w:t>
      </w:r>
      <w:r w:rsidR="00527D5E" w:rsidRPr="4C75B400">
        <w:rPr>
          <w:rFonts w:eastAsia="Franklin Gothic Book" w:cs="Franklin Gothic Book"/>
        </w:rPr>
        <w:t xml:space="preserve"> and g</w:t>
      </w:r>
      <w:r w:rsidR="00527D5E" w:rsidRPr="4C75B400">
        <w:rPr>
          <w:rFonts w:eastAsia="Franklin Gothic Book" w:cs="Franklin Gothic Book"/>
          <w:i/>
          <w:iCs/>
        </w:rPr>
        <w:t>BRCA2</w:t>
      </w:r>
      <w:r w:rsidR="00527D5E" w:rsidRPr="4C75B400">
        <w:rPr>
          <w:rFonts w:eastAsia="Franklin Gothic Book" w:cs="Franklin Gothic Book"/>
        </w:rPr>
        <w:t xml:space="preserve"> testing</w:t>
      </w:r>
      <w:r w:rsidR="003D1172">
        <w:rPr>
          <w:rFonts w:eastAsia="Franklin Gothic Book" w:cs="Franklin Gothic Book"/>
        </w:rPr>
        <w:t xml:space="preserve"> </w:t>
      </w:r>
      <w:r w:rsidR="00527D5E">
        <w:rPr>
          <w:rFonts w:eastAsia="Franklin Gothic Book" w:cs="Franklin Gothic Book"/>
        </w:rPr>
        <w:t xml:space="preserve">as proposed by the Department </w:t>
      </w:r>
      <w:r w:rsidR="008A0053">
        <w:rPr>
          <w:rFonts w:eastAsia="Franklin Gothic Book" w:cs="Franklin Gothic Book"/>
        </w:rPr>
        <w:t xml:space="preserve">should be supported without further amendment. </w:t>
      </w:r>
    </w:p>
    <w:p w14:paraId="6710B69D" w14:textId="28E0B85C" w:rsidR="00772829" w:rsidRPr="00CE28E3" w:rsidRDefault="00CB5FB7" w:rsidP="002A18BE">
      <w:pPr>
        <w:pStyle w:val="Heading2"/>
        <w:numPr>
          <w:ilvl w:val="0"/>
          <w:numId w:val="0"/>
        </w:numPr>
      </w:pPr>
      <w:r>
        <w:t>4</w:t>
      </w:r>
      <w:r w:rsidR="00C36633">
        <w:t>.</w:t>
      </w:r>
      <w:r w:rsidR="00C36633">
        <w:tab/>
      </w:r>
      <w:r w:rsidR="00772829" w:rsidRPr="00CE28E3">
        <w:t>Background</w:t>
      </w:r>
      <w:bookmarkEnd w:id="3"/>
    </w:p>
    <w:p w14:paraId="3E8F8AB9" w14:textId="705A7AD1" w:rsidR="00D77F0F" w:rsidRDefault="00D77F0F" w:rsidP="00D77F0F">
      <w:bookmarkStart w:id="4" w:name="_Hlk69734494"/>
      <w:r>
        <w:t xml:space="preserve">MSAC has previously considered </w:t>
      </w:r>
      <w:r w:rsidR="000D659D" w:rsidRPr="000D659D">
        <w:rPr>
          <w:lang w:val="en-US"/>
        </w:rPr>
        <w:t>g</w:t>
      </w:r>
      <w:r w:rsidR="000D659D" w:rsidRPr="000D659D">
        <w:rPr>
          <w:i/>
          <w:iCs/>
          <w:lang w:val="en-US"/>
        </w:rPr>
        <w:t>BRCA</w:t>
      </w:r>
      <w:r w:rsidR="000D659D">
        <w:t xml:space="preserve"> </w:t>
      </w:r>
      <w:r>
        <w:t>testing to determine eligibility for olaparib for the treatment of HER2</w:t>
      </w:r>
      <w:r w:rsidR="001B7AF2">
        <w:t>−</w:t>
      </w:r>
      <w:r>
        <w:t xml:space="preserve"> high risk early breast cancer. The original application was considered by MSAC at its March 2023 meeting.</w:t>
      </w:r>
    </w:p>
    <w:p w14:paraId="4CA1CC80" w14:textId="38A1D3EC" w:rsidR="00D77F0F" w:rsidRDefault="00B47EAD" w:rsidP="00D77F0F">
      <w:bookmarkStart w:id="5" w:name="_Hlk143764960"/>
      <w:r>
        <w:t xml:space="preserve">MSAC deferred its decision and foreshadowed that </w:t>
      </w:r>
      <w:r w:rsidRPr="00B47EAD">
        <w:t xml:space="preserve">would reconsider if </w:t>
      </w:r>
      <w:bookmarkEnd w:id="5"/>
      <w:r w:rsidRPr="00B47EAD">
        <w:t>the PBAC recommended the PBS listing of olaparib for the patients in this population who have previously been treated with neoadjuvant or adjuvant chemotherapy.</w:t>
      </w:r>
      <w:r>
        <w:t xml:space="preserve"> </w:t>
      </w:r>
      <w:bookmarkStart w:id="6" w:name="_Hlk143765021"/>
      <w:r w:rsidR="007F113B">
        <w:t xml:space="preserve">MSAC considered that in order to inform a recommendation, more information would be required on the projected patient numbers, cost of the test, and other testing requirements. </w:t>
      </w:r>
      <w:bookmarkEnd w:id="6"/>
      <w:r w:rsidR="00D77F0F">
        <w:t xml:space="preserve">The </w:t>
      </w:r>
      <w:r w:rsidR="00BF7114">
        <w:t xml:space="preserve">specific key matters of concern raised by MSAC and how the </w:t>
      </w:r>
      <w:r w:rsidR="00D77F0F">
        <w:t>resubmission addressed the</w:t>
      </w:r>
      <w:r w:rsidR="00BF7114">
        <w:t>se</w:t>
      </w:r>
      <w:r w:rsidR="00D77F0F">
        <w:t xml:space="preserve"> are presented in </w:t>
      </w:r>
      <w:r w:rsidR="00C715C8">
        <w:fldChar w:fldCharType="begin"/>
      </w:r>
      <w:r w:rsidR="00C715C8">
        <w:instrText xml:space="preserve"> REF _Ref69480768 \h </w:instrText>
      </w:r>
      <w:r w:rsidR="00C715C8">
        <w:fldChar w:fldCharType="separate"/>
      </w:r>
      <w:r w:rsidR="00D8423B" w:rsidRPr="00CE28E3">
        <w:t>Table</w:t>
      </w:r>
      <w:r w:rsidR="00D8423B">
        <w:t> </w:t>
      </w:r>
      <w:r w:rsidR="00D8423B">
        <w:rPr>
          <w:noProof/>
        </w:rPr>
        <w:t>1</w:t>
      </w:r>
      <w:r w:rsidR="00C715C8">
        <w:fldChar w:fldCharType="end"/>
      </w:r>
      <w:r w:rsidR="00D77F0F">
        <w:t>.</w:t>
      </w:r>
    </w:p>
    <w:p w14:paraId="6EC12EDF" w14:textId="27309529" w:rsidR="0068682C" w:rsidRPr="00CE28E3" w:rsidRDefault="0068682C" w:rsidP="0068682C">
      <w:pPr>
        <w:pStyle w:val="Caption"/>
      </w:pPr>
      <w:bookmarkStart w:id="7" w:name="_Ref69480768"/>
      <w:bookmarkStart w:id="8" w:name="_Hlk69734557"/>
      <w:bookmarkEnd w:id="4"/>
      <w:r w:rsidRPr="00CE28E3">
        <w:lastRenderedPageBreak/>
        <w:t>Table</w:t>
      </w:r>
      <w:r w:rsidR="004A4FDF">
        <w:t> </w:t>
      </w:r>
      <w:r>
        <w:fldChar w:fldCharType="begin"/>
      </w:r>
      <w:r>
        <w:instrText>SEQ Table \* ARABIC</w:instrText>
      </w:r>
      <w:r>
        <w:fldChar w:fldCharType="separate"/>
      </w:r>
      <w:r w:rsidR="00D8423B">
        <w:rPr>
          <w:noProof/>
        </w:rPr>
        <w:t>1</w:t>
      </w:r>
      <w:r>
        <w:fldChar w:fldCharType="end"/>
      </w:r>
      <w:bookmarkEnd w:id="7"/>
      <w:r w:rsidRPr="00CE28E3">
        <w:tab/>
        <w:t xml:space="preserve">Summary of key matters of </w:t>
      </w:r>
      <w:r w:rsidR="00A44674">
        <w:t xml:space="preserve">MSAC </w:t>
      </w:r>
      <w:r w:rsidRPr="00CE28E3">
        <w:t>concern</w:t>
      </w:r>
    </w:p>
    <w:tbl>
      <w:tblPr>
        <w:tblStyle w:val="TableGrid1"/>
        <w:tblW w:w="5000" w:type="pct"/>
        <w:tblLook w:val="04A0" w:firstRow="1" w:lastRow="0" w:firstColumn="1" w:lastColumn="0" w:noHBand="0" w:noVBand="1"/>
      </w:tblPr>
      <w:tblGrid>
        <w:gridCol w:w="1697"/>
        <w:gridCol w:w="3659"/>
        <w:gridCol w:w="3660"/>
      </w:tblGrid>
      <w:tr w:rsidR="00F57885" w:rsidRPr="00CE28E3" w14:paraId="2BDCC27B" w14:textId="77777777" w:rsidTr="001E065D">
        <w:trPr>
          <w:cnfStyle w:val="100000000000" w:firstRow="1" w:lastRow="0" w:firstColumn="0" w:lastColumn="0" w:oddVBand="0" w:evenVBand="0" w:oddHBand="0" w:evenHBand="0" w:firstRowFirstColumn="0" w:firstRowLastColumn="0" w:lastRowFirstColumn="0" w:lastRowLastColumn="0"/>
          <w:cantSplit/>
          <w:tblHeader/>
        </w:trPr>
        <w:tc>
          <w:tcPr>
            <w:tcW w:w="941" w:type="pct"/>
            <w:tcBorders>
              <w:bottom w:val="single" w:sz="4" w:space="0" w:color="auto"/>
            </w:tcBorders>
            <w:shd w:val="clear" w:color="auto" w:fill="auto"/>
          </w:tcPr>
          <w:p w14:paraId="58F6A808" w14:textId="77777777" w:rsidR="00F57885" w:rsidRPr="00CE28E3" w:rsidRDefault="00F57885" w:rsidP="00824458">
            <w:pPr>
              <w:pStyle w:val="In-tableHeading"/>
            </w:pPr>
            <w:bookmarkStart w:id="9" w:name="ColumnTitle_Table1"/>
            <w:bookmarkStart w:id="10" w:name="_Hlk68275590"/>
            <w:bookmarkEnd w:id="9"/>
            <w:r w:rsidRPr="00CE28E3">
              <w:t>Component</w:t>
            </w:r>
          </w:p>
        </w:tc>
        <w:tc>
          <w:tcPr>
            <w:tcW w:w="2029" w:type="pct"/>
            <w:shd w:val="clear" w:color="auto" w:fill="auto"/>
          </w:tcPr>
          <w:p w14:paraId="2A62F583" w14:textId="77777777" w:rsidR="00131CA7" w:rsidRDefault="00F57885" w:rsidP="00824458">
            <w:pPr>
              <w:pStyle w:val="In-tableHeading"/>
            </w:pPr>
            <w:r w:rsidRPr="00CE28E3">
              <w:t>Matter of concern</w:t>
            </w:r>
            <w:r w:rsidR="00131CA7">
              <w:t xml:space="preserve"> </w:t>
            </w:r>
          </w:p>
          <w:p w14:paraId="09992FB9" w14:textId="165BB82E" w:rsidR="00F57885" w:rsidRPr="00CE28E3" w:rsidRDefault="00131CA7" w:rsidP="00824458">
            <w:pPr>
              <w:pStyle w:val="In-tableHeading"/>
            </w:pPr>
            <w:r>
              <w:t>(</w:t>
            </w:r>
            <w:hyperlink r:id="rId9" w:history="1">
              <w:r w:rsidRPr="00C715C8">
                <w:rPr>
                  <w:rStyle w:val="Hyperlink"/>
                </w:rPr>
                <w:t>1716 PSD March 2023 MSAC Meeting</w:t>
              </w:r>
            </w:hyperlink>
            <w:r>
              <w:t>)</w:t>
            </w:r>
          </w:p>
        </w:tc>
        <w:tc>
          <w:tcPr>
            <w:tcW w:w="2030" w:type="pct"/>
            <w:shd w:val="clear" w:color="auto" w:fill="auto"/>
          </w:tcPr>
          <w:p w14:paraId="54C88680" w14:textId="7241D309" w:rsidR="00F57885" w:rsidRPr="00CE28E3" w:rsidRDefault="00F57885" w:rsidP="00824458">
            <w:pPr>
              <w:pStyle w:val="In-tableHeading"/>
            </w:pPr>
            <w:r w:rsidRPr="00CE28E3">
              <w:t xml:space="preserve">How the </w:t>
            </w:r>
            <w:r w:rsidR="000A4DA8">
              <w:t>re</w:t>
            </w:r>
            <w:r w:rsidR="00605FA2">
              <w:t>submission</w:t>
            </w:r>
            <w:r w:rsidRPr="00CE28E3">
              <w:t xml:space="preserve"> addresses it</w:t>
            </w:r>
          </w:p>
        </w:tc>
      </w:tr>
      <w:tr w:rsidR="00B47EAD" w:rsidRPr="00CE28E3" w14:paraId="40BAC1BA" w14:textId="77777777" w:rsidTr="001E065D">
        <w:trPr>
          <w:cantSplit/>
        </w:trPr>
        <w:tc>
          <w:tcPr>
            <w:tcW w:w="941" w:type="pct"/>
            <w:tcBorders>
              <w:bottom w:val="nil"/>
            </w:tcBorders>
          </w:tcPr>
          <w:p w14:paraId="700E5055" w14:textId="63881BB7" w:rsidR="00B47EAD" w:rsidRPr="00B47EAD" w:rsidRDefault="00B47EAD" w:rsidP="00DB7D28">
            <w:pPr>
              <w:pStyle w:val="TableText"/>
              <w:keepNext/>
            </w:pPr>
            <w:r>
              <w:t>Proposed item</w:t>
            </w:r>
          </w:p>
        </w:tc>
        <w:tc>
          <w:tcPr>
            <w:tcW w:w="2029" w:type="pct"/>
          </w:tcPr>
          <w:p w14:paraId="702CCCB4" w14:textId="14C649D4" w:rsidR="00732313" w:rsidRPr="00573BA3" w:rsidRDefault="00F42F55" w:rsidP="00DB7D28">
            <w:pPr>
              <w:pStyle w:val="TableText"/>
              <w:keepNext/>
            </w:pPr>
            <w:r>
              <w:rPr>
                <w:rFonts w:cs="Arial"/>
                <w:snapToGrid w:val="0"/>
              </w:rPr>
              <w:t xml:space="preserve">MSAC noted that </w:t>
            </w:r>
            <w:r w:rsidR="00B47EAD" w:rsidRPr="00B47EAD">
              <w:t>expanding MBS item 73295 would be preferable to introducing a new MBS item for this patient population</w:t>
            </w:r>
            <w:r w:rsidR="00131CA7">
              <w:t xml:space="preserve"> (PSD, p1 and 3)</w:t>
            </w:r>
          </w:p>
        </w:tc>
        <w:tc>
          <w:tcPr>
            <w:tcW w:w="2030" w:type="pct"/>
          </w:tcPr>
          <w:p w14:paraId="01B6111A" w14:textId="00C41438" w:rsidR="00B47EAD" w:rsidRPr="00CE28E3" w:rsidRDefault="00060A03" w:rsidP="00DB7D28">
            <w:pPr>
              <w:pStyle w:val="TableText"/>
              <w:keepNext/>
              <w:rPr>
                <w:rFonts w:cs="Arial"/>
                <w:snapToGrid w:val="0"/>
              </w:rPr>
            </w:pPr>
            <w:r>
              <w:rPr>
                <w:rFonts w:cs="Arial"/>
                <w:snapToGrid w:val="0"/>
              </w:rPr>
              <w:t>T</w:t>
            </w:r>
            <w:r w:rsidR="00573BA3">
              <w:rPr>
                <w:rFonts w:cs="Arial"/>
                <w:snapToGrid w:val="0"/>
              </w:rPr>
              <w:t xml:space="preserve">he resubmission proposed a new item as amending item 73295 may be considered unsuitable, as this item </w:t>
            </w:r>
            <w:r w:rsidR="00BA6175">
              <w:rPr>
                <w:rFonts w:cs="Arial"/>
                <w:snapToGrid w:val="0"/>
              </w:rPr>
              <w:t>is restricted to those in whom</w:t>
            </w:r>
            <w:r w:rsidR="00573BA3">
              <w:rPr>
                <w:rFonts w:cs="Arial"/>
                <w:snapToGrid w:val="0"/>
              </w:rPr>
              <w:t xml:space="preserve"> testing </w:t>
            </w:r>
            <w:r w:rsidR="00BA6175">
              <w:rPr>
                <w:rFonts w:cs="Arial"/>
                <w:snapToGrid w:val="0"/>
              </w:rPr>
              <w:t>o</w:t>
            </w:r>
            <w:r w:rsidR="00573BA3">
              <w:rPr>
                <w:rFonts w:cs="Arial"/>
                <w:snapToGrid w:val="0"/>
              </w:rPr>
              <w:t>f tumour tissue is not feasible</w:t>
            </w:r>
            <w:r w:rsidR="000B79DB">
              <w:rPr>
                <w:rFonts w:cs="Arial"/>
                <w:snapToGrid w:val="0"/>
              </w:rPr>
              <w:t>.</w:t>
            </w:r>
          </w:p>
        </w:tc>
      </w:tr>
      <w:tr w:rsidR="00573BA3" w:rsidRPr="00CE28E3" w14:paraId="29901A66" w14:textId="77777777" w:rsidTr="001E065D">
        <w:trPr>
          <w:cantSplit/>
        </w:trPr>
        <w:tc>
          <w:tcPr>
            <w:tcW w:w="941" w:type="pct"/>
            <w:tcBorders>
              <w:top w:val="nil"/>
              <w:bottom w:val="nil"/>
            </w:tcBorders>
          </w:tcPr>
          <w:p w14:paraId="6C8B3F17" w14:textId="77777777" w:rsidR="00573BA3" w:rsidRDefault="00573BA3" w:rsidP="00DB7D28">
            <w:pPr>
              <w:pStyle w:val="TableText"/>
              <w:keepNext/>
            </w:pPr>
          </w:p>
        </w:tc>
        <w:tc>
          <w:tcPr>
            <w:tcW w:w="2029" w:type="pct"/>
          </w:tcPr>
          <w:p w14:paraId="3500575B" w14:textId="7E0F6B9B" w:rsidR="00573BA3" w:rsidRPr="00B47EAD" w:rsidRDefault="00F42F55" w:rsidP="00DB7D28">
            <w:pPr>
              <w:pStyle w:val="TableText"/>
              <w:keepNext/>
            </w:pPr>
            <w:r>
              <w:rPr>
                <w:rFonts w:cs="Arial"/>
                <w:snapToGrid w:val="0"/>
              </w:rPr>
              <w:t xml:space="preserve">MSAC noted that the proposed </w:t>
            </w:r>
            <w:r w:rsidR="00573BA3" w:rsidRPr="00B47EAD">
              <w:rPr>
                <w:rFonts w:cs="Arial"/>
                <w:snapToGrid w:val="0"/>
              </w:rPr>
              <w:t>item could be futureproofed by generalising it to all PARP inhibitors</w:t>
            </w:r>
            <w:r w:rsidR="00573BA3">
              <w:rPr>
                <w:rFonts w:cs="Arial"/>
                <w:snapToGrid w:val="0"/>
              </w:rPr>
              <w:t xml:space="preserve"> (PSD, p4)</w:t>
            </w:r>
          </w:p>
        </w:tc>
        <w:tc>
          <w:tcPr>
            <w:tcW w:w="2030" w:type="pct"/>
          </w:tcPr>
          <w:p w14:paraId="69241D97" w14:textId="7D48511A" w:rsidR="00573BA3" w:rsidRPr="00CE28E3" w:rsidRDefault="000B79DB" w:rsidP="00DB7D28">
            <w:pPr>
              <w:pStyle w:val="TableText"/>
              <w:keepNext/>
              <w:rPr>
                <w:rFonts w:cs="Arial"/>
                <w:snapToGrid w:val="0"/>
              </w:rPr>
            </w:pPr>
            <w:r>
              <w:rPr>
                <w:rFonts w:cs="Arial"/>
                <w:snapToGrid w:val="0"/>
              </w:rPr>
              <w:t>Addressed. The proposed MBS item refers to the drug class rather than specific drug name.</w:t>
            </w:r>
            <w:r w:rsidR="0043529D">
              <w:rPr>
                <w:rFonts w:cs="Arial"/>
                <w:snapToGrid w:val="0"/>
              </w:rPr>
              <w:t xml:space="preserve"> </w:t>
            </w:r>
          </w:p>
        </w:tc>
      </w:tr>
      <w:tr w:rsidR="00573BA3" w:rsidRPr="00CE28E3" w14:paraId="78C8E02A" w14:textId="77777777" w:rsidTr="001E065D">
        <w:trPr>
          <w:cantSplit/>
        </w:trPr>
        <w:tc>
          <w:tcPr>
            <w:tcW w:w="941" w:type="pct"/>
            <w:tcBorders>
              <w:top w:val="nil"/>
              <w:bottom w:val="nil"/>
            </w:tcBorders>
          </w:tcPr>
          <w:p w14:paraId="47D8B466" w14:textId="77777777" w:rsidR="00573BA3" w:rsidRDefault="00573BA3" w:rsidP="00DB7D28">
            <w:pPr>
              <w:pStyle w:val="TableText"/>
              <w:keepNext/>
            </w:pPr>
          </w:p>
        </w:tc>
        <w:tc>
          <w:tcPr>
            <w:tcW w:w="2029" w:type="pct"/>
          </w:tcPr>
          <w:p w14:paraId="5F8D761C" w14:textId="6345660F" w:rsidR="00573BA3" w:rsidRPr="00B47EAD" w:rsidRDefault="00F42F55" w:rsidP="00DB7D28">
            <w:pPr>
              <w:pStyle w:val="TableText"/>
              <w:keepNext/>
            </w:pPr>
            <w:r>
              <w:rPr>
                <w:rFonts w:cs="Arial"/>
                <w:snapToGrid w:val="0"/>
              </w:rPr>
              <w:t>MSAC noted that the proposed</w:t>
            </w:r>
            <w:r w:rsidR="00573BA3" w:rsidRPr="007F6BB1">
              <w:rPr>
                <w:rFonts w:cs="Arial"/>
                <w:snapToGrid w:val="0"/>
              </w:rPr>
              <w:t xml:space="preserve"> descriptor insufficiently defined the </w:t>
            </w:r>
            <w:r w:rsidRPr="007F6BB1">
              <w:rPr>
                <w:rFonts w:cs="Arial"/>
                <w:snapToGrid w:val="0"/>
              </w:rPr>
              <w:t>population</w:t>
            </w:r>
            <w:r>
              <w:rPr>
                <w:rFonts w:cs="Arial"/>
                <w:snapToGrid w:val="0"/>
              </w:rPr>
              <w:t xml:space="preserve"> eligible for testing</w:t>
            </w:r>
            <w:r w:rsidR="00573BA3">
              <w:rPr>
                <w:rFonts w:cs="Arial"/>
                <w:snapToGrid w:val="0"/>
              </w:rPr>
              <w:t>,</w:t>
            </w:r>
            <w:r w:rsidR="00573BA3">
              <w:t xml:space="preserve"> noting the </w:t>
            </w:r>
            <w:r w:rsidR="00573BA3" w:rsidRPr="00426540">
              <w:rPr>
                <w:rFonts w:cs="Arial"/>
                <w:snapToGrid w:val="0"/>
              </w:rPr>
              <w:t>application’s intent to identify patients that had at least one of the high-risk characteristics</w:t>
            </w:r>
            <w:r w:rsidR="00573BA3">
              <w:rPr>
                <w:rFonts w:cs="Arial"/>
                <w:snapToGrid w:val="0"/>
              </w:rPr>
              <w:t xml:space="preserve"> (PSD, p3)</w:t>
            </w:r>
          </w:p>
        </w:tc>
        <w:tc>
          <w:tcPr>
            <w:tcW w:w="2030" w:type="pct"/>
          </w:tcPr>
          <w:p w14:paraId="50F8EDD5" w14:textId="36B26241" w:rsidR="00573BA3" w:rsidRPr="0043529D" w:rsidRDefault="000B79DB" w:rsidP="00DB7D28">
            <w:pPr>
              <w:pStyle w:val="TableText"/>
              <w:keepNext/>
              <w:rPr>
                <w:rFonts w:cs="Arial"/>
                <w:i/>
                <w:iCs/>
                <w:snapToGrid w:val="0"/>
              </w:rPr>
            </w:pPr>
            <w:r>
              <w:rPr>
                <w:rFonts w:cs="Arial"/>
                <w:snapToGrid w:val="0"/>
              </w:rPr>
              <w:t>Not addressed</w:t>
            </w:r>
            <w:r w:rsidR="0043529D">
              <w:rPr>
                <w:rFonts w:cs="Arial"/>
                <w:i/>
                <w:iCs/>
                <w:snapToGrid w:val="0"/>
              </w:rPr>
              <w:t>.</w:t>
            </w:r>
          </w:p>
        </w:tc>
      </w:tr>
      <w:tr w:rsidR="00573BA3" w:rsidRPr="00CE28E3" w14:paraId="36E92F1C" w14:textId="77777777" w:rsidTr="001E065D">
        <w:trPr>
          <w:cantSplit/>
        </w:trPr>
        <w:tc>
          <w:tcPr>
            <w:tcW w:w="941" w:type="pct"/>
            <w:tcBorders>
              <w:top w:val="nil"/>
              <w:bottom w:val="nil"/>
            </w:tcBorders>
          </w:tcPr>
          <w:p w14:paraId="3A008DC8" w14:textId="77777777" w:rsidR="00573BA3" w:rsidRDefault="00573BA3" w:rsidP="00DB7D28">
            <w:pPr>
              <w:pStyle w:val="TableText"/>
              <w:keepNext/>
            </w:pPr>
          </w:p>
        </w:tc>
        <w:tc>
          <w:tcPr>
            <w:tcW w:w="2029" w:type="pct"/>
          </w:tcPr>
          <w:p w14:paraId="424BF278" w14:textId="2B9C8484" w:rsidR="00573BA3" w:rsidRPr="00B47EAD" w:rsidRDefault="00F42F55" w:rsidP="00DB7D28">
            <w:pPr>
              <w:pStyle w:val="TableText"/>
              <w:keepNext/>
            </w:pPr>
            <w:r>
              <w:rPr>
                <w:rFonts w:cs="Arial"/>
                <w:snapToGrid w:val="0"/>
              </w:rPr>
              <w:t xml:space="preserve">MSAC noted </w:t>
            </w:r>
            <w:r w:rsidR="00DD49BB">
              <w:rPr>
                <w:rFonts w:cs="Arial"/>
                <w:snapToGrid w:val="0"/>
              </w:rPr>
              <w:t>issues regarding misalignment of the population eligible for testing and that eligible for treatment</w:t>
            </w:r>
            <w:r w:rsidR="00573BA3">
              <w:rPr>
                <w:rFonts w:cs="Arial"/>
                <w:snapToGrid w:val="0"/>
              </w:rPr>
              <w:t xml:space="preserve"> (PSD, pp3−4)</w:t>
            </w:r>
          </w:p>
        </w:tc>
        <w:tc>
          <w:tcPr>
            <w:tcW w:w="2030" w:type="pct"/>
          </w:tcPr>
          <w:p w14:paraId="76A1C400" w14:textId="077E0072" w:rsidR="000B79DB" w:rsidRPr="0043529D" w:rsidRDefault="002469FF" w:rsidP="00DB7D28">
            <w:pPr>
              <w:pStyle w:val="TableText"/>
              <w:keepNext/>
              <w:rPr>
                <w:rFonts w:cs="Arial"/>
                <w:i/>
                <w:iCs/>
                <w:snapToGrid w:val="0"/>
              </w:rPr>
            </w:pPr>
            <w:r>
              <w:rPr>
                <w:rFonts w:cs="Arial"/>
                <w:snapToGrid w:val="0"/>
              </w:rPr>
              <w:t>T</w:t>
            </w:r>
            <w:r w:rsidR="000B79DB">
              <w:rPr>
                <w:rFonts w:cs="Arial"/>
                <w:snapToGrid w:val="0"/>
              </w:rPr>
              <w:t>he proposed timing of the test was unchanged so as to</w:t>
            </w:r>
            <w:r w:rsidR="000B79DB" w:rsidRPr="000B79DB">
              <w:rPr>
                <w:rFonts w:cs="Arial"/>
                <w:snapToGrid w:val="0"/>
              </w:rPr>
              <w:t xml:space="preserve"> match information available about the tumour at time of diagnosis</w:t>
            </w:r>
            <w:r w:rsidR="0043529D">
              <w:rPr>
                <w:rFonts w:cs="Arial"/>
                <w:snapToGrid w:val="0"/>
              </w:rPr>
              <w:t xml:space="preserve">. </w:t>
            </w:r>
            <w:r w:rsidR="000D08C2">
              <w:rPr>
                <w:rFonts w:cs="Arial"/>
                <w:snapToGrid w:val="0"/>
              </w:rPr>
              <w:t xml:space="preserve">The commentary considered that that </w:t>
            </w:r>
            <w:r w:rsidR="000D08C2" w:rsidRPr="000E600F">
              <w:rPr>
                <w:rFonts w:cs="Arial"/>
                <w:snapToGrid w:val="0"/>
              </w:rPr>
              <w:t>t</w:t>
            </w:r>
            <w:r w:rsidR="0043529D" w:rsidRPr="000E600F">
              <w:rPr>
                <w:rFonts w:cs="Arial"/>
                <w:snapToGrid w:val="0"/>
              </w:rPr>
              <w:t>his remain</w:t>
            </w:r>
            <w:r w:rsidR="000D08C2" w:rsidRPr="000E600F">
              <w:rPr>
                <w:rFonts w:cs="Arial"/>
                <w:snapToGrid w:val="0"/>
              </w:rPr>
              <w:t>ed</w:t>
            </w:r>
            <w:r w:rsidR="0043529D" w:rsidRPr="000E600F">
              <w:rPr>
                <w:rFonts w:cs="Arial"/>
                <w:snapToGrid w:val="0"/>
              </w:rPr>
              <w:t xml:space="preserve"> for MSAC consideration.</w:t>
            </w:r>
            <w:r w:rsidR="001675A0" w:rsidRPr="000E600F">
              <w:rPr>
                <w:rFonts w:cs="Arial"/>
                <w:snapToGrid w:val="0"/>
              </w:rPr>
              <w:t xml:space="preserve"> There may be other benefits following the identification of </w:t>
            </w:r>
            <w:r w:rsidR="009D6558" w:rsidRPr="000E600F">
              <w:t>g</w:t>
            </w:r>
            <w:r w:rsidR="009D6558" w:rsidRPr="00D1522E">
              <w:rPr>
                <w:iCs/>
              </w:rPr>
              <w:t>BRCA</w:t>
            </w:r>
            <w:r w:rsidR="009D6558" w:rsidRPr="000E600F">
              <w:t xml:space="preserve"> </w:t>
            </w:r>
            <w:r w:rsidR="001675A0" w:rsidRPr="000E600F">
              <w:rPr>
                <w:rFonts w:cs="Arial"/>
                <w:snapToGrid w:val="0"/>
              </w:rPr>
              <w:t xml:space="preserve">variants that </w:t>
            </w:r>
            <w:r w:rsidR="000D08C2" w:rsidRPr="000E600F">
              <w:rPr>
                <w:rFonts w:cs="Arial"/>
                <w:snapToGrid w:val="0"/>
              </w:rPr>
              <w:t xml:space="preserve">were </w:t>
            </w:r>
            <w:r w:rsidR="001675A0" w:rsidRPr="000E600F">
              <w:rPr>
                <w:rFonts w:cs="Arial"/>
                <w:snapToGrid w:val="0"/>
              </w:rPr>
              <w:t>not captured in this analysis (</w:t>
            </w:r>
            <w:hyperlink r:id="rId10" w:history="1">
              <w:r w:rsidR="00843CC0" w:rsidRPr="000E600F">
                <w:rPr>
                  <w:rStyle w:val="Hyperlink"/>
                </w:rPr>
                <w:t>1411.1 PSD March 2016 MSAC Meeting</w:t>
              </w:r>
            </w:hyperlink>
            <w:r w:rsidR="001675A0">
              <w:rPr>
                <w:rFonts w:cs="Arial"/>
                <w:i/>
                <w:iCs/>
                <w:snapToGrid w:val="0"/>
              </w:rPr>
              <w:t>)</w:t>
            </w:r>
          </w:p>
        </w:tc>
      </w:tr>
      <w:tr w:rsidR="00573BA3" w:rsidRPr="00CE28E3" w14:paraId="60638B1D" w14:textId="77777777" w:rsidTr="001E065D">
        <w:trPr>
          <w:cantSplit/>
        </w:trPr>
        <w:tc>
          <w:tcPr>
            <w:tcW w:w="941" w:type="pct"/>
            <w:tcBorders>
              <w:top w:val="nil"/>
            </w:tcBorders>
          </w:tcPr>
          <w:p w14:paraId="229F1004" w14:textId="77777777" w:rsidR="00573BA3" w:rsidRDefault="00573BA3" w:rsidP="00824458">
            <w:pPr>
              <w:pStyle w:val="TableText"/>
            </w:pPr>
          </w:p>
        </w:tc>
        <w:tc>
          <w:tcPr>
            <w:tcW w:w="2029" w:type="pct"/>
          </w:tcPr>
          <w:p w14:paraId="4B363608" w14:textId="717EB9A6" w:rsidR="00573BA3" w:rsidRPr="00B47EAD" w:rsidRDefault="00DD49BB" w:rsidP="00824458">
            <w:pPr>
              <w:pStyle w:val="TableText"/>
            </w:pPr>
            <w:r>
              <w:rPr>
                <w:rFonts w:cs="Arial"/>
                <w:snapToGrid w:val="0"/>
              </w:rPr>
              <w:t xml:space="preserve">MSAC considered that a </w:t>
            </w:r>
            <w:r w:rsidR="00573BA3">
              <w:rPr>
                <w:rFonts w:cs="Arial"/>
                <w:snapToGrid w:val="0"/>
              </w:rPr>
              <w:t>reference to multigene assay</w:t>
            </w:r>
            <w:r>
              <w:rPr>
                <w:rFonts w:cs="Arial"/>
                <w:snapToGrid w:val="0"/>
              </w:rPr>
              <w:t>s did not need to be included in the proposed item descriptor</w:t>
            </w:r>
            <w:r w:rsidR="00573BA3">
              <w:rPr>
                <w:rFonts w:cs="Arial"/>
                <w:snapToGrid w:val="0"/>
              </w:rPr>
              <w:t xml:space="preserve"> (PSD, p4)</w:t>
            </w:r>
          </w:p>
        </w:tc>
        <w:tc>
          <w:tcPr>
            <w:tcW w:w="2030" w:type="pct"/>
          </w:tcPr>
          <w:p w14:paraId="79C39CCE" w14:textId="439C0B25" w:rsidR="00573BA3" w:rsidRPr="0043529D" w:rsidRDefault="000B79DB" w:rsidP="00824458">
            <w:pPr>
              <w:pStyle w:val="TableText"/>
              <w:rPr>
                <w:rFonts w:cs="Arial"/>
                <w:i/>
                <w:iCs/>
                <w:snapToGrid w:val="0"/>
              </w:rPr>
            </w:pPr>
            <w:r>
              <w:rPr>
                <w:rFonts w:cs="Arial"/>
                <w:snapToGrid w:val="0"/>
              </w:rPr>
              <w:t xml:space="preserve">Addressed. The proposed MBS item </w:t>
            </w:r>
            <w:r w:rsidR="00DD49BB">
              <w:rPr>
                <w:rFonts w:cs="Arial"/>
                <w:snapToGrid w:val="0"/>
              </w:rPr>
              <w:t>was</w:t>
            </w:r>
            <w:r>
              <w:rPr>
                <w:rFonts w:cs="Arial"/>
                <w:snapToGrid w:val="0"/>
              </w:rPr>
              <w:t xml:space="preserve"> modified to remove reference to multigene assays.</w:t>
            </w:r>
            <w:r w:rsidR="0043529D">
              <w:rPr>
                <w:rFonts w:cs="Arial"/>
                <w:snapToGrid w:val="0"/>
              </w:rPr>
              <w:t xml:space="preserve"> </w:t>
            </w:r>
          </w:p>
        </w:tc>
      </w:tr>
      <w:tr w:rsidR="00732313" w:rsidRPr="00CE28E3" w14:paraId="4636C410" w14:textId="77777777" w:rsidTr="001E065D">
        <w:trPr>
          <w:cantSplit/>
        </w:trPr>
        <w:tc>
          <w:tcPr>
            <w:tcW w:w="941" w:type="pct"/>
            <w:tcBorders>
              <w:bottom w:val="single" w:sz="4" w:space="0" w:color="auto"/>
            </w:tcBorders>
          </w:tcPr>
          <w:p w14:paraId="230F48B1" w14:textId="5385525A" w:rsidR="00732313" w:rsidRDefault="00732313" w:rsidP="00824458">
            <w:pPr>
              <w:pStyle w:val="TableText"/>
            </w:pPr>
            <w:r>
              <w:t>Proposed fee</w:t>
            </w:r>
          </w:p>
        </w:tc>
        <w:tc>
          <w:tcPr>
            <w:tcW w:w="2029" w:type="pct"/>
          </w:tcPr>
          <w:p w14:paraId="1C646D78" w14:textId="0D6E5DBC" w:rsidR="00732313" w:rsidRPr="00B47EAD" w:rsidRDefault="00732313" w:rsidP="00131CA7">
            <w:pPr>
              <w:pStyle w:val="TableText"/>
            </w:pPr>
            <w:r>
              <w:t>MSAC noted variation in current schedule fees for similar services</w:t>
            </w:r>
            <w:r w:rsidR="00DD49BB">
              <w:t xml:space="preserve"> and that the</w:t>
            </w:r>
            <w:r w:rsidR="00131CA7">
              <w:t xml:space="preserve"> </w:t>
            </w:r>
            <w:r>
              <w:t xml:space="preserve">Dept. </w:t>
            </w:r>
            <w:r w:rsidR="00DD49BB">
              <w:t xml:space="preserve">was </w:t>
            </w:r>
            <w:r>
              <w:t xml:space="preserve">investigating which fee </w:t>
            </w:r>
            <w:r w:rsidR="00DD49BB">
              <w:t>would be</w:t>
            </w:r>
            <w:r>
              <w:t xml:space="preserve"> more appropriate</w:t>
            </w:r>
            <w:r w:rsidR="00131CA7">
              <w:t xml:space="preserve"> </w:t>
            </w:r>
            <w:r w:rsidR="00131CA7">
              <w:rPr>
                <w:rFonts w:cs="Arial"/>
                <w:snapToGrid w:val="0"/>
              </w:rPr>
              <w:t>(PSD, p3)</w:t>
            </w:r>
          </w:p>
        </w:tc>
        <w:tc>
          <w:tcPr>
            <w:tcW w:w="2030" w:type="pct"/>
          </w:tcPr>
          <w:p w14:paraId="53C84CCA" w14:textId="30C7C522" w:rsidR="00732313" w:rsidRPr="00CE28E3" w:rsidRDefault="000B79DB" w:rsidP="00824458">
            <w:pPr>
              <w:pStyle w:val="TableText"/>
              <w:rPr>
                <w:rFonts w:cs="Arial"/>
                <w:snapToGrid w:val="0"/>
              </w:rPr>
            </w:pPr>
            <w:r>
              <w:rPr>
                <w:rFonts w:cs="Arial"/>
                <w:snapToGrid w:val="0"/>
              </w:rPr>
              <w:t xml:space="preserve">The resubmission proposed a lower schedule fee ($1,000). </w:t>
            </w:r>
            <w:r w:rsidRPr="000E600F">
              <w:rPr>
                <w:rFonts w:cs="Arial"/>
                <w:snapToGrid w:val="0"/>
              </w:rPr>
              <w:t xml:space="preserve">However, the </w:t>
            </w:r>
            <w:r w:rsidR="000D08C2" w:rsidRPr="000E600F">
              <w:rPr>
                <w:rFonts w:cs="Arial"/>
                <w:snapToGrid w:val="0"/>
              </w:rPr>
              <w:t xml:space="preserve">commentary noted that </w:t>
            </w:r>
            <w:r w:rsidRPr="000E600F">
              <w:rPr>
                <w:rFonts w:cs="Arial"/>
                <w:snapToGrid w:val="0"/>
              </w:rPr>
              <w:t xml:space="preserve"> Dept. supported a schedule fee of $1,200, based on stakeholder consultation</w:t>
            </w:r>
            <w:r w:rsidRPr="0043529D">
              <w:rPr>
                <w:rFonts w:cs="Arial"/>
                <w:i/>
                <w:iCs/>
                <w:snapToGrid w:val="0"/>
              </w:rPr>
              <w:t>.</w:t>
            </w:r>
          </w:p>
        </w:tc>
      </w:tr>
      <w:tr w:rsidR="00B47EAD" w:rsidRPr="00CE28E3" w14:paraId="67F6D594" w14:textId="77777777" w:rsidTr="001E065D">
        <w:trPr>
          <w:cantSplit/>
        </w:trPr>
        <w:tc>
          <w:tcPr>
            <w:tcW w:w="941" w:type="pct"/>
            <w:tcBorders>
              <w:bottom w:val="nil"/>
            </w:tcBorders>
          </w:tcPr>
          <w:p w14:paraId="492B09FC" w14:textId="118C086D" w:rsidR="00B47EAD" w:rsidRPr="00B47EAD" w:rsidRDefault="007F6BB1" w:rsidP="00DB7D28">
            <w:pPr>
              <w:pStyle w:val="TableText"/>
              <w:keepNext/>
            </w:pPr>
            <w:r>
              <w:t>Cascade testing</w:t>
            </w:r>
          </w:p>
        </w:tc>
        <w:tc>
          <w:tcPr>
            <w:tcW w:w="2029" w:type="pct"/>
          </w:tcPr>
          <w:p w14:paraId="132AF439" w14:textId="3983F3AE" w:rsidR="000B79DB" w:rsidRPr="009E2BD5" w:rsidRDefault="00DD49BB" w:rsidP="00DB7D28">
            <w:pPr>
              <w:pStyle w:val="TableText"/>
              <w:keepNext/>
              <w:rPr>
                <w:rFonts w:cs="Arial"/>
                <w:snapToGrid w:val="0"/>
              </w:rPr>
            </w:pPr>
            <w:r>
              <w:rPr>
                <w:rFonts w:cs="Arial"/>
                <w:snapToGrid w:val="0"/>
              </w:rPr>
              <w:t>MSAC noted that the p</w:t>
            </w:r>
            <w:r w:rsidR="00732313">
              <w:rPr>
                <w:rFonts w:cs="Arial"/>
                <w:snapToGrid w:val="0"/>
              </w:rPr>
              <w:t xml:space="preserve">roposed clinical management algorithm did not include cascade testing </w:t>
            </w:r>
            <w:r w:rsidR="007B7C16">
              <w:rPr>
                <w:rFonts w:cs="Arial"/>
                <w:snapToGrid w:val="0"/>
              </w:rPr>
              <w:t>which</w:t>
            </w:r>
            <w:r w:rsidR="00732313">
              <w:rPr>
                <w:rFonts w:cs="Arial"/>
                <w:snapToGrid w:val="0"/>
              </w:rPr>
              <w:t xml:space="preserve"> would be triggered by proposed testing</w:t>
            </w:r>
            <w:r w:rsidR="00131CA7">
              <w:rPr>
                <w:rFonts w:cs="Arial"/>
                <w:snapToGrid w:val="0"/>
              </w:rPr>
              <w:t xml:space="preserve"> (PSD, p5)</w:t>
            </w:r>
          </w:p>
        </w:tc>
        <w:tc>
          <w:tcPr>
            <w:tcW w:w="2030" w:type="pct"/>
          </w:tcPr>
          <w:p w14:paraId="71E7E2DB" w14:textId="394C0C4C" w:rsidR="00B47EAD" w:rsidRPr="0043529D" w:rsidRDefault="000B79DB" w:rsidP="00DB7D28">
            <w:pPr>
              <w:pStyle w:val="TableText"/>
              <w:keepNext/>
              <w:rPr>
                <w:rFonts w:cs="Arial"/>
                <w:i/>
                <w:iCs/>
                <w:snapToGrid w:val="0"/>
              </w:rPr>
            </w:pPr>
            <w:r>
              <w:rPr>
                <w:rFonts w:cs="Arial"/>
                <w:snapToGrid w:val="0"/>
              </w:rPr>
              <w:t xml:space="preserve">Addressed. The proposed clinical management algorithm included cascade testing. </w:t>
            </w:r>
          </w:p>
        </w:tc>
      </w:tr>
      <w:tr w:rsidR="009E2BD5" w:rsidRPr="00CE28E3" w14:paraId="0852A5BC" w14:textId="77777777" w:rsidTr="001E065D">
        <w:trPr>
          <w:cantSplit/>
        </w:trPr>
        <w:tc>
          <w:tcPr>
            <w:tcW w:w="941" w:type="pct"/>
            <w:tcBorders>
              <w:top w:val="nil"/>
            </w:tcBorders>
          </w:tcPr>
          <w:p w14:paraId="5BDBED1D" w14:textId="77777777" w:rsidR="009E2BD5" w:rsidRDefault="009E2BD5" w:rsidP="00824458">
            <w:pPr>
              <w:pStyle w:val="TableText"/>
            </w:pPr>
          </w:p>
        </w:tc>
        <w:tc>
          <w:tcPr>
            <w:tcW w:w="2029" w:type="pct"/>
          </w:tcPr>
          <w:p w14:paraId="1F24484E" w14:textId="259669A8" w:rsidR="009E2BD5" w:rsidRDefault="009E2BD5" w:rsidP="00824458">
            <w:pPr>
              <w:pStyle w:val="TableText"/>
              <w:rPr>
                <w:rFonts w:cs="Arial"/>
                <w:snapToGrid w:val="0"/>
              </w:rPr>
            </w:pPr>
            <w:r>
              <w:rPr>
                <w:rFonts w:cs="Arial"/>
                <w:snapToGrid w:val="0"/>
              </w:rPr>
              <w:t>The impact on the use of cascade testing was not considered in the financial estimates</w:t>
            </w:r>
            <w:r w:rsidR="00DD49BB">
              <w:rPr>
                <w:rFonts w:cs="Arial"/>
                <w:snapToGrid w:val="0"/>
              </w:rPr>
              <w:t xml:space="preserve"> presented in the submission</w:t>
            </w:r>
            <w:r>
              <w:rPr>
                <w:rFonts w:cs="Arial"/>
                <w:snapToGrid w:val="0"/>
              </w:rPr>
              <w:t xml:space="preserve"> (PSD, p24).</w:t>
            </w:r>
          </w:p>
        </w:tc>
        <w:tc>
          <w:tcPr>
            <w:tcW w:w="2030" w:type="pct"/>
          </w:tcPr>
          <w:p w14:paraId="4DF698D9" w14:textId="333FB6AA" w:rsidR="009E2BD5" w:rsidRPr="0043529D" w:rsidRDefault="00060A03" w:rsidP="00824458">
            <w:pPr>
              <w:pStyle w:val="TableText"/>
              <w:rPr>
                <w:rFonts w:cs="Arial"/>
                <w:i/>
                <w:iCs/>
                <w:snapToGrid w:val="0"/>
              </w:rPr>
            </w:pPr>
            <w:r>
              <w:rPr>
                <w:rFonts w:cs="Arial"/>
                <w:snapToGrid w:val="0"/>
              </w:rPr>
              <w:t>This</w:t>
            </w:r>
            <w:r w:rsidR="009E2BD5">
              <w:rPr>
                <w:rFonts w:cs="Arial"/>
                <w:snapToGrid w:val="0"/>
              </w:rPr>
              <w:t xml:space="preserve"> was </w:t>
            </w:r>
            <w:r>
              <w:rPr>
                <w:rFonts w:cs="Arial"/>
                <w:snapToGrid w:val="0"/>
              </w:rPr>
              <w:t>included</w:t>
            </w:r>
            <w:r w:rsidR="009E2BD5">
              <w:rPr>
                <w:rFonts w:cs="Arial"/>
                <w:snapToGrid w:val="0"/>
              </w:rPr>
              <w:t xml:space="preserve"> in a sensitivity analysis only.</w:t>
            </w:r>
            <w:r w:rsidR="0043529D">
              <w:rPr>
                <w:rFonts w:cs="Arial"/>
                <w:i/>
                <w:iCs/>
                <w:snapToGrid w:val="0"/>
              </w:rPr>
              <w:t xml:space="preserve"> </w:t>
            </w:r>
            <w:r w:rsidR="0043529D" w:rsidRPr="000E600F">
              <w:rPr>
                <w:rFonts w:cs="Arial"/>
                <w:snapToGrid w:val="0"/>
              </w:rPr>
              <w:t xml:space="preserve">The </w:t>
            </w:r>
            <w:r w:rsidR="000D08C2" w:rsidRPr="000E600F">
              <w:rPr>
                <w:rFonts w:cs="Arial"/>
                <w:snapToGrid w:val="0"/>
              </w:rPr>
              <w:t>commentary considered the</w:t>
            </w:r>
            <w:r w:rsidR="0043529D" w:rsidRPr="000E600F">
              <w:rPr>
                <w:rFonts w:cs="Arial"/>
                <w:snapToGrid w:val="0"/>
              </w:rPr>
              <w:t xml:space="preserve"> justification for including this in a sensitivity analysis only was not clear.</w:t>
            </w:r>
            <w:r w:rsidR="0043529D">
              <w:rPr>
                <w:rFonts w:cs="Arial"/>
                <w:i/>
                <w:iCs/>
                <w:snapToGrid w:val="0"/>
              </w:rPr>
              <w:t xml:space="preserve"> </w:t>
            </w:r>
          </w:p>
        </w:tc>
      </w:tr>
      <w:tr w:rsidR="00B9112E" w:rsidRPr="00CE28E3" w14:paraId="4F8F9560" w14:textId="77777777" w:rsidTr="001E065D">
        <w:trPr>
          <w:cantSplit/>
        </w:trPr>
        <w:tc>
          <w:tcPr>
            <w:tcW w:w="941" w:type="pct"/>
            <w:tcBorders>
              <w:bottom w:val="single" w:sz="4" w:space="0" w:color="auto"/>
            </w:tcBorders>
          </w:tcPr>
          <w:p w14:paraId="60CE9A58" w14:textId="7C2B07FB" w:rsidR="00B9112E" w:rsidRDefault="00732313" w:rsidP="00824458">
            <w:pPr>
              <w:pStyle w:val="TableText"/>
            </w:pPr>
            <w:r>
              <w:t xml:space="preserve">Prevalence of </w:t>
            </w:r>
            <w:r w:rsidR="001C2599" w:rsidRPr="00D1123F">
              <w:t>g</w:t>
            </w:r>
            <w:r w:rsidRPr="001C2599">
              <w:rPr>
                <w:i/>
                <w:iCs/>
              </w:rPr>
              <w:t>BRCA</w:t>
            </w:r>
            <w:r w:rsidR="001C2599">
              <w:t xml:space="preserve"> variants</w:t>
            </w:r>
          </w:p>
        </w:tc>
        <w:tc>
          <w:tcPr>
            <w:tcW w:w="2029" w:type="pct"/>
          </w:tcPr>
          <w:p w14:paraId="7104040C" w14:textId="102840EA" w:rsidR="00B9112E" w:rsidRPr="00CE28E3" w:rsidRDefault="00445FC3" w:rsidP="00824458">
            <w:pPr>
              <w:pStyle w:val="TableText"/>
              <w:rPr>
                <w:rFonts w:cs="Arial"/>
                <w:snapToGrid w:val="0"/>
              </w:rPr>
            </w:pPr>
            <w:r>
              <w:rPr>
                <w:rFonts w:cs="Arial"/>
                <w:snapToGrid w:val="0"/>
              </w:rPr>
              <w:t xml:space="preserve">MSAC noted that the prevalence of </w:t>
            </w:r>
            <w:r w:rsidR="000D659D" w:rsidRPr="000D659D">
              <w:rPr>
                <w:lang w:val="en-US"/>
              </w:rPr>
              <w:t>g</w:t>
            </w:r>
            <w:r w:rsidR="000D659D" w:rsidRPr="000D659D">
              <w:rPr>
                <w:i/>
                <w:iCs/>
                <w:lang w:val="en-US"/>
              </w:rPr>
              <w:t>BRCA</w:t>
            </w:r>
            <w:r w:rsidR="000D659D">
              <w:rPr>
                <w:rFonts w:cs="Arial"/>
                <w:snapToGrid w:val="0"/>
              </w:rPr>
              <w:t xml:space="preserve"> </w:t>
            </w:r>
            <w:r w:rsidR="009327EB">
              <w:rPr>
                <w:rFonts w:cs="Arial"/>
                <w:snapToGrid w:val="0"/>
              </w:rPr>
              <w:t>variants</w:t>
            </w:r>
            <w:r>
              <w:rPr>
                <w:rFonts w:cs="Arial"/>
                <w:snapToGrid w:val="0"/>
              </w:rPr>
              <w:t xml:space="preserve"> assumed was</w:t>
            </w:r>
            <w:r w:rsidR="00732313">
              <w:rPr>
                <w:rFonts w:cs="Arial"/>
                <w:snapToGrid w:val="0"/>
              </w:rPr>
              <w:t xml:space="preserve"> likely an overestimate</w:t>
            </w:r>
            <w:r w:rsidR="00131CA7">
              <w:rPr>
                <w:rFonts w:cs="Arial"/>
                <w:snapToGrid w:val="0"/>
              </w:rPr>
              <w:t xml:space="preserve"> (PSD, p5)</w:t>
            </w:r>
          </w:p>
        </w:tc>
        <w:tc>
          <w:tcPr>
            <w:tcW w:w="2030" w:type="pct"/>
          </w:tcPr>
          <w:p w14:paraId="421C37A5" w14:textId="4BA674AD" w:rsidR="00B9112E" w:rsidRPr="00CE28E3" w:rsidRDefault="001E065D" w:rsidP="00824458">
            <w:pPr>
              <w:pStyle w:val="TableText"/>
              <w:rPr>
                <w:rFonts w:cs="Arial"/>
                <w:snapToGrid w:val="0"/>
              </w:rPr>
            </w:pPr>
            <w:r>
              <w:rPr>
                <w:rFonts w:cs="Arial"/>
                <w:snapToGrid w:val="0"/>
              </w:rPr>
              <w:t>Addressed. A lower prevalence (5%) was applied in the HR+ population, however the prevalence was unchanged in TNBC, based on advice provided by the PBAC (</w:t>
            </w:r>
            <w:r w:rsidRPr="001E065D">
              <w:rPr>
                <w:rFonts w:cs="Arial"/>
                <w:snapToGrid w:val="0"/>
              </w:rPr>
              <w:t>para</w:t>
            </w:r>
            <w:r w:rsidR="00CB2D8C">
              <w:rPr>
                <w:rFonts w:cs="Arial"/>
                <w:snapToGrid w:val="0"/>
              </w:rPr>
              <w:t>graph</w:t>
            </w:r>
            <w:r w:rsidRPr="001E065D">
              <w:rPr>
                <w:rFonts w:cs="Arial"/>
                <w:snapToGrid w:val="0"/>
              </w:rPr>
              <w:t xml:space="preserve"> 7.14, </w:t>
            </w:r>
            <w:hyperlink r:id="rId11" w:history="1">
              <w:r w:rsidR="00BF501E">
                <w:rPr>
                  <w:rStyle w:val="Hyperlink"/>
                </w:rPr>
                <w:t>O</w:t>
              </w:r>
              <w:r w:rsidRPr="00CB2D8C">
                <w:rPr>
                  <w:rStyle w:val="Hyperlink"/>
                  <w:rFonts w:cs="Arial"/>
                  <w:snapToGrid w:val="0"/>
                </w:rPr>
                <w:t xml:space="preserve">laparib PSD March 2023 PBAC </w:t>
              </w:r>
              <w:r w:rsidR="00BF501E">
                <w:rPr>
                  <w:rStyle w:val="Hyperlink"/>
                  <w:rFonts w:cs="Arial"/>
                  <w:snapToGrid w:val="0"/>
                </w:rPr>
                <w:t>M</w:t>
              </w:r>
              <w:r w:rsidRPr="00CB2D8C">
                <w:rPr>
                  <w:rStyle w:val="Hyperlink"/>
                  <w:rFonts w:cs="Arial"/>
                  <w:snapToGrid w:val="0"/>
                </w:rPr>
                <w:t>eeting</w:t>
              </w:r>
            </w:hyperlink>
            <w:r>
              <w:rPr>
                <w:rFonts w:cs="Arial"/>
                <w:snapToGrid w:val="0"/>
              </w:rPr>
              <w:t>)</w:t>
            </w:r>
            <w:r w:rsidR="00F42F55">
              <w:rPr>
                <w:rFonts w:cs="Arial"/>
                <w:snapToGrid w:val="0"/>
              </w:rPr>
              <w:t xml:space="preserve">. </w:t>
            </w:r>
          </w:p>
        </w:tc>
      </w:tr>
      <w:tr w:rsidR="00732313" w:rsidRPr="00CE28E3" w14:paraId="51D3627A" w14:textId="77777777" w:rsidTr="001E065D">
        <w:trPr>
          <w:cantSplit/>
        </w:trPr>
        <w:tc>
          <w:tcPr>
            <w:tcW w:w="941" w:type="pct"/>
            <w:tcBorders>
              <w:bottom w:val="nil"/>
            </w:tcBorders>
          </w:tcPr>
          <w:p w14:paraId="31A0BEDE" w14:textId="6890928D" w:rsidR="00732313" w:rsidRDefault="00732313" w:rsidP="00DB7D28">
            <w:pPr>
              <w:pStyle w:val="TableText"/>
              <w:keepNext/>
            </w:pPr>
            <w:r>
              <w:lastRenderedPageBreak/>
              <w:t>Projected patient numbers</w:t>
            </w:r>
          </w:p>
        </w:tc>
        <w:tc>
          <w:tcPr>
            <w:tcW w:w="2029" w:type="pct"/>
          </w:tcPr>
          <w:p w14:paraId="7EC7125A" w14:textId="3540DB65" w:rsidR="00131CA7" w:rsidRPr="00131CA7" w:rsidRDefault="00445FC3" w:rsidP="00DB7D28">
            <w:pPr>
              <w:pStyle w:val="TableText"/>
              <w:keepNext/>
            </w:pPr>
            <w:r w:rsidRPr="00445FC3">
              <w:t xml:space="preserve">MSAC was concerned that the patients </w:t>
            </w:r>
            <w:r>
              <w:t xml:space="preserve">eligible for testing, and therefore the financial impact, </w:t>
            </w:r>
            <w:r w:rsidRPr="00445FC3">
              <w:t>were underestimated</w:t>
            </w:r>
            <w:r>
              <w:t xml:space="preserve"> </w:t>
            </w:r>
            <w:r w:rsidR="00573BA3">
              <w:rPr>
                <w:rFonts w:cs="Arial"/>
                <w:snapToGrid w:val="0"/>
              </w:rPr>
              <w:t>(PSD, p6) as:</w:t>
            </w:r>
          </w:p>
        </w:tc>
        <w:tc>
          <w:tcPr>
            <w:tcW w:w="2030" w:type="pct"/>
          </w:tcPr>
          <w:p w14:paraId="36180061" w14:textId="77777777" w:rsidR="00732313" w:rsidRPr="00CE28E3" w:rsidRDefault="00732313" w:rsidP="00DB7D28">
            <w:pPr>
              <w:pStyle w:val="TableText"/>
              <w:keepNext/>
              <w:rPr>
                <w:rFonts w:cs="Arial"/>
                <w:snapToGrid w:val="0"/>
              </w:rPr>
            </w:pPr>
          </w:p>
        </w:tc>
      </w:tr>
      <w:tr w:rsidR="00131CA7" w:rsidRPr="00CE28E3" w14:paraId="73EF5A87" w14:textId="77777777" w:rsidTr="001E065D">
        <w:trPr>
          <w:cantSplit/>
        </w:trPr>
        <w:tc>
          <w:tcPr>
            <w:tcW w:w="941" w:type="pct"/>
            <w:tcBorders>
              <w:top w:val="nil"/>
              <w:bottom w:val="nil"/>
            </w:tcBorders>
          </w:tcPr>
          <w:p w14:paraId="7081159D" w14:textId="77777777" w:rsidR="00131CA7" w:rsidRDefault="00131CA7" w:rsidP="00DB7D28">
            <w:pPr>
              <w:pStyle w:val="TableText"/>
              <w:keepNext/>
            </w:pPr>
          </w:p>
        </w:tc>
        <w:tc>
          <w:tcPr>
            <w:tcW w:w="2029" w:type="pct"/>
          </w:tcPr>
          <w:p w14:paraId="23270C37" w14:textId="7D230F1D" w:rsidR="00131CA7" w:rsidRDefault="00131CA7" w:rsidP="00DB7D28">
            <w:pPr>
              <w:pStyle w:val="TableText"/>
              <w:keepNext/>
              <w:numPr>
                <w:ilvl w:val="0"/>
                <w:numId w:val="19"/>
              </w:numPr>
              <w:ind w:left="458" w:hanging="283"/>
            </w:pPr>
            <w:r>
              <w:t xml:space="preserve">Current use of </w:t>
            </w:r>
            <w:r w:rsidR="000D659D" w:rsidRPr="000D659D">
              <w:rPr>
                <w:lang w:val="en-US"/>
              </w:rPr>
              <w:t>g</w:t>
            </w:r>
            <w:r w:rsidR="000D659D" w:rsidRPr="000D659D">
              <w:rPr>
                <w:i/>
                <w:iCs/>
                <w:lang w:val="en-US"/>
              </w:rPr>
              <w:t>BRCA</w:t>
            </w:r>
            <w:r w:rsidR="000D659D">
              <w:t xml:space="preserve"> </w:t>
            </w:r>
            <w:r>
              <w:t>testing was likely overestimated, particularly in HR+ population</w:t>
            </w:r>
            <w:r w:rsidR="00573BA3">
              <w:t xml:space="preserve"> </w:t>
            </w:r>
            <w:r w:rsidR="00573BA3">
              <w:rPr>
                <w:rFonts w:cs="Arial"/>
                <w:snapToGrid w:val="0"/>
              </w:rPr>
              <w:t>(PSD, p27)</w:t>
            </w:r>
          </w:p>
        </w:tc>
        <w:tc>
          <w:tcPr>
            <w:tcW w:w="2030" w:type="pct"/>
          </w:tcPr>
          <w:p w14:paraId="2C0C6E47" w14:textId="602A7931" w:rsidR="00131CA7" w:rsidRPr="00CE28E3" w:rsidRDefault="00445FC3" w:rsidP="00DB7D28">
            <w:pPr>
              <w:pStyle w:val="TableText"/>
              <w:keepNext/>
              <w:rPr>
                <w:rFonts w:cs="Arial"/>
                <w:snapToGrid w:val="0"/>
              </w:rPr>
            </w:pPr>
            <w:r>
              <w:rPr>
                <w:rFonts w:cs="Arial"/>
                <w:snapToGrid w:val="0"/>
              </w:rPr>
              <w:t xml:space="preserve">Addressed. Lower estimates of </w:t>
            </w:r>
            <w:r w:rsidR="000D659D" w:rsidRPr="000D659D">
              <w:rPr>
                <w:lang w:val="en-US"/>
              </w:rPr>
              <w:t>g</w:t>
            </w:r>
            <w:r w:rsidR="000D659D" w:rsidRPr="000D659D">
              <w:rPr>
                <w:i/>
                <w:iCs/>
                <w:lang w:val="en-US"/>
              </w:rPr>
              <w:t>BRCA</w:t>
            </w:r>
            <w:r w:rsidR="000D659D">
              <w:rPr>
                <w:rFonts w:cs="Arial"/>
                <w:snapToGrid w:val="0"/>
              </w:rPr>
              <w:t xml:space="preserve"> </w:t>
            </w:r>
            <w:r>
              <w:rPr>
                <w:rFonts w:cs="Arial"/>
                <w:snapToGrid w:val="0"/>
              </w:rPr>
              <w:t>testing uptake in the absence of olaparib listing were assumed in the HR+ population, based on advice provided by the PBAC (</w:t>
            </w:r>
            <w:r w:rsidRPr="001E065D">
              <w:rPr>
                <w:rFonts w:cs="Arial"/>
                <w:snapToGrid w:val="0"/>
              </w:rPr>
              <w:t>para</w:t>
            </w:r>
            <w:r w:rsidR="00CB2D8C">
              <w:rPr>
                <w:rFonts w:cs="Arial"/>
                <w:snapToGrid w:val="0"/>
              </w:rPr>
              <w:t>graph</w:t>
            </w:r>
            <w:r w:rsidRPr="001E065D">
              <w:rPr>
                <w:rFonts w:cs="Arial"/>
                <w:snapToGrid w:val="0"/>
              </w:rPr>
              <w:t xml:space="preserve"> 7.14, </w:t>
            </w:r>
            <w:hyperlink r:id="rId12" w:history="1">
              <w:r w:rsidR="00BF501E">
                <w:rPr>
                  <w:rStyle w:val="Hyperlink"/>
                </w:rPr>
                <w:t>O</w:t>
              </w:r>
              <w:r w:rsidRPr="00CB2D8C">
                <w:rPr>
                  <w:rStyle w:val="Hyperlink"/>
                  <w:rFonts w:cs="Arial"/>
                  <w:snapToGrid w:val="0"/>
                </w:rPr>
                <w:t xml:space="preserve">laparib PSD March 2023 PBAC </w:t>
              </w:r>
              <w:r w:rsidR="00BF501E">
                <w:rPr>
                  <w:rStyle w:val="Hyperlink"/>
                  <w:rFonts w:cs="Arial"/>
                  <w:snapToGrid w:val="0"/>
                </w:rPr>
                <w:t>M</w:t>
              </w:r>
              <w:r w:rsidRPr="00CB2D8C">
                <w:rPr>
                  <w:rStyle w:val="Hyperlink"/>
                  <w:rFonts w:cs="Arial"/>
                  <w:snapToGrid w:val="0"/>
                </w:rPr>
                <w:t>eeting</w:t>
              </w:r>
            </w:hyperlink>
            <w:r>
              <w:rPr>
                <w:rFonts w:cs="Arial"/>
                <w:snapToGrid w:val="0"/>
              </w:rPr>
              <w:t xml:space="preserve">). </w:t>
            </w:r>
          </w:p>
        </w:tc>
      </w:tr>
      <w:tr w:rsidR="00131CA7" w:rsidRPr="00CE28E3" w14:paraId="19B66AEF" w14:textId="77777777" w:rsidTr="001E065D">
        <w:trPr>
          <w:cantSplit/>
        </w:trPr>
        <w:tc>
          <w:tcPr>
            <w:tcW w:w="941" w:type="pct"/>
            <w:tcBorders>
              <w:top w:val="nil"/>
              <w:bottom w:val="nil"/>
            </w:tcBorders>
          </w:tcPr>
          <w:p w14:paraId="42B3BB64" w14:textId="77777777" w:rsidR="00131CA7" w:rsidRDefault="00131CA7" w:rsidP="00DB7D28">
            <w:pPr>
              <w:pStyle w:val="TableText"/>
              <w:keepNext/>
            </w:pPr>
          </w:p>
        </w:tc>
        <w:tc>
          <w:tcPr>
            <w:tcW w:w="2029" w:type="pct"/>
          </w:tcPr>
          <w:p w14:paraId="0428C399" w14:textId="7AA118D6" w:rsidR="00131CA7" w:rsidRDefault="00131CA7" w:rsidP="00DB7D28">
            <w:pPr>
              <w:pStyle w:val="TableText"/>
              <w:keepNext/>
              <w:numPr>
                <w:ilvl w:val="0"/>
                <w:numId w:val="19"/>
              </w:numPr>
              <w:ind w:left="458" w:hanging="283"/>
            </w:pPr>
            <w:r>
              <w:t>Cost-shifting to MBS of current non-MBS funded test</w:t>
            </w:r>
            <w:r w:rsidR="00573BA3">
              <w:t>ing</w:t>
            </w:r>
            <w:r>
              <w:t xml:space="preserve"> was not considered</w:t>
            </w:r>
            <w:r w:rsidR="00573BA3">
              <w:t xml:space="preserve"> </w:t>
            </w:r>
            <w:r w:rsidR="00573BA3">
              <w:rPr>
                <w:rFonts w:cs="Arial"/>
                <w:snapToGrid w:val="0"/>
              </w:rPr>
              <w:t>(PSD, p27)</w:t>
            </w:r>
          </w:p>
        </w:tc>
        <w:tc>
          <w:tcPr>
            <w:tcW w:w="2030" w:type="pct"/>
          </w:tcPr>
          <w:p w14:paraId="2AE47703" w14:textId="48D5420B" w:rsidR="00131CA7" w:rsidRPr="00CE28E3" w:rsidRDefault="00445FC3" w:rsidP="00DB7D28">
            <w:pPr>
              <w:pStyle w:val="TableText"/>
              <w:keepNext/>
              <w:rPr>
                <w:rFonts w:cs="Arial"/>
                <w:snapToGrid w:val="0"/>
              </w:rPr>
            </w:pPr>
            <w:r>
              <w:rPr>
                <w:rFonts w:cs="Arial"/>
                <w:snapToGrid w:val="0"/>
              </w:rPr>
              <w:t xml:space="preserve">Not addressed. </w:t>
            </w:r>
            <w:r w:rsidR="00A7137C" w:rsidRPr="000E600F">
              <w:rPr>
                <w:rFonts w:cs="Arial"/>
                <w:snapToGrid w:val="0"/>
              </w:rPr>
              <w:t xml:space="preserve">The </w:t>
            </w:r>
            <w:r w:rsidR="00F925E0" w:rsidRPr="000E600F">
              <w:rPr>
                <w:rFonts w:cs="Arial"/>
                <w:snapToGrid w:val="0"/>
              </w:rPr>
              <w:t>commentary considered that the</w:t>
            </w:r>
            <w:r w:rsidR="00A7137C" w:rsidRPr="000E600F">
              <w:rPr>
                <w:rFonts w:cs="Arial"/>
                <w:snapToGrid w:val="0"/>
              </w:rPr>
              <w:t xml:space="preserve"> extent of other sources of funding for current testing </w:t>
            </w:r>
            <w:r w:rsidR="00F925E0" w:rsidRPr="000E600F">
              <w:rPr>
                <w:rFonts w:cs="Arial"/>
                <w:snapToGrid w:val="0"/>
              </w:rPr>
              <w:t xml:space="preserve">was </w:t>
            </w:r>
            <w:r w:rsidR="00A7137C" w:rsidRPr="000E600F">
              <w:rPr>
                <w:rFonts w:cs="Arial"/>
                <w:snapToGrid w:val="0"/>
              </w:rPr>
              <w:t xml:space="preserve">unknown. Any shift in testing from these other sources to the MBS </w:t>
            </w:r>
            <w:r w:rsidR="00F925E0" w:rsidRPr="000E600F">
              <w:rPr>
                <w:rFonts w:cs="Arial"/>
                <w:snapToGrid w:val="0"/>
              </w:rPr>
              <w:t xml:space="preserve">had </w:t>
            </w:r>
            <w:r w:rsidR="00A7137C" w:rsidRPr="000E600F">
              <w:rPr>
                <w:rFonts w:cs="Arial"/>
                <w:snapToGrid w:val="0"/>
              </w:rPr>
              <w:t xml:space="preserve">not been accounted for in the estimates presented in the resubmission, and so the cost to the MBS may </w:t>
            </w:r>
            <w:r w:rsidR="00F925E0" w:rsidRPr="000E600F">
              <w:rPr>
                <w:rFonts w:cs="Arial"/>
                <w:snapToGrid w:val="0"/>
              </w:rPr>
              <w:t xml:space="preserve">have </w:t>
            </w:r>
            <w:r w:rsidR="00A7137C" w:rsidRPr="000E600F">
              <w:rPr>
                <w:rFonts w:cs="Arial"/>
                <w:snapToGrid w:val="0"/>
              </w:rPr>
              <w:t>be</w:t>
            </w:r>
            <w:r w:rsidR="00F925E0" w:rsidRPr="000E600F">
              <w:rPr>
                <w:rFonts w:cs="Arial"/>
                <w:snapToGrid w:val="0"/>
              </w:rPr>
              <w:t>en</w:t>
            </w:r>
            <w:r w:rsidR="00A7137C" w:rsidRPr="000E600F">
              <w:rPr>
                <w:rFonts w:cs="Arial"/>
                <w:snapToGrid w:val="0"/>
              </w:rPr>
              <w:t xml:space="preserve"> an underestimate.</w:t>
            </w:r>
          </w:p>
        </w:tc>
      </w:tr>
      <w:tr w:rsidR="00131CA7" w:rsidRPr="00CE28E3" w14:paraId="0258701D" w14:textId="77777777" w:rsidTr="001E065D">
        <w:trPr>
          <w:cantSplit/>
        </w:trPr>
        <w:tc>
          <w:tcPr>
            <w:tcW w:w="941" w:type="pct"/>
            <w:tcBorders>
              <w:top w:val="nil"/>
              <w:bottom w:val="nil"/>
            </w:tcBorders>
          </w:tcPr>
          <w:p w14:paraId="11C759CF" w14:textId="77777777" w:rsidR="00131CA7" w:rsidRDefault="00131CA7" w:rsidP="00DB7D28">
            <w:pPr>
              <w:pStyle w:val="TableText"/>
              <w:keepNext/>
            </w:pPr>
          </w:p>
        </w:tc>
        <w:tc>
          <w:tcPr>
            <w:tcW w:w="2029" w:type="pct"/>
          </w:tcPr>
          <w:p w14:paraId="27CD073C" w14:textId="61B3FD9A" w:rsidR="00131CA7" w:rsidRDefault="00131CA7" w:rsidP="00DB7D28">
            <w:pPr>
              <w:pStyle w:val="TableText"/>
              <w:keepNext/>
              <w:numPr>
                <w:ilvl w:val="0"/>
                <w:numId w:val="19"/>
              </w:numPr>
              <w:ind w:left="458" w:hanging="283"/>
            </w:pPr>
            <w:r>
              <w:t xml:space="preserve">The approach used to estimate the number of tests was </w:t>
            </w:r>
            <w:r w:rsidR="00DB7D28">
              <w:t>in</w:t>
            </w:r>
            <w:r>
              <w:t>consistent with the approach used to estimate use of olaparib treatment</w:t>
            </w:r>
            <w:r w:rsidR="00573BA3">
              <w:t xml:space="preserve"> </w:t>
            </w:r>
            <w:r w:rsidR="00573BA3">
              <w:rPr>
                <w:rFonts w:cs="Arial"/>
                <w:snapToGrid w:val="0"/>
              </w:rPr>
              <w:t>(PSD, p27)</w:t>
            </w:r>
          </w:p>
        </w:tc>
        <w:tc>
          <w:tcPr>
            <w:tcW w:w="2030" w:type="pct"/>
          </w:tcPr>
          <w:p w14:paraId="7F9B42A3" w14:textId="06434418" w:rsidR="00131CA7" w:rsidRPr="00CE28E3" w:rsidRDefault="00445FC3" w:rsidP="00DB7D28">
            <w:pPr>
              <w:pStyle w:val="TableText"/>
              <w:keepNext/>
              <w:rPr>
                <w:rFonts w:cs="Arial"/>
                <w:snapToGrid w:val="0"/>
              </w:rPr>
            </w:pPr>
            <w:r>
              <w:rPr>
                <w:rFonts w:cs="Arial"/>
                <w:snapToGrid w:val="0"/>
              </w:rPr>
              <w:t xml:space="preserve">Addressed. The same epidemiological approach </w:t>
            </w:r>
            <w:r w:rsidR="00661DB5">
              <w:rPr>
                <w:rFonts w:cs="Arial"/>
                <w:snapToGrid w:val="0"/>
              </w:rPr>
              <w:t>w</w:t>
            </w:r>
            <w:r>
              <w:rPr>
                <w:rFonts w:cs="Arial"/>
                <w:snapToGrid w:val="0"/>
              </w:rPr>
              <w:t>as</w:t>
            </w:r>
            <w:r w:rsidR="00661DB5">
              <w:rPr>
                <w:rFonts w:cs="Arial"/>
                <w:snapToGrid w:val="0"/>
              </w:rPr>
              <w:t xml:space="preserve"> used to</w:t>
            </w:r>
            <w:r>
              <w:rPr>
                <w:rFonts w:cs="Arial"/>
                <w:snapToGrid w:val="0"/>
              </w:rPr>
              <w:t xml:space="preserve"> estimat</w:t>
            </w:r>
            <w:r w:rsidR="00661DB5">
              <w:rPr>
                <w:rFonts w:cs="Arial"/>
                <w:snapToGrid w:val="0"/>
              </w:rPr>
              <w:t xml:space="preserve">e the number of tests and to estimate </w:t>
            </w:r>
            <w:r>
              <w:rPr>
                <w:rFonts w:cs="Arial"/>
                <w:snapToGrid w:val="0"/>
              </w:rPr>
              <w:t xml:space="preserve">the use and cost of olaparib treatment. </w:t>
            </w:r>
          </w:p>
        </w:tc>
      </w:tr>
      <w:tr w:rsidR="00131CA7" w:rsidRPr="00CE28E3" w14:paraId="36B65E79" w14:textId="77777777" w:rsidTr="001E065D">
        <w:trPr>
          <w:cantSplit/>
        </w:trPr>
        <w:tc>
          <w:tcPr>
            <w:tcW w:w="941" w:type="pct"/>
            <w:tcBorders>
              <w:top w:val="nil"/>
            </w:tcBorders>
          </w:tcPr>
          <w:p w14:paraId="599FC262" w14:textId="77777777" w:rsidR="00131CA7" w:rsidRDefault="00131CA7" w:rsidP="00824458">
            <w:pPr>
              <w:pStyle w:val="TableText"/>
            </w:pPr>
          </w:p>
        </w:tc>
        <w:tc>
          <w:tcPr>
            <w:tcW w:w="2029" w:type="pct"/>
          </w:tcPr>
          <w:p w14:paraId="60F102D7" w14:textId="1599A296" w:rsidR="00131CA7" w:rsidRDefault="00131CA7" w:rsidP="00573BA3">
            <w:pPr>
              <w:pStyle w:val="TableText"/>
              <w:numPr>
                <w:ilvl w:val="0"/>
                <w:numId w:val="19"/>
              </w:numPr>
              <w:ind w:left="458" w:hanging="283"/>
            </w:pPr>
            <w:r>
              <w:t xml:space="preserve">Cost-offsets were not justified as the proposed listing would increase the number of people eligible for </w:t>
            </w:r>
            <w:r w:rsidR="000D659D" w:rsidRPr="000D659D">
              <w:rPr>
                <w:lang w:val="en-US"/>
              </w:rPr>
              <w:t>g</w:t>
            </w:r>
            <w:r w:rsidR="000D659D" w:rsidRPr="000D659D">
              <w:rPr>
                <w:i/>
                <w:iCs/>
                <w:lang w:val="en-US"/>
              </w:rPr>
              <w:t>BRCA</w:t>
            </w:r>
            <w:r w:rsidR="000D659D">
              <w:t xml:space="preserve"> </w:t>
            </w:r>
            <w:r>
              <w:t>testing</w:t>
            </w:r>
            <w:r w:rsidR="00573BA3">
              <w:t xml:space="preserve"> </w:t>
            </w:r>
            <w:r w:rsidR="00573BA3">
              <w:rPr>
                <w:rFonts w:cs="Arial"/>
                <w:snapToGrid w:val="0"/>
              </w:rPr>
              <w:t>(PSD, p27)</w:t>
            </w:r>
          </w:p>
        </w:tc>
        <w:tc>
          <w:tcPr>
            <w:tcW w:w="2030" w:type="pct"/>
          </w:tcPr>
          <w:p w14:paraId="1906D8C3" w14:textId="258E17F7" w:rsidR="00131CA7" w:rsidRPr="00CE28E3" w:rsidRDefault="00131C76" w:rsidP="00824458">
            <w:pPr>
              <w:pStyle w:val="TableText"/>
              <w:rPr>
                <w:rFonts w:cs="Arial"/>
                <w:snapToGrid w:val="0"/>
              </w:rPr>
            </w:pPr>
            <w:r w:rsidRPr="000E600F">
              <w:rPr>
                <w:rFonts w:cs="Arial"/>
                <w:snapToGrid w:val="0"/>
              </w:rPr>
              <w:t xml:space="preserve">The </w:t>
            </w:r>
            <w:r w:rsidR="00F925E0" w:rsidRPr="000E600F">
              <w:rPr>
                <w:rFonts w:cs="Arial"/>
                <w:snapToGrid w:val="0"/>
              </w:rPr>
              <w:t>commentary considered that</w:t>
            </w:r>
            <w:r w:rsidRPr="000E600F">
              <w:rPr>
                <w:rFonts w:cs="Arial"/>
                <w:snapToGrid w:val="0"/>
              </w:rPr>
              <w:t xml:space="preserve"> derivation of costs in the resubmission was clearer. No cost-offsets were assumed, however</w:t>
            </w:r>
            <w:r w:rsidR="00D772C9" w:rsidRPr="000E600F">
              <w:rPr>
                <w:rFonts w:cs="Arial"/>
                <w:snapToGrid w:val="0"/>
              </w:rPr>
              <w:t>,</w:t>
            </w:r>
            <w:r w:rsidRPr="000E600F">
              <w:rPr>
                <w:rFonts w:cs="Arial"/>
                <w:snapToGrid w:val="0"/>
              </w:rPr>
              <w:t xml:space="preserve"> only additional tests in incident cases were costed</w:t>
            </w:r>
            <w:r w:rsidRPr="00131C76">
              <w:rPr>
                <w:rFonts w:cs="Arial"/>
                <w:i/>
                <w:iCs/>
                <w:snapToGrid w:val="0"/>
              </w:rPr>
              <w:t>.</w:t>
            </w:r>
            <w:r>
              <w:rPr>
                <w:rFonts w:cs="Arial"/>
                <w:snapToGrid w:val="0"/>
              </w:rPr>
              <w:t xml:space="preserve"> </w:t>
            </w:r>
          </w:p>
        </w:tc>
      </w:tr>
    </w:tbl>
    <w:p w14:paraId="36FAD701" w14:textId="7A9355AB" w:rsidR="00DF7C74" w:rsidRDefault="00DF7C74" w:rsidP="003E22CB">
      <w:pPr>
        <w:pStyle w:val="TableFigureFooter"/>
        <w:spacing w:after="600"/>
        <w:rPr>
          <w:lang w:val="en-US"/>
        </w:rPr>
      </w:pPr>
      <w:bookmarkStart w:id="11" w:name="_Hlk143764184"/>
      <w:bookmarkStart w:id="12" w:name="_Hlk68275617"/>
      <w:bookmarkEnd w:id="10"/>
      <w:r w:rsidRPr="00DF7C74">
        <w:rPr>
          <w:lang w:val="en-US"/>
        </w:rPr>
        <w:t xml:space="preserve">Source: </w:t>
      </w:r>
      <w:r w:rsidRPr="000E600F">
        <w:rPr>
          <w:lang w:val="en-US"/>
        </w:rPr>
        <w:t>Constructed during the evaluation</w:t>
      </w:r>
      <w:r w:rsidRPr="00DF7C74">
        <w:rPr>
          <w:lang w:val="en-US"/>
        </w:rPr>
        <w:t>.</w:t>
      </w:r>
    </w:p>
    <w:p w14:paraId="3EA0F47E" w14:textId="2F219917" w:rsidR="00F57885" w:rsidRPr="00CE28E3" w:rsidRDefault="000D659D" w:rsidP="008B56CD">
      <w:pPr>
        <w:pStyle w:val="TableFigureFooter"/>
      </w:pPr>
      <w:r w:rsidRPr="000D659D">
        <w:rPr>
          <w:lang w:val="en-US"/>
        </w:rPr>
        <w:t>g</w:t>
      </w:r>
      <w:r w:rsidRPr="000D659D">
        <w:rPr>
          <w:i/>
          <w:iCs/>
          <w:lang w:val="en-US"/>
        </w:rPr>
        <w:t>BRCA</w:t>
      </w:r>
      <w:r w:rsidRPr="00487719">
        <w:t xml:space="preserve"> </w:t>
      </w:r>
      <w:r w:rsidR="009327EB" w:rsidRPr="00487719">
        <w:t xml:space="preserve">= germline </w:t>
      </w:r>
      <w:r w:rsidR="001B7AF2" w:rsidRPr="001B7AF2">
        <w:rPr>
          <w:i/>
          <w:iCs/>
        </w:rPr>
        <w:t>BR</w:t>
      </w:r>
      <w:r w:rsidR="009327EB" w:rsidRPr="001B7AF2">
        <w:rPr>
          <w:i/>
          <w:iCs/>
        </w:rPr>
        <w:t xml:space="preserve">east </w:t>
      </w:r>
      <w:r w:rsidR="001B7AF2" w:rsidRPr="001B7AF2">
        <w:rPr>
          <w:i/>
          <w:iCs/>
        </w:rPr>
        <w:t>CA</w:t>
      </w:r>
      <w:r w:rsidR="009327EB" w:rsidRPr="001B7AF2">
        <w:rPr>
          <w:i/>
          <w:iCs/>
        </w:rPr>
        <w:t>ncer</w:t>
      </w:r>
      <w:r w:rsidR="009327EB" w:rsidRPr="00487719">
        <w:t xml:space="preserve"> gene; </w:t>
      </w:r>
      <w:r w:rsidR="008065B8">
        <w:t xml:space="preserve">HR+ = hormone receptor positive; </w:t>
      </w:r>
      <w:r w:rsidR="009327EB">
        <w:t xml:space="preserve">PARP = </w:t>
      </w:r>
      <w:r w:rsidR="009327EB" w:rsidRPr="009327EB">
        <w:t>poly adenosine diphosphate-ribose polymerase</w:t>
      </w:r>
      <w:r w:rsidR="008065B8">
        <w:t>; TNBC = triple negative breast cancer.</w:t>
      </w:r>
      <w:bookmarkEnd w:id="11"/>
    </w:p>
    <w:p w14:paraId="6F52500A" w14:textId="308387E9" w:rsidR="00772829" w:rsidRPr="00CE28E3" w:rsidRDefault="00CB5FB7" w:rsidP="002A18BE">
      <w:pPr>
        <w:pStyle w:val="Heading2"/>
        <w:numPr>
          <w:ilvl w:val="0"/>
          <w:numId w:val="0"/>
        </w:numPr>
      </w:pPr>
      <w:bookmarkStart w:id="13" w:name="_Toc69491417"/>
      <w:bookmarkEnd w:id="8"/>
      <w:bookmarkEnd w:id="12"/>
      <w:r>
        <w:t>5</w:t>
      </w:r>
      <w:r w:rsidR="00C36633">
        <w:t>.</w:t>
      </w:r>
      <w:r w:rsidR="00C36633">
        <w:tab/>
      </w:r>
      <w:r w:rsidR="00772829" w:rsidRPr="00CE28E3">
        <w:t>Prerequisites to implementation of any funding advice</w:t>
      </w:r>
      <w:bookmarkEnd w:id="13"/>
    </w:p>
    <w:p w14:paraId="08F2D345" w14:textId="37A2E7ED" w:rsidR="005E637E" w:rsidRPr="00F61DCC" w:rsidRDefault="005E637E" w:rsidP="00F14F06">
      <w:r w:rsidRPr="00F61DCC">
        <w:rPr>
          <w:i/>
          <w:iCs/>
        </w:rPr>
        <w:t>BRCA</w:t>
      </w:r>
      <w:r w:rsidRPr="00F61DCC">
        <w:t xml:space="preserve"> testing is well established in a number of laboratories in Australia </w:t>
      </w:r>
      <w:r w:rsidR="00B368E8" w:rsidRPr="00F61DCC">
        <w:t>with</w:t>
      </w:r>
      <w:r w:rsidRPr="00F61DCC">
        <w:t xml:space="preserve"> external quality assurance available through the European Molecular Genetics Quality Network.</w:t>
      </w:r>
    </w:p>
    <w:p w14:paraId="38141E70" w14:textId="13FC5916" w:rsidR="005E637E" w:rsidRPr="00F61DCC" w:rsidRDefault="005E637E" w:rsidP="00F61DCC">
      <w:r w:rsidRPr="00F61DCC">
        <w:t>At</w:t>
      </w:r>
      <w:r w:rsidR="00595645" w:rsidRPr="00F61DCC">
        <w:t xml:space="preserve"> the time of re</w:t>
      </w:r>
      <w:r w:rsidRPr="00F61DCC">
        <w:t xml:space="preserve">submission lodgement, olaparib </w:t>
      </w:r>
      <w:r w:rsidR="00595645" w:rsidRPr="00F61DCC">
        <w:t xml:space="preserve">remained </w:t>
      </w:r>
      <w:r w:rsidRPr="00F61DCC">
        <w:t xml:space="preserve">under review by the TGA for </w:t>
      </w:r>
      <w:r w:rsidR="000D659D" w:rsidRPr="00F61DCC">
        <w:rPr>
          <w:lang w:val="en-US"/>
        </w:rPr>
        <w:t>g</w:t>
      </w:r>
      <w:r w:rsidR="000D659D" w:rsidRPr="00F61DCC">
        <w:rPr>
          <w:i/>
          <w:iCs/>
          <w:lang w:val="en-US"/>
        </w:rPr>
        <w:t>BRCA</w:t>
      </w:r>
      <w:r w:rsidR="000D659D" w:rsidRPr="00F61DCC">
        <w:rPr>
          <w:iCs/>
        </w:rPr>
        <w:t xml:space="preserve"> </w:t>
      </w:r>
      <w:r w:rsidRPr="00F61DCC">
        <w:rPr>
          <w:iCs/>
        </w:rPr>
        <w:t>variant</w:t>
      </w:r>
      <w:r w:rsidRPr="00F61DCC">
        <w:t xml:space="preserve"> HER</w:t>
      </w:r>
      <w:r w:rsidR="009D6558" w:rsidRPr="00F61DCC">
        <w:t>2−</w:t>
      </w:r>
      <w:r w:rsidRPr="00F61DCC">
        <w:t xml:space="preserve"> early breast cancer. </w:t>
      </w:r>
      <w:r w:rsidR="00595645" w:rsidRPr="00F61DCC">
        <w:t>The PBAC resubmission expected that the Delegate’s decision would be made in September 2023.</w:t>
      </w:r>
    </w:p>
    <w:p w14:paraId="44C3B242" w14:textId="7A1D80C6" w:rsidR="00772829" w:rsidRPr="00CE28E3" w:rsidRDefault="00CB5FB7" w:rsidP="002A18BE">
      <w:pPr>
        <w:pStyle w:val="Heading2"/>
        <w:numPr>
          <w:ilvl w:val="0"/>
          <w:numId w:val="0"/>
        </w:numPr>
      </w:pPr>
      <w:bookmarkStart w:id="14" w:name="_Toc69491418"/>
      <w:r>
        <w:t>6</w:t>
      </w:r>
      <w:r w:rsidR="00C36633">
        <w:t>.</w:t>
      </w:r>
      <w:r w:rsidR="00C36633">
        <w:tab/>
      </w:r>
      <w:r w:rsidR="00772829" w:rsidRPr="00CE28E3">
        <w:t>Proposal for public funding</w:t>
      </w:r>
      <w:bookmarkEnd w:id="14"/>
    </w:p>
    <w:p w14:paraId="0F6BA44E" w14:textId="176C6FBE" w:rsidR="00595645" w:rsidRPr="00595645" w:rsidRDefault="00595645" w:rsidP="00D10B90">
      <w:bookmarkStart w:id="15" w:name="_Hlk144381190"/>
      <w:r>
        <w:t xml:space="preserve">The resubmission proposed a new MBS item for </w:t>
      </w:r>
      <w:r w:rsidR="000D659D" w:rsidRPr="000D659D">
        <w:rPr>
          <w:lang w:val="en-US"/>
        </w:rPr>
        <w:t>g</w:t>
      </w:r>
      <w:r w:rsidR="000D659D" w:rsidRPr="000D659D">
        <w:rPr>
          <w:i/>
          <w:iCs/>
          <w:lang w:val="en-US"/>
        </w:rPr>
        <w:t>BRCA</w:t>
      </w:r>
      <w:r w:rsidR="000D659D" w:rsidRPr="00595645">
        <w:t xml:space="preserve"> </w:t>
      </w:r>
      <w:r w:rsidRPr="00595645">
        <w:t>testing</w:t>
      </w:r>
      <w:bookmarkEnd w:id="15"/>
      <w:r w:rsidR="00F14F06">
        <w:t xml:space="preserve"> </w:t>
      </w:r>
      <w:r w:rsidR="009C626A">
        <w:t xml:space="preserve">in </w:t>
      </w:r>
      <w:r w:rsidR="009C626A" w:rsidRPr="00F0465E">
        <w:t>HER2</w:t>
      </w:r>
      <w:r w:rsidR="009C626A">
        <w:t>−</w:t>
      </w:r>
      <w:r w:rsidR="009C626A" w:rsidRPr="00F0465E">
        <w:t xml:space="preserve"> high risk early breast cancer</w:t>
      </w:r>
      <w:r w:rsidR="009C626A">
        <w:t xml:space="preserve"> </w:t>
      </w:r>
      <w:r w:rsidR="00F14F06">
        <w:t>(</w:t>
      </w:r>
      <w:r w:rsidR="003D001A">
        <w:rPr>
          <w:highlight w:val="yellow"/>
        </w:rPr>
        <w:fldChar w:fldCharType="begin"/>
      </w:r>
      <w:r w:rsidR="003D001A">
        <w:instrText xml:space="preserve"> REF _Ref69481033 \h </w:instrText>
      </w:r>
      <w:r w:rsidR="003D001A">
        <w:rPr>
          <w:highlight w:val="yellow"/>
        </w:rPr>
      </w:r>
      <w:r w:rsidR="003D001A">
        <w:rPr>
          <w:highlight w:val="yellow"/>
        </w:rPr>
        <w:fldChar w:fldCharType="separate"/>
      </w:r>
      <w:r w:rsidR="00D8423B">
        <w:t>Table </w:t>
      </w:r>
      <w:r w:rsidR="00D8423B">
        <w:rPr>
          <w:noProof/>
        </w:rPr>
        <w:t>2</w:t>
      </w:r>
      <w:r w:rsidR="003D001A">
        <w:rPr>
          <w:highlight w:val="yellow"/>
        </w:rPr>
        <w:fldChar w:fldCharType="end"/>
      </w:r>
      <w:r w:rsidR="00F14F06">
        <w:t xml:space="preserve">). </w:t>
      </w:r>
    </w:p>
    <w:p w14:paraId="39392CFD" w14:textId="06899678" w:rsidR="003328A9" w:rsidRPr="00CE28E3" w:rsidRDefault="00310C3F" w:rsidP="00310C3F">
      <w:pPr>
        <w:pStyle w:val="Caption"/>
        <w:rPr>
          <w:rFonts w:cs="Arial"/>
        </w:rPr>
      </w:pPr>
      <w:bookmarkStart w:id="16" w:name="_Ref69481033"/>
      <w:r>
        <w:lastRenderedPageBreak/>
        <w:t>Table</w:t>
      </w:r>
      <w:r w:rsidR="004A4FDF">
        <w:t> </w:t>
      </w:r>
      <w:r>
        <w:fldChar w:fldCharType="begin"/>
      </w:r>
      <w:r>
        <w:instrText>SEQ Table \* ARABIC</w:instrText>
      </w:r>
      <w:r>
        <w:fldChar w:fldCharType="separate"/>
      </w:r>
      <w:r w:rsidR="00D8423B">
        <w:rPr>
          <w:noProof/>
        </w:rPr>
        <w:t>2</w:t>
      </w:r>
      <w:r>
        <w:fldChar w:fldCharType="end"/>
      </w:r>
      <w:bookmarkEnd w:id="16"/>
      <w:r w:rsidR="003328A9" w:rsidRPr="00CE28E3">
        <w:rPr>
          <w:rFonts w:cs="Arial"/>
        </w:rPr>
        <w:tab/>
      </w:r>
      <w:r w:rsidR="005E637E" w:rsidRPr="005E637E">
        <w:rPr>
          <w:rFonts w:cs="Arial"/>
        </w:rPr>
        <w:t>Proposed MBS item descriptor</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8"/>
      </w:tblGrid>
      <w:tr w:rsidR="003328A9" w:rsidRPr="00CE28E3" w14:paraId="7A70B700" w14:textId="77777777" w:rsidTr="005E637E">
        <w:trPr>
          <w:cnfStyle w:val="100000000000" w:firstRow="1" w:lastRow="0" w:firstColumn="0" w:lastColumn="0" w:oddVBand="0" w:evenVBand="0" w:oddHBand="0" w:evenHBand="0" w:firstRowFirstColumn="0" w:firstRowLastColumn="0" w:lastRowFirstColumn="0" w:lastRowLastColumn="0"/>
          <w:trHeight w:val="351"/>
          <w:tblHead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617FAF30" w14:textId="6A50E95B" w:rsidR="003328A9" w:rsidRPr="00CE28E3" w:rsidRDefault="005E637E" w:rsidP="00BD784D">
            <w:pPr>
              <w:pStyle w:val="TableText"/>
              <w:keepNext/>
              <w:jc w:val="right"/>
              <w:rPr>
                <w:sz w:val="24"/>
              </w:rPr>
            </w:pPr>
            <w:r w:rsidRPr="005E637E">
              <w:t>Category 6 – Pathology Services</w:t>
            </w:r>
          </w:p>
        </w:tc>
      </w:tr>
      <w:tr w:rsidR="005E637E" w:rsidRPr="00CE28E3" w14:paraId="0B30B512" w14:textId="77777777" w:rsidTr="005E637E">
        <w:trPr>
          <w:cnfStyle w:val="100000000000" w:firstRow="1" w:lastRow="0" w:firstColumn="0" w:lastColumn="0" w:oddVBand="0" w:evenVBand="0" w:oddHBand="0" w:evenHBand="0" w:firstRowFirstColumn="0" w:firstRowLastColumn="0" w:lastRowFirstColumn="0" w:lastRowLastColumn="0"/>
          <w:trHeight w:val="351"/>
          <w:tblHeader/>
        </w:trPr>
        <w:tc>
          <w:tcPr>
            <w:tcW w:w="2500" w:type="pct"/>
            <w:tcBorders>
              <w:top w:val="single" w:sz="4" w:space="0" w:color="000000"/>
              <w:left w:val="single" w:sz="4" w:space="0" w:color="000000"/>
              <w:bottom w:val="single" w:sz="4" w:space="0" w:color="000000"/>
              <w:right w:val="nil"/>
            </w:tcBorders>
          </w:tcPr>
          <w:p w14:paraId="4364F5E0" w14:textId="4B30F2F2" w:rsidR="005E637E" w:rsidRPr="005E637E" w:rsidRDefault="005E637E" w:rsidP="00BD784D">
            <w:pPr>
              <w:pStyle w:val="TableText"/>
              <w:keepNext/>
            </w:pPr>
            <w:r w:rsidRPr="00170D5B">
              <w:rPr>
                <w:lang w:val="en-US" w:eastAsia="ja-JP"/>
              </w:rPr>
              <w:t>MBS item XXXX</w:t>
            </w:r>
          </w:p>
        </w:tc>
        <w:tc>
          <w:tcPr>
            <w:tcW w:w="2500" w:type="pct"/>
            <w:tcBorders>
              <w:top w:val="single" w:sz="4" w:space="0" w:color="000000"/>
              <w:left w:val="nil"/>
              <w:bottom w:val="single" w:sz="4" w:space="0" w:color="000000"/>
              <w:right w:val="single" w:sz="4" w:space="0" w:color="000000"/>
            </w:tcBorders>
          </w:tcPr>
          <w:p w14:paraId="38C8D218" w14:textId="47222E73" w:rsidR="005E637E" w:rsidRPr="005E637E" w:rsidRDefault="005E637E" w:rsidP="00BD784D">
            <w:pPr>
              <w:pStyle w:val="TableText"/>
              <w:keepNext/>
              <w:jc w:val="right"/>
            </w:pPr>
            <w:r w:rsidRPr="005E637E">
              <w:t>Group P7 – Genetics</w:t>
            </w:r>
          </w:p>
        </w:tc>
      </w:tr>
      <w:tr w:rsidR="003328A9" w:rsidRPr="00CE28E3" w14:paraId="05A9B76F" w14:textId="77777777" w:rsidTr="00824458">
        <w:tc>
          <w:tcPr>
            <w:tcW w:w="5000" w:type="pct"/>
            <w:gridSpan w:val="2"/>
            <w:tcBorders>
              <w:top w:val="single" w:sz="4" w:space="0" w:color="000000"/>
              <w:left w:val="single" w:sz="4" w:space="0" w:color="000000"/>
              <w:bottom w:val="single" w:sz="4" w:space="0" w:color="000000"/>
              <w:right w:val="single" w:sz="4" w:space="0" w:color="000000"/>
            </w:tcBorders>
            <w:hideMark/>
          </w:tcPr>
          <w:p w14:paraId="5F67FC40" w14:textId="77777777" w:rsidR="005E637E" w:rsidRPr="005E637E" w:rsidRDefault="005E637E" w:rsidP="00BD784D">
            <w:pPr>
              <w:pStyle w:val="TableText"/>
              <w:keepNext/>
              <w:rPr>
                <w:lang w:val="en-US" w:eastAsia="ja-JP"/>
              </w:rPr>
            </w:pPr>
            <w:r w:rsidRPr="005E637E">
              <w:rPr>
                <w:lang w:val="en-US" w:eastAsia="ja-JP"/>
              </w:rPr>
              <w:t xml:space="preserve">Detection of germline </w:t>
            </w:r>
            <w:r w:rsidRPr="00BD784D">
              <w:rPr>
                <w:i/>
                <w:iCs/>
                <w:lang w:val="en-US" w:eastAsia="ja-JP"/>
              </w:rPr>
              <w:t>BRCA1</w:t>
            </w:r>
            <w:r w:rsidRPr="005E637E">
              <w:rPr>
                <w:lang w:val="en-US" w:eastAsia="ja-JP"/>
              </w:rPr>
              <w:t xml:space="preserve"> or </w:t>
            </w:r>
            <w:r w:rsidRPr="00BD784D">
              <w:rPr>
                <w:i/>
                <w:iCs/>
                <w:lang w:val="en-US" w:eastAsia="ja-JP"/>
              </w:rPr>
              <w:t>BRCA2</w:t>
            </w:r>
            <w:r w:rsidRPr="005E637E">
              <w:rPr>
                <w:lang w:val="en-US" w:eastAsia="ja-JP"/>
              </w:rPr>
              <w:t xml:space="preserve"> pathogenic or likely pathogenic gene variants, in a patient with triple negative early breast cancer or hormone receptor positive, HER2-negative, early breast cancer with high risk characteristics (i) tumour histological grading of at least 3, (ii) tumour size of greater than 2 cm, (iii) cancer cells in any positive axillary lymph nodes, requested by a specialist or consultant physician, to determine eligibility for treatment with a poly (adenosine diphosphate [ADP]-ribose) polymerase (PARP) inhibitor under the Pharmaceutical Benefits Scheme (PBS)</w:t>
            </w:r>
          </w:p>
          <w:p w14:paraId="33450003" w14:textId="77777777" w:rsidR="005E637E" w:rsidRPr="005E637E" w:rsidRDefault="005E637E" w:rsidP="00BD784D">
            <w:pPr>
              <w:pStyle w:val="TableText"/>
              <w:keepNext/>
              <w:rPr>
                <w:lang w:val="en-US" w:eastAsia="ja-JP"/>
              </w:rPr>
            </w:pPr>
          </w:p>
          <w:p w14:paraId="3EEC2DE6" w14:textId="11A025B4" w:rsidR="003328A9" w:rsidRPr="00170D5B" w:rsidRDefault="005E637E" w:rsidP="00BD784D">
            <w:pPr>
              <w:pStyle w:val="TableText"/>
              <w:keepNext/>
              <w:rPr>
                <w:lang w:val="en-US" w:eastAsia="ja-JP"/>
              </w:rPr>
            </w:pPr>
            <w:r w:rsidRPr="005E637E">
              <w:rPr>
                <w:lang w:val="en-US" w:eastAsia="ja-JP"/>
              </w:rPr>
              <w:t xml:space="preserve">Maximum one test per lifetime </w:t>
            </w:r>
          </w:p>
        </w:tc>
      </w:tr>
      <w:tr w:rsidR="003328A9" w:rsidRPr="005D749D" w14:paraId="190EE027" w14:textId="77777777" w:rsidTr="00170D5B">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AEEDFDC" w14:textId="3D08B1F7" w:rsidR="003328A9" w:rsidRPr="005D749D" w:rsidRDefault="005E637E" w:rsidP="00BD784D">
            <w:pPr>
              <w:pStyle w:val="TableText"/>
              <w:keepNext/>
            </w:pPr>
            <w:r w:rsidRPr="005E637E">
              <w:rPr>
                <w:lang w:val="en-US" w:eastAsia="ja-JP"/>
              </w:rPr>
              <w:t>Fee: $1,000.00</w:t>
            </w:r>
            <w:r w:rsidRPr="005E637E">
              <w:rPr>
                <w:lang w:val="en-US" w:eastAsia="ja-JP"/>
              </w:rPr>
              <w:tab/>
              <w:t>Benefit: 75% = $750.00</w:t>
            </w:r>
            <w:r w:rsidRPr="005E637E">
              <w:rPr>
                <w:lang w:val="en-US" w:eastAsia="ja-JP"/>
              </w:rPr>
              <w:tab/>
              <w:t>85% = $850.00*</w:t>
            </w:r>
          </w:p>
        </w:tc>
      </w:tr>
      <w:tr w:rsidR="005E637E" w:rsidRPr="005D749D" w14:paraId="010E6630" w14:textId="77777777" w:rsidTr="00170D5B">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A16A6F4" w14:textId="77777777" w:rsidR="005E637E" w:rsidRPr="005E637E" w:rsidRDefault="005E637E" w:rsidP="00BD784D">
            <w:pPr>
              <w:pStyle w:val="TableText"/>
              <w:keepNext/>
            </w:pPr>
            <w:r w:rsidRPr="005E637E">
              <w:t>Explanatory note PN.0.27</w:t>
            </w:r>
          </w:p>
          <w:p w14:paraId="64B7FA68" w14:textId="320FCE6F" w:rsidR="005E637E" w:rsidRPr="005D749D" w:rsidRDefault="005E637E" w:rsidP="00BD784D">
            <w:pPr>
              <w:pStyle w:val="TableText"/>
              <w:keepNext/>
            </w:pPr>
            <w:r w:rsidRPr="005E637E">
              <w:t>Patients who are found to have any form of affected allele should be referred for post-test genetic counselling as there may be implications for other family members. Appropriate genetic counselling should be provided to the patient either by the specialist treating practitioner, a genetic counselling service or a clinical geneticist.</w:t>
            </w:r>
          </w:p>
        </w:tc>
      </w:tr>
    </w:tbl>
    <w:p w14:paraId="2DED412E" w14:textId="42450AA1" w:rsidR="005E637E" w:rsidRDefault="005E637E" w:rsidP="005E637E">
      <w:pPr>
        <w:pStyle w:val="TableFigureFooter"/>
      </w:pPr>
      <w:r w:rsidRPr="005E637E">
        <w:t>* 85% benefit reflects the 1 November 2022 Greatest Permissible Gap (GPG) of $93.20. All out-of-hospital Medicare services that have an MBS fee of $621.50 or more will attract a benefit that is greater than 85% of the MBS fee – being the schedule fee less the GPG amount. The GPG amount is indexed annually on 1 November in line with the Consumer Price Index (CPI) (June quarter).</w:t>
      </w:r>
    </w:p>
    <w:p w14:paraId="09C19FC9" w14:textId="30659CFB" w:rsidR="00637B7C" w:rsidRDefault="00637B7C" w:rsidP="005E637E">
      <w:pPr>
        <w:pStyle w:val="TableFigureFooter"/>
      </w:pPr>
      <w:r>
        <w:t xml:space="preserve">Source: </w:t>
      </w:r>
      <w:r w:rsidR="00765D26">
        <w:t xml:space="preserve">Table 1 of </w:t>
      </w:r>
      <w:r w:rsidR="003203B9">
        <w:t>minor resubmission</w:t>
      </w:r>
      <w:r w:rsidR="009F62CF">
        <w:t xml:space="preserve"> </w:t>
      </w:r>
    </w:p>
    <w:p w14:paraId="1223D74F" w14:textId="7985331A" w:rsidR="005E637E" w:rsidRDefault="001D03CA" w:rsidP="005E637E">
      <w:bookmarkStart w:id="17" w:name="_Hlk144381233"/>
      <w:r>
        <w:t xml:space="preserve">This included </w:t>
      </w:r>
      <w:r w:rsidR="00EB7EF2">
        <w:t>three</w:t>
      </w:r>
      <w:r>
        <w:t xml:space="preserve"> changes </w:t>
      </w:r>
      <w:r w:rsidR="00EB7EF2">
        <w:t>in the wording of</w:t>
      </w:r>
      <w:r>
        <w:t xml:space="preserve"> the </w:t>
      </w:r>
      <w:r w:rsidR="00605B94">
        <w:t xml:space="preserve">proposed </w:t>
      </w:r>
      <w:r>
        <w:t>item</w:t>
      </w:r>
      <w:r w:rsidR="00605B94">
        <w:t xml:space="preserve"> relative to that</w:t>
      </w:r>
      <w:r>
        <w:t xml:space="preserve"> </w:t>
      </w:r>
      <w:r w:rsidR="001C2599">
        <w:t>in the</w:t>
      </w:r>
      <w:r>
        <w:t xml:space="preserve"> previous</w:t>
      </w:r>
      <w:r w:rsidR="001C2599">
        <w:t xml:space="preserve"> submission</w:t>
      </w:r>
      <w:r>
        <w:t>:</w:t>
      </w:r>
    </w:p>
    <w:p w14:paraId="5A209166" w14:textId="04D75A0F" w:rsidR="001D03CA" w:rsidRDefault="001D03CA" w:rsidP="007D3C2A">
      <w:pPr>
        <w:pStyle w:val="ListParagraph"/>
        <w:numPr>
          <w:ilvl w:val="0"/>
          <w:numId w:val="19"/>
        </w:numPr>
      </w:pPr>
      <w:r>
        <w:t xml:space="preserve">Removing the reference to </w:t>
      </w:r>
      <w:r w:rsidR="00D2474E">
        <w:t xml:space="preserve">a high recurrence score from a multigene assay; </w:t>
      </w:r>
    </w:p>
    <w:p w14:paraId="0F7F6794" w14:textId="67D5108C" w:rsidR="00D2474E" w:rsidRDefault="00EB7EF2" w:rsidP="007D3C2A">
      <w:pPr>
        <w:pStyle w:val="ListParagraph"/>
        <w:numPr>
          <w:ilvl w:val="0"/>
          <w:numId w:val="19"/>
        </w:numPr>
      </w:pPr>
      <w:r>
        <w:t>Replacing specified drug name with the name of the relevant drug class; and</w:t>
      </w:r>
    </w:p>
    <w:p w14:paraId="7FC98746" w14:textId="4A0BD153" w:rsidR="00EB7EF2" w:rsidRDefault="00EB7EF2" w:rsidP="007D3C2A">
      <w:pPr>
        <w:pStyle w:val="ListParagraph"/>
        <w:numPr>
          <w:ilvl w:val="0"/>
          <w:numId w:val="19"/>
        </w:numPr>
      </w:pPr>
      <w:r>
        <w:t>Replacing the explanatory note previously proposed with PN.0.27.</w:t>
      </w:r>
    </w:p>
    <w:p w14:paraId="27E0BB65" w14:textId="2F54AD6E" w:rsidR="007D3C2A" w:rsidRDefault="004A437F" w:rsidP="00EB7EF2">
      <w:r w:rsidRPr="000E600F">
        <w:t>The commentary considered that t</w:t>
      </w:r>
      <w:r w:rsidR="00F902CA" w:rsidRPr="000E600F">
        <w:t xml:space="preserve">hese changes were consistent with </w:t>
      </w:r>
      <w:r w:rsidR="00007164" w:rsidRPr="000E600F">
        <w:t xml:space="preserve">some of the </w:t>
      </w:r>
      <w:r w:rsidR="00F902CA" w:rsidRPr="000E600F">
        <w:t>advice provided by MSAC previously</w:t>
      </w:r>
      <w:r w:rsidR="00605B94" w:rsidRPr="000E600F">
        <w:t xml:space="preserve"> (p4, </w:t>
      </w:r>
      <w:hyperlink r:id="rId13" w:history="1">
        <w:r w:rsidR="00382C91" w:rsidRPr="000E600F">
          <w:rPr>
            <w:rStyle w:val="Hyperlink"/>
          </w:rPr>
          <w:t>1716 PSD March 2023 MSAC Meeting</w:t>
        </w:r>
      </w:hyperlink>
      <w:r w:rsidR="00605B94" w:rsidRPr="000E600F">
        <w:t>)</w:t>
      </w:r>
      <w:r w:rsidR="00F902CA" w:rsidRPr="000E600F">
        <w:t>.</w:t>
      </w:r>
      <w:r w:rsidR="00F902CA">
        <w:t xml:space="preserve"> </w:t>
      </w:r>
      <w:r w:rsidR="00F14F06">
        <w:t>T</w:t>
      </w:r>
      <w:r w:rsidR="007D3C2A">
        <w:t xml:space="preserve">he proposed schedule fee was </w:t>
      </w:r>
      <w:r w:rsidR="00F14F06">
        <w:t xml:space="preserve">also </w:t>
      </w:r>
      <w:r w:rsidR="007D3C2A">
        <w:t xml:space="preserve">reduced to $1,000. </w:t>
      </w:r>
      <w:r w:rsidR="00F902CA" w:rsidRPr="000E600F">
        <w:t xml:space="preserve">The </w:t>
      </w:r>
      <w:r w:rsidR="00BF4080" w:rsidRPr="000E600F">
        <w:t>commentary noted that</w:t>
      </w:r>
      <w:r w:rsidR="00F902CA" w:rsidRPr="000E600F">
        <w:t xml:space="preserve"> </w:t>
      </w:r>
      <w:r w:rsidR="00B00A8C">
        <w:t xml:space="preserve">the </w:t>
      </w:r>
      <w:r w:rsidR="00F902CA" w:rsidRPr="000E600F">
        <w:t xml:space="preserve">MSAC PSD noted inconsistencies in the schedule fee for other current </w:t>
      </w:r>
      <w:r w:rsidR="00F902CA" w:rsidRPr="0058437D">
        <w:t>BRCA</w:t>
      </w:r>
      <w:r w:rsidR="00F902CA" w:rsidRPr="000E600F">
        <w:t xml:space="preserve"> testing items (item 73304, $1,000; and item 73295, $1,200) and that the </w:t>
      </w:r>
      <w:r w:rsidR="009E54A9" w:rsidRPr="000E600F">
        <w:t>d</w:t>
      </w:r>
      <w:r w:rsidR="00F902CA" w:rsidRPr="000E600F">
        <w:t xml:space="preserve">epartment was </w:t>
      </w:r>
      <w:r w:rsidR="00BC2444" w:rsidRPr="000E600F">
        <w:t xml:space="preserve">to </w:t>
      </w:r>
      <w:r w:rsidR="00F902CA" w:rsidRPr="000E600F">
        <w:t>investigat</w:t>
      </w:r>
      <w:r w:rsidR="00BC2444" w:rsidRPr="000E600F">
        <w:t>e</w:t>
      </w:r>
      <w:r w:rsidR="00F902CA" w:rsidRPr="000E600F">
        <w:t xml:space="preserve"> which fee would be more appropriate (p3, </w:t>
      </w:r>
      <w:hyperlink r:id="rId14" w:history="1">
        <w:r w:rsidR="00382C91" w:rsidRPr="000E600F">
          <w:rPr>
            <w:rStyle w:val="Hyperlink"/>
          </w:rPr>
          <w:t>1716 PSD March 2023 MSAC Meeting</w:t>
        </w:r>
      </w:hyperlink>
      <w:r w:rsidR="00F902CA" w:rsidRPr="000E600F">
        <w:t xml:space="preserve">). The </w:t>
      </w:r>
      <w:r w:rsidR="007D77FE" w:rsidRPr="000E600F">
        <w:t>department</w:t>
      </w:r>
      <w:r w:rsidR="00F902CA" w:rsidRPr="000E600F">
        <w:t xml:space="preserve"> supported a schedule fee of $1,200, based on stakeholder consultation feedback indicating this was most appropriate to cover the costs of providing the service</w:t>
      </w:r>
    </w:p>
    <w:p w14:paraId="7AF81229" w14:textId="13835B9F" w:rsidR="00EB7EF2" w:rsidRPr="000E600F" w:rsidRDefault="00EB7EF2" w:rsidP="00EB7EF2">
      <w:r w:rsidRPr="000E600F">
        <w:t xml:space="preserve">While these changes were consistent with some of the advice previously provided by MSAC, </w:t>
      </w:r>
      <w:r w:rsidR="001C2599" w:rsidRPr="000E600F">
        <w:t xml:space="preserve">the </w:t>
      </w:r>
      <w:r w:rsidR="004A437F" w:rsidRPr="000E600F">
        <w:t xml:space="preserve">commentary considered that the </w:t>
      </w:r>
      <w:r w:rsidR="001C2599" w:rsidRPr="000E600F">
        <w:t>following issues remain outstanding</w:t>
      </w:r>
      <w:r w:rsidR="00F61DCC" w:rsidRPr="000E600F">
        <w:t xml:space="preserve"> in the proposed MBS item descriptor</w:t>
      </w:r>
      <w:r w:rsidR="001C2599" w:rsidRPr="000E600F">
        <w:t>:</w:t>
      </w:r>
      <w:r w:rsidR="00B27B57" w:rsidRPr="000E600F">
        <w:t xml:space="preserve"> </w:t>
      </w:r>
    </w:p>
    <w:p w14:paraId="1AE4241C" w14:textId="5E8E2A61" w:rsidR="00EB7EF2" w:rsidRPr="000E600F" w:rsidRDefault="00B27B57" w:rsidP="00BB67F3">
      <w:pPr>
        <w:pStyle w:val="ListParagraph"/>
        <w:numPr>
          <w:ilvl w:val="0"/>
          <w:numId w:val="27"/>
        </w:numPr>
      </w:pPr>
      <w:r w:rsidRPr="000E600F">
        <w:t xml:space="preserve">MSAC previously noted that </w:t>
      </w:r>
      <w:r w:rsidR="00605B94" w:rsidRPr="000E600F">
        <w:t>if</w:t>
      </w:r>
      <w:r w:rsidRPr="000E600F">
        <w:t xml:space="preserve"> funding for proposed </w:t>
      </w:r>
      <w:r w:rsidR="009D6558" w:rsidRPr="009D6558">
        <w:rPr>
          <w:i/>
        </w:rPr>
        <w:t>g</w:t>
      </w:r>
      <w:r w:rsidR="00A96FCF" w:rsidRPr="000E600F">
        <w:rPr>
          <w:i/>
          <w:iCs/>
        </w:rPr>
        <w:t>BRCA</w:t>
      </w:r>
      <w:r w:rsidR="009D6558" w:rsidRPr="000E600F">
        <w:t xml:space="preserve"> </w:t>
      </w:r>
      <w:r w:rsidRPr="000E600F">
        <w:t>testing were approved, either a new item could be introduced, or the existing item 73295 could be amended to include the proposed population</w:t>
      </w:r>
      <w:r w:rsidR="00605B94" w:rsidRPr="000E600F">
        <w:t xml:space="preserve"> (p3, </w:t>
      </w:r>
      <w:hyperlink r:id="rId15" w:history="1">
        <w:r w:rsidR="00382C91" w:rsidRPr="000E600F">
          <w:rPr>
            <w:rStyle w:val="Hyperlink"/>
          </w:rPr>
          <w:t>1716 PSD March 2023 MSAC Meeting</w:t>
        </w:r>
      </w:hyperlink>
      <w:r w:rsidR="00605B94" w:rsidRPr="000E600F">
        <w:t>)</w:t>
      </w:r>
      <w:r w:rsidRPr="000E600F">
        <w:t xml:space="preserve">. Amending item 73295 was noted to be the preferred option, and </w:t>
      </w:r>
      <w:r w:rsidR="001C2599" w:rsidRPr="000E600F">
        <w:t xml:space="preserve">suggested </w:t>
      </w:r>
      <w:r w:rsidRPr="000E600F">
        <w:t>amendments to this item were included in the MSAC PSD (Table 1</w:t>
      </w:r>
      <w:r w:rsidR="00605B94" w:rsidRPr="000E600F">
        <w:t xml:space="preserve">, </w:t>
      </w:r>
      <w:hyperlink r:id="rId16" w:history="1">
        <w:r w:rsidR="00382C91" w:rsidRPr="000E600F">
          <w:rPr>
            <w:rStyle w:val="Hyperlink"/>
          </w:rPr>
          <w:t>1716 PSD March 2023 MSAC Meeting</w:t>
        </w:r>
      </w:hyperlink>
      <w:r w:rsidRPr="000E600F">
        <w:t>).</w:t>
      </w:r>
      <w:r>
        <w:t xml:space="preserve"> A new item was proposed in the resubmission on the basis that amendments to item 73295 would not be suitable, as currently, this item is restricted </w:t>
      </w:r>
      <w:r w:rsidR="00605B94">
        <w:t xml:space="preserve">to </w:t>
      </w:r>
      <w:r>
        <w:t xml:space="preserve">only those patients in whom testing of tumour tissue is not feasible. </w:t>
      </w:r>
      <w:r w:rsidR="00A3278D" w:rsidRPr="000E600F">
        <w:t>T</w:t>
      </w:r>
      <w:r w:rsidR="00BB67F3" w:rsidRPr="000E600F">
        <w:t xml:space="preserve">he </w:t>
      </w:r>
      <w:r w:rsidR="00C06DC4" w:rsidRPr="000E600F">
        <w:t xml:space="preserve">commentary considered that the </w:t>
      </w:r>
      <w:r w:rsidR="00605B94" w:rsidRPr="000E600F">
        <w:t>item descriptor</w:t>
      </w:r>
      <w:r w:rsidR="00BB67F3" w:rsidRPr="000E600F">
        <w:t xml:space="preserve"> could be reworded such that th</w:t>
      </w:r>
      <w:r w:rsidR="00605B94" w:rsidRPr="000E600F">
        <w:t>is</w:t>
      </w:r>
      <w:r w:rsidR="00BB67F3" w:rsidRPr="000E600F">
        <w:t xml:space="preserve"> requirement applies only to those patients with </w:t>
      </w:r>
      <w:r w:rsidR="00605B94" w:rsidRPr="000E600F">
        <w:t>advanced (FIGO III-IV) high-grade serous or high-grade epithelial ovarian, fallopian tube or primary peritoneal cancer</w:t>
      </w:r>
      <w:r w:rsidR="00BB67F3" w:rsidRPr="000E600F">
        <w:t xml:space="preserve"> (</w:t>
      </w:r>
      <w:r w:rsidR="007964AB" w:rsidRPr="000E600F">
        <w:fldChar w:fldCharType="begin"/>
      </w:r>
      <w:r w:rsidR="007964AB" w:rsidRPr="000E600F">
        <w:instrText xml:space="preserve"> REF _Ref144199435 \h  \* MERGEFORMAT </w:instrText>
      </w:r>
      <w:r w:rsidR="007964AB" w:rsidRPr="000E600F">
        <w:fldChar w:fldCharType="separate"/>
      </w:r>
      <w:r w:rsidR="00D8423B" w:rsidRPr="000E600F">
        <w:t>Table 3</w:t>
      </w:r>
      <w:r w:rsidR="007964AB" w:rsidRPr="000E600F">
        <w:fldChar w:fldCharType="end"/>
      </w:r>
      <w:r w:rsidR="00BB67F3" w:rsidRPr="000E600F">
        <w:t xml:space="preserve"> and </w:t>
      </w:r>
      <w:r w:rsidR="007964AB" w:rsidRPr="000E600F">
        <w:fldChar w:fldCharType="begin"/>
      </w:r>
      <w:r w:rsidR="007964AB" w:rsidRPr="000E600F">
        <w:instrText xml:space="preserve"> REF _Ref144199441 \h </w:instrText>
      </w:r>
      <w:r w:rsidR="00BF4080">
        <w:instrText xml:space="preserve"> \* MERGEFORMAT </w:instrText>
      </w:r>
      <w:r w:rsidR="007964AB" w:rsidRPr="000E600F">
        <w:fldChar w:fldCharType="separate"/>
      </w:r>
      <w:r w:rsidR="00D8423B" w:rsidRPr="000E600F">
        <w:t>Table </w:t>
      </w:r>
      <w:r w:rsidR="00D8423B" w:rsidRPr="000E600F">
        <w:rPr>
          <w:noProof/>
        </w:rPr>
        <w:t>4</w:t>
      </w:r>
      <w:r w:rsidR="007964AB" w:rsidRPr="000E600F">
        <w:fldChar w:fldCharType="end"/>
      </w:r>
      <w:r w:rsidR="00BB67F3" w:rsidRPr="000E600F">
        <w:t>).</w:t>
      </w:r>
      <w:r w:rsidR="00563E88" w:rsidRPr="000E600F">
        <w:t xml:space="preserve"> </w:t>
      </w:r>
    </w:p>
    <w:p w14:paraId="3093BBE6" w14:textId="0DBD3D49" w:rsidR="00BB67F3" w:rsidRPr="000E600F" w:rsidRDefault="00BB67F3" w:rsidP="00BB67F3">
      <w:pPr>
        <w:pStyle w:val="ListParagraph"/>
        <w:numPr>
          <w:ilvl w:val="0"/>
          <w:numId w:val="27"/>
        </w:numPr>
      </w:pPr>
      <w:r w:rsidRPr="000E600F">
        <w:lastRenderedPageBreak/>
        <w:t xml:space="preserve">The population eligible for testing </w:t>
      </w:r>
      <w:r w:rsidR="00BF4080" w:rsidRPr="000E600F">
        <w:t xml:space="preserve">remained </w:t>
      </w:r>
      <w:r w:rsidRPr="000E600F">
        <w:t>i</w:t>
      </w:r>
      <w:r w:rsidR="00EB7EF2" w:rsidRPr="000E600F">
        <w:t>nsufficiently define</w:t>
      </w:r>
      <w:r w:rsidRPr="000E600F">
        <w:t xml:space="preserve">d, </w:t>
      </w:r>
      <w:r w:rsidR="0069388D" w:rsidRPr="000E600F">
        <w:t>as it</w:t>
      </w:r>
      <w:r w:rsidRPr="000E600F">
        <w:t xml:space="preserve"> suggest</w:t>
      </w:r>
      <w:r w:rsidR="00BF4080" w:rsidRPr="000E600F">
        <w:t>ed</w:t>
      </w:r>
      <w:r w:rsidRPr="000E600F">
        <w:t xml:space="preserve"> that </w:t>
      </w:r>
      <w:r w:rsidR="00BF706C" w:rsidRPr="000E600F">
        <w:t>hormone receptor positive (</w:t>
      </w:r>
      <w:r w:rsidRPr="000E600F">
        <w:t>HR+</w:t>
      </w:r>
      <w:r w:rsidR="00BF706C" w:rsidRPr="000E600F">
        <w:t>)</w:t>
      </w:r>
      <w:r w:rsidRPr="000E600F">
        <w:t xml:space="preserve"> HER2− patients would require all </w:t>
      </w:r>
      <w:r w:rsidR="00007164" w:rsidRPr="000E600F">
        <w:t xml:space="preserve">specified </w:t>
      </w:r>
      <w:r w:rsidRPr="000E600F">
        <w:t>high-risk characteristics in order to be eligible for testing. MSAC previously noted that the application’s intention was to identify patients that had at least one of the high-risk characteristics</w:t>
      </w:r>
      <w:r w:rsidR="0069388D" w:rsidRPr="000E600F">
        <w:t xml:space="preserve"> (p3, </w:t>
      </w:r>
      <w:hyperlink r:id="rId17" w:history="1">
        <w:r w:rsidR="00382C91" w:rsidRPr="000E600F">
          <w:rPr>
            <w:rStyle w:val="Hyperlink"/>
          </w:rPr>
          <w:t>1716 PSD March 2023 MSAC Meeting</w:t>
        </w:r>
      </w:hyperlink>
      <w:r w:rsidR="0069388D" w:rsidRPr="000E600F">
        <w:t>)</w:t>
      </w:r>
      <w:r w:rsidRPr="000E600F">
        <w:t>.</w:t>
      </w:r>
    </w:p>
    <w:p w14:paraId="5DFD28BA" w14:textId="2FE4D1A4" w:rsidR="007D3C2A" w:rsidRPr="000E600F" w:rsidRDefault="007D3C2A" w:rsidP="007D3C2A">
      <w:pPr>
        <w:pStyle w:val="ListParagraph"/>
        <w:numPr>
          <w:ilvl w:val="0"/>
          <w:numId w:val="20"/>
        </w:numPr>
      </w:pPr>
      <w:r w:rsidRPr="000E600F">
        <w:t>85% benefit d</w:t>
      </w:r>
      <w:r w:rsidR="00BF4080" w:rsidRPr="000E600F">
        <w:t>id</w:t>
      </w:r>
      <w:r w:rsidRPr="000E600F">
        <w:t xml:space="preserve"> not adequately account for the</w:t>
      </w:r>
      <w:r w:rsidR="001C2599" w:rsidRPr="000E600F">
        <w:t xml:space="preserve"> effects of the</w:t>
      </w:r>
      <w:r w:rsidRPr="000E600F">
        <w:t xml:space="preserve"> </w:t>
      </w:r>
      <w:r w:rsidR="008D78CC" w:rsidRPr="000E600F">
        <w:t>greatest permissible gap (</w:t>
      </w:r>
      <w:r w:rsidRPr="000E600F">
        <w:t>GPG</w:t>
      </w:r>
      <w:r w:rsidR="008D78CC" w:rsidRPr="000E600F">
        <w:t>)</w:t>
      </w:r>
      <w:r w:rsidR="001C2599" w:rsidRPr="000E600F">
        <w:t xml:space="preserve"> on the applicable rebate.</w:t>
      </w:r>
    </w:p>
    <w:p w14:paraId="4F7D256F" w14:textId="6E44C6C4" w:rsidR="00B5636A" w:rsidRPr="000E600F" w:rsidRDefault="00B5636A" w:rsidP="00B5636A">
      <w:r w:rsidRPr="000E600F">
        <w:t xml:space="preserve">Options </w:t>
      </w:r>
      <w:r w:rsidR="00C06DC4" w:rsidRPr="000E600F">
        <w:t xml:space="preserve">proposed in the commentary </w:t>
      </w:r>
      <w:r w:rsidRPr="000E600F">
        <w:t xml:space="preserve">for the amendment of item 73295 that account for the concern noted in the resubmission </w:t>
      </w:r>
      <w:r w:rsidR="001C2599" w:rsidRPr="000E600F">
        <w:t xml:space="preserve">regarding </w:t>
      </w:r>
      <w:r w:rsidRPr="000E600F">
        <w:t>the suitability of an amendment</w:t>
      </w:r>
      <w:r w:rsidR="00F61DCC" w:rsidRPr="000E600F">
        <w:t xml:space="preserve">, in addition to addressing other concerns noted </w:t>
      </w:r>
      <w:r w:rsidR="00987F76" w:rsidRPr="000E600F">
        <w:t xml:space="preserve">by the commentary </w:t>
      </w:r>
      <w:r w:rsidR="00F61DCC" w:rsidRPr="000E600F">
        <w:t>above,</w:t>
      </w:r>
      <w:r w:rsidRPr="000E600F">
        <w:t xml:space="preserve"> </w:t>
      </w:r>
      <w:r w:rsidR="00A96A3F" w:rsidRPr="000E600F">
        <w:t>are presented</w:t>
      </w:r>
      <w:bookmarkEnd w:id="17"/>
      <w:r w:rsidR="00A96A3F" w:rsidRPr="000E600F">
        <w:t xml:space="preserve"> in </w:t>
      </w:r>
      <w:r w:rsidR="003D001A" w:rsidRPr="000E600F">
        <w:rPr>
          <w:highlight w:val="yellow"/>
        </w:rPr>
        <w:fldChar w:fldCharType="begin"/>
      </w:r>
      <w:r w:rsidR="003D001A" w:rsidRPr="000E600F">
        <w:instrText xml:space="preserve"> REF _Ref144199435 \h </w:instrText>
      </w:r>
      <w:r w:rsidR="003D001A" w:rsidRPr="000E600F">
        <w:rPr>
          <w:highlight w:val="yellow"/>
        </w:rPr>
        <w:instrText xml:space="preserve"> \* MERGEFORMAT </w:instrText>
      </w:r>
      <w:r w:rsidR="003D001A" w:rsidRPr="000E600F">
        <w:rPr>
          <w:highlight w:val="yellow"/>
        </w:rPr>
      </w:r>
      <w:r w:rsidR="003D001A" w:rsidRPr="000E600F">
        <w:rPr>
          <w:highlight w:val="yellow"/>
        </w:rPr>
        <w:fldChar w:fldCharType="separate"/>
      </w:r>
      <w:r w:rsidR="00D8423B" w:rsidRPr="000E600F">
        <w:t>Table 3</w:t>
      </w:r>
      <w:r w:rsidR="003D001A" w:rsidRPr="000E600F">
        <w:rPr>
          <w:highlight w:val="yellow"/>
        </w:rPr>
        <w:fldChar w:fldCharType="end"/>
      </w:r>
      <w:r w:rsidR="00A96A3F" w:rsidRPr="000E600F">
        <w:t xml:space="preserve"> and </w:t>
      </w:r>
      <w:r w:rsidR="003D001A" w:rsidRPr="000E600F">
        <w:rPr>
          <w:highlight w:val="yellow"/>
        </w:rPr>
        <w:fldChar w:fldCharType="begin"/>
      </w:r>
      <w:r w:rsidR="003D001A" w:rsidRPr="000E600F">
        <w:instrText xml:space="preserve"> REF _Ref144199441 \h </w:instrText>
      </w:r>
      <w:r w:rsidR="003D001A" w:rsidRPr="000E600F">
        <w:rPr>
          <w:highlight w:val="yellow"/>
        </w:rPr>
        <w:instrText xml:space="preserve"> \* MERGEFORMAT </w:instrText>
      </w:r>
      <w:r w:rsidR="003D001A" w:rsidRPr="000E600F">
        <w:rPr>
          <w:highlight w:val="yellow"/>
        </w:rPr>
      </w:r>
      <w:r w:rsidR="003D001A" w:rsidRPr="000E600F">
        <w:rPr>
          <w:highlight w:val="yellow"/>
        </w:rPr>
        <w:fldChar w:fldCharType="separate"/>
      </w:r>
      <w:r w:rsidR="00D8423B" w:rsidRPr="000E600F">
        <w:t>Table 4</w:t>
      </w:r>
      <w:r w:rsidR="003D001A" w:rsidRPr="000E600F">
        <w:rPr>
          <w:highlight w:val="yellow"/>
        </w:rPr>
        <w:fldChar w:fldCharType="end"/>
      </w:r>
      <w:r w:rsidR="00A96A3F" w:rsidRPr="000E600F">
        <w:t>.</w:t>
      </w:r>
    </w:p>
    <w:p w14:paraId="2FA246EC" w14:textId="467494C5" w:rsidR="00BD784D" w:rsidRPr="00CE28E3" w:rsidRDefault="00BD784D" w:rsidP="00BD784D">
      <w:pPr>
        <w:pStyle w:val="Caption"/>
        <w:rPr>
          <w:rFonts w:cs="Arial"/>
        </w:rPr>
      </w:pPr>
      <w:bookmarkStart w:id="18" w:name="_Ref144199435"/>
      <w:r>
        <w:t>Table </w:t>
      </w:r>
      <w:r>
        <w:fldChar w:fldCharType="begin"/>
      </w:r>
      <w:r>
        <w:instrText>SEQ Table \* ARABIC</w:instrText>
      </w:r>
      <w:r>
        <w:fldChar w:fldCharType="separate"/>
      </w:r>
      <w:r w:rsidR="00D8423B">
        <w:rPr>
          <w:noProof/>
        </w:rPr>
        <w:t>3</w:t>
      </w:r>
      <w:r>
        <w:fldChar w:fldCharType="end"/>
      </w:r>
      <w:bookmarkEnd w:id="18"/>
      <w:r w:rsidRPr="00CE28E3">
        <w:rPr>
          <w:rFonts w:cs="Arial"/>
        </w:rPr>
        <w:tab/>
      </w:r>
      <w:r w:rsidRPr="00BD784D">
        <w:rPr>
          <w:rFonts w:cs="Arial"/>
        </w:rPr>
        <w:t>MSAC’s advice of potential amendment to MBS item descriptor 73295</w:t>
      </w:r>
      <w:r w:rsidR="002057D5">
        <w:rPr>
          <w:rFonts w:cs="Arial"/>
        </w:rPr>
        <w:t xml:space="preserve"> </w:t>
      </w:r>
      <w:r w:rsidRPr="00BD784D">
        <w:rPr>
          <w:rFonts w:cs="Arial"/>
          <w:color w:val="0070C0"/>
        </w:rPr>
        <w:t>with proposed rewording</w:t>
      </w:r>
      <w:r w:rsidR="00313152">
        <w:rPr>
          <w:rFonts w:cs="Arial"/>
          <w:color w:val="0070C0"/>
        </w:rPr>
        <w:t xml:space="preserve"> to account for concerns noted in the resubmission</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8"/>
      </w:tblGrid>
      <w:tr w:rsidR="00BD784D" w:rsidRPr="00CE28E3" w14:paraId="0D7B3D08" w14:textId="77777777">
        <w:trPr>
          <w:cnfStyle w:val="100000000000" w:firstRow="1" w:lastRow="0" w:firstColumn="0" w:lastColumn="0" w:oddVBand="0" w:evenVBand="0" w:oddHBand="0" w:evenHBand="0" w:firstRowFirstColumn="0" w:firstRowLastColumn="0" w:lastRowFirstColumn="0" w:lastRowLastColumn="0"/>
          <w:trHeight w:val="351"/>
          <w:tblHead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7F87880C" w14:textId="77777777" w:rsidR="00BD784D" w:rsidRPr="00CE28E3" w:rsidRDefault="00BD784D">
            <w:pPr>
              <w:pStyle w:val="TableText"/>
              <w:keepNext/>
              <w:jc w:val="right"/>
              <w:rPr>
                <w:sz w:val="24"/>
              </w:rPr>
            </w:pPr>
            <w:r w:rsidRPr="005E637E">
              <w:t>Category 6 – Pathology Services</w:t>
            </w:r>
          </w:p>
        </w:tc>
      </w:tr>
      <w:tr w:rsidR="00BD784D" w:rsidRPr="00CE28E3" w14:paraId="62052953" w14:textId="77777777">
        <w:trPr>
          <w:cnfStyle w:val="100000000000" w:firstRow="1" w:lastRow="0" w:firstColumn="0" w:lastColumn="0" w:oddVBand="0" w:evenVBand="0" w:oddHBand="0" w:evenHBand="0" w:firstRowFirstColumn="0" w:firstRowLastColumn="0" w:lastRowFirstColumn="0" w:lastRowLastColumn="0"/>
          <w:trHeight w:val="351"/>
          <w:tblHeader/>
        </w:trPr>
        <w:tc>
          <w:tcPr>
            <w:tcW w:w="2500" w:type="pct"/>
            <w:tcBorders>
              <w:top w:val="single" w:sz="4" w:space="0" w:color="000000"/>
              <w:left w:val="single" w:sz="4" w:space="0" w:color="000000"/>
              <w:bottom w:val="single" w:sz="4" w:space="0" w:color="000000"/>
              <w:right w:val="nil"/>
            </w:tcBorders>
          </w:tcPr>
          <w:p w14:paraId="4BE11B5F" w14:textId="3E33D0A7" w:rsidR="00BD784D" w:rsidRPr="005E637E" w:rsidRDefault="00BD784D">
            <w:pPr>
              <w:pStyle w:val="TableText"/>
              <w:keepNext/>
            </w:pPr>
            <w:r w:rsidRPr="00170D5B">
              <w:rPr>
                <w:lang w:val="en-US" w:eastAsia="ja-JP"/>
              </w:rPr>
              <w:t xml:space="preserve">MBS item </w:t>
            </w:r>
            <w:r>
              <w:rPr>
                <w:rFonts w:cs="Arial"/>
              </w:rPr>
              <w:t>73295</w:t>
            </w:r>
          </w:p>
        </w:tc>
        <w:tc>
          <w:tcPr>
            <w:tcW w:w="2500" w:type="pct"/>
            <w:tcBorders>
              <w:top w:val="single" w:sz="4" w:space="0" w:color="000000"/>
              <w:left w:val="nil"/>
              <w:bottom w:val="single" w:sz="4" w:space="0" w:color="000000"/>
              <w:right w:val="single" w:sz="4" w:space="0" w:color="000000"/>
            </w:tcBorders>
          </w:tcPr>
          <w:p w14:paraId="15E3DF96" w14:textId="77777777" w:rsidR="00BD784D" w:rsidRPr="005E637E" w:rsidRDefault="00BD784D">
            <w:pPr>
              <w:pStyle w:val="TableText"/>
              <w:keepNext/>
              <w:jc w:val="right"/>
            </w:pPr>
            <w:r w:rsidRPr="005E637E">
              <w:t>Group P7 – Genetics</w:t>
            </w:r>
          </w:p>
        </w:tc>
      </w:tr>
      <w:tr w:rsidR="00BD784D" w:rsidRPr="00CE28E3" w14:paraId="74322166" w14:textId="77777777">
        <w:tc>
          <w:tcPr>
            <w:tcW w:w="5000" w:type="pct"/>
            <w:gridSpan w:val="2"/>
            <w:tcBorders>
              <w:top w:val="single" w:sz="4" w:space="0" w:color="000000"/>
              <w:left w:val="single" w:sz="4" w:space="0" w:color="000000"/>
              <w:bottom w:val="single" w:sz="4" w:space="0" w:color="000000"/>
              <w:right w:val="single" w:sz="4" w:space="0" w:color="000000"/>
            </w:tcBorders>
            <w:hideMark/>
          </w:tcPr>
          <w:p w14:paraId="547E1995" w14:textId="43DBB117" w:rsidR="00BD784D" w:rsidRDefault="00BD784D" w:rsidP="00BD784D">
            <w:pPr>
              <w:pStyle w:val="TableText"/>
              <w:keepNext/>
              <w:rPr>
                <w:lang w:val="en-US" w:eastAsia="ja-JP"/>
              </w:rPr>
            </w:pPr>
            <w:r w:rsidRPr="00BD784D">
              <w:rPr>
                <w:lang w:val="en-US" w:eastAsia="ja-JP"/>
              </w:rPr>
              <w:t xml:space="preserve">Detection of germline </w:t>
            </w:r>
            <w:r w:rsidRPr="00BD784D">
              <w:rPr>
                <w:i/>
                <w:iCs/>
                <w:lang w:val="en-US" w:eastAsia="ja-JP"/>
              </w:rPr>
              <w:t>BRCA1</w:t>
            </w:r>
            <w:r w:rsidRPr="00BD784D">
              <w:rPr>
                <w:lang w:val="en-US" w:eastAsia="ja-JP"/>
              </w:rPr>
              <w:t xml:space="preserve"> or </w:t>
            </w:r>
            <w:r w:rsidRPr="00BD784D">
              <w:rPr>
                <w:i/>
                <w:iCs/>
                <w:lang w:val="en-US" w:eastAsia="ja-JP"/>
              </w:rPr>
              <w:t>BRCA2</w:t>
            </w:r>
            <w:r w:rsidRPr="00BD784D">
              <w:rPr>
                <w:lang w:val="en-US" w:eastAsia="ja-JP"/>
              </w:rPr>
              <w:t xml:space="preserve"> pathogenic or likely pathogenic gene variants, in a patient with advanced (FIGO III-IV) high-grade serous or high-grade epithelial ovarian, fallopian tube or primary peritoneal cancer </w:t>
            </w:r>
            <w:r w:rsidRPr="00BD784D">
              <w:rPr>
                <w:color w:val="0070C0"/>
                <w:lang w:val="en-US" w:eastAsia="ja-JP"/>
              </w:rPr>
              <w:t>for whom testing of tumour tissue is not feasible</w:t>
            </w:r>
            <w:r w:rsidR="001C2599">
              <w:rPr>
                <w:color w:val="0070C0"/>
                <w:lang w:val="en-US" w:eastAsia="ja-JP"/>
              </w:rPr>
              <w:t>;</w:t>
            </w:r>
            <w:r w:rsidRPr="00BD784D">
              <w:rPr>
                <w:color w:val="FF0000"/>
                <w:lang w:val="en-US" w:eastAsia="ja-JP"/>
              </w:rPr>
              <w:t xml:space="preserve"> or </w:t>
            </w:r>
            <w:r w:rsidRPr="00BD784D">
              <w:rPr>
                <w:color w:val="0070C0"/>
                <w:lang w:val="en-US" w:eastAsia="ja-JP"/>
              </w:rPr>
              <w:t xml:space="preserve">in a patient with </w:t>
            </w:r>
            <w:r w:rsidRPr="00BD784D">
              <w:rPr>
                <w:color w:val="FF0000"/>
                <w:lang w:val="en-US" w:eastAsia="ja-JP"/>
              </w:rPr>
              <w:t xml:space="preserve">HER2-negative high-risk breast cancer </w:t>
            </w:r>
            <w:r w:rsidRPr="00BD784D">
              <w:rPr>
                <w:strike/>
                <w:color w:val="0070C0"/>
                <w:lang w:val="en-US" w:eastAsia="ja-JP"/>
              </w:rPr>
              <w:t>for whom testing of tumour tissue is not feasible</w:t>
            </w:r>
            <w:r w:rsidRPr="00BD784D">
              <w:rPr>
                <w:lang w:val="en-US" w:eastAsia="ja-JP"/>
              </w:rPr>
              <w:t>, requested by a specialist or consultant physician, to determine eligibility for treatment with a poly (adenosine diphosphate [ADP]-ribose) polymerase (PARP) inhibitor under the Pharmaceutical Benefits Scheme (PBS)</w:t>
            </w:r>
            <w:r w:rsidRPr="00BD784D">
              <w:rPr>
                <w:color w:val="FF0000"/>
                <w:lang w:val="en-US" w:eastAsia="ja-JP"/>
              </w:rPr>
              <w:t>, where</w:t>
            </w:r>
            <w:r w:rsidRPr="00BD784D">
              <w:rPr>
                <w:lang w:val="en-US" w:eastAsia="ja-JP"/>
              </w:rPr>
              <w:t>:</w:t>
            </w:r>
          </w:p>
          <w:p w14:paraId="59B5F34D" w14:textId="77777777" w:rsidR="00BD784D" w:rsidRPr="00BD784D" w:rsidRDefault="00BD784D" w:rsidP="00BD784D">
            <w:pPr>
              <w:pStyle w:val="TableText"/>
              <w:keepNext/>
              <w:rPr>
                <w:lang w:val="en-US" w:eastAsia="ja-JP"/>
              </w:rPr>
            </w:pPr>
          </w:p>
          <w:p w14:paraId="04A852D4" w14:textId="1742D8E5" w:rsidR="00BD784D" w:rsidRPr="00BD784D" w:rsidRDefault="00BD784D" w:rsidP="00BD784D">
            <w:pPr>
              <w:pStyle w:val="TableText"/>
              <w:keepNext/>
              <w:rPr>
                <w:color w:val="FF0000"/>
                <w:lang w:val="en-US" w:eastAsia="ja-JP"/>
              </w:rPr>
            </w:pPr>
            <w:r w:rsidRPr="00BD784D">
              <w:rPr>
                <w:color w:val="FF0000"/>
                <w:lang w:val="en-US" w:eastAsia="ja-JP"/>
              </w:rPr>
              <w:t>HER2-negative high-risk breast cancer is classified as either triple negative early breast cancer or hormone receptor positive, HER2-negative, early breast cancer with at least one of the following high-risk characteristics:</w:t>
            </w:r>
          </w:p>
          <w:p w14:paraId="487E4663" w14:textId="361283AA" w:rsidR="00BD784D" w:rsidRPr="00BD784D" w:rsidRDefault="00BD784D" w:rsidP="007D3C2A">
            <w:pPr>
              <w:pStyle w:val="TableText"/>
              <w:keepNext/>
              <w:numPr>
                <w:ilvl w:val="0"/>
                <w:numId w:val="14"/>
              </w:numPr>
              <w:rPr>
                <w:color w:val="FF0000"/>
                <w:lang w:val="en-US" w:eastAsia="ja-JP"/>
              </w:rPr>
            </w:pPr>
            <w:r w:rsidRPr="00BD784D">
              <w:rPr>
                <w:color w:val="FF0000"/>
                <w:lang w:val="en-US" w:eastAsia="ja-JP"/>
              </w:rPr>
              <w:t>tumour histological grading of at least 3; or</w:t>
            </w:r>
          </w:p>
          <w:p w14:paraId="2F5F26B9" w14:textId="5E2D1BC5" w:rsidR="00BD784D" w:rsidRPr="00BD784D" w:rsidRDefault="00BD784D" w:rsidP="007D3C2A">
            <w:pPr>
              <w:pStyle w:val="TableText"/>
              <w:keepNext/>
              <w:numPr>
                <w:ilvl w:val="0"/>
                <w:numId w:val="14"/>
              </w:numPr>
              <w:rPr>
                <w:color w:val="FF0000"/>
                <w:lang w:val="en-US" w:eastAsia="ja-JP"/>
              </w:rPr>
            </w:pPr>
            <w:r w:rsidRPr="00BD784D">
              <w:rPr>
                <w:color w:val="FF0000"/>
                <w:lang w:val="en-US" w:eastAsia="ja-JP"/>
              </w:rPr>
              <w:t>tumour size of greater than 2 cm; or</w:t>
            </w:r>
          </w:p>
          <w:p w14:paraId="705D4A1E" w14:textId="33898D7E" w:rsidR="00BD784D" w:rsidRPr="00BD784D" w:rsidRDefault="00BD784D" w:rsidP="007D3C2A">
            <w:pPr>
              <w:pStyle w:val="TableText"/>
              <w:keepNext/>
              <w:numPr>
                <w:ilvl w:val="0"/>
                <w:numId w:val="14"/>
              </w:numPr>
              <w:rPr>
                <w:color w:val="FF0000"/>
                <w:lang w:val="en-US" w:eastAsia="ja-JP"/>
              </w:rPr>
            </w:pPr>
            <w:r w:rsidRPr="00BD784D">
              <w:rPr>
                <w:color w:val="FF0000"/>
                <w:lang w:val="en-US" w:eastAsia="ja-JP"/>
              </w:rPr>
              <w:t>one or more axillary lymph node metastases</w:t>
            </w:r>
          </w:p>
          <w:p w14:paraId="27410E18" w14:textId="77777777" w:rsidR="00BD784D" w:rsidRDefault="00BD784D" w:rsidP="00BD784D">
            <w:pPr>
              <w:pStyle w:val="TableText"/>
              <w:keepNext/>
              <w:rPr>
                <w:lang w:val="en-US" w:eastAsia="ja-JP"/>
              </w:rPr>
            </w:pPr>
          </w:p>
          <w:p w14:paraId="7A88FBD5" w14:textId="3443C749" w:rsidR="00BD784D" w:rsidRPr="00170D5B" w:rsidRDefault="00BD784D" w:rsidP="00BD784D">
            <w:pPr>
              <w:pStyle w:val="TableText"/>
              <w:keepNext/>
              <w:rPr>
                <w:lang w:val="en-US" w:eastAsia="ja-JP"/>
              </w:rPr>
            </w:pPr>
            <w:r w:rsidRPr="00BD784D">
              <w:rPr>
                <w:lang w:val="en-US" w:eastAsia="ja-JP"/>
              </w:rPr>
              <w:t>Maximum of one test per patient’s lifetime</w:t>
            </w:r>
          </w:p>
        </w:tc>
      </w:tr>
      <w:tr w:rsidR="00BD784D" w:rsidRPr="005D749D" w14:paraId="0003D0BC" w14:textId="77777777">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42382C2F" w14:textId="2662197E" w:rsidR="00BD784D" w:rsidRPr="005D749D" w:rsidRDefault="00BD784D">
            <w:pPr>
              <w:pStyle w:val="TableText"/>
              <w:keepNext/>
            </w:pPr>
            <w:r w:rsidRPr="005E637E">
              <w:rPr>
                <w:lang w:val="en-US" w:eastAsia="ja-JP"/>
              </w:rPr>
              <w:t>Fee: $1,</w:t>
            </w:r>
            <w:r>
              <w:rPr>
                <w:lang w:val="en-US" w:eastAsia="ja-JP"/>
              </w:rPr>
              <w:t>2</w:t>
            </w:r>
            <w:r w:rsidRPr="005E637E">
              <w:rPr>
                <w:lang w:val="en-US" w:eastAsia="ja-JP"/>
              </w:rPr>
              <w:t>00.00</w:t>
            </w:r>
            <w:r w:rsidRPr="005E637E">
              <w:rPr>
                <w:lang w:val="en-US" w:eastAsia="ja-JP"/>
              </w:rPr>
              <w:tab/>
              <w:t>Benefit: 75% = $</w:t>
            </w:r>
            <w:r>
              <w:rPr>
                <w:lang w:val="en-US" w:eastAsia="ja-JP"/>
              </w:rPr>
              <w:t>90</w:t>
            </w:r>
            <w:r w:rsidRPr="005E637E">
              <w:rPr>
                <w:lang w:val="en-US" w:eastAsia="ja-JP"/>
              </w:rPr>
              <w:t>0.00</w:t>
            </w:r>
            <w:r w:rsidRPr="005E637E">
              <w:rPr>
                <w:lang w:val="en-US" w:eastAsia="ja-JP"/>
              </w:rPr>
              <w:tab/>
              <w:t>85% = $</w:t>
            </w:r>
            <w:r w:rsidRPr="00BD784D">
              <w:rPr>
                <w:lang w:val="en-US" w:eastAsia="ja-JP"/>
              </w:rPr>
              <w:t>1</w:t>
            </w:r>
            <w:r>
              <w:rPr>
                <w:lang w:val="en-US" w:eastAsia="ja-JP"/>
              </w:rPr>
              <w:t>,</w:t>
            </w:r>
            <w:r w:rsidRPr="00BD784D">
              <w:rPr>
                <w:lang w:val="en-US" w:eastAsia="ja-JP"/>
              </w:rPr>
              <w:t>106.80</w:t>
            </w:r>
            <w:r w:rsidRPr="005E637E">
              <w:rPr>
                <w:lang w:val="en-US" w:eastAsia="ja-JP"/>
              </w:rPr>
              <w:t>*</w:t>
            </w:r>
          </w:p>
        </w:tc>
      </w:tr>
      <w:tr w:rsidR="00BD784D" w:rsidRPr="005D749D" w14:paraId="6E71D232" w14:textId="77777777">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2D6B5E9E" w14:textId="77777777" w:rsidR="00BD784D" w:rsidRPr="005E637E" w:rsidRDefault="00BD784D">
            <w:pPr>
              <w:pStyle w:val="TableText"/>
              <w:keepNext/>
            </w:pPr>
            <w:r w:rsidRPr="005E637E">
              <w:t>Explanatory note PN.0.27</w:t>
            </w:r>
          </w:p>
          <w:p w14:paraId="0B198E39" w14:textId="77777777" w:rsidR="00BD784D" w:rsidRPr="005D749D" w:rsidRDefault="00BD784D">
            <w:pPr>
              <w:pStyle w:val="TableText"/>
              <w:keepNext/>
            </w:pPr>
            <w:r w:rsidRPr="005E637E">
              <w:t>Patients who are found to have any form of affected allele should be referred for post-test genetic counselling as there may be implications for other family members. Appropriate genetic counselling should be provided to the patient either by the specialist treating practitioner, a genetic counselling service or a clinical geneticist.</w:t>
            </w:r>
          </w:p>
        </w:tc>
      </w:tr>
    </w:tbl>
    <w:p w14:paraId="1F99B42D" w14:textId="5B285A3B" w:rsidR="00BD784D" w:rsidRDefault="00BD784D" w:rsidP="00BD784D">
      <w:pPr>
        <w:pStyle w:val="TableFigureFooter"/>
      </w:pPr>
      <w:r w:rsidRPr="00BD784D">
        <w:t>* 85% benefit reflects the 1 November 2022 Greatest Permissible Gap (GPG) of $93.20. All out-of-hospital Medicare services that have an MBS fee of $621.50 or more will attract a benefit that is greater than 85% of the MBS fee – being the schedule fee less the GPG amount. The GPG amount is indexed annually on 1 November in line with the Consumer Price Index (CPI) (June quarter).</w:t>
      </w:r>
    </w:p>
    <w:p w14:paraId="79AB18C0" w14:textId="14AE855F" w:rsidR="00DF2FB5" w:rsidRDefault="00DF2FB5" w:rsidP="00BD784D">
      <w:pPr>
        <w:pStyle w:val="TableFigureFooter"/>
      </w:pPr>
      <w:r w:rsidRPr="00DF2FB5">
        <w:rPr>
          <w:color w:val="FF0000"/>
        </w:rPr>
        <w:t xml:space="preserve">Red </w:t>
      </w:r>
      <w:r>
        <w:t xml:space="preserve">text denotes changes proposed by MSAC in March 2023. </w:t>
      </w:r>
      <w:r w:rsidRPr="00DF2FB5">
        <w:rPr>
          <w:color w:val="0070C0"/>
        </w:rPr>
        <w:t xml:space="preserve">Blue </w:t>
      </w:r>
      <w:r>
        <w:t xml:space="preserve">text denotes changes proposed </w:t>
      </w:r>
      <w:r w:rsidR="004A437F">
        <w:t>in the commentary</w:t>
      </w:r>
      <w:r>
        <w:t xml:space="preserve"> to address subsequent concerns raised by the applicant.</w:t>
      </w:r>
    </w:p>
    <w:p w14:paraId="04FD9303" w14:textId="40829D60" w:rsidR="00637B7C" w:rsidRDefault="00637B7C" w:rsidP="00BD784D">
      <w:pPr>
        <w:pStyle w:val="TableFigureFooter"/>
      </w:pPr>
      <w:r>
        <w:t>Source:</w:t>
      </w:r>
      <w:r w:rsidR="008F0F2B">
        <w:t xml:space="preserve"> </w:t>
      </w:r>
      <w:r w:rsidR="00710BA1">
        <w:t xml:space="preserve">Adapted from 1716 PSD </w:t>
      </w:r>
      <w:r w:rsidR="00183574">
        <w:t>Table</w:t>
      </w:r>
      <w:r w:rsidR="00CB0102">
        <w:t xml:space="preserve"> 1</w:t>
      </w:r>
      <w:r w:rsidR="003310C7">
        <w:t xml:space="preserve"> with proposed commentary additions</w:t>
      </w:r>
    </w:p>
    <w:p w14:paraId="22C78C8F" w14:textId="1D6A254E" w:rsidR="00EA3FC2" w:rsidRPr="000E600F" w:rsidRDefault="00EA3FC2" w:rsidP="005E637E">
      <w:r w:rsidRPr="000E600F">
        <w:t xml:space="preserve">As the proposed item </w:t>
      </w:r>
      <w:r w:rsidR="00BF4080" w:rsidRPr="000E600F">
        <w:t xml:space="preserve">intended </w:t>
      </w:r>
      <w:r w:rsidRPr="000E600F">
        <w:t xml:space="preserve">that different criteria apply depending on the type of cancer a patient has, e.g. advanced </w:t>
      </w:r>
      <w:r w:rsidR="00661DB5" w:rsidRPr="000E600F">
        <w:t xml:space="preserve">epithelial ovarian, fallopian tube or primary peritoneal cancer </w:t>
      </w:r>
      <w:r w:rsidRPr="000E600F">
        <w:t xml:space="preserve">or early </w:t>
      </w:r>
      <w:r w:rsidR="00661DB5" w:rsidRPr="000E600F">
        <w:t>breast cancer</w:t>
      </w:r>
      <w:r w:rsidR="00313152" w:rsidRPr="000E600F">
        <w:t xml:space="preserve">; </w:t>
      </w:r>
      <w:r w:rsidR="0069388D" w:rsidRPr="000E600F">
        <w:t>or whether additional criteria are required,</w:t>
      </w:r>
      <w:r w:rsidRPr="000E600F">
        <w:t xml:space="preserve"> </w:t>
      </w:r>
      <w:r w:rsidR="004A437F" w:rsidRPr="000E600F">
        <w:t xml:space="preserve">the commentary suggested </w:t>
      </w:r>
      <w:r w:rsidRPr="000E600F">
        <w:t xml:space="preserve">alternate amendments to item 73295 </w:t>
      </w:r>
      <w:r w:rsidR="004A437F" w:rsidRPr="000E600F">
        <w:t>(</w:t>
      </w:r>
      <w:r w:rsidR="003D001A" w:rsidRPr="000E600F">
        <w:rPr>
          <w:highlight w:val="yellow"/>
        </w:rPr>
        <w:fldChar w:fldCharType="begin"/>
      </w:r>
      <w:r w:rsidR="003D001A" w:rsidRPr="000E600F">
        <w:instrText xml:space="preserve"> REF _Ref144199441 \h </w:instrText>
      </w:r>
      <w:r w:rsidR="00BF4080">
        <w:rPr>
          <w:highlight w:val="yellow"/>
        </w:rPr>
        <w:instrText xml:space="preserve"> \* MERGEFORMAT </w:instrText>
      </w:r>
      <w:r w:rsidR="003D001A" w:rsidRPr="000E600F">
        <w:rPr>
          <w:highlight w:val="yellow"/>
        </w:rPr>
      </w:r>
      <w:r w:rsidR="003D001A" w:rsidRPr="000E600F">
        <w:rPr>
          <w:highlight w:val="yellow"/>
        </w:rPr>
        <w:fldChar w:fldCharType="separate"/>
      </w:r>
      <w:r w:rsidR="00D8423B" w:rsidRPr="000E600F">
        <w:t>Table </w:t>
      </w:r>
      <w:r w:rsidR="00D8423B" w:rsidRPr="000E600F">
        <w:rPr>
          <w:noProof/>
        </w:rPr>
        <w:t>4</w:t>
      </w:r>
      <w:r w:rsidR="003D001A" w:rsidRPr="000E600F">
        <w:rPr>
          <w:highlight w:val="yellow"/>
        </w:rPr>
        <w:fldChar w:fldCharType="end"/>
      </w:r>
      <w:r w:rsidR="004A437F" w:rsidRPr="000E600F">
        <w:t>)</w:t>
      </w:r>
      <w:r w:rsidR="0069388D" w:rsidRPr="000E600F">
        <w:t xml:space="preserve"> to allow these criteria to be more clearly related to the respective patient populations.</w:t>
      </w:r>
    </w:p>
    <w:p w14:paraId="1F02A75F" w14:textId="587C029A" w:rsidR="001C2599" w:rsidRPr="00195681" w:rsidRDefault="00DF2FB5" w:rsidP="001C2599">
      <w:pPr>
        <w:pStyle w:val="Caption"/>
        <w:rPr>
          <w:i/>
          <w:iCs/>
        </w:rPr>
      </w:pPr>
      <w:bookmarkStart w:id="19" w:name="_Ref144199441"/>
      <w:r w:rsidRPr="00195681">
        <w:rPr>
          <w:i/>
          <w:iCs/>
        </w:rPr>
        <w:lastRenderedPageBreak/>
        <w:t>Table </w:t>
      </w:r>
      <w:r w:rsidRPr="00195681">
        <w:rPr>
          <w:i/>
          <w:iCs/>
        </w:rPr>
        <w:fldChar w:fldCharType="begin"/>
      </w:r>
      <w:r w:rsidRPr="00195681">
        <w:rPr>
          <w:i/>
          <w:iCs/>
        </w:rPr>
        <w:instrText xml:space="preserve"> SEQ Table \* ARABIC </w:instrText>
      </w:r>
      <w:r w:rsidRPr="00195681">
        <w:rPr>
          <w:i/>
          <w:iCs/>
        </w:rPr>
        <w:fldChar w:fldCharType="separate"/>
      </w:r>
      <w:r w:rsidR="00D8423B">
        <w:rPr>
          <w:i/>
          <w:iCs/>
          <w:noProof/>
        </w:rPr>
        <w:t>4</w:t>
      </w:r>
      <w:r w:rsidRPr="00195681">
        <w:rPr>
          <w:i/>
          <w:iCs/>
          <w:noProof/>
        </w:rPr>
        <w:fldChar w:fldCharType="end"/>
      </w:r>
      <w:bookmarkEnd w:id="19"/>
      <w:r w:rsidRPr="00195681">
        <w:rPr>
          <w:rFonts w:cs="Arial"/>
          <w:i/>
          <w:iCs/>
        </w:rPr>
        <w:tab/>
      </w:r>
      <w:r w:rsidR="004A437F">
        <w:rPr>
          <w:i/>
          <w:iCs/>
        </w:rPr>
        <w:t>S</w:t>
      </w:r>
      <w:r w:rsidR="001C2599" w:rsidRPr="00195681">
        <w:rPr>
          <w:i/>
          <w:iCs/>
        </w:rPr>
        <w:t>uggested amendments to item 73295</w:t>
      </w:r>
      <w:r w:rsidR="004A437F">
        <w:rPr>
          <w:i/>
          <w:iCs/>
        </w:rPr>
        <w:t xml:space="preserve"> proposed in the commentary</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8"/>
      </w:tblGrid>
      <w:tr w:rsidR="00195681" w:rsidRPr="00195681" w14:paraId="5B556FB4" w14:textId="77777777">
        <w:trPr>
          <w:cnfStyle w:val="100000000000" w:firstRow="1" w:lastRow="0" w:firstColumn="0" w:lastColumn="0" w:oddVBand="0" w:evenVBand="0" w:oddHBand="0" w:evenHBand="0" w:firstRowFirstColumn="0" w:firstRowLastColumn="0" w:lastRowFirstColumn="0" w:lastRowLastColumn="0"/>
          <w:trHeight w:val="351"/>
          <w:tblHead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30AAB2B" w14:textId="77777777" w:rsidR="00055E08" w:rsidRPr="00195681" w:rsidRDefault="00055E08">
            <w:pPr>
              <w:pStyle w:val="TableText"/>
              <w:keepNext/>
              <w:jc w:val="right"/>
              <w:rPr>
                <w:sz w:val="24"/>
              </w:rPr>
            </w:pPr>
            <w:r w:rsidRPr="00195681">
              <w:t>Category 6 – Pathology Services</w:t>
            </w:r>
          </w:p>
        </w:tc>
      </w:tr>
      <w:tr w:rsidR="00195681" w:rsidRPr="00195681" w14:paraId="7039B75E" w14:textId="77777777">
        <w:trPr>
          <w:cnfStyle w:val="100000000000" w:firstRow="1" w:lastRow="0" w:firstColumn="0" w:lastColumn="0" w:oddVBand="0" w:evenVBand="0" w:oddHBand="0" w:evenHBand="0" w:firstRowFirstColumn="0" w:firstRowLastColumn="0" w:lastRowFirstColumn="0" w:lastRowLastColumn="0"/>
          <w:trHeight w:val="351"/>
          <w:tblHeader/>
        </w:trPr>
        <w:tc>
          <w:tcPr>
            <w:tcW w:w="2500" w:type="pct"/>
            <w:tcBorders>
              <w:top w:val="single" w:sz="4" w:space="0" w:color="000000"/>
              <w:left w:val="single" w:sz="4" w:space="0" w:color="000000"/>
              <w:bottom w:val="single" w:sz="4" w:space="0" w:color="000000"/>
              <w:right w:val="nil"/>
            </w:tcBorders>
          </w:tcPr>
          <w:p w14:paraId="77AB44F2" w14:textId="77777777" w:rsidR="00055E08" w:rsidRPr="00195681" w:rsidRDefault="00055E08">
            <w:pPr>
              <w:pStyle w:val="TableText"/>
              <w:keepNext/>
            </w:pPr>
            <w:r w:rsidRPr="00195681">
              <w:rPr>
                <w:lang w:val="en-US" w:eastAsia="ja-JP"/>
              </w:rPr>
              <w:t xml:space="preserve">MBS item </w:t>
            </w:r>
            <w:r w:rsidRPr="00195681">
              <w:rPr>
                <w:rFonts w:cs="Arial"/>
              </w:rPr>
              <w:t>73295</w:t>
            </w:r>
          </w:p>
        </w:tc>
        <w:tc>
          <w:tcPr>
            <w:tcW w:w="2500" w:type="pct"/>
            <w:tcBorders>
              <w:top w:val="single" w:sz="4" w:space="0" w:color="000000"/>
              <w:left w:val="nil"/>
              <w:bottom w:val="single" w:sz="4" w:space="0" w:color="000000"/>
              <w:right w:val="single" w:sz="4" w:space="0" w:color="000000"/>
            </w:tcBorders>
          </w:tcPr>
          <w:p w14:paraId="00810216" w14:textId="77777777" w:rsidR="00055E08" w:rsidRPr="00195681" w:rsidRDefault="00055E08">
            <w:pPr>
              <w:pStyle w:val="TableText"/>
              <w:keepNext/>
              <w:jc w:val="right"/>
            </w:pPr>
            <w:r w:rsidRPr="00195681">
              <w:t>Group P7 – Genetics</w:t>
            </w:r>
          </w:p>
        </w:tc>
      </w:tr>
      <w:tr w:rsidR="00195681" w:rsidRPr="00195681" w14:paraId="410D8D45" w14:textId="77777777">
        <w:tc>
          <w:tcPr>
            <w:tcW w:w="5000" w:type="pct"/>
            <w:gridSpan w:val="2"/>
            <w:tcBorders>
              <w:top w:val="single" w:sz="4" w:space="0" w:color="000000"/>
              <w:left w:val="single" w:sz="4" w:space="0" w:color="000000"/>
              <w:bottom w:val="single" w:sz="4" w:space="0" w:color="000000"/>
              <w:right w:val="single" w:sz="4" w:space="0" w:color="000000"/>
            </w:tcBorders>
            <w:hideMark/>
          </w:tcPr>
          <w:p w14:paraId="5F3B9475" w14:textId="77777777" w:rsidR="00055E08" w:rsidRPr="00195681" w:rsidRDefault="00055E08" w:rsidP="00055E08">
            <w:pPr>
              <w:pStyle w:val="TableText"/>
              <w:keepNext/>
              <w:rPr>
                <w:lang w:val="en-US" w:eastAsia="ja-JP"/>
              </w:rPr>
            </w:pPr>
            <w:r w:rsidRPr="00195681">
              <w:rPr>
                <w:lang w:val="en-US" w:eastAsia="ja-JP"/>
              </w:rPr>
              <w:t xml:space="preserve">Detection of germline </w:t>
            </w:r>
            <w:r w:rsidRPr="00195681">
              <w:rPr>
                <w:i/>
                <w:iCs/>
                <w:lang w:val="en-US" w:eastAsia="ja-JP"/>
              </w:rPr>
              <w:t>BRCA1</w:t>
            </w:r>
            <w:r w:rsidRPr="00195681">
              <w:rPr>
                <w:lang w:val="en-US" w:eastAsia="ja-JP"/>
              </w:rPr>
              <w:t xml:space="preserve"> or </w:t>
            </w:r>
            <w:r w:rsidRPr="00195681">
              <w:rPr>
                <w:i/>
                <w:iCs/>
                <w:lang w:val="en-US" w:eastAsia="ja-JP"/>
              </w:rPr>
              <w:t>BRCA2</w:t>
            </w:r>
            <w:r w:rsidRPr="00195681">
              <w:rPr>
                <w:lang w:val="en-US" w:eastAsia="ja-JP"/>
              </w:rPr>
              <w:t xml:space="preserve"> pathogenic or likely pathogenic gene variants, in a patient with:</w:t>
            </w:r>
          </w:p>
          <w:p w14:paraId="0BBB3EEC" w14:textId="37D5A269" w:rsidR="00055E08" w:rsidRPr="00195681" w:rsidRDefault="00055E08" w:rsidP="00055E08">
            <w:pPr>
              <w:pStyle w:val="TableText"/>
              <w:keepNext/>
              <w:numPr>
                <w:ilvl w:val="0"/>
                <w:numId w:val="23"/>
              </w:numPr>
              <w:rPr>
                <w:lang w:val="en-US" w:eastAsia="ja-JP"/>
              </w:rPr>
            </w:pPr>
            <w:r w:rsidRPr="00195681">
              <w:rPr>
                <w:lang w:val="en-US" w:eastAsia="ja-JP"/>
              </w:rPr>
              <w:t>advanced (FIGO III-IV) high-grade serous or high-grade epithelial ovarian, fallopian tube or primary peritoneal cancer for whom testing of tumour tissue is not feasible; or</w:t>
            </w:r>
          </w:p>
          <w:p w14:paraId="2969A539" w14:textId="1E037F80" w:rsidR="00055E08" w:rsidRPr="00195681" w:rsidRDefault="00055E08" w:rsidP="00055E08">
            <w:pPr>
              <w:pStyle w:val="TableText"/>
              <w:keepNext/>
              <w:numPr>
                <w:ilvl w:val="0"/>
                <w:numId w:val="23"/>
              </w:numPr>
              <w:rPr>
                <w:lang w:val="en-US" w:eastAsia="ja-JP"/>
              </w:rPr>
            </w:pPr>
            <w:r w:rsidRPr="00195681">
              <w:rPr>
                <w:lang w:val="en-US" w:eastAsia="ja-JP"/>
              </w:rPr>
              <w:t>triple negative early breast cancer; or</w:t>
            </w:r>
          </w:p>
          <w:p w14:paraId="54F44C1B" w14:textId="198BE707" w:rsidR="00055E08" w:rsidRPr="00195681" w:rsidRDefault="00055E08" w:rsidP="00055E08">
            <w:pPr>
              <w:pStyle w:val="TableText"/>
              <w:keepNext/>
              <w:numPr>
                <w:ilvl w:val="0"/>
                <w:numId w:val="23"/>
              </w:numPr>
              <w:rPr>
                <w:lang w:val="en-US" w:eastAsia="ja-JP"/>
              </w:rPr>
            </w:pPr>
            <w:r w:rsidRPr="00195681">
              <w:rPr>
                <w:lang w:val="en-US" w:eastAsia="ja-JP"/>
              </w:rPr>
              <w:t>hormone receptor positive, HER2-negative, early breast cancer with at least one of the following high-risk characteristics:</w:t>
            </w:r>
          </w:p>
          <w:p w14:paraId="3B187DD4" w14:textId="2BD5A625" w:rsidR="00055E08" w:rsidRPr="00195681" w:rsidRDefault="00055E08" w:rsidP="00055E08">
            <w:pPr>
              <w:pStyle w:val="TableText"/>
              <w:keepNext/>
              <w:numPr>
                <w:ilvl w:val="1"/>
                <w:numId w:val="23"/>
              </w:numPr>
              <w:rPr>
                <w:lang w:val="en-US" w:eastAsia="ja-JP"/>
              </w:rPr>
            </w:pPr>
            <w:r w:rsidRPr="00195681">
              <w:rPr>
                <w:lang w:val="en-US" w:eastAsia="ja-JP"/>
              </w:rPr>
              <w:t>tumour histological grading of at least 3; or</w:t>
            </w:r>
          </w:p>
          <w:p w14:paraId="359FF593" w14:textId="28968AEC" w:rsidR="00055E08" w:rsidRPr="00195681" w:rsidRDefault="00055E08" w:rsidP="00055E08">
            <w:pPr>
              <w:pStyle w:val="TableText"/>
              <w:keepNext/>
              <w:numPr>
                <w:ilvl w:val="1"/>
                <w:numId w:val="23"/>
              </w:numPr>
              <w:rPr>
                <w:lang w:val="en-US" w:eastAsia="ja-JP"/>
              </w:rPr>
            </w:pPr>
            <w:r w:rsidRPr="00195681">
              <w:rPr>
                <w:lang w:val="en-US" w:eastAsia="ja-JP"/>
              </w:rPr>
              <w:t>tumour size of greater than 2 cm; or</w:t>
            </w:r>
          </w:p>
          <w:p w14:paraId="549CCDC9" w14:textId="17CEDD27" w:rsidR="00055E08" w:rsidRPr="00195681" w:rsidRDefault="00055E08" w:rsidP="00055E08">
            <w:pPr>
              <w:pStyle w:val="TableText"/>
              <w:keepNext/>
              <w:numPr>
                <w:ilvl w:val="1"/>
                <w:numId w:val="23"/>
              </w:numPr>
              <w:rPr>
                <w:lang w:val="en-US" w:eastAsia="ja-JP"/>
              </w:rPr>
            </w:pPr>
            <w:r w:rsidRPr="00195681">
              <w:rPr>
                <w:lang w:val="en-US" w:eastAsia="ja-JP"/>
              </w:rPr>
              <w:t>one or more axillary lymph node metastases</w:t>
            </w:r>
          </w:p>
          <w:p w14:paraId="1E8F7981" w14:textId="77777777" w:rsidR="00055E08" w:rsidRPr="00195681" w:rsidRDefault="00055E08" w:rsidP="00055E08">
            <w:pPr>
              <w:pStyle w:val="TableText"/>
              <w:keepNext/>
              <w:rPr>
                <w:lang w:val="en-US" w:eastAsia="ja-JP"/>
              </w:rPr>
            </w:pPr>
            <w:r w:rsidRPr="00195681">
              <w:rPr>
                <w:lang w:val="en-US" w:eastAsia="ja-JP"/>
              </w:rPr>
              <w:t>requested by a specialist or consultant physician, to determine eligibility for treatment with a poly (adenosine diphosphate [ADP]-ribose) polymerase (PARP) inhibitor under the Pharmaceutical Benefits Scheme (PBS)</w:t>
            </w:r>
          </w:p>
          <w:p w14:paraId="01350968" w14:textId="77777777" w:rsidR="00055E08" w:rsidRPr="00195681" w:rsidRDefault="00055E08" w:rsidP="00055E08">
            <w:pPr>
              <w:pStyle w:val="TableText"/>
              <w:keepNext/>
              <w:rPr>
                <w:lang w:val="en-US" w:eastAsia="ja-JP"/>
              </w:rPr>
            </w:pPr>
          </w:p>
          <w:p w14:paraId="6246613F" w14:textId="5E25A76E" w:rsidR="00055E08" w:rsidRPr="00195681" w:rsidRDefault="00055E08" w:rsidP="00055E08">
            <w:pPr>
              <w:pStyle w:val="TableText"/>
              <w:keepNext/>
              <w:rPr>
                <w:lang w:val="en-US" w:eastAsia="ja-JP"/>
              </w:rPr>
            </w:pPr>
            <w:r w:rsidRPr="00195681">
              <w:rPr>
                <w:lang w:val="en-US" w:eastAsia="ja-JP"/>
              </w:rPr>
              <w:t>Maximum of one test per patient’s lifetime</w:t>
            </w:r>
            <w:r w:rsidR="001C2599" w:rsidRPr="00195681">
              <w:rPr>
                <w:lang w:val="en-US" w:eastAsia="ja-JP"/>
              </w:rPr>
              <w:t>.</w:t>
            </w:r>
          </w:p>
        </w:tc>
      </w:tr>
      <w:tr w:rsidR="00195681" w:rsidRPr="00195681" w14:paraId="2CC90BD3" w14:textId="77777777">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3FF172AC" w14:textId="77777777" w:rsidR="00055E08" w:rsidRPr="00195681" w:rsidRDefault="00055E08">
            <w:pPr>
              <w:pStyle w:val="TableText"/>
              <w:keepNext/>
            </w:pPr>
            <w:r w:rsidRPr="00195681">
              <w:rPr>
                <w:lang w:val="en-US" w:eastAsia="ja-JP"/>
              </w:rPr>
              <w:t>Fee: $1,200.00</w:t>
            </w:r>
            <w:r w:rsidRPr="00195681">
              <w:rPr>
                <w:lang w:val="en-US" w:eastAsia="ja-JP"/>
              </w:rPr>
              <w:tab/>
              <w:t>Benefit: 75% = $900.00</w:t>
            </w:r>
            <w:r w:rsidRPr="00195681">
              <w:rPr>
                <w:lang w:val="en-US" w:eastAsia="ja-JP"/>
              </w:rPr>
              <w:tab/>
              <w:t>85% = $1,106.80*</w:t>
            </w:r>
          </w:p>
        </w:tc>
      </w:tr>
      <w:tr w:rsidR="00195681" w:rsidRPr="00195681" w14:paraId="6E8A8B46" w14:textId="77777777">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37D7613D" w14:textId="77777777" w:rsidR="00055E08" w:rsidRPr="00195681" w:rsidRDefault="00055E08">
            <w:pPr>
              <w:pStyle w:val="TableText"/>
              <w:keepNext/>
            </w:pPr>
            <w:r w:rsidRPr="00195681">
              <w:t>Explanatory note PN.0.27</w:t>
            </w:r>
          </w:p>
          <w:p w14:paraId="5CBA34DB" w14:textId="77777777" w:rsidR="00055E08" w:rsidRPr="00195681" w:rsidRDefault="00055E08">
            <w:pPr>
              <w:pStyle w:val="TableText"/>
              <w:keepNext/>
            </w:pPr>
            <w:r w:rsidRPr="00195681">
              <w:t>Patients who are found to have any form of affected allele should be referred for post-test genetic counselling as there may be implications for other family members. Appropriate genetic counselling should be provided to the patient either by the specialist treating practitioner, a genetic counselling service or a clinical geneticist.</w:t>
            </w:r>
          </w:p>
        </w:tc>
      </w:tr>
    </w:tbl>
    <w:p w14:paraId="184708C5" w14:textId="77777777" w:rsidR="00B27B57" w:rsidRPr="00195681" w:rsidRDefault="00B27B57" w:rsidP="00B27B57">
      <w:pPr>
        <w:pStyle w:val="TableFigureFooter"/>
      </w:pPr>
      <w:r w:rsidRPr="00195681">
        <w:t>* 85% benefit reflects the 1 November 2022 Greatest Permissible Gap (GPG) of $93.20. All out-of-hospital Medicare services that have an MBS fee of $621.50 or more will attract a benefit that is greater than 85% of the MBS fee – being the schedule fee less the GPG amount. The GPG amount is indexed annually on 1 November in line with the Consumer Price Index (CPI) (June quarter).</w:t>
      </w:r>
    </w:p>
    <w:p w14:paraId="34355F34" w14:textId="00523240" w:rsidR="00637B7C" w:rsidRPr="00195681" w:rsidRDefault="00637B7C" w:rsidP="00B27B57">
      <w:pPr>
        <w:pStyle w:val="TableFigureFooter"/>
      </w:pPr>
      <w:r>
        <w:t xml:space="preserve">Source: </w:t>
      </w:r>
      <w:r w:rsidR="005A54A3">
        <w:t>Constructed during evaluation</w:t>
      </w:r>
      <w:r w:rsidR="00CF3C7B">
        <w:t xml:space="preserve"> </w:t>
      </w:r>
      <w:r w:rsidR="00591519">
        <w:t>for proposed amendments to MBS item 73295 by commentary</w:t>
      </w:r>
    </w:p>
    <w:p w14:paraId="34E0B08F" w14:textId="747C8BDC" w:rsidR="00772829" w:rsidRPr="00CE28E3" w:rsidRDefault="00CB5FB7" w:rsidP="002A18BE">
      <w:pPr>
        <w:pStyle w:val="Heading2"/>
        <w:numPr>
          <w:ilvl w:val="0"/>
          <w:numId w:val="0"/>
        </w:numPr>
      </w:pPr>
      <w:bookmarkStart w:id="20" w:name="_Toc69491419"/>
      <w:bookmarkStart w:id="21" w:name="_Ref144797300"/>
      <w:r>
        <w:t>7</w:t>
      </w:r>
      <w:r w:rsidR="00C36633">
        <w:t>.</w:t>
      </w:r>
      <w:r w:rsidR="00C36633">
        <w:tab/>
      </w:r>
      <w:r w:rsidR="00772829" w:rsidRPr="00CE28E3">
        <w:t>Population</w:t>
      </w:r>
      <w:bookmarkEnd w:id="20"/>
      <w:bookmarkEnd w:id="21"/>
    </w:p>
    <w:p w14:paraId="31DA2153" w14:textId="4D5DFEA3" w:rsidR="006D2355" w:rsidRPr="006D2355" w:rsidRDefault="006D2355" w:rsidP="00D10B90">
      <w:pPr>
        <w:rPr>
          <w:i/>
          <w:iCs/>
        </w:rPr>
      </w:pPr>
      <w:r>
        <w:t xml:space="preserve">The population intended for </w:t>
      </w:r>
      <w:r w:rsidR="000D659D" w:rsidRPr="000D659D">
        <w:rPr>
          <w:lang w:val="en-US"/>
        </w:rPr>
        <w:t>g</w:t>
      </w:r>
      <w:r w:rsidR="000D659D" w:rsidRPr="000D659D">
        <w:rPr>
          <w:i/>
          <w:iCs/>
          <w:lang w:val="en-US"/>
        </w:rPr>
        <w:t>BRCA</w:t>
      </w:r>
      <w:r w:rsidR="000D659D">
        <w:t xml:space="preserve"> </w:t>
      </w:r>
      <w:r>
        <w:t>testing was unchanged from the previous submission (i.e. patients with triple negative early breast cancer</w:t>
      </w:r>
      <w:r w:rsidR="00CC70AD">
        <w:t xml:space="preserve"> [TNBC]</w:t>
      </w:r>
      <w:r>
        <w:t>, or patients with HR+</w:t>
      </w:r>
      <w:r w:rsidRPr="006D2355">
        <w:t xml:space="preserve"> HER2</w:t>
      </w:r>
      <w:r>
        <w:t>−</w:t>
      </w:r>
      <w:r w:rsidRPr="006D2355">
        <w:t xml:space="preserve"> early breast cancer with </w:t>
      </w:r>
      <w:r w:rsidR="00F4414B" w:rsidRPr="006D2355">
        <w:t>high-risk</w:t>
      </w:r>
      <w:r w:rsidRPr="006D2355">
        <w:t xml:space="preserve"> characteristics</w:t>
      </w:r>
      <w:r>
        <w:t>).</w:t>
      </w:r>
      <w:r w:rsidR="00920C9C">
        <w:t xml:space="preserve"> </w:t>
      </w:r>
      <w:r>
        <w:t>The proposed clinical management algorithm presented in the resubmission was unchanged</w:t>
      </w:r>
      <w:r w:rsidR="00920C9C">
        <w:t xml:space="preserve"> (</w:t>
      </w:r>
      <w:r w:rsidR="00920C9C">
        <w:fldChar w:fldCharType="begin"/>
      </w:r>
      <w:r w:rsidR="00920C9C">
        <w:instrText xml:space="preserve"> REF _Ref144199634 \h </w:instrText>
      </w:r>
      <w:r w:rsidR="00920C9C">
        <w:fldChar w:fldCharType="separate"/>
      </w:r>
      <w:r w:rsidR="00D8423B">
        <w:t xml:space="preserve">Figure </w:t>
      </w:r>
      <w:r w:rsidR="00D8423B">
        <w:rPr>
          <w:noProof/>
        </w:rPr>
        <w:t>1</w:t>
      </w:r>
      <w:r w:rsidR="00920C9C">
        <w:fldChar w:fldCharType="end"/>
      </w:r>
      <w:r w:rsidR="00920C9C">
        <w:t>)</w:t>
      </w:r>
      <w:r>
        <w:t xml:space="preserve">. </w:t>
      </w:r>
      <w:r w:rsidRPr="000E600F">
        <w:t xml:space="preserve">Therefore, </w:t>
      </w:r>
      <w:r w:rsidR="00987F76" w:rsidRPr="000E600F">
        <w:t xml:space="preserve">the commentary noted that </w:t>
      </w:r>
      <w:r w:rsidRPr="000E600F">
        <w:t xml:space="preserve">this has not been updated to reflect the removal of the reference to a high recurrence score from a multigene assay, nor that the intent of the application for funding was to identify </w:t>
      </w:r>
      <w:r w:rsidR="009E55C8" w:rsidRPr="000E600F">
        <w:t xml:space="preserve">HR+ </w:t>
      </w:r>
      <w:r w:rsidRPr="000E600F">
        <w:t>patients who had at least one of the high-risk characteristics.</w:t>
      </w:r>
      <w:r>
        <w:rPr>
          <w:i/>
          <w:iCs/>
        </w:rPr>
        <w:t xml:space="preserve"> </w:t>
      </w:r>
    </w:p>
    <w:p w14:paraId="10E7777D" w14:textId="0198E2E1" w:rsidR="00910923" w:rsidRDefault="009E55C8" w:rsidP="00D10B90">
      <w:r>
        <w:t>Of note, the requested PBS listing for o</w:t>
      </w:r>
      <w:r w:rsidR="00E66E91">
        <w:t xml:space="preserve">laparib is for </w:t>
      </w:r>
      <w:r w:rsidR="00F3441A">
        <w:t xml:space="preserve">the adjuvant treatment of </w:t>
      </w:r>
      <w:r w:rsidR="00E66E91">
        <w:t>HER2− early breast cancer</w:t>
      </w:r>
      <w:r w:rsidR="00F3441A">
        <w:t xml:space="preserve"> in patients with </w:t>
      </w:r>
      <w:r w:rsidR="000D659D" w:rsidRPr="000D659D">
        <w:rPr>
          <w:lang w:val="en-US"/>
        </w:rPr>
        <w:t>g</w:t>
      </w:r>
      <w:r w:rsidR="000D659D" w:rsidRPr="000D659D">
        <w:rPr>
          <w:i/>
          <w:iCs/>
          <w:lang w:val="en-US"/>
        </w:rPr>
        <w:t>BRCA</w:t>
      </w:r>
      <w:r w:rsidR="000D659D">
        <w:t xml:space="preserve"> </w:t>
      </w:r>
      <w:r w:rsidR="00F3441A">
        <w:t>variants</w:t>
      </w:r>
      <w:r w:rsidR="00E66E91">
        <w:t xml:space="preserve"> in which:</w:t>
      </w:r>
    </w:p>
    <w:p w14:paraId="37212387" w14:textId="092EAF67" w:rsidR="00F3441A" w:rsidRDefault="00E66E91" w:rsidP="00F3441A">
      <w:pPr>
        <w:pStyle w:val="ListParagraph"/>
        <w:numPr>
          <w:ilvl w:val="0"/>
          <w:numId w:val="35"/>
        </w:numPr>
      </w:pPr>
      <w:r>
        <w:t xml:space="preserve">there is </w:t>
      </w:r>
      <w:r w:rsidRPr="00E66E91">
        <w:t>residual invasive cancer in the breast and/or resected lymph nodes</w:t>
      </w:r>
      <w:r>
        <w:t xml:space="preserve"> following neoadjuvant chemotherapy; or</w:t>
      </w:r>
    </w:p>
    <w:p w14:paraId="285766AD" w14:textId="0025AA0D" w:rsidR="00E66E91" w:rsidRDefault="009E55C8" w:rsidP="00E66E91">
      <w:pPr>
        <w:pStyle w:val="ListParagraph"/>
        <w:numPr>
          <w:ilvl w:val="0"/>
          <w:numId w:val="35"/>
        </w:numPr>
      </w:pPr>
      <w:r>
        <w:t xml:space="preserve">in a patient with triple negative breast cancer who has received adjuvant chemotherapy, </w:t>
      </w:r>
      <w:r w:rsidR="00E66E91">
        <w:t>there is node positive disease or where the primary tumour is greater than 20 mm; or</w:t>
      </w:r>
    </w:p>
    <w:p w14:paraId="420E0AA2" w14:textId="36EB66F6" w:rsidR="00E66E91" w:rsidRDefault="00E66E91" w:rsidP="00E66E91">
      <w:pPr>
        <w:pStyle w:val="ListParagraph"/>
        <w:numPr>
          <w:ilvl w:val="0"/>
          <w:numId w:val="35"/>
        </w:numPr>
      </w:pPr>
      <w:r>
        <w:t xml:space="preserve">in a patient with HR+ HER2− </w:t>
      </w:r>
      <w:r w:rsidR="009E55C8">
        <w:t>breast cancer</w:t>
      </w:r>
      <w:r>
        <w:t xml:space="preserve"> who has received adjuvant chemotherapy</w:t>
      </w:r>
      <w:r w:rsidR="009E55C8">
        <w:t>, there are 4 or more positive lymph nodes.</w:t>
      </w:r>
    </w:p>
    <w:p w14:paraId="25EB7BF9" w14:textId="1E1776F5" w:rsidR="00910923" w:rsidRPr="000359C5" w:rsidRDefault="00910923" w:rsidP="00910923">
      <w:r w:rsidRPr="000E600F">
        <w:t xml:space="preserve">The </w:t>
      </w:r>
      <w:r w:rsidR="004A437F" w:rsidRPr="000E600F">
        <w:t xml:space="preserve">commentary noted that the </w:t>
      </w:r>
      <w:r w:rsidRPr="000E600F">
        <w:t>proposed population eligible for testing therefore remains broader than the population proposed for olaparib treatment (</w:t>
      </w:r>
      <w:r w:rsidRPr="000E600F">
        <w:fldChar w:fldCharType="begin"/>
      </w:r>
      <w:r w:rsidRPr="000E600F">
        <w:instrText xml:space="preserve"> REF _Ref144199634 \h  \* MERGEFORMAT </w:instrText>
      </w:r>
      <w:r w:rsidRPr="000E600F">
        <w:fldChar w:fldCharType="separate"/>
      </w:r>
      <w:r w:rsidR="00D8423B" w:rsidRPr="000E600F">
        <w:t>Figure 1</w:t>
      </w:r>
      <w:r w:rsidRPr="000E600F">
        <w:fldChar w:fldCharType="end"/>
      </w:r>
      <w:r w:rsidRPr="000E600F">
        <w:t xml:space="preserve">). Concerns were noted by MSAC previously that misalignment of the testing and treatment populations may </w:t>
      </w:r>
      <w:r w:rsidR="001D74F6" w:rsidRPr="000E600F">
        <w:t xml:space="preserve">be a </w:t>
      </w:r>
      <w:r w:rsidRPr="000E600F">
        <w:t xml:space="preserve">cause for confusion in clinicians and disappointment in patients, despite knowing their </w:t>
      </w:r>
      <w:r w:rsidR="00BF501E" w:rsidRPr="000E600F">
        <w:t>g</w:t>
      </w:r>
      <w:r w:rsidR="00A96FCF" w:rsidRPr="00A96FCF">
        <w:rPr>
          <w:i/>
          <w:iCs/>
        </w:rPr>
        <w:t>BRCA</w:t>
      </w:r>
      <w:r w:rsidRPr="000E600F">
        <w:t xml:space="preserve"> status (pp3−4, </w:t>
      </w:r>
      <w:hyperlink r:id="rId18" w:history="1">
        <w:r w:rsidR="00382C91" w:rsidRPr="000E600F">
          <w:rPr>
            <w:rStyle w:val="Hyperlink"/>
          </w:rPr>
          <w:t>1716 PSD March 2023 MSAC Meeting</w:t>
        </w:r>
      </w:hyperlink>
      <w:r w:rsidRPr="000E600F">
        <w:t>).</w:t>
      </w:r>
      <w:r w:rsidRPr="000359C5">
        <w:t xml:space="preserve"> </w:t>
      </w:r>
      <w:r>
        <w:t xml:space="preserve">The resubmission acknowledged this </w:t>
      </w:r>
      <w:r w:rsidR="00F4414B">
        <w:t xml:space="preserve">difference </w:t>
      </w:r>
      <w:r w:rsidR="00F4414B">
        <w:lastRenderedPageBreak/>
        <w:t>but</w:t>
      </w:r>
      <w:r>
        <w:t xml:space="preserve"> noted it matched information </w:t>
      </w:r>
      <w:r w:rsidRPr="000359C5">
        <w:t>available about the tumour at time of diagnosis</w:t>
      </w:r>
      <w:r>
        <w:t xml:space="preserve"> (and so reduces any risk of delays in olaparib treatment initiation). </w:t>
      </w:r>
    </w:p>
    <w:p w14:paraId="55FFD04E" w14:textId="682B8549" w:rsidR="00910923" w:rsidRDefault="00910923" w:rsidP="00910923">
      <w:pPr>
        <w:rPr>
          <w:i/>
          <w:iCs/>
        </w:rPr>
      </w:pPr>
      <w:r w:rsidRPr="000E600F">
        <w:t>Th</w:t>
      </w:r>
      <w:r w:rsidR="0069160D" w:rsidRPr="000E600F">
        <w:t>e timing of testing</w:t>
      </w:r>
      <w:r w:rsidRPr="000E600F">
        <w:t xml:space="preserve"> remain</w:t>
      </w:r>
      <w:r w:rsidR="00BF4080" w:rsidRPr="000E600F">
        <w:t>ed</w:t>
      </w:r>
      <w:r w:rsidRPr="000E600F">
        <w:t xml:space="preserve"> for MSAC consideration, however </w:t>
      </w:r>
      <w:r w:rsidR="00987F76" w:rsidRPr="000E600F">
        <w:t>the commentary</w:t>
      </w:r>
      <w:r w:rsidRPr="000E600F">
        <w:t xml:space="preserve"> noted that there </w:t>
      </w:r>
      <w:r w:rsidR="00681E4C" w:rsidRPr="000E600F">
        <w:t xml:space="preserve">were </w:t>
      </w:r>
      <w:r w:rsidRPr="000E600F">
        <w:t xml:space="preserve">other benefits </w:t>
      </w:r>
      <w:r w:rsidR="0069160D" w:rsidRPr="000E600F">
        <w:t>with</w:t>
      </w:r>
      <w:r w:rsidRPr="000E600F">
        <w:t xml:space="preserve"> identifying </w:t>
      </w:r>
      <w:r w:rsidR="009D6558" w:rsidRPr="000E600F">
        <w:t>g</w:t>
      </w:r>
      <w:r w:rsidR="00A96FCF" w:rsidRPr="00A96FCF">
        <w:rPr>
          <w:i/>
          <w:iCs/>
        </w:rPr>
        <w:t>BRCA</w:t>
      </w:r>
      <w:r w:rsidR="009D6558" w:rsidRPr="000E600F">
        <w:t xml:space="preserve"> </w:t>
      </w:r>
      <w:r w:rsidRPr="000E600F">
        <w:t>variants beyond access to olaparib treatment (such as increased monitoring for other cancers and preventative actions e.g. bilateral salpingo-oophorectomy or mastectomy) (</w:t>
      </w:r>
      <w:hyperlink r:id="rId19" w:history="1">
        <w:r w:rsidR="00843CC0" w:rsidRPr="000E600F">
          <w:rPr>
            <w:rStyle w:val="Hyperlink"/>
          </w:rPr>
          <w:t>1411.1 PSD March 2016 MSAC Meeting</w:t>
        </w:r>
      </w:hyperlink>
      <w:r w:rsidR="00490801" w:rsidRPr="000E600F">
        <w:t>, where g</w:t>
      </w:r>
      <w:r w:rsidR="00A96FCF" w:rsidRPr="00A96FCF">
        <w:rPr>
          <w:i/>
          <w:iCs/>
        </w:rPr>
        <w:t>BRCA</w:t>
      </w:r>
      <w:r w:rsidR="00490801" w:rsidRPr="000E600F">
        <w:t xml:space="preserve"> testing was considered cost-effective in patients with &gt;10% risk of having a g</w:t>
      </w:r>
      <w:r w:rsidR="00A96FCF" w:rsidRPr="00A96FCF">
        <w:rPr>
          <w:i/>
          <w:iCs/>
        </w:rPr>
        <w:t>BRCA</w:t>
      </w:r>
      <w:r w:rsidR="00490801" w:rsidRPr="000E600F">
        <w:t xml:space="preserve"> variant)</w:t>
      </w:r>
      <w:r w:rsidRPr="000E600F">
        <w:t>. As the PBAC has accepted a prevalence of &gt;10% in patients with TNBC</w:t>
      </w:r>
      <w:r w:rsidR="00490801" w:rsidRPr="000E600F">
        <w:t xml:space="preserve"> (para</w:t>
      </w:r>
      <w:r w:rsidR="00BF501E" w:rsidRPr="000E600F">
        <w:t>graph</w:t>
      </w:r>
      <w:r w:rsidR="00490801" w:rsidRPr="000E600F">
        <w:t xml:space="preserve"> 7.14, </w:t>
      </w:r>
      <w:hyperlink r:id="rId20" w:history="1">
        <w:r w:rsidR="00BF501E" w:rsidRPr="000E600F">
          <w:rPr>
            <w:rStyle w:val="Hyperlink"/>
          </w:rPr>
          <w:t>O</w:t>
        </w:r>
        <w:r w:rsidR="00490801" w:rsidRPr="000E600F">
          <w:rPr>
            <w:rStyle w:val="Hyperlink"/>
          </w:rPr>
          <w:t xml:space="preserve">laparib PSD March 2023 PBAC </w:t>
        </w:r>
        <w:r w:rsidR="00BF501E" w:rsidRPr="000E600F">
          <w:rPr>
            <w:rStyle w:val="Hyperlink"/>
          </w:rPr>
          <w:t>M</w:t>
        </w:r>
        <w:r w:rsidR="00490801" w:rsidRPr="000E600F">
          <w:rPr>
            <w:rStyle w:val="Hyperlink"/>
          </w:rPr>
          <w:t>eeting</w:t>
        </w:r>
      </w:hyperlink>
      <w:r w:rsidR="00490801" w:rsidRPr="000E600F">
        <w:t>)</w:t>
      </w:r>
      <w:r w:rsidRPr="000E600F">
        <w:t xml:space="preserve">, </w:t>
      </w:r>
      <w:r w:rsidR="009D6558" w:rsidRPr="000E600F">
        <w:t>g</w:t>
      </w:r>
      <w:r w:rsidR="00A96FCF" w:rsidRPr="00A96FCF">
        <w:rPr>
          <w:i/>
          <w:iCs/>
        </w:rPr>
        <w:t>BRCA</w:t>
      </w:r>
      <w:r w:rsidR="009D6558" w:rsidRPr="000E600F">
        <w:t xml:space="preserve"> </w:t>
      </w:r>
      <w:r w:rsidRPr="000E600F">
        <w:t>testing in these patients even in the absence of olaparib treatment is likely to be cost-effective</w:t>
      </w:r>
      <w:r w:rsidRPr="007B31DA">
        <w:rPr>
          <w:i/>
          <w:iCs/>
        </w:rPr>
        <w:t xml:space="preserve">. </w:t>
      </w:r>
    </w:p>
    <w:p w14:paraId="0C6865FC" w14:textId="4DA30EB3" w:rsidR="00910923" w:rsidRDefault="004A437F" w:rsidP="00D10B90">
      <w:r w:rsidRPr="000E600F">
        <w:t>The commentary noted that w</w:t>
      </w:r>
      <w:r w:rsidR="0069160D" w:rsidRPr="000E600F">
        <w:t xml:space="preserve">hile the financial implications analysis presented in the PBAC resubmission </w:t>
      </w:r>
      <w:r w:rsidR="00661DB5" w:rsidRPr="000E600F">
        <w:t>did</w:t>
      </w:r>
      <w:r w:rsidR="0069160D" w:rsidRPr="000E600F">
        <w:t xml:space="preserve"> take into account this misalignment between the testing and treated population, the economic analysis </w:t>
      </w:r>
      <w:r w:rsidR="00661DB5" w:rsidRPr="000E600F">
        <w:t>did</w:t>
      </w:r>
      <w:r w:rsidR="0069160D" w:rsidRPr="000E600F">
        <w:t xml:space="preserve"> not (and so assume</w:t>
      </w:r>
      <w:r w:rsidR="00661DB5" w:rsidRPr="000E600F">
        <w:t>d</w:t>
      </w:r>
      <w:r w:rsidR="0069160D" w:rsidRPr="000E600F">
        <w:t xml:space="preserve"> that all patients identified with </w:t>
      </w:r>
      <w:r w:rsidR="009D6558" w:rsidRPr="000E600F">
        <w:t>g</w:t>
      </w:r>
      <w:r w:rsidR="00A96FCF" w:rsidRPr="00A96FCF">
        <w:rPr>
          <w:i/>
          <w:iCs/>
        </w:rPr>
        <w:t>BRCA</w:t>
      </w:r>
      <w:r w:rsidR="009D6558" w:rsidRPr="000E600F">
        <w:t xml:space="preserve"> </w:t>
      </w:r>
      <w:r w:rsidR="0069160D" w:rsidRPr="000E600F">
        <w:t>variants would receive olaparib treatment).</w:t>
      </w:r>
    </w:p>
    <w:p w14:paraId="05802DAE" w14:textId="507A57E6" w:rsidR="00D10B90" w:rsidRDefault="00D10B90" w:rsidP="00D10B90">
      <w:pPr>
        <w:sectPr w:rsidR="00D10B90" w:rsidSect="009E3F3D">
          <w:headerReference w:type="even" r:id="rId21"/>
          <w:headerReference w:type="default" r:id="rId22"/>
          <w:footerReference w:type="even" r:id="rId23"/>
          <w:footerReference w:type="default" r:id="rId24"/>
          <w:headerReference w:type="first" r:id="rId25"/>
          <w:footerReference w:type="first" r:id="rId26"/>
          <w:type w:val="oddPage"/>
          <w:pgSz w:w="11906" w:h="16838"/>
          <w:pgMar w:top="1440" w:right="1440" w:bottom="1440" w:left="1440" w:header="708" w:footer="708" w:gutter="0"/>
          <w:cols w:space="708"/>
          <w:docGrid w:linePitch="360"/>
        </w:sectPr>
      </w:pPr>
    </w:p>
    <w:p w14:paraId="1E5A15FD" w14:textId="1573A644" w:rsidR="00D10B90" w:rsidRDefault="00910923" w:rsidP="00910923">
      <w:pPr>
        <w:pStyle w:val="Caption"/>
      </w:pPr>
      <w:bookmarkStart w:id="22" w:name="_Ref144199634"/>
      <w:r>
        <w:lastRenderedPageBreak/>
        <w:t xml:space="preserve">Figure </w:t>
      </w:r>
      <w:r>
        <w:fldChar w:fldCharType="begin"/>
      </w:r>
      <w:r>
        <w:instrText>SEQ Figure \* ARABIC</w:instrText>
      </w:r>
      <w:r>
        <w:fldChar w:fldCharType="separate"/>
      </w:r>
      <w:r w:rsidR="00D8423B">
        <w:rPr>
          <w:noProof/>
        </w:rPr>
        <w:t>1</w:t>
      </w:r>
      <w:r>
        <w:fldChar w:fldCharType="end"/>
      </w:r>
      <w:bookmarkEnd w:id="22"/>
      <w:r>
        <w:tab/>
      </w:r>
      <w:r w:rsidR="00D10B90">
        <w:t>Proposed clinical treatment algorithm</w:t>
      </w:r>
    </w:p>
    <w:p w14:paraId="58723E2E" w14:textId="3B76773B" w:rsidR="00950F07" w:rsidRDefault="00D10B90" w:rsidP="00D10B90">
      <w:r w:rsidRPr="00F56B98">
        <w:rPr>
          <w:noProof/>
        </w:rPr>
        <w:drawing>
          <wp:inline distT="0" distB="0" distL="0" distR="0" wp14:anchorId="4AC8F125" wp14:editId="30868E07">
            <wp:extent cx="8686800" cy="4839068"/>
            <wp:effectExtent l="0" t="0" r="0" b="0"/>
            <wp:docPr id="5" name="Picture 5" descr="Proposed clinical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roposed clinical treatment algorithm"/>
                    <pic:cNvPicPr/>
                  </pic:nvPicPr>
                  <pic:blipFill>
                    <a:blip r:embed="rId27"/>
                    <a:stretch>
                      <a:fillRect/>
                    </a:stretch>
                  </pic:blipFill>
                  <pic:spPr>
                    <a:xfrm>
                      <a:off x="0" y="0"/>
                      <a:ext cx="8690924" cy="4841365"/>
                    </a:xfrm>
                    <a:prstGeom prst="rect">
                      <a:avLst/>
                    </a:prstGeom>
                  </pic:spPr>
                </pic:pic>
              </a:graphicData>
            </a:graphic>
          </wp:inline>
        </w:drawing>
      </w:r>
    </w:p>
    <w:p w14:paraId="322A2838" w14:textId="20169E8D" w:rsidR="00D10B90" w:rsidRDefault="00D10B90" w:rsidP="00D10B90">
      <w:pPr>
        <w:pStyle w:val="TableFigureFooter"/>
      </w:pPr>
      <w:r>
        <w:t>Source: Figure 1.3, p21 of the PBAC resubmission.</w:t>
      </w:r>
    </w:p>
    <w:p w14:paraId="444E7FCF" w14:textId="410ACF61" w:rsidR="00D10B90" w:rsidRPr="00D10B90" w:rsidRDefault="00D10B90" w:rsidP="00D10B90">
      <w:pPr>
        <w:pStyle w:val="TableFigureFooter"/>
      </w:pPr>
      <w:r w:rsidRPr="00BF706C">
        <w:rPr>
          <w:i/>
          <w:iCs/>
        </w:rPr>
        <w:t>BRCA</w:t>
      </w:r>
      <w:r w:rsidR="00BF706C">
        <w:t xml:space="preserve"> = </w:t>
      </w:r>
      <w:r w:rsidRPr="00BF706C">
        <w:rPr>
          <w:i/>
          <w:iCs/>
        </w:rPr>
        <w:t>BReast CAncer</w:t>
      </w:r>
      <w:r w:rsidRPr="00BF706C">
        <w:t xml:space="preserve"> gene; </w:t>
      </w:r>
      <w:r w:rsidRPr="000E600F">
        <w:rPr>
          <w:i/>
        </w:rPr>
        <w:t>BRCA</w:t>
      </w:r>
      <w:r w:rsidRPr="00BF706C">
        <w:t>wt</w:t>
      </w:r>
      <w:r w:rsidR="00BF706C">
        <w:t xml:space="preserve"> = </w:t>
      </w:r>
      <w:r w:rsidRPr="00BF706C">
        <w:rPr>
          <w:i/>
          <w:iCs/>
        </w:rPr>
        <w:t>BReast CAncer</w:t>
      </w:r>
      <w:r w:rsidRPr="00BF706C">
        <w:t xml:space="preserve"> gene wild type; ER</w:t>
      </w:r>
      <w:r w:rsidR="00BF706C">
        <w:t xml:space="preserve"> =</w:t>
      </w:r>
      <w:r w:rsidRPr="00BF706C">
        <w:t xml:space="preserve"> estrogen receptor; HER2</w:t>
      </w:r>
      <w:r w:rsidR="00BF706C">
        <w:t xml:space="preserve"> = </w:t>
      </w:r>
      <w:r w:rsidRPr="00BF706C">
        <w:t>human epidermal growth factor receptor 2; HR</w:t>
      </w:r>
      <w:r w:rsidR="00BF706C">
        <w:t xml:space="preserve"> = </w:t>
      </w:r>
      <w:r w:rsidRPr="00BF706C">
        <w:t>hormone receptor; MBC</w:t>
      </w:r>
      <w:r w:rsidR="00BF706C">
        <w:t xml:space="preserve"> = </w:t>
      </w:r>
      <w:r w:rsidRPr="00BF706C">
        <w:t>metastatic breast cancer; PR</w:t>
      </w:r>
      <w:r w:rsidR="00BF706C">
        <w:t> = </w:t>
      </w:r>
      <w:r w:rsidRPr="00BF706C">
        <w:t>progesterone receptor; SLN</w:t>
      </w:r>
      <w:r w:rsidR="00BF706C">
        <w:t xml:space="preserve"> = </w:t>
      </w:r>
      <w:r w:rsidRPr="00BF706C">
        <w:t>sentinel lymph node biopsy; TNBC</w:t>
      </w:r>
      <w:r w:rsidR="00BF706C">
        <w:t xml:space="preserve"> = </w:t>
      </w:r>
      <w:r w:rsidRPr="00BF706C">
        <w:t>triple negative breast cancer</w:t>
      </w:r>
    </w:p>
    <w:p w14:paraId="3E6360AA" w14:textId="77777777" w:rsidR="00D10B90" w:rsidRDefault="00D10B90" w:rsidP="002A18BE">
      <w:pPr>
        <w:pStyle w:val="Heading2"/>
        <w:numPr>
          <w:ilvl w:val="0"/>
          <w:numId w:val="0"/>
        </w:numPr>
        <w:sectPr w:rsidR="00D10B90" w:rsidSect="00D10B90">
          <w:pgSz w:w="16838" w:h="11906" w:orient="landscape"/>
          <w:pgMar w:top="1440" w:right="1440" w:bottom="1440" w:left="1440" w:header="708" w:footer="708" w:gutter="0"/>
          <w:cols w:space="708"/>
          <w:docGrid w:linePitch="360"/>
        </w:sectPr>
      </w:pPr>
      <w:bookmarkStart w:id="23" w:name="_Toc69491420"/>
    </w:p>
    <w:p w14:paraId="66BDFCC1" w14:textId="68539718" w:rsidR="00772829" w:rsidRPr="00CE28E3" w:rsidRDefault="00CB5FB7" w:rsidP="002A18BE">
      <w:pPr>
        <w:pStyle w:val="Heading2"/>
        <w:numPr>
          <w:ilvl w:val="0"/>
          <w:numId w:val="0"/>
        </w:numPr>
      </w:pPr>
      <w:r>
        <w:lastRenderedPageBreak/>
        <w:t>8</w:t>
      </w:r>
      <w:r w:rsidR="00C36633">
        <w:t>.</w:t>
      </w:r>
      <w:r w:rsidR="00C36633">
        <w:tab/>
      </w:r>
      <w:r w:rsidR="00772829" w:rsidRPr="00CE28E3">
        <w:t>Comparator</w:t>
      </w:r>
      <w:bookmarkEnd w:id="23"/>
    </w:p>
    <w:p w14:paraId="0E73A7BA" w14:textId="33D3D35B" w:rsidR="00950F07" w:rsidRPr="00950F07" w:rsidRDefault="00950F07" w:rsidP="00D10B90">
      <w:r>
        <w:t xml:space="preserve">The </w:t>
      </w:r>
      <w:r w:rsidR="00266234">
        <w:t xml:space="preserve">nominated </w:t>
      </w:r>
      <w:r w:rsidR="00605FA2">
        <w:t xml:space="preserve">comparator was unchanged </w:t>
      </w:r>
      <w:r w:rsidR="00F902CA">
        <w:t>in the resubmission</w:t>
      </w:r>
      <w:r w:rsidR="00605FA2">
        <w:t xml:space="preserve"> and </w:t>
      </w:r>
      <w:r w:rsidR="00F902CA">
        <w:t xml:space="preserve">remained </w:t>
      </w:r>
      <w:r w:rsidR="00605FA2">
        <w:t>‘</w:t>
      </w:r>
      <w:r>
        <w:t>no test</w:t>
      </w:r>
      <w:r w:rsidR="00605FA2">
        <w:t>’</w:t>
      </w:r>
      <w:r>
        <w:t xml:space="preserve"> and </w:t>
      </w:r>
      <w:r w:rsidR="00605FA2">
        <w:t>‘</w:t>
      </w:r>
      <w:r>
        <w:t>watch and wait</w:t>
      </w:r>
      <w:r w:rsidR="00605FA2">
        <w:t>’</w:t>
      </w:r>
      <w:r>
        <w:t>.</w:t>
      </w:r>
      <w:r w:rsidR="00661537">
        <w:t xml:space="preserve"> </w:t>
      </w:r>
      <w:r w:rsidR="006873CE">
        <w:t xml:space="preserve">The MSAC Executive previously considered that no testing would be a </w:t>
      </w:r>
      <w:r w:rsidR="001F4663">
        <w:t>comparator (</w:t>
      </w:r>
      <w:r w:rsidR="00112225">
        <w:t xml:space="preserve">p11, </w:t>
      </w:r>
      <w:hyperlink r:id="rId28" w:history="1">
        <w:r w:rsidR="001F4663" w:rsidRPr="00BF706C">
          <w:rPr>
            <w:rStyle w:val="Hyperlink"/>
          </w:rPr>
          <w:t>1716 PSD March 2023 MSAC Meeting</w:t>
        </w:r>
      </w:hyperlink>
      <w:r w:rsidR="001F4663">
        <w:t>)</w:t>
      </w:r>
      <w:r w:rsidR="00C06DC4">
        <w:t xml:space="preserve"> and t</w:t>
      </w:r>
      <w:r w:rsidR="00661537" w:rsidRPr="00102F98">
        <w:t xml:space="preserve">he PBAC previously accepted watch and wait </w:t>
      </w:r>
      <w:r w:rsidR="00112225">
        <w:t xml:space="preserve">as the main </w:t>
      </w:r>
      <w:r w:rsidR="00661537" w:rsidRPr="00102F98">
        <w:t>appropriate comparator for olaparib</w:t>
      </w:r>
      <w:r w:rsidR="00112225">
        <w:t xml:space="preserve"> (paragraph 7.4, </w:t>
      </w:r>
      <w:hyperlink r:id="rId29" w:history="1">
        <w:r w:rsidR="00112225">
          <w:rPr>
            <w:rStyle w:val="Hyperlink"/>
          </w:rPr>
          <w:t>O</w:t>
        </w:r>
        <w:r w:rsidR="00112225" w:rsidRPr="00112225">
          <w:rPr>
            <w:rStyle w:val="Hyperlink"/>
          </w:rPr>
          <w:t>laparib PSD March 2023 PBAC Meeting</w:t>
        </w:r>
      </w:hyperlink>
      <w:r w:rsidR="00112225">
        <w:t>)</w:t>
      </w:r>
      <w:r w:rsidR="00661537" w:rsidRPr="00BF501E">
        <w:t>.</w:t>
      </w:r>
      <w:r w:rsidR="00661537" w:rsidRPr="00C06DC4">
        <w:t xml:space="preserve"> </w:t>
      </w:r>
    </w:p>
    <w:p w14:paraId="47BC3A84" w14:textId="2ECD22F4" w:rsidR="00772829" w:rsidRPr="00CE28E3" w:rsidRDefault="00CB5FB7" w:rsidP="002A18BE">
      <w:pPr>
        <w:pStyle w:val="Heading2"/>
        <w:numPr>
          <w:ilvl w:val="1"/>
          <w:numId w:val="0"/>
        </w:numPr>
      </w:pPr>
      <w:bookmarkStart w:id="24" w:name="_Toc69491421"/>
      <w:r>
        <w:t>9</w:t>
      </w:r>
      <w:r w:rsidR="00C36633">
        <w:t>.</w:t>
      </w:r>
      <w:r w:rsidR="00C36633">
        <w:tab/>
      </w:r>
      <w:r w:rsidR="00772829">
        <w:t xml:space="preserve">Summary of public consultation </w:t>
      </w:r>
      <w:r w:rsidR="0052575D">
        <w:t>input</w:t>
      </w:r>
      <w:bookmarkEnd w:id="24"/>
    </w:p>
    <w:p w14:paraId="1852865B" w14:textId="77777777" w:rsidR="00453EAF" w:rsidRDefault="00453EAF" w:rsidP="00453EAF">
      <w:r w:rsidRPr="00453EAF">
        <w:t>All consultation feedback received on the resubmission indicated support for the application.</w:t>
      </w:r>
      <w:r>
        <w:t xml:space="preserve"> For the summary of the consultation feedback from the previous submission refer to </w:t>
      </w:r>
      <w:hyperlink r:id="rId30" w:history="1">
        <w:r w:rsidRPr="00BF706C">
          <w:rPr>
            <w:rStyle w:val="Hyperlink"/>
          </w:rPr>
          <w:t>1716 PSD March 2023 MSAC Meeting</w:t>
        </w:r>
      </w:hyperlink>
      <w:r w:rsidRPr="00BF706C">
        <w:t>, pp11−12</w:t>
      </w:r>
      <w:r>
        <w:t>.</w:t>
      </w:r>
    </w:p>
    <w:p w14:paraId="03C7A1F1" w14:textId="313D4B94" w:rsidR="00772829" w:rsidRPr="00CE28E3" w:rsidRDefault="00CB5FB7" w:rsidP="002A18BE">
      <w:pPr>
        <w:pStyle w:val="Heading2"/>
        <w:numPr>
          <w:ilvl w:val="0"/>
          <w:numId w:val="0"/>
        </w:numPr>
      </w:pPr>
      <w:bookmarkStart w:id="25" w:name="_Toc69491422"/>
      <w:r>
        <w:t>10</w:t>
      </w:r>
      <w:r w:rsidR="00C36633">
        <w:t>.</w:t>
      </w:r>
      <w:r w:rsidR="00C36633">
        <w:tab/>
      </w:r>
      <w:r w:rsidR="00772829" w:rsidRPr="00CE28E3">
        <w:t>Characteristics of the evidence base</w:t>
      </w:r>
      <w:bookmarkEnd w:id="25"/>
    </w:p>
    <w:p w14:paraId="5C33511F" w14:textId="568D6576" w:rsidR="001D03CA" w:rsidRPr="001D03CA" w:rsidRDefault="001D03CA" w:rsidP="00D10B90">
      <w:r w:rsidRPr="001D03CA">
        <w:t xml:space="preserve">The clinical evidence </w:t>
      </w:r>
      <w:r>
        <w:t>presented in the PBAC</w:t>
      </w:r>
      <w:r w:rsidRPr="001D03CA">
        <w:t xml:space="preserve"> </w:t>
      </w:r>
      <w:r>
        <w:t>re</w:t>
      </w:r>
      <w:r w:rsidRPr="001D03CA">
        <w:t xml:space="preserve">submission </w:t>
      </w:r>
      <w:r>
        <w:t>remained</w:t>
      </w:r>
      <w:r w:rsidRPr="001D03CA">
        <w:t xml:space="preserve"> based on the OlympiA tria</w:t>
      </w:r>
      <w:r w:rsidR="00A13CB1">
        <w:t>l</w:t>
      </w:r>
      <w:r w:rsidRPr="001D03CA">
        <w:t>.</w:t>
      </w:r>
      <w:r>
        <w:t xml:space="preserve"> </w:t>
      </w:r>
      <w:r w:rsidR="00A13CB1">
        <w:t xml:space="preserve">This </w:t>
      </w:r>
      <w:r w:rsidR="00A13CB1" w:rsidRPr="00A13CB1">
        <w:t xml:space="preserve">was a randomised controlled trial </w:t>
      </w:r>
      <w:r w:rsidR="00A13CB1">
        <w:t xml:space="preserve">which </w:t>
      </w:r>
      <w:r w:rsidR="00A13CB1" w:rsidRPr="00A13CB1">
        <w:t>compar</w:t>
      </w:r>
      <w:r w:rsidR="00A13CB1">
        <w:t>ed</w:t>
      </w:r>
      <w:r w:rsidR="00A13CB1" w:rsidRPr="00A13CB1">
        <w:t xml:space="preserve"> olaparib to placebo in </w:t>
      </w:r>
      <w:r w:rsidR="00141A1E">
        <w:t xml:space="preserve">high-risk </w:t>
      </w:r>
      <w:r w:rsidR="00A13CB1" w:rsidRPr="00A13CB1">
        <w:t>HER2</w:t>
      </w:r>
      <w:r w:rsidR="00141A1E">
        <w:t>−</w:t>
      </w:r>
      <w:r w:rsidR="00A13CB1" w:rsidRPr="00A13CB1">
        <w:t xml:space="preserve"> early breast cancer patients who </w:t>
      </w:r>
      <w:r w:rsidR="00141A1E">
        <w:t xml:space="preserve">have </w:t>
      </w:r>
      <w:r w:rsidR="000D659D" w:rsidRPr="000D659D">
        <w:rPr>
          <w:lang w:val="en-US"/>
        </w:rPr>
        <w:t>g</w:t>
      </w:r>
      <w:r w:rsidR="000D659D" w:rsidRPr="000D659D">
        <w:rPr>
          <w:i/>
          <w:iCs/>
          <w:lang w:val="en-US"/>
        </w:rPr>
        <w:t>BRCA</w:t>
      </w:r>
      <w:r w:rsidR="000D659D">
        <w:t xml:space="preserve"> </w:t>
      </w:r>
      <w:r w:rsidR="00141A1E">
        <w:t xml:space="preserve">variants and who </w:t>
      </w:r>
      <w:r w:rsidR="00A13CB1" w:rsidRPr="00A13CB1">
        <w:t xml:space="preserve">had received adjuvant or neoadjuvant chemotherapy. </w:t>
      </w:r>
      <w:r>
        <w:t xml:space="preserve">No </w:t>
      </w:r>
      <w:r w:rsidR="004F50BF">
        <w:t>updated</w:t>
      </w:r>
      <w:r>
        <w:t xml:space="preserve"> data from this trial were provided. </w:t>
      </w:r>
      <w:r w:rsidR="004F50BF">
        <w:t>The k</w:t>
      </w:r>
      <w:r w:rsidR="006677CE" w:rsidRPr="006677CE">
        <w:t>ey features of the trial are summarised in</w:t>
      </w:r>
      <w:r w:rsidR="006677CE">
        <w:t xml:space="preserve"> </w:t>
      </w:r>
      <w:r w:rsidR="00A13CB1">
        <w:fldChar w:fldCharType="begin"/>
      </w:r>
      <w:r w:rsidR="00A13CB1">
        <w:instrText xml:space="preserve"> REF _Ref69725651 \h </w:instrText>
      </w:r>
      <w:r w:rsidR="00A13CB1">
        <w:fldChar w:fldCharType="separate"/>
      </w:r>
      <w:r w:rsidR="00D8423B" w:rsidRPr="00CE28E3">
        <w:t>Table</w:t>
      </w:r>
      <w:r w:rsidR="00D8423B">
        <w:t> </w:t>
      </w:r>
      <w:r w:rsidR="00D8423B">
        <w:rPr>
          <w:noProof/>
        </w:rPr>
        <w:t>5</w:t>
      </w:r>
      <w:r w:rsidR="00A13CB1">
        <w:fldChar w:fldCharType="end"/>
      </w:r>
      <w:r w:rsidR="006677CE">
        <w:t>.</w:t>
      </w:r>
    </w:p>
    <w:p w14:paraId="692BCA4B" w14:textId="006FC79A" w:rsidR="00956ACE" w:rsidRPr="007D3CA1" w:rsidRDefault="00956ACE" w:rsidP="009A06F4">
      <w:pPr>
        <w:pStyle w:val="Caption"/>
        <w:rPr>
          <w:sz w:val="16"/>
          <w:szCs w:val="16"/>
        </w:rPr>
      </w:pPr>
      <w:bookmarkStart w:id="26" w:name="_Ref69725651"/>
      <w:r w:rsidRPr="00CE28E3">
        <w:t>Table</w:t>
      </w:r>
      <w:r w:rsidR="004A4FDF">
        <w:t> </w:t>
      </w:r>
      <w:r>
        <w:fldChar w:fldCharType="begin"/>
      </w:r>
      <w:r>
        <w:instrText>SEQ Table \* ARABIC</w:instrText>
      </w:r>
      <w:r>
        <w:fldChar w:fldCharType="separate"/>
      </w:r>
      <w:r w:rsidR="00D8423B">
        <w:rPr>
          <w:noProof/>
        </w:rPr>
        <w:t>5</w:t>
      </w:r>
      <w:r>
        <w:fldChar w:fldCharType="end"/>
      </w:r>
      <w:bookmarkEnd w:id="26"/>
      <w:r w:rsidRPr="00CE28E3">
        <w:tab/>
        <w:t>Key features of the included evidence</w:t>
      </w:r>
    </w:p>
    <w:tbl>
      <w:tblPr>
        <w:tblStyle w:val="TableGrid1"/>
        <w:tblW w:w="5000" w:type="pct"/>
        <w:tblCellMar>
          <w:left w:w="28" w:type="dxa"/>
          <w:right w:w="28" w:type="dxa"/>
        </w:tblCellMar>
        <w:tblLook w:val="04A0" w:firstRow="1" w:lastRow="0" w:firstColumn="1" w:lastColumn="0" w:noHBand="0" w:noVBand="1"/>
      </w:tblPr>
      <w:tblGrid>
        <w:gridCol w:w="989"/>
        <w:gridCol w:w="1138"/>
        <w:gridCol w:w="1410"/>
        <w:gridCol w:w="995"/>
        <w:gridCol w:w="1560"/>
        <w:gridCol w:w="1417"/>
        <w:gridCol w:w="1507"/>
      </w:tblGrid>
      <w:tr w:rsidR="007D3CA1" w14:paraId="741C7FC5" w14:textId="77777777" w:rsidTr="00102F98">
        <w:trPr>
          <w:cnfStyle w:val="100000000000" w:firstRow="1" w:lastRow="0" w:firstColumn="0" w:lastColumn="0" w:oddVBand="0" w:evenVBand="0" w:oddHBand="0" w:evenHBand="0" w:firstRowFirstColumn="0" w:firstRowLastColumn="0" w:lastRowFirstColumn="0" w:lastRowLastColumn="0"/>
          <w:cantSplit/>
          <w:tblHeader/>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B284AE" w14:textId="77777777" w:rsidR="007D3CA1" w:rsidRDefault="007D3CA1">
            <w:pPr>
              <w:pStyle w:val="In-tableHeading"/>
              <w:rPr>
                <w:lang w:val="en-AU"/>
              </w:rPr>
            </w:pPr>
            <w:bookmarkStart w:id="27" w:name="ColumnTitle_Table3"/>
            <w:bookmarkStart w:id="28" w:name="_Toc69491423"/>
            <w:bookmarkEnd w:id="27"/>
            <w:r>
              <w:rPr>
                <w:lang w:val="en-AU"/>
              </w:rPr>
              <w:t>Trial</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8F701" w14:textId="77777777" w:rsidR="007D3CA1" w:rsidRDefault="007D3CA1">
            <w:pPr>
              <w:pStyle w:val="In-tableHeading"/>
              <w:jc w:val="center"/>
              <w:rPr>
                <w:lang w:val="en-AU"/>
              </w:rPr>
            </w:pPr>
            <w:r>
              <w:rPr>
                <w:lang w:val="en-AU"/>
              </w:rPr>
              <w:t>N</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8BB80" w14:textId="77777777" w:rsidR="007D3CA1" w:rsidRDefault="007D3CA1">
            <w:pPr>
              <w:pStyle w:val="In-tableHeading"/>
              <w:jc w:val="center"/>
              <w:rPr>
                <w:lang w:val="en-AU"/>
              </w:rPr>
            </w:pPr>
            <w:r>
              <w:rPr>
                <w:lang w:val="en-AU"/>
              </w:rPr>
              <w:t>Design/ duration</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4E0B0C" w14:textId="77777777" w:rsidR="007D3CA1" w:rsidRDefault="007D3CA1">
            <w:pPr>
              <w:pStyle w:val="In-tableHeading"/>
              <w:jc w:val="center"/>
              <w:rPr>
                <w:lang w:val="en-AU"/>
              </w:rPr>
            </w:pPr>
            <w:r>
              <w:rPr>
                <w:lang w:val="en-AU"/>
              </w:rPr>
              <w:t>Risk of bias</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A9443" w14:textId="77777777" w:rsidR="007D3CA1" w:rsidRDefault="007D3CA1">
            <w:pPr>
              <w:pStyle w:val="In-tableHeading"/>
              <w:jc w:val="center"/>
              <w:rPr>
                <w:lang w:val="en-AU"/>
              </w:rPr>
            </w:pPr>
            <w:r>
              <w:rPr>
                <w:lang w:val="en-AU"/>
              </w:rPr>
              <w:t>Patient population</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E6C46E" w14:textId="77777777" w:rsidR="007D3CA1" w:rsidRDefault="007D3CA1">
            <w:pPr>
              <w:pStyle w:val="In-tableHeading"/>
              <w:jc w:val="center"/>
              <w:rPr>
                <w:lang w:val="en-AU"/>
              </w:rPr>
            </w:pPr>
            <w:r>
              <w:rPr>
                <w:lang w:val="en-AU"/>
              </w:rPr>
              <w:t>Outcome(s)</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A6DA0" w14:textId="77777777" w:rsidR="007D3CA1" w:rsidRDefault="007D3CA1">
            <w:pPr>
              <w:pStyle w:val="In-tableHeading"/>
              <w:jc w:val="center"/>
              <w:rPr>
                <w:lang w:val="en-AU"/>
              </w:rPr>
            </w:pPr>
            <w:r>
              <w:rPr>
                <w:lang w:val="en-AU"/>
              </w:rPr>
              <w:t>Use in modelled evaluation</w:t>
            </w:r>
          </w:p>
        </w:tc>
      </w:tr>
      <w:tr w:rsidR="007D3CA1" w14:paraId="3AEB4870" w14:textId="77777777" w:rsidTr="007D3CA1">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45E90F2" w14:textId="77777777" w:rsidR="007D3CA1" w:rsidRDefault="007D3CA1">
            <w:pPr>
              <w:pStyle w:val="In-tableHeading"/>
              <w:rPr>
                <w:lang w:val="en-AU"/>
              </w:rPr>
            </w:pPr>
            <w:r>
              <w:rPr>
                <w:lang w:val="en-AU"/>
              </w:rPr>
              <w:t>olaparib vs. placebo</w:t>
            </w:r>
          </w:p>
        </w:tc>
      </w:tr>
      <w:tr w:rsidR="007D3CA1" w14:paraId="46983CB1" w14:textId="77777777" w:rsidTr="00102F98">
        <w:trPr>
          <w:cantSplit/>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6D730" w14:textId="77777777" w:rsidR="007D3CA1" w:rsidRDefault="007D3CA1">
            <w:pPr>
              <w:pStyle w:val="TableText"/>
            </w:pPr>
            <w:r>
              <w:t>OlympiA</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A38DD" w14:textId="77777777" w:rsidR="007D3CA1" w:rsidRDefault="007D3CA1">
            <w:pPr>
              <w:pStyle w:val="TableText"/>
              <w:jc w:val="center"/>
            </w:pPr>
            <w:r>
              <w:t>1836</w:t>
            </w:r>
          </w:p>
          <w:p w14:paraId="02242379" w14:textId="77777777" w:rsidR="007D3CA1" w:rsidRDefault="007D3CA1">
            <w:pPr>
              <w:pStyle w:val="TableText"/>
              <w:jc w:val="center"/>
            </w:pPr>
            <w:r>
              <w:t>(1830 women and 6 men)</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717A60" w14:textId="77777777" w:rsidR="007D3CA1" w:rsidRDefault="007D3CA1">
            <w:pPr>
              <w:pStyle w:val="TableText"/>
              <w:jc w:val="center"/>
            </w:pPr>
            <w:r>
              <w:t>R, DB, PC, MC</w:t>
            </w:r>
          </w:p>
          <w:p w14:paraId="7F708F2A" w14:textId="77777777" w:rsidR="007D3CA1" w:rsidRDefault="007D3CA1">
            <w:pPr>
              <w:pStyle w:val="TableText"/>
              <w:jc w:val="center"/>
            </w:pPr>
            <w:r>
              <w:t>3.5 years</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12A62" w14:textId="77777777" w:rsidR="007D3CA1" w:rsidRDefault="007D3CA1">
            <w:pPr>
              <w:pStyle w:val="TableText"/>
              <w:jc w:val="center"/>
              <w:rPr>
                <w:i/>
              </w:rPr>
            </w:pPr>
            <w:r>
              <w:rPr>
                <w:i/>
              </w:rPr>
              <w:t>Low</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3A946" w14:textId="64455AF8" w:rsidR="007D3CA1" w:rsidRDefault="007D3CA1">
            <w:pPr>
              <w:pStyle w:val="TableText"/>
              <w:jc w:val="center"/>
            </w:pPr>
            <w:r>
              <w:t xml:space="preserve">HER2 negative, </w:t>
            </w:r>
            <w:r w:rsidR="00141A1E">
              <w:t>g</w:t>
            </w:r>
            <w:r>
              <w:rPr>
                <w:i/>
              </w:rPr>
              <w:t>BRCA</w:t>
            </w:r>
            <w:r>
              <w:t xml:space="preserve"> </w:t>
            </w:r>
            <w:r w:rsidR="00141A1E">
              <w:t>variant</w:t>
            </w:r>
            <w:r>
              <w:t>, e</w:t>
            </w:r>
            <w:r w:rsidR="00141A1E">
              <w:t>arly breast cancer</w:t>
            </w:r>
            <w:r w:rsidR="00B6793A">
              <w:t> </w:t>
            </w:r>
            <w:r w:rsidR="00ED519B" w:rsidRPr="00ED519B">
              <w:rPr>
                <w:vertAlign w:val="superscript"/>
              </w:rPr>
              <w:t>a</w:t>
            </w:r>
            <w:r>
              <w:t xml:space="preserve"> previously treated with chemotherapy.</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1BAB2" w14:textId="77777777" w:rsidR="007D3CA1" w:rsidRDefault="007D3CA1">
            <w:pPr>
              <w:pStyle w:val="TableText"/>
              <w:jc w:val="center"/>
            </w:pPr>
            <w:r>
              <w:t>Primary outcome: IDFS. Secondary outcomes: OS, DDFS, FACIT-Fatigue, EORTC QLQ-C30, safety.</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41774" w14:textId="77777777" w:rsidR="007D3CA1" w:rsidRDefault="007D3CA1">
            <w:pPr>
              <w:pStyle w:val="TableText"/>
              <w:jc w:val="center"/>
            </w:pPr>
            <w:r>
              <w:t>IDFS</w:t>
            </w:r>
          </w:p>
          <w:p w14:paraId="2154A059" w14:textId="77777777" w:rsidR="007D3CA1" w:rsidRDefault="007D3CA1">
            <w:pPr>
              <w:pStyle w:val="TableText"/>
              <w:jc w:val="center"/>
            </w:pPr>
            <w:r>
              <w:t>EORTC QLQ-C30</w:t>
            </w:r>
          </w:p>
        </w:tc>
      </w:tr>
    </w:tbl>
    <w:p w14:paraId="595D1B48" w14:textId="157C1926" w:rsidR="007D3CA1" w:rsidRDefault="007D3CA1" w:rsidP="00137818">
      <w:pPr>
        <w:pStyle w:val="TableFigureFooter"/>
      </w:pPr>
      <w:r>
        <w:t xml:space="preserve">Source: Figure 2.3, p45, </w:t>
      </w:r>
      <w:r w:rsidR="00D8270E">
        <w:t>T</w:t>
      </w:r>
      <w:r>
        <w:t xml:space="preserve">able 2.6, pp47-48, </w:t>
      </w:r>
      <w:r w:rsidR="00D8270E">
        <w:t>T</w:t>
      </w:r>
      <w:r>
        <w:t xml:space="preserve">able 2.8 pp50-54, </w:t>
      </w:r>
      <w:r w:rsidR="00D8270E">
        <w:t>T</w:t>
      </w:r>
      <w:r>
        <w:t xml:space="preserve">able 2.15, pp66-67, </w:t>
      </w:r>
      <w:r w:rsidR="00D8270E">
        <w:t>T</w:t>
      </w:r>
      <w:r>
        <w:t>able 2.11, p59 of the PBAC resubmission.</w:t>
      </w:r>
    </w:p>
    <w:p w14:paraId="63EC6FD9" w14:textId="3BFF9BFB" w:rsidR="007D3CA1" w:rsidRDefault="00B6793A" w:rsidP="00137818">
      <w:pPr>
        <w:pStyle w:val="TableFigureFooter"/>
      </w:pPr>
      <w:r>
        <w:rPr>
          <w:iCs/>
        </w:rPr>
        <w:t>g</w:t>
      </w:r>
      <w:r w:rsidR="007D3CA1">
        <w:rPr>
          <w:i/>
        </w:rPr>
        <w:t>BRCA</w:t>
      </w:r>
      <w:r w:rsidR="007D3CA1">
        <w:t xml:space="preserve"> = </w:t>
      </w:r>
      <w:r>
        <w:t xml:space="preserve">germline </w:t>
      </w:r>
      <w:r w:rsidRPr="00B6793A">
        <w:rPr>
          <w:i/>
          <w:iCs/>
        </w:rPr>
        <w:t>BR</w:t>
      </w:r>
      <w:r w:rsidR="007D3CA1" w:rsidRPr="00B6793A">
        <w:rPr>
          <w:i/>
          <w:iCs/>
        </w:rPr>
        <w:t xml:space="preserve">east </w:t>
      </w:r>
      <w:r w:rsidRPr="00B6793A">
        <w:rPr>
          <w:i/>
          <w:iCs/>
        </w:rPr>
        <w:t>CA</w:t>
      </w:r>
      <w:r w:rsidR="007D3CA1" w:rsidRPr="00B6793A">
        <w:rPr>
          <w:i/>
          <w:iCs/>
        </w:rPr>
        <w:t xml:space="preserve">ncer </w:t>
      </w:r>
      <w:r w:rsidR="007D3CA1">
        <w:t>gene, DB = double blind</w:t>
      </w:r>
      <w:r>
        <w:t>;</w:t>
      </w:r>
      <w:r w:rsidR="007D3CA1">
        <w:t xml:space="preserve"> DDFS = distant disease-free survival</w:t>
      </w:r>
      <w:r>
        <w:t>;</w:t>
      </w:r>
      <w:r w:rsidR="007D3CA1">
        <w:t xml:space="preserve"> EORTC = European Organisation for the Research and Treatment of Cancer</w:t>
      </w:r>
      <w:r>
        <w:t>;</w:t>
      </w:r>
      <w:r w:rsidR="007D3CA1">
        <w:t xml:space="preserve"> FACIT = functional assessment of chronic illness therapy</w:t>
      </w:r>
      <w:r>
        <w:t>;</w:t>
      </w:r>
      <w:r w:rsidR="001B4AB5">
        <w:t xml:space="preserve"> HER2</w:t>
      </w:r>
      <w:r w:rsidR="008D2D67">
        <w:t xml:space="preserve"> =</w:t>
      </w:r>
      <w:r w:rsidR="007D3CA1">
        <w:t xml:space="preserve"> </w:t>
      </w:r>
      <w:r w:rsidR="00673F2E" w:rsidRPr="00673F2E">
        <w:t>human epidermal growth factor receptor 2</w:t>
      </w:r>
      <w:r w:rsidR="00673F2E">
        <w:t>;</w:t>
      </w:r>
      <w:r w:rsidR="007D3CA1">
        <w:t xml:space="preserve"> IDFS = invasive disease-free survival</w:t>
      </w:r>
      <w:r>
        <w:t>;</w:t>
      </w:r>
      <w:r w:rsidR="007D3CA1">
        <w:t xml:space="preserve"> MC = multi-centre</w:t>
      </w:r>
      <w:r>
        <w:t>;</w:t>
      </w:r>
      <w:r w:rsidR="007D3CA1">
        <w:t xml:space="preserve"> </w:t>
      </w:r>
      <w:r w:rsidR="005A15C8">
        <w:t>N</w:t>
      </w:r>
      <w:r w:rsidR="00A3278D">
        <w:t xml:space="preserve"> </w:t>
      </w:r>
      <w:r w:rsidR="005A15C8">
        <w:t xml:space="preserve">= number of </w:t>
      </w:r>
      <w:r w:rsidR="000231F3">
        <w:t>patients</w:t>
      </w:r>
      <w:r w:rsidR="00995112">
        <w:t xml:space="preserve">; </w:t>
      </w:r>
      <w:r w:rsidR="007D3CA1">
        <w:t>OS = overall survival</w:t>
      </w:r>
      <w:r>
        <w:t>;</w:t>
      </w:r>
      <w:r w:rsidR="007D3CA1">
        <w:t xml:space="preserve"> PC = placebo controlled</w:t>
      </w:r>
      <w:r>
        <w:t>;</w:t>
      </w:r>
      <w:r w:rsidR="007D3CA1">
        <w:t xml:space="preserve"> QLQ-C30 = quality of life questionnaire core 30</w:t>
      </w:r>
      <w:r>
        <w:t>;</w:t>
      </w:r>
      <w:r w:rsidR="007D3CA1">
        <w:t xml:space="preserve"> R = randomised.</w:t>
      </w:r>
    </w:p>
    <w:p w14:paraId="16746078" w14:textId="011AF19E" w:rsidR="00ED519B" w:rsidRDefault="00ED519B" w:rsidP="00137818">
      <w:pPr>
        <w:pStyle w:val="TableFigureFooter"/>
        <w:rPr>
          <w:sz w:val="20"/>
        </w:rPr>
      </w:pPr>
      <w:r w:rsidRPr="00ED519B">
        <w:rPr>
          <w:vertAlign w:val="superscript"/>
        </w:rPr>
        <w:t>a</w:t>
      </w:r>
      <w:r>
        <w:t xml:space="preserve"> </w:t>
      </w:r>
      <w:r w:rsidRPr="00ED519B">
        <w:t>Patients could be positive or negative for hormone receptors. This was a stratification factor during randomisation.</w:t>
      </w:r>
    </w:p>
    <w:p w14:paraId="3B9FC2AD" w14:textId="2586FE3A" w:rsidR="00772829" w:rsidRPr="00CE28E3" w:rsidRDefault="00CB5FB7" w:rsidP="002A18BE">
      <w:pPr>
        <w:pStyle w:val="Heading2"/>
        <w:numPr>
          <w:ilvl w:val="0"/>
          <w:numId w:val="0"/>
        </w:numPr>
      </w:pPr>
      <w:r>
        <w:t>11</w:t>
      </w:r>
      <w:r w:rsidR="00C36633">
        <w:t>.</w:t>
      </w:r>
      <w:r w:rsidR="00C36633">
        <w:tab/>
      </w:r>
      <w:r w:rsidR="00772829" w:rsidRPr="00CE28E3">
        <w:t>Comparative safety</w:t>
      </w:r>
      <w:bookmarkEnd w:id="28"/>
    </w:p>
    <w:p w14:paraId="7AAE562C" w14:textId="77777777" w:rsidR="00B14153" w:rsidRDefault="00B14153" w:rsidP="00B14153">
      <w:pPr>
        <w:pStyle w:val="Heading3"/>
      </w:pPr>
      <w:r>
        <w:t>Test</w:t>
      </w:r>
    </w:p>
    <w:p w14:paraId="0D2CD045" w14:textId="1E5BC6BF" w:rsidR="00B14153" w:rsidRPr="000E600F" w:rsidRDefault="00824980" w:rsidP="00B14153">
      <w:pPr>
        <w:rPr>
          <w:i/>
        </w:rPr>
      </w:pPr>
      <w:r>
        <w:t xml:space="preserve">No additional safety data were presented </w:t>
      </w:r>
      <w:r w:rsidR="00266234">
        <w:t xml:space="preserve">in the resubmission </w:t>
      </w:r>
      <w:r>
        <w:t xml:space="preserve">to support the comparative safety of </w:t>
      </w:r>
      <w:r w:rsidR="000D659D" w:rsidRPr="000D659D">
        <w:rPr>
          <w:lang w:val="en-US"/>
        </w:rPr>
        <w:t>g</w:t>
      </w:r>
      <w:r w:rsidR="000D659D" w:rsidRPr="000D659D">
        <w:rPr>
          <w:i/>
          <w:iCs/>
          <w:lang w:val="en-US"/>
        </w:rPr>
        <w:t>BRCA</w:t>
      </w:r>
      <w:r w:rsidR="000D659D">
        <w:t xml:space="preserve"> </w:t>
      </w:r>
      <w:r>
        <w:t xml:space="preserve">testing. </w:t>
      </w:r>
      <w:r w:rsidR="00681E4C" w:rsidRPr="00A96FCF">
        <w:t xml:space="preserve">The commentary noted that </w:t>
      </w:r>
      <w:r w:rsidR="00681E4C" w:rsidRPr="000E600F">
        <w:t>p</w:t>
      </w:r>
      <w:r w:rsidRPr="000E600F">
        <w:t>reviously</w:t>
      </w:r>
      <w:r w:rsidR="006873CE" w:rsidRPr="000E600F">
        <w:t xml:space="preserve"> it was noted that adverse events resulting from the testing procedure were unlikely and that due to the high performance of testing it was unlikely to have downstream safety concerns resulting from false positive or false negative test results (p15, </w:t>
      </w:r>
      <w:hyperlink r:id="rId31" w:history="1">
        <w:r w:rsidR="00382C91" w:rsidRPr="000E600F">
          <w:rPr>
            <w:rStyle w:val="Hyperlink"/>
          </w:rPr>
          <w:t>1716 PSD March 2023 MSAC Meeting</w:t>
        </w:r>
      </w:hyperlink>
      <w:r w:rsidR="006873CE" w:rsidRPr="000E600F">
        <w:t>)</w:t>
      </w:r>
      <w:r w:rsidR="00B14153" w:rsidRPr="000E600F">
        <w:t>.</w:t>
      </w:r>
      <w:r w:rsidR="00B14153" w:rsidRPr="006873CE">
        <w:rPr>
          <w:i/>
          <w:iCs/>
        </w:rPr>
        <w:t xml:space="preserve"> </w:t>
      </w:r>
    </w:p>
    <w:p w14:paraId="13C723E2" w14:textId="77777777" w:rsidR="00B14153" w:rsidRPr="000E600F" w:rsidRDefault="00B14153" w:rsidP="00B14153">
      <w:pPr>
        <w:pStyle w:val="Heading3"/>
      </w:pPr>
      <w:r w:rsidRPr="000E600F">
        <w:lastRenderedPageBreak/>
        <w:t>Drug</w:t>
      </w:r>
    </w:p>
    <w:p w14:paraId="33E810AD" w14:textId="43E78B70" w:rsidR="006873CE" w:rsidRDefault="00EA0563" w:rsidP="00644517">
      <w:r>
        <w:t xml:space="preserve">No additional safety data were presented in the PBAC resubmission to support the comparative safety of olaparib. </w:t>
      </w:r>
      <w:r w:rsidR="001F3680" w:rsidRPr="000E600F">
        <w:t>However</w:t>
      </w:r>
      <w:r w:rsidR="00560AE5" w:rsidRPr="000E600F">
        <w:t xml:space="preserve"> the commentary considered</w:t>
      </w:r>
      <w:r w:rsidR="001F3680" w:rsidRPr="000E600F">
        <w:t xml:space="preserve">, as described below </w:t>
      </w:r>
      <w:bookmarkStart w:id="29" w:name="_Hlk147405669"/>
      <w:r w:rsidR="001F3680" w:rsidRPr="000E600F">
        <w:t xml:space="preserve">in </w:t>
      </w:r>
      <w:bookmarkEnd w:id="29"/>
      <w:r w:rsidR="001F3680" w:rsidRPr="000E600F">
        <w:t>‘</w:t>
      </w:r>
      <w:r w:rsidR="001F3680" w:rsidRPr="000E600F">
        <w:fldChar w:fldCharType="begin"/>
      </w:r>
      <w:r w:rsidR="001F3680" w:rsidRPr="000E600F">
        <w:instrText xml:space="preserve"> REF _Ref147405562 \h  \* MERGEFORMAT </w:instrText>
      </w:r>
      <w:r w:rsidR="001F3680" w:rsidRPr="000E600F">
        <w:fldChar w:fldCharType="separate"/>
      </w:r>
      <w:r w:rsidR="001F3680" w:rsidRPr="000E600F">
        <w:t>Clinical claim</w:t>
      </w:r>
      <w:r w:rsidR="001F3680" w:rsidRPr="000E600F">
        <w:fldChar w:fldCharType="end"/>
      </w:r>
      <w:r w:rsidR="001F3680" w:rsidRPr="000E600F">
        <w:t>’</w:t>
      </w:r>
      <w:r w:rsidR="00644517" w:rsidRPr="000E600F">
        <w:t xml:space="preserve">, the claim of comparative safety was updated </w:t>
      </w:r>
      <w:r w:rsidR="00C62E86" w:rsidRPr="000E600F">
        <w:t>from the claim in the previous submission of non-inferior safety</w:t>
      </w:r>
      <w:r w:rsidR="00644517" w:rsidRPr="000E600F">
        <w:t xml:space="preserve"> based on </w:t>
      </w:r>
      <w:r w:rsidR="00553C64" w:rsidRPr="000E600F">
        <w:t xml:space="preserve">the </w:t>
      </w:r>
      <w:r w:rsidR="00644517" w:rsidRPr="000E600F">
        <w:t xml:space="preserve">previous PBAC consideration of this evidence </w:t>
      </w:r>
      <w:r w:rsidR="007056A6" w:rsidRPr="000E600F">
        <w:t>(para</w:t>
      </w:r>
      <w:r w:rsidR="00112225" w:rsidRPr="000E600F">
        <w:t>graph</w:t>
      </w:r>
      <w:r w:rsidR="007056A6" w:rsidRPr="000E600F">
        <w:t xml:space="preserve"> 7.7, </w:t>
      </w:r>
      <w:hyperlink r:id="rId32" w:history="1">
        <w:r w:rsidR="00112225" w:rsidRPr="000E600F">
          <w:rPr>
            <w:rStyle w:val="Hyperlink"/>
          </w:rPr>
          <w:t>O</w:t>
        </w:r>
        <w:r w:rsidR="007056A6" w:rsidRPr="000E600F">
          <w:rPr>
            <w:rStyle w:val="Hyperlink"/>
          </w:rPr>
          <w:t xml:space="preserve">laparib PSD March 2023 PBAC </w:t>
        </w:r>
        <w:r w:rsidR="00112225" w:rsidRPr="000E600F">
          <w:rPr>
            <w:rStyle w:val="Hyperlink"/>
          </w:rPr>
          <w:t>M</w:t>
        </w:r>
        <w:r w:rsidR="007056A6" w:rsidRPr="000E600F">
          <w:rPr>
            <w:rStyle w:val="Hyperlink"/>
          </w:rPr>
          <w:t>eeting</w:t>
        </w:r>
      </w:hyperlink>
      <w:r w:rsidR="007056A6" w:rsidRPr="000E600F">
        <w:t>).</w:t>
      </w:r>
    </w:p>
    <w:p w14:paraId="3717AA01" w14:textId="437E94CC" w:rsidR="00772829" w:rsidRPr="00CE28E3" w:rsidRDefault="00C36633" w:rsidP="002A18BE">
      <w:pPr>
        <w:pStyle w:val="Heading2"/>
        <w:numPr>
          <w:ilvl w:val="0"/>
          <w:numId w:val="0"/>
        </w:numPr>
      </w:pPr>
      <w:bookmarkStart w:id="30" w:name="_Toc69491424"/>
      <w:r>
        <w:t>1</w:t>
      </w:r>
      <w:r w:rsidR="00CB5FB7">
        <w:t>2</w:t>
      </w:r>
      <w:r>
        <w:t>.</w:t>
      </w:r>
      <w:r>
        <w:tab/>
      </w:r>
      <w:r w:rsidR="00772829" w:rsidRPr="00CE28E3">
        <w:t>Comparative effectiveness</w:t>
      </w:r>
      <w:bookmarkEnd w:id="30"/>
    </w:p>
    <w:p w14:paraId="3F816CC6" w14:textId="2157D0E6" w:rsidR="00B14153" w:rsidRDefault="000E3FA3" w:rsidP="00B14153">
      <w:pPr>
        <w:pStyle w:val="Heading3"/>
      </w:pPr>
      <w:r>
        <w:t>C</w:t>
      </w:r>
      <w:r w:rsidR="001F1DA5">
        <w:t>omparative analytical performance</w:t>
      </w:r>
    </w:p>
    <w:p w14:paraId="055A66CC" w14:textId="41E44EF3" w:rsidR="00B14153" w:rsidRDefault="000E3FA3" w:rsidP="00B14153">
      <w:r>
        <w:t xml:space="preserve">No </w:t>
      </w:r>
      <w:r w:rsidR="00553C64">
        <w:t xml:space="preserve">additional </w:t>
      </w:r>
      <w:r>
        <w:t xml:space="preserve">data were presented in the resubmission to support the comparative analytical performance of </w:t>
      </w:r>
      <w:r w:rsidR="000D659D" w:rsidRPr="000D659D">
        <w:rPr>
          <w:lang w:val="en-US"/>
        </w:rPr>
        <w:t>g</w:t>
      </w:r>
      <w:r w:rsidR="000D659D" w:rsidRPr="000D659D">
        <w:rPr>
          <w:i/>
          <w:iCs/>
          <w:lang w:val="en-US"/>
        </w:rPr>
        <w:t>BRCA</w:t>
      </w:r>
      <w:r w:rsidR="000D659D">
        <w:t xml:space="preserve"> </w:t>
      </w:r>
      <w:r>
        <w:t xml:space="preserve">testing. </w:t>
      </w:r>
      <w:r w:rsidR="00A96FCF">
        <w:t xml:space="preserve">The commentary noted </w:t>
      </w:r>
      <w:r w:rsidR="00A96FCF" w:rsidRPr="000E600F">
        <w:t>p</w:t>
      </w:r>
      <w:r w:rsidRPr="000E600F">
        <w:t>reviously, MSAC expected</w:t>
      </w:r>
      <w:r w:rsidR="00B14153" w:rsidRPr="000E600F">
        <w:t xml:space="preserve"> </w:t>
      </w:r>
      <w:r w:rsidRPr="000E600F">
        <w:t xml:space="preserve">high </w:t>
      </w:r>
      <w:r w:rsidR="00B14153" w:rsidRPr="000E600F">
        <w:t xml:space="preserve">testing concordance between </w:t>
      </w:r>
      <w:r w:rsidR="0049674E" w:rsidRPr="000E600F">
        <w:t>next generation sequencing and</w:t>
      </w:r>
      <w:r w:rsidR="00B14153" w:rsidRPr="000E600F">
        <w:t xml:space="preserve"> the Sanger sequencing method used in the clinical trials</w:t>
      </w:r>
      <w:r w:rsidRPr="000E600F">
        <w:t xml:space="preserve"> (p3, </w:t>
      </w:r>
      <w:hyperlink r:id="rId33" w:history="1">
        <w:r w:rsidR="00382C91" w:rsidRPr="000E600F">
          <w:rPr>
            <w:rStyle w:val="Hyperlink"/>
          </w:rPr>
          <w:t>1716 PSD March 2023 MSAC Meeting</w:t>
        </w:r>
      </w:hyperlink>
      <w:r w:rsidRPr="000E600F">
        <w:t>)</w:t>
      </w:r>
      <w:r w:rsidR="00B14153" w:rsidRPr="000E600F">
        <w:t>.</w:t>
      </w:r>
    </w:p>
    <w:p w14:paraId="48C83C50" w14:textId="77777777" w:rsidR="00B14153" w:rsidRPr="00553C64" w:rsidRDefault="00B14153" w:rsidP="00B14153">
      <w:pPr>
        <w:pStyle w:val="Heading3"/>
      </w:pPr>
      <w:r w:rsidRPr="00553C64">
        <w:t>Drug</w:t>
      </w:r>
    </w:p>
    <w:p w14:paraId="44BEA753" w14:textId="422D279F" w:rsidR="00B14153" w:rsidRDefault="00553C64" w:rsidP="00553C64">
      <w:r>
        <w:t xml:space="preserve">No additional data were presented in the PBAC resubmission to </w:t>
      </w:r>
      <w:r w:rsidR="00B14153">
        <w:t>support the comparative effectiveness of olaparib</w:t>
      </w:r>
      <w:r w:rsidR="00B14153" w:rsidRPr="00553C64">
        <w:t xml:space="preserve">. </w:t>
      </w:r>
      <w:r w:rsidRPr="00553C64">
        <w:t xml:space="preserve">Refer to </w:t>
      </w:r>
      <w:hyperlink r:id="rId34" w:history="1">
        <w:r w:rsidR="00382C91" w:rsidRPr="00382C91">
          <w:rPr>
            <w:rStyle w:val="Hyperlink"/>
          </w:rPr>
          <w:t>1716 PSD March 2023 MSAC Meeting</w:t>
        </w:r>
      </w:hyperlink>
      <w:r w:rsidRPr="00382C91">
        <w:t>, pp15−18</w:t>
      </w:r>
      <w:r w:rsidR="00B6793A">
        <w:t>,</w:t>
      </w:r>
      <w:r w:rsidRPr="00553C64">
        <w:t xml:space="preserve"> for a summary of the results</w:t>
      </w:r>
      <w:r w:rsidR="000A4DA8">
        <w:t xml:space="preserve"> from the OlympiA trial</w:t>
      </w:r>
      <w:r w:rsidR="00824980" w:rsidRPr="00553C64">
        <w:t xml:space="preserve">. </w:t>
      </w:r>
      <w:r w:rsidR="00824980" w:rsidRPr="000E600F">
        <w:t xml:space="preserve">The </w:t>
      </w:r>
      <w:r w:rsidR="00560AE5" w:rsidRPr="000E600F">
        <w:t>commentary noted that</w:t>
      </w:r>
      <w:r w:rsidR="00824980" w:rsidRPr="000E600F">
        <w:t xml:space="preserve"> PBAC previously considered that </w:t>
      </w:r>
      <w:r w:rsidRPr="000E600F">
        <w:t xml:space="preserve">while </w:t>
      </w:r>
      <w:r w:rsidR="00824980" w:rsidRPr="000E600F">
        <w:t xml:space="preserve">a claim of superior efficacy was supported for olaparib compared with placebo, </w:t>
      </w:r>
      <w:r w:rsidRPr="000E600F">
        <w:t xml:space="preserve">this was </w:t>
      </w:r>
      <w:r w:rsidR="00824980" w:rsidRPr="000E600F">
        <w:t xml:space="preserve">based on immature </w:t>
      </w:r>
      <w:r w:rsidR="0049674E" w:rsidRPr="000E600F">
        <w:t>invasive disease-free survival (</w:t>
      </w:r>
      <w:r w:rsidR="00824980" w:rsidRPr="000E600F">
        <w:t>IDFS</w:t>
      </w:r>
      <w:r w:rsidR="0049674E" w:rsidRPr="000E600F">
        <w:t>)</w:t>
      </w:r>
      <w:r w:rsidR="00824980" w:rsidRPr="000E600F">
        <w:t xml:space="preserve"> data</w:t>
      </w:r>
      <w:r w:rsidR="0036694F" w:rsidRPr="000E600F">
        <w:t xml:space="preserve"> (para</w:t>
      </w:r>
      <w:r w:rsidR="00112225" w:rsidRPr="000E600F">
        <w:t>graph</w:t>
      </w:r>
      <w:r w:rsidR="0036694F" w:rsidRPr="000E600F">
        <w:t xml:space="preserve"> 7.6, </w:t>
      </w:r>
      <w:hyperlink r:id="rId35" w:history="1">
        <w:r w:rsidR="00112225" w:rsidRPr="000E600F">
          <w:rPr>
            <w:rStyle w:val="Hyperlink"/>
          </w:rPr>
          <w:t xml:space="preserve">Olaparib </w:t>
        </w:r>
        <w:r w:rsidR="0036694F" w:rsidRPr="000E600F">
          <w:rPr>
            <w:rStyle w:val="Hyperlink"/>
          </w:rPr>
          <w:t xml:space="preserve">PSD, March 2023 PBAC </w:t>
        </w:r>
        <w:r w:rsidR="00112225" w:rsidRPr="000E600F">
          <w:rPr>
            <w:rStyle w:val="Hyperlink"/>
          </w:rPr>
          <w:t>M</w:t>
        </w:r>
        <w:r w:rsidR="0036694F" w:rsidRPr="000E600F">
          <w:rPr>
            <w:rStyle w:val="Hyperlink"/>
          </w:rPr>
          <w:t>eeting</w:t>
        </w:r>
      </w:hyperlink>
      <w:r w:rsidR="0036694F" w:rsidRPr="000E600F">
        <w:t>)</w:t>
      </w:r>
      <w:r w:rsidR="00824980" w:rsidRPr="000E600F">
        <w:t xml:space="preserve">. </w:t>
      </w:r>
      <w:r w:rsidR="0036694F" w:rsidRPr="000E600F">
        <w:t xml:space="preserve">IDFS was noted to be a composite endpoint and although a clinically relevant measure by itself, its relationship to </w:t>
      </w:r>
      <w:r w:rsidR="005F4FEC" w:rsidRPr="000E600F">
        <w:t>overall survival (</w:t>
      </w:r>
      <w:r w:rsidR="0036694F" w:rsidRPr="000E600F">
        <w:t>OS</w:t>
      </w:r>
      <w:r w:rsidR="005F4FEC" w:rsidRPr="000E600F">
        <w:t>)</w:t>
      </w:r>
      <w:r w:rsidR="0036694F" w:rsidRPr="000E600F">
        <w:t xml:space="preserve"> and its minimally clinically important difference are not known in this population (para</w:t>
      </w:r>
      <w:r w:rsidR="00112225" w:rsidRPr="000E600F">
        <w:t>graph</w:t>
      </w:r>
      <w:r w:rsidR="0036694F" w:rsidRPr="000E600F">
        <w:t xml:space="preserve"> 6.45, </w:t>
      </w:r>
      <w:hyperlink r:id="rId36" w:history="1">
        <w:r w:rsidR="00112225" w:rsidRPr="000E600F">
          <w:rPr>
            <w:rStyle w:val="Hyperlink"/>
          </w:rPr>
          <w:t xml:space="preserve">Olaparib </w:t>
        </w:r>
        <w:r w:rsidR="0036694F" w:rsidRPr="000E600F">
          <w:rPr>
            <w:rStyle w:val="Hyperlink"/>
          </w:rPr>
          <w:t xml:space="preserve">PSD March 2023 PBAC </w:t>
        </w:r>
        <w:r w:rsidR="00112225" w:rsidRPr="000E600F">
          <w:rPr>
            <w:rStyle w:val="Hyperlink"/>
          </w:rPr>
          <w:t>Meeting</w:t>
        </w:r>
      </w:hyperlink>
      <w:r w:rsidR="0036694F" w:rsidRPr="000E600F">
        <w:t xml:space="preserve">). </w:t>
      </w:r>
      <w:r w:rsidR="00824980" w:rsidRPr="000E600F">
        <w:t xml:space="preserve">The PBAC also noted that while the OS data </w:t>
      </w:r>
      <w:r w:rsidR="00F61DCC" w:rsidRPr="000E600F">
        <w:t>were</w:t>
      </w:r>
      <w:r w:rsidR="00824980" w:rsidRPr="000E600F">
        <w:t xml:space="preserve"> immature, the OlympiA trial would require a significantly longer duration of follow-up for the OS data to reach maturity (para</w:t>
      </w:r>
      <w:r w:rsidR="00112225" w:rsidRPr="000E600F">
        <w:t>graph</w:t>
      </w:r>
      <w:r w:rsidR="00824980" w:rsidRPr="000E600F">
        <w:t xml:space="preserve"> 7.6, </w:t>
      </w:r>
      <w:hyperlink r:id="rId37" w:history="1">
        <w:r w:rsidR="00112225" w:rsidRPr="000E600F">
          <w:rPr>
            <w:rStyle w:val="Hyperlink"/>
          </w:rPr>
          <w:t xml:space="preserve">Olaparib </w:t>
        </w:r>
        <w:r w:rsidR="00824980" w:rsidRPr="000E600F">
          <w:rPr>
            <w:rStyle w:val="Hyperlink"/>
          </w:rPr>
          <w:t>PSD, March 2023</w:t>
        </w:r>
        <w:r w:rsidRPr="000E600F">
          <w:rPr>
            <w:rStyle w:val="Hyperlink"/>
          </w:rPr>
          <w:t xml:space="preserve"> PBAC </w:t>
        </w:r>
        <w:r w:rsidR="00112225" w:rsidRPr="000E600F">
          <w:rPr>
            <w:rStyle w:val="Hyperlink"/>
          </w:rPr>
          <w:t>M</w:t>
        </w:r>
        <w:r w:rsidRPr="000E600F">
          <w:rPr>
            <w:rStyle w:val="Hyperlink"/>
          </w:rPr>
          <w:t>eeting</w:t>
        </w:r>
      </w:hyperlink>
      <w:r w:rsidR="00824980" w:rsidRPr="000E600F">
        <w:t>).</w:t>
      </w:r>
    </w:p>
    <w:p w14:paraId="213924C6" w14:textId="11D5654C" w:rsidR="00772829" w:rsidRPr="00553C64" w:rsidRDefault="00772829" w:rsidP="00553C64">
      <w:pPr>
        <w:pStyle w:val="Heading3"/>
      </w:pPr>
      <w:bookmarkStart w:id="31" w:name="_Ref147405562"/>
      <w:r w:rsidRPr="00553C64">
        <w:t>Clinical claim</w:t>
      </w:r>
      <w:bookmarkEnd w:id="31"/>
    </w:p>
    <w:p w14:paraId="32CBB0D0" w14:textId="48E95225" w:rsidR="00824980" w:rsidRPr="00824980" w:rsidRDefault="00824980" w:rsidP="00D10B90">
      <w:r w:rsidRPr="00824980">
        <w:t xml:space="preserve">The clinical </w:t>
      </w:r>
      <w:r>
        <w:t xml:space="preserve">claim presented in the resubmission was that </w:t>
      </w:r>
      <w:r w:rsidRPr="00824980">
        <w:t>in patients with HER2</w:t>
      </w:r>
      <w:r w:rsidR="00D073A4">
        <w:t>−</w:t>
      </w:r>
      <w:r w:rsidRPr="00824980">
        <w:t xml:space="preserve"> high-risk early breast cancer with confirmed </w:t>
      </w:r>
      <w:r w:rsidR="000D659D" w:rsidRPr="000D659D">
        <w:rPr>
          <w:lang w:val="en-US"/>
        </w:rPr>
        <w:t>g</w:t>
      </w:r>
      <w:r w:rsidR="000D659D" w:rsidRPr="000D659D">
        <w:rPr>
          <w:i/>
          <w:iCs/>
          <w:lang w:val="en-US"/>
        </w:rPr>
        <w:t>BRCA</w:t>
      </w:r>
      <w:r w:rsidR="000D659D" w:rsidRPr="00824980">
        <w:t xml:space="preserve"> </w:t>
      </w:r>
      <w:r w:rsidRPr="00824980">
        <w:t>variants who have completed definitive local treatment and neoadjuvant or adjuvant chemotherapy (with anthracyclines and/or taxane):</w:t>
      </w:r>
    </w:p>
    <w:p w14:paraId="30FFC9C9" w14:textId="64DB1DE9" w:rsidR="00824980" w:rsidRDefault="00824980" w:rsidP="00D10B90">
      <w:pPr>
        <w:pStyle w:val="ListParagraph"/>
        <w:numPr>
          <w:ilvl w:val="0"/>
          <w:numId w:val="33"/>
        </w:numPr>
      </w:pPr>
      <w:r>
        <w:t>o</w:t>
      </w:r>
      <w:r w:rsidRPr="00824980">
        <w:t xml:space="preserve">laparib </w:t>
      </w:r>
      <w:r>
        <w:t>ha</w:t>
      </w:r>
      <w:r w:rsidRPr="00824980">
        <w:t xml:space="preserve">s superior comparative efficacy (IDFS, </w:t>
      </w:r>
      <w:r w:rsidR="005F4FEC" w:rsidRPr="005F4FEC">
        <w:t>distant disease-free survival</w:t>
      </w:r>
      <w:r w:rsidR="005F4FEC">
        <w:t xml:space="preserve"> [DDFS]</w:t>
      </w:r>
      <w:r w:rsidRPr="00824980">
        <w:t>, OS)</w:t>
      </w:r>
      <w:r>
        <w:t xml:space="preserve"> relative</w:t>
      </w:r>
      <w:r w:rsidRPr="00824980">
        <w:t xml:space="preserve"> to placebo</w:t>
      </w:r>
      <w:r>
        <w:t>; and</w:t>
      </w:r>
    </w:p>
    <w:p w14:paraId="6DA5A14E" w14:textId="231BC265" w:rsidR="00824980" w:rsidRDefault="00824980" w:rsidP="00D10B90">
      <w:pPr>
        <w:pStyle w:val="ListParagraph"/>
        <w:numPr>
          <w:ilvl w:val="0"/>
          <w:numId w:val="33"/>
        </w:numPr>
      </w:pPr>
      <w:r>
        <w:t>o</w:t>
      </w:r>
      <w:r w:rsidRPr="00824980">
        <w:t xml:space="preserve">laparib </w:t>
      </w:r>
      <w:r>
        <w:t>has an</w:t>
      </w:r>
      <w:r w:rsidRPr="00824980">
        <w:t xml:space="preserve"> inferior yet manageable </w:t>
      </w:r>
      <w:r>
        <w:t xml:space="preserve">safety profile </w:t>
      </w:r>
      <w:r w:rsidRPr="00824980">
        <w:t>compared to placebo.</w:t>
      </w:r>
    </w:p>
    <w:p w14:paraId="279CA268" w14:textId="478766D7" w:rsidR="00824980" w:rsidRPr="000E600F" w:rsidRDefault="00D02D62" w:rsidP="00D10B90">
      <w:r w:rsidRPr="000E600F">
        <w:t>The commentary noted n</w:t>
      </w:r>
      <w:r w:rsidR="00824980" w:rsidRPr="000E600F">
        <w:t xml:space="preserve">o specific concerns were raised by MSAC previously on the comparative claims of safety and effectiveness of </w:t>
      </w:r>
      <w:r w:rsidR="009D6558" w:rsidRPr="000E600F">
        <w:t>g</w:t>
      </w:r>
      <w:r w:rsidR="00A96FCF" w:rsidRPr="00A96FCF">
        <w:rPr>
          <w:i/>
          <w:iCs/>
        </w:rPr>
        <w:t>BRCA</w:t>
      </w:r>
      <w:r w:rsidR="009D6558" w:rsidRPr="000E600F">
        <w:t xml:space="preserve"> </w:t>
      </w:r>
      <w:r w:rsidR="00824980" w:rsidRPr="000E600F">
        <w:t xml:space="preserve">testing compared to no testing in the population proposed. </w:t>
      </w:r>
    </w:p>
    <w:p w14:paraId="2B6C50DA" w14:textId="16F051A7" w:rsidR="00B14153" w:rsidRPr="000E600F" w:rsidRDefault="00B14153" w:rsidP="00D10B90">
      <w:r w:rsidRPr="000E600F">
        <w:t xml:space="preserve">The PBAC </w:t>
      </w:r>
      <w:r w:rsidR="00147B89" w:rsidRPr="000E600F">
        <w:t xml:space="preserve">previously </w:t>
      </w:r>
      <w:r w:rsidRPr="000E600F">
        <w:t>considered that a claim of superior efficacy was supported for olaparib compared with placebo, based on immature IDFS data (para</w:t>
      </w:r>
      <w:r w:rsidR="00112225" w:rsidRPr="000E600F">
        <w:t>graph</w:t>
      </w:r>
      <w:r w:rsidRPr="000E600F">
        <w:t xml:space="preserve"> 7.6, </w:t>
      </w:r>
      <w:hyperlink r:id="rId38" w:history="1">
        <w:r w:rsidR="00112225" w:rsidRPr="000E600F">
          <w:rPr>
            <w:rStyle w:val="Hyperlink"/>
          </w:rPr>
          <w:t xml:space="preserve">Olaparib </w:t>
        </w:r>
        <w:r w:rsidRPr="000E600F">
          <w:rPr>
            <w:rStyle w:val="Hyperlink"/>
          </w:rPr>
          <w:t>PSD, March 2023</w:t>
        </w:r>
        <w:r w:rsidR="00112225" w:rsidRPr="000E600F">
          <w:rPr>
            <w:rStyle w:val="Hyperlink"/>
          </w:rPr>
          <w:t xml:space="preserve"> PBAC Meeting</w:t>
        </w:r>
      </w:hyperlink>
      <w:r w:rsidRPr="000E600F">
        <w:t>)</w:t>
      </w:r>
      <w:r w:rsidR="00147B89" w:rsidRPr="000E600F">
        <w:t>. While the data presented did not change since the previous submission (and so remains immature), this claim remains supported by the evidence presented.</w:t>
      </w:r>
    </w:p>
    <w:p w14:paraId="44B1FEBA" w14:textId="33A31374" w:rsidR="00B14153" w:rsidRPr="000E600F" w:rsidRDefault="00147B89" w:rsidP="00D10B90">
      <w:bookmarkStart w:id="32" w:name="_Hlk146125619"/>
      <w:r w:rsidRPr="000E600F">
        <w:t xml:space="preserve">The </w:t>
      </w:r>
      <w:r w:rsidR="00112225" w:rsidRPr="000E600F">
        <w:t xml:space="preserve">commentary considered that the </w:t>
      </w:r>
      <w:r w:rsidRPr="000E600F">
        <w:t>claim</w:t>
      </w:r>
      <w:r w:rsidR="00B14153" w:rsidRPr="000E600F">
        <w:t xml:space="preserve"> of inferior, but manageable safety for olaparib compared </w:t>
      </w:r>
      <w:r w:rsidRPr="000E600F">
        <w:t>to</w:t>
      </w:r>
      <w:r w:rsidR="00B14153" w:rsidRPr="000E600F">
        <w:t xml:space="preserve"> placebo </w:t>
      </w:r>
      <w:r w:rsidRPr="000E600F">
        <w:t>wa</w:t>
      </w:r>
      <w:r w:rsidR="00B14153" w:rsidRPr="000E600F">
        <w:t>s supported by the presented evidence</w:t>
      </w:r>
      <w:r w:rsidRPr="000E600F">
        <w:t xml:space="preserve"> as </w:t>
      </w:r>
      <w:r w:rsidR="00B14153" w:rsidRPr="000E600F">
        <w:t xml:space="preserve">patients receiving olaparib in </w:t>
      </w:r>
      <w:r w:rsidR="00B14153" w:rsidRPr="000E600F">
        <w:lastRenderedPageBreak/>
        <w:t xml:space="preserve">the OlympiA trial had more </w:t>
      </w:r>
      <w:r w:rsidR="00D8423B" w:rsidRPr="000E600F">
        <w:t xml:space="preserve">treatment-related </w:t>
      </w:r>
      <w:r w:rsidR="005F4FEC" w:rsidRPr="000E600F">
        <w:t>adverse events (</w:t>
      </w:r>
      <w:r w:rsidR="00B14153" w:rsidRPr="000E600F">
        <w:t>AEs</w:t>
      </w:r>
      <w:r w:rsidR="005F4FEC" w:rsidRPr="000E600F">
        <w:t>)</w:t>
      </w:r>
      <w:r w:rsidR="00B14153" w:rsidRPr="000E600F">
        <w:t xml:space="preserve"> overall</w:t>
      </w:r>
      <w:r w:rsidR="009C523D" w:rsidRPr="000E600F">
        <w:t xml:space="preserve"> (</w:t>
      </w:r>
      <w:r w:rsidR="00D8423B" w:rsidRPr="000E600F">
        <w:t>80.8</w:t>
      </w:r>
      <w:r w:rsidR="009C523D" w:rsidRPr="000E600F">
        <w:t xml:space="preserve">% vs </w:t>
      </w:r>
      <w:r w:rsidR="00D8423B" w:rsidRPr="000E600F">
        <w:t>53.1</w:t>
      </w:r>
      <w:r w:rsidR="009C523D" w:rsidRPr="000E600F">
        <w:t>%)</w:t>
      </w:r>
      <w:r w:rsidR="00B14153" w:rsidRPr="000E600F">
        <w:t>, more AEs of grade 3 or higher</w:t>
      </w:r>
      <w:r w:rsidR="009C523D" w:rsidRPr="000E600F">
        <w:t xml:space="preserve"> (</w:t>
      </w:r>
      <w:r w:rsidR="00D8423B" w:rsidRPr="000E600F">
        <w:t>24.5</w:t>
      </w:r>
      <w:r w:rsidR="009C523D" w:rsidRPr="000E600F">
        <w:t xml:space="preserve">% vs </w:t>
      </w:r>
      <w:r w:rsidR="00D8423B" w:rsidRPr="000E600F">
        <w:t>11.3</w:t>
      </w:r>
      <w:r w:rsidR="009C523D" w:rsidRPr="000E600F">
        <w:t>%)</w:t>
      </w:r>
      <w:r w:rsidR="00B14153" w:rsidRPr="000E600F">
        <w:t>, and more AEs requiring dose reduction</w:t>
      </w:r>
      <w:r w:rsidR="00D8423B" w:rsidRPr="000E600F">
        <w:t xml:space="preserve"> (23.4% vs. 3.7%)</w:t>
      </w:r>
      <w:r w:rsidR="00B14153" w:rsidRPr="000E600F">
        <w:t>, interruption</w:t>
      </w:r>
      <w:r w:rsidR="00D8423B" w:rsidRPr="000E600F">
        <w:t xml:space="preserve"> (31.4% vs. 11.0%)</w:t>
      </w:r>
      <w:r w:rsidR="00B14153" w:rsidRPr="000E600F">
        <w:t>, or discontinuation</w:t>
      </w:r>
      <w:r w:rsidR="009C523D" w:rsidRPr="000E600F">
        <w:t xml:space="preserve"> (</w:t>
      </w:r>
      <w:r w:rsidR="00D8423B" w:rsidRPr="000E600F">
        <w:t>10.8</w:t>
      </w:r>
      <w:r w:rsidR="009C523D" w:rsidRPr="000E600F">
        <w:t xml:space="preserve">% vs </w:t>
      </w:r>
      <w:r w:rsidR="00D8423B" w:rsidRPr="000E600F">
        <w:t>4.6</w:t>
      </w:r>
      <w:r w:rsidR="009C523D" w:rsidRPr="000E600F">
        <w:t>%)</w:t>
      </w:r>
      <w:r w:rsidR="00B14153" w:rsidRPr="000E600F">
        <w:t xml:space="preserve">. </w:t>
      </w:r>
      <w:bookmarkEnd w:id="32"/>
      <w:r w:rsidRPr="000E600F">
        <w:t>This was consistent with concerns noted by the PBAC previously</w:t>
      </w:r>
      <w:r w:rsidR="004E4BA3" w:rsidRPr="000E600F">
        <w:t xml:space="preserve"> (para</w:t>
      </w:r>
      <w:r w:rsidR="00112225" w:rsidRPr="000E600F">
        <w:t>graph</w:t>
      </w:r>
      <w:r w:rsidR="004E4BA3" w:rsidRPr="000E600F">
        <w:t xml:space="preserve"> 7.7, </w:t>
      </w:r>
      <w:hyperlink r:id="rId39" w:history="1">
        <w:r w:rsidR="00112225" w:rsidRPr="000E600F">
          <w:rPr>
            <w:rStyle w:val="Hyperlink"/>
          </w:rPr>
          <w:t xml:space="preserve">Olaparib </w:t>
        </w:r>
        <w:r w:rsidR="004E4BA3" w:rsidRPr="000E600F">
          <w:rPr>
            <w:rStyle w:val="Hyperlink"/>
          </w:rPr>
          <w:t xml:space="preserve">PSD March 2023 PBAC </w:t>
        </w:r>
        <w:r w:rsidR="00112225" w:rsidRPr="000E600F">
          <w:rPr>
            <w:rStyle w:val="Hyperlink"/>
          </w:rPr>
          <w:t>Meeting</w:t>
        </w:r>
      </w:hyperlink>
      <w:r w:rsidR="004E4BA3" w:rsidRPr="000E600F">
        <w:t>).</w:t>
      </w:r>
      <w:r w:rsidRPr="000E600F">
        <w:t xml:space="preserve"> </w:t>
      </w:r>
      <w:r w:rsidR="00112225" w:rsidRPr="000E600F">
        <w:t>The commentary further</w:t>
      </w:r>
      <w:r w:rsidR="00B14153" w:rsidRPr="000E600F">
        <w:t xml:space="preserve"> noted that the safety profile of olaparib in the OlympiA trial </w:t>
      </w:r>
      <w:r w:rsidR="00112225" w:rsidRPr="000E600F">
        <w:t xml:space="preserve">aligned </w:t>
      </w:r>
      <w:r w:rsidR="00B14153" w:rsidRPr="000E600F">
        <w:t xml:space="preserve">with what </w:t>
      </w:r>
      <w:r w:rsidR="00112225" w:rsidRPr="000E600F">
        <w:t>wa</w:t>
      </w:r>
      <w:r w:rsidR="00B14153" w:rsidRPr="000E600F">
        <w:t>s already established for olaparib in the indications for which it has received PBAC and TGA approval.</w:t>
      </w:r>
    </w:p>
    <w:p w14:paraId="0D09C9E4" w14:textId="474348AF" w:rsidR="00772829" w:rsidRPr="00CE28E3" w:rsidRDefault="00C36633" w:rsidP="002A18BE">
      <w:pPr>
        <w:pStyle w:val="Heading2"/>
        <w:numPr>
          <w:ilvl w:val="0"/>
          <w:numId w:val="0"/>
        </w:numPr>
      </w:pPr>
      <w:bookmarkStart w:id="33" w:name="_Toc69491425"/>
      <w:r>
        <w:t>1</w:t>
      </w:r>
      <w:r w:rsidR="00CB5FB7">
        <w:t>3</w:t>
      </w:r>
      <w:r>
        <w:t>.</w:t>
      </w:r>
      <w:r>
        <w:tab/>
      </w:r>
      <w:r w:rsidR="00772829" w:rsidRPr="00CE28E3">
        <w:t>Economic evaluation</w:t>
      </w:r>
      <w:bookmarkEnd w:id="33"/>
    </w:p>
    <w:p w14:paraId="00C78D2B" w14:textId="3DA9124C" w:rsidR="00980F88" w:rsidRDefault="00980F88" w:rsidP="00980F88">
      <w:pPr>
        <w:pStyle w:val="Heading3"/>
      </w:pPr>
      <w:r>
        <w:t>Model overview and summary of changes related to testing</w:t>
      </w:r>
    </w:p>
    <w:p w14:paraId="248D20AB" w14:textId="0DD01691" w:rsidR="00F70361" w:rsidRDefault="000237B9" w:rsidP="000237B9">
      <w:r w:rsidRPr="000237B9">
        <w:t xml:space="preserve">The </w:t>
      </w:r>
      <w:r>
        <w:t xml:space="preserve">PBAC </w:t>
      </w:r>
      <w:r w:rsidRPr="000237B9">
        <w:t>resubmission presented a stepped economic evaluation which remained based on the OlympiA</w:t>
      </w:r>
      <w:r w:rsidR="00944404">
        <w:t xml:space="preserve"> </w:t>
      </w:r>
      <w:r w:rsidR="00944404" w:rsidRPr="000237B9">
        <w:t xml:space="preserve">randomised </w:t>
      </w:r>
      <w:r w:rsidR="00F70361">
        <w:t xml:space="preserve">controlled </w:t>
      </w:r>
      <w:r w:rsidR="00944404" w:rsidRPr="000237B9">
        <w:t>trial</w:t>
      </w:r>
      <w:r w:rsidRPr="000237B9">
        <w:t>.</w:t>
      </w:r>
      <w:r>
        <w:t xml:space="preserve"> </w:t>
      </w:r>
      <w:r w:rsidR="00347DDE">
        <w:t>The type of economic evaluation presented was a cost-effectiveness analysis and a cost-utility analysi</w:t>
      </w:r>
      <w:r w:rsidR="00663BF8">
        <w:t>s</w:t>
      </w:r>
      <w:r w:rsidR="00347DDE">
        <w:t>.</w:t>
      </w:r>
      <w:r>
        <w:t xml:space="preserve"> The structure of the model was unchanged from that presented previously</w:t>
      </w:r>
      <w:r w:rsidR="00EE7885">
        <w:t xml:space="preserve">, namely </w:t>
      </w:r>
      <w:r w:rsidR="00C6787C">
        <w:t xml:space="preserve">a semi-Markov model </w:t>
      </w:r>
      <w:r w:rsidR="004A0F0C">
        <w:t>with time varying transition probabilities</w:t>
      </w:r>
      <w:r w:rsidR="006919F9">
        <w:t xml:space="preserve"> </w:t>
      </w:r>
      <w:r w:rsidR="00414660">
        <w:t xml:space="preserve">and a </w:t>
      </w:r>
      <w:r w:rsidR="00A3278D">
        <w:t>40-year</w:t>
      </w:r>
      <w:r w:rsidR="00414660">
        <w:t xml:space="preserve"> time horizon in the base case</w:t>
      </w:r>
      <w:r w:rsidR="0093283F">
        <w:t>.</w:t>
      </w:r>
      <w:r w:rsidR="006919F9">
        <w:t xml:space="preserve"> </w:t>
      </w:r>
      <w:r w:rsidR="00EE7885">
        <w:t>T</w:t>
      </w:r>
      <w:r w:rsidR="006919F9">
        <w:t>he cost of testing remained front-loaded into the model.</w:t>
      </w:r>
      <w:r w:rsidR="00F70361">
        <w:t xml:space="preserve"> </w:t>
      </w:r>
    </w:p>
    <w:p w14:paraId="20FB4F4E" w14:textId="5ABCB883" w:rsidR="000237B9" w:rsidRPr="00C225B4" w:rsidRDefault="00F70361" w:rsidP="000237B9">
      <w:r w:rsidRPr="00C225B4">
        <w:t xml:space="preserve">A comparison of parameters related to testing used in the previous and current submission is presented in </w:t>
      </w:r>
      <w:r w:rsidR="00C225B4" w:rsidRPr="00C225B4">
        <w:fldChar w:fldCharType="begin"/>
      </w:r>
      <w:r w:rsidR="00C225B4" w:rsidRPr="00C225B4">
        <w:instrText xml:space="preserve"> REF _Ref144290324 \h  \* MERGEFORMAT </w:instrText>
      </w:r>
      <w:r w:rsidR="00C225B4" w:rsidRPr="00C225B4">
        <w:fldChar w:fldCharType="separate"/>
      </w:r>
      <w:r w:rsidR="00D8423B" w:rsidRPr="00B513A3">
        <w:t>Table 6</w:t>
      </w:r>
      <w:r w:rsidR="00C225B4" w:rsidRPr="00C225B4">
        <w:fldChar w:fldCharType="end"/>
      </w:r>
      <w:r w:rsidRPr="00C225B4">
        <w:t>.</w:t>
      </w:r>
    </w:p>
    <w:p w14:paraId="2F923382" w14:textId="1BF18047" w:rsidR="000237B9" w:rsidRPr="000E600F" w:rsidRDefault="00C225B4" w:rsidP="002015BB">
      <w:pPr>
        <w:pStyle w:val="Caption"/>
      </w:pPr>
      <w:bookmarkStart w:id="34" w:name="_Ref144290324"/>
      <w:r w:rsidRPr="000E600F">
        <w:t>Table </w:t>
      </w:r>
      <w:r w:rsidR="001947BE">
        <w:fldChar w:fldCharType="begin"/>
      </w:r>
      <w:r w:rsidR="001947BE">
        <w:instrText xml:space="preserve"> SEQ Table \* ARABIC </w:instrText>
      </w:r>
      <w:r w:rsidR="001947BE">
        <w:fldChar w:fldCharType="separate"/>
      </w:r>
      <w:r w:rsidR="00D8423B" w:rsidRPr="000E600F">
        <w:t>6</w:t>
      </w:r>
      <w:r w:rsidR="001947BE">
        <w:fldChar w:fldCharType="end"/>
      </w:r>
      <w:bookmarkEnd w:id="34"/>
      <w:r w:rsidRPr="000E600F">
        <w:tab/>
      </w:r>
      <w:r w:rsidR="002015BB" w:rsidRPr="000E600F">
        <w:t>A comparison of t</w:t>
      </w:r>
      <w:r w:rsidR="000237B9" w:rsidRPr="000E600F">
        <w:t>esting parameters used in the previous vs current submission</w:t>
      </w:r>
      <w:r w:rsidR="004B2140" w:rsidRPr="000E600F">
        <w:t>’s economic model</w:t>
      </w:r>
    </w:p>
    <w:tbl>
      <w:tblPr>
        <w:tblStyle w:val="TableGrid"/>
        <w:tblW w:w="0" w:type="auto"/>
        <w:tblLook w:val="04A0" w:firstRow="1" w:lastRow="0" w:firstColumn="1" w:lastColumn="0" w:noHBand="0" w:noVBand="1"/>
      </w:tblPr>
      <w:tblGrid>
        <w:gridCol w:w="4951"/>
        <w:gridCol w:w="2032"/>
        <w:gridCol w:w="2033"/>
      </w:tblGrid>
      <w:tr w:rsidR="002015BB" w:rsidRPr="002015BB" w14:paraId="36D451DD" w14:textId="77777777" w:rsidTr="002015BB">
        <w:tc>
          <w:tcPr>
            <w:tcW w:w="4951" w:type="dxa"/>
            <w:tcBorders>
              <w:bottom w:val="single" w:sz="4" w:space="0" w:color="auto"/>
            </w:tcBorders>
          </w:tcPr>
          <w:p w14:paraId="6F28F61E" w14:textId="77777777" w:rsidR="002015BB" w:rsidRPr="002015BB" w:rsidRDefault="002015BB" w:rsidP="002015BB">
            <w:pPr>
              <w:pStyle w:val="In-tableHeading"/>
            </w:pPr>
          </w:p>
        </w:tc>
        <w:tc>
          <w:tcPr>
            <w:tcW w:w="2032" w:type="dxa"/>
            <w:tcBorders>
              <w:bottom w:val="single" w:sz="4" w:space="0" w:color="auto"/>
            </w:tcBorders>
          </w:tcPr>
          <w:p w14:paraId="1176BDC9" w14:textId="77777777" w:rsidR="002015BB" w:rsidRPr="002015BB" w:rsidRDefault="002015BB" w:rsidP="002015BB">
            <w:pPr>
              <w:pStyle w:val="In-tableHeading"/>
              <w:jc w:val="center"/>
            </w:pPr>
            <w:r w:rsidRPr="002015BB">
              <w:t>Previous submission</w:t>
            </w:r>
          </w:p>
        </w:tc>
        <w:tc>
          <w:tcPr>
            <w:tcW w:w="2033" w:type="dxa"/>
            <w:tcBorders>
              <w:bottom w:val="single" w:sz="4" w:space="0" w:color="auto"/>
            </w:tcBorders>
          </w:tcPr>
          <w:p w14:paraId="135B7641" w14:textId="77777777" w:rsidR="002015BB" w:rsidRPr="002015BB" w:rsidRDefault="002015BB" w:rsidP="002015BB">
            <w:pPr>
              <w:pStyle w:val="In-tableHeading"/>
              <w:jc w:val="center"/>
            </w:pPr>
            <w:r w:rsidRPr="002015BB">
              <w:t>Current submission</w:t>
            </w:r>
          </w:p>
        </w:tc>
      </w:tr>
      <w:tr w:rsidR="002015BB" w:rsidRPr="002015BB" w14:paraId="5B1A4220" w14:textId="77777777" w:rsidTr="002015BB">
        <w:tc>
          <w:tcPr>
            <w:tcW w:w="4951" w:type="dxa"/>
            <w:tcBorders>
              <w:bottom w:val="single" w:sz="4" w:space="0" w:color="auto"/>
              <w:right w:val="nil"/>
            </w:tcBorders>
          </w:tcPr>
          <w:p w14:paraId="0A55523F" w14:textId="5DA93E4B" w:rsidR="002015BB" w:rsidRPr="002015BB" w:rsidRDefault="002015BB" w:rsidP="002015BB">
            <w:pPr>
              <w:pStyle w:val="TableText"/>
            </w:pPr>
            <w:r w:rsidRPr="002015BB">
              <w:t xml:space="preserve">Prevalence of </w:t>
            </w:r>
            <w:r w:rsidR="000D659D" w:rsidRPr="000D659D">
              <w:rPr>
                <w:lang w:val="en-US"/>
              </w:rPr>
              <w:t>g</w:t>
            </w:r>
            <w:r w:rsidR="000D659D" w:rsidRPr="000D659D">
              <w:rPr>
                <w:i/>
                <w:iCs/>
                <w:lang w:val="en-US"/>
              </w:rPr>
              <w:t>BRCA</w:t>
            </w:r>
            <w:r w:rsidR="000D659D" w:rsidRPr="002015BB">
              <w:t xml:space="preserve"> </w:t>
            </w:r>
            <w:r w:rsidRPr="002015BB">
              <w:t>variants</w:t>
            </w:r>
          </w:p>
        </w:tc>
        <w:tc>
          <w:tcPr>
            <w:tcW w:w="2032" w:type="dxa"/>
            <w:tcBorders>
              <w:left w:val="nil"/>
              <w:bottom w:val="single" w:sz="4" w:space="0" w:color="auto"/>
              <w:right w:val="nil"/>
            </w:tcBorders>
          </w:tcPr>
          <w:p w14:paraId="0640EEE4" w14:textId="77777777" w:rsidR="002015BB" w:rsidRPr="002015BB" w:rsidRDefault="002015BB" w:rsidP="002015BB">
            <w:pPr>
              <w:pStyle w:val="TableText"/>
              <w:jc w:val="center"/>
            </w:pPr>
          </w:p>
        </w:tc>
        <w:tc>
          <w:tcPr>
            <w:tcW w:w="2033" w:type="dxa"/>
            <w:tcBorders>
              <w:left w:val="nil"/>
              <w:bottom w:val="single" w:sz="4" w:space="0" w:color="auto"/>
            </w:tcBorders>
          </w:tcPr>
          <w:p w14:paraId="0419568E" w14:textId="77777777" w:rsidR="002015BB" w:rsidRPr="002015BB" w:rsidRDefault="002015BB" w:rsidP="002015BB">
            <w:pPr>
              <w:pStyle w:val="TableText"/>
              <w:jc w:val="center"/>
            </w:pPr>
          </w:p>
        </w:tc>
      </w:tr>
      <w:tr w:rsidR="002015BB" w:rsidRPr="002015BB" w14:paraId="59B82068" w14:textId="77777777" w:rsidTr="00E65749">
        <w:tc>
          <w:tcPr>
            <w:tcW w:w="4951" w:type="dxa"/>
            <w:tcBorders>
              <w:bottom w:val="nil"/>
            </w:tcBorders>
            <w:shd w:val="clear" w:color="auto" w:fill="auto"/>
          </w:tcPr>
          <w:p w14:paraId="1967BCD7" w14:textId="77777777" w:rsidR="002015BB" w:rsidRPr="002015BB" w:rsidRDefault="002015BB" w:rsidP="002015BB">
            <w:pPr>
              <w:pStyle w:val="TableText"/>
              <w:numPr>
                <w:ilvl w:val="0"/>
                <w:numId w:val="29"/>
              </w:numPr>
              <w:ind w:left="450" w:hanging="283"/>
            </w:pPr>
            <w:r w:rsidRPr="002015BB">
              <w:t>TNBC</w:t>
            </w:r>
          </w:p>
        </w:tc>
        <w:tc>
          <w:tcPr>
            <w:tcW w:w="2032" w:type="dxa"/>
            <w:tcBorders>
              <w:bottom w:val="nil"/>
            </w:tcBorders>
            <w:shd w:val="clear" w:color="auto" w:fill="auto"/>
          </w:tcPr>
          <w:p w14:paraId="3BC43735" w14:textId="77777777" w:rsidR="002015BB" w:rsidRPr="002015BB" w:rsidRDefault="002015BB" w:rsidP="002015BB">
            <w:pPr>
              <w:pStyle w:val="TableText"/>
              <w:jc w:val="center"/>
            </w:pPr>
            <w:r w:rsidRPr="002015BB">
              <w:t>13.25%</w:t>
            </w:r>
          </w:p>
        </w:tc>
        <w:tc>
          <w:tcPr>
            <w:tcW w:w="2033" w:type="dxa"/>
            <w:tcBorders>
              <w:bottom w:val="nil"/>
            </w:tcBorders>
            <w:shd w:val="clear" w:color="auto" w:fill="auto"/>
          </w:tcPr>
          <w:p w14:paraId="7186C172" w14:textId="77777777" w:rsidR="002015BB" w:rsidRPr="002015BB" w:rsidRDefault="002015BB" w:rsidP="002015BB">
            <w:pPr>
              <w:pStyle w:val="TableText"/>
              <w:jc w:val="center"/>
            </w:pPr>
            <w:r w:rsidRPr="002015BB">
              <w:t>13.25%</w:t>
            </w:r>
          </w:p>
        </w:tc>
      </w:tr>
      <w:tr w:rsidR="002015BB" w:rsidRPr="002015BB" w14:paraId="2426C51A" w14:textId="77777777" w:rsidTr="00E65749">
        <w:tc>
          <w:tcPr>
            <w:tcW w:w="4951" w:type="dxa"/>
            <w:tcBorders>
              <w:top w:val="nil"/>
              <w:bottom w:val="single" w:sz="4" w:space="0" w:color="auto"/>
            </w:tcBorders>
            <w:shd w:val="clear" w:color="auto" w:fill="auto"/>
          </w:tcPr>
          <w:p w14:paraId="07C02880" w14:textId="77777777" w:rsidR="002015BB" w:rsidRPr="002015BB" w:rsidRDefault="002015BB" w:rsidP="002015BB">
            <w:pPr>
              <w:pStyle w:val="TableText"/>
              <w:numPr>
                <w:ilvl w:val="0"/>
                <w:numId w:val="29"/>
              </w:numPr>
              <w:ind w:left="450" w:hanging="283"/>
            </w:pPr>
            <w:r w:rsidRPr="002015BB">
              <w:t>HR+</w:t>
            </w:r>
          </w:p>
        </w:tc>
        <w:tc>
          <w:tcPr>
            <w:tcW w:w="2032" w:type="dxa"/>
            <w:tcBorders>
              <w:top w:val="nil"/>
              <w:bottom w:val="single" w:sz="4" w:space="0" w:color="auto"/>
            </w:tcBorders>
            <w:shd w:val="clear" w:color="auto" w:fill="auto"/>
          </w:tcPr>
          <w:p w14:paraId="71DE6D7F" w14:textId="77777777" w:rsidR="002015BB" w:rsidRPr="002015BB" w:rsidRDefault="002015BB" w:rsidP="002015BB">
            <w:pPr>
              <w:pStyle w:val="TableText"/>
              <w:jc w:val="center"/>
            </w:pPr>
            <w:r w:rsidRPr="002015BB">
              <w:t>13.25%</w:t>
            </w:r>
          </w:p>
        </w:tc>
        <w:tc>
          <w:tcPr>
            <w:tcW w:w="2033" w:type="dxa"/>
            <w:tcBorders>
              <w:top w:val="nil"/>
              <w:bottom w:val="single" w:sz="4" w:space="0" w:color="auto"/>
            </w:tcBorders>
            <w:shd w:val="clear" w:color="auto" w:fill="auto"/>
          </w:tcPr>
          <w:p w14:paraId="7D1B8769" w14:textId="77777777" w:rsidR="002015BB" w:rsidRPr="002015BB" w:rsidRDefault="002015BB" w:rsidP="002015BB">
            <w:pPr>
              <w:pStyle w:val="TableText"/>
              <w:jc w:val="center"/>
            </w:pPr>
            <w:r w:rsidRPr="002015BB">
              <w:t>5.0%</w:t>
            </w:r>
          </w:p>
        </w:tc>
      </w:tr>
      <w:tr w:rsidR="00661DB5" w:rsidRPr="002015BB" w14:paraId="5D457B88" w14:textId="77777777">
        <w:tc>
          <w:tcPr>
            <w:tcW w:w="4951" w:type="dxa"/>
            <w:tcBorders>
              <w:bottom w:val="single" w:sz="4" w:space="0" w:color="auto"/>
              <w:right w:val="nil"/>
            </w:tcBorders>
            <w:shd w:val="clear" w:color="auto" w:fill="auto"/>
          </w:tcPr>
          <w:p w14:paraId="64045DCB" w14:textId="77777777" w:rsidR="00661DB5" w:rsidRPr="002015BB" w:rsidRDefault="00661DB5">
            <w:pPr>
              <w:pStyle w:val="TableText"/>
            </w:pPr>
            <w:r>
              <w:t>Proportion of patients with high-risk characteristics</w:t>
            </w:r>
          </w:p>
        </w:tc>
        <w:tc>
          <w:tcPr>
            <w:tcW w:w="2032" w:type="dxa"/>
            <w:tcBorders>
              <w:left w:val="nil"/>
              <w:bottom w:val="single" w:sz="4" w:space="0" w:color="auto"/>
              <w:right w:val="nil"/>
            </w:tcBorders>
            <w:shd w:val="clear" w:color="auto" w:fill="auto"/>
          </w:tcPr>
          <w:p w14:paraId="168F22BF" w14:textId="77777777" w:rsidR="00661DB5" w:rsidRPr="002015BB" w:rsidRDefault="00661DB5">
            <w:pPr>
              <w:pStyle w:val="TableText"/>
              <w:jc w:val="center"/>
            </w:pPr>
          </w:p>
        </w:tc>
        <w:tc>
          <w:tcPr>
            <w:tcW w:w="2033" w:type="dxa"/>
            <w:tcBorders>
              <w:left w:val="nil"/>
              <w:bottom w:val="single" w:sz="4" w:space="0" w:color="auto"/>
            </w:tcBorders>
            <w:shd w:val="clear" w:color="auto" w:fill="auto"/>
          </w:tcPr>
          <w:p w14:paraId="0C34B662" w14:textId="77777777" w:rsidR="00661DB5" w:rsidRPr="002015BB" w:rsidRDefault="00661DB5">
            <w:pPr>
              <w:pStyle w:val="TableText"/>
              <w:jc w:val="center"/>
            </w:pPr>
          </w:p>
        </w:tc>
      </w:tr>
      <w:tr w:rsidR="00661DB5" w:rsidRPr="002015BB" w14:paraId="5F037AB8" w14:textId="77777777">
        <w:tc>
          <w:tcPr>
            <w:tcW w:w="4951" w:type="dxa"/>
            <w:tcBorders>
              <w:bottom w:val="nil"/>
            </w:tcBorders>
            <w:shd w:val="clear" w:color="auto" w:fill="auto"/>
          </w:tcPr>
          <w:p w14:paraId="4DA0F782" w14:textId="77777777" w:rsidR="00661DB5" w:rsidRPr="002015BB" w:rsidRDefault="00661DB5">
            <w:pPr>
              <w:pStyle w:val="TableText"/>
              <w:numPr>
                <w:ilvl w:val="0"/>
                <w:numId w:val="29"/>
              </w:numPr>
              <w:ind w:left="450" w:hanging="283"/>
            </w:pPr>
            <w:r w:rsidRPr="002015BB">
              <w:t>TNBC</w:t>
            </w:r>
          </w:p>
        </w:tc>
        <w:tc>
          <w:tcPr>
            <w:tcW w:w="2032" w:type="dxa"/>
            <w:tcBorders>
              <w:bottom w:val="nil"/>
            </w:tcBorders>
            <w:shd w:val="clear" w:color="auto" w:fill="auto"/>
          </w:tcPr>
          <w:p w14:paraId="33440DAB" w14:textId="77777777" w:rsidR="00661DB5" w:rsidRPr="002015BB" w:rsidRDefault="00661DB5">
            <w:pPr>
              <w:pStyle w:val="TableText"/>
              <w:jc w:val="center"/>
            </w:pPr>
            <w:r>
              <w:t>100</w:t>
            </w:r>
            <w:r w:rsidRPr="002015BB">
              <w:t>%</w:t>
            </w:r>
          </w:p>
        </w:tc>
        <w:tc>
          <w:tcPr>
            <w:tcW w:w="2033" w:type="dxa"/>
            <w:tcBorders>
              <w:bottom w:val="nil"/>
            </w:tcBorders>
            <w:shd w:val="clear" w:color="auto" w:fill="auto"/>
          </w:tcPr>
          <w:p w14:paraId="54CD31FC" w14:textId="77777777" w:rsidR="00661DB5" w:rsidRPr="002015BB" w:rsidRDefault="00661DB5">
            <w:pPr>
              <w:pStyle w:val="TableText"/>
              <w:jc w:val="center"/>
            </w:pPr>
            <w:r>
              <w:t>100</w:t>
            </w:r>
            <w:r w:rsidRPr="002015BB">
              <w:t>%</w:t>
            </w:r>
          </w:p>
        </w:tc>
      </w:tr>
      <w:tr w:rsidR="00661DB5" w:rsidRPr="002015BB" w14:paraId="7CC364F6" w14:textId="77777777">
        <w:tc>
          <w:tcPr>
            <w:tcW w:w="4951" w:type="dxa"/>
            <w:tcBorders>
              <w:top w:val="nil"/>
            </w:tcBorders>
            <w:shd w:val="clear" w:color="auto" w:fill="auto"/>
          </w:tcPr>
          <w:p w14:paraId="2387CD72" w14:textId="77777777" w:rsidR="00661DB5" w:rsidRPr="002015BB" w:rsidRDefault="00661DB5">
            <w:pPr>
              <w:pStyle w:val="TableText"/>
              <w:numPr>
                <w:ilvl w:val="0"/>
                <w:numId w:val="29"/>
              </w:numPr>
              <w:ind w:left="450" w:hanging="283"/>
            </w:pPr>
            <w:r w:rsidRPr="002015BB">
              <w:t>HR+</w:t>
            </w:r>
          </w:p>
        </w:tc>
        <w:tc>
          <w:tcPr>
            <w:tcW w:w="2032" w:type="dxa"/>
            <w:tcBorders>
              <w:top w:val="nil"/>
            </w:tcBorders>
            <w:shd w:val="clear" w:color="auto" w:fill="auto"/>
          </w:tcPr>
          <w:p w14:paraId="2BE157C5" w14:textId="77777777" w:rsidR="00661DB5" w:rsidRPr="002015BB" w:rsidRDefault="00661DB5">
            <w:pPr>
              <w:pStyle w:val="TableText"/>
              <w:jc w:val="center"/>
            </w:pPr>
            <w:r>
              <w:t>49</w:t>
            </w:r>
            <w:r w:rsidRPr="002015BB">
              <w:t>.0%</w:t>
            </w:r>
          </w:p>
        </w:tc>
        <w:tc>
          <w:tcPr>
            <w:tcW w:w="2033" w:type="dxa"/>
            <w:tcBorders>
              <w:top w:val="nil"/>
            </w:tcBorders>
            <w:shd w:val="clear" w:color="auto" w:fill="auto"/>
          </w:tcPr>
          <w:p w14:paraId="7EF0F3BC" w14:textId="77777777" w:rsidR="00661DB5" w:rsidRPr="002015BB" w:rsidRDefault="00661DB5">
            <w:pPr>
              <w:pStyle w:val="TableText"/>
              <w:jc w:val="center"/>
            </w:pPr>
            <w:r>
              <w:t>49</w:t>
            </w:r>
            <w:r w:rsidRPr="002015BB">
              <w:t>.0%</w:t>
            </w:r>
          </w:p>
        </w:tc>
      </w:tr>
      <w:tr w:rsidR="002015BB" w:rsidRPr="002015BB" w14:paraId="6A44F07D" w14:textId="77777777" w:rsidTr="00E65749">
        <w:tc>
          <w:tcPr>
            <w:tcW w:w="4951" w:type="dxa"/>
            <w:tcBorders>
              <w:bottom w:val="single" w:sz="4" w:space="0" w:color="auto"/>
              <w:right w:val="nil"/>
            </w:tcBorders>
            <w:shd w:val="clear" w:color="auto" w:fill="auto"/>
          </w:tcPr>
          <w:p w14:paraId="7E6436F5" w14:textId="2283DD92" w:rsidR="002015BB" w:rsidRPr="002015BB" w:rsidRDefault="002015BB" w:rsidP="002015BB">
            <w:pPr>
              <w:pStyle w:val="TableText"/>
            </w:pPr>
            <w:r w:rsidRPr="002015BB">
              <w:t xml:space="preserve">Uptake of </w:t>
            </w:r>
            <w:r w:rsidR="000D659D" w:rsidRPr="000D659D">
              <w:rPr>
                <w:lang w:val="en-US"/>
              </w:rPr>
              <w:t>g</w:t>
            </w:r>
            <w:r w:rsidR="000D659D" w:rsidRPr="000D659D">
              <w:rPr>
                <w:i/>
                <w:iCs/>
                <w:lang w:val="en-US"/>
              </w:rPr>
              <w:t>BRCA</w:t>
            </w:r>
            <w:r w:rsidR="000D659D" w:rsidRPr="002015BB">
              <w:t xml:space="preserve"> </w:t>
            </w:r>
            <w:r w:rsidRPr="002015BB">
              <w:t>testing before olaparib listing</w:t>
            </w:r>
          </w:p>
        </w:tc>
        <w:tc>
          <w:tcPr>
            <w:tcW w:w="2032" w:type="dxa"/>
            <w:tcBorders>
              <w:left w:val="nil"/>
              <w:bottom w:val="single" w:sz="4" w:space="0" w:color="auto"/>
              <w:right w:val="nil"/>
            </w:tcBorders>
            <w:shd w:val="clear" w:color="auto" w:fill="auto"/>
          </w:tcPr>
          <w:p w14:paraId="659D3DE7" w14:textId="77777777" w:rsidR="002015BB" w:rsidRPr="002015BB" w:rsidRDefault="002015BB" w:rsidP="002015BB">
            <w:pPr>
              <w:pStyle w:val="TableText"/>
              <w:jc w:val="center"/>
            </w:pPr>
          </w:p>
        </w:tc>
        <w:tc>
          <w:tcPr>
            <w:tcW w:w="2033" w:type="dxa"/>
            <w:tcBorders>
              <w:left w:val="nil"/>
              <w:bottom w:val="single" w:sz="4" w:space="0" w:color="auto"/>
            </w:tcBorders>
            <w:shd w:val="clear" w:color="auto" w:fill="auto"/>
          </w:tcPr>
          <w:p w14:paraId="5C5CAC25" w14:textId="77777777" w:rsidR="002015BB" w:rsidRPr="002015BB" w:rsidRDefault="002015BB" w:rsidP="002015BB">
            <w:pPr>
              <w:pStyle w:val="TableText"/>
              <w:jc w:val="center"/>
            </w:pPr>
          </w:p>
        </w:tc>
      </w:tr>
      <w:tr w:rsidR="002015BB" w:rsidRPr="002015BB" w14:paraId="67BEFA62" w14:textId="77777777" w:rsidTr="00E65749">
        <w:tc>
          <w:tcPr>
            <w:tcW w:w="4951" w:type="dxa"/>
            <w:tcBorders>
              <w:bottom w:val="nil"/>
            </w:tcBorders>
            <w:shd w:val="clear" w:color="auto" w:fill="auto"/>
          </w:tcPr>
          <w:p w14:paraId="71CADE92" w14:textId="77777777" w:rsidR="002015BB" w:rsidRPr="002015BB" w:rsidRDefault="002015BB" w:rsidP="002015BB">
            <w:pPr>
              <w:pStyle w:val="TableText"/>
              <w:numPr>
                <w:ilvl w:val="0"/>
                <w:numId w:val="29"/>
              </w:numPr>
              <w:ind w:left="450" w:hanging="283"/>
            </w:pPr>
            <w:r w:rsidRPr="002015BB">
              <w:t>TNBC</w:t>
            </w:r>
          </w:p>
        </w:tc>
        <w:tc>
          <w:tcPr>
            <w:tcW w:w="2032" w:type="dxa"/>
            <w:tcBorders>
              <w:bottom w:val="nil"/>
            </w:tcBorders>
            <w:shd w:val="clear" w:color="auto" w:fill="auto"/>
          </w:tcPr>
          <w:p w14:paraId="0EC98E37" w14:textId="77777777" w:rsidR="002015BB" w:rsidRPr="002015BB" w:rsidRDefault="002015BB" w:rsidP="002015BB">
            <w:pPr>
              <w:pStyle w:val="TableText"/>
              <w:jc w:val="center"/>
            </w:pPr>
            <w:r w:rsidRPr="002015BB">
              <w:t>74.0%</w:t>
            </w:r>
          </w:p>
        </w:tc>
        <w:tc>
          <w:tcPr>
            <w:tcW w:w="2033" w:type="dxa"/>
            <w:tcBorders>
              <w:bottom w:val="nil"/>
            </w:tcBorders>
            <w:shd w:val="clear" w:color="auto" w:fill="auto"/>
          </w:tcPr>
          <w:p w14:paraId="65617B2A" w14:textId="77777777" w:rsidR="002015BB" w:rsidRPr="002015BB" w:rsidRDefault="002015BB" w:rsidP="002015BB">
            <w:pPr>
              <w:pStyle w:val="TableText"/>
              <w:jc w:val="center"/>
            </w:pPr>
            <w:r w:rsidRPr="002015BB">
              <w:t>74.0%</w:t>
            </w:r>
          </w:p>
        </w:tc>
      </w:tr>
      <w:tr w:rsidR="002015BB" w:rsidRPr="002015BB" w14:paraId="3D236BAA" w14:textId="77777777" w:rsidTr="00E65749">
        <w:tc>
          <w:tcPr>
            <w:tcW w:w="4951" w:type="dxa"/>
            <w:tcBorders>
              <w:top w:val="nil"/>
            </w:tcBorders>
            <w:shd w:val="clear" w:color="auto" w:fill="auto"/>
          </w:tcPr>
          <w:p w14:paraId="249872AC" w14:textId="77777777" w:rsidR="002015BB" w:rsidRPr="002015BB" w:rsidRDefault="002015BB" w:rsidP="002015BB">
            <w:pPr>
              <w:pStyle w:val="TableText"/>
              <w:numPr>
                <w:ilvl w:val="0"/>
                <w:numId w:val="29"/>
              </w:numPr>
              <w:ind w:left="450" w:hanging="283"/>
            </w:pPr>
            <w:r w:rsidRPr="002015BB">
              <w:t>HR+</w:t>
            </w:r>
          </w:p>
        </w:tc>
        <w:tc>
          <w:tcPr>
            <w:tcW w:w="2032" w:type="dxa"/>
            <w:tcBorders>
              <w:top w:val="nil"/>
            </w:tcBorders>
            <w:shd w:val="clear" w:color="auto" w:fill="auto"/>
          </w:tcPr>
          <w:p w14:paraId="0773E7A3" w14:textId="77777777" w:rsidR="002015BB" w:rsidRPr="002015BB" w:rsidRDefault="002015BB" w:rsidP="002015BB">
            <w:pPr>
              <w:pStyle w:val="TableText"/>
              <w:jc w:val="center"/>
            </w:pPr>
            <w:r w:rsidRPr="002015BB">
              <w:t>74.0%</w:t>
            </w:r>
          </w:p>
        </w:tc>
        <w:tc>
          <w:tcPr>
            <w:tcW w:w="2033" w:type="dxa"/>
            <w:tcBorders>
              <w:top w:val="nil"/>
            </w:tcBorders>
            <w:shd w:val="clear" w:color="auto" w:fill="auto"/>
          </w:tcPr>
          <w:p w14:paraId="0489FFB5" w14:textId="77777777" w:rsidR="002015BB" w:rsidRPr="002015BB" w:rsidRDefault="002015BB" w:rsidP="002015BB">
            <w:pPr>
              <w:pStyle w:val="TableText"/>
              <w:jc w:val="center"/>
            </w:pPr>
            <w:r w:rsidRPr="002015BB">
              <w:t>20.0%</w:t>
            </w:r>
          </w:p>
        </w:tc>
      </w:tr>
      <w:tr w:rsidR="002015BB" w:rsidRPr="002015BB" w14:paraId="1522F2D7" w14:textId="77777777" w:rsidTr="00E65749">
        <w:tc>
          <w:tcPr>
            <w:tcW w:w="4951" w:type="dxa"/>
            <w:shd w:val="clear" w:color="auto" w:fill="auto"/>
          </w:tcPr>
          <w:p w14:paraId="12E63958" w14:textId="29132681" w:rsidR="002015BB" w:rsidRPr="002015BB" w:rsidRDefault="002015BB" w:rsidP="002015BB">
            <w:pPr>
              <w:pStyle w:val="TableText"/>
            </w:pPr>
            <w:r w:rsidRPr="002015BB">
              <w:t xml:space="preserve">Uptake of </w:t>
            </w:r>
            <w:r w:rsidR="000D659D" w:rsidRPr="000D659D">
              <w:rPr>
                <w:lang w:val="en-US"/>
              </w:rPr>
              <w:t>g</w:t>
            </w:r>
            <w:r w:rsidR="000D659D" w:rsidRPr="000D659D">
              <w:rPr>
                <w:i/>
                <w:iCs/>
                <w:lang w:val="en-US"/>
              </w:rPr>
              <w:t>BRCA</w:t>
            </w:r>
            <w:r w:rsidR="000D659D" w:rsidRPr="002015BB">
              <w:t xml:space="preserve"> </w:t>
            </w:r>
            <w:r w:rsidRPr="002015BB">
              <w:t>testing following olaparib listing</w:t>
            </w:r>
          </w:p>
        </w:tc>
        <w:tc>
          <w:tcPr>
            <w:tcW w:w="2032" w:type="dxa"/>
            <w:shd w:val="clear" w:color="auto" w:fill="auto"/>
          </w:tcPr>
          <w:p w14:paraId="25329D9E" w14:textId="20C44087" w:rsidR="002015BB" w:rsidRPr="002015BB" w:rsidRDefault="007169D4" w:rsidP="002015BB">
            <w:pPr>
              <w:pStyle w:val="TableText"/>
              <w:jc w:val="center"/>
            </w:pPr>
            <w:r w:rsidRPr="007169D4">
              <w:rPr>
                <w:b/>
                <w:bCs/>
              </w:rPr>
              <w:t>redacted</w:t>
            </w:r>
            <w:r w:rsidR="002015BB" w:rsidRPr="002015BB">
              <w:t>%</w:t>
            </w:r>
          </w:p>
        </w:tc>
        <w:tc>
          <w:tcPr>
            <w:tcW w:w="2033" w:type="dxa"/>
            <w:shd w:val="clear" w:color="auto" w:fill="auto"/>
          </w:tcPr>
          <w:p w14:paraId="21D5762A" w14:textId="145B3CB6" w:rsidR="002015BB" w:rsidRPr="002015BB" w:rsidRDefault="007169D4" w:rsidP="002015BB">
            <w:pPr>
              <w:pStyle w:val="TableText"/>
              <w:jc w:val="center"/>
            </w:pPr>
            <w:r w:rsidRPr="007169D4">
              <w:rPr>
                <w:b/>
                <w:bCs/>
              </w:rPr>
              <w:t>redacted</w:t>
            </w:r>
            <w:r w:rsidRPr="002015BB">
              <w:t xml:space="preserve"> </w:t>
            </w:r>
            <w:r w:rsidR="002015BB" w:rsidRPr="002015BB">
              <w:t>%</w:t>
            </w:r>
          </w:p>
        </w:tc>
      </w:tr>
      <w:tr w:rsidR="002015BB" w:rsidRPr="002015BB" w14:paraId="2172560A" w14:textId="77777777" w:rsidTr="00E65749">
        <w:tc>
          <w:tcPr>
            <w:tcW w:w="4951" w:type="dxa"/>
            <w:shd w:val="clear" w:color="auto" w:fill="auto"/>
          </w:tcPr>
          <w:p w14:paraId="78CAE3D0" w14:textId="77777777" w:rsidR="002015BB" w:rsidRPr="002015BB" w:rsidRDefault="002015BB" w:rsidP="002015BB">
            <w:pPr>
              <w:pStyle w:val="TableText"/>
            </w:pPr>
            <w:r w:rsidRPr="002015BB">
              <w:t>Proportion of patients that are TNBC</w:t>
            </w:r>
          </w:p>
        </w:tc>
        <w:tc>
          <w:tcPr>
            <w:tcW w:w="2032" w:type="dxa"/>
            <w:shd w:val="clear" w:color="auto" w:fill="auto"/>
          </w:tcPr>
          <w:p w14:paraId="1A92AE3B" w14:textId="77777777" w:rsidR="002015BB" w:rsidRPr="002015BB" w:rsidRDefault="002015BB" w:rsidP="002015BB">
            <w:pPr>
              <w:pStyle w:val="TableText"/>
              <w:jc w:val="center"/>
            </w:pPr>
            <w:r w:rsidRPr="002015BB">
              <w:t>12.1%</w:t>
            </w:r>
          </w:p>
        </w:tc>
        <w:tc>
          <w:tcPr>
            <w:tcW w:w="2033" w:type="dxa"/>
            <w:shd w:val="clear" w:color="auto" w:fill="auto"/>
          </w:tcPr>
          <w:p w14:paraId="0832D718" w14:textId="77777777" w:rsidR="002015BB" w:rsidRPr="002015BB" w:rsidRDefault="002015BB" w:rsidP="002015BB">
            <w:pPr>
              <w:pStyle w:val="TableText"/>
              <w:jc w:val="center"/>
            </w:pPr>
            <w:r w:rsidRPr="002015BB">
              <w:t>15.0%</w:t>
            </w:r>
          </w:p>
        </w:tc>
      </w:tr>
      <w:tr w:rsidR="007F1F5A" w:rsidRPr="002015BB" w14:paraId="1B0B6DAD" w14:textId="77777777" w:rsidTr="00E65749">
        <w:tc>
          <w:tcPr>
            <w:tcW w:w="4951" w:type="dxa"/>
            <w:shd w:val="clear" w:color="auto" w:fill="auto"/>
          </w:tcPr>
          <w:p w14:paraId="35ED26A9" w14:textId="52221213" w:rsidR="007F1F5A" w:rsidRPr="002015BB" w:rsidRDefault="007F1F5A">
            <w:pPr>
              <w:pStyle w:val="TableText"/>
            </w:pPr>
            <w:r>
              <w:t xml:space="preserve">Performance of </w:t>
            </w:r>
            <w:r w:rsidR="000D659D" w:rsidRPr="000D659D">
              <w:rPr>
                <w:lang w:val="en-US"/>
              </w:rPr>
              <w:t>g</w:t>
            </w:r>
            <w:r w:rsidR="000D659D" w:rsidRPr="000D659D">
              <w:rPr>
                <w:i/>
                <w:iCs/>
                <w:lang w:val="en-US"/>
              </w:rPr>
              <w:t>BRCA</w:t>
            </w:r>
            <w:r w:rsidR="000D659D">
              <w:t xml:space="preserve"> </w:t>
            </w:r>
            <w:r>
              <w:t>testing</w:t>
            </w:r>
          </w:p>
        </w:tc>
        <w:tc>
          <w:tcPr>
            <w:tcW w:w="2032" w:type="dxa"/>
            <w:shd w:val="clear" w:color="auto" w:fill="auto"/>
          </w:tcPr>
          <w:p w14:paraId="016BE2ED" w14:textId="77777777" w:rsidR="007F1F5A" w:rsidRDefault="007F1F5A">
            <w:pPr>
              <w:pStyle w:val="TableText"/>
              <w:jc w:val="center"/>
            </w:pPr>
            <w:r>
              <w:t>100% sensitivity</w:t>
            </w:r>
          </w:p>
          <w:p w14:paraId="65F0E4D4" w14:textId="254C7687" w:rsidR="007F1F5A" w:rsidRPr="002015BB" w:rsidRDefault="007F1F5A">
            <w:pPr>
              <w:pStyle w:val="TableText"/>
              <w:jc w:val="center"/>
            </w:pPr>
            <w:r>
              <w:t>100% specificity</w:t>
            </w:r>
          </w:p>
        </w:tc>
        <w:tc>
          <w:tcPr>
            <w:tcW w:w="2033" w:type="dxa"/>
            <w:shd w:val="clear" w:color="auto" w:fill="auto"/>
          </w:tcPr>
          <w:p w14:paraId="4E689B57" w14:textId="3901E585" w:rsidR="007F1F5A" w:rsidRDefault="007F1F5A">
            <w:pPr>
              <w:pStyle w:val="TableText"/>
              <w:jc w:val="center"/>
            </w:pPr>
            <w:r>
              <w:t>100% sensitivity</w:t>
            </w:r>
          </w:p>
          <w:p w14:paraId="65878523" w14:textId="335491C2" w:rsidR="007F1F5A" w:rsidRPr="002015BB" w:rsidRDefault="007F1F5A">
            <w:pPr>
              <w:pStyle w:val="TableText"/>
              <w:jc w:val="center"/>
            </w:pPr>
            <w:r>
              <w:t>100% specificity</w:t>
            </w:r>
          </w:p>
        </w:tc>
      </w:tr>
      <w:tr w:rsidR="002015BB" w:rsidRPr="002015BB" w14:paraId="379F0505" w14:textId="77777777" w:rsidTr="00E65749">
        <w:tc>
          <w:tcPr>
            <w:tcW w:w="4951" w:type="dxa"/>
            <w:shd w:val="clear" w:color="auto" w:fill="auto"/>
          </w:tcPr>
          <w:p w14:paraId="3A5B7874" w14:textId="700DB045" w:rsidR="002015BB" w:rsidRPr="002015BB" w:rsidRDefault="002015BB" w:rsidP="002015BB">
            <w:pPr>
              <w:pStyle w:val="TableText"/>
            </w:pPr>
            <w:r w:rsidRPr="002015BB">
              <w:t xml:space="preserve">Cost of </w:t>
            </w:r>
            <w:r w:rsidR="000D659D" w:rsidRPr="000D659D">
              <w:rPr>
                <w:lang w:val="en-US"/>
              </w:rPr>
              <w:t>g</w:t>
            </w:r>
            <w:r w:rsidR="000D659D" w:rsidRPr="000D659D">
              <w:rPr>
                <w:i/>
                <w:iCs/>
                <w:lang w:val="en-US"/>
              </w:rPr>
              <w:t>BRCA</w:t>
            </w:r>
            <w:r w:rsidR="000D659D" w:rsidRPr="002015BB">
              <w:t xml:space="preserve"> </w:t>
            </w:r>
            <w:r w:rsidRPr="002015BB">
              <w:t>testing</w:t>
            </w:r>
          </w:p>
        </w:tc>
        <w:tc>
          <w:tcPr>
            <w:tcW w:w="2032" w:type="dxa"/>
            <w:shd w:val="clear" w:color="auto" w:fill="auto"/>
          </w:tcPr>
          <w:p w14:paraId="6228C42B" w14:textId="77777777" w:rsidR="002015BB" w:rsidRPr="002015BB" w:rsidRDefault="002015BB" w:rsidP="002015BB">
            <w:pPr>
              <w:pStyle w:val="TableText"/>
              <w:jc w:val="center"/>
            </w:pPr>
            <w:r w:rsidRPr="002015BB">
              <w:t>$1,200</w:t>
            </w:r>
          </w:p>
        </w:tc>
        <w:tc>
          <w:tcPr>
            <w:tcW w:w="2033" w:type="dxa"/>
            <w:shd w:val="clear" w:color="auto" w:fill="auto"/>
          </w:tcPr>
          <w:p w14:paraId="50FA9124" w14:textId="77777777" w:rsidR="002015BB" w:rsidRPr="002015BB" w:rsidRDefault="002015BB" w:rsidP="002015BB">
            <w:pPr>
              <w:pStyle w:val="TableText"/>
              <w:jc w:val="center"/>
            </w:pPr>
            <w:r w:rsidRPr="002015BB">
              <w:t>$1,000</w:t>
            </w:r>
          </w:p>
        </w:tc>
      </w:tr>
      <w:tr w:rsidR="002015BB" w:rsidRPr="002015BB" w14:paraId="21584B2B" w14:textId="77777777" w:rsidTr="00E65749">
        <w:tc>
          <w:tcPr>
            <w:tcW w:w="4951" w:type="dxa"/>
            <w:shd w:val="clear" w:color="auto" w:fill="auto"/>
          </w:tcPr>
          <w:p w14:paraId="6A905CB7" w14:textId="6AF75E21" w:rsidR="002015BB" w:rsidRPr="002015BB" w:rsidRDefault="002015BB" w:rsidP="002015BB">
            <w:pPr>
              <w:pStyle w:val="TableText"/>
            </w:pPr>
            <w:r w:rsidRPr="002015BB">
              <w:t>Proportion of patients tested who have a high risk of recurrence</w:t>
            </w:r>
            <w:r w:rsidR="00D8423B">
              <w:t xml:space="preserve"> (and so eligible for olaparib treatment)</w:t>
            </w:r>
          </w:p>
        </w:tc>
        <w:tc>
          <w:tcPr>
            <w:tcW w:w="2032" w:type="dxa"/>
            <w:shd w:val="clear" w:color="auto" w:fill="auto"/>
          </w:tcPr>
          <w:p w14:paraId="3F41D8C2" w14:textId="77777777" w:rsidR="002015BB" w:rsidRPr="002015BB" w:rsidRDefault="002015BB" w:rsidP="002015BB">
            <w:pPr>
              <w:pStyle w:val="TableText"/>
              <w:jc w:val="center"/>
            </w:pPr>
            <w:r w:rsidRPr="002015BB">
              <w:t>100.0%</w:t>
            </w:r>
          </w:p>
        </w:tc>
        <w:tc>
          <w:tcPr>
            <w:tcW w:w="2033" w:type="dxa"/>
            <w:shd w:val="clear" w:color="auto" w:fill="auto"/>
          </w:tcPr>
          <w:p w14:paraId="5C25631E" w14:textId="77777777" w:rsidR="002015BB" w:rsidRPr="002015BB" w:rsidRDefault="002015BB" w:rsidP="002015BB">
            <w:pPr>
              <w:pStyle w:val="TableText"/>
              <w:jc w:val="center"/>
            </w:pPr>
            <w:r w:rsidRPr="002015BB">
              <w:t>100.0%</w:t>
            </w:r>
          </w:p>
        </w:tc>
      </w:tr>
    </w:tbl>
    <w:p w14:paraId="7EEE7A5C" w14:textId="05D19351" w:rsidR="000237B9" w:rsidRDefault="000064FB" w:rsidP="002015BB">
      <w:pPr>
        <w:pStyle w:val="TableFigureFooter"/>
      </w:pPr>
      <w:r>
        <w:t xml:space="preserve">Source: </w:t>
      </w:r>
      <w:r w:rsidRPr="000E600F">
        <w:t>Constructed during the evaluation</w:t>
      </w:r>
      <w:r w:rsidR="00000363">
        <w:t>.</w:t>
      </w:r>
    </w:p>
    <w:p w14:paraId="3A8770F2" w14:textId="4DF096A5" w:rsidR="00A527C8" w:rsidRDefault="00A527C8" w:rsidP="002015BB">
      <w:pPr>
        <w:pStyle w:val="TableFigureFooter"/>
      </w:pPr>
      <w:r w:rsidRPr="000D659D">
        <w:rPr>
          <w:lang w:val="en-US"/>
        </w:rPr>
        <w:t>g</w:t>
      </w:r>
      <w:r w:rsidRPr="000D659D">
        <w:rPr>
          <w:i/>
          <w:iCs/>
          <w:lang w:val="en-US"/>
        </w:rPr>
        <w:t>BRCA</w:t>
      </w:r>
      <w:r w:rsidRPr="00487719">
        <w:t xml:space="preserve"> = germline </w:t>
      </w:r>
      <w:r w:rsidRPr="001B7AF2">
        <w:rPr>
          <w:i/>
          <w:iCs/>
        </w:rPr>
        <w:t>BReast CAncer</w:t>
      </w:r>
      <w:r w:rsidRPr="00487719">
        <w:t xml:space="preserve"> gene</w:t>
      </w:r>
      <w:r>
        <w:t>; HR+ = hormone receptor positive; TNBC = triple negative breast cancer.</w:t>
      </w:r>
    </w:p>
    <w:p w14:paraId="4405018D" w14:textId="54590824" w:rsidR="00F70361" w:rsidRPr="00F70361" w:rsidRDefault="00F61DCC" w:rsidP="000237B9">
      <w:pPr>
        <w:rPr>
          <w:i/>
          <w:iCs/>
        </w:rPr>
      </w:pPr>
      <w:r>
        <w:t>The p</w:t>
      </w:r>
      <w:r w:rsidR="00F70361">
        <w:t xml:space="preserve">revalence of </w:t>
      </w:r>
      <w:r w:rsidR="000D659D" w:rsidRPr="000D659D">
        <w:rPr>
          <w:lang w:val="en-US"/>
        </w:rPr>
        <w:t>g</w:t>
      </w:r>
      <w:r w:rsidR="000D659D" w:rsidRPr="000D659D">
        <w:rPr>
          <w:i/>
          <w:iCs/>
          <w:lang w:val="en-US"/>
        </w:rPr>
        <w:t>BRCA</w:t>
      </w:r>
      <w:r w:rsidR="000D659D">
        <w:t xml:space="preserve"> </w:t>
      </w:r>
      <w:r w:rsidR="00F70361">
        <w:t xml:space="preserve">variants in HR+ patients tested was reduced from </w:t>
      </w:r>
      <w:r>
        <w:t xml:space="preserve">what was </w:t>
      </w:r>
      <w:r w:rsidR="00F70361">
        <w:t xml:space="preserve">assumed previously. </w:t>
      </w:r>
      <w:r w:rsidR="00F70361" w:rsidRPr="000E600F">
        <w:t>Th</w:t>
      </w:r>
      <w:r w:rsidR="00987F76" w:rsidRPr="000E600F">
        <w:t>e commentary considered th</w:t>
      </w:r>
      <w:r w:rsidR="00F70361" w:rsidRPr="000E600F">
        <w:t xml:space="preserve">is was reasonable, as MSAC previously considered the prevalence applied </w:t>
      </w:r>
      <w:r w:rsidRPr="000E600F">
        <w:t xml:space="preserve">was </w:t>
      </w:r>
      <w:r w:rsidR="00F70361" w:rsidRPr="000E600F">
        <w:t>overestimate</w:t>
      </w:r>
      <w:r w:rsidRPr="000E600F">
        <w:t>d</w:t>
      </w:r>
      <w:r w:rsidR="00F17DDF" w:rsidRPr="000E600F">
        <w:t xml:space="preserve"> </w:t>
      </w:r>
      <w:r w:rsidR="00441F0D" w:rsidRPr="000E600F">
        <w:t xml:space="preserve">(p5, </w:t>
      </w:r>
      <w:hyperlink r:id="rId40" w:history="1">
        <w:r w:rsidR="00441F0D" w:rsidRPr="000E600F">
          <w:rPr>
            <w:rStyle w:val="Hyperlink"/>
          </w:rPr>
          <w:t>1716 PSD March 2023 MSAC Meeting</w:t>
        </w:r>
      </w:hyperlink>
      <w:r w:rsidR="00441F0D" w:rsidRPr="000E600F">
        <w:t>)</w:t>
      </w:r>
      <w:r w:rsidR="00F70361">
        <w:t>. The estimate applied was 5.0%, based on advice provided by the PBAC (para</w:t>
      </w:r>
      <w:r w:rsidR="001F3680">
        <w:t>graph</w:t>
      </w:r>
      <w:r w:rsidR="00F70361">
        <w:t xml:space="preserve"> 7.14, </w:t>
      </w:r>
      <w:hyperlink r:id="rId41" w:history="1">
        <w:r w:rsidR="001F3680" w:rsidRPr="00102F98">
          <w:rPr>
            <w:rStyle w:val="Hyperlink"/>
          </w:rPr>
          <w:t>Olaparib PSD March 2023 PBAC Meeting</w:t>
        </w:r>
      </w:hyperlink>
      <w:r w:rsidR="00F70361">
        <w:t xml:space="preserve">). </w:t>
      </w:r>
      <w:r w:rsidR="00F70361" w:rsidRPr="000E600F">
        <w:t>Th</w:t>
      </w:r>
      <w:r w:rsidR="00987F76" w:rsidRPr="000E600F">
        <w:t>e commentary noted that th</w:t>
      </w:r>
      <w:r w:rsidR="00F70361" w:rsidRPr="000E600F">
        <w:t xml:space="preserve">is was consistent with other published </w:t>
      </w:r>
      <w:r w:rsidR="00F70361" w:rsidRPr="000E600F">
        <w:lastRenderedPageBreak/>
        <w:t>literature (Tung et al. 2016</w:t>
      </w:r>
      <w:r w:rsidR="00894343" w:rsidRPr="000E600F">
        <w:rPr>
          <w:rStyle w:val="FootnoteReference"/>
        </w:rPr>
        <w:footnoteReference w:id="2"/>
      </w:r>
      <w:r w:rsidR="00F70361" w:rsidRPr="000E600F">
        <w:t xml:space="preserve"> reported that 15 of 301 [5.0%] patients with HR+ HER2− breast cancer had </w:t>
      </w:r>
      <w:r w:rsidR="009D6558" w:rsidRPr="000E600F">
        <w:t>g</w:t>
      </w:r>
      <w:r w:rsidR="00A96FCF" w:rsidRPr="00A96FCF">
        <w:rPr>
          <w:i/>
          <w:iCs/>
        </w:rPr>
        <w:t>BRCA</w:t>
      </w:r>
      <w:r w:rsidR="009D6558" w:rsidRPr="000E600F">
        <w:t xml:space="preserve"> </w:t>
      </w:r>
      <w:r w:rsidR="00F70361" w:rsidRPr="000E600F">
        <w:t>variants).</w:t>
      </w:r>
      <w:r w:rsidR="00F70361">
        <w:t xml:space="preserve"> The prevalence applied in TNBC patients was unchanged. </w:t>
      </w:r>
      <w:r w:rsidR="00D02D62">
        <w:t>The commentary considered t</w:t>
      </w:r>
      <w:r w:rsidR="00F70361" w:rsidRPr="000E600F">
        <w:t xml:space="preserve">his was consistent with </w:t>
      </w:r>
      <w:r w:rsidR="00F17DDF" w:rsidRPr="000E600F">
        <w:t>PBAC advice (para</w:t>
      </w:r>
      <w:r w:rsidR="001F3680" w:rsidRPr="000E600F">
        <w:t>graph</w:t>
      </w:r>
      <w:r w:rsidR="00F17DDF" w:rsidRPr="000E600F">
        <w:t xml:space="preserve"> 7.14, </w:t>
      </w:r>
      <w:hyperlink r:id="rId42" w:history="1">
        <w:r w:rsidR="001F3680" w:rsidRPr="000E600F">
          <w:rPr>
            <w:rStyle w:val="Hyperlink"/>
          </w:rPr>
          <w:t>Olaparib PSD March 2023 PBAC Meeting</w:t>
        </w:r>
      </w:hyperlink>
      <w:r w:rsidR="00F17DDF" w:rsidRPr="00F17DDF">
        <w:rPr>
          <w:i/>
          <w:iCs/>
        </w:rPr>
        <w:t>)</w:t>
      </w:r>
      <w:r w:rsidR="00F17DDF">
        <w:rPr>
          <w:i/>
          <w:iCs/>
        </w:rPr>
        <w:t>.</w:t>
      </w:r>
    </w:p>
    <w:p w14:paraId="3404072C" w14:textId="154D08B2" w:rsidR="00F17DDF" w:rsidRDefault="00F17DDF" w:rsidP="007F1F5A">
      <w:r>
        <w:t xml:space="preserve">Uptake of current </w:t>
      </w:r>
      <w:r w:rsidR="000D659D" w:rsidRPr="000D659D">
        <w:rPr>
          <w:lang w:val="en-US"/>
        </w:rPr>
        <w:t>g</w:t>
      </w:r>
      <w:r w:rsidR="000D659D" w:rsidRPr="000D659D">
        <w:rPr>
          <w:i/>
          <w:iCs/>
          <w:lang w:val="en-US"/>
        </w:rPr>
        <w:t>BRCA</w:t>
      </w:r>
      <w:r w:rsidR="000D659D">
        <w:t xml:space="preserve"> </w:t>
      </w:r>
      <w:r>
        <w:t xml:space="preserve">testing was reduced from that assumed previously in HR+ patients. </w:t>
      </w:r>
      <w:r w:rsidRPr="000E600F">
        <w:t>Th</w:t>
      </w:r>
      <w:r w:rsidR="00987F76" w:rsidRPr="000E600F">
        <w:t>e commentary considered th</w:t>
      </w:r>
      <w:r w:rsidRPr="000E600F">
        <w:t xml:space="preserve">is was reasonable, as current testing is available only for a subset of people with breast cancer </w:t>
      </w:r>
      <w:r w:rsidR="00441F0D" w:rsidRPr="000E600F">
        <w:t xml:space="preserve">(p5, </w:t>
      </w:r>
      <w:hyperlink r:id="rId43" w:history="1">
        <w:r w:rsidR="00441F0D" w:rsidRPr="000E600F">
          <w:rPr>
            <w:rStyle w:val="Hyperlink"/>
          </w:rPr>
          <w:t>1716 PSD March 2023 MSAC Meeting</w:t>
        </w:r>
      </w:hyperlink>
      <w:r w:rsidR="00441F0D" w:rsidRPr="000E600F">
        <w:t>)</w:t>
      </w:r>
      <w:r>
        <w:t>.</w:t>
      </w:r>
      <w:r w:rsidR="00FD3E16">
        <w:t xml:space="preserve"> The estimate applied was 20%, based on advice provided by the PBAC (para</w:t>
      </w:r>
      <w:r w:rsidR="001F3680">
        <w:t>graph</w:t>
      </w:r>
      <w:r w:rsidR="00FD3E16">
        <w:t xml:space="preserve"> 7.14, </w:t>
      </w:r>
      <w:hyperlink r:id="rId44" w:history="1">
        <w:r w:rsidR="001F3680" w:rsidRPr="00102F98">
          <w:rPr>
            <w:rStyle w:val="Hyperlink"/>
          </w:rPr>
          <w:t>Olaparib PSD March 2023 PBAC Meeting</w:t>
        </w:r>
      </w:hyperlink>
      <w:r w:rsidR="00FD3E16">
        <w:t>).</w:t>
      </w:r>
      <w:r w:rsidR="00771CF8">
        <w:t xml:space="preserve"> Uptake of testing in TNBC patients was unchanged, based on previous PBAC advice (para</w:t>
      </w:r>
      <w:r w:rsidR="001F3680">
        <w:t>graph</w:t>
      </w:r>
      <w:r w:rsidR="00771CF8">
        <w:t xml:space="preserve"> 7.14, </w:t>
      </w:r>
      <w:hyperlink r:id="rId45" w:history="1">
        <w:r w:rsidR="001F3680" w:rsidRPr="00102F98">
          <w:rPr>
            <w:rStyle w:val="Hyperlink"/>
          </w:rPr>
          <w:t>Olaparib PSD March 2023 PBAC Meeting</w:t>
        </w:r>
      </w:hyperlink>
      <w:r w:rsidR="00771CF8">
        <w:t>).</w:t>
      </w:r>
    </w:p>
    <w:p w14:paraId="5AC799CF" w14:textId="71ABCF09" w:rsidR="00F17DDF" w:rsidRPr="000E600F" w:rsidRDefault="00E86170" w:rsidP="007F1F5A">
      <w:r>
        <w:t>Uptake following olaparib listing was unchanged in the economic model presented in the resubmission</w:t>
      </w:r>
      <w:r w:rsidR="008E6443">
        <w:t xml:space="preserve"> (</w:t>
      </w:r>
      <w:r w:rsidR="00ED72E7" w:rsidRPr="00ED72E7">
        <w:rPr>
          <w:b/>
          <w:bCs/>
        </w:rPr>
        <w:t>redacted</w:t>
      </w:r>
      <w:r w:rsidR="008E6443">
        <w:t>%)</w:t>
      </w:r>
      <w:r>
        <w:t xml:space="preserve">. </w:t>
      </w:r>
      <w:r w:rsidR="008E6443" w:rsidRPr="000E600F">
        <w:t>Th</w:t>
      </w:r>
      <w:r w:rsidR="0085357A" w:rsidRPr="000E600F">
        <w:t>e commentary noted th</w:t>
      </w:r>
      <w:r w:rsidR="008E6443" w:rsidRPr="000E600F">
        <w:t>is was higher than estimates anticipated by the PBAC previously (85% in TNBC and 30% in HR+ HER2− breast cancer; para</w:t>
      </w:r>
      <w:r w:rsidR="001F3680" w:rsidRPr="000E600F">
        <w:t>graph</w:t>
      </w:r>
      <w:r w:rsidR="008E6443" w:rsidRPr="000E600F">
        <w:t xml:space="preserve"> 7.14, </w:t>
      </w:r>
      <w:hyperlink r:id="rId46" w:history="1">
        <w:r w:rsidR="001F3680" w:rsidRPr="000E600F">
          <w:rPr>
            <w:rStyle w:val="Hyperlink"/>
          </w:rPr>
          <w:t>Olaparib PSD March 2023 PBAC Meeting</w:t>
        </w:r>
      </w:hyperlink>
      <w:r w:rsidR="008E6443" w:rsidRPr="000E600F">
        <w:t>)</w:t>
      </w:r>
      <w:r w:rsidR="00964A40" w:rsidRPr="000E600F">
        <w:t>, and also higher than that applied in the estimated financial impact</w:t>
      </w:r>
      <w:r w:rsidR="00365045" w:rsidRPr="000E600F">
        <w:t xml:space="preserve"> (up to 90%)</w:t>
      </w:r>
      <w:r w:rsidR="008E6443" w:rsidRPr="000E600F">
        <w:t>.</w:t>
      </w:r>
      <w:r w:rsidR="00964A40">
        <w:t xml:space="preserve"> The </w:t>
      </w:r>
      <w:r w:rsidR="00A57669">
        <w:t xml:space="preserve">PBAC </w:t>
      </w:r>
      <w:r w:rsidR="00964A40">
        <w:t xml:space="preserve">resubmission stated that the value applied would be that once the “steady state” had been reached. </w:t>
      </w:r>
      <w:r w:rsidR="00964A40" w:rsidRPr="000E600F">
        <w:t>Th</w:t>
      </w:r>
      <w:r w:rsidR="0085357A" w:rsidRPr="000E600F">
        <w:t>e commentary considered that th</w:t>
      </w:r>
      <w:r w:rsidR="00964A40" w:rsidRPr="000E600F">
        <w:t>is remain</w:t>
      </w:r>
      <w:r w:rsidR="0085357A" w:rsidRPr="000E600F">
        <w:t>ed</w:t>
      </w:r>
      <w:r w:rsidR="00964A40" w:rsidRPr="000E600F">
        <w:t xml:space="preserve"> for MSAC and PBAC consideration, noting that there are benefits aside from accessing olaparib treatment associated with the identification of </w:t>
      </w:r>
      <w:r w:rsidR="009D6558" w:rsidRPr="000E600F">
        <w:t>g</w:t>
      </w:r>
      <w:r w:rsidR="00A96FCF" w:rsidRPr="00A96FCF">
        <w:rPr>
          <w:i/>
          <w:iCs/>
        </w:rPr>
        <w:t>BRCA</w:t>
      </w:r>
      <w:r w:rsidR="009D6558" w:rsidRPr="000E600F">
        <w:t xml:space="preserve"> </w:t>
      </w:r>
      <w:r w:rsidR="00964A40" w:rsidRPr="000E600F">
        <w:t>variants</w:t>
      </w:r>
      <w:r w:rsidR="00F61DCC" w:rsidRPr="000E600F">
        <w:t xml:space="preserve"> (described in ‘</w:t>
      </w:r>
      <w:r w:rsidR="00F61DCC" w:rsidRPr="000E600F">
        <w:fldChar w:fldCharType="begin"/>
      </w:r>
      <w:r w:rsidR="00F61DCC" w:rsidRPr="000E600F">
        <w:instrText xml:space="preserve"> REF _Ref144797300 \h  \* MERGEFORMAT </w:instrText>
      </w:r>
      <w:r w:rsidR="00F61DCC" w:rsidRPr="000E600F">
        <w:fldChar w:fldCharType="separate"/>
      </w:r>
      <w:r w:rsidR="00D8423B" w:rsidRPr="000E600F">
        <w:t>Population</w:t>
      </w:r>
      <w:r w:rsidR="00F61DCC" w:rsidRPr="000E600F">
        <w:fldChar w:fldCharType="end"/>
      </w:r>
      <w:r w:rsidR="00F61DCC" w:rsidRPr="000E600F">
        <w:t>’)</w:t>
      </w:r>
      <w:r w:rsidR="004D4C46" w:rsidRPr="000E600F">
        <w:t xml:space="preserve"> which may affect uptake of testing if available</w:t>
      </w:r>
      <w:r w:rsidR="00964A40" w:rsidRPr="000E600F">
        <w:t xml:space="preserve">. </w:t>
      </w:r>
    </w:p>
    <w:p w14:paraId="32560E6E" w14:textId="1163E79A" w:rsidR="00595EEF" w:rsidRPr="007C2499" w:rsidRDefault="007C2499" w:rsidP="00595EEF">
      <w:pPr>
        <w:rPr>
          <w:i/>
          <w:iCs/>
        </w:rPr>
      </w:pPr>
      <w:r>
        <w:t xml:space="preserve">All patients tested </w:t>
      </w:r>
      <w:r w:rsidR="00D9191E">
        <w:t>and were found to have g</w:t>
      </w:r>
      <w:r w:rsidR="00D9191E" w:rsidRPr="00D9191E">
        <w:rPr>
          <w:i/>
          <w:iCs/>
        </w:rPr>
        <w:t>BRCA</w:t>
      </w:r>
      <w:r w:rsidR="00D9191E">
        <w:t xml:space="preserve"> variants </w:t>
      </w:r>
      <w:r>
        <w:t xml:space="preserve">were assumed to have a high-risk of recurrence meeting the eligibility criteria for olaparib treatment. </w:t>
      </w:r>
      <w:r w:rsidRPr="000E600F">
        <w:t>Th</w:t>
      </w:r>
      <w:r w:rsidR="004A437F" w:rsidRPr="000E600F">
        <w:t>e commentary considered that th</w:t>
      </w:r>
      <w:r w:rsidRPr="000E600F">
        <w:t xml:space="preserve">is was not reasonable as the population eligible for testing is broader than the population eligible for treatment. Further, this was not consistent with the approach adopted in the estimates of the financial implications, where a proportion of patients found with </w:t>
      </w:r>
      <w:r w:rsidR="009D6558" w:rsidRPr="000E600F">
        <w:t>g</w:t>
      </w:r>
      <w:r w:rsidR="00A96FCF" w:rsidRPr="00A96FCF">
        <w:rPr>
          <w:i/>
          <w:iCs/>
        </w:rPr>
        <w:t>BRCA</w:t>
      </w:r>
      <w:r w:rsidR="009D6558" w:rsidRPr="000E600F">
        <w:t xml:space="preserve"> </w:t>
      </w:r>
      <w:r w:rsidRPr="000E600F">
        <w:t>variants following testing did not meet subsequent criteria for treatment.</w:t>
      </w:r>
      <w:r>
        <w:rPr>
          <w:i/>
          <w:iCs/>
        </w:rPr>
        <w:t xml:space="preserve"> </w:t>
      </w:r>
    </w:p>
    <w:p w14:paraId="2EA88ADB" w14:textId="40B8A888" w:rsidR="007C2499" w:rsidRPr="000E600F" w:rsidRDefault="003A2CA8" w:rsidP="000237B9">
      <w:pPr>
        <w:rPr>
          <w:i/>
        </w:rPr>
      </w:pPr>
      <w:r>
        <w:t xml:space="preserve">As described earlier, the resubmission proposed a reduction to the MBS fee for </w:t>
      </w:r>
      <w:r w:rsidR="000D659D" w:rsidRPr="000D659D">
        <w:rPr>
          <w:lang w:val="en-US"/>
        </w:rPr>
        <w:t>g</w:t>
      </w:r>
      <w:r w:rsidR="000D659D" w:rsidRPr="000D659D">
        <w:rPr>
          <w:i/>
          <w:iCs/>
          <w:lang w:val="en-US"/>
        </w:rPr>
        <w:t>BRCA</w:t>
      </w:r>
      <w:r w:rsidR="000D659D">
        <w:t xml:space="preserve"> </w:t>
      </w:r>
      <w:r>
        <w:t xml:space="preserve">testing (from $1,200 to $1,000). </w:t>
      </w:r>
      <w:r w:rsidR="008B4F73" w:rsidRPr="000E431E">
        <w:t xml:space="preserve">The commentary considered that </w:t>
      </w:r>
      <w:r w:rsidR="008B4F73" w:rsidRPr="000E600F">
        <w:t>a</w:t>
      </w:r>
      <w:r w:rsidRPr="000E600F">
        <w:t xml:space="preserve">s the Department supported a schedule fee of $1,200, based on stakeholder consultation feedback, </w:t>
      </w:r>
      <w:r w:rsidR="00D8423B" w:rsidRPr="000E600F">
        <w:t xml:space="preserve">the alternate </w:t>
      </w:r>
      <w:r w:rsidRPr="000E600F">
        <w:t xml:space="preserve">analyses </w:t>
      </w:r>
      <w:r w:rsidR="00D8423B" w:rsidRPr="000E600F">
        <w:t xml:space="preserve">presented in </w:t>
      </w:r>
      <w:r w:rsidR="00F50233" w:rsidRPr="000E600F">
        <w:t xml:space="preserve">the </w:t>
      </w:r>
      <w:r w:rsidR="00D8423B" w:rsidRPr="000E600F">
        <w:t>C</w:t>
      </w:r>
      <w:r w:rsidR="00F50233" w:rsidRPr="000E600F">
        <w:t xml:space="preserve">ommentary </w:t>
      </w:r>
      <w:r w:rsidR="00D8423B" w:rsidRPr="000E600F">
        <w:t>on the PBAC resubmission (</w:t>
      </w:r>
      <w:r w:rsidR="00D8423B" w:rsidRPr="000E600F">
        <w:fldChar w:fldCharType="begin"/>
      </w:r>
      <w:r w:rsidR="00D8423B" w:rsidRPr="000E600F">
        <w:instrText xml:space="preserve"> REF _Ref144290303 \h </w:instrText>
      </w:r>
      <w:r w:rsidR="008B4F73" w:rsidRPr="000E600F">
        <w:instrText xml:space="preserve"> \* MERGEFORMAT </w:instrText>
      </w:r>
      <w:r w:rsidR="00D8423B" w:rsidRPr="000E600F">
        <w:fldChar w:fldCharType="separate"/>
      </w:r>
      <w:r w:rsidR="00D8423B" w:rsidRPr="000E600F">
        <w:t>Table </w:t>
      </w:r>
      <w:r w:rsidR="00D8423B" w:rsidRPr="000E600F">
        <w:rPr>
          <w:noProof/>
        </w:rPr>
        <w:t>9</w:t>
      </w:r>
      <w:r w:rsidR="00D8423B" w:rsidRPr="000E600F">
        <w:fldChar w:fldCharType="end"/>
      </w:r>
      <w:r w:rsidR="00D8423B" w:rsidRPr="000E600F">
        <w:t>) adopted</w:t>
      </w:r>
      <w:r w:rsidRPr="000E600F">
        <w:t xml:space="preserve"> this higher fee.</w:t>
      </w:r>
    </w:p>
    <w:p w14:paraId="723CA1EF" w14:textId="3FC7AEF4" w:rsidR="00980F88" w:rsidRDefault="00980F88" w:rsidP="00980F88">
      <w:pPr>
        <w:pStyle w:val="Heading3"/>
      </w:pPr>
      <w:r w:rsidRPr="00980F88">
        <w:t>Results of the economic analysis</w:t>
      </w:r>
    </w:p>
    <w:p w14:paraId="34EA6F55" w14:textId="2C1EFC1A" w:rsidR="00142DF8" w:rsidRDefault="00137818" w:rsidP="00D10B90">
      <w:pPr>
        <w:rPr>
          <w:i/>
          <w:iCs/>
        </w:rPr>
      </w:pPr>
      <w:r>
        <w:t xml:space="preserve">The results of stepped economic evaluation are presented in </w:t>
      </w:r>
      <w:r w:rsidR="00C225B4">
        <w:fldChar w:fldCharType="begin"/>
      </w:r>
      <w:r w:rsidR="00C225B4">
        <w:instrText xml:space="preserve"> REF _Ref69725870 \h </w:instrText>
      </w:r>
      <w:r w:rsidR="00C225B4">
        <w:fldChar w:fldCharType="separate"/>
      </w:r>
      <w:r w:rsidR="00D8423B" w:rsidRPr="00CE28E3">
        <w:t>Table</w:t>
      </w:r>
      <w:r w:rsidR="00D8423B">
        <w:t> </w:t>
      </w:r>
      <w:r w:rsidR="00D8423B">
        <w:rPr>
          <w:noProof/>
        </w:rPr>
        <w:t>7</w:t>
      </w:r>
      <w:r w:rsidR="00C225B4">
        <w:fldChar w:fldCharType="end"/>
      </w:r>
      <w:r>
        <w:t xml:space="preserve">. </w:t>
      </w:r>
      <w:r w:rsidR="007B7F24" w:rsidRPr="000E600F">
        <w:t xml:space="preserve">The </w:t>
      </w:r>
      <w:r w:rsidR="001106D3" w:rsidRPr="000E600F">
        <w:t>commentary considered</w:t>
      </w:r>
      <w:r w:rsidR="007B7F24" w:rsidRPr="000E600F">
        <w:t xml:space="preserve"> analyses in Step 1 of the PBAC resubmission </w:t>
      </w:r>
      <w:r w:rsidR="00142DF8" w:rsidRPr="000E600F">
        <w:t xml:space="preserve">underestimated the extent of testing in the comparator arm of the model (20%, compared to 53% weighted across the TNBC and HER2− HR+ populations). Furthermore, these analyses </w:t>
      </w:r>
      <w:r w:rsidR="007B7F24" w:rsidRPr="000E600F">
        <w:t xml:space="preserve">reflected the cost of testing in the tested population, however all other costs and outcomes </w:t>
      </w:r>
      <w:r w:rsidR="00142DF8" w:rsidRPr="000E600F">
        <w:t xml:space="preserve">estimated in this step </w:t>
      </w:r>
      <w:r w:rsidR="007B7F24" w:rsidRPr="000E600F">
        <w:t>reflected those of the treated population. Th</w:t>
      </w:r>
      <w:r w:rsidR="00142DF8" w:rsidRPr="000E600F">
        <w:t>ese were</w:t>
      </w:r>
      <w:r w:rsidR="007B7F24" w:rsidRPr="000E600F">
        <w:t xml:space="preserve"> </w:t>
      </w:r>
      <w:r w:rsidRPr="000E600F">
        <w:t xml:space="preserve">corrected </w:t>
      </w:r>
      <w:r w:rsidR="007B7F24" w:rsidRPr="000E600F">
        <w:t>in the Commentary on the PBAC resubmission</w:t>
      </w:r>
      <w:r w:rsidRPr="000E600F">
        <w:t xml:space="preserve">. The cost per recurrence avoided in the trial-based analysis was also calculated. </w:t>
      </w:r>
    </w:p>
    <w:p w14:paraId="74EC8C79" w14:textId="50D7BCF2" w:rsidR="0019286B" w:rsidRPr="003251C2" w:rsidRDefault="0019286B" w:rsidP="00D10B90">
      <w:r w:rsidRPr="00172E96">
        <w:t>The results of Steps 2 and 3 in the PBAC resubmission were presented across the tested population.</w:t>
      </w:r>
      <w:r>
        <w:rPr>
          <w:i/>
          <w:iCs/>
        </w:rPr>
        <w:t xml:space="preserve"> </w:t>
      </w:r>
      <w:r w:rsidR="003A0304" w:rsidRPr="000E600F">
        <w:t>The commentary considered a</w:t>
      </w:r>
      <w:r w:rsidRPr="000E600F">
        <w:t>s these estimates reflect</w:t>
      </w:r>
      <w:r w:rsidR="003A0304" w:rsidRPr="000E600F">
        <w:t>ed</w:t>
      </w:r>
      <w:r w:rsidRPr="000E600F">
        <w:t xml:space="preserve"> a dilution in the incremental costs and outcomes in those treated with olaparib across those who uptake testing, </w:t>
      </w:r>
      <w:r w:rsidR="00137818" w:rsidRPr="000E600F">
        <w:t xml:space="preserve">the </w:t>
      </w:r>
      <w:r w:rsidR="00365045" w:rsidRPr="000E600F">
        <w:t xml:space="preserve">Commentary on the PBAC resubmission </w:t>
      </w:r>
      <w:r w:rsidR="00137818" w:rsidRPr="000E600F">
        <w:t xml:space="preserve">presented </w:t>
      </w:r>
      <w:r w:rsidRPr="000E600F">
        <w:t xml:space="preserve">these steps </w:t>
      </w:r>
      <w:r w:rsidR="00137818" w:rsidRPr="000E600F">
        <w:t xml:space="preserve">for the treated </w:t>
      </w:r>
      <w:r w:rsidR="0077655E" w:rsidRPr="000E600F">
        <w:t>rather than tested population</w:t>
      </w:r>
      <w:r w:rsidR="00137818" w:rsidRPr="000E600F">
        <w:t>.</w:t>
      </w:r>
      <w:r w:rsidRPr="000E600F">
        <w:t xml:space="preserve"> An additional step </w:t>
      </w:r>
      <w:r w:rsidR="000E431E" w:rsidRPr="000E600F">
        <w:t>wa</w:t>
      </w:r>
      <w:r w:rsidRPr="000E600F">
        <w:t xml:space="preserve">s presented in </w:t>
      </w:r>
      <w:r w:rsidRPr="000E600F">
        <w:fldChar w:fldCharType="begin"/>
      </w:r>
      <w:r w:rsidRPr="000E600F">
        <w:instrText xml:space="preserve"> REF _Ref69725870 \h  \* MERGEFORMAT </w:instrText>
      </w:r>
      <w:r w:rsidRPr="000E600F">
        <w:fldChar w:fldCharType="separate"/>
      </w:r>
      <w:r w:rsidRPr="000E600F">
        <w:t>Table 7</w:t>
      </w:r>
      <w:r w:rsidRPr="000E600F">
        <w:fldChar w:fldCharType="end"/>
      </w:r>
      <w:r w:rsidRPr="000E600F">
        <w:t xml:space="preserve"> reflecting the resubmission’s base case across the </w:t>
      </w:r>
      <w:r w:rsidR="00356E73" w:rsidRPr="000E600F">
        <w:t>tested</w:t>
      </w:r>
      <w:r w:rsidRPr="000E600F">
        <w:t xml:space="preserve"> population (where it </w:t>
      </w:r>
      <w:r w:rsidR="000E431E" w:rsidRPr="000E600F">
        <w:t xml:space="preserve">was </w:t>
      </w:r>
      <w:r w:rsidRPr="000E600F">
        <w:t xml:space="preserve">be observed that while there is no change </w:t>
      </w:r>
      <w:r w:rsidRPr="000E600F">
        <w:lastRenderedPageBreak/>
        <w:t>in the ICER, the incremental costs and outcomes reflect</w:t>
      </w:r>
      <w:r w:rsidR="000E431E" w:rsidRPr="000E600F">
        <w:t>ed</w:t>
      </w:r>
      <w:r w:rsidRPr="000E600F">
        <w:t xml:space="preserve"> approximately 7.1% of those estimated in the treated population).</w:t>
      </w:r>
    </w:p>
    <w:p w14:paraId="3650A475" w14:textId="2F6B7F1A" w:rsidR="00FC5603" w:rsidRPr="00CE28E3" w:rsidRDefault="00FC5603" w:rsidP="00E454C1">
      <w:pPr>
        <w:pStyle w:val="Caption"/>
        <w:spacing w:before="240"/>
      </w:pPr>
      <w:bookmarkStart w:id="35" w:name="_Ref69725870"/>
      <w:r w:rsidRPr="00CE28E3">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D8423B">
        <w:rPr>
          <w:noProof/>
        </w:rPr>
        <w:t>7</w:t>
      </w:r>
      <w:r w:rsidRPr="00CE28E3">
        <w:rPr>
          <w:noProof/>
        </w:rPr>
        <w:fldChar w:fldCharType="end"/>
      </w:r>
      <w:bookmarkEnd w:id="35"/>
      <w:r w:rsidRPr="00CE28E3">
        <w:t xml:space="preserve"> </w:t>
      </w:r>
      <w:r w:rsidRPr="00CE28E3">
        <w:tab/>
        <w:t>Results of the stepped economic analysis</w:t>
      </w:r>
    </w:p>
    <w:tbl>
      <w:tblPr>
        <w:tblStyle w:val="TableGrid1"/>
        <w:tblW w:w="5000" w:type="pct"/>
        <w:tblLayout w:type="fixed"/>
        <w:tblCellMar>
          <w:left w:w="28" w:type="dxa"/>
          <w:right w:w="28" w:type="dxa"/>
        </w:tblCellMar>
        <w:tblLook w:val="01E0" w:firstRow="1" w:lastRow="1" w:firstColumn="1" w:lastColumn="1" w:noHBand="0" w:noVBand="0"/>
      </w:tblPr>
      <w:tblGrid>
        <w:gridCol w:w="3115"/>
        <w:gridCol w:w="2194"/>
        <w:gridCol w:w="2196"/>
        <w:gridCol w:w="1511"/>
      </w:tblGrid>
      <w:tr w:rsidR="00137818" w:rsidRPr="00697CC8" w14:paraId="3FAE8B44" w14:textId="77777777" w:rsidTr="00A95439">
        <w:trPr>
          <w:cnfStyle w:val="100000000000" w:firstRow="1" w:lastRow="0" w:firstColumn="0" w:lastColumn="0" w:oddVBand="0" w:evenVBand="0" w:oddHBand="0" w:evenHBand="0" w:firstRowFirstColumn="0" w:firstRowLastColumn="0" w:lastRowFirstColumn="0" w:lastRowLastColumn="0"/>
          <w:cantSplit/>
          <w:trHeight w:val="178"/>
          <w:tblHeader/>
        </w:trPr>
        <w:tc>
          <w:tcPr>
            <w:tcW w:w="1727" w:type="pct"/>
            <w:vAlign w:val="center"/>
          </w:tcPr>
          <w:p w14:paraId="02DE377B" w14:textId="77777777" w:rsidR="00137818" w:rsidRPr="00697CC8" w:rsidRDefault="00137818" w:rsidP="00A95439">
            <w:pPr>
              <w:pStyle w:val="In-tableHeading"/>
              <w:rPr>
                <w:rFonts w:cs="Arial"/>
                <w:szCs w:val="20"/>
              </w:rPr>
            </w:pPr>
            <w:bookmarkStart w:id="36" w:name="Title_Table6"/>
            <w:bookmarkStart w:id="37" w:name="_Hlk68276562"/>
            <w:bookmarkEnd w:id="36"/>
            <w:r w:rsidRPr="00697CC8">
              <w:rPr>
                <w:rFonts w:cs="Arial"/>
                <w:szCs w:val="20"/>
              </w:rPr>
              <w:t>Step and component</w:t>
            </w:r>
          </w:p>
        </w:tc>
        <w:tc>
          <w:tcPr>
            <w:tcW w:w="1217" w:type="pct"/>
            <w:vAlign w:val="center"/>
          </w:tcPr>
          <w:p w14:paraId="22031C43" w14:textId="77777777" w:rsidR="00137818" w:rsidRPr="00697CC8" w:rsidRDefault="00137818" w:rsidP="00A95439">
            <w:pPr>
              <w:pStyle w:val="In-tableHeading"/>
              <w:jc w:val="center"/>
              <w:rPr>
                <w:rFonts w:cs="Arial"/>
                <w:szCs w:val="20"/>
              </w:rPr>
            </w:pPr>
            <w:r w:rsidRPr="00697CC8">
              <w:rPr>
                <w:rFonts w:cs="Arial"/>
                <w:szCs w:val="20"/>
              </w:rPr>
              <w:t xml:space="preserve">Olaparib </w:t>
            </w:r>
          </w:p>
        </w:tc>
        <w:tc>
          <w:tcPr>
            <w:tcW w:w="1218" w:type="pct"/>
            <w:vAlign w:val="center"/>
          </w:tcPr>
          <w:p w14:paraId="6C60011E" w14:textId="77777777" w:rsidR="00137818" w:rsidRPr="00697CC8" w:rsidRDefault="00137818" w:rsidP="00A95439">
            <w:pPr>
              <w:pStyle w:val="In-tableHeading"/>
              <w:jc w:val="center"/>
              <w:rPr>
                <w:rFonts w:cs="Arial"/>
                <w:szCs w:val="20"/>
              </w:rPr>
            </w:pPr>
            <w:r w:rsidRPr="00697CC8">
              <w:rPr>
                <w:rFonts w:cs="Arial"/>
                <w:szCs w:val="20"/>
              </w:rPr>
              <w:t>Placebo</w:t>
            </w:r>
          </w:p>
        </w:tc>
        <w:tc>
          <w:tcPr>
            <w:tcW w:w="838" w:type="pct"/>
            <w:vAlign w:val="center"/>
          </w:tcPr>
          <w:p w14:paraId="3A17D762" w14:textId="77777777" w:rsidR="00137818" w:rsidRPr="00697CC8" w:rsidRDefault="00137818" w:rsidP="00A95439">
            <w:pPr>
              <w:pStyle w:val="In-tableHeading"/>
              <w:jc w:val="center"/>
              <w:rPr>
                <w:rFonts w:cs="Arial"/>
                <w:szCs w:val="20"/>
              </w:rPr>
            </w:pPr>
            <w:r w:rsidRPr="00697CC8">
              <w:rPr>
                <w:rFonts w:cs="Arial"/>
                <w:szCs w:val="20"/>
              </w:rPr>
              <w:t>Increment</w:t>
            </w:r>
          </w:p>
        </w:tc>
      </w:tr>
      <w:tr w:rsidR="00137818" w:rsidRPr="00697CC8" w14:paraId="6E3F1B55" w14:textId="77777777">
        <w:trPr>
          <w:cantSplit/>
        </w:trPr>
        <w:tc>
          <w:tcPr>
            <w:tcW w:w="5000" w:type="pct"/>
            <w:gridSpan w:val="4"/>
            <w:tcBorders>
              <w:bottom w:val="single" w:sz="4" w:space="0" w:color="auto"/>
            </w:tcBorders>
            <w:vAlign w:val="center"/>
          </w:tcPr>
          <w:p w14:paraId="2621802E" w14:textId="2328D5FD" w:rsidR="00137818" w:rsidRPr="00697CC8" w:rsidRDefault="00137818" w:rsidP="00A95439">
            <w:pPr>
              <w:pStyle w:val="In-tableHeading"/>
              <w:rPr>
                <w:rFonts w:cs="Arial"/>
                <w:szCs w:val="20"/>
              </w:rPr>
            </w:pPr>
            <w:r w:rsidRPr="00697CC8">
              <w:rPr>
                <w:rFonts w:cs="Arial"/>
                <w:szCs w:val="20"/>
              </w:rPr>
              <w:t>Step 1: Trial-based analysis</w:t>
            </w:r>
            <w:r>
              <w:rPr>
                <w:rFonts w:cs="Arial"/>
                <w:szCs w:val="20"/>
              </w:rPr>
              <w:t xml:space="preserve">, including </w:t>
            </w:r>
            <w:r w:rsidRPr="00893F18">
              <w:rPr>
                <w:rFonts w:cs="Arial"/>
                <w:szCs w:val="20"/>
              </w:rPr>
              <w:t xml:space="preserve">test </w:t>
            </w:r>
            <w:r>
              <w:rPr>
                <w:rFonts w:cs="Arial"/>
                <w:szCs w:val="20"/>
              </w:rPr>
              <w:t>cost, olaparib cost and cost for treatment of AEs, over 79 months (</w:t>
            </w:r>
            <w:r w:rsidRPr="00B776F7">
              <w:rPr>
                <w:rFonts w:cs="Arial"/>
                <w:szCs w:val="20"/>
              </w:rPr>
              <w:t>duration of follow-up of IDFS in the OlympiA trial</w:t>
            </w:r>
            <w:r>
              <w:rPr>
                <w:rFonts w:cs="Arial"/>
                <w:szCs w:val="20"/>
              </w:rPr>
              <w:t>)</w:t>
            </w:r>
            <w:r w:rsidR="00F70051">
              <w:rPr>
                <w:rFonts w:cs="Arial"/>
                <w:szCs w:val="20"/>
              </w:rPr>
              <w:t xml:space="preserve"> (costs and outcomes reflect the treated population)</w:t>
            </w:r>
            <w:r w:rsidR="00F70051" w:rsidRPr="00BA6175">
              <w:rPr>
                <w:rFonts w:cs="Arial"/>
                <w:szCs w:val="20"/>
                <w:vertAlign w:val="superscript"/>
              </w:rPr>
              <w:t>a</w:t>
            </w:r>
          </w:p>
        </w:tc>
      </w:tr>
      <w:tr w:rsidR="00137818" w:rsidRPr="00697CC8" w14:paraId="44EF9384" w14:textId="77777777" w:rsidTr="00A95439">
        <w:trPr>
          <w:cantSplit/>
        </w:trPr>
        <w:tc>
          <w:tcPr>
            <w:tcW w:w="1727" w:type="pct"/>
            <w:tcBorders>
              <w:bottom w:val="nil"/>
            </w:tcBorders>
            <w:vAlign w:val="center"/>
          </w:tcPr>
          <w:p w14:paraId="060875AE" w14:textId="77777777" w:rsidR="00137818" w:rsidRPr="00697CC8" w:rsidRDefault="00137818" w:rsidP="00A95439">
            <w:pPr>
              <w:pStyle w:val="TableText"/>
              <w:keepNext/>
              <w:rPr>
                <w:rFonts w:cs="Arial"/>
                <w:i/>
                <w:iCs/>
              </w:rPr>
            </w:pPr>
            <w:r w:rsidRPr="00697CC8">
              <w:rPr>
                <w:rFonts w:cs="Arial"/>
              </w:rPr>
              <w:t>Costs</w:t>
            </w:r>
          </w:p>
        </w:tc>
        <w:tc>
          <w:tcPr>
            <w:tcW w:w="1217" w:type="pct"/>
            <w:tcBorders>
              <w:bottom w:val="nil"/>
            </w:tcBorders>
          </w:tcPr>
          <w:p w14:paraId="0D9759F9" w14:textId="485C436E" w:rsidR="00137818" w:rsidRPr="00771162" w:rsidRDefault="00B7242D" w:rsidP="00A95439">
            <w:pPr>
              <w:pStyle w:val="TableText"/>
              <w:keepNext/>
              <w:jc w:val="center"/>
              <w:rPr>
                <w:rFonts w:cs="Arial"/>
                <w:b/>
                <w:bCs/>
                <w:i/>
                <w:iCs/>
              </w:rPr>
            </w:pPr>
            <w:r w:rsidRPr="00771162">
              <w:rPr>
                <w:rFonts w:cs="Arial"/>
                <w:b/>
                <w:bCs/>
              </w:rPr>
              <w:t>redacted</w:t>
            </w:r>
          </w:p>
        </w:tc>
        <w:tc>
          <w:tcPr>
            <w:tcW w:w="1218" w:type="pct"/>
            <w:tcBorders>
              <w:bottom w:val="nil"/>
            </w:tcBorders>
          </w:tcPr>
          <w:p w14:paraId="02635D0F" w14:textId="1C1CE5FB" w:rsidR="00137818" w:rsidRPr="00697CC8" w:rsidRDefault="00137818" w:rsidP="00A95439">
            <w:pPr>
              <w:pStyle w:val="TableText"/>
              <w:keepNext/>
              <w:jc w:val="center"/>
              <w:rPr>
                <w:rFonts w:cs="Arial"/>
              </w:rPr>
            </w:pPr>
            <w:r w:rsidRPr="00697CC8">
              <w:rPr>
                <w:rFonts w:cs="Arial"/>
              </w:rPr>
              <w:t>$1,046</w:t>
            </w:r>
          </w:p>
        </w:tc>
        <w:tc>
          <w:tcPr>
            <w:tcW w:w="838" w:type="pct"/>
            <w:tcBorders>
              <w:bottom w:val="nil"/>
            </w:tcBorders>
          </w:tcPr>
          <w:p w14:paraId="38F5B362" w14:textId="3C24F174" w:rsidR="00137818" w:rsidRPr="00697CC8" w:rsidRDefault="00B7242D" w:rsidP="00A95439">
            <w:pPr>
              <w:pStyle w:val="TableText"/>
              <w:keepNext/>
              <w:jc w:val="center"/>
              <w:rPr>
                <w:rFonts w:cs="Arial"/>
              </w:rPr>
            </w:pPr>
            <w:r w:rsidRPr="008A391B">
              <w:rPr>
                <w:rFonts w:cs="Arial"/>
                <w:b/>
                <w:bCs/>
              </w:rPr>
              <w:t>redacted</w:t>
            </w:r>
          </w:p>
        </w:tc>
      </w:tr>
      <w:tr w:rsidR="00137818" w:rsidRPr="00697CC8" w14:paraId="0648A724" w14:textId="77777777" w:rsidTr="00A95439">
        <w:trPr>
          <w:cantSplit/>
        </w:trPr>
        <w:tc>
          <w:tcPr>
            <w:tcW w:w="1727" w:type="pct"/>
            <w:tcBorders>
              <w:top w:val="nil"/>
            </w:tcBorders>
            <w:vAlign w:val="center"/>
          </w:tcPr>
          <w:p w14:paraId="35FB026D" w14:textId="37486FE6" w:rsidR="00137818" w:rsidRPr="00697CC8" w:rsidRDefault="00137818" w:rsidP="00A95439">
            <w:pPr>
              <w:pStyle w:val="TableText"/>
              <w:keepNext/>
              <w:rPr>
                <w:rFonts w:cs="Arial"/>
                <w:i/>
                <w:iCs/>
                <w:vertAlign w:val="superscript"/>
              </w:rPr>
            </w:pPr>
            <w:r w:rsidRPr="00697CC8">
              <w:rPr>
                <w:rFonts w:cs="Arial"/>
              </w:rPr>
              <w:t xml:space="preserve">      </w:t>
            </w:r>
            <w:r w:rsidRPr="00697CC8">
              <w:rPr>
                <w:rFonts w:cs="Arial"/>
                <w:i/>
                <w:iCs/>
              </w:rPr>
              <w:t>Revised</w:t>
            </w:r>
            <w:r w:rsidR="00A95439">
              <w:rPr>
                <w:rFonts w:cs="Arial"/>
                <w:i/>
                <w:iCs/>
              </w:rPr>
              <w:t xml:space="preserve"> </w:t>
            </w:r>
            <w:r w:rsidR="00F70051">
              <w:rPr>
                <w:rFonts w:cs="Arial"/>
                <w:i/>
                <w:iCs/>
                <w:vertAlign w:val="superscript"/>
              </w:rPr>
              <w:t>b</w:t>
            </w:r>
          </w:p>
        </w:tc>
        <w:tc>
          <w:tcPr>
            <w:tcW w:w="1217" w:type="pct"/>
            <w:tcBorders>
              <w:top w:val="nil"/>
            </w:tcBorders>
          </w:tcPr>
          <w:p w14:paraId="7998D068" w14:textId="3EB8E40C" w:rsidR="00137818" w:rsidRPr="00697CC8" w:rsidRDefault="00B7242D" w:rsidP="00A95439">
            <w:pPr>
              <w:pStyle w:val="TableText"/>
              <w:keepNext/>
              <w:jc w:val="center"/>
              <w:rPr>
                <w:rFonts w:cs="Arial"/>
                <w:i/>
                <w:iCs/>
              </w:rPr>
            </w:pPr>
            <w:r w:rsidRPr="008A391B">
              <w:rPr>
                <w:rFonts w:cs="Arial"/>
                <w:b/>
                <w:bCs/>
              </w:rPr>
              <w:t>redacted</w:t>
            </w:r>
          </w:p>
        </w:tc>
        <w:tc>
          <w:tcPr>
            <w:tcW w:w="1218" w:type="pct"/>
            <w:tcBorders>
              <w:top w:val="nil"/>
            </w:tcBorders>
          </w:tcPr>
          <w:p w14:paraId="76802A8D" w14:textId="29B93FFC" w:rsidR="00137818" w:rsidRPr="00697CC8" w:rsidRDefault="00137818" w:rsidP="00A95439">
            <w:pPr>
              <w:pStyle w:val="TableText"/>
              <w:keepNext/>
              <w:jc w:val="center"/>
              <w:rPr>
                <w:rFonts w:cs="Arial"/>
                <w:i/>
                <w:iCs/>
              </w:rPr>
            </w:pPr>
            <w:r w:rsidRPr="00697CC8">
              <w:rPr>
                <w:rFonts w:cs="Arial"/>
                <w:i/>
                <w:iCs/>
              </w:rPr>
              <w:t>$8,328</w:t>
            </w:r>
          </w:p>
        </w:tc>
        <w:tc>
          <w:tcPr>
            <w:tcW w:w="838" w:type="pct"/>
            <w:tcBorders>
              <w:top w:val="nil"/>
            </w:tcBorders>
          </w:tcPr>
          <w:p w14:paraId="2DED5E55" w14:textId="77394BD1" w:rsidR="00137818" w:rsidRPr="00697CC8" w:rsidRDefault="00B7242D" w:rsidP="00A95439">
            <w:pPr>
              <w:pStyle w:val="TableText"/>
              <w:keepNext/>
              <w:jc w:val="center"/>
              <w:rPr>
                <w:rFonts w:cs="Arial"/>
                <w:i/>
                <w:iCs/>
              </w:rPr>
            </w:pPr>
            <w:r w:rsidRPr="008A391B">
              <w:rPr>
                <w:rFonts w:cs="Arial"/>
                <w:b/>
                <w:bCs/>
              </w:rPr>
              <w:t>redacted</w:t>
            </w:r>
          </w:p>
        </w:tc>
      </w:tr>
      <w:tr w:rsidR="00137818" w:rsidRPr="00697CC8" w14:paraId="234E864C" w14:textId="77777777" w:rsidTr="00A95439">
        <w:trPr>
          <w:cantSplit/>
        </w:trPr>
        <w:tc>
          <w:tcPr>
            <w:tcW w:w="1727" w:type="pct"/>
            <w:tcBorders>
              <w:bottom w:val="single" w:sz="4" w:space="0" w:color="auto"/>
            </w:tcBorders>
            <w:vAlign w:val="center"/>
          </w:tcPr>
          <w:p w14:paraId="2C40D5C3" w14:textId="77777777" w:rsidR="00137818" w:rsidRPr="00697CC8" w:rsidRDefault="00137818" w:rsidP="00A95439">
            <w:pPr>
              <w:pStyle w:val="TableText"/>
              <w:keepNext/>
              <w:rPr>
                <w:rFonts w:cs="Arial"/>
              </w:rPr>
            </w:pPr>
            <w:r w:rsidRPr="00697CC8">
              <w:rPr>
                <w:rFonts w:cs="Arial"/>
              </w:rPr>
              <w:t>Invasive disease-free years gained</w:t>
            </w:r>
          </w:p>
        </w:tc>
        <w:tc>
          <w:tcPr>
            <w:tcW w:w="1217" w:type="pct"/>
            <w:tcBorders>
              <w:bottom w:val="single" w:sz="4" w:space="0" w:color="auto"/>
            </w:tcBorders>
          </w:tcPr>
          <w:p w14:paraId="4E5570D5" w14:textId="77777777" w:rsidR="00137818" w:rsidRPr="00697CC8" w:rsidRDefault="00137818" w:rsidP="00A95439">
            <w:pPr>
              <w:pStyle w:val="TableText"/>
              <w:keepNext/>
              <w:jc w:val="center"/>
              <w:rPr>
                <w:rFonts w:cs="Arial"/>
              </w:rPr>
            </w:pPr>
            <w:r w:rsidRPr="00697CC8">
              <w:rPr>
                <w:rFonts w:cs="Arial"/>
              </w:rPr>
              <w:t>5.71</w:t>
            </w:r>
          </w:p>
        </w:tc>
        <w:tc>
          <w:tcPr>
            <w:tcW w:w="1218" w:type="pct"/>
            <w:tcBorders>
              <w:bottom w:val="single" w:sz="4" w:space="0" w:color="auto"/>
            </w:tcBorders>
          </w:tcPr>
          <w:p w14:paraId="3ED670CC" w14:textId="77777777" w:rsidR="00137818" w:rsidRPr="00697CC8" w:rsidRDefault="00137818" w:rsidP="00A95439">
            <w:pPr>
              <w:pStyle w:val="TableText"/>
              <w:keepNext/>
              <w:jc w:val="center"/>
              <w:rPr>
                <w:rFonts w:cs="Arial"/>
              </w:rPr>
            </w:pPr>
            <w:r w:rsidRPr="00697CC8">
              <w:rPr>
                <w:rFonts w:cs="Arial"/>
              </w:rPr>
              <w:t>5.24</w:t>
            </w:r>
          </w:p>
        </w:tc>
        <w:tc>
          <w:tcPr>
            <w:tcW w:w="838" w:type="pct"/>
            <w:tcBorders>
              <w:bottom w:val="single" w:sz="4" w:space="0" w:color="auto"/>
            </w:tcBorders>
          </w:tcPr>
          <w:p w14:paraId="43B21EA5" w14:textId="77777777" w:rsidR="00137818" w:rsidRPr="00697CC8" w:rsidRDefault="00137818" w:rsidP="00A95439">
            <w:pPr>
              <w:pStyle w:val="TableText"/>
              <w:keepNext/>
              <w:jc w:val="center"/>
              <w:rPr>
                <w:rFonts w:cs="Arial"/>
              </w:rPr>
            </w:pPr>
            <w:r w:rsidRPr="00697CC8">
              <w:rPr>
                <w:rFonts w:cs="Arial"/>
              </w:rPr>
              <w:t>0.47</w:t>
            </w:r>
          </w:p>
        </w:tc>
      </w:tr>
      <w:tr w:rsidR="00137818" w:rsidRPr="00697CC8" w14:paraId="77173889" w14:textId="77777777" w:rsidTr="00A95439">
        <w:trPr>
          <w:cantSplit/>
        </w:trPr>
        <w:tc>
          <w:tcPr>
            <w:tcW w:w="1727" w:type="pct"/>
            <w:tcBorders>
              <w:bottom w:val="single" w:sz="4" w:space="0" w:color="auto"/>
            </w:tcBorders>
            <w:vAlign w:val="center"/>
          </w:tcPr>
          <w:p w14:paraId="1682C9BC" w14:textId="77777777" w:rsidR="00137818" w:rsidRPr="00697CC8" w:rsidRDefault="00137818" w:rsidP="00A95439">
            <w:pPr>
              <w:pStyle w:val="TableText"/>
              <w:keepNext/>
              <w:rPr>
                <w:rFonts w:cs="Arial"/>
              </w:rPr>
            </w:pPr>
            <w:r w:rsidRPr="00697CC8">
              <w:rPr>
                <w:rFonts w:cs="Arial"/>
                <w:i/>
              </w:rPr>
              <w:t>Recurrence-free rate (per modelled data)</w:t>
            </w:r>
          </w:p>
        </w:tc>
        <w:tc>
          <w:tcPr>
            <w:tcW w:w="1217" w:type="pct"/>
            <w:tcBorders>
              <w:top w:val="single" w:sz="4" w:space="0" w:color="auto"/>
              <w:left w:val="nil"/>
              <w:bottom w:val="single" w:sz="4" w:space="0" w:color="auto"/>
              <w:right w:val="single" w:sz="4" w:space="0" w:color="auto"/>
            </w:tcBorders>
            <w:shd w:val="clear" w:color="auto" w:fill="auto"/>
            <w:vAlign w:val="center"/>
          </w:tcPr>
          <w:p w14:paraId="3281E6A6" w14:textId="77777777" w:rsidR="00137818" w:rsidRPr="00697CC8" w:rsidRDefault="00137818" w:rsidP="00A95439">
            <w:pPr>
              <w:pStyle w:val="TableText"/>
              <w:keepNext/>
              <w:jc w:val="center"/>
              <w:rPr>
                <w:rFonts w:cs="Arial"/>
                <w:i/>
                <w:iCs/>
              </w:rPr>
            </w:pPr>
            <w:r w:rsidRPr="00697CC8">
              <w:rPr>
                <w:rFonts w:cs="Arial"/>
                <w:i/>
                <w:iCs/>
                <w:color w:val="000000"/>
              </w:rPr>
              <w:t>78%</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3C7A2E5E" w14:textId="77777777" w:rsidR="00137818" w:rsidRPr="00697CC8" w:rsidRDefault="00137818" w:rsidP="00A95439">
            <w:pPr>
              <w:pStyle w:val="TableText"/>
              <w:keepNext/>
              <w:jc w:val="center"/>
              <w:rPr>
                <w:rFonts w:cs="Arial"/>
                <w:i/>
                <w:iCs/>
              </w:rPr>
            </w:pPr>
            <w:r w:rsidRPr="00697CC8">
              <w:rPr>
                <w:rFonts w:cs="Arial"/>
                <w:i/>
                <w:iCs/>
                <w:color w:val="000000"/>
              </w:rPr>
              <w:t>70%</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3651B19A" w14:textId="77777777" w:rsidR="00137818" w:rsidRPr="00697CC8" w:rsidRDefault="00137818" w:rsidP="00A95439">
            <w:pPr>
              <w:pStyle w:val="TableText"/>
              <w:keepNext/>
              <w:jc w:val="center"/>
              <w:rPr>
                <w:rFonts w:cs="Arial"/>
                <w:i/>
                <w:iCs/>
              </w:rPr>
            </w:pPr>
            <w:r w:rsidRPr="00697CC8">
              <w:rPr>
                <w:rFonts w:cs="Arial"/>
                <w:i/>
                <w:iCs/>
                <w:color w:val="000000"/>
              </w:rPr>
              <w:t>7%</w:t>
            </w:r>
          </w:p>
        </w:tc>
      </w:tr>
      <w:tr w:rsidR="00137818" w:rsidRPr="00697CC8" w14:paraId="4C480371" w14:textId="77777777">
        <w:trPr>
          <w:cantSplit/>
        </w:trPr>
        <w:tc>
          <w:tcPr>
            <w:tcW w:w="4162" w:type="pct"/>
            <w:gridSpan w:val="3"/>
            <w:tcBorders>
              <w:bottom w:val="nil"/>
            </w:tcBorders>
            <w:vAlign w:val="center"/>
          </w:tcPr>
          <w:p w14:paraId="50E0C692" w14:textId="77777777" w:rsidR="00137818" w:rsidRPr="00697CC8" w:rsidRDefault="00137818" w:rsidP="00A95439">
            <w:pPr>
              <w:pStyle w:val="TableText"/>
              <w:keepNext/>
              <w:rPr>
                <w:rFonts w:cs="Arial"/>
              </w:rPr>
            </w:pPr>
            <w:r w:rsidRPr="00697CC8">
              <w:rPr>
                <w:rFonts w:cs="Arial"/>
              </w:rPr>
              <w:t>Incremental cost/invasive disease-free year gained</w:t>
            </w:r>
          </w:p>
        </w:tc>
        <w:tc>
          <w:tcPr>
            <w:tcW w:w="838" w:type="pct"/>
            <w:tcBorders>
              <w:bottom w:val="nil"/>
            </w:tcBorders>
            <w:vAlign w:val="center"/>
          </w:tcPr>
          <w:p w14:paraId="5A2EB0F8" w14:textId="6C1E90FA" w:rsidR="00137818" w:rsidRPr="00697CC8" w:rsidRDefault="00B603FC" w:rsidP="00A95439">
            <w:pPr>
              <w:pStyle w:val="TableText"/>
              <w:keepNext/>
              <w:jc w:val="center"/>
              <w:rPr>
                <w:rFonts w:cs="Arial"/>
              </w:rPr>
            </w:pPr>
            <w:r w:rsidRPr="008A391B">
              <w:rPr>
                <w:rFonts w:cs="Arial"/>
                <w:b/>
                <w:bCs/>
              </w:rPr>
              <w:t>redacted</w:t>
            </w:r>
            <w:r w:rsidRPr="00697CC8" w:rsidDel="00464AA4">
              <w:rPr>
                <w:rFonts w:cs="Arial"/>
              </w:rPr>
              <w:t xml:space="preserve"> </w:t>
            </w:r>
            <w:r w:rsidR="00464AA4" w:rsidRPr="00771162">
              <w:rPr>
                <w:rFonts w:cs="Arial"/>
                <w:vertAlign w:val="superscript"/>
              </w:rPr>
              <w:t>1</w:t>
            </w:r>
          </w:p>
        </w:tc>
      </w:tr>
      <w:tr w:rsidR="00137818" w:rsidRPr="00697CC8" w14:paraId="76D9913D" w14:textId="77777777">
        <w:trPr>
          <w:cantSplit/>
        </w:trPr>
        <w:tc>
          <w:tcPr>
            <w:tcW w:w="4162" w:type="pct"/>
            <w:gridSpan w:val="3"/>
            <w:tcBorders>
              <w:top w:val="nil"/>
            </w:tcBorders>
            <w:vAlign w:val="center"/>
          </w:tcPr>
          <w:p w14:paraId="01B8EEBB" w14:textId="70F9A36B" w:rsidR="00137818" w:rsidRPr="00697CC8" w:rsidRDefault="00137818" w:rsidP="00A95439">
            <w:pPr>
              <w:pStyle w:val="TableText"/>
              <w:keepNext/>
              <w:rPr>
                <w:rFonts w:cs="Arial"/>
                <w:i/>
                <w:iCs/>
              </w:rPr>
            </w:pPr>
            <w:r w:rsidRPr="00697CC8">
              <w:rPr>
                <w:rFonts w:cs="Arial"/>
                <w:i/>
                <w:iCs/>
              </w:rPr>
              <w:t xml:space="preserve">     Revised</w:t>
            </w:r>
            <w:r w:rsidR="00A95439">
              <w:rPr>
                <w:rFonts w:cs="Arial"/>
                <w:i/>
                <w:iCs/>
              </w:rPr>
              <w:t xml:space="preserve"> </w:t>
            </w:r>
            <w:r w:rsidR="00F70051">
              <w:rPr>
                <w:rFonts w:cs="Arial"/>
                <w:i/>
                <w:iCs/>
                <w:vertAlign w:val="superscript"/>
              </w:rPr>
              <w:t>b</w:t>
            </w:r>
            <w:r w:rsidRPr="00697CC8">
              <w:rPr>
                <w:rFonts w:cs="Arial"/>
                <w:i/>
                <w:iCs/>
              </w:rPr>
              <w:t xml:space="preserve"> </w:t>
            </w:r>
          </w:p>
        </w:tc>
        <w:tc>
          <w:tcPr>
            <w:tcW w:w="838" w:type="pct"/>
            <w:tcBorders>
              <w:top w:val="nil"/>
            </w:tcBorders>
            <w:vAlign w:val="center"/>
          </w:tcPr>
          <w:p w14:paraId="2EAB25E5" w14:textId="5B0EE8F2" w:rsidR="00137818" w:rsidRPr="00697CC8" w:rsidRDefault="00B603FC" w:rsidP="00A95439">
            <w:pPr>
              <w:pStyle w:val="TableText"/>
              <w:keepNext/>
              <w:jc w:val="center"/>
              <w:rPr>
                <w:rFonts w:cs="Arial"/>
                <w:i/>
                <w:iCs/>
              </w:rPr>
            </w:pPr>
            <w:r w:rsidRPr="008A391B">
              <w:rPr>
                <w:rFonts w:cs="Arial"/>
                <w:b/>
                <w:bCs/>
              </w:rPr>
              <w:t>redacted</w:t>
            </w:r>
            <w:r w:rsidRPr="00697CC8" w:rsidDel="00B603FC">
              <w:rPr>
                <w:rFonts w:cs="Arial"/>
                <w:i/>
                <w:iCs/>
              </w:rPr>
              <w:t xml:space="preserve"> </w:t>
            </w:r>
            <w:r w:rsidR="00CD1AE8" w:rsidRPr="00771162">
              <w:rPr>
                <w:rFonts w:cs="Arial"/>
                <w:i/>
                <w:iCs/>
                <w:vertAlign w:val="superscript"/>
              </w:rPr>
              <w:t>2</w:t>
            </w:r>
          </w:p>
        </w:tc>
      </w:tr>
      <w:tr w:rsidR="00137818" w:rsidRPr="00697CC8" w14:paraId="087246DE" w14:textId="77777777">
        <w:trPr>
          <w:cantSplit/>
        </w:trPr>
        <w:tc>
          <w:tcPr>
            <w:tcW w:w="4162" w:type="pct"/>
            <w:gridSpan w:val="3"/>
            <w:tcBorders>
              <w:top w:val="nil"/>
            </w:tcBorders>
            <w:vAlign w:val="center"/>
          </w:tcPr>
          <w:p w14:paraId="13A5DA35" w14:textId="6623F88E" w:rsidR="00137818" w:rsidRPr="00697CC8" w:rsidRDefault="00CD1AE8" w:rsidP="00A95439">
            <w:pPr>
              <w:pStyle w:val="TableText"/>
              <w:keepNext/>
              <w:rPr>
                <w:rFonts w:cs="Arial"/>
                <w:i/>
                <w:iCs/>
                <w:vertAlign w:val="superscript"/>
              </w:rPr>
            </w:pPr>
            <w:r>
              <w:rPr>
                <w:rFonts w:cs="Arial"/>
                <w:i/>
                <w:iCs/>
              </w:rPr>
              <w:t>2</w:t>
            </w:r>
            <w:r w:rsidR="00137818" w:rsidRPr="00697CC8">
              <w:rPr>
                <w:rFonts w:cs="Arial"/>
                <w:i/>
                <w:iCs/>
              </w:rPr>
              <w:t>Incremental cost/recurrence avoided</w:t>
            </w:r>
            <w:r w:rsidR="00A95439">
              <w:rPr>
                <w:rFonts w:cs="Arial"/>
                <w:i/>
                <w:iCs/>
              </w:rPr>
              <w:t xml:space="preserve"> </w:t>
            </w:r>
            <w:r w:rsidR="00722171">
              <w:rPr>
                <w:rFonts w:cs="Arial"/>
                <w:i/>
                <w:iCs/>
                <w:vertAlign w:val="superscript"/>
              </w:rPr>
              <w:t>b</w:t>
            </w:r>
            <w:r w:rsidR="00F4414B">
              <w:rPr>
                <w:rFonts w:cs="Arial"/>
                <w:i/>
                <w:iCs/>
                <w:vertAlign w:val="superscript"/>
              </w:rPr>
              <w:t xml:space="preserve">, </w:t>
            </w:r>
            <w:r w:rsidR="00722171">
              <w:rPr>
                <w:rFonts w:cs="Arial"/>
                <w:i/>
                <w:iCs/>
                <w:vertAlign w:val="superscript"/>
              </w:rPr>
              <w:t>c</w:t>
            </w:r>
          </w:p>
        </w:tc>
        <w:tc>
          <w:tcPr>
            <w:tcW w:w="838" w:type="pct"/>
            <w:tcBorders>
              <w:top w:val="nil"/>
            </w:tcBorders>
            <w:vAlign w:val="center"/>
          </w:tcPr>
          <w:p w14:paraId="5CB0DF45" w14:textId="55119834" w:rsidR="00137818" w:rsidRPr="00771162" w:rsidRDefault="00B603FC" w:rsidP="00A95439">
            <w:pPr>
              <w:pStyle w:val="TableText"/>
              <w:keepNext/>
              <w:jc w:val="center"/>
              <w:rPr>
                <w:rFonts w:cs="Arial"/>
                <w:i/>
                <w:iCs/>
                <w:vertAlign w:val="superscript"/>
              </w:rPr>
            </w:pPr>
            <w:r w:rsidRPr="008A391B">
              <w:rPr>
                <w:rFonts w:cs="Arial"/>
                <w:b/>
                <w:bCs/>
              </w:rPr>
              <w:t>redacted</w:t>
            </w:r>
            <w:r w:rsidRPr="00B603FC" w:rsidDel="00875C78">
              <w:rPr>
                <w:rFonts w:cs="Arial"/>
                <w:i/>
                <w:iCs/>
                <w:vertAlign w:val="superscript"/>
              </w:rPr>
              <w:t xml:space="preserve"> </w:t>
            </w:r>
            <w:r w:rsidR="00875C78" w:rsidRPr="00771162">
              <w:rPr>
                <w:rFonts w:cs="Arial"/>
                <w:i/>
                <w:iCs/>
                <w:vertAlign w:val="superscript"/>
              </w:rPr>
              <w:t>3</w:t>
            </w:r>
          </w:p>
        </w:tc>
      </w:tr>
      <w:tr w:rsidR="00137818" w:rsidRPr="00697CC8" w14:paraId="05803C5F" w14:textId="77777777">
        <w:trPr>
          <w:cantSplit/>
        </w:trPr>
        <w:tc>
          <w:tcPr>
            <w:tcW w:w="5000" w:type="pct"/>
            <w:gridSpan w:val="4"/>
            <w:vAlign w:val="center"/>
          </w:tcPr>
          <w:p w14:paraId="23155C3C" w14:textId="23DE26CF" w:rsidR="00137818" w:rsidRPr="00697CC8" w:rsidRDefault="00137818" w:rsidP="00A95439">
            <w:pPr>
              <w:pStyle w:val="In-tableHeading"/>
              <w:rPr>
                <w:rFonts w:cs="Arial"/>
                <w:szCs w:val="20"/>
              </w:rPr>
            </w:pPr>
            <w:r w:rsidRPr="00697CC8">
              <w:rPr>
                <w:rFonts w:cs="Arial"/>
                <w:szCs w:val="20"/>
              </w:rPr>
              <w:t>Step 2: Modelled analysis (LYs)</w:t>
            </w:r>
            <w:r w:rsidR="00722171">
              <w:rPr>
                <w:rFonts w:cs="Arial"/>
                <w:szCs w:val="20"/>
                <w:vertAlign w:val="superscript"/>
              </w:rPr>
              <w:t>d</w:t>
            </w:r>
            <w:r>
              <w:rPr>
                <w:rFonts w:cs="Arial"/>
                <w:szCs w:val="20"/>
              </w:rPr>
              <w:t>, a</w:t>
            </w:r>
            <w:r w:rsidRPr="00697CC8">
              <w:rPr>
                <w:rFonts w:cs="Arial"/>
                <w:szCs w:val="20"/>
              </w:rPr>
              <w:t>s above plus cost</w:t>
            </w:r>
            <w:r>
              <w:rPr>
                <w:rFonts w:cs="Arial"/>
                <w:szCs w:val="20"/>
              </w:rPr>
              <w:t>s</w:t>
            </w:r>
            <w:r w:rsidRPr="00697CC8">
              <w:rPr>
                <w:rFonts w:cs="Arial"/>
                <w:szCs w:val="20"/>
              </w:rPr>
              <w:t xml:space="preserve"> </w:t>
            </w:r>
            <w:r>
              <w:rPr>
                <w:rFonts w:cs="Arial"/>
                <w:szCs w:val="20"/>
              </w:rPr>
              <w:t xml:space="preserve">for genetic counselling, </w:t>
            </w:r>
            <w:r w:rsidRPr="00697CC8">
              <w:rPr>
                <w:rFonts w:cs="Arial"/>
                <w:szCs w:val="20"/>
              </w:rPr>
              <w:t xml:space="preserve">disease monitoring, subsequent therapies, and </w:t>
            </w:r>
            <w:r>
              <w:rPr>
                <w:rFonts w:cs="Arial"/>
                <w:szCs w:val="20"/>
              </w:rPr>
              <w:t>terminal</w:t>
            </w:r>
            <w:r w:rsidRPr="00697CC8">
              <w:rPr>
                <w:rFonts w:cs="Arial"/>
                <w:szCs w:val="20"/>
              </w:rPr>
              <w:t xml:space="preserve"> care</w:t>
            </w:r>
            <w:r>
              <w:rPr>
                <w:rFonts w:cs="Arial"/>
                <w:szCs w:val="20"/>
              </w:rPr>
              <w:t>, with time horizon extended to 40 years</w:t>
            </w:r>
          </w:p>
        </w:tc>
      </w:tr>
      <w:tr w:rsidR="00137818" w:rsidRPr="00697CC8" w14:paraId="13D0ECFC" w14:textId="77777777" w:rsidTr="00A95439">
        <w:trPr>
          <w:cantSplit/>
        </w:trPr>
        <w:tc>
          <w:tcPr>
            <w:tcW w:w="1727" w:type="pct"/>
            <w:vAlign w:val="center"/>
          </w:tcPr>
          <w:p w14:paraId="2398C26F" w14:textId="77777777" w:rsidR="00137818" w:rsidRPr="00697CC8" w:rsidRDefault="00137818" w:rsidP="00A95439">
            <w:pPr>
              <w:pStyle w:val="TableText"/>
              <w:keepNext/>
              <w:rPr>
                <w:rFonts w:cs="Arial"/>
              </w:rPr>
            </w:pPr>
            <w:r w:rsidRPr="00697CC8">
              <w:rPr>
                <w:rFonts w:cs="Arial"/>
              </w:rPr>
              <w:t>Costs</w:t>
            </w:r>
          </w:p>
        </w:tc>
        <w:tc>
          <w:tcPr>
            <w:tcW w:w="1217" w:type="pct"/>
            <w:vAlign w:val="center"/>
          </w:tcPr>
          <w:p w14:paraId="3667DF76" w14:textId="34B7C4B3" w:rsidR="00137818" w:rsidRPr="00697CC8" w:rsidRDefault="00AC57BC" w:rsidP="00A95439">
            <w:pPr>
              <w:pStyle w:val="TableText"/>
              <w:keepNext/>
              <w:jc w:val="center"/>
              <w:rPr>
                <w:rFonts w:cs="Arial"/>
              </w:rPr>
            </w:pPr>
            <w:r w:rsidRPr="008A391B">
              <w:rPr>
                <w:rFonts w:cs="Arial"/>
                <w:b/>
                <w:bCs/>
              </w:rPr>
              <w:t>redacted</w:t>
            </w:r>
          </w:p>
        </w:tc>
        <w:tc>
          <w:tcPr>
            <w:tcW w:w="1218" w:type="pct"/>
            <w:vAlign w:val="center"/>
          </w:tcPr>
          <w:p w14:paraId="49F4821D" w14:textId="06FE324A" w:rsidR="00137818" w:rsidRPr="00697CC8" w:rsidRDefault="00137818" w:rsidP="00A95439">
            <w:pPr>
              <w:pStyle w:val="TableText"/>
              <w:keepNext/>
              <w:jc w:val="center"/>
              <w:rPr>
                <w:rFonts w:cs="Arial"/>
              </w:rPr>
            </w:pPr>
            <w:r w:rsidRPr="00697CC8">
              <w:rPr>
                <w:rFonts w:cs="Arial"/>
              </w:rPr>
              <w:t>$34,051</w:t>
            </w:r>
          </w:p>
        </w:tc>
        <w:tc>
          <w:tcPr>
            <w:tcW w:w="838" w:type="pct"/>
            <w:vAlign w:val="center"/>
          </w:tcPr>
          <w:p w14:paraId="443080FB" w14:textId="242B83B7" w:rsidR="00137818" w:rsidRPr="00697CC8" w:rsidRDefault="00AC57BC" w:rsidP="00A95439">
            <w:pPr>
              <w:pStyle w:val="TableText"/>
              <w:keepNext/>
              <w:jc w:val="center"/>
              <w:rPr>
                <w:rFonts w:cs="Arial"/>
              </w:rPr>
            </w:pPr>
            <w:r w:rsidRPr="008A391B">
              <w:rPr>
                <w:rFonts w:cs="Arial"/>
                <w:b/>
                <w:bCs/>
              </w:rPr>
              <w:t>redacted</w:t>
            </w:r>
          </w:p>
        </w:tc>
      </w:tr>
      <w:tr w:rsidR="00137818" w:rsidRPr="00697CC8" w14:paraId="31C60819" w14:textId="77777777" w:rsidTr="00A95439">
        <w:trPr>
          <w:cantSplit/>
        </w:trPr>
        <w:tc>
          <w:tcPr>
            <w:tcW w:w="1727" w:type="pct"/>
            <w:vAlign w:val="center"/>
          </w:tcPr>
          <w:p w14:paraId="5120442E" w14:textId="77777777" w:rsidR="00137818" w:rsidRPr="00697CC8" w:rsidRDefault="00137818" w:rsidP="00A95439">
            <w:pPr>
              <w:pStyle w:val="TableText"/>
              <w:keepNext/>
              <w:rPr>
                <w:rFonts w:cs="Arial"/>
              </w:rPr>
            </w:pPr>
            <w:r w:rsidRPr="00697CC8">
              <w:rPr>
                <w:rFonts w:cs="Arial"/>
              </w:rPr>
              <w:t>LYs</w:t>
            </w:r>
          </w:p>
        </w:tc>
        <w:tc>
          <w:tcPr>
            <w:tcW w:w="1217" w:type="pct"/>
            <w:vAlign w:val="center"/>
          </w:tcPr>
          <w:p w14:paraId="5DE4813C" w14:textId="77777777" w:rsidR="00137818" w:rsidRPr="00697CC8" w:rsidRDefault="00137818" w:rsidP="00A95439">
            <w:pPr>
              <w:pStyle w:val="TableText"/>
              <w:keepNext/>
              <w:jc w:val="center"/>
              <w:rPr>
                <w:rFonts w:cs="Arial"/>
              </w:rPr>
            </w:pPr>
            <w:r w:rsidRPr="00697CC8">
              <w:rPr>
                <w:rFonts w:cs="Arial"/>
              </w:rPr>
              <w:t>14.22</w:t>
            </w:r>
          </w:p>
        </w:tc>
        <w:tc>
          <w:tcPr>
            <w:tcW w:w="1218" w:type="pct"/>
            <w:vAlign w:val="center"/>
          </w:tcPr>
          <w:p w14:paraId="223EC38C" w14:textId="77777777" w:rsidR="00137818" w:rsidRPr="00697CC8" w:rsidRDefault="00137818" w:rsidP="00A95439">
            <w:pPr>
              <w:pStyle w:val="TableText"/>
              <w:keepNext/>
              <w:jc w:val="center"/>
              <w:rPr>
                <w:rFonts w:cs="Arial"/>
              </w:rPr>
            </w:pPr>
            <w:r w:rsidRPr="00697CC8">
              <w:rPr>
                <w:rFonts w:cs="Arial"/>
              </w:rPr>
              <w:t>13.19</w:t>
            </w:r>
          </w:p>
        </w:tc>
        <w:tc>
          <w:tcPr>
            <w:tcW w:w="838" w:type="pct"/>
            <w:vAlign w:val="center"/>
          </w:tcPr>
          <w:p w14:paraId="5CE0A926" w14:textId="77777777" w:rsidR="00137818" w:rsidRPr="00697CC8" w:rsidRDefault="00137818" w:rsidP="00A95439">
            <w:pPr>
              <w:pStyle w:val="TableText"/>
              <w:keepNext/>
              <w:jc w:val="center"/>
              <w:rPr>
                <w:rFonts w:cs="Arial"/>
              </w:rPr>
            </w:pPr>
            <w:r w:rsidRPr="00697CC8">
              <w:rPr>
                <w:rFonts w:cs="Arial"/>
              </w:rPr>
              <w:t>1.03</w:t>
            </w:r>
          </w:p>
        </w:tc>
      </w:tr>
      <w:tr w:rsidR="00137818" w:rsidRPr="00697CC8" w14:paraId="0F58E64B" w14:textId="77777777">
        <w:trPr>
          <w:cantSplit/>
        </w:trPr>
        <w:tc>
          <w:tcPr>
            <w:tcW w:w="4162" w:type="pct"/>
            <w:gridSpan w:val="3"/>
            <w:vAlign w:val="center"/>
          </w:tcPr>
          <w:p w14:paraId="15317323" w14:textId="77777777" w:rsidR="00137818" w:rsidRPr="00697CC8" w:rsidRDefault="00137818" w:rsidP="00A95439">
            <w:pPr>
              <w:pStyle w:val="TableText"/>
              <w:keepNext/>
              <w:rPr>
                <w:rFonts w:cs="Arial"/>
              </w:rPr>
            </w:pPr>
            <w:r w:rsidRPr="00697CC8">
              <w:rPr>
                <w:rFonts w:cs="Arial"/>
              </w:rPr>
              <w:t>Incremental cost/LY gained</w:t>
            </w:r>
          </w:p>
        </w:tc>
        <w:tc>
          <w:tcPr>
            <w:tcW w:w="838" w:type="pct"/>
            <w:vAlign w:val="center"/>
          </w:tcPr>
          <w:p w14:paraId="251AC734" w14:textId="7E760A11" w:rsidR="00137818" w:rsidRPr="00697CC8" w:rsidRDefault="00723586" w:rsidP="00A95439">
            <w:pPr>
              <w:pStyle w:val="TableText"/>
              <w:keepNext/>
              <w:jc w:val="center"/>
              <w:rPr>
                <w:rFonts w:cs="Arial"/>
              </w:rPr>
            </w:pPr>
            <w:r>
              <w:rPr>
                <w:rFonts w:cs="Arial"/>
                <w:b/>
                <w:bCs/>
              </w:rPr>
              <w:t>r</w:t>
            </w:r>
            <w:r w:rsidR="001359B8" w:rsidRPr="008A391B">
              <w:rPr>
                <w:rFonts w:cs="Arial"/>
                <w:b/>
                <w:bCs/>
              </w:rPr>
              <w:t>edacted</w:t>
            </w:r>
            <w:r w:rsidR="005E6161" w:rsidRPr="005E6161">
              <w:rPr>
                <w:rFonts w:cs="Arial"/>
                <w:vertAlign w:val="superscript"/>
              </w:rPr>
              <w:t>4</w:t>
            </w:r>
          </w:p>
        </w:tc>
      </w:tr>
      <w:tr w:rsidR="00137818" w:rsidRPr="00697CC8" w14:paraId="4882B779" w14:textId="77777777">
        <w:trPr>
          <w:cantSplit/>
        </w:trPr>
        <w:tc>
          <w:tcPr>
            <w:tcW w:w="5000" w:type="pct"/>
            <w:gridSpan w:val="4"/>
            <w:vAlign w:val="center"/>
          </w:tcPr>
          <w:p w14:paraId="60877AE6" w14:textId="1C83A240" w:rsidR="00137818" w:rsidRPr="00B776F7" w:rsidRDefault="00137818" w:rsidP="00A95439">
            <w:pPr>
              <w:pStyle w:val="In-tableHeading"/>
              <w:rPr>
                <w:rFonts w:cs="Arial"/>
                <w:szCs w:val="20"/>
              </w:rPr>
            </w:pPr>
            <w:r w:rsidRPr="00697CC8">
              <w:rPr>
                <w:rFonts w:cs="Arial"/>
                <w:szCs w:val="20"/>
              </w:rPr>
              <w:t>Step 3: Modelled analysis (QALYs)</w:t>
            </w:r>
            <w:r w:rsidR="00722171">
              <w:rPr>
                <w:rFonts w:cs="Arial"/>
                <w:szCs w:val="20"/>
                <w:vertAlign w:val="superscript"/>
              </w:rPr>
              <w:t>d</w:t>
            </w:r>
            <w:r>
              <w:rPr>
                <w:rFonts w:cs="Arial"/>
                <w:szCs w:val="20"/>
              </w:rPr>
              <w:t xml:space="preserve">, as above incorporating utility values </w:t>
            </w:r>
          </w:p>
        </w:tc>
      </w:tr>
      <w:tr w:rsidR="00137818" w:rsidRPr="00697CC8" w14:paraId="6CFF706F" w14:textId="77777777" w:rsidTr="00A95439">
        <w:trPr>
          <w:cantSplit/>
        </w:trPr>
        <w:tc>
          <w:tcPr>
            <w:tcW w:w="1727" w:type="pct"/>
            <w:vAlign w:val="center"/>
          </w:tcPr>
          <w:p w14:paraId="59C588B4" w14:textId="77777777" w:rsidR="00137818" w:rsidRPr="00697CC8" w:rsidRDefault="00137818" w:rsidP="00A95439">
            <w:pPr>
              <w:pStyle w:val="TableText"/>
              <w:keepNext/>
              <w:rPr>
                <w:rFonts w:cs="Arial"/>
              </w:rPr>
            </w:pPr>
            <w:r w:rsidRPr="00697CC8">
              <w:rPr>
                <w:rFonts w:cs="Arial"/>
              </w:rPr>
              <w:t>Costs</w:t>
            </w:r>
          </w:p>
        </w:tc>
        <w:tc>
          <w:tcPr>
            <w:tcW w:w="1217" w:type="pct"/>
          </w:tcPr>
          <w:p w14:paraId="0A1A42E0" w14:textId="577C7B2A" w:rsidR="00137818" w:rsidRPr="00697CC8" w:rsidRDefault="00AC57BC" w:rsidP="00A95439">
            <w:pPr>
              <w:pStyle w:val="TableText"/>
              <w:keepNext/>
              <w:jc w:val="center"/>
              <w:rPr>
                <w:rFonts w:cs="Arial"/>
              </w:rPr>
            </w:pPr>
            <w:r w:rsidRPr="008A391B">
              <w:rPr>
                <w:rFonts w:cs="Arial"/>
                <w:b/>
                <w:bCs/>
              </w:rPr>
              <w:t>redacted</w:t>
            </w:r>
          </w:p>
        </w:tc>
        <w:tc>
          <w:tcPr>
            <w:tcW w:w="1218" w:type="pct"/>
          </w:tcPr>
          <w:p w14:paraId="2C844AEA" w14:textId="0437F0FE" w:rsidR="00137818" w:rsidRPr="00697CC8" w:rsidRDefault="00137818" w:rsidP="00A95439">
            <w:pPr>
              <w:pStyle w:val="TableText"/>
              <w:keepNext/>
              <w:jc w:val="center"/>
              <w:rPr>
                <w:rFonts w:cs="Arial"/>
              </w:rPr>
            </w:pPr>
            <w:r w:rsidRPr="00697CC8">
              <w:rPr>
                <w:rFonts w:cs="Arial"/>
              </w:rPr>
              <w:t>$34,051</w:t>
            </w:r>
          </w:p>
        </w:tc>
        <w:tc>
          <w:tcPr>
            <w:tcW w:w="838" w:type="pct"/>
          </w:tcPr>
          <w:p w14:paraId="6A3ACE0B" w14:textId="2636A76F" w:rsidR="00137818" w:rsidRPr="00697CC8" w:rsidRDefault="00AC57BC" w:rsidP="00A95439">
            <w:pPr>
              <w:pStyle w:val="TableText"/>
              <w:keepNext/>
              <w:jc w:val="center"/>
              <w:rPr>
                <w:rFonts w:cs="Arial"/>
              </w:rPr>
            </w:pPr>
            <w:r w:rsidRPr="008A391B">
              <w:rPr>
                <w:rFonts w:cs="Arial"/>
                <w:b/>
                <w:bCs/>
              </w:rPr>
              <w:t>redacted</w:t>
            </w:r>
          </w:p>
        </w:tc>
      </w:tr>
      <w:tr w:rsidR="00137818" w:rsidRPr="00697CC8" w14:paraId="5F56AC1C" w14:textId="77777777" w:rsidTr="00A95439">
        <w:trPr>
          <w:cantSplit/>
        </w:trPr>
        <w:tc>
          <w:tcPr>
            <w:tcW w:w="1727" w:type="pct"/>
            <w:vAlign w:val="center"/>
          </w:tcPr>
          <w:p w14:paraId="1E893681" w14:textId="77777777" w:rsidR="00137818" w:rsidRPr="00697CC8" w:rsidRDefault="00137818" w:rsidP="00A95439">
            <w:pPr>
              <w:pStyle w:val="TableText"/>
              <w:keepNext/>
              <w:rPr>
                <w:rFonts w:cs="Arial"/>
              </w:rPr>
            </w:pPr>
            <w:r w:rsidRPr="00697CC8">
              <w:rPr>
                <w:rFonts w:cs="Arial"/>
              </w:rPr>
              <w:t>QALYs</w:t>
            </w:r>
          </w:p>
        </w:tc>
        <w:tc>
          <w:tcPr>
            <w:tcW w:w="1217" w:type="pct"/>
            <w:vAlign w:val="center"/>
          </w:tcPr>
          <w:p w14:paraId="10FCC729" w14:textId="77777777" w:rsidR="00137818" w:rsidRPr="00697CC8" w:rsidRDefault="00137818" w:rsidP="00A95439">
            <w:pPr>
              <w:pStyle w:val="TableText"/>
              <w:keepNext/>
              <w:jc w:val="center"/>
              <w:rPr>
                <w:rFonts w:cs="Arial"/>
              </w:rPr>
            </w:pPr>
            <w:r w:rsidRPr="00697CC8">
              <w:rPr>
                <w:rFonts w:cs="Arial"/>
              </w:rPr>
              <w:t>12.27</w:t>
            </w:r>
          </w:p>
        </w:tc>
        <w:tc>
          <w:tcPr>
            <w:tcW w:w="1218" w:type="pct"/>
            <w:vAlign w:val="center"/>
          </w:tcPr>
          <w:p w14:paraId="4C7130A2" w14:textId="77777777" w:rsidR="00137818" w:rsidRPr="00697CC8" w:rsidRDefault="00137818" w:rsidP="00A95439">
            <w:pPr>
              <w:pStyle w:val="TableText"/>
              <w:keepNext/>
              <w:jc w:val="center"/>
              <w:rPr>
                <w:rFonts w:cs="Arial"/>
              </w:rPr>
            </w:pPr>
            <w:r w:rsidRPr="00697CC8">
              <w:rPr>
                <w:rFonts w:cs="Arial"/>
              </w:rPr>
              <w:t>11.36</w:t>
            </w:r>
          </w:p>
        </w:tc>
        <w:tc>
          <w:tcPr>
            <w:tcW w:w="838" w:type="pct"/>
            <w:vAlign w:val="center"/>
          </w:tcPr>
          <w:p w14:paraId="2D638E4B" w14:textId="77777777" w:rsidR="00137818" w:rsidRPr="00697CC8" w:rsidRDefault="00137818" w:rsidP="00A95439">
            <w:pPr>
              <w:pStyle w:val="TableText"/>
              <w:keepNext/>
              <w:jc w:val="center"/>
              <w:rPr>
                <w:rFonts w:cs="Arial"/>
              </w:rPr>
            </w:pPr>
            <w:r w:rsidRPr="00697CC8">
              <w:rPr>
                <w:rFonts w:cs="Arial"/>
              </w:rPr>
              <w:t>0.91</w:t>
            </w:r>
          </w:p>
        </w:tc>
      </w:tr>
      <w:tr w:rsidR="00137818" w:rsidRPr="00697CC8" w14:paraId="7059BA64" w14:textId="77777777">
        <w:trPr>
          <w:cantSplit/>
        </w:trPr>
        <w:tc>
          <w:tcPr>
            <w:tcW w:w="4162" w:type="pct"/>
            <w:gridSpan w:val="3"/>
            <w:tcBorders>
              <w:bottom w:val="single" w:sz="4" w:space="0" w:color="auto"/>
            </w:tcBorders>
            <w:vAlign w:val="center"/>
          </w:tcPr>
          <w:p w14:paraId="1B159859" w14:textId="77777777" w:rsidR="00137818" w:rsidRPr="00697CC8" w:rsidRDefault="00137818" w:rsidP="00A95439">
            <w:pPr>
              <w:pStyle w:val="TableText"/>
              <w:keepNext/>
              <w:rPr>
                <w:rFonts w:cs="Arial"/>
              </w:rPr>
            </w:pPr>
            <w:r w:rsidRPr="00697CC8">
              <w:rPr>
                <w:rFonts w:cs="Arial"/>
              </w:rPr>
              <w:t>Incremental cost/QALY gained</w:t>
            </w:r>
          </w:p>
        </w:tc>
        <w:tc>
          <w:tcPr>
            <w:tcW w:w="838" w:type="pct"/>
            <w:tcBorders>
              <w:bottom w:val="single" w:sz="4" w:space="0" w:color="auto"/>
            </w:tcBorders>
            <w:vAlign w:val="center"/>
          </w:tcPr>
          <w:p w14:paraId="26825092" w14:textId="448E9783" w:rsidR="00137818" w:rsidRPr="00697CC8" w:rsidRDefault="00B603FC" w:rsidP="00A95439">
            <w:pPr>
              <w:pStyle w:val="TableText"/>
              <w:keepNext/>
              <w:jc w:val="center"/>
              <w:rPr>
                <w:rFonts w:cs="Arial"/>
              </w:rPr>
            </w:pPr>
            <w:r w:rsidRPr="008A391B">
              <w:rPr>
                <w:rFonts w:cs="Arial"/>
                <w:b/>
                <w:bCs/>
              </w:rPr>
              <w:t>redacted</w:t>
            </w:r>
            <w:r w:rsidRPr="00697CC8" w:rsidDel="005938D3">
              <w:rPr>
                <w:rFonts w:cs="Arial"/>
              </w:rPr>
              <w:t xml:space="preserve"> </w:t>
            </w:r>
            <w:r w:rsidR="004975A2" w:rsidRPr="00771162">
              <w:rPr>
                <w:rFonts w:cs="Arial"/>
                <w:vertAlign w:val="superscript"/>
              </w:rPr>
              <w:t>4</w:t>
            </w:r>
          </w:p>
        </w:tc>
      </w:tr>
      <w:tr w:rsidR="00142DF8" w:rsidRPr="00697CC8" w14:paraId="47F429B1" w14:textId="77777777" w:rsidTr="00520C34">
        <w:trPr>
          <w:cantSplit/>
        </w:trPr>
        <w:tc>
          <w:tcPr>
            <w:tcW w:w="5000" w:type="pct"/>
            <w:gridSpan w:val="4"/>
            <w:vAlign w:val="center"/>
          </w:tcPr>
          <w:p w14:paraId="7E7E223B" w14:textId="370A4020" w:rsidR="00142DF8" w:rsidRPr="00B776F7" w:rsidRDefault="00142DF8" w:rsidP="00520C34">
            <w:pPr>
              <w:pStyle w:val="In-tableHeading"/>
              <w:rPr>
                <w:rFonts w:cs="Arial"/>
                <w:szCs w:val="20"/>
              </w:rPr>
            </w:pPr>
            <w:r w:rsidRPr="00697CC8">
              <w:rPr>
                <w:rFonts w:cs="Arial"/>
                <w:szCs w:val="20"/>
              </w:rPr>
              <w:t xml:space="preserve">Step </w:t>
            </w:r>
            <w:r>
              <w:rPr>
                <w:rFonts w:cs="Arial"/>
                <w:szCs w:val="20"/>
              </w:rPr>
              <w:t>4</w:t>
            </w:r>
            <w:r w:rsidRPr="00697CC8">
              <w:rPr>
                <w:rFonts w:cs="Arial"/>
                <w:szCs w:val="20"/>
              </w:rPr>
              <w:t>: Modelled analysis</w:t>
            </w:r>
            <w:r>
              <w:rPr>
                <w:rFonts w:cs="Arial"/>
                <w:szCs w:val="20"/>
              </w:rPr>
              <w:t xml:space="preserve">, as above reflecting the tested population </w:t>
            </w:r>
          </w:p>
        </w:tc>
      </w:tr>
      <w:tr w:rsidR="00142DF8" w:rsidRPr="00697CC8" w14:paraId="7AF4C031" w14:textId="77777777" w:rsidTr="00520C34">
        <w:trPr>
          <w:cantSplit/>
        </w:trPr>
        <w:tc>
          <w:tcPr>
            <w:tcW w:w="1727" w:type="pct"/>
            <w:vAlign w:val="center"/>
          </w:tcPr>
          <w:p w14:paraId="7CF059AB" w14:textId="77777777" w:rsidR="00142DF8" w:rsidRPr="00697CC8" w:rsidRDefault="00142DF8" w:rsidP="00520C34">
            <w:pPr>
              <w:pStyle w:val="TableText"/>
              <w:keepNext/>
              <w:rPr>
                <w:rFonts w:cs="Arial"/>
              </w:rPr>
            </w:pPr>
            <w:r w:rsidRPr="00697CC8">
              <w:rPr>
                <w:rFonts w:cs="Arial"/>
              </w:rPr>
              <w:t>Costs</w:t>
            </w:r>
          </w:p>
        </w:tc>
        <w:tc>
          <w:tcPr>
            <w:tcW w:w="1217" w:type="pct"/>
          </w:tcPr>
          <w:p w14:paraId="2BACE451" w14:textId="0BD4DD8A" w:rsidR="00142DF8" w:rsidRPr="00771162" w:rsidRDefault="00655961" w:rsidP="00520C34">
            <w:pPr>
              <w:pStyle w:val="TableText"/>
              <w:keepNext/>
              <w:jc w:val="center"/>
              <w:rPr>
                <w:rFonts w:cs="Arial"/>
                <w:b/>
                <w:bCs/>
              </w:rPr>
            </w:pPr>
            <w:r w:rsidRPr="00771162">
              <w:rPr>
                <w:rFonts w:cs="Arial"/>
                <w:b/>
                <w:bCs/>
              </w:rPr>
              <w:t>redacted</w:t>
            </w:r>
          </w:p>
        </w:tc>
        <w:tc>
          <w:tcPr>
            <w:tcW w:w="1218" w:type="pct"/>
          </w:tcPr>
          <w:p w14:paraId="22BFC02F" w14:textId="63166293" w:rsidR="00142DF8" w:rsidRPr="00771162" w:rsidRDefault="00142DF8" w:rsidP="00520C34">
            <w:pPr>
              <w:pStyle w:val="TableText"/>
              <w:keepNext/>
              <w:jc w:val="center"/>
              <w:rPr>
                <w:rFonts w:cs="Arial"/>
                <w:b/>
                <w:bCs/>
              </w:rPr>
            </w:pPr>
            <w:r w:rsidRPr="00771162">
              <w:rPr>
                <w:rFonts w:cs="Arial"/>
                <w:b/>
                <w:bCs/>
              </w:rPr>
              <w:t>$19,776</w:t>
            </w:r>
          </w:p>
        </w:tc>
        <w:tc>
          <w:tcPr>
            <w:tcW w:w="838" w:type="pct"/>
          </w:tcPr>
          <w:p w14:paraId="313C8CDD" w14:textId="6FA3D3B9" w:rsidR="00142DF8" w:rsidRPr="00697CC8" w:rsidRDefault="00655961" w:rsidP="00520C34">
            <w:pPr>
              <w:pStyle w:val="TableText"/>
              <w:keepNext/>
              <w:jc w:val="center"/>
              <w:rPr>
                <w:rFonts w:cs="Arial"/>
              </w:rPr>
            </w:pPr>
            <w:r w:rsidRPr="008A391B">
              <w:rPr>
                <w:rFonts w:cs="Arial"/>
                <w:b/>
                <w:bCs/>
              </w:rPr>
              <w:t>redacted</w:t>
            </w:r>
          </w:p>
        </w:tc>
      </w:tr>
      <w:tr w:rsidR="00142DF8" w:rsidRPr="00697CC8" w14:paraId="11501156" w14:textId="77777777" w:rsidTr="00520C34">
        <w:trPr>
          <w:cantSplit/>
        </w:trPr>
        <w:tc>
          <w:tcPr>
            <w:tcW w:w="1727" w:type="pct"/>
            <w:vAlign w:val="center"/>
          </w:tcPr>
          <w:p w14:paraId="1A7E03B3" w14:textId="77777777" w:rsidR="00142DF8" w:rsidRPr="00697CC8" w:rsidRDefault="00142DF8" w:rsidP="00520C34">
            <w:pPr>
              <w:pStyle w:val="TableText"/>
              <w:keepNext/>
              <w:rPr>
                <w:rFonts w:cs="Arial"/>
              </w:rPr>
            </w:pPr>
            <w:r w:rsidRPr="00697CC8">
              <w:rPr>
                <w:rFonts w:cs="Arial"/>
              </w:rPr>
              <w:t>QALYs</w:t>
            </w:r>
          </w:p>
        </w:tc>
        <w:tc>
          <w:tcPr>
            <w:tcW w:w="1217" w:type="pct"/>
            <w:vAlign w:val="center"/>
          </w:tcPr>
          <w:p w14:paraId="6F60B314" w14:textId="53BA09FB" w:rsidR="00142DF8" w:rsidRPr="00697CC8" w:rsidRDefault="00142DF8" w:rsidP="00520C34">
            <w:pPr>
              <w:pStyle w:val="TableText"/>
              <w:keepNext/>
              <w:jc w:val="center"/>
              <w:rPr>
                <w:rFonts w:cs="Arial"/>
              </w:rPr>
            </w:pPr>
            <w:r w:rsidRPr="00697CC8">
              <w:rPr>
                <w:rFonts w:cs="Arial"/>
              </w:rPr>
              <w:t>12.</w:t>
            </w:r>
            <w:r>
              <w:rPr>
                <w:rFonts w:cs="Arial"/>
              </w:rPr>
              <w:t>94</w:t>
            </w:r>
          </w:p>
        </w:tc>
        <w:tc>
          <w:tcPr>
            <w:tcW w:w="1218" w:type="pct"/>
            <w:vAlign w:val="center"/>
          </w:tcPr>
          <w:p w14:paraId="6BC30A49" w14:textId="2CDFFDAD" w:rsidR="00142DF8" w:rsidRPr="00697CC8" w:rsidRDefault="00142DF8" w:rsidP="00520C34">
            <w:pPr>
              <w:pStyle w:val="TableText"/>
              <w:keepNext/>
              <w:jc w:val="center"/>
              <w:rPr>
                <w:rFonts w:cs="Arial"/>
              </w:rPr>
            </w:pPr>
            <w:r>
              <w:rPr>
                <w:rFonts w:cs="Arial"/>
              </w:rPr>
              <w:t>12.87</w:t>
            </w:r>
          </w:p>
        </w:tc>
        <w:tc>
          <w:tcPr>
            <w:tcW w:w="838" w:type="pct"/>
            <w:vAlign w:val="center"/>
          </w:tcPr>
          <w:p w14:paraId="346E94D2" w14:textId="12121152" w:rsidR="00142DF8" w:rsidRPr="00697CC8" w:rsidRDefault="00142DF8" w:rsidP="00520C34">
            <w:pPr>
              <w:pStyle w:val="TableText"/>
              <w:keepNext/>
              <w:jc w:val="center"/>
              <w:rPr>
                <w:rFonts w:cs="Arial"/>
              </w:rPr>
            </w:pPr>
            <w:r w:rsidRPr="00697CC8">
              <w:rPr>
                <w:rFonts w:cs="Arial"/>
              </w:rPr>
              <w:t>0.</w:t>
            </w:r>
            <w:r>
              <w:rPr>
                <w:rFonts w:cs="Arial"/>
              </w:rPr>
              <w:t>065</w:t>
            </w:r>
          </w:p>
        </w:tc>
      </w:tr>
      <w:tr w:rsidR="00142DF8" w:rsidRPr="00697CC8" w14:paraId="34266545" w14:textId="77777777" w:rsidTr="00520C34">
        <w:trPr>
          <w:cantSplit/>
        </w:trPr>
        <w:tc>
          <w:tcPr>
            <w:tcW w:w="4162" w:type="pct"/>
            <w:gridSpan w:val="3"/>
            <w:tcBorders>
              <w:bottom w:val="single" w:sz="4" w:space="0" w:color="auto"/>
            </w:tcBorders>
            <w:vAlign w:val="center"/>
          </w:tcPr>
          <w:p w14:paraId="47B5C9F0" w14:textId="77777777" w:rsidR="00142DF8" w:rsidRPr="00697CC8" w:rsidRDefault="00142DF8" w:rsidP="00520C34">
            <w:pPr>
              <w:pStyle w:val="TableText"/>
              <w:keepNext/>
              <w:rPr>
                <w:rFonts w:cs="Arial"/>
              </w:rPr>
            </w:pPr>
            <w:r w:rsidRPr="00697CC8">
              <w:rPr>
                <w:rFonts w:cs="Arial"/>
              </w:rPr>
              <w:t>Incremental cost/QALY gained</w:t>
            </w:r>
          </w:p>
        </w:tc>
        <w:tc>
          <w:tcPr>
            <w:tcW w:w="838" w:type="pct"/>
            <w:tcBorders>
              <w:bottom w:val="single" w:sz="4" w:space="0" w:color="auto"/>
            </w:tcBorders>
            <w:vAlign w:val="center"/>
          </w:tcPr>
          <w:p w14:paraId="2410D0C9" w14:textId="48363842" w:rsidR="00142DF8" w:rsidRPr="00697CC8" w:rsidRDefault="00B603FC" w:rsidP="00520C34">
            <w:pPr>
              <w:pStyle w:val="TableText"/>
              <w:keepNext/>
              <w:jc w:val="center"/>
              <w:rPr>
                <w:rFonts w:cs="Arial"/>
              </w:rPr>
            </w:pPr>
            <w:r w:rsidRPr="008A391B">
              <w:rPr>
                <w:rFonts w:cs="Arial"/>
                <w:b/>
                <w:bCs/>
              </w:rPr>
              <w:t>redacted</w:t>
            </w:r>
            <w:r w:rsidRPr="00B603FC">
              <w:rPr>
                <w:rFonts w:cs="Arial"/>
                <w:vertAlign w:val="superscript"/>
              </w:rPr>
              <w:t xml:space="preserve"> </w:t>
            </w:r>
            <w:r w:rsidR="005938D3" w:rsidRPr="00771162">
              <w:rPr>
                <w:rFonts w:cs="Arial"/>
                <w:vertAlign w:val="superscript"/>
              </w:rPr>
              <w:t>4</w:t>
            </w:r>
          </w:p>
        </w:tc>
      </w:tr>
      <w:tr w:rsidR="00137818" w:rsidRPr="00697CC8" w14:paraId="5578F4BD" w14:textId="77777777" w:rsidTr="00137818">
        <w:trPr>
          <w:cantSplit/>
        </w:trPr>
        <w:tc>
          <w:tcPr>
            <w:tcW w:w="5000" w:type="pct"/>
            <w:gridSpan w:val="4"/>
            <w:shd w:val="clear" w:color="auto" w:fill="B4C6E7" w:themeFill="accent5" w:themeFillTint="66"/>
            <w:vAlign w:val="center"/>
          </w:tcPr>
          <w:p w14:paraId="3D5087DD" w14:textId="56AF2BE9" w:rsidR="00137818" w:rsidRPr="00697CC8" w:rsidRDefault="00137818" w:rsidP="00A95439">
            <w:pPr>
              <w:pStyle w:val="In-tableHeading"/>
              <w:rPr>
                <w:rFonts w:cs="Arial"/>
                <w:szCs w:val="20"/>
              </w:rPr>
            </w:pPr>
            <w:r w:rsidRPr="00697CC8">
              <w:rPr>
                <w:rFonts w:cs="Arial"/>
                <w:szCs w:val="20"/>
              </w:rPr>
              <w:t xml:space="preserve">Results of modelled economic evaluation in the March 2023 </w:t>
            </w:r>
            <w:r w:rsidR="00413942">
              <w:rPr>
                <w:rFonts w:cs="Arial"/>
                <w:szCs w:val="20"/>
              </w:rPr>
              <w:t xml:space="preserve">PBAC </w:t>
            </w:r>
            <w:r w:rsidRPr="00697CC8">
              <w:rPr>
                <w:rFonts w:cs="Arial"/>
                <w:szCs w:val="20"/>
              </w:rPr>
              <w:t>submission</w:t>
            </w:r>
          </w:p>
        </w:tc>
      </w:tr>
      <w:tr w:rsidR="00137818" w:rsidRPr="00697CC8" w14:paraId="4FBD2B98" w14:textId="77777777" w:rsidTr="00A95439">
        <w:trPr>
          <w:cantSplit/>
        </w:trPr>
        <w:tc>
          <w:tcPr>
            <w:tcW w:w="1727" w:type="pct"/>
            <w:shd w:val="clear" w:color="auto" w:fill="B4C6E7" w:themeFill="accent5" w:themeFillTint="66"/>
            <w:vAlign w:val="center"/>
          </w:tcPr>
          <w:p w14:paraId="1C51CD21" w14:textId="77777777" w:rsidR="00137818" w:rsidRPr="00697CC8" w:rsidRDefault="00137818" w:rsidP="00A95439">
            <w:pPr>
              <w:pStyle w:val="TableText"/>
              <w:keepNext/>
              <w:rPr>
                <w:rFonts w:cs="Arial"/>
                <w:highlight w:val="cyan"/>
              </w:rPr>
            </w:pPr>
            <w:r w:rsidRPr="00697CC8">
              <w:rPr>
                <w:rFonts w:cs="Arial"/>
              </w:rPr>
              <w:t>Costs</w:t>
            </w:r>
          </w:p>
        </w:tc>
        <w:tc>
          <w:tcPr>
            <w:tcW w:w="1217" w:type="pct"/>
            <w:shd w:val="clear" w:color="auto" w:fill="B4C6E7" w:themeFill="accent5" w:themeFillTint="66"/>
          </w:tcPr>
          <w:p w14:paraId="093735FF" w14:textId="574C633B" w:rsidR="00137818" w:rsidRPr="00771162" w:rsidRDefault="005F5615" w:rsidP="00A95439">
            <w:pPr>
              <w:pStyle w:val="TableText"/>
              <w:keepNext/>
              <w:jc w:val="center"/>
              <w:rPr>
                <w:rFonts w:cs="Arial"/>
                <w:b/>
                <w:bCs/>
                <w:highlight w:val="cyan"/>
              </w:rPr>
            </w:pPr>
            <w:r w:rsidRPr="00771162">
              <w:rPr>
                <w:rFonts w:cs="Arial"/>
                <w:b/>
                <w:bCs/>
              </w:rPr>
              <w:t>redacted</w:t>
            </w:r>
          </w:p>
        </w:tc>
        <w:tc>
          <w:tcPr>
            <w:tcW w:w="1218" w:type="pct"/>
            <w:shd w:val="clear" w:color="auto" w:fill="B4C6E7" w:themeFill="accent5" w:themeFillTint="66"/>
          </w:tcPr>
          <w:p w14:paraId="261F244C" w14:textId="361F7D9A" w:rsidR="00137818" w:rsidRPr="00697CC8" w:rsidRDefault="00137818" w:rsidP="00A95439">
            <w:pPr>
              <w:pStyle w:val="TableText"/>
              <w:keepNext/>
              <w:jc w:val="center"/>
              <w:rPr>
                <w:rFonts w:cs="Arial"/>
                <w:highlight w:val="cyan"/>
              </w:rPr>
            </w:pPr>
            <w:r w:rsidRPr="00697CC8">
              <w:rPr>
                <w:rFonts w:cs="Arial"/>
              </w:rPr>
              <w:t>$37,929</w:t>
            </w:r>
          </w:p>
        </w:tc>
        <w:tc>
          <w:tcPr>
            <w:tcW w:w="838" w:type="pct"/>
            <w:shd w:val="clear" w:color="auto" w:fill="B4C6E7" w:themeFill="accent5" w:themeFillTint="66"/>
          </w:tcPr>
          <w:p w14:paraId="13C034FB" w14:textId="2887B2C4" w:rsidR="00137818" w:rsidRPr="00697CC8" w:rsidRDefault="005F5615" w:rsidP="00A95439">
            <w:pPr>
              <w:pStyle w:val="TableText"/>
              <w:keepNext/>
              <w:jc w:val="center"/>
              <w:rPr>
                <w:rFonts w:cs="Arial"/>
                <w:highlight w:val="cyan"/>
              </w:rPr>
            </w:pPr>
            <w:r w:rsidRPr="008A391B">
              <w:rPr>
                <w:rFonts w:cs="Arial"/>
                <w:b/>
                <w:bCs/>
              </w:rPr>
              <w:t>redacted</w:t>
            </w:r>
            <w:r w:rsidRPr="00697CC8" w:rsidDel="005F5615">
              <w:rPr>
                <w:rFonts w:cs="Arial"/>
              </w:rPr>
              <w:t xml:space="preserve"> </w:t>
            </w:r>
          </w:p>
        </w:tc>
      </w:tr>
      <w:tr w:rsidR="00137818" w:rsidRPr="00697CC8" w14:paraId="1DBA31EF" w14:textId="77777777" w:rsidTr="00A95439">
        <w:trPr>
          <w:cantSplit/>
        </w:trPr>
        <w:tc>
          <w:tcPr>
            <w:tcW w:w="1727" w:type="pct"/>
            <w:shd w:val="clear" w:color="auto" w:fill="B4C6E7" w:themeFill="accent5" w:themeFillTint="66"/>
            <w:vAlign w:val="center"/>
          </w:tcPr>
          <w:p w14:paraId="273E38B7" w14:textId="77777777" w:rsidR="00137818" w:rsidRPr="00697CC8" w:rsidRDefault="00137818" w:rsidP="00A95439">
            <w:pPr>
              <w:pStyle w:val="TableText"/>
              <w:keepNext/>
              <w:rPr>
                <w:rFonts w:cs="Arial"/>
                <w:highlight w:val="cyan"/>
              </w:rPr>
            </w:pPr>
            <w:r w:rsidRPr="00697CC8">
              <w:rPr>
                <w:rFonts w:cs="Arial"/>
              </w:rPr>
              <w:t>QALYs</w:t>
            </w:r>
          </w:p>
        </w:tc>
        <w:tc>
          <w:tcPr>
            <w:tcW w:w="1217" w:type="pct"/>
            <w:shd w:val="clear" w:color="auto" w:fill="B4C6E7" w:themeFill="accent5" w:themeFillTint="66"/>
          </w:tcPr>
          <w:p w14:paraId="19129DCC" w14:textId="77777777" w:rsidR="00137818" w:rsidRPr="00697CC8" w:rsidRDefault="00137818" w:rsidP="00A95439">
            <w:pPr>
              <w:pStyle w:val="TableText"/>
              <w:keepNext/>
              <w:jc w:val="center"/>
              <w:rPr>
                <w:rFonts w:cs="Arial"/>
                <w:highlight w:val="cyan"/>
              </w:rPr>
            </w:pPr>
            <w:r w:rsidRPr="00697CC8">
              <w:rPr>
                <w:rFonts w:cs="Arial"/>
              </w:rPr>
              <w:t>12.36</w:t>
            </w:r>
          </w:p>
        </w:tc>
        <w:tc>
          <w:tcPr>
            <w:tcW w:w="1218" w:type="pct"/>
            <w:shd w:val="clear" w:color="auto" w:fill="B4C6E7" w:themeFill="accent5" w:themeFillTint="66"/>
          </w:tcPr>
          <w:p w14:paraId="7A3C625D" w14:textId="77777777" w:rsidR="00137818" w:rsidRPr="00697CC8" w:rsidRDefault="00137818" w:rsidP="00A95439">
            <w:pPr>
              <w:pStyle w:val="TableText"/>
              <w:keepNext/>
              <w:jc w:val="center"/>
              <w:rPr>
                <w:rFonts w:cs="Arial"/>
                <w:highlight w:val="cyan"/>
              </w:rPr>
            </w:pPr>
            <w:r w:rsidRPr="00697CC8">
              <w:rPr>
                <w:rFonts w:cs="Arial"/>
              </w:rPr>
              <w:t>11.32</w:t>
            </w:r>
          </w:p>
        </w:tc>
        <w:tc>
          <w:tcPr>
            <w:tcW w:w="838" w:type="pct"/>
            <w:shd w:val="clear" w:color="auto" w:fill="B4C6E7" w:themeFill="accent5" w:themeFillTint="66"/>
          </w:tcPr>
          <w:p w14:paraId="79968005" w14:textId="77777777" w:rsidR="00137818" w:rsidRPr="00697CC8" w:rsidRDefault="00137818" w:rsidP="00A95439">
            <w:pPr>
              <w:pStyle w:val="TableText"/>
              <w:keepNext/>
              <w:jc w:val="center"/>
              <w:rPr>
                <w:rFonts w:cs="Arial"/>
                <w:highlight w:val="cyan"/>
              </w:rPr>
            </w:pPr>
            <w:r w:rsidRPr="00697CC8">
              <w:rPr>
                <w:rFonts w:cs="Arial"/>
              </w:rPr>
              <w:t>1.04</w:t>
            </w:r>
          </w:p>
        </w:tc>
      </w:tr>
      <w:tr w:rsidR="00137818" w:rsidRPr="00697CC8" w14:paraId="6F2EE777" w14:textId="77777777" w:rsidTr="00137818">
        <w:trPr>
          <w:cantSplit/>
        </w:trPr>
        <w:tc>
          <w:tcPr>
            <w:tcW w:w="4162" w:type="pct"/>
            <w:gridSpan w:val="3"/>
            <w:shd w:val="clear" w:color="auto" w:fill="B4C6E7" w:themeFill="accent5" w:themeFillTint="66"/>
            <w:vAlign w:val="center"/>
          </w:tcPr>
          <w:p w14:paraId="0B1A69E1" w14:textId="77777777" w:rsidR="00137818" w:rsidRPr="00697CC8" w:rsidRDefault="00137818" w:rsidP="00A95439">
            <w:pPr>
              <w:pStyle w:val="TableText"/>
              <w:keepNext/>
              <w:rPr>
                <w:rFonts w:cs="Arial"/>
                <w:highlight w:val="cyan"/>
              </w:rPr>
            </w:pPr>
            <w:r w:rsidRPr="00697CC8">
              <w:rPr>
                <w:rFonts w:cs="Arial"/>
              </w:rPr>
              <w:t>Incremental cost/QALY gained</w:t>
            </w:r>
          </w:p>
        </w:tc>
        <w:tc>
          <w:tcPr>
            <w:tcW w:w="838" w:type="pct"/>
            <w:shd w:val="clear" w:color="auto" w:fill="B4C6E7" w:themeFill="accent5" w:themeFillTint="66"/>
            <w:vAlign w:val="center"/>
          </w:tcPr>
          <w:p w14:paraId="0F5C9E3B" w14:textId="63B8116D" w:rsidR="00137818" w:rsidRPr="00697CC8" w:rsidRDefault="00B603FC" w:rsidP="00A95439">
            <w:pPr>
              <w:pStyle w:val="TableText"/>
              <w:keepNext/>
              <w:jc w:val="center"/>
              <w:rPr>
                <w:rFonts w:cs="Arial"/>
              </w:rPr>
            </w:pPr>
            <w:r w:rsidRPr="008A391B">
              <w:rPr>
                <w:rFonts w:cs="Arial"/>
                <w:b/>
                <w:bCs/>
              </w:rPr>
              <w:t>redacted</w:t>
            </w:r>
            <w:r w:rsidRPr="00697CC8" w:rsidDel="005938D3">
              <w:rPr>
                <w:rFonts w:cs="Arial"/>
              </w:rPr>
              <w:t xml:space="preserve"> </w:t>
            </w:r>
            <w:r w:rsidR="005938D3" w:rsidRPr="00771162">
              <w:rPr>
                <w:rFonts w:cs="Arial"/>
                <w:vertAlign w:val="superscript"/>
              </w:rPr>
              <w:t>5</w:t>
            </w:r>
          </w:p>
        </w:tc>
      </w:tr>
    </w:tbl>
    <w:p w14:paraId="3D508E23" w14:textId="7055F24E" w:rsidR="00137818" w:rsidRPr="00B1011F" w:rsidRDefault="00137818" w:rsidP="00E454C1">
      <w:pPr>
        <w:pStyle w:val="TableFigureFooter"/>
        <w:spacing w:before="0"/>
        <w:rPr>
          <w:sz w:val="20"/>
        </w:rPr>
      </w:pPr>
      <w:r w:rsidRPr="00056ECF">
        <w:t xml:space="preserve">Source: </w:t>
      </w:r>
      <w:r w:rsidRPr="000E600F">
        <w:t xml:space="preserve">Table compiled during the evaluation, </w:t>
      </w:r>
      <w:r>
        <w:t xml:space="preserve">based on Table 3.45 to Table 3.47, p258 of the </w:t>
      </w:r>
      <w:r w:rsidR="000315EA">
        <w:t xml:space="preserve">PBAC </w:t>
      </w:r>
      <w:r>
        <w:t>resubmission</w:t>
      </w:r>
      <w:r w:rsidR="000315EA">
        <w:t>, the</w:t>
      </w:r>
      <w:r>
        <w:t xml:space="preserve"> </w:t>
      </w:r>
      <w:r w:rsidRPr="00B776F7">
        <w:t>“OlympiA Economic Evaluation” workbook</w:t>
      </w:r>
      <w:r w:rsidR="000315EA">
        <w:t xml:space="preserve"> included with the PBAC resubmission</w:t>
      </w:r>
      <w:r>
        <w:t>; and the March 2023 submission</w:t>
      </w:r>
      <w:r w:rsidR="000315EA">
        <w:t xml:space="preserve"> to the PBAC</w:t>
      </w:r>
      <w:r>
        <w:t xml:space="preserve">. </w:t>
      </w:r>
    </w:p>
    <w:p w14:paraId="5669AFAD" w14:textId="47E1F5A1" w:rsidR="00137818" w:rsidRDefault="00137818" w:rsidP="00137818">
      <w:pPr>
        <w:pStyle w:val="TableFigureFooter"/>
      </w:pPr>
      <w:r w:rsidRPr="00A95439">
        <w:t xml:space="preserve">AEs = adverse events; </w:t>
      </w:r>
      <w:r w:rsidR="008C513A" w:rsidRPr="00A95439">
        <w:rPr>
          <w:lang w:val="en-US"/>
        </w:rPr>
        <w:t>g</w:t>
      </w:r>
      <w:r w:rsidR="008C513A" w:rsidRPr="00A95439">
        <w:rPr>
          <w:i/>
          <w:iCs/>
          <w:lang w:val="en-US"/>
        </w:rPr>
        <w:t>BRCA</w:t>
      </w:r>
      <w:r w:rsidR="008C513A" w:rsidRPr="00A95439">
        <w:t xml:space="preserve"> = germline </w:t>
      </w:r>
      <w:r w:rsidR="008C513A" w:rsidRPr="00A95439">
        <w:rPr>
          <w:i/>
          <w:iCs/>
        </w:rPr>
        <w:t>BReast CAncer</w:t>
      </w:r>
      <w:r w:rsidR="008C513A" w:rsidRPr="00A95439">
        <w:t xml:space="preserve"> gene; </w:t>
      </w:r>
      <w:r w:rsidRPr="00A95439">
        <w:t>HER2 = human epidermal growth factor receptor 2; HR = hormone receptor; IDFS = invasive disease-free survival; LYs = life years; QALYs = quality-adjusted life years.</w:t>
      </w:r>
    </w:p>
    <w:p w14:paraId="18C2827F" w14:textId="77777777" w:rsidR="000315EA" w:rsidRDefault="000315EA" w:rsidP="000315EA">
      <w:pPr>
        <w:pStyle w:val="TableFigureFooter"/>
      </w:pPr>
      <w:r w:rsidRPr="00137818">
        <w:rPr>
          <w:shd w:val="clear" w:color="auto" w:fill="B4C6E7" w:themeFill="accent5" w:themeFillTint="66"/>
        </w:rPr>
        <w:t>Blue</w:t>
      </w:r>
      <w:r w:rsidRPr="002950D2">
        <w:t xml:space="preserve"> shading indicates </w:t>
      </w:r>
      <w:r>
        <w:t>results presented in the previous submission</w:t>
      </w:r>
      <w:r w:rsidRPr="002950D2">
        <w:t xml:space="preserve">.  </w:t>
      </w:r>
    </w:p>
    <w:p w14:paraId="2F856D52" w14:textId="5B8B4F44" w:rsidR="00137818" w:rsidRPr="00747081" w:rsidRDefault="00137818" w:rsidP="00137818">
      <w:pPr>
        <w:pStyle w:val="TableFigureFooter"/>
        <w:rPr>
          <w:i/>
          <w:iCs/>
        </w:rPr>
      </w:pPr>
      <w:r w:rsidRPr="00747081">
        <w:rPr>
          <w:vertAlign w:val="superscript"/>
        </w:rPr>
        <w:t>a</w:t>
      </w:r>
      <w:r w:rsidRPr="00747081">
        <w:t xml:space="preserve"> </w:t>
      </w:r>
      <w:r w:rsidR="00F70051">
        <w:t>All outcomes and costs, except the cost of testing, reflect the comparison of olaparib versus placebo treatment in patients with g</w:t>
      </w:r>
      <w:r w:rsidR="00F70051" w:rsidRPr="00F70051">
        <w:rPr>
          <w:i/>
          <w:iCs/>
        </w:rPr>
        <w:t>BRCA</w:t>
      </w:r>
      <w:r w:rsidR="00F70051">
        <w:t xml:space="preserve"> variants. </w:t>
      </w:r>
      <w:r w:rsidR="00722171">
        <w:t xml:space="preserve">Test costs </w:t>
      </w:r>
      <w:r w:rsidRPr="00747081">
        <w:t>in the trial-based analysis</w:t>
      </w:r>
      <w:r w:rsidR="00722171">
        <w:t xml:space="preserve"> were estimated by</w:t>
      </w:r>
      <w:r w:rsidRPr="00747081">
        <w:t xml:space="preserve"> multipl</w:t>
      </w:r>
      <w:r w:rsidR="00722171">
        <w:t>ying</w:t>
      </w:r>
      <w:r w:rsidRPr="00747081">
        <w:t xml:space="preserve"> the unit cost (</w:t>
      </w:r>
      <w:r w:rsidRPr="00747081">
        <w:rPr>
          <w:i/>
          <w:iCs/>
        </w:rPr>
        <w:t>i.e.</w:t>
      </w:r>
      <w:r w:rsidRPr="00747081">
        <w:t xml:space="preserve"> $1,000) with the testing rate in the proposed scenario (</w:t>
      </w:r>
      <w:r w:rsidR="00427BFF" w:rsidRPr="00427BFF">
        <w:rPr>
          <w:b/>
          <w:bCs/>
        </w:rPr>
        <w:t>redacted</w:t>
      </w:r>
      <w:r w:rsidRPr="00747081">
        <w:t xml:space="preserve">%) for the olaparib arm and with the testing rate in the HR+ HER2- patients in the current scenario (20%) for the placebo arm. </w:t>
      </w:r>
      <w:r>
        <w:rPr>
          <w:i/>
          <w:iCs/>
        </w:rPr>
        <w:t>Th</w:t>
      </w:r>
      <w:r w:rsidR="00356E73">
        <w:rPr>
          <w:i/>
          <w:iCs/>
        </w:rPr>
        <w:t>is</w:t>
      </w:r>
      <w:r w:rsidR="00722171">
        <w:rPr>
          <w:i/>
          <w:iCs/>
        </w:rPr>
        <w:t xml:space="preserve"> inappropriately reflect</w:t>
      </w:r>
      <w:r w:rsidR="00356E73">
        <w:rPr>
          <w:i/>
          <w:iCs/>
        </w:rPr>
        <w:t>s</w:t>
      </w:r>
      <w:r w:rsidR="00722171">
        <w:rPr>
          <w:i/>
          <w:iCs/>
        </w:rPr>
        <w:t xml:space="preserve"> the cost of testing across the population eligible for testing – not the cost of testing required to find one patient with a g</w:t>
      </w:r>
      <w:r w:rsidR="00722171" w:rsidRPr="000E600F">
        <w:rPr>
          <w:i/>
        </w:rPr>
        <w:t>BRCA</w:t>
      </w:r>
      <w:r w:rsidR="00722171">
        <w:rPr>
          <w:i/>
          <w:iCs/>
        </w:rPr>
        <w:t xml:space="preserve"> variant who is eligible for treatment. </w:t>
      </w:r>
    </w:p>
    <w:p w14:paraId="228BD775" w14:textId="77777777" w:rsidR="00722171" w:rsidRPr="00722171" w:rsidRDefault="00722171" w:rsidP="00722171">
      <w:pPr>
        <w:pStyle w:val="TableFigureFooter"/>
        <w:rPr>
          <w:i/>
          <w:iCs/>
        </w:rPr>
      </w:pPr>
      <w:r w:rsidRPr="00722171">
        <w:rPr>
          <w:vertAlign w:val="superscript"/>
        </w:rPr>
        <w:t>b</w:t>
      </w:r>
      <w:r>
        <w:t xml:space="preserve"> </w:t>
      </w:r>
      <w:r w:rsidRPr="00722171">
        <w:rPr>
          <w:i/>
          <w:iCs/>
        </w:rPr>
        <w:t xml:space="preserve">Analyses were revised to apply the cost of testing required to identify </w:t>
      </w:r>
      <w:r>
        <w:rPr>
          <w:i/>
          <w:iCs/>
        </w:rPr>
        <w:t>one treated patient</w:t>
      </w:r>
      <w:r w:rsidRPr="00722171">
        <w:rPr>
          <w:i/>
          <w:iCs/>
        </w:rPr>
        <w:t xml:space="preserve"> and to correct for an underestimation in the extent of testing across HER2− HR+ (20% uptake) and TNBC (74% uptake) patients in the comparator arm (weighted extent of current testing should be approximately 53%).</w:t>
      </w:r>
    </w:p>
    <w:p w14:paraId="2CBFA4BA" w14:textId="21B68601" w:rsidR="00137818" w:rsidRDefault="00722171" w:rsidP="00137818">
      <w:pPr>
        <w:pStyle w:val="TableFigureFooter"/>
        <w:rPr>
          <w:i/>
          <w:iCs/>
        </w:rPr>
      </w:pPr>
      <w:r>
        <w:rPr>
          <w:i/>
          <w:iCs/>
          <w:vertAlign w:val="superscript"/>
        </w:rPr>
        <w:t>c</w:t>
      </w:r>
      <w:r w:rsidRPr="00747081">
        <w:rPr>
          <w:i/>
          <w:iCs/>
          <w:vertAlign w:val="superscript"/>
        </w:rPr>
        <w:t xml:space="preserve"> </w:t>
      </w:r>
      <w:r w:rsidR="00137818" w:rsidRPr="00747081">
        <w:rPr>
          <w:i/>
          <w:iCs/>
        </w:rPr>
        <w:t xml:space="preserve">Additional analysis performed during the evaluation. </w:t>
      </w:r>
    </w:p>
    <w:p w14:paraId="4F1F476A" w14:textId="452DADDF" w:rsidR="00137818" w:rsidRDefault="00722171" w:rsidP="00137818">
      <w:pPr>
        <w:pStyle w:val="TableFigureFooter"/>
      </w:pPr>
      <w:r>
        <w:rPr>
          <w:vertAlign w:val="superscript"/>
        </w:rPr>
        <w:t>d</w:t>
      </w:r>
      <w:r w:rsidRPr="00697CC8">
        <w:t xml:space="preserve"> </w:t>
      </w:r>
      <w:r w:rsidR="00137818" w:rsidRPr="00697CC8">
        <w:t xml:space="preserve">Modelled costs and outcomes are for the </w:t>
      </w:r>
      <w:r w:rsidR="00356E73">
        <w:t>‘</w:t>
      </w:r>
      <w:r w:rsidR="00137818" w:rsidRPr="00697CC8">
        <w:t>t</w:t>
      </w:r>
      <w:r w:rsidR="00356E73">
        <w:t>reated’</w:t>
      </w:r>
      <w:r w:rsidR="00137818" w:rsidRPr="00697CC8">
        <w:t xml:space="preserve"> population and </w:t>
      </w:r>
      <w:r>
        <w:t xml:space="preserve">so </w:t>
      </w:r>
      <w:r w:rsidR="00137818" w:rsidRPr="00697CC8">
        <w:t xml:space="preserve">do not include patients without </w:t>
      </w:r>
      <w:r w:rsidR="00A95439">
        <w:t>g</w:t>
      </w:r>
      <w:r w:rsidR="00137818" w:rsidRPr="00747081">
        <w:rPr>
          <w:i/>
          <w:iCs/>
        </w:rPr>
        <w:t>BRCA</w:t>
      </w:r>
      <w:r w:rsidR="00137818" w:rsidRPr="00697CC8">
        <w:t xml:space="preserve"> mutations. This has been done so that the costs</w:t>
      </w:r>
      <w:r w:rsidR="00356E73">
        <w:t xml:space="preserve"> and outcomes</w:t>
      </w:r>
      <w:r w:rsidR="00137818" w:rsidRPr="00697CC8">
        <w:t xml:space="preserve"> relate to a full course of olaparib </w:t>
      </w:r>
      <w:r w:rsidR="00137818" w:rsidRPr="004664CA">
        <w:rPr>
          <w:i/>
          <w:iCs/>
        </w:rPr>
        <w:t>vs</w:t>
      </w:r>
      <w:r w:rsidR="00137818">
        <w:rPr>
          <w:i/>
          <w:iCs/>
        </w:rPr>
        <w:t>.</w:t>
      </w:r>
      <w:r w:rsidR="00137818" w:rsidRPr="00697CC8">
        <w:t xml:space="preserve"> a full course of placebo per patient</w:t>
      </w:r>
      <w:r w:rsidR="00356E73">
        <w:t xml:space="preserve"> (which is not intuitive from the absolute and incremental costs and outcomes in the </w:t>
      </w:r>
      <w:r w:rsidR="00C55C98">
        <w:t xml:space="preserve">analysis of the </w:t>
      </w:r>
      <w:r w:rsidR="00356E73">
        <w:t>‘tested’ population)</w:t>
      </w:r>
      <w:r w:rsidR="00137818" w:rsidRPr="00697CC8">
        <w:t xml:space="preserve">. </w:t>
      </w:r>
    </w:p>
    <w:p w14:paraId="17418DBB" w14:textId="77777777" w:rsidR="00CD1AE8" w:rsidRDefault="00CD1AE8" w:rsidP="00CD1AE8">
      <w:pPr>
        <w:pStyle w:val="TableFigureFooter"/>
        <w:rPr>
          <w:i/>
          <w:iCs/>
        </w:rPr>
      </w:pPr>
      <w:r w:rsidRPr="009B7852">
        <w:rPr>
          <w:i/>
          <w:iCs/>
          <w:vertAlign w:val="superscript"/>
        </w:rPr>
        <w:t xml:space="preserve">1 </w:t>
      </w:r>
      <w:r>
        <w:rPr>
          <w:i/>
          <w:iCs/>
        </w:rPr>
        <w:t>$75,000 to &lt; $95,000</w:t>
      </w:r>
    </w:p>
    <w:p w14:paraId="48E708E3" w14:textId="46536706" w:rsidR="00CD1AE8" w:rsidRDefault="00CD1AE8" w:rsidP="00CD1AE8">
      <w:pPr>
        <w:pStyle w:val="TableFigureFooter"/>
        <w:rPr>
          <w:i/>
          <w:iCs/>
        </w:rPr>
      </w:pPr>
      <w:r>
        <w:rPr>
          <w:i/>
          <w:iCs/>
          <w:vertAlign w:val="superscript"/>
        </w:rPr>
        <w:t xml:space="preserve">2 </w:t>
      </w:r>
      <w:r>
        <w:rPr>
          <w:i/>
          <w:iCs/>
        </w:rPr>
        <w:t>$95,000 to &lt; $115,000</w:t>
      </w:r>
    </w:p>
    <w:p w14:paraId="73530313" w14:textId="6BE2E136" w:rsidR="00CD1AE8" w:rsidRDefault="00CD1AE8" w:rsidP="00CD1AE8">
      <w:pPr>
        <w:pStyle w:val="TableFigureFooter"/>
        <w:rPr>
          <w:i/>
          <w:iCs/>
        </w:rPr>
      </w:pPr>
      <w:r w:rsidRPr="00771162">
        <w:rPr>
          <w:i/>
          <w:iCs/>
          <w:vertAlign w:val="superscript"/>
        </w:rPr>
        <w:t>3</w:t>
      </w:r>
      <w:r>
        <w:rPr>
          <w:i/>
          <w:iCs/>
        </w:rPr>
        <w:t xml:space="preserve"> </w:t>
      </w:r>
      <w:r w:rsidR="00875C78">
        <w:rPr>
          <w:i/>
          <w:iCs/>
        </w:rPr>
        <w:t>$</w:t>
      </w:r>
      <w:r>
        <w:rPr>
          <w:i/>
          <w:iCs/>
        </w:rPr>
        <w:t>555,000 to &lt;</w:t>
      </w:r>
      <w:r w:rsidR="00A2356E">
        <w:rPr>
          <w:i/>
          <w:iCs/>
        </w:rPr>
        <w:t xml:space="preserve"> </w:t>
      </w:r>
      <w:r>
        <w:rPr>
          <w:i/>
          <w:iCs/>
        </w:rPr>
        <w:t>$655,000</w:t>
      </w:r>
    </w:p>
    <w:p w14:paraId="0CAA4B94" w14:textId="0520E02D" w:rsidR="00875C78" w:rsidRDefault="00875C78" w:rsidP="00CD1AE8">
      <w:pPr>
        <w:pStyle w:val="TableFigureFooter"/>
      </w:pPr>
      <w:r w:rsidRPr="00771162">
        <w:rPr>
          <w:vertAlign w:val="superscript"/>
        </w:rPr>
        <w:t>4</w:t>
      </w:r>
      <w:r w:rsidRPr="00697CC8">
        <w:t>$3</w:t>
      </w:r>
      <w:r>
        <w:t>5,000 to &lt;</w:t>
      </w:r>
      <w:r w:rsidR="0017587E">
        <w:t xml:space="preserve"> </w:t>
      </w:r>
      <w:r>
        <w:t>$45,000</w:t>
      </w:r>
    </w:p>
    <w:p w14:paraId="6F04F89D" w14:textId="27891941" w:rsidR="005938D3" w:rsidRPr="00747081" w:rsidRDefault="005938D3" w:rsidP="00CD1AE8">
      <w:pPr>
        <w:pStyle w:val="TableFigureFooter"/>
        <w:rPr>
          <w:i/>
          <w:iCs/>
        </w:rPr>
      </w:pPr>
      <w:r w:rsidRPr="00771162">
        <w:rPr>
          <w:vertAlign w:val="superscript"/>
        </w:rPr>
        <w:t>5</w:t>
      </w:r>
      <w:r>
        <w:t xml:space="preserve"> </w:t>
      </w:r>
      <w:r w:rsidRPr="00697CC8">
        <w:t>$4</w:t>
      </w:r>
      <w:r>
        <w:t>5,000 to &lt;</w:t>
      </w:r>
      <w:r w:rsidR="0017587E">
        <w:t xml:space="preserve"> </w:t>
      </w:r>
      <w:r>
        <w:t>$55,000</w:t>
      </w:r>
    </w:p>
    <w:p w14:paraId="578A33D5" w14:textId="27440912" w:rsidR="00137818" w:rsidRDefault="00CF3B48" w:rsidP="00137818">
      <w:r w:rsidRPr="00CF3B48">
        <w:lastRenderedPageBreak/>
        <w:t xml:space="preserve">The disaggregated results of the economic evaluation in terms of health care outcomes and costs </w:t>
      </w:r>
      <w:r w:rsidR="00700A4F">
        <w:t>in the treated</w:t>
      </w:r>
      <w:r w:rsidRPr="00CF3B48">
        <w:t xml:space="preserve"> population are summarised in </w:t>
      </w:r>
      <w:r w:rsidR="00C225B4">
        <w:fldChar w:fldCharType="begin"/>
      </w:r>
      <w:r w:rsidR="00C225B4">
        <w:instrText xml:space="preserve"> REF _Ref144290310 \h </w:instrText>
      </w:r>
      <w:r w:rsidR="00C225B4">
        <w:fldChar w:fldCharType="separate"/>
      </w:r>
      <w:r w:rsidR="00D8423B" w:rsidRPr="00CE28E3">
        <w:t>Table</w:t>
      </w:r>
      <w:r w:rsidR="00D8423B">
        <w:t> </w:t>
      </w:r>
      <w:r w:rsidR="00D8423B">
        <w:rPr>
          <w:noProof/>
        </w:rPr>
        <w:t>8</w:t>
      </w:r>
      <w:r w:rsidR="00C225B4">
        <w:fldChar w:fldCharType="end"/>
      </w:r>
      <w:r w:rsidRPr="00CF3B48">
        <w:t>.</w:t>
      </w:r>
      <w:r>
        <w:t xml:space="preserve"> </w:t>
      </w:r>
    </w:p>
    <w:p w14:paraId="0923B504" w14:textId="1E2FD7A0" w:rsidR="00137818" w:rsidRPr="007E1DDC" w:rsidRDefault="00C225B4" w:rsidP="007E1DDC">
      <w:pPr>
        <w:pStyle w:val="Caption"/>
      </w:pPr>
      <w:bookmarkStart w:id="38" w:name="_Ref144290310"/>
      <w:r w:rsidRPr="00CE28E3">
        <w:t>Table</w:t>
      </w:r>
      <w:r>
        <w:t> </w:t>
      </w:r>
      <w:r>
        <w:fldChar w:fldCharType="begin"/>
      </w:r>
      <w:r>
        <w:instrText>SEQ Table \* ARABIC</w:instrText>
      </w:r>
      <w:r>
        <w:fldChar w:fldCharType="separate"/>
      </w:r>
      <w:r w:rsidR="00D8423B">
        <w:rPr>
          <w:noProof/>
        </w:rPr>
        <w:t>8</w:t>
      </w:r>
      <w:r>
        <w:fldChar w:fldCharType="end"/>
      </w:r>
      <w:bookmarkEnd w:id="38"/>
      <w:r w:rsidRPr="00CE28E3">
        <w:tab/>
      </w:r>
      <w:r w:rsidR="007E1DDC" w:rsidRPr="007E1DDC">
        <w:rPr>
          <w:rStyle w:val="TableFigureFooterChar"/>
          <w:rFonts w:cs="Times New Roman"/>
          <w:snapToGrid/>
          <w:sz w:val="20"/>
          <w:lang w:eastAsia="en-US"/>
        </w:rPr>
        <w:t>Disaggregated costs and outcomes, treated population</w:t>
      </w:r>
      <w:r w:rsidR="00661DB5">
        <w:rPr>
          <w:rStyle w:val="TableFigureFooterChar"/>
          <w:rFonts w:cs="Times New Roman"/>
          <w:snapToGrid/>
          <w:sz w:val="20"/>
          <w:lang w:eastAsia="en-US"/>
        </w:rPr>
        <w:t xml:space="preserve"> (discounted)</w:t>
      </w:r>
    </w:p>
    <w:tbl>
      <w:tblPr>
        <w:tblStyle w:val="TableGrid"/>
        <w:tblW w:w="0" w:type="auto"/>
        <w:tblLook w:val="04A0" w:firstRow="1" w:lastRow="0" w:firstColumn="1" w:lastColumn="0" w:noHBand="0" w:noVBand="1"/>
      </w:tblPr>
      <w:tblGrid>
        <w:gridCol w:w="3255"/>
        <w:gridCol w:w="1440"/>
        <w:gridCol w:w="1440"/>
        <w:gridCol w:w="1230"/>
        <w:gridCol w:w="1651"/>
      </w:tblGrid>
      <w:tr w:rsidR="00137818" w:rsidRPr="00FE6CB5" w14:paraId="262D296A" w14:textId="77777777" w:rsidTr="007E1DDC">
        <w:tc>
          <w:tcPr>
            <w:tcW w:w="3255" w:type="dxa"/>
            <w:tcBorders>
              <w:bottom w:val="single" w:sz="4" w:space="0" w:color="auto"/>
            </w:tcBorders>
            <w:vAlign w:val="center"/>
          </w:tcPr>
          <w:p w14:paraId="39E40B62" w14:textId="77777777" w:rsidR="00137818" w:rsidRPr="00FE6CB5" w:rsidRDefault="00137818" w:rsidP="00A95439">
            <w:pPr>
              <w:pStyle w:val="In-tableHeading"/>
            </w:pPr>
            <w:r w:rsidRPr="00FE6CB5">
              <w:t>Resource item</w:t>
            </w:r>
          </w:p>
        </w:tc>
        <w:tc>
          <w:tcPr>
            <w:tcW w:w="1440" w:type="dxa"/>
            <w:tcBorders>
              <w:bottom w:val="single" w:sz="4" w:space="0" w:color="auto"/>
            </w:tcBorders>
            <w:vAlign w:val="center"/>
          </w:tcPr>
          <w:p w14:paraId="7C957987" w14:textId="77777777" w:rsidR="00137818" w:rsidRPr="00FE6CB5" w:rsidRDefault="00137818" w:rsidP="00A95439">
            <w:pPr>
              <w:pStyle w:val="In-tableHeading"/>
              <w:jc w:val="center"/>
            </w:pPr>
            <w:r w:rsidRPr="00FE6CB5">
              <w:t>Olaparib</w:t>
            </w:r>
          </w:p>
        </w:tc>
        <w:tc>
          <w:tcPr>
            <w:tcW w:w="1440" w:type="dxa"/>
            <w:tcBorders>
              <w:bottom w:val="single" w:sz="4" w:space="0" w:color="auto"/>
            </w:tcBorders>
            <w:vAlign w:val="center"/>
          </w:tcPr>
          <w:p w14:paraId="0D642276" w14:textId="77777777" w:rsidR="00137818" w:rsidRPr="00FE6CB5" w:rsidRDefault="00137818" w:rsidP="00A95439">
            <w:pPr>
              <w:pStyle w:val="In-tableHeading"/>
              <w:jc w:val="center"/>
            </w:pPr>
            <w:r w:rsidRPr="00FE6CB5">
              <w:t>Placebo</w:t>
            </w:r>
          </w:p>
        </w:tc>
        <w:tc>
          <w:tcPr>
            <w:tcW w:w="1230" w:type="dxa"/>
            <w:tcBorders>
              <w:bottom w:val="single" w:sz="4" w:space="0" w:color="auto"/>
            </w:tcBorders>
            <w:vAlign w:val="center"/>
          </w:tcPr>
          <w:p w14:paraId="558ACA6E" w14:textId="77777777" w:rsidR="00137818" w:rsidRPr="00FE6CB5" w:rsidRDefault="00137818" w:rsidP="00A95439">
            <w:pPr>
              <w:pStyle w:val="In-tableHeading"/>
              <w:jc w:val="center"/>
            </w:pPr>
            <w:r w:rsidRPr="00FE6CB5">
              <w:t>Increment</w:t>
            </w:r>
          </w:p>
        </w:tc>
        <w:tc>
          <w:tcPr>
            <w:tcW w:w="1651" w:type="dxa"/>
            <w:tcBorders>
              <w:bottom w:val="single" w:sz="4" w:space="0" w:color="auto"/>
            </w:tcBorders>
            <w:vAlign w:val="center"/>
          </w:tcPr>
          <w:p w14:paraId="4884B554" w14:textId="77777777" w:rsidR="00137818" w:rsidRPr="00FE6CB5" w:rsidRDefault="00137818" w:rsidP="00A95439">
            <w:pPr>
              <w:pStyle w:val="In-tableHeading"/>
              <w:jc w:val="center"/>
            </w:pPr>
            <w:r w:rsidRPr="00FE6CB5">
              <w:t>% of increment</w:t>
            </w:r>
          </w:p>
        </w:tc>
      </w:tr>
      <w:tr w:rsidR="007E1DDC" w:rsidRPr="00FE6CB5" w14:paraId="10ED6E6C" w14:textId="77777777" w:rsidTr="007E1DDC">
        <w:tc>
          <w:tcPr>
            <w:tcW w:w="3255" w:type="dxa"/>
            <w:tcBorders>
              <w:bottom w:val="single" w:sz="4" w:space="0" w:color="auto"/>
              <w:right w:val="nil"/>
            </w:tcBorders>
            <w:vAlign w:val="center"/>
          </w:tcPr>
          <w:p w14:paraId="3E1F5A6F" w14:textId="697EBE85" w:rsidR="007E1DDC" w:rsidRPr="007E1DDC" w:rsidRDefault="007E1DDC" w:rsidP="00A95439">
            <w:pPr>
              <w:pStyle w:val="In-tableHeading"/>
            </w:pPr>
            <w:r w:rsidRPr="007E1DDC">
              <w:t>Costs</w:t>
            </w:r>
          </w:p>
        </w:tc>
        <w:tc>
          <w:tcPr>
            <w:tcW w:w="1440" w:type="dxa"/>
            <w:tcBorders>
              <w:left w:val="nil"/>
              <w:bottom w:val="single" w:sz="4" w:space="0" w:color="auto"/>
              <w:right w:val="nil"/>
            </w:tcBorders>
            <w:vAlign w:val="center"/>
          </w:tcPr>
          <w:p w14:paraId="53DD1ECD" w14:textId="77777777" w:rsidR="007E1DDC" w:rsidRDefault="007E1DDC" w:rsidP="00A95439">
            <w:pPr>
              <w:pStyle w:val="In-tableHeading"/>
            </w:pPr>
          </w:p>
        </w:tc>
        <w:tc>
          <w:tcPr>
            <w:tcW w:w="1440" w:type="dxa"/>
            <w:tcBorders>
              <w:left w:val="nil"/>
              <w:bottom w:val="single" w:sz="4" w:space="0" w:color="auto"/>
              <w:right w:val="nil"/>
            </w:tcBorders>
            <w:vAlign w:val="center"/>
          </w:tcPr>
          <w:p w14:paraId="64F38D71" w14:textId="77777777" w:rsidR="007E1DDC" w:rsidRDefault="007E1DDC" w:rsidP="00A95439">
            <w:pPr>
              <w:pStyle w:val="In-tableHeading"/>
            </w:pPr>
          </w:p>
        </w:tc>
        <w:tc>
          <w:tcPr>
            <w:tcW w:w="1230" w:type="dxa"/>
            <w:tcBorders>
              <w:left w:val="nil"/>
              <w:bottom w:val="single" w:sz="4" w:space="0" w:color="auto"/>
              <w:right w:val="nil"/>
            </w:tcBorders>
            <w:vAlign w:val="center"/>
          </w:tcPr>
          <w:p w14:paraId="6E860243" w14:textId="77777777" w:rsidR="007E1DDC" w:rsidRDefault="007E1DDC" w:rsidP="00A95439">
            <w:pPr>
              <w:pStyle w:val="In-tableHeading"/>
            </w:pPr>
          </w:p>
        </w:tc>
        <w:tc>
          <w:tcPr>
            <w:tcW w:w="1651" w:type="dxa"/>
            <w:tcBorders>
              <w:left w:val="nil"/>
              <w:bottom w:val="single" w:sz="4" w:space="0" w:color="auto"/>
            </w:tcBorders>
            <w:vAlign w:val="center"/>
          </w:tcPr>
          <w:p w14:paraId="2611B8DB" w14:textId="77777777" w:rsidR="007E1DDC" w:rsidRDefault="007E1DDC" w:rsidP="00A95439">
            <w:pPr>
              <w:pStyle w:val="In-tableHeading"/>
            </w:pPr>
          </w:p>
        </w:tc>
      </w:tr>
      <w:tr w:rsidR="007E1DDC" w:rsidRPr="00FE6CB5" w14:paraId="083A13C4" w14:textId="77777777">
        <w:tc>
          <w:tcPr>
            <w:tcW w:w="3255" w:type="dxa"/>
            <w:vAlign w:val="center"/>
          </w:tcPr>
          <w:p w14:paraId="525A6D9C" w14:textId="7509F4E6" w:rsidR="007E1DDC" w:rsidRPr="00FE6CB5" w:rsidRDefault="000D659D" w:rsidP="00A95439">
            <w:pPr>
              <w:pStyle w:val="TableText"/>
              <w:keepNext/>
            </w:pPr>
            <w:r w:rsidRPr="000D659D">
              <w:rPr>
                <w:lang w:val="en-US"/>
              </w:rPr>
              <w:t>g</w:t>
            </w:r>
            <w:r w:rsidRPr="000D659D">
              <w:rPr>
                <w:i/>
                <w:iCs/>
                <w:lang w:val="en-US"/>
              </w:rPr>
              <w:t>BRCA</w:t>
            </w:r>
            <w:r>
              <w:t xml:space="preserve"> </w:t>
            </w:r>
            <w:r w:rsidR="00700A4F">
              <w:t>t</w:t>
            </w:r>
            <w:r w:rsidR="007E1DDC" w:rsidRPr="00FE6CB5">
              <w:t>esting costs</w:t>
            </w:r>
          </w:p>
        </w:tc>
        <w:tc>
          <w:tcPr>
            <w:tcW w:w="1440" w:type="dxa"/>
            <w:vAlign w:val="center"/>
          </w:tcPr>
          <w:p w14:paraId="722BD59B" w14:textId="27818161" w:rsidR="007E1DDC" w:rsidRPr="00771162" w:rsidRDefault="00FF0DB6" w:rsidP="00A95439">
            <w:pPr>
              <w:pStyle w:val="TableText"/>
              <w:keepNext/>
              <w:jc w:val="right"/>
              <w:rPr>
                <w:b/>
                <w:bCs/>
              </w:rPr>
            </w:pPr>
            <w:r w:rsidRPr="00771162">
              <w:rPr>
                <w:b/>
                <w:bCs/>
              </w:rPr>
              <w:t>redacted</w:t>
            </w:r>
          </w:p>
        </w:tc>
        <w:tc>
          <w:tcPr>
            <w:tcW w:w="1440" w:type="dxa"/>
            <w:vAlign w:val="center"/>
          </w:tcPr>
          <w:p w14:paraId="16AE96A5" w14:textId="4AF8A2A5" w:rsidR="007E1DDC" w:rsidRPr="00FE6CB5" w:rsidRDefault="007E1DDC" w:rsidP="00A95439">
            <w:pPr>
              <w:pStyle w:val="TableText"/>
              <w:keepNext/>
              <w:jc w:val="right"/>
            </w:pPr>
            <w:r w:rsidRPr="00F4227E">
              <w:t>$8,605</w:t>
            </w:r>
          </w:p>
        </w:tc>
        <w:tc>
          <w:tcPr>
            <w:tcW w:w="1230" w:type="dxa"/>
            <w:vAlign w:val="center"/>
          </w:tcPr>
          <w:p w14:paraId="42D5EAD1" w14:textId="2E4D269A" w:rsidR="007E1DDC" w:rsidRPr="00FE6CB5" w:rsidRDefault="00FF0DB6" w:rsidP="00A95439">
            <w:pPr>
              <w:pStyle w:val="TableText"/>
              <w:keepNext/>
              <w:jc w:val="right"/>
            </w:pPr>
            <w:r w:rsidRPr="008A391B">
              <w:rPr>
                <w:b/>
                <w:bCs/>
              </w:rPr>
              <w:t>redacted</w:t>
            </w:r>
          </w:p>
        </w:tc>
        <w:tc>
          <w:tcPr>
            <w:tcW w:w="1651" w:type="dxa"/>
            <w:vAlign w:val="center"/>
          </w:tcPr>
          <w:p w14:paraId="239E3A94" w14:textId="77777777" w:rsidR="007E1DDC" w:rsidRPr="00FE6CB5" w:rsidRDefault="007E1DDC" w:rsidP="00A95439">
            <w:pPr>
              <w:pStyle w:val="TableText"/>
              <w:keepNext/>
              <w:jc w:val="right"/>
            </w:pPr>
            <w:r w:rsidRPr="00F4227E">
              <w:t>16.4%</w:t>
            </w:r>
          </w:p>
        </w:tc>
      </w:tr>
      <w:tr w:rsidR="00137818" w:rsidRPr="00FE6CB5" w14:paraId="500919A1" w14:textId="77777777" w:rsidTr="007E1DDC">
        <w:tc>
          <w:tcPr>
            <w:tcW w:w="3255" w:type="dxa"/>
            <w:tcBorders>
              <w:bottom w:val="single" w:sz="4" w:space="0" w:color="auto"/>
            </w:tcBorders>
            <w:vAlign w:val="center"/>
          </w:tcPr>
          <w:p w14:paraId="2D9A8F71" w14:textId="77777777" w:rsidR="00137818" w:rsidRPr="00FE6CB5" w:rsidRDefault="00137818" w:rsidP="00A95439">
            <w:pPr>
              <w:pStyle w:val="TableText"/>
              <w:keepNext/>
            </w:pPr>
            <w:r w:rsidRPr="00FE6CB5">
              <w:t>Olaparib</w:t>
            </w:r>
          </w:p>
        </w:tc>
        <w:tc>
          <w:tcPr>
            <w:tcW w:w="1440" w:type="dxa"/>
            <w:tcBorders>
              <w:bottom w:val="single" w:sz="4" w:space="0" w:color="auto"/>
            </w:tcBorders>
            <w:vAlign w:val="center"/>
          </w:tcPr>
          <w:p w14:paraId="1D7DA3EA" w14:textId="7631FDC0" w:rsidR="00137818" w:rsidRPr="00FE6CB5" w:rsidRDefault="00FF0DB6" w:rsidP="00A95439">
            <w:pPr>
              <w:pStyle w:val="TableText"/>
              <w:keepNext/>
              <w:jc w:val="right"/>
            </w:pPr>
            <w:r w:rsidRPr="008A391B">
              <w:rPr>
                <w:b/>
                <w:bCs/>
              </w:rPr>
              <w:t>redacted</w:t>
            </w:r>
          </w:p>
        </w:tc>
        <w:tc>
          <w:tcPr>
            <w:tcW w:w="1440" w:type="dxa"/>
            <w:tcBorders>
              <w:bottom w:val="single" w:sz="4" w:space="0" w:color="auto"/>
            </w:tcBorders>
            <w:vAlign w:val="center"/>
          </w:tcPr>
          <w:p w14:paraId="780614E2" w14:textId="1B9F10A4" w:rsidR="00137818" w:rsidRPr="00FE6CB5" w:rsidRDefault="00137818" w:rsidP="00A95439">
            <w:pPr>
              <w:pStyle w:val="TableText"/>
              <w:keepNext/>
              <w:jc w:val="right"/>
            </w:pPr>
            <w:r>
              <w:t>$0</w:t>
            </w:r>
          </w:p>
        </w:tc>
        <w:tc>
          <w:tcPr>
            <w:tcW w:w="1230" w:type="dxa"/>
            <w:tcBorders>
              <w:bottom w:val="single" w:sz="4" w:space="0" w:color="auto"/>
            </w:tcBorders>
            <w:vAlign w:val="center"/>
          </w:tcPr>
          <w:p w14:paraId="1C5C09E1" w14:textId="210FA192" w:rsidR="00137818" w:rsidRPr="00FE6CB5" w:rsidRDefault="00FF0DB6" w:rsidP="00A95439">
            <w:pPr>
              <w:pStyle w:val="TableText"/>
              <w:keepNext/>
              <w:jc w:val="right"/>
              <w:rPr>
                <w:rFonts w:eastAsiaTheme="majorEastAsia"/>
              </w:rPr>
            </w:pPr>
            <w:r w:rsidRPr="008A391B">
              <w:rPr>
                <w:b/>
                <w:bCs/>
              </w:rPr>
              <w:t>redacted</w:t>
            </w:r>
          </w:p>
        </w:tc>
        <w:tc>
          <w:tcPr>
            <w:tcW w:w="1651" w:type="dxa"/>
            <w:tcBorders>
              <w:bottom w:val="single" w:sz="4" w:space="0" w:color="auto"/>
            </w:tcBorders>
            <w:vAlign w:val="center"/>
          </w:tcPr>
          <w:p w14:paraId="11F3C63F" w14:textId="77777777" w:rsidR="00137818" w:rsidRPr="00FE6CB5" w:rsidRDefault="00137818" w:rsidP="00A95439">
            <w:pPr>
              <w:pStyle w:val="TableText"/>
              <w:keepNext/>
              <w:jc w:val="right"/>
              <w:rPr>
                <w:rFonts w:eastAsiaTheme="majorEastAsia"/>
              </w:rPr>
            </w:pPr>
            <w:r>
              <w:t>94.7%</w:t>
            </w:r>
          </w:p>
        </w:tc>
      </w:tr>
      <w:tr w:rsidR="00137818" w:rsidRPr="00FE6CB5" w14:paraId="24CF3250" w14:textId="77777777" w:rsidTr="007E1DDC">
        <w:tc>
          <w:tcPr>
            <w:tcW w:w="3255" w:type="dxa"/>
            <w:tcBorders>
              <w:bottom w:val="nil"/>
            </w:tcBorders>
            <w:vAlign w:val="center"/>
          </w:tcPr>
          <w:p w14:paraId="08291EEB" w14:textId="77777777" w:rsidR="00137818" w:rsidRPr="00FE6CB5" w:rsidRDefault="00137818" w:rsidP="00A95439">
            <w:pPr>
              <w:pStyle w:val="TableText"/>
              <w:keepNext/>
            </w:pPr>
            <w:r w:rsidRPr="00FE6CB5">
              <w:t xml:space="preserve">Subsequent anticancer treatment </w:t>
            </w:r>
          </w:p>
        </w:tc>
        <w:tc>
          <w:tcPr>
            <w:tcW w:w="1440" w:type="dxa"/>
            <w:tcBorders>
              <w:bottom w:val="nil"/>
            </w:tcBorders>
            <w:vAlign w:val="center"/>
          </w:tcPr>
          <w:p w14:paraId="2C93C04A" w14:textId="6FB61B67" w:rsidR="00137818" w:rsidRPr="00FE6CB5" w:rsidRDefault="00FF0DB6" w:rsidP="00A95439">
            <w:pPr>
              <w:pStyle w:val="TableText"/>
              <w:keepNext/>
              <w:jc w:val="right"/>
              <w:rPr>
                <w:highlight w:val="yellow"/>
              </w:rPr>
            </w:pPr>
            <w:r w:rsidRPr="008A391B">
              <w:rPr>
                <w:b/>
                <w:bCs/>
              </w:rPr>
              <w:t>redacted</w:t>
            </w:r>
          </w:p>
        </w:tc>
        <w:tc>
          <w:tcPr>
            <w:tcW w:w="1440" w:type="dxa"/>
            <w:tcBorders>
              <w:bottom w:val="nil"/>
            </w:tcBorders>
            <w:vAlign w:val="center"/>
          </w:tcPr>
          <w:p w14:paraId="3B44A316" w14:textId="7EE97644" w:rsidR="00137818" w:rsidRPr="00FE6CB5" w:rsidRDefault="00137818" w:rsidP="00A95439">
            <w:pPr>
              <w:pStyle w:val="TableText"/>
              <w:keepNext/>
              <w:jc w:val="right"/>
              <w:rPr>
                <w:highlight w:val="yellow"/>
              </w:rPr>
            </w:pPr>
            <w:r w:rsidRPr="00F4227E">
              <w:t>$9,370</w:t>
            </w:r>
          </w:p>
        </w:tc>
        <w:tc>
          <w:tcPr>
            <w:tcW w:w="1230" w:type="dxa"/>
            <w:tcBorders>
              <w:bottom w:val="nil"/>
            </w:tcBorders>
            <w:vAlign w:val="center"/>
          </w:tcPr>
          <w:p w14:paraId="5331526A" w14:textId="1595CDB0" w:rsidR="00137818" w:rsidRPr="00FE6CB5" w:rsidRDefault="00BD4639" w:rsidP="00A95439">
            <w:pPr>
              <w:pStyle w:val="TableText"/>
              <w:keepNext/>
              <w:jc w:val="right"/>
              <w:rPr>
                <w:highlight w:val="yellow"/>
              </w:rPr>
            </w:pPr>
            <w:r w:rsidRPr="008A391B">
              <w:rPr>
                <w:b/>
                <w:bCs/>
              </w:rPr>
              <w:t>redacted</w:t>
            </w:r>
          </w:p>
        </w:tc>
        <w:tc>
          <w:tcPr>
            <w:tcW w:w="1651" w:type="dxa"/>
            <w:tcBorders>
              <w:bottom w:val="nil"/>
            </w:tcBorders>
            <w:vAlign w:val="center"/>
          </w:tcPr>
          <w:p w14:paraId="26339B07" w14:textId="194A8982" w:rsidR="00137818" w:rsidRPr="00FE6CB5" w:rsidRDefault="007E1DDC" w:rsidP="00A95439">
            <w:pPr>
              <w:pStyle w:val="TableText"/>
              <w:keepNext/>
              <w:jc w:val="right"/>
              <w:rPr>
                <w:highlight w:val="yellow"/>
              </w:rPr>
            </w:pPr>
            <w:r>
              <w:t>−</w:t>
            </w:r>
            <w:r w:rsidR="00137818" w:rsidRPr="00F4227E">
              <w:t>6.4%</w:t>
            </w:r>
          </w:p>
        </w:tc>
      </w:tr>
      <w:tr w:rsidR="00137818" w:rsidRPr="00FE6CB5" w14:paraId="3D0623FC" w14:textId="77777777" w:rsidTr="007E1DDC">
        <w:tc>
          <w:tcPr>
            <w:tcW w:w="3255" w:type="dxa"/>
            <w:tcBorders>
              <w:top w:val="nil"/>
              <w:bottom w:val="nil"/>
            </w:tcBorders>
            <w:vAlign w:val="center"/>
          </w:tcPr>
          <w:p w14:paraId="3BC9E794" w14:textId="77777777" w:rsidR="00137818" w:rsidRPr="00FE6CB5" w:rsidRDefault="00137818" w:rsidP="00A95439">
            <w:pPr>
              <w:pStyle w:val="TableText"/>
              <w:keepNext/>
            </w:pPr>
            <w:r>
              <w:t xml:space="preserve">     Non-mBC health state</w:t>
            </w:r>
          </w:p>
        </w:tc>
        <w:tc>
          <w:tcPr>
            <w:tcW w:w="1440" w:type="dxa"/>
            <w:tcBorders>
              <w:top w:val="nil"/>
              <w:bottom w:val="nil"/>
            </w:tcBorders>
            <w:vAlign w:val="center"/>
          </w:tcPr>
          <w:p w14:paraId="4BC5DB4D" w14:textId="2F00981A" w:rsidR="00137818" w:rsidRPr="00F4227E" w:rsidRDefault="00FF0DB6" w:rsidP="00A95439">
            <w:pPr>
              <w:pStyle w:val="TableText"/>
              <w:keepNext/>
              <w:jc w:val="right"/>
            </w:pPr>
            <w:r w:rsidRPr="008A391B">
              <w:rPr>
                <w:b/>
                <w:bCs/>
              </w:rPr>
              <w:t>redacted</w:t>
            </w:r>
          </w:p>
        </w:tc>
        <w:tc>
          <w:tcPr>
            <w:tcW w:w="1440" w:type="dxa"/>
            <w:tcBorders>
              <w:top w:val="nil"/>
              <w:bottom w:val="nil"/>
            </w:tcBorders>
            <w:vAlign w:val="center"/>
          </w:tcPr>
          <w:p w14:paraId="007AFE34" w14:textId="1A195BF3" w:rsidR="00137818" w:rsidRPr="00F4227E" w:rsidRDefault="00137818" w:rsidP="00A95439">
            <w:pPr>
              <w:pStyle w:val="TableText"/>
              <w:keepNext/>
              <w:jc w:val="right"/>
            </w:pPr>
            <w:r>
              <w:t>$455</w:t>
            </w:r>
          </w:p>
        </w:tc>
        <w:tc>
          <w:tcPr>
            <w:tcW w:w="1230" w:type="dxa"/>
            <w:tcBorders>
              <w:top w:val="nil"/>
              <w:bottom w:val="nil"/>
            </w:tcBorders>
            <w:vAlign w:val="center"/>
          </w:tcPr>
          <w:p w14:paraId="0976D395" w14:textId="2CEB950C" w:rsidR="00137818" w:rsidRPr="00F4227E" w:rsidRDefault="00BD4639" w:rsidP="00A95439">
            <w:pPr>
              <w:pStyle w:val="TableText"/>
              <w:keepNext/>
              <w:jc w:val="right"/>
            </w:pPr>
            <w:r w:rsidRPr="008A391B">
              <w:rPr>
                <w:b/>
                <w:bCs/>
              </w:rPr>
              <w:t>redacted</w:t>
            </w:r>
          </w:p>
        </w:tc>
        <w:tc>
          <w:tcPr>
            <w:tcW w:w="1651" w:type="dxa"/>
            <w:tcBorders>
              <w:top w:val="nil"/>
              <w:bottom w:val="nil"/>
            </w:tcBorders>
            <w:vAlign w:val="center"/>
          </w:tcPr>
          <w:p w14:paraId="2E9FA192" w14:textId="461D4AB4" w:rsidR="00137818" w:rsidRPr="00F4227E" w:rsidRDefault="007E1DDC" w:rsidP="00A95439">
            <w:pPr>
              <w:pStyle w:val="TableText"/>
              <w:keepNext/>
              <w:jc w:val="right"/>
            </w:pPr>
            <w:r>
              <w:t>−</w:t>
            </w:r>
            <w:r w:rsidR="00137818">
              <w:t>0.6%</w:t>
            </w:r>
          </w:p>
        </w:tc>
      </w:tr>
      <w:tr w:rsidR="00137818" w:rsidRPr="00FE6CB5" w14:paraId="60056FE5" w14:textId="77777777" w:rsidTr="007E1DDC">
        <w:tc>
          <w:tcPr>
            <w:tcW w:w="3255" w:type="dxa"/>
            <w:tcBorders>
              <w:top w:val="nil"/>
              <w:bottom w:val="single" w:sz="4" w:space="0" w:color="auto"/>
            </w:tcBorders>
            <w:vAlign w:val="center"/>
          </w:tcPr>
          <w:p w14:paraId="2F9F56BF" w14:textId="77777777" w:rsidR="00137818" w:rsidRPr="00FE6CB5" w:rsidRDefault="00137818" w:rsidP="00A95439">
            <w:pPr>
              <w:pStyle w:val="TableText"/>
              <w:keepNext/>
            </w:pPr>
            <w:r>
              <w:t xml:space="preserve">     mBC health state</w:t>
            </w:r>
          </w:p>
        </w:tc>
        <w:tc>
          <w:tcPr>
            <w:tcW w:w="1440" w:type="dxa"/>
            <w:tcBorders>
              <w:top w:val="nil"/>
              <w:bottom w:val="single" w:sz="4" w:space="0" w:color="auto"/>
            </w:tcBorders>
            <w:vAlign w:val="center"/>
          </w:tcPr>
          <w:p w14:paraId="0ECFB79B" w14:textId="64C1A94D" w:rsidR="00137818" w:rsidRPr="00F4227E" w:rsidRDefault="00FF0DB6" w:rsidP="00A95439">
            <w:pPr>
              <w:pStyle w:val="TableText"/>
              <w:keepNext/>
              <w:jc w:val="right"/>
            </w:pPr>
            <w:r w:rsidRPr="008A391B">
              <w:rPr>
                <w:b/>
                <w:bCs/>
              </w:rPr>
              <w:t>redacted</w:t>
            </w:r>
          </w:p>
        </w:tc>
        <w:tc>
          <w:tcPr>
            <w:tcW w:w="1440" w:type="dxa"/>
            <w:tcBorders>
              <w:top w:val="nil"/>
              <w:bottom w:val="single" w:sz="4" w:space="0" w:color="auto"/>
            </w:tcBorders>
            <w:vAlign w:val="center"/>
          </w:tcPr>
          <w:p w14:paraId="51C35D18" w14:textId="25F0895A" w:rsidR="00137818" w:rsidRPr="00F4227E" w:rsidRDefault="00137818" w:rsidP="00A95439">
            <w:pPr>
              <w:pStyle w:val="TableText"/>
              <w:keepNext/>
              <w:jc w:val="right"/>
            </w:pPr>
            <w:r>
              <w:t>$8,915</w:t>
            </w:r>
          </w:p>
        </w:tc>
        <w:tc>
          <w:tcPr>
            <w:tcW w:w="1230" w:type="dxa"/>
            <w:tcBorders>
              <w:top w:val="nil"/>
              <w:bottom w:val="single" w:sz="4" w:space="0" w:color="auto"/>
            </w:tcBorders>
            <w:vAlign w:val="center"/>
          </w:tcPr>
          <w:p w14:paraId="4ED74CDE" w14:textId="4058908B" w:rsidR="00137818" w:rsidRPr="00F4227E" w:rsidRDefault="00BD4639" w:rsidP="00A95439">
            <w:pPr>
              <w:pStyle w:val="TableText"/>
              <w:keepNext/>
              <w:jc w:val="right"/>
            </w:pPr>
            <w:r w:rsidRPr="008A391B">
              <w:rPr>
                <w:b/>
                <w:bCs/>
              </w:rPr>
              <w:t>redacted</w:t>
            </w:r>
          </w:p>
        </w:tc>
        <w:tc>
          <w:tcPr>
            <w:tcW w:w="1651" w:type="dxa"/>
            <w:tcBorders>
              <w:top w:val="nil"/>
              <w:bottom w:val="single" w:sz="4" w:space="0" w:color="auto"/>
            </w:tcBorders>
            <w:vAlign w:val="center"/>
          </w:tcPr>
          <w:p w14:paraId="34ACB0BF" w14:textId="32A29F99" w:rsidR="00137818" w:rsidRPr="00F4227E" w:rsidRDefault="007E1DDC" w:rsidP="00A95439">
            <w:pPr>
              <w:pStyle w:val="TableText"/>
              <w:keepNext/>
              <w:jc w:val="right"/>
            </w:pPr>
            <w:r>
              <w:t>−</w:t>
            </w:r>
            <w:r w:rsidR="00137818">
              <w:t>5.8%</w:t>
            </w:r>
          </w:p>
        </w:tc>
      </w:tr>
      <w:tr w:rsidR="00137818" w:rsidRPr="00FE6CB5" w14:paraId="1F323CA9" w14:textId="77777777" w:rsidTr="007E1DDC">
        <w:tc>
          <w:tcPr>
            <w:tcW w:w="3255" w:type="dxa"/>
            <w:tcBorders>
              <w:bottom w:val="nil"/>
            </w:tcBorders>
            <w:vAlign w:val="center"/>
          </w:tcPr>
          <w:p w14:paraId="4BA27C3B" w14:textId="77777777" w:rsidR="00137818" w:rsidRPr="00FE6CB5" w:rsidRDefault="00137818" w:rsidP="00A95439">
            <w:pPr>
              <w:pStyle w:val="TableText"/>
              <w:keepNext/>
            </w:pPr>
            <w:r w:rsidRPr="00FE6CB5">
              <w:t>Surgery/radiotherapy post</w:t>
            </w:r>
            <w:r>
              <w:t>-</w:t>
            </w:r>
            <w:r w:rsidRPr="00FE6CB5">
              <w:t>recurrence</w:t>
            </w:r>
          </w:p>
        </w:tc>
        <w:tc>
          <w:tcPr>
            <w:tcW w:w="1440" w:type="dxa"/>
            <w:tcBorders>
              <w:bottom w:val="nil"/>
            </w:tcBorders>
            <w:vAlign w:val="center"/>
          </w:tcPr>
          <w:p w14:paraId="3384CDAF" w14:textId="20ADF6D8" w:rsidR="00137818" w:rsidRPr="00FE6CB5" w:rsidRDefault="00FF0DB6" w:rsidP="00A95439">
            <w:pPr>
              <w:pStyle w:val="TableText"/>
              <w:keepNext/>
              <w:jc w:val="right"/>
            </w:pPr>
            <w:r w:rsidRPr="008A391B">
              <w:rPr>
                <w:b/>
                <w:bCs/>
              </w:rPr>
              <w:t>redacted</w:t>
            </w:r>
          </w:p>
        </w:tc>
        <w:tc>
          <w:tcPr>
            <w:tcW w:w="1440" w:type="dxa"/>
            <w:tcBorders>
              <w:bottom w:val="nil"/>
            </w:tcBorders>
            <w:vAlign w:val="center"/>
          </w:tcPr>
          <w:p w14:paraId="08D37BC8" w14:textId="41F906CB" w:rsidR="00137818" w:rsidRPr="00FE6CB5" w:rsidRDefault="00137818" w:rsidP="00A95439">
            <w:pPr>
              <w:pStyle w:val="TableText"/>
              <w:keepNext/>
              <w:jc w:val="right"/>
            </w:pPr>
            <w:r w:rsidRPr="00F4227E">
              <w:t>$1,382</w:t>
            </w:r>
          </w:p>
        </w:tc>
        <w:tc>
          <w:tcPr>
            <w:tcW w:w="1230" w:type="dxa"/>
            <w:tcBorders>
              <w:bottom w:val="nil"/>
            </w:tcBorders>
            <w:vAlign w:val="center"/>
          </w:tcPr>
          <w:p w14:paraId="34406CE4" w14:textId="4FDF5F55" w:rsidR="00137818" w:rsidRPr="00FE6CB5" w:rsidRDefault="00BD4639" w:rsidP="00A95439">
            <w:pPr>
              <w:pStyle w:val="TableText"/>
              <w:keepNext/>
              <w:jc w:val="right"/>
            </w:pPr>
            <w:r w:rsidRPr="008A391B">
              <w:rPr>
                <w:b/>
                <w:bCs/>
              </w:rPr>
              <w:t>redacted</w:t>
            </w:r>
          </w:p>
        </w:tc>
        <w:tc>
          <w:tcPr>
            <w:tcW w:w="1651" w:type="dxa"/>
            <w:tcBorders>
              <w:bottom w:val="nil"/>
            </w:tcBorders>
            <w:vAlign w:val="center"/>
          </w:tcPr>
          <w:p w14:paraId="269E3A60" w14:textId="313F2D9C" w:rsidR="00137818" w:rsidRPr="00FE6CB5" w:rsidRDefault="007E1DDC" w:rsidP="00A95439">
            <w:pPr>
              <w:pStyle w:val="TableText"/>
              <w:keepNext/>
              <w:jc w:val="right"/>
            </w:pPr>
            <w:r>
              <w:t>−</w:t>
            </w:r>
            <w:r w:rsidR="00137818" w:rsidRPr="00F4227E">
              <w:t>0.8%</w:t>
            </w:r>
          </w:p>
        </w:tc>
      </w:tr>
      <w:tr w:rsidR="00137818" w:rsidRPr="00FE6CB5" w14:paraId="6081ECEE" w14:textId="77777777" w:rsidTr="007E1DDC">
        <w:tc>
          <w:tcPr>
            <w:tcW w:w="3255" w:type="dxa"/>
            <w:tcBorders>
              <w:top w:val="nil"/>
              <w:bottom w:val="nil"/>
            </w:tcBorders>
            <w:vAlign w:val="center"/>
          </w:tcPr>
          <w:p w14:paraId="654DD351" w14:textId="77777777" w:rsidR="00137818" w:rsidRPr="00FE6CB5" w:rsidRDefault="00137818" w:rsidP="00A95439">
            <w:pPr>
              <w:pStyle w:val="TableText"/>
              <w:keepNext/>
            </w:pPr>
            <w:r>
              <w:t xml:space="preserve">     Non-mBC health state</w:t>
            </w:r>
          </w:p>
        </w:tc>
        <w:tc>
          <w:tcPr>
            <w:tcW w:w="1440" w:type="dxa"/>
            <w:tcBorders>
              <w:top w:val="nil"/>
              <w:bottom w:val="nil"/>
            </w:tcBorders>
            <w:vAlign w:val="center"/>
          </w:tcPr>
          <w:p w14:paraId="75B0C5E8" w14:textId="3EA16C02" w:rsidR="00137818" w:rsidRPr="00F4227E" w:rsidRDefault="00FF0DB6" w:rsidP="00A95439">
            <w:pPr>
              <w:pStyle w:val="TableText"/>
              <w:keepNext/>
              <w:jc w:val="right"/>
            </w:pPr>
            <w:r w:rsidRPr="008A391B">
              <w:rPr>
                <w:b/>
                <w:bCs/>
              </w:rPr>
              <w:t>redacted</w:t>
            </w:r>
          </w:p>
        </w:tc>
        <w:tc>
          <w:tcPr>
            <w:tcW w:w="1440" w:type="dxa"/>
            <w:tcBorders>
              <w:top w:val="nil"/>
              <w:bottom w:val="nil"/>
            </w:tcBorders>
            <w:vAlign w:val="center"/>
          </w:tcPr>
          <w:p w14:paraId="19A53C4F" w14:textId="20E68264" w:rsidR="00137818" w:rsidRPr="00F4227E" w:rsidRDefault="00137818" w:rsidP="00A95439">
            <w:pPr>
              <w:pStyle w:val="TableText"/>
              <w:keepNext/>
              <w:jc w:val="right"/>
            </w:pPr>
            <w:r>
              <w:t>$375</w:t>
            </w:r>
          </w:p>
        </w:tc>
        <w:tc>
          <w:tcPr>
            <w:tcW w:w="1230" w:type="dxa"/>
            <w:tcBorders>
              <w:top w:val="nil"/>
              <w:bottom w:val="nil"/>
            </w:tcBorders>
            <w:vAlign w:val="center"/>
          </w:tcPr>
          <w:p w14:paraId="7307733F" w14:textId="5209AF33" w:rsidR="00137818" w:rsidRPr="00F4227E" w:rsidRDefault="00BD4639" w:rsidP="00A95439">
            <w:pPr>
              <w:pStyle w:val="TableText"/>
              <w:keepNext/>
              <w:jc w:val="right"/>
            </w:pPr>
            <w:r w:rsidRPr="008A391B">
              <w:rPr>
                <w:b/>
                <w:bCs/>
              </w:rPr>
              <w:t>redacted</w:t>
            </w:r>
          </w:p>
        </w:tc>
        <w:tc>
          <w:tcPr>
            <w:tcW w:w="1651" w:type="dxa"/>
            <w:tcBorders>
              <w:top w:val="nil"/>
              <w:bottom w:val="nil"/>
            </w:tcBorders>
            <w:vAlign w:val="center"/>
          </w:tcPr>
          <w:p w14:paraId="7FDD1BD6" w14:textId="5FE1A755" w:rsidR="00137818" w:rsidRPr="00F4227E" w:rsidRDefault="007E1DDC" w:rsidP="00A95439">
            <w:pPr>
              <w:pStyle w:val="TableText"/>
              <w:keepNext/>
              <w:jc w:val="right"/>
            </w:pPr>
            <w:r>
              <w:t>−</w:t>
            </w:r>
            <w:r w:rsidR="00137818">
              <w:t>0.2%</w:t>
            </w:r>
          </w:p>
        </w:tc>
      </w:tr>
      <w:tr w:rsidR="00137818" w:rsidRPr="00FE6CB5" w14:paraId="7F40E5A9" w14:textId="77777777" w:rsidTr="007E1DDC">
        <w:tc>
          <w:tcPr>
            <w:tcW w:w="3255" w:type="dxa"/>
            <w:tcBorders>
              <w:top w:val="nil"/>
            </w:tcBorders>
            <w:vAlign w:val="center"/>
          </w:tcPr>
          <w:p w14:paraId="736B60F7" w14:textId="77777777" w:rsidR="00137818" w:rsidRPr="00FE6CB5" w:rsidRDefault="00137818" w:rsidP="00A95439">
            <w:pPr>
              <w:pStyle w:val="TableText"/>
              <w:keepNext/>
            </w:pPr>
            <w:r>
              <w:t xml:space="preserve">     mBC health state</w:t>
            </w:r>
          </w:p>
        </w:tc>
        <w:tc>
          <w:tcPr>
            <w:tcW w:w="1440" w:type="dxa"/>
            <w:tcBorders>
              <w:top w:val="nil"/>
            </w:tcBorders>
            <w:vAlign w:val="center"/>
          </w:tcPr>
          <w:p w14:paraId="7973E341" w14:textId="58930826" w:rsidR="00137818" w:rsidRPr="00F4227E" w:rsidRDefault="00FF0DB6" w:rsidP="00A95439">
            <w:pPr>
              <w:pStyle w:val="TableText"/>
              <w:keepNext/>
              <w:jc w:val="right"/>
            </w:pPr>
            <w:r w:rsidRPr="008A391B">
              <w:rPr>
                <w:b/>
                <w:bCs/>
              </w:rPr>
              <w:t>redacted</w:t>
            </w:r>
          </w:p>
        </w:tc>
        <w:tc>
          <w:tcPr>
            <w:tcW w:w="1440" w:type="dxa"/>
            <w:tcBorders>
              <w:top w:val="nil"/>
            </w:tcBorders>
            <w:vAlign w:val="center"/>
          </w:tcPr>
          <w:p w14:paraId="6DE23ACF" w14:textId="0952F330" w:rsidR="00137818" w:rsidRPr="00F4227E" w:rsidRDefault="00137818" w:rsidP="00A95439">
            <w:pPr>
              <w:pStyle w:val="TableText"/>
              <w:keepNext/>
              <w:jc w:val="right"/>
            </w:pPr>
            <w:r>
              <w:t>$1,006</w:t>
            </w:r>
          </w:p>
        </w:tc>
        <w:tc>
          <w:tcPr>
            <w:tcW w:w="1230" w:type="dxa"/>
            <w:tcBorders>
              <w:top w:val="nil"/>
            </w:tcBorders>
            <w:vAlign w:val="center"/>
          </w:tcPr>
          <w:p w14:paraId="1AF6FD54" w14:textId="446CB521" w:rsidR="00137818" w:rsidRPr="00F4227E" w:rsidRDefault="00BD4639" w:rsidP="00A95439">
            <w:pPr>
              <w:pStyle w:val="TableText"/>
              <w:keepNext/>
              <w:jc w:val="right"/>
            </w:pPr>
            <w:r w:rsidRPr="008A391B">
              <w:rPr>
                <w:b/>
                <w:bCs/>
              </w:rPr>
              <w:t>redacted</w:t>
            </w:r>
          </w:p>
        </w:tc>
        <w:tc>
          <w:tcPr>
            <w:tcW w:w="1651" w:type="dxa"/>
            <w:tcBorders>
              <w:top w:val="nil"/>
            </w:tcBorders>
            <w:vAlign w:val="center"/>
          </w:tcPr>
          <w:p w14:paraId="1061492C" w14:textId="26540B88" w:rsidR="00137818" w:rsidRPr="00F4227E" w:rsidRDefault="007E1DDC" w:rsidP="00A95439">
            <w:pPr>
              <w:pStyle w:val="TableText"/>
              <w:keepNext/>
              <w:jc w:val="right"/>
            </w:pPr>
            <w:r>
              <w:t>−</w:t>
            </w:r>
            <w:r w:rsidR="00137818">
              <w:t>0.7%</w:t>
            </w:r>
          </w:p>
        </w:tc>
      </w:tr>
      <w:tr w:rsidR="00137818" w:rsidRPr="00FE6CB5" w14:paraId="31B2D70E" w14:textId="77777777" w:rsidTr="007E1DDC">
        <w:tc>
          <w:tcPr>
            <w:tcW w:w="3255" w:type="dxa"/>
            <w:vAlign w:val="center"/>
          </w:tcPr>
          <w:p w14:paraId="77B78BF0" w14:textId="77777777" w:rsidR="00137818" w:rsidRPr="00FE6CB5" w:rsidRDefault="00137818" w:rsidP="00A95439">
            <w:pPr>
              <w:pStyle w:val="TableText"/>
              <w:keepNext/>
            </w:pPr>
            <w:r w:rsidRPr="00FE6CB5">
              <w:t>Adverse events</w:t>
            </w:r>
          </w:p>
        </w:tc>
        <w:tc>
          <w:tcPr>
            <w:tcW w:w="1440" w:type="dxa"/>
            <w:vAlign w:val="center"/>
          </w:tcPr>
          <w:p w14:paraId="578066A7" w14:textId="196D7980" w:rsidR="00137818" w:rsidRPr="00FE6CB5" w:rsidRDefault="00FF0DB6" w:rsidP="00A95439">
            <w:pPr>
              <w:pStyle w:val="TableText"/>
              <w:keepNext/>
              <w:jc w:val="right"/>
            </w:pPr>
            <w:r w:rsidRPr="008A391B">
              <w:rPr>
                <w:b/>
                <w:bCs/>
              </w:rPr>
              <w:t>redacted</w:t>
            </w:r>
          </w:p>
        </w:tc>
        <w:tc>
          <w:tcPr>
            <w:tcW w:w="1440" w:type="dxa"/>
            <w:vAlign w:val="center"/>
          </w:tcPr>
          <w:p w14:paraId="73EF073B" w14:textId="636808C1" w:rsidR="00137818" w:rsidRPr="00FE6CB5" w:rsidRDefault="00137818" w:rsidP="00A95439">
            <w:pPr>
              <w:pStyle w:val="TableText"/>
              <w:keepNext/>
              <w:jc w:val="right"/>
            </w:pPr>
            <w:r w:rsidRPr="00F4227E">
              <w:t>$846</w:t>
            </w:r>
          </w:p>
        </w:tc>
        <w:tc>
          <w:tcPr>
            <w:tcW w:w="1230" w:type="dxa"/>
            <w:vAlign w:val="center"/>
          </w:tcPr>
          <w:p w14:paraId="33F55839" w14:textId="17DAD40E" w:rsidR="00137818" w:rsidRPr="00FE6CB5" w:rsidRDefault="00455526" w:rsidP="00A95439">
            <w:pPr>
              <w:pStyle w:val="TableText"/>
              <w:keepNext/>
              <w:jc w:val="right"/>
            </w:pPr>
            <w:r w:rsidRPr="008A391B">
              <w:rPr>
                <w:b/>
                <w:bCs/>
              </w:rPr>
              <w:t>redacted</w:t>
            </w:r>
          </w:p>
        </w:tc>
        <w:tc>
          <w:tcPr>
            <w:tcW w:w="1651" w:type="dxa"/>
            <w:vAlign w:val="center"/>
          </w:tcPr>
          <w:p w14:paraId="66464ADC" w14:textId="77777777" w:rsidR="00137818" w:rsidRPr="00FE6CB5" w:rsidRDefault="00137818" w:rsidP="00A95439">
            <w:pPr>
              <w:pStyle w:val="TableText"/>
              <w:keepNext/>
              <w:jc w:val="right"/>
            </w:pPr>
            <w:r>
              <w:t>0.4%</w:t>
            </w:r>
          </w:p>
        </w:tc>
      </w:tr>
      <w:tr w:rsidR="00137818" w:rsidRPr="00FE6CB5" w14:paraId="73D18F1C" w14:textId="77777777" w:rsidTr="007E1DDC">
        <w:tc>
          <w:tcPr>
            <w:tcW w:w="3255" w:type="dxa"/>
            <w:vAlign w:val="center"/>
          </w:tcPr>
          <w:p w14:paraId="34F0F49A" w14:textId="77777777" w:rsidR="00137818" w:rsidRPr="00FE6CB5" w:rsidRDefault="00137818" w:rsidP="00A95439">
            <w:pPr>
              <w:pStyle w:val="TableText"/>
              <w:keepNext/>
            </w:pPr>
            <w:r w:rsidRPr="00FE6CB5">
              <w:t>Disease monitoring</w:t>
            </w:r>
          </w:p>
        </w:tc>
        <w:tc>
          <w:tcPr>
            <w:tcW w:w="1440" w:type="dxa"/>
            <w:vAlign w:val="center"/>
          </w:tcPr>
          <w:p w14:paraId="1AE47A7C" w14:textId="4105EB89" w:rsidR="00137818" w:rsidRPr="00FE6CB5" w:rsidRDefault="00FF0DB6" w:rsidP="00A95439">
            <w:pPr>
              <w:pStyle w:val="TableText"/>
              <w:keepNext/>
              <w:jc w:val="right"/>
            </w:pPr>
            <w:r w:rsidRPr="008A391B">
              <w:rPr>
                <w:b/>
                <w:bCs/>
              </w:rPr>
              <w:t>redacted</w:t>
            </w:r>
          </w:p>
        </w:tc>
        <w:tc>
          <w:tcPr>
            <w:tcW w:w="1440" w:type="dxa"/>
            <w:vAlign w:val="center"/>
          </w:tcPr>
          <w:p w14:paraId="4A3BA5E9" w14:textId="1538FE60" w:rsidR="00137818" w:rsidRPr="00FE6CB5" w:rsidRDefault="00137818" w:rsidP="00A95439">
            <w:pPr>
              <w:pStyle w:val="TableText"/>
              <w:keepNext/>
              <w:jc w:val="right"/>
            </w:pPr>
            <w:r w:rsidRPr="00F4227E">
              <w:t>$4,984</w:t>
            </w:r>
          </w:p>
        </w:tc>
        <w:tc>
          <w:tcPr>
            <w:tcW w:w="1230" w:type="dxa"/>
            <w:vAlign w:val="center"/>
          </w:tcPr>
          <w:p w14:paraId="6D58C4B1" w14:textId="2CD48694" w:rsidR="00137818" w:rsidRPr="00FE6CB5" w:rsidRDefault="00455526" w:rsidP="00A95439">
            <w:pPr>
              <w:pStyle w:val="TableText"/>
              <w:keepNext/>
              <w:jc w:val="right"/>
            </w:pPr>
            <w:r w:rsidRPr="008A391B">
              <w:rPr>
                <w:b/>
                <w:bCs/>
              </w:rPr>
              <w:t>redacted</w:t>
            </w:r>
          </w:p>
        </w:tc>
        <w:tc>
          <w:tcPr>
            <w:tcW w:w="1651" w:type="dxa"/>
            <w:vAlign w:val="center"/>
          </w:tcPr>
          <w:p w14:paraId="017EAD78" w14:textId="75D81073" w:rsidR="00137818" w:rsidRPr="00FE6CB5" w:rsidRDefault="007E1DDC" w:rsidP="00A95439">
            <w:pPr>
              <w:pStyle w:val="TableText"/>
              <w:keepNext/>
              <w:jc w:val="right"/>
            </w:pPr>
            <w:r>
              <w:t>−</w:t>
            </w:r>
            <w:r w:rsidR="00137818">
              <w:t>0.7%</w:t>
            </w:r>
          </w:p>
        </w:tc>
      </w:tr>
      <w:tr w:rsidR="00137818" w:rsidRPr="00FE6CB5" w14:paraId="7192266C" w14:textId="77777777" w:rsidTr="007E1DDC">
        <w:tc>
          <w:tcPr>
            <w:tcW w:w="3255" w:type="dxa"/>
            <w:vAlign w:val="center"/>
          </w:tcPr>
          <w:p w14:paraId="496C200E" w14:textId="77777777" w:rsidR="00137818" w:rsidRPr="00FE6CB5" w:rsidRDefault="00137818" w:rsidP="00A95439">
            <w:pPr>
              <w:pStyle w:val="TableText"/>
              <w:keepNext/>
            </w:pPr>
            <w:r w:rsidRPr="00FE6CB5">
              <w:t>Terminal care</w:t>
            </w:r>
          </w:p>
        </w:tc>
        <w:tc>
          <w:tcPr>
            <w:tcW w:w="1440" w:type="dxa"/>
            <w:vAlign w:val="center"/>
          </w:tcPr>
          <w:p w14:paraId="54169A44" w14:textId="703B9768" w:rsidR="00137818" w:rsidRPr="00FE6CB5" w:rsidRDefault="00FF0DB6" w:rsidP="00A95439">
            <w:pPr>
              <w:pStyle w:val="TableText"/>
              <w:keepNext/>
              <w:jc w:val="right"/>
            </w:pPr>
            <w:r w:rsidRPr="008A391B">
              <w:rPr>
                <w:b/>
                <w:bCs/>
              </w:rPr>
              <w:t>redacted</w:t>
            </w:r>
          </w:p>
        </w:tc>
        <w:tc>
          <w:tcPr>
            <w:tcW w:w="1440" w:type="dxa"/>
            <w:vAlign w:val="center"/>
          </w:tcPr>
          <w:p w14:paraId="0229131A" w14:textId="6F459A4D" w:rsidR="00137818" w:rsidRPr="00FE6CB5" w:rsidRDefault="00137818" w:rsidP="00A95439">
            <w:pPr>
              <w:pStyle w:val="TableText"/>
              <w:keepNext/>
              <w:jc w:val="right"/>
            </w:pPr>
            <w:r w:rsidRPr="00F4227E">
              <w:t>$8,866</w:t>
            </w:r>
          </w:p>
        </w:tc>
        <w:tc>
          <w:tcPr>
            <w:tcW w:w="1230" w:type="dxa"/>
            <w:vAlign w:val="center"/>
          </w:tcPr>
          <w:p w14:paraId="7CCE6B3D" w14:textId="7695E0B5" w:rsidR="00137818" w:rsidRPr="00FE6CB5" w:rsidRDefault="00455526" w:rsidP="00A95439">
            <w:pPr>
              <w:pStyle w:val="TableText"/>
              <w:keepNext/>
              <w:jc w:val="right"/>
            </w:pPr>
            <w:r w:rsidRPr="008A391B">
              <w:rPr>
                <w:b/>
                <w:bCs/>
              </w:rPr>
              <w:t>redacted</w:t>
            </w:r>
          </w:p>
        </w:tc>
        <w:tc>
          <w:tcPr>
            <w:tcW w:w="1651" w:type="dxa"/>
            <w:vAlign w:val="center"/>
          </w:tcPr>
          <w:p w14:paraId="15F4F61B" w14:textId="0B558BAC" w:rsidR="00137818" w:rsidRPr="00FE6CB5" w:rsidRDefault="007E1DDC" w:rsidP="00A95439">
            <w:pPr>
              <w:pStyle w:val="TableText"/>
              <w:keepNext/>
              <w:jc w:val="right"/>
            </w:pPr>
            <w:r>
              <w:t>−</w:t>
            </w:r>
            <w:r w:rsidR="00137818" w:rsidRPr="00F4227E">
              <w:t>3.7%</w:t>
            </w:r>
          </w:p>
        </w:tc>
      </w:tr>
      <w:tr w:rsidR="00137818" w:rsidRPr="00F4227E" w14:paraId="3C5450D8" w14:textId="77777777" w:rsidTr="007E1DDC">
        <w:tc>
          <w:tcPr>
            <w:tcW w:w="3255" w:type="dxa"/>
            <w:tcBorders>
              <w:bottom w:val="single" w:sz="4" w:space="0" w:color="auto"/>
            </w:tcBorders>
            <w:vAlign w:val="center"/>
          </w:tcPr>
          <w:p w14:paraId="5CEE8403" w14:textId="77777777" w:rsidR="00137818" w:rsidRPr="00F4227E" w:rsidRDefault="00137818" w:rsidP="00A95439">
            <w:pPr>
              <w:pStyle w:val="TableText"/>
              <w:keepNext/>
              <w:rPr>
                <w:b/>
                <w:bCs/>
              </w:rPr>
            </w:pPr>
            <w:r w:rsidRPr="00F4227E">
              <w:rPr>
                <w:b/>
                <w:bCs/>
              </w:rPr>
              <w:t>Total</w:t>
            </w:r>
          </w:p>
        </w:tc>
        <w:tc>
          <w:tcPr>
            <w:tcW w:w="1440" w:type="dxa"/>
            <w:tcBorders>
              <w:bottom w:val="single" w:sz="4" w:space="0" w:color="auto"/>
            </w:tcBorders>
            <w:vAlign w:val="center"/>
          </w:tcPr>
          <w:p w14:paraId="454B4AAB" w14:textId="4F184F93" w:rsidR="00137818" w:rsidRPr="00F4227E" w:rsidRDefault="00FF0DB6" w:rsidP="00A95439">
            <w:pPr>
              <w:pStyle w:val="TableText"/>
              <w:keepNext/>
              <w:jc w:val="right"/>
              <w:rPr>
                <w:b/>
                <w:bCs/>
              </w:rPr>
            </w:pPr>
            <w:r w:rsidRPr="008A391B">
              <w:rPr>
                <w:b/>
                <w:bCs/>
              </w:rPr>
              <w:t>redacted</w:t>
            </w:r>
          </w:p>
        </w:tc>
        <w:tc>
          <w:tcPr>
            <w:tcW w:w="1440" w:type="dxa"/>
            <w:tcBorders>
              <w:bottom w:val="single" w:sz="4" w:space="0" w:color="auto"/>
            </w:tcBorders>
            <w:vAlign w:val="center"/>
          </w:tcPr>
          <w:p w14:paraId="747C6B51" w14:textId="7C6BF496" w:rsidR="00137818" w:rsidRPr="00F4227E" w:rsidRDefault="00137818" w:rsidP="00A95439">
            <w:pPr>
              <w:pStyle w:val="TableText"/>
              <w:keepNext/>
              <w:jc w:val="right"/>
              <w:rPr>
                <w:b/>
                <w:bCs/>
              </w:rPr>
            </w:pPr>
            <w:r w:rsidRPr="00F4227E">
              <w:rPr>
                <w:b/>
                <w:bCs/>
              </w:rPr>
              <w:t>$34,051</w:t>
            </w:r>
          </w:p>
        </w:tc>
        <w:tc>
          <w:tcPr>
            <w:tcW w:w="1230" w:type="dxa"/>
            <w:tcBorders>
              <w:bottom w:val="single" w:sz="4" w:space="0" w:color="auto"/>
            </w:tcBorders>
            <w:vAlign w:val="center"/>
          </w:tcPr>
          <w:p w14:paraId="642E0386" w14:textId="2FF8FD77" w:rsidR="00137818" w:rsidRPr="00F4227E" w:rsidRDefault="00455526" w:rsidP="00A95439">
            <w:pPr>
              <w:pStyle w:val="TableText"/>
              <w:keepNext/>
              <w:jc w:val="right"/>
              <w:rPr>
                <w:b/>
                <w:bCs/>
              </w:rPr>
            </w:pPr>
            <w:r w:rsidRPr="008A391B">
              <w:rPr>
                <w:b/>
                <w:bCs/>
              </w:rPr>
              <w:t>redacted</w:t>
            </w:r>
          </w:p>
        </w:tc>
        <w:tc>
          <w:tcPr>
            <w:tcW w:w="1651" w:type="dxa"/>
            <w:tcBorders>
              <w:bottom w:val="single" w:sz="4" w:space="0" w:color="auto"/>
            </w:tcBorders>
            <w:vAlign w:val="center"/>
          </w:tcPr>
          <w:p w14:paraId="544A2AAF" w14:textId="77777777" w:rsidR="00137818" w:rsidRPr="00F4227E" w:rsidRDefault="00137818" w:rsidP="00A95439">
            <w:pPr>
              <w:pStyle w:val="TableText"/>
              <w:keepNext/>
              <w:jc w:val="right"/>
              <w:rPr>
                <w:b/>
                <w:bCs/>
              </w:rPr>
            </w:pPr>
            <w:r w:rsidRPr="00F4227E">
              <w:rPr>
                <w:b/>
                <w:bCs/>
              </w:rPr>
              <w:t>100.0%</w:t>
            </w:r>
          </w:p>
        </w:tc>
      </w:tr>
      <w:tr w:rsidR="007E1DDC" w:rsidRPr="00F4227E" w14:paraId="3A7F6FE4" w14:textId="77777777" w:rsidTr="007E1DDC">
        <w:tc>
          <w:tcPr>
            <w:tcW w:w="3255" w:type="dxa"/>
            <w:tcBorders>
              <w:bottom w:val="single" w:sz="4" w:space="0" w:color="auto"/>
              <w:right w:val="nil"/>
            </w:tcBorders>
            <w:vAlign w:val="center"/>
          </w:tcPr>
          <w:p w14:paraId="18F60ABF" w14:textId="54939C54" w:rsidR="007E1DDC" w:rsidRPr="00F4227E" w:rsidRDefault="007E1DDC" w:rsidP="00A95439">
            <w:pPr>
              <w:pStyle w:val="In-tableHeading"/>
            </w:pPr>
            <w:r>
              <w:t>Outcomes</w:t>
            </w:r>
          </w:p>
        </w:tc>
        <w:tc>
          <w:tcPr>
            <w:tcW w:w="1440" w:type="dxa"/>
            <w:tcBorders>
              <w:left w:val="nil"/>
              <w:bottom w:val="single" w:sz="4" w:space="0" w:color="auto"/>
              <w:right w:val="nil"/>
            </w:tcBorders>
            <w:vAlign w:val="center"/>
          </w:tcPr>
          <w:p w14:paraId="3206FF94" w14:textId="77777777" w:rsidR="007E1DDC" w:rsidRPr="00F4227E" w:rsidRDefault="007E1DDC" w:rsidP="00A95439">
            <w:pPr>
              <w:pStyle w:val="In-tableHeading"/>
            </w:pPr>
          </w:p>
        </w:tc>
        <w:tc>
          <w:tcPr>
            <w:tcW w:w="1440" w:type="dxa"/>
            <w:tcBorders>
              <w:left w:val="nil"/>
              <w:bottom w:val="single" w:sz="4" w:space="0" w:color="auto"/>
              <w:right w:val="nil"/>
            </w:tcBorders>
            <w:vAlign w:val="center"/>
          </w:tcPr>
          <w:p w14:paraId="5187A176" w14:textId="77777777" w:rsidR="007E1DDC" w:rsidRPr="00F4227E" w:rsidRDefault="007E1DDC" w:rsidP="00A95439">
            <w:pPr>
              <w:pStyle w:val="In-tableHeading"/>
            </w:pPr>
          </w:p>
        </w:tc>
        <w:tc>
          <w:tcPr>
            <w:tcW w:w="1230" w:type="dxa"/>
            <w:tcBorders>
              <w:left w:val="nil"/>
              <w:bottom w:val="single" w:sz="4" w:space="0" w:color="auto"/>
              <w:right w:val="nil"/>
            </w:tcBorders>
            <w:vAlign w:val="center"/>
          </w:tcPr>
          <w:p w14:paraId="5B4A1DC2" w14:textId="77777777" w:rsidR="007E1DDC" w:rsidRPr="00F4227E" w:rsidRDefault="007E1DDC" w:rsidP="00A95439">
            <w:pPr>
              <w:pStyle w:val="In-tableHeading"/>
            </w:pPr>
          </w:p>
        </w:tc>
        <w:tc>
          <w:tcPr>
            <w:tcW w:w="1651" w:type="dxa"/>
            <w:tcBorders>
              <w:left w:val="nil"/>
              <w:bottom w:val="single" w:sz="4" w:space="0" w:color="auto"/>
            </w:tcBorders>
            <w:vAlign w:val="center"/>
          </w:tcPr>
          <w:p w14:paraId="456478EA" w14:textId="77777777" w:rsidR="007E1DDC" w:rsidRPr="00F4227E" w:rsidRDefault="007E1DDC" w:rsidP="00A95439">
            <w:pPr>
              <w:pStyle w:val="In-tableHeading"/>
            </w:pPr>
          </w:p>
        </w:tc>
      </w:tr>
      <w:tr w:rsidR="00CF3B48" w:rsidRPr="00F4227E" w14:paraId="0E607A28" w14:textId="77777777">
        <w:tc>
          <w:tcPr>
            <w:tcW w:w="3255" w:type="dxa"/>
            <w:tcBorders>
              <w:bottom w:val="nil"/>
            </w:tcBorders>
            <w:vAlign w:val="center"/>
          </w:tcPr>
          <w:p w14:paraId="2BEF5645" w14:textId="4A014DB9" w:rsidR="00CF3B48" w:rsidRPr="00F4227E" w:rsidRDefault="00CF3B48" w:rsidP="00A95439">
            <w:pPr>
              <w:pStyle w:val="TableText"/>
              <w:keepNext/>
              <w:rPr>
                <w:b/>
                <w:bCs/>
              </w:rPr>
            </w:pPr>
            <w:r w:rsidRPr="00FE6CB5">
              <w:t>IDFS</w:t>
            </w:r>
            <w:r>
              <w:t xml:space="preserve"> QALYs</w:t>
            </w:r>
          </w:p>
        </w:tc>
        <w:tc>
          <w:tcPr>
            <w:tcW w:w="1440" w:type="dxa"/>
            <w:tcBorders>
              <w:bottom w:val="nil"/>
            </w:tcBorders>
            <w:vAlign w:val="center"/>
          </w:tcPr>
          <w:p w14:paraId="17CD5A01" w14:textId="71DF746F" w:rsidR="00CF3B48" w:rsidRPr="00F4227E" w:rsidRDefault="00CF3B48" w:rsidP="00A95439">
            <w:pPr>
              <w:pStyle w:val="TableText"/>
              <w:keepNext/>
              <w:jc w:val="right"/>
              <w:rPr>
                <w:b/>
                <w:bCs/>
              </w:rPr>
            </w:pPr>
            <w:r w:rsidRPr="00DB0080">
              <w:t>11.78</w:t>
            </w:r>
          </w:p>
        </w:tc>
        <w:tc>
          <w:tcPr>
            <w:tcW w:w="1440" w:type="dxa"/>
            <w:tcBorders>
              <w:bottom w:val="nil"/>
            </w:tcBorders>
            <w:vAlign w:val="center"/>
          </w:tcPr>
          <w:p w14:paraId="3C029009" w14:textId="43BFCC23" w:rsidR="00CF3B48" w:rsidRPr="00F4227E" w:rsidRDefault="00CF3B48" w:rsidP="00A95439">
            <w:pPr>
              <w:pStyle w:val="TableText"/>
              <w:keepNext/>
              <w:jc w:val="right"/>
              <w:rPr>
                <w:b/>
                <w:bCs/>
              </w:rPr>
            </w:pPr>
            <w:r w:rsidRPr="00DB0080">
              <w:t>10.76</w:t>
            </w:r>
          </w:p>
        </w:tc>
        <w:tc>
          <w:tcPr>
            <w:tcW w:w="1230" w:type="dxa"/>
            <w:tcBorders>
              <w:bottom w:val="nil"/>
            </w:tcBorders>
            <w:vAlign w:val="center"/>
          </w:tcPr>
          <w:p w14:paraId="495C8189" w14:textId="21130AC4" w:rsidR="00CF3B48" w:rsidRPr="00F4227E" w:rsidRDefault="00CF3B48" w:rsidP="00A95439">
            <w:pPr>
              <w:pStyle w:val="TableText"/>
              <w:keepNext/>
              <w:jc w:val="right"/>
              <w:rPr>
                <w:b/>
                <w:bCs/>
              </w:rPr>
            </w:pPr>
            <w:r w:rsidRPr="00DB0080">
              <w:t>1.03</w:t>
            </w:r>
          </w:p>
        </w:tc>
        <w:tc>
          <w:tcPr>
            <w:tcW w:w="1651" w:type="dxa"/>
            <w:tcBorders>
              <w:bottom w:val="nil"/>
            </w:tcBorders>
            <w:vAlign w:val="bottom"/>
          </w:tcPr>
          <w:p w14:paraId="7CE23D8E" w14:textId="380AFF5F" w:rsidR="00CF3B48" w:rsidRPr="00F4227E" w:rsidRDefault="00CF3B48" w:rsidP="00A95439">
            <w:pPr>
              <w:pStyle w:val="TableText"/>
              <w:keepNext/>
              <w:jc w:val="right"/>
              <w:rPr>
                <w:b/>
                <w:bCs/>
              </w:rPr>
            </w:pPr>
            <w:r w:rsidRPr="00DB0080">
              <w:t>112.7%</w:t>
            </w:r>
          </w:p>
        </w:tc>
      </w:tr>
      <w:tr w:rsidR="00CF3B48" w:rsidRPr="00F4227E" w14:paraId="20CAEE06" w14:textId="77777777">
        <w:tc>
          <w:tcPr>
            <w:tcW w:w="3255" w:type="dxa"/>
            <w:tcBorders>
              <w:top w:val="nil"/>
              <w:bottom w:val="nil"/>
            </w:tcBorders>
            <w:vAlign w:val="center"/>
          </w:tcPr>
          <w:p w14:paraId="21A2B792" w14:textId="0126696D" w:rsidR="00CF3B48" w:rsidRPr="00F4227E" w:rsidRDefault="00CF3B48" w:rsidP="00A95439">
            <w:pPr>
              <w:pStyle w:val="TableText"/>
              <w:keepNext/>
              <w:rPr>
                <w:b/>
                <w:bCs/>
              </w:rPr>
            </w:pPr>
            <w:r w:rsidRPr="00FE6CB5">
              <w:t>Non-mBC</w:t>
            </w:r>
            <w:r>
              <w:t xml:space="preserve"> QALYs</w:t>
            </w:r>
          </w:p>
        </w:tc>
        <w:tc>
          <w:tcPr>
            <w:tcW w:w="1440" w:type="dxa"/>
            <w:tcBorders>
              <w:top w:val="nil"/>
              <w:bottom w:val="nil"/>
            </w:tcBorders>
            <w:vAlign w:val="center"/>
          </w:tcPr>
          <w:p w14:paraId="7A6921B8" w14:textId="79CD3742" w:rsidR="00CF3B48" w:rsidRPr="00F4227E" w:rsidRDefault="00CF3B48" w:rsidP="00A95439">
            <w:pPr>
              <w:pStyle w:val="TableText"/>
              <w:keepNext/>
              <w:jc w:val="right"/>
              <w:rPr>
                <w:b/>
                <w:bCs/>
              </w:rPr>
            </w:pPr>
            <w:r w:rsidRPr="00DB0080">
              <w:t>0.29</w:t>
            </w:r>
          </w:p>
        </w:tc>
        <w:tc>
          <w:tcPr>
            <w:tcW w:w="1440" w:type="dxa"/>
            <w:tcBorders>
              <w:top w:val="nil"/>
              <w:bottom w:val="nil"/>
            </w:tcBorders>
            <w:vAlign w:val="center"/>
          </w:tcPr>
          <w:p w14:paraId="2E3F8D33" w14:textId="039EC8FB" w:rsidR="00CF3B48" w:rsidRPr="00F4227E" w:rsidRDefault="00CF3B48" w:rsidP="00A95439">
            <w:pPr>
              <w:pStyle w:val="TableText"/>
              <w:keepNext/>
              <w:jc w:val="right"/>
              <w:rPr>
                <w:b/>
                <w:bCs/>
              </w:rPr>
            </w:pPr>
            <w:r w:rsidRPr="00DB0080">
              <w:t>0.33</w:t>
            </w:r>
          </w:p>
        </w:tc>
        <w:tc>
          <w:tcPr>
            <w:tcW w:w="1230" w:type="dxa"/>
            <w:tcBorders>
              <w:top w:val="nil"/>
              <w:bottom w:val="nil"/>
            </w:tcBorders>
            <w:vAlign w:val="center"/>
          </w:tcPr>
          <w:p w14:paraId="5718B305" w14:textId="6FF01E75" w:rsidR="00CF3B48" w:rsidRPr="00F4227E" w:rsidRDefault="00CF3B48" w:rsidP="00A95439">
            <w:pPr>
              <w:pStyle w:val="TableText"/>
              <w:keepNext/>
              <w:jc w:val="right"/>
              <w:rPr>
                <w:b/>
                <w:bCs/>
              </w:rPr>
            </w:pPr>
            <w:r>
              <w:t>−</w:t>
            </w:r>
            <w:r w:rsidRPr="00DB0080">
              <w:t>0.04</w:t>
            </w:r>
          </w:p>
        </w:tc>
        <w:tc>
          <w:tcPr>
            <w:tcW w:w="1651" w:type="dxa"/>
            <w:tcBorders>
              <w:top w:val="nil"/>
              <w:bottom w:val="nil"/>
            </w:tcBorders>
            <w:vAlign w:val="bottom"/>
          </w:tcPr>
          <w:p w14:paraId="6998AA52" w14:textId="08C0EBA5" w:rsidR="00CF3B48" w:rsidRPr="00F4227E" w:rsidRDefault="00CF3B48" w:rsidP="00A95439">
            <w:pPr>
              <w:pStyle w:val="TableText"/>
              <w:keepNext/>
              <w:jc w:val="right"/>
              <w:rPr>
                <w:b/>
                <w:bCs/>
              </w:rPr>
            </w:pPr>
            <w:r>
              <w:t>−</w:t>
            </w:r>
            <w:r w:rsidRPr="00DB0080">
              <w:t>4.7%</w:t>
            </w:r>
          </w:p>
        </w:tc>
      </w:tr>
      <w:tr w:rsidR="00CF3B48" w:rsidRPr="00F4227E" w14:paraId="45DAE7BE" w14:textId="77777777">
        <w:tc>
          <w:tcPr>
            <w:tcW w:w="3255" w:type="dxa"/>
            <w:tcBorders>
              <w:top w:val="nil"/>
              <w:bottom w:val="nil"/>
            </w:tcBorders>
            <w:vAlign w:val="center"/>
          </w:tcPr>
          <w:p w14:paraId="4D1399AA" w14:textId="39A7254F" w:rsidR="00CF3B48" w:rsidRPr="00F4227E" w:rsidRDefault="00CF3B48" w:rsidP="00A95439">
            <w:pPr>
              <w:pStyle w:val="TableText"/>
              <w:keepNext/>
              <w:rPr>
                <w:b/>
                <w:bCs/>
              </w:rPr>
            </w:pPr>
            <w:r w:rsidRPr="00FE6CB5">
              <w:t>Early-onset mBC</w:t>
            </w:r>
            <w:r>
              <w:t xml:space="preserve"> QALYs</w:t>
            </w:r>
          </w:p>
        </w:tc>
        <w:tc>
          <w:tcPr>
            <w:tcW w:w="1440" w:type="dxa"/>
            <w:tcBorders>
              <w:top w:val="nil"/>
              <w:bottom w:val="nil"/>
            </w:tcBorders>
            <w:vAlign w:val="center"/>
          </w:tcPr>
          <w:p w14:paraId="03FAF364" w14:textId="2862AD89" w:rsidR="00CF3B48" w:rsidRPr="00F4227E" w:rsidRDefault="00CF3B48" w:rsidP="00A95439">
            <w:pPr>
              <w:pStyle w:val="TableText"/>
              <w:keepNext/>
              <w:jc w:val="right"/>
              <w:rPr>
                <w:b/>
                <w:bCs/>
              </w:rPr>
            </w:pPr>
            <w:r w:rsidRPr="00DB0080">
              <w:t>0.06</w:t>
            </w:r>
          </w:p>
        </w:tc>
        <w:tc>
          <w:tcPr>
            <w:tcW w:w="1440" w:type="dxa"/>
            <w:tcBorders>
              <w:top w:val="nil"/>
              <w:bottom w:val="nil"/>
            </w:tcBorders>
            <w:vAlign w:val="center"/>
          </w:tcPr>
          <w:p w14:paraId="4D57F4A1" w14:textId="09D53E45" w:rsidR="00CF3B48" w:rsidRPr="00F4227E" w:rsidRDefault="00CF3B48" w:rsidP="00A95439">
            <w:pPr>
              <w:pStyle w:val="TableText"/>
              <w:keepNext/>
              <w:jc w:val="right"/>
              <w:rPr>
                <w:b/>
                <w:bCs/>
              </w:rPr>
            </w:pPr>
            <w:r w:rsidRPr="00DB0080">
              <w:t>0.13</w:t>
            </w:r>
          </w:p>
        </w:tc>
        <w:tc>
          <w:tcPr>
            <w:tcW w:w="1230" w:type="dxa"/>
            <w:tcBorders>
              <w:top w:val="nil"/>
              <w:bottom w:val="nil"/>
            </w:tcBorders>
            <w:vAlign w:val="center"/>
          </w:tcPr>
          <w:p w14:paraId="4250B242" w14:textId="2599308A" w:rsidR="00CF3B48" w:rsidRPr="00F4227E" w:rsidRDefault="00CF3B48" w:rsidP="00A95439">
            <w:pPr>
              <w:pStyle w:val="TableText"/>
              <w:keepNext/>
              <w:jc w:val="right"/>
              <w:rPr>
                <w:b/>
                <w:bCs/>
              </w:rPr>
            </w:pPr>
            <w:r>
              <w:t>−</w:t>
            </w:r>
            <w:r w:rsidRPr="00DB0080">
              <w:t>0.07</w:t>
            </w:r>
          </w:p>
        </w:tc>
        <w:tc>
          <w:tcPr>
            <w:tcW w:w="1651" w:type="dxa"/>
            <w:tcBorders>
              <w:top w:val="nil"/>
              <w:bottom w:val="nil"/>
            </w:tcBorders>
            <w:vAlign w:val="bottom"/>
          </w:tcPr>
          <w:p w14:paraId="2CD36BCA" w14:textId="5BB9B8CE" w:rsidR="00CF3B48" w:rsidRPr="00F4227E" w:rsidRDefault="00CF3B48" w:rsidP="00A95439">
            <w:pPr>
              <w:pStyle w:val="TableText"/>
              <w:keepNext/>
              <w:jc w:val="right"/>
              <w:rPr>
                <w:b/>
                <w:bCs/>
              </w:rPr>
            </w:pPr>
            <w:r>
              <w:t>−</w:t>
            </w:r>
            <w:r w:rsidRPr="00DB0080">
              <w:t>8.0%</w:t>
            </w:r>
          </w:p>
        </w:tc>
      </w:tr>
      <w:tr w:rsidR="00CF3B48" w:rsidRPr="00F4227E" w14:paraId="35F886FE" w14:textId="77777777">
        <w:tc>
          <w:tcPr>
            <w:tcW w:w="3255" w:type="dxa"/>
            <w:tcBorders>
              <w:top w:val="nil"/>
            </w:tcBorders>
            <w:vAlign w:val="bottom"/>
          </w:tcPr>
          <w:p w14:paraId="2F685128" w14:textId="5C4F0FB4" w:rsidR="00CF3B48" w:rsidRPr="00F4227E" w:rsidRDefault="00CF3B48" w:rsidP="00A95439">
            <w:pPr>
              <w:pStyle w:val="TableText"/>
              <w:keepNext/>
              <w:rPr>
                <w:b/>
                <w:bCs/>
              </w:rPr>
            </w:pPr>
            <w:r w:rsidRPr="00FE6CB5">
              <w:t>Late-onset mBC</w:t>
            </w:r>
            <w:r>
              <w:t xml:space="preserve"> QALYs</w:t>
            </w:r>
          </w:p>
        </w:tc>
        <w:tc>
          <w:tcPr>
            <w:tcW w:w="1440" w:type="dxa"/>
            <w:tcBorders>
              <w:top w:val="nil"/>
            </w:tcBorders>
            <w:vAlign w:val="bottom"/>
          </w:tcPr>
          <w:p w14:paraId="4FFE3782" w14:textId="05692B59" w:rsidR="00CF3B48" w:rsidRPr="00F4227E" w:rsidRDefault="00CF3B48" w:rsidP="00A95439">
            <w:pPr>
              <w:pStyle w:val="TableText"/>
              <w:keepNext/>
              <w:jc w:val="right"/>
              <w:rPr>
                <w:b/>
                <w:bCs/>
              </w:rPr>
            </w:pPr>
            <w:r w:rsidRPr="00DB0080">
              <w:t>0.14</w:t>
            </w:r>
          </w:p>
        </w:tc>
        <w:tc>
          <w:tcPr>
            <w:tcW w:w="1440" w:type="dxa"/>
            <w:tcBorders>
              <w:top w:val="nil"/>
            </w:tcBorders>
            <w:vAlign w:val="bottom"/>
          </w:tcPr>
          <w:p w14:paraId="66A4571B" w14:textId="49B36599" w:rsidR="00CF3B48" w:rsidRPr="00F4227E" w:rsidRDefault="00CF3B48" w:rsidP="00A95439">
            <w:pPr>
              <w:pStyle w:val="TableText"/>
              <w:keepNext/>
              <w:jc w:val="right"/>
              <w:rPr>
                <w:b/>
                <w:bCs/>
              </w:rPr>
            </w:pPr>
            <w:r w:rsidRPr="00DB0080">
              <w:t>0.14</w:t>
            </w:r>
          </w:p>
        </w:tc>
        <w:tc>
          <w:tcPr>
            <w:tcW w:w="1230" w:type="dxa"/>
            <w:tcBorders>
              <w:top w:val="nil"/>
            </w:tcBorders>
            <w:vAlign w:val="center"/>
          </w:tcPr>
          <w:p w14:paraId="49AEA1B1" w14:textId="6E9EF519" w:rsidR="00CF3B48" w:rsidRPr="00F4227E" w:rsidRDefault="00CF3B48" w:rsidP="00A95439">
            <w:pPr>
              <w:pStyle w:val="TableText"/>
              <w:keepNext/>
              <w:jc w:val="right"/>
              <w:rPr>
                <w:b/>
                <w:bCs/>
              </w:rPr>
            </w:pPr>
            <w:r w:rsidRPr="00DB0080">
              <w:t>0.00</w:t>
            </w:r>
          </w:p>
        </w:tc>
        <w:tc>
          <w:tcPr>
            <w:tcW w:w="1651" w:type="dxa"/>
            <w:tcBorders>
              <w:top w:val="nil"/>
            </w:tcBorders>
            <w:vAlign w:val="bottom"/>
          </w:tcPr>
          <w:p w14:paraId="4B7DD8F2" w14:textId="60DF9B89" w:rsidR="00CF3B48" w:rsidRPr="00F4227E" w:rsidRDefault="00CF3B48" w:rsidP="00A95439">
            <w:pPr>
              <w:pStyle w:val="TableText"/>
              <w:keepNext/>
              <w:jc w:val="right"/>
              <w:rPr>
                <w:b/>
                <w:bCs/>
              </w:rPr>
            </w:pPr>
            <w:r>
              <w:t>−</w:t>
            </w:r>
            <w:r w:rsidRPr="00DB0080">
              <w:t>0.1%</w:t>
            </w:r>
          </w:p>
        </w:tc>
      </w:tr>
      <w:tr w:rsidR="00CF3B48" w:rsidRPr="007E1DDC" w14:paraId="2C0EB61C" w14:textId="77777777">
        <w:tc>
          <w:tcPr>
            <w:tcW w:w="3255" w:type="dxa"/>
            <w:vAlign w:val="center"/>
          </w:tcPr>
          <w:p w14:paraId="77F7A4D9" w14:textId="4047C3D2" w:rsidR="00CF3B48" w:rsidRPr="007E1DDC" w:rsidRDefault="00CF3B48" w:rsidP="00A95439">
            <w:pPr>
              <w:pStyle w:val="TableText"/>
              <w:keepNext/>
              <w:rPr>
                <w:b/>
                <w:bCs/>
              </w:rPr>
            </w:pPr>
            <w:r w:rsidRPr="00DB0080">
              <w:rPr>
                <w:b/>
              </w:rPr>
              <w:t>Total QALYs</w:t>
            </w:r>
          </w:p>
        </w:tc>
        <w:tc>
          <w:tcPr>
            <w:tcW w:w="1440" w:type="dxa"/>
            <w:vAlign w:val="center"/>
          </w:tcPr>
          <w:p w14:paraId="727C23BF" w14:textId="7C00472D" w:rsidR="00CF3B48" w:rsidRPr="007E1DDC" w:rsidRDefault="00CF3B48" w:rsidP="00A95439">
            <w:pPr>
              <w:pStyle w:val="TableText"/>
              <w:keepNext/>
              <w:jc w:val="right"/>
              <w:rPr>
                <w:b/>
                <w:bCs/>
              </w:rPr>
            </w:pPr>
            <w:r w:rsidRPr="00DB0080">
              <w:rPr>
                <w:b/>
              </w:rPr>
              <w:t>12.27</w:t>
            </w:r>
          </w:p>
        </w:tc>
        <w:tc>
          <w:tcPr>
            <w:tcW w:w="1440" w:type="dxa"/>
            <w:vAlign w:val="center"/>
          </w:tcPr>
          <w:p w14:paraId="1F744D9A" w14:textId="6B18E177" w:rsidR="00CF3B48" w:rsidRPr="007E1DDC" w:rsidRDefault="00CF3B48" w:rsidP="00A95439">
            <w:pPr>
              <w:pStyle w:val="TableText"/>
              <w:keepNext/>
              <w:jc w:val="right"/>
              <w:rPr>
                <w:b/>
                <w:bCs/>
              </w:rPr>
            </w:pPr>
            <w:r w:rsidRPr="00DB0080">
              <w:rPr>
                <w:b/>
              </w:rPr>
              <w:t>11.36</w:t>
            </w:r>
          </w:p>
        </w:tc>
        <w:tc>
          <w:tcPr>
            <w:tcW w:w="1230" w:type="dxa"/>
            <w:vAlign w:val="center"/>
          </w:tcPr>
          <w:p w14:paraId="4BD1C01F" w14:textId="59950086" w:rsidR="00CF3B48" w:rsidRPr="007E1DDC" w:rsidRDefault="00CF3B48" w:rsidP="00A95439">
            <w:pPr>
              <w:pStyle w:val="TableText"/>
              <w:keepNext/>
              <w:jc w:val="right"/>
              <w:rPr>
                <w:b/>
                <w:bCs/>
              </w:rPr>
            </w:pPr>
            <w:r w:rsidRPr="00DB0080">
              <w:rPr>
                <w:b/>
              </w:rPr>
              <w:t>0.91</w:t>
            </w:r>
          </w:p>
        </w:tc>
        <w:tc>
          <w:tcPr>
            <w:tcW w:w="1651" w:type="dxa"/>
            <w:vAlign w:val="bottom"/>
          </w:tcPr>
          <w:p w14:paraId="48C4416C" w14:textId="344229A1" w:rsidR="00CF3B48" w:rsidRPr="007E1DDC" w:rsidRDefault="00CF3B48" w:rsidP="00A95439">
            <w:pPr>
              <w:pStyle w:val="TableText"/>
              <w:keepNext/>
              <w:jc w:val="right"/>
              <w:rPr>
                <w:b/>
                <w:bCs/>
              </w:rPr>
            </w:pPr>
            <w:r w:rsidRPr="00DB0080">
              <w:rPr>
                <w:b/>
              </w:rPr>
              <w:t>100.0%</w:t>
            </w:r>
          </w:p>
        </w:tc>
      </w:tr>
    </w:tbl>
    <w:p w14:paraId="09AE3D12" w14:textId="479C56BB" w:rsidR="00137818" w:rsidRDefault="00137818" w:rsidP="00137818">
      <w:pPr>
        <w:pStyle w:val="TableFigureFooter"/>
      </w:pPr>
      <w:r w:rsidRPr="002952D9">
        <w:t>Source: Table generated during the evaluation, based on the “OlympiA Economic Evaluation” Excel workbook</w:t>
      </w:r>
      <w:r w:rsidR="000315EA">
        <w:t xml:space="preserve"> included with the PBAC resubmission</w:t>
      </w:r>
      <w:r w:rsidRPr="002952D9">
        <w:t>.</w:t>
      </w:r>
    </w:p>
    <w:p w14:paraId="0078E801" w14:textId="5163DBAE" w:rsidR="008C513A" w:rsidRPr="002952D9" w:rsidRDefault="008C513A" w:rsidP="00137818">
      <w:pPr>
        <w:pStyle w:val="TableFigureFooter"/>
      </w:pPr>
      <w:r w:rsidRPr="008C513A">
        <w:rPr>
          <w:lang w:val="en-US"/>
        </w:rPr>
        <w:t>g</w:t>
      </w:r>
      <w:r w:rsidRPr="008C513A">
        <w:rPr>
          <w:i/>
          <w:iCs/>
          <w:lang w:val="en-US"/>
        </w:rPr>
        <w:t>BRCA</w:t>
      </w:r>
      <w:r w:rsidRPr="008C513A">
        <w:t xml:space="preserve"> = germline </w:t>
      </w:r>
      <w:r w:rsidRPr="008C513A">
        <w:rPr>
          <w:i/>
          <w:iCs/>
        </w:rPr>
        <w:t>BReast CAncer</w:t>
      </w:r>
      <w:r w:rsidRPr="008C513A">
        <w:t xml:space="preserve"> gene; </w:t>
      </w:r>
      <w:r w:rsidR="00FD798C" w:rsidRPr="00FE6CB5">
        <w:t>IDFS = invasive disease</w:t>
      </w:r>
      <w:r w:rsidR="00FD798C">
        <w:t>-</w:t>
      </w:r>
      <w:r w:rsidR="00FD798C" w:rsidRPr="00FE6CB5">
        <w:t xml:space="preserve">free survival; </w:t>
      </w:r>
      <w:r w:rsidRPr="008C513A">
        <w:t>mBC = metastatic breast cancer recurrence; non mBC</w:t>
      </w:r>
      <w:r w:rsidR="00FD798C">
        <w:t> </w:t>
      </w:r>
      <w:r w:rsidRPr="008C513A">
        <w:t>=</w:t>
      </w:r>
      <w:r w:rsidR="00FD798C">
        <w:t> </w:t>
      </w:r>
      <w:r w:rsidRPr="008C513A">
        <w:t>non-metastatic breast cancer recurrence</w:t>
      </w:r>
      <w:r w:rsidR="00FD798C">
        <w:t>; QALYs = quality-adjusted life years</w:t>
      </w:r>
      <w:r>
        <w:t>.</w:t>
      </w:r>
    </w:p>
    <w:p w14:paraId="73DBA658" w14:textId="480DF357" w:rsidR="00CF3B48" w:rsidRPr="000E600F" w:rsidRDefault="00CF3B48" w:rsidP="00CF3B48">
      <w:r w:rsidRPr="000E600F">
        <w:t xml:space="preserve">The </w:t>
      </w:r>
      <w:r w:rsidR="00E51176" w:rsidRPr="000E600F">
        <w:t>commentary noted that</w:t>
      </w:r>
      <w:r w:rsidRPr="000E600F">
        <w:t xml:space="preserve"> incremental costs </w:t>
      </w:r>
      <w:r w:rsidR="00700A4F" w:rsidRPr="000E600F">
        <w:t xml:space="preserve">were driven by the cost of </w:t>
      </w:r>
      <w:r w:rsidRPr="000E600F">
        <w:t>olaparib treatment</w:t>
      </w:r>
      <w:r w:rsidR="00700A4F" w:rsidRPr="000E600F">
        <w:t xml:space="preserve"> and </w:t>
      </w:r>
      <w:r w:rsidR="009D6558" w:rsidRPr="000E600F">
        <w:t>g</w:t>
      </w:r>
      <w:r w:rsidR="00A96FCF" w:rsidRPr="00A96FCF">
        <w:rPr>
          <w:i/>
          <w:iCs/>
        </w:rPr>
        <w:t>BRCA</w:t>
      </w:r>
      <w:r w:rsidR="009D6558" w:rsidRPr="000E600F">
        <w:t xml:space="preserve"> </w:t>
      </w:r>
      <w:r w:rsidR="00700A4F" w:rsidRPr="000E600F">
        <w:t>testing (</w:t>
      </w:r>
      <w:r w:rsidR="00E65749" w:rsidRPr="000E600F">
        <w:t xml:space="preserve">which </w:t>
      </w:r>
      <w:r w:rsidR="00700A4F" w:rsidRPr="000E600F">
        <w:t>includ</w:t>
      </w:r>
      <w:r w:rsidR="00E65749" w:rsidRPr="000E600F">
        <w:t>ed both the cost of testing and genetic counselling</w:t>
      </w:r>
      <w:r w:rsidR="00700A4F" w:rsidRPr="000E600F">
        <w:t>), offset by a reduction in cost of subsequent anticancer treatment and terminal care</w:t>
      </w:r>
      <w:r w:rsidRPr="000E600F">
        <w:t xml:space="preserve">. </w:t>
      </w:r>
      <w:r w:rsidR="00700A4F" w:rsidRPr="000E600F">
        <w:t xml:space="preserve">It is noted that only additional </w:t>
      </w:r>
      <w:r w:rsidR="009D6558" w:rsidRPr="000E600F">
        <w:t>g</w:t>
      </w:r>
      <w:r w:rsidR="00A96FCF" w:rsidRPr="00A96FCF">
        <w:rPr>
          <w:i/>
          <w:iCs/>
        </w:rPr>
        <w:t>BRCA</w:t>
      </w:r>
      <w:r w:rsidR="009D6558" w:rsidRPr="000E600F">
        <w:t xml:space="preserve"> </w:t>
      </w:r>
      <w:r w:rsidR="00700A4F" w:rsidRPr="000E600F">
        <w:t xml:space="preserve">testing costs due to the listing of olaparib were included in the resubmission. </w:t>
      </w:r>
      <w:r w:rsidRPr="000E600F">
        <w:t xml:space="preserve">The </w:t>
      </w:r>
      <w:r w:rsidR="00700A4F" w:rsidRPr="000E600F">
        <w:t xml:space="preserve">incremental </w:t>
      </w:r>
      <w:r w:rsidR="00CC70AD" w:rsidRPr="000E600F">
        <w:t>life year</w:t>
      </w:r>
      <w:r w:rsidRPr="000E600F">
        <w:t xml:space="preserve">s and </w:t>
      </w:r>
      <w:r w:rsidR="00CC70AD" w:rsidRPr="000E600F">
        <w:t>quality-adjusted life years</w:t>
      </w:r>
      <w:r w:rsidRPr="000E600F">
        <w:t xml:space="preserve"> </w:t>
      </w:r>
      <w:r w:rsidR="00661DB5" w:rsidRPr="000E600F">
        <w:t xml:space="preserve">(QALYs) </w:t>
      </w:r>
      <w:r w:rsidRPr="000E600F">
        <w:t xml:space="preserve">gained </w:t>
      </w:r>
      <w:r w:rsidR="00700A4F" w:rsidRPr="000E600F">
        <w:t>were</w:t>
      </w:r>
      <w:r w:rsidRPr="000E600F">
        <w:t xml:space="preserve"> predominantly accrued in the </w:t>
      </w:r>
      <w:r w:rsidR="0049674E" w:rsidRPr="000E600F">
        <w:t xml:space="preserve">invasive disease-free survival </w:t>
      </w:r>
      <w:r w:rsidRPr="000E600F">
        <w:t xml:space="preserve">health state, with a reduction in </w:t>
      </w:r>
      <w:r w:rsidR="00700A4F" w:rsidRPr="000E600F">
        <w:t>time spent with</w:t>
      </w:r>
      <w:r w:rsidRPr="000E600F">
        <w:t xml:space="preserve"> early-onset </w:t>
      </w:r>
      <w:r w:rsidR="00CC70AD" w:rsidRPr="000E600F">
        <w:t xml:space="preserve">metastatic </w:t>
      </w:r>
      <w:r w:rsidRPr="000E600F">
        <w:t>and non-</w:t>
      </w:r>
      <w:r w:rsidR="00CC70AD" w:rsidRPr="000E600F">
        <w:t>metastatic</w:t>
      </w:r>
      <w:r w:rsidR="00700A4F" w:rsidRPr="000E600F">
        <w:t xml:space="preserve"> disease</w:t>
      </w:r>
      <w:r w:rsidRPr="000E600F">
        <w:t>.</w:t>
      </w:r>
    </w:p>
    <w:p w14:paraId="216828D5" w14:textId="4ABC3F14" w:rsidR="00CF3B48" w:rsidRPr="000E600F" w:rsidRDefault="00CF3B48" w:rsidP="00137818">
      <w:r w:rsidRPr="000E600F">
        <w:t xml:space="preserve">The </w:t>
      </w:r>
      <w:r w:rsidR="006D32C1" w:rsidRPr="000E600F">
        <w:t xml:space="preserve">commentary on </w:t>
      </w:r>
      <w:r w:rsidR="000C7B55">
        <w:t xml:space="preserve">the </w:t>
      </w:r>
      <w:r w:rsidR="006D32C1" w:rsidRPr="000E600F">
        <w:t xml:space="preserve">MSAC </w:t>
      </w:r>
      <w:r w:rsidR="007C0A5B" w:rsidRPr="000E600F">
        <w:t>minor submission noted that the c</w:t>
      </w:r>
      <w:r w:rsidR="00365045" w:rsidRPr="000E600F">
        <w:t xml:space="preserve">ommentary on the PBAC resubmission </w:t>
      </w:r>
      <w:r w:rsidRPr="000E600F">
        <w:t>proposed an alterna</w:t>
      </w:r>
      <w:r w:rsidR="00E65749" w:rsidRPr="000E600F">
        <w:t>t</w:t>
      </w:r>
      <w:r w:rsidRPr="000E600F">
        <w:t>e base case</w:t>
      </w:r>
      <w:r w:rsidR="00510412" w:rsidRPr="000E600F">
        <w:t xml:space="preserve"> (</w:t>
      </w:r>
      <w:r w:rsidR="00510412" w:rsidRPr="000E600F">
        <w:fldChar w:fldCharType="begin"/>
      </w:r>
      <w:r w:rsidR="00510412" w:rsidRPr="000E600F">
        <w:instrText xml:space="preserve"> REF _Ref144290303 \h </w:instrText>
      </w:r>
      <w:r w:rsidR="007C0A5B">
        <w:instrText xml:space="preserve"> \* MERGEFORMAT </w:instrText>
      </w:r>
      <w:r w:rsidR="00510412" w:rsidRPr="000E600F">
        <w:fldChar w:fldCharType="separate"/>
      </w:r>
      <w:r w:rsidR="00D8423B" w:rsidRPr="000E600F">
        <w:t>Table </w:t>
      </w:r>
      <w:r w:rsidR="00D8423B" w:rsidRPr="000E600F">
        <w:rPr>
          <w:noProof/>
        </w:rPr>
        <w:t>9</w:t>
      </w:r>
      <w:r w:rsidR="00510412" w:rsidRPr="000E600F">
        <w:fldChar w:fldCharType="end"/>
      </w:r>
      <w:r w:rsidR="00510412" w:rsidRPr="000E600F">
        <w:t>) based on previous PBAC advice (para</w:t>
      </w:r>
      <w:r w:rsidR="001F3680" w:rsidRPr="000E600F">
        <w:t>graph</w:t>
      </w:r>
      <w:r w:rsidR="00510412" w:rsidRPr="000E600F">
        <w:t xml:space="preserve"> 7.11, </w:t>
      </w:r>
      <w:hyperlink r:id="rId47" w:history="1">
        <w:r w:rsidR="001F3680" w:rsidRPr="000E600F">
          <w:rPr>
            <w:rStyle w:val="Hyperlink"/>
          </w:rPr>
          <w:t>Olaparib PSD March 2023 PBAC Meeting</w:t>
        </w:r>
      </w:hyperlink>
      <w:r w:rsidR="00510412" w:rsidRPr="000E600F">
        <w:t>)</w:t>
      </w:r>
      <w:r w:rsidR="00661DB5" w:rsidRPr="000E600F">
        <w:t xml:space="preserve"> and </w:t>
      </w:r>
      <w:r w:rsidR="00A57669" w:rsidRPr="000E600F">
        <w:t xml:space="preserve">additional </w:t>
      </w:r>
      <w:r w:rsidR="00661DB5" w:rsidRPr="000E600F">
        <w:t>economic issues identified during the evaluation</w:t>
      </w:r>
      <w:r w:rsidR="00E65749" w:rsidRPr="000E600F">
        <w:t>.</w:t>
      </w:r>
      <w:r w:rsidRPr="000E600F">
        <w:t xml:space="preserve"> </w:t>
      </w:r>
      <w:r w:rsidR="00510412" w:rsidRPr="000E600F">
        <w:t xml:space="preserve">This resulted in a substantially higher </w:t>
      </w:r>
      <w:r w:rsidR="00CC70AD" w:rsidRPr="000E600F">
        <w:t>incremental cost-effectiveness ratio (</w:t>
      </w:r>
      <w:r w:rsidR="00510412" w:rsidRPr="000E600F">
        <w:t>ICER</w:t>
      </w:r>
      <w:r w:rsidR="00CC70AD" w:rsidRPr="000E600F">
        <w:t>)</w:t>
      </w:r>
      <w:r w:rsidR="00510412" w:rsidRPr="000E600F">
        <w:t xml:space="preserve"> than what the PBAC had previously considered to be cost-effective</w:t>
      </w:r>
      <w:r w:rsidR="00A95439" w:rsidRPr="000E600F">
        <w:t xml:space="preserve"> in this setting</w:t>
      </w:r>
      <w:r w:rsidR="00510412" w:rsidRPr="000E600F">
        <w:t xml:space="preserve"> </w:t>
      </w:r>
      <w:r w:rsidR="006063B0" w:rsidRPr="006063B0">
        <w:t>$55,000 to &lt; $75,000</w:t>
      </w:r>
      <w:r w:rsidR="006063B0" w:rsidRPr="006063B0" w:rsidDel="006063B0">
        <w:t xml:space="preserve"> </w:t>
      </w:r>
      <w:r w:rsidR="00661DB5" w:rsidRPr="000E600F">
        <w:t>/QALY gained vs. $35,</w:t>
      </w:r>
      <w:r w:rsidR="00A7183A">
        <w:t>000</w:t>
      </w:r>
      <w:r w:rsidR="00661DB5" w:rsidRPr="000E600F">
        <w:t xml:space="preserve">/QALY gained, </w:t>
      </w:r>
      <w:r w:rsidR="00510412" w:rsidRPr="000E600F">
        <w:t>para</w:t>
      </w:r>
      <w:r w:rsidR="001F3680" w:rsidRPr="000E600F">
        <w:t>graph</w:t>
      </w:r>
      <w:r w:rsidR="00510412" w:rsidRPr="000E600F">
        <w:t xml:space="preserve"> 7.12, </w:t>
      </w:r>
      <w:hyperlink r:id="rId48" w:history="1">
        <w:r w:rsidR="001F3680" w:rsidRPr="000E600F">
          <w:rPr>
            <w:rStyle w:val="Hyperlink"/>
          </w:rPr>
          <w:t>Olaparib PSD March 2023 PBAC Meeting</w:t>
        </w:r>
      </w:hyperlink>
      <w:r w:rsidR="00510412" w:rsidRPr="000E600F">
        <w:t>).</w:t>
      </w:r>
    </w:p>
    <w:p w14:paraId="6C329F09" w14:textId="459586E2" w:rsidR="00CF3B48" w:rsidRPr="000E600F" w:rsidRDefault="00C225B4" w:rsidP="00CF3B48">
      <w:pPr>
        <w:pStyle w:val="Caption"/>
      </w:pPr>
      <w:bookmarkStart w:id="39" w:name="_Ref144290303"/>
      <w:r w:rsidRPr="000E600F">
        <w:lastRenderedPageBreak/>
        <w:t>Table </w:t>
      </w:r>
      <w:r w:rsidR="001947BE">
        <w:fldChar w:fldCharType="begin"/>
      </w:r>
      <w:r w:rsidR="001947BE">
        <w:instrText xml:space="preserve"> SEQ Table \* ARABIC </w:instrText>
      </w:r>
      <w:r w:rsidR="001947BE">
        <w:fldChar w:fldCharType="separate"/>
      </w:r>
      <w:r w:rsidR="00D8423B" w:rsidRPr="000E600F">
        <w:t>9</w:t>
      </w:r>
      <w:r w:rsidR="001947BE">
        <w:fldChar w:fldCharType="end"/>
      </w:r>
      <w:bookmarkEnd w:id="39"/>
      <w:r w:rsidRPr="000E600F">
        <w:tab/>
      </w:r>
      <w:r w:rsidR="00CF3B48" w:rsidRPr="000E600F">
        <w:t>Stepwise multivariate sensitivity analyses to generate the alternate base case</w:t>
      </w:r>
      <w:r w:rsidR="00510412" w:rsidRPr="000E600F">
        <w:t xml:space="preserve"> in the </w:t>
      </w:r>
      <w:r w:rsidR="00365045" w:rsidRPr="000E600F">
        <w:t>Commentary on the PBAC resubmission</w:t>
      </w:r>
    </w:p>
    <w:tbl>
      <w:tblPr>
        <w:tblStyle w:val="TableGrid"/>
        <w:tblW w:w="0" w:type="auto"/>
        <w:tblLayout w:type="fixed"/>
        <w:tblLook w:val="04A0" w:firstRow="1" w:lastRow="0" w:firstColumn="1" w:lastColumn="0" w:noHBand="0" w:noVBand="1"/>
      </w:tblPr>
      <w:tblGrid>
        <w:gridCol w:w="2263"/>
        <w:gridCol w:w="2268"/>
        <w:gridCol w:w="2268"/>
        <w:gridCol w:w="1276"/>
        <w:gridCol w:w="941"/>
      </w:tblGrid>
      <w:tr w:rsidR="00CF3B48" w:rsidRPr="00CF3B48" w14:paraId="1DF06898" w14:textId="77777777" w:rsidTr="00CF3B48">
        <w:tc>
          <w:tcPr>
            <w:tcW w:w="2263" w:type="dxa"/>
          </w:tcPr>
          <w:p w14:paraId="51A1409D" w14:textId="2DDA3D5A" w:rsidR="00CF3B48" w:rsidRPr="000E600F" w:rsidRDefault="00CF3B48" w:rsidP="00870CBF">
            <w:pPr>
              <w:pStyle w:val="In-tableHeading"/>
            </w:pPr>
            <w:r w:rsidRPr="000E600F">
              <w:t>Description of change</w:t>
            </w:r>
          </w:p>
        </w:tc>
        <w:tc>
          <w:tcPr>
            <w:tcW w:w="2268" w:type="dxa"/>
          </w:tcPr>
          <w:p w14:paraId="3238AA04" w14:textId="28706D8E" w:rsidR="00CF3B48" w:rsidRPr="000E600F" w:rsidRDefault="00CF3B48" w:rsidP="00870CBF">
            <w:pPr>
              <w:pStyle w:val="In-tableHeading"/>
            </w:pPr>
            <w:r w:rsidRPr="000E600F">
              <w:t>Base case value</w:t>
            </w:r>
          </w:p>
        </w:tc>
        <w:tc>
          <w:tcPr>
            <w:tcW w:w="2268" w:type="dxa"/>
          </w:tcPr>
          <w:p w14:paraId="42DF3345" w14:textId="7C279B7A" w:rsidR="00CF3B48" w:rsidRPr="000E600F" w:rsidRDefault="00CF3B48" w:rsidP="00870CBF">
            <w:pPr>
              <w:pStyle w:val="In-tableHeading"/>
            </w:pPr>
            <w:r w:rsidRPr="000E600F">
              <w:t>Alternative value</w:t>
            </w:r>
          </w:p>
        </w:tc>
        <w:tc>
          <w:tcPr>
            <w:tcW w:w="1276" w:type="dxa"/>
          </w:tcPr>
          <w:p w14:paraId="07BEB36A" w14:textId="16848EAF" w:rsidR="00CF3B48" w:rsidRPr="000E600F" w:rsidRDefault="00CF3B48" w:rsidP="00870CBF">
            <w:pPr>
              <w:pStyle w:val="In-tableHeading"/>
            </w:pPr>
            <w:r w:rsidRPr="000E600F">
              <w:t>ICER (cumulative)</w:t>
            </w:r>
          </w:p>
        </w:tc>
        <w:tc>
          <w:tcPr>
            <w:tcW w:w="941" w:type="dxa"/>
          </w:tcPr>
          <w:p w14:paraId="39F598B7" w14:textId="766290AF" w:rsidR="00CF3B48" w:rsidRPr="000E600F" w:rsidRDefault="00CF3B48" w:rsidP="00870CBF">
            <w:pPr>
              <w:pStyle w:val="In-tableHeading"/>
            </w:pPr>
            <w:r w:rsidRPr="000E600F">
              <w:t>Change in ICER</w:t>
            </w:r>
          </w:p>
        </w:tc>
      </w:tr>
      <w:tr w:rsidR="00CF3B48" w:rsidRPr="00CF3B48" w14:paraId="0A0A5177" w14:textId="77777777" w:rsidTr="00CF3B48">
        <w:tc>
          <w:tcPr>
            <w:tcW w:w="2263" w:type="dxa"/>
          </w:tcPr>
          <w:p w14:paraId="2AE946F8" w14:textId="3618F2FC" w:rsidR="00CF3B48" w:rsidRPr="000E600F" w:rsidRDefault="00CF3B48" w:rsidP="00870CBF">
            <w:pPr>
              <w:pStyle w:val="TableText"/>
              <w:keepNext/>
              <w:rPr>
                <w:b/>
              </w:rPr>
            </w:pPr>
            <w:r w:rsidRPr="000E600F">
              <w:rPr>
                <w:b/>
              </w:rPr>
              <w:t>Resubmission base case</w:t>
            </w:r>
          </w:p>
        </w:tc>
        <w:tc>
          <w:tcPr>
            <w:tcW w:w="2268" w:type="dxa"/>
          </w:tcPr>
          <w:p w14:paraId="525450F7" w14:textId="77777777" w:rsidR="00CF3B48" w:rsidRPr="000E600F" w:rsidRDefault="00CF3B48" w:rsidP="00870CBF">
            <w:pPr>
              <w:pStyle w:val="TableText"/>
              <w:keepNext/>
              <w:rPr>
                <w:b/>
              </w:rPr>
            </w:pPr>
          </w:p>
        </w:tc>
        <w:tc>
          <w:tcPr>
            <w:tcW w:w="2268" w:type="dxa"/>
          </w:tcPr>
          <w:p w14:paraId="07B2E867" w14:textId="71B0532E" w:rsidR="00CF3B48" w:rsidRPr="000E600F" w:rsidRDefault="00CF3B48" w:rsidP="00870CBF">
            <w:pPr>
              <w:pStyle w:val="TableText"/>
              <w:keepNext/>
              <w:rPr>
                <w:b/>
              </w:rPr>
            </w:pPr>
            <w:r w:rsidRPr="000E600F">
              <w:rPr>
                <w:b/>
              </w:rPr>
              <w:t>–</w:t>
            </w:r>
          </w:p>
        </w:tc>
        <w:tc>
          <w:tcPr>
            <w:tcW w:w="1276" w:type="dxa"/>
          </w:tcPr>
          <w:p w14:paraId="758A74A2" w14:textId="1E0F6358" w:rsidR="00CF3B48" w:rsidRPr="000E600F" w:rsidRDefault="000E5C92" w:rsidP="00870CBF">
            <w:pPr>
              <w:pStyle w:val="TableText"/>
              <w:keepNext/>
              <w:jc w:val="right"/>
              <w:rPr>
                <w:b/>
              </w:rPr>
            </w:pPr>
            <w:r w:rsidRPr="008A391B">
              <w:rPr>
                <w:rFonts w:cs="Arial"/>
                <w:b/>
                <w:bCs/>
              </w:rPr>
              <w:t>redacted</w:t>
            </w:r>
            <w:r w:rsidDel="00CD206C">
              <w:rPr>
                <w:b/>
              </w:rPr>
              <w:t xml:space="preserve"> </w:t>
            </w:r>
            <w:r w:rsidR="00CD206C" w:rsidRPr="00771162">
              <w:rPr>
                <w:b/>
                <w:vertAlign w:val="superscript"/>
              </w:rPr>
              <w:t>1</w:t>
            </w:r>
          </w:p>
        </w:tc>
        <w:tc>
          <w:tcPr>
            <w:tcW w:w="941" w:type="dxa"/>
          </w:tcPr>
          <w:p w14:paraId="5BA9540D" w14:textId="097DD8B5" w:rsidR="00CF3B48" w:rsidRPr="000E600F" w:rsidRDefault="00407856" w:rsidP="00870CBF">
            <w:pPr>
              <w:pStyle w:val="TableText"/>
              <w:keepNext/>
              <w:jc w:val="center"/>
              <w:rPr>
                <w:b/>
              </w:rPr>
            </w:pPr>
            <w:r>
              <w:rPr>
                <w:rFonts w:cs="Arial"/>
                <w:b/>
                <w:bCs/>
              </w:rPr>
              <w:t>r</w:t>
            </w:r>
            <w:r w:rsidR="001A3DAC" w:rsidRPr="008A391B">
              <w:rPr>
                <w:rFonts w:cs="Arial"/>
                <w:b/>
                <w:bCs/>
              </w:rPr>
              <w:t>edacted</w:t>
            </w:r>
            <w:r>
              <w:rPr>
                <w:rFonts w:cs="Arial"/>
                <w:b/>
                <w:bCs/>
              </w:rPr>
              <w:t xml:space="preserve"> </w:t>
            </w:r>
            <w:r w:rsidRPr="000E600F">
              <w:t>%</w:t>
            </w:r>
          </w:p>
        </w:tc>
      </w:tr>
      <w:tr w:rsidR="00CF3B48" w:rsidRPr="00CF3B48" w14:paraId="6812E829" w14:textId="77777777" w:rsidTr="00CF3B48">
        <w:tc>
          <w:tcPr>
            <w:tcW w:w="2263" w:type="dxa"/>
          </w:tcPr>
          <w:p w14:paraId="48E3F46F" w14:textId="275C24C1" w:rsidR="00CF3B48" w:rsidRPr="000E600F" w:rsidRDefault="00CF3B48" w:rsidP="00870CBF">
            <w:pPr>
              <w:pStyle w:val="TableText"/>
              <w:keepNext/>
            </w:pPr>
            <w:r w:rsidRPr="000E600F">
              <w:t>Observed data truncation point</w:t>
            </w:r>
          </w:p>
        </w:tc>
        <w:tc>
          <w:tcPr>
            <w:tcW w:w="2268" w:type="dxa"/>
          </w:tcPr>
          <w:p w14:paraId="6C25149F" w14:textId="14FAD469" w:rsidR="00CF3B48" w:rsidRPr="000E600F" w:rsidRDefault="00CF3B48" w:rsidP="00870CBF">
            <w:pPr>
              <w:pStyle w:val="TableText"/>
              <w:keepNext/>
            </w:pPr>
            <w:r w:rsidRPr="000E600F">
              <w:t>48 months</w:t>
            </w:r>
          </w:p>
        </w:tc>
        <w:tc>
          <w:tcPr>
            <w:tcW w:w="2268" w:type="dxa"/>
          </w:tcPr>
          <w:p w14:paraId="659510D8" w14:textId="75B380E1" w:rsidR="00CF3B48" w:rsidRPr="000E600F" w:rsidRDefault="00CF3B48" w:rsidP="00870CBF">
            <w:pPr>
              <w:pStyle w:val="TableText"/>
              <w:keepNext/>
            </w:pPr>
            <w:r w:rsidRPr="000E600F">
              <w:t>60 months</w:t>
            </w:r>
          </w:p>
        </w:tc>
        <w:tc>
          <w:tcPr>
            <w:tcW w:w="1276" w:type="dxa"/>
          </w:tcPr>
          <w:p w14:paraId="22B41CB1" w14:textId="152B347A" w:rsidR="00CF3B48" w:rsidRPr="000E600F" w:rsidRDefault="000E5C92" w:rsidP="00870CBF">
            <w:pPr>
              <w:pStyle w:val="TableText"/>
              <w:keepNext/>
              <w:jc w:val="right"/>
            </w:pPr>
            <w:r w:rsidRPr="008A391B">
              <w:rPr>
                <w:rFonts w:cs="Arial"/>
                <w:b/>
                <w:bCs/>
              </w:rPr>
              <w:t>redacted</w:t>
            </w:r>
            <w:r w:rsidRPr="00EC7D1B" w:rsidDel="00CD206C">
              <w:t xml:space="preserve"> </w:t>
            </w:r>
            <w:r w:rsidR="00CD206C" w:rsidRPr="00771162">
              <w:rPr>
                <w:vertAlign w:val="superscript"/>
              </w:rPr>
              <w:t>2</w:t>
            </w:r>
          </w:p>
        </w:tc>
        <w:tc>
          <w:tcPr>
            <w:tcW w:w="941" w:type="dxa"/>
          </w:tcPr>
          <w:p w14:paraId="72BD6D31" w14:textId="33271FD1" w:rsidR="00CF3B48" w:rsidRPr="000E600F" w:rsidRDefault="001A3DAC" w:rsidP="00870CBF">
            <w:pPr>
              <w:pStyle w:val="TableText"/>
              <w:keepNext/>
              <w:jc w:val="center"/>
            </w:pPr>
            <w:r w:rsidRPr="008A391B">
              <w:rPr>
                <w:rFonts w:cs="Arial"/>
                <w:b/>
                <w:bCs/>
              </w:rPr>
              <w:t>redacted</w:t>
            </w:r>
            <w:r w:rsidRPr="000E600F">
              <w:t xml:space="preserve"> </w:t>
            </w:r>
            <w:r w:rsidR="00CF3B48" w:rsidRPr="000E600F">
              <w:t>%</w:t>
            </w:r>
          </w:p>
        </w:tc>
      </w:tr>
      <w:tr w:rsidR="00CF3B48" w:rsidRPr="00CF3B48" w14:paraId="47D81206" w14:textId="77777777" w:rsidTr="00CF3B48">
        <w:tc>
          <w:tcPr>
            <w:tcW w:w="2263" w:type="dxa"/>
            <w:vAlign w:val="center"/>
          </w:tcPr>
          <w:p w14:paraId="3861545F" w14:textId="41A13BA3" w:rsidR="00CF3B48" w:rsidRPr="000E600F" w:rsidRDefault="00CF3B48" w:rsidP="00870CBF">
            <w:pPr>
              <w:pStyle w:val="TableText"/>
              <w:keepNext/>
            </w:pPr>
            <w:r w:rsidRPr="000E600F">
              <w:t>Proportion of recurrences that are non-metastatic vs. metastatic</w:t>
            </w:r>
          </w:p>
        </w:tc>
        <w:tc>
          <w:tcPr>
            <w:tcW w:w="2268" w:type="dxa"/>
          </w:tcPr>
          <w:p w14:paraId="6179A63E" w14:textId="77777777" w:rsidR="00CF3B48" w:rsidRPr="000E600F" w:rsidRDefault="00CF3B48" w:rsidP="00870CBF">
            <w:pPr>
              <w:pStyle w:val="TableText"/>
              <w:keepNext/>
            </w:pPr>
            <w:r w:rsidRPr="000E600F">
              <w:t>Treatment-specific:</w:t>
            </w:r>
          </w:p>
          <w:p w14:paraId="12EB840C" w14:textId="77777777" w:rsidR="00CF3B48" w:rsidRPr="000E600F" w:rsidRDefault="00CF3B48" w:rsidP="00870CBF">
            <w:pPr>
              <w:pStyle w:val="TableText"/>
              <w:keepNext/>
            </w:pPr>
            <w:r w:rsidRPr="000E600F">
              <w:t xml:space="preserve">Olaparib: 25.0% vs. 75.0% </w:t>
            </w:r>
          </w:p>
          <w:p w14:paraId="08EE946F" w14:textId="70358CEF" w:rsidR="00CF3B48" w:rsidRPr="000E600F" w:rsidRDefault="00CF3B48" w:rsidP="00870CBF">
            <w:pPr>
              <w:pStyle w:val="TableText"/>
              <w:keepNext/>
            </w:pPr>
            <w:r w:rsidRPr="000E600F">
              <w:t>Placebo: 23.2% vs. 76.8%</w:t>
            </w:r>
          </w:p>
        </w:tc>
        <w:tc>
          <w:tcPr>
            <w:tcW w:w="2268" w:type="dxa"/>
          </w:tcPr>
          <w:p w14:paraId="516C9F17" w14:textId="77777777" w:rsidR="00CF3B48" w:rsidRPr="000E600F" w:rsidRDefault="00CF3B48" w:rsidP="00870CBF">
            <w:pPr>
              <w:pStyle w:val="TableText"/>
              <w:keepNext/>
            </w:pPr>
            <w:r w:rsidRPr="000E600F">
              <w:t>Equal across arms:</w:t>
            </w:r>
          </w:p>
          <w:p w14:paraId="43C12A96" w14:textId="4F200F58" w:rsidR="00CF3B48" w:rsidRPr="000E600F" w:rsidRDefault="00CF3B48" w:rsidP="00870CBF">
            <w:pPr>
              <w:pStyle w:val="TableText"/>
              <w:keepNext/>
            </w:pPr>
            <w:r w:rsidRPr="000E600F">
              <w:t>23.9 vs. 76.1% in both arms</w:t>
            </w:r>
          </w:p>
        </w:tc>
        <w:tc>
          <w:tcPr>
            <w:tcW w:w="1276" w:type="dxa"/>
            <w:vAlign w:val="center"/>
          </w:tcPr>
          <w:p w14:paraId="648B822C" w14:textId="19954D66" w:rsidR="00CF3B48" w:rsidRPr="000E600F" w:rsidRDefault="000E5C92" w:rsidP="00870CBF">
            <w:pPr>
              <w:pStyle w:val="TableText"/>
              <w:keepNext/>
              <w:jc w:val="right"/>
            </w:pPr>
            <w:r w:rsidRPr="008A391B">
              <w:rPr>
                <w:rFonts w:cs="Arial"/>
                <w:b/>
                <w:bCs/>
              </w:rPr>
              <w:t>redacted</w:t>
            </w:r>
            <w:r w:rsidRPr="009B7852">
              <w:rPr>
                <w:vertAlign w:val="superscript"/>
              </w:rPr>
              <w:t xml:space="preserve"> </w:t>
            </w:r>
            <w:r w:rsidR="00CD206C" w:rsidRPr="009B7852">
              <w:rPr>
                <w:vertAlign w:val="superscript"/>
              </w:rPr>
              <w:t>2</w:t>
            </w:r>
          </w:p>
        </w:tc>
        <w:tc>
          <w:tcPr>
            <w:tcW w:w="941" w:type="dxa"/>
            <w:vAlign w:val="center"/>
          </w:tcPr>
          <w:p w14:paraId="570DCF57" w14:textId="54438922" w:rsidR="00CF3B48" w:rsidRPr="000E600F" w:rsidRDefault="001A3DAC" w:rsidP="00870CBF">
            <w:pPr>
              <w:pStyle w:val="TableText"/>
              <w:keepNext/>
              <w:jc w:val="center"/>
            </w:pPr>
            <w:r w:rsidRPr="008A391B">
              <w:rPr>
                <w:rFonts w:cs="Arial"/>
                <w:b/>
                <w:bCs/>
              </w:rPr>
              <w:t>redacted</w:t>
            </w:r>
            <w:r w:rsidRPr="000E600F">
              <w:t xml:space="preserve"> </w:t>
            </w:r>
            <w:r w:rsidR="00CF3B48" w:rsidRPr="000E600F">
              <w:t>%</w:t>
            </w:r>
          </w:p>
        </w:tc>
      </w:tr>
      <w:tr w:rsidR="00CF3B48" w:rsidRPr="00CF3B48" w14:paraId="659B9043" w14:textId="77777777" w:rsidTr="00CF3B48">
        <w:tc>
          <w:tcPr>
            <w:tcW w:w="2263" w:type="dxa"/>
          </w:tcPr>
          <w:p w14:paraId="47384CB7" w14:textId="7616BA27" w:rsidR="00CF3B48" w:rsidRPr="000E600F" w:rsidRDefault="00CF3B48" w:rsidP="00870CBF">
            <w:pPr>
              <w:pStyle w:val="TableText"/>
              <w:keepNext/>
            </w:pPr>
            <w:r w:rsidRPr="000E600F">
              <w:t xml:space="preserve">Increase background mortality for </w:t>
            </w:r>
            <w:r w:rsidR="009D6558" w:rsidRPr="000E600F">
              <w:t>g</w:t>
            </w:r>
            <w:r w:rsidR="00A96FCF" w:rsidRPr="00A96FCF">
              <w:rPr>
                <w:i/>
                <w:iCs/>
              </w:rPr>
              <w:t>BRCA</w:t>
            </w:r>
            <w:r w:rsidR="009D6558" w:rsidRPr="000E600F">
              <w:t xml:space="preserve"> </w:t>
            </w:r>
            <w:r w:rsidRPr="000E600F">
              <w:t>mutated patients to account for other cancer deaths</w:t>
            </w:r>
          </w:p>
        </w:tc>
        <w:tc>
          <w:tcPr>
            <w:tcW w:w="2268" w:type="dxa"/>
          </w:tcPr>
          <w:p w14:paraId="55E3EED5" w14:textId="13CF2D04" w:rsidR="00CF3B48" w:rsidRPr="000E600F" w:rsidRDefault="00CF3B48" w:rsidP="00870CBF">
            <w:pPr>
              <w:pStyle w:val="TableText"/>
              <w:keepNext/>
            </w:pPr>
            <w:r w:rsidRPr="000E600F">
              <w:t>1.61</w:t>
            </w:r>
          </w:p>
        </w:tc>
        <w:tc>
          <w:tcPr>
            <w:tcW w:w="2268" w:type="dxa"/>
          </w:tcPr>
          <w:p w14:paraId="244E3FDE" w14:textId="0DFEA748" w:rsidR="00CF3B48" w:rsidRPr="000E600F" w:rsidRDefault="00CF3B48" w:rsidP="00870CBF">
            <w:pPr>
              <w:pStyle w:val="TableText"/>
              <w:keepNext/>
            </w:pPr>
            <w:r w:rsidRPr="000E600F">
              <w:t>2</w:t>
            </w:r>
          </w:p>
        </w:tc>
        <w:tc>
          <w:tcPr>
            <w:tcW w:w="1276" w:type="dxa"/>
          </w:tcPr>
          <w:p w14:paraId="68F4DCFF" w14:textId="5ECED3B0" w:rsidR="00CF3B48" w:rsidRPr="000E600F" w:rsidRDefault="000E5C92" w:rsidP="00870CBF">
            <w:pPr>
              <w:pStyle w:val="TableText"/>
              <w:keepNext/>
              <w:jc w:val="right"/>
            </w:pPr>
            <w:r w:rsidRPr="008A391B">
              <w:rPr>
                <w:rFonts w:cs="Arial"/>
                <w:b/>
                <w:bCs/>
              </w:rPr>
              <w:t>redacted</w:t>
            </w:r>
            <w:r w:rsidRPr="00EC7D1B" w:rsidDel="00CD206C">
              <w:t xml:space="preserve"> </w:t>
            </w:r>
            <w:r w:rsidR="00CD206C" w:rsidRPr="009B7852">
              <w:rPr>
                <w:vertAlign w:val="superscript"/>
              </w:rPr>
              <w:t>2</w:t>
            </w:r>
          </w:p>
        </w:tc>
        <w:tc>
          <w:tcPr>
            <w:tcW w:w="941" w:type="dxa"/>
          </w:tcPr>
          <w:p w14:paraId="14CF0911" w14:textId="6E87439F" w:rsidR="00CF3B48" w:rsidRPr="000E600F" w:rsidRDefault="001A3DAC" w:rsidP="00870CBF">
            <w:pPr>
              <w:pStyle w:val="TableText"/>
              <w:keepNext/>
              <w:jc w:val="center"/>
            </w:pPr>
            <w:r w:rsidRPr="008A391B">
              <w:rPr>
                <w:rFonts w:cs="Arial"/>
                <w:b/>
                <w:bCs/>
              </w:rPr>
              <w:t>redacted</w:t>
            </w:r>
            <w:r w:rsidRPr="000E600F">
              <w:t xml:space="preserve"> </w:t>
            </w:r>
            <w:r w:rsidR="00CF3B48" w:rsidRPr="000E600F">
              <w:t>%</w:t>
            </w:r>
          </w:p>
        </w:tc>
      </w:tr>
      <w:tr w:rsidR="00CF3B48" w:rsidRPr="00CF3B48" w14:paraId="10B82F27" w14:textId="77777777" w:rsidTr="00CF3B48">
        <w:tc>
          <w:tcPr>
            <w:tcW w:w="2263" w:type="dxa"/>
          </w:tcPr>
          <w:p w14:paraId="51D515A5" w14:textId="34500CF9" w:rsidR="00CF3B48" w:rsidRPr="000E600F" w:rsidRDefault="00CF3B48" w:rsidP="00870CBF">
            <w:pPr>
              <w:pStyle w:val="TableText"/>
              <w:keepNext/>
            </w:pPr>
            <w:r w:rsidRPr="000E600F">
              <w:t>Treatment rate in the mBC setting</w:t>
            </w:r>
          </w:p>
        </w:tc>
        <w:tc>
          <w:tcPr>
            <w:tcW w:w="2268" w:type="dxa"/>
          </w:tcPr>
          <w:p w14:paraId="76AC29B0" w14:textId="7E0E8C83" w:rsidR="00CF3B48" w:rsidRPr="000E600F" w:rsidRDefault="00CF3B48" w:rsidP="00870CBF">
            <w:pPr>
              <w:pStyle w:val="TableText"/>
              <w:keepNext/>
            </w:pPr>
            <w:r w:rsidRPr="000E600F">
              <w:t>80%</w:t>
            </w:r>
          </w:p>
        </w:tc>
        <w:tc>
          <w:tcPr>
            <w:tcW w:w="2268" w:type="dxa"/>
          </w:tcPr>
          <w:p w14:paraId="45C84178" w14:textId="0F31788D" w:rsidR="00CF3B48" w:rsidRPr="000E600F" w:rsidRDefault="00CF3B48" w:rsidP="00870CBF">
            <w:pPr>
              <w:pStyle w:val="TableText"/>
              <w:keepNext/>
            </w:pPr>
            <w:r w:rsidRPr="000E600F">
              <w:t>70%</w:t>
            </w:r>
          </w:p>
        </w:tc>
        <w:tc>
          <w:tcPr>
            <w:tcW w:w="1276" w:type="dxa"/>
          </w:tcPr>
          <w:p w14:paraId="2E846E3D" w14:textId="576F00D6" w:rsidR="00CF3B48" w:rsidRPr="000E600F" w:rsidRDefault="000E5C92" w:rsidP="00870CBF">
            <w:pPr>
              <w:pStyle w:val="TableText"/>
              <w:keepNext/>
              <w:jc w:val="right"/>
            </w:pPr>
            <w:r w:rsidRPr="008A391B">
              <w:rPr>
                <w:rFonts w:cs="Arial"/>
                <w:b/>
                <w:bCs/>
              </w:rPr>
              <w:t>redacted</w:t>
            </w:r>
            <w:r w:rsidRPr="009B7852">
              <w:rPr>
                <w:vertAlign w:val="superscript"/>
              </w:rPr>
              <w:t xml:space="preserve"> </w:t>
            </w:r>
            <w:r w:rsidR="00CD206C" w:rsidRPr="009B7852">
              <w:rPr>
                <w:vertAlign w:val="superscript"/>
              </w:rPr>
              <w:t>2</w:t>
            </w:r>
          </w:p>
        </w:tc>
        <w:tc>
          <w:tcPr>
            <w:tcW w:w="941" w:type="dxa"/>
          </w:tcPr>
          <w:p w14:paraId="2985E53D" w14:textId="01DE93F7" w:rsidR="00CF3B48" w:rsidRPr="000E600F" w:rsidRDefault="001A3DAC" w:rsidP="00870CBF">
            <w:pPr>
              <w:pStyle w:val="TableText"/>
              <w:keepNext/>
              <w:jc w:val="center"/>
            </w:pPr>
            <w:r w:rsidRPr="008A391B">
              <w:rPr>
                <w:rFonts w:cs="Arial"/>
                <w:b/>
                <w:bCs/>
              </w:rPr>
              <w:t>redacted</w:t>
            </w:r>
            <w:r w:rsidRPr="000E600F">
              <w:t xml:space="preserve"> </w:t>
            </w:r>
            <w:r w:rsidR="00CF3B48" w:rsidRPr="000E600F">
              <w:t>%</w:t>
            </w:r>
          </w:p>
        </w:tc>
      </w:tr>
      <w:tr w:rsidR="00CF3B48" w:rsidRPr="00CF3B48" w14:paraId="55291F8E" w14:textId="77777777" w:rsidTr="00CF3B48">
        <w:tc>
          <w:tcPr>
            <w:tcW w:w="2263" w:type="dxa"/>
          </w:tcPr>
          <w:p w14:paraId="04F5A46B" w14:textId="0624C444" w:rsidR="00CF3B48" w:rsidRPr="000E600F" w:rsidRDefault="00CF3B48" w:rsidP="00870CBF">
            <w:pPr>
              <w:pStyle w:val="TableText"/>
              <w:keepNext/>
            </w:pPr>
            <w:r w:rsidRPr="000E600F">
              <w:t>Adjustment for increased PARP use for non-mBC and mBC</w:t>
            </w:r>
          </w:p>
        </w:tc>
        <w:tc>
          <w:tcPr>
            <w:tcW w:w="2268" w:type="dxa"/>
          </w:tcPr>
          <w:p w14:paraId="5EB147A7" w14:textId="4B8A1AE0" w:rsidR="00CF3B48" w:rsidRPr="000E600F" w:rsidRDefault="00CF3B48" w:rsidP="00870CBF">
            <w:pPr>
              <w:pStyle w:val="TableText"/>
              <w:keepNext/>
            </w:pPr>
            <w:r w:rsidRPr="000E600F">
              <w:t>Included</w:t>
            </w:r>
          </w:p>
        </w:tc>
        <w:tc>
          <w:tcPr>
            <w:tcW w:w="2268" w:type="dxa"/>
          </w:tcPr>
          <w:p w14:paraId="5216C701" w14:textId="0C35E9BB" w:rsidR="00CF3B48" w:rsidRPr="000E600F" w:rsidRDefault="00CF3B48" w:rsidP="00870CBF">
            <w:pPr>
              <w:pStyle w:val="TableText"/>
              <w:keepNext/>
            </w:pPr>
            <w:r w:rsidRPr="000E600F">
              <w:t>Removed</w:t>
            </w:r>
          </w:p>
        </w:tc>
        <w:tc>
          <w:tcPr>
            <w:tcW w:w="1276" w:type="dxa"/>
          </w:tcPr>
          <w:p w14:paraId="4EDD5C6F" w14:textId="56B4A059" w:rsidR="00CF3B48" w:rsidRPr="000E600F" w:rsidRDefault="000E5C92" w:rsidP="00870CBF">
            <w:pPr>
              <w:pStyle w:val="TableText"/>
              <w:keepNext/>
              <w:jc w:val="right"/>
            </w:pPr>
            <w:r w:rsidRPr="008A391B">
              <w:rPr>
                <w:rFonts w:cs="Arial"/>
                <w:b/>
                <w:bCs/>
              </w:rPr>
              <w:t>redacted</w:t>
            </w:r>
            <w:r w:rsidRPr="00EC7D1B" w:rsidDel="00CD206C">
              <w:t xml:space="preserve"> </w:t>
            </w:r>
            <w:r w:rsidR="00CD206C" w:rsidRPr="009B7852">
              <w:rPr>
                <w:vertAlign w:val="superscript"/>
              </w:rPr>
              <w:t>2</w:t>
            </w:r>
          </w:p>
        </w:tc>
        <w:tc>
          <w:tcPr>
            <w:tcW w:w="941" w:type="dxa"/>
          </w:tcPr>
          <w:p w14:paraId="1D2FFDD2" w14:textId="77DAF0DC" w:rsidR="00CF3B48" w:rsidRPr="000E600F" w:rsidRDefault="001A3DAC" w:rsidP="00870CBF">
            <w:pPr>
              <w:pStyle w:val="TableText"/>
              <w:keepNext/>
              <w:jc w:val="center"/>
            </w:pPr>
            <w:r w:rsidRPr="008A391B">
              <w:rPr>
                <w:rFonts w:cs="Arial"/>
                <w:b/>
                <w:bCs/>
              </w:rPr>
              <w:t>redacted</w:t>
            </w:r>
            <w:r w:rsidRPr="000E600F">
              <w:t xml:space="preserve"> </w:t>
            </w:r>
            <w:r w:rsidR="00CF3B48" w:rsidRPr="000E600F">
              <w:t>%</w:t>
            </w:r>
          </w:p>
        </w:tc>
      </w:tr>
      <w:tr w:rsidR="00CF3B48" w:rsidRPr="00CF3B48" w14:paraId="133565A2" w14:textId="77777777" w:rsidTr="00CF3B48">
        <w:tc>
          <w:tcPr>
            <w:tcW w:w="2263" w:type="dxa"/>
          </w:tcPr>
          <w:p w14:paraId="25AC6241" w14:textId="6AFB54CA" w:rsidR="00CF3B48" w:rsidRPr="000E600F" w:rsidRDefault="00CF3B48" w:rsidP="00870CBF">
            <w:pPr>
              <w:pStyle w:val="TableText"/>
              <w:keepNext/>
            </w:pPr>
            <w:r w:rsidRPr="000E600F">
              <w:t>Treatment duration of sacituzumab govitecan treatment</w:t>
            </w:r>
          </w:p>
        </w:tc>
        <w:tc>
          <w:tcPr>
            <w:tcW w:w="2268" w:type="dxa"/>
          </w:tcPr>
          <w:p w14:paraId="61421F05" w14:textId="019B883A" w:rsidR="00CF3B48" w:rsidRPr="000E600F" w:rsidRDefault="00CF3B48" w:rsidP="00870CBF">
            <w:pPr>
              <w:pStyle w:val="TableText"/>
              <w:keepNext/>
            </w:pPr>
            <w:r w:rsidRPr="000E600F">
              <w:t>6.6 months</w:t>
            </w:r>
          </w:p>
        </w:tc>
        <w:tc>
          <w:tcPr>
            <w:tcW w:w="2268" w:type="dxa"/>
          </w:tcPr>
          <w:p w14:paraId="40ACE0A0" w14:textId="46C5CA4C" w:rsidR="00CF3B48" w:rsidRPr="000E600F" w:rsidRDefault="00CF3B48" w:rsidP="00870CBF">
            <w:pPr>
              <w:pStyle w:val="TableText"/>
              <w:keepNext/>
            </w:pPr>
            <w:r w:rsidRPr="000E600F">
              <w:t>5.6 months, taking to account dose interruptions</w:t>
            </w:r>
          </w:p>
        </w:tc>
        <w:tc>
          <w:tcPr>
            <w:tcW w:w="1276" w:type="dxa"/>
          </w:tcPr>
          <w:p w14:paraId="433243D9" w14:textId="26ADE261" w:rsidR="00CF3B48" w:rsidRPr="000E600F" w:rsidRDefault="000E5C92" w:rsidP="00870CBF">
            <w:pPr>
              <w:pStyle w:val="TableText"/>
              <w:keepNext/>
              <w:jc w:val="right"/>
            </w:pPr>
            <w:r w:rsidRPr="008A391B">
              <w:rPr>
                <w:rFonts w:cs="Arial"/>
                <w:b/>
                <w:bCs/>
              </w:rPr>
              <w:t>redacted</w:t>
            </w:r>
            <w:r w:rsidRPr="009B7852">
              <w:rPr>
                <w:vertAlign w:val="superscript"/>
              </w:rPr>
              <w:t xml:space="preserve"> </w:t>
            </w:r>
            <w:r w:rsidR="00CD206C" w:rsidRPr="009B7852">
              <w:rPr>
                <w:vertAlign w:val="superscript"/>
              </w:rPr>
              <w:t>2</w:t>
            </w:r>
          </w:p>
        </w:tc>
        <w:tc>
          <w:tcPr>
            <w:tcW w:w="941" w:type="dxa"/>
          </w:tcPr>
          <w:p w14:paraId="7A61C0FB" w14:textId="11AC71F0" w:rsidR="00CF3B48" w:rsidRPr="000E600F" w:rsidRDefault="001A3DAC" w:rsidP="00870CBF">
            <w:pPr>
              <w:pStyle w:val="TableText"/>
              <w:keepNext/>
              <w:jc w:val="center"/>
            </w:pPr>
            <w:r w:rsidRPr="008A391B">
              <w:rPr>
                <w:rFonts w:cs="Arial"/>
                <w:b/>
                <w:bCs/>
              </w:rPr>
              <w:t>redacted</w:t>
            </w:r>
            <w:r w:rsidRPr="000E600F">
              <w:t xml:space="preserve"> </w:t>
            </w:r>
            <w:r w:rsidR="00CF3B48" w:rsidRPr="000E600F">
              <w:t>%</w:t>
            </w:r>
          </w:p>
        </w:tc>
      </w:tr>
      <w:tr w:rsidR="00CF3B48" w:rsidRPr="00CF3B48" w14:paraId="3A1A673F" w14:textId="77777777" w:rsidTr="00CF3B48">
        <w:tc>
          <w:tcPr>
            <w:tcW w:w="2263" w:type="dxa"/>
          </w:tcPr>
          <w:p w14:paraId="0288A27D" w14:textId="60F070D0" w:rsidR="00CF3B48" w:rsidRPr="000E600F" w:rsidRDefault="00FD798C" w:rsidP="00870CBF">
            <w:pPr>
              <w:pStyle w:val="TableText"/>
              <w:keepNext/>
            </w:pPr>
            <w:r w:rsidRPr="000E600F">
              <w:t>g</w:t>
            </w:r>
            <w:r w:rsidR="00A96FCF" w:rsidRPr="00A96FCF">
              <w:rPr>
                <w:i/>
                <w:iCs/>
              </w:rPr>
              <w:t>BRCA</w:t>
            </w:r>
            <w:r w:rsidR="00CF3B48" w:rsidRPr="000E600F">
              <w:t xml:space="preserve"> testing unit cost</w:t>
            </w:r>
          </w:p>
        </w:tc>
        <w:tc>
          <w:tcPr>
            <w:tcW w:w="2268" w:type="dxa"/>
          </w:tcPr>
          <w:p w14:paraId="4ECE5673" w14:textId="15D8AD33" w:rsidR="00CF3B48" w:rsidRPr="000E600F" w:rsidRDefault="00CF3B48" w:rsidP="00870CBF">
            <w:pPr>
              <w:pStyle w:val="TableText"/>
              <w:keepNext/>
            </w:pPr>
            <w:r w:rsidRPr="000E600F">
              <w:t>$1,000</w:t>
            </w:r>
          </w:p>
        </w:tc>
        <w:tc>
          <w:tcPr>
            <w:tcW w:w="2268" w:type="dxa"/>
          </w:tcPr>
          <w:p w14:paraId="5CD746BB" w14:textId="34793A72" w:rsidR="00CF3B48" w:rsidRPr="000E600F" w:rsidRDefault="00CF3B48" w:rsidP="00870CBF">
            <w:pPr>
              <w:pStyle w:val="TableText"/>
              <w:keepNext/>
            </w:pPr>
            <w:r w:rsidRPr="000E600F">
              <w:t>$1,200</w:t>
            </w:r>
          </w:p>
        </w:tc>
        <w:tc>
          <w:tcPr>
            <w:tcW w:w="1276" w:type="dxa"/>
          </w:tcPr>
          <w:p w14:paraId="49C15351" w14:textId="5966E50A" w:rsidR="00CF3B48" w:rsidRPr="000E600F" w:rsidRDefault="000E5C92" w:rsidP="00870CBF">
            <w:pPr>
              <w:pStyle w:val="TableText"/>
              <w:keepNext/>
              <w:jc w:val="right"/>
            </w:pPr>
            <w:r w:rsidRPr="008A391B">
              <w:rPr>
                <w:rFonts w:cs="Arial"/>
                <w:b/>
                <w:bCs/>
              </w:rPr>
              <w:t>redacted</w:t>
            </w:r>
            <w:r w:rsidRPr="009B7852">
              <w:rPr>
                <w:vertAlign w:val="superscript"/>
              </w:rPr>
              <w:t xml:space="preserve"> </w:t>
            </w:r>
            <w:r w:rsidR="00CD206C" w:rsidRPr="009B7852">
              <w:rPr>
                <w:vertAlign w:val="superscript"/>
              </w:rPr>
              <w:t>2</w:t>
            </w:r>
          </w:p>
        </w:tc>
        <w:tc>
          <w:tcPr>
            <w:tcW w:w="941" w:type="dxa"/>
          </w:tcPr>
          <w:p w14:paraId="18A62D09" w14:textId="0B45DAA2" w:rsidR="00CF3B48" w:rsidRPr="000E600F" w:rsidRDefault="001A3DAC" w:rsidP="00870CBF">
            <w:pPr>
              <w:pStyle w:val="TableText"/>
              <w:keepNext/>
              <w:jc w:val="center"/>
            </w:pPr>
            <w:r w:rsidRPr="008A391B">
              <w:rPr>
                <w:rFonts w:cs="Arial"/>
                <w:b/>
                <w:bCs/>
              </w:rPr>
              <w:t>redacted</w:t>
            </w:r>
            <w:r w:rsidRPr="000E600F">
              <w:t xml:space="preserve"> </w:t>
            </w:r>
            <w:r w:rsidR="00CF3B48" w:rsidRPr="000E600F">
              <w:t>%</w:t>
            </w:r>
          </w:p>
        </w:tc>
      </w:tr>
      <w:tr w:rsidR="00CF3B48" w:rsidRPr="00CF3B48" w14:paraId="78EC2AFC" w14:textId="77777777" w:rsidTr="00CF3B48">
        <w:tc>
          <w:tcPr>
            <w:tcW w:w="2263" w:type="dxa"/>
          </w:tcPr>
          <w:p w14:paraId="21F79F79" w14:textId="1A36722C" w:rsidR="00CF3B48" w:rsidRPr="000E600F" w:rsidRDefault="00CF3B48" w:rsidP="00870CBF">
            <w:pPr>
              <w:pStyle w:val="TableText"/>
              <w:keepNext/>
            </w:pPr>
            <w:r w:rsidRPr="000E600F">
              <w:t xml:space="preserve">Echocardiography </w:t>
            </w:r>
          </w:p>
        </w:tc>
        <w:tc>
          <w:tcPr>
            <w:tcW w:w="2268" w:type="dxa"/>
          </w:tcPr>
          <w:p w14:paraId="33ADB8A7" w14:textId="35C6B802" w:rsidR="00CF3B48" w:rsidRPr="000E600F" w:rsidRDefault="00CF3B48" w:rsidP="00870CBF">
            <w:pPr>
              <w:pStyle w:val="TableText"/>
              <w:keepNext/>
            </w:pPr>
            <w:r w:rsidRPr="000E600F">
              <w:t>Included in the mBC health state</w:t>
            </w:r>
          </w:p>
        </w:tc>
        <w:tc>
          <w:tcPr>
            <w:tcW w:w="2268" w:type="dxa"/>
          </w:tcPr>
          <w:p w14:paraId="2A91B463" w14:textId="238DFD25" w:rsidR="00CF3B48" w:rsidRPr="000E600F" w:rsidRDefault="00CF3B48" w:rsidP="00870CBF">
            <w:pPr>
              <w:pStyle w:val="TableText"/>
              <w:keepNext/>
            </w:pPr>
            <w:r w:rsidRPr="000E600F">
              <w:t>Removed</w:t>
            </w:r>
          </w:p>
        </w:tc>
        <w:tc>
          <w:tcPr>
            <w:tcW w:w="1276" w:type="dxa"/>
          </w:tcPr>
          <w:p w14:paraId="32C20C03" w14:textId="1F91EB2D" w:rsidR="00CF3B48" w:rsidRPr="000E600F" w:rsidRDefault="000E5C92" w:rsidP="00870CBF">
            <w:pPr>
              <w:pStyle w:val="TableText"/>
              <w:keepNext/>
              <w:jc w:val="right"/>
            </w:pPr>
            <w:r w:rsidRPr="008A391B">
              <w:rPr>
                <w:rFonts w:cs="Arial"/>
                <w:b/>
                <w:bCs/>
              </w:rPr>
              <w:t>redacted</w:t>
            </w:r>
            <w:r w:rsidRPr="00EC7D1B" w:rsidDel="00CD206C">
              <w:t xml:space="preserve"> </w:t>
            </w:r>
            <w:r w:rsidR="00CD206C" w:rsidRPr="009B7852">
              <w:rPr>
                <w:vertAlign w:val="superscript"/>
              </w:rPr>
              <w:t>2</w:t>
            </w:r>
          </w:p>
        </w:tc>
        <w:tc>
          <w:tcPr>
            <w:tcW w:w="941" w:type="dxa"/>
          </w:tcPr>
          <w:p w14:paraId="5953A4F5" w14:textId="7EF5FE31" w:rsidR="00CF3B48" w:rsidRPr="000E600F" w:rsidRDefault="001A3DAC" w:rsidP="00870CBF">
            <w:pPr>
              <w:pStyle w:val="TableText"/>
              <w:keepNext/>
              <w:jc w:val="center"/>
            </w:pPr>
            <w:r w:rsidRPr="008A391B">
              <w:rPr>
                <w:rFonts w:cs="Arial"/>
                <w:b/>
                <w:bCs/>
              </w:rPr>
              <w:t>redacted</w:t>
            </w:r>
            <w:r w:rsidRPr="000E600F">
              <w:t xml:space="preserve"> </w:t>
            </w:r>
            <w:r w:rsidR="00CF3B48" w:rsidRPr="000E600F">
              <w:t>%</w:t>
            </w:r>
          </w:p>
        </w:tc>
      </w:tr>
      <w:tr w:rsidR="00CF3B48" w:rsidRPr="00CF3B48" w14:paraId="66674E41" w14:textId="77777777" w:rsidTr="00CF3B48">
        <w:tc>
          <w:tcPr>
            <w:tcW w:w="2263" w:type="dxa"/>
          </w:tcPr>
          <w:p w14:paraId="1BFA584C" w14:textId="55AD8894" w:rsidR="00CF3B48" w:rsidRPr="000E600F" w:rsidRDefault="00CF3B48" w:rsidP="00870CBF">
            <w:pPr>
              <w:pStyle w:val="TableText"/>
            </w:pPr>
            <w:r w:rsidRPr="000E600F">
              <w:t>Model time horizon</w:t>
            </w:r>
          </w:p>
        </w:tc>
        <w:tc>
          <w:tcPr>
            <w:tcW w:w="2268" w:type="dxa"/>
          </w:tcPr>
          <w:p w14:paraId="6E1A1C0C" w14:textId="7D5D7E10" w:rsidR="00CF3B48" w:rsidRPr="000E600F" w:rsidRDefault="00CF3B48" w:rsidP="00870CBF">
            <w:pPr>
              <w:pStyle w:val="TableText"/>
            </w:pPr>
            <w:r w:rsidRPr="000E600F">
              <w:t>40 years</w:t>
            </w:r>
          </w:p>
        </w:tc>
        <w:tc>
          <w:tcPr>
            <w:tcW w:w="2268" w:type="dxa"/>
          </w:tcPr>
          <w:p w14:paraId="7AB2DA4A" w14:textId="06BA2606" w:rsidR="00CF3B48" w:rsidRPr="000E600F" w:rsidRDefault="00CF3B48" w:rsidP="00870CBF">
            <w:pPr>
              <w:pStyle w:val="TableText"/>
            </w:pPr>
            <w:r w:rsidRPr="000E600F">
              <w:t>30 years</w:t>
            </w:r>
          </w:p>
        </w:tc>
        <w:tc>
          <w:tcPr>
            <w:tcW w:w="1276" w:type="dxa"/>
          </w:tcPr>
          <w:p w14:paraId="3A6D324F" w14:textId="2FE75FBC" w:rsidR="00CF3B48" w:rsidRPr="000E600F" w:rsidRDefault="00EE03E4" w:rsidP="00870CBF">
            <w:pPr>
              <w:pStyle w:val="TableText"/>
              <w:jc w:val="right"/>
            </w:pPr>
            <w:r w:rsidRPr="008A391B">
              <w:rPr>
                <w:rFonts w:cs="Arial"/>
                <w:b/>
                <w:bCs/>
              </w:rPr>
              <w:t>redacted</w:t>
            </w:r>
            <w:r w:rsidRPr="000E600F" w:rsidDel="00EE03E4">
              <w:t xml:space="preserve"> </w:t>
            </w:r>
            <w:r w:rsidR="002340B8" w:rsidRPr="009B7852">
              <w:rPr>
                <w:vertAlign w:val="superscript"/>
              </w:rPr>
              <w:t>2</w:t>
            </w:r>
          </w:p>
        </w:tc>
        <w:tc>
          <w:tcPr>
            <w:tcW w:w="941" w:type="dxa"/>
          </w:tcPr>
          <w:p w14:paraId="0A2FCA0F" w14:textId="472AA846" w:rsidR="00CF3B48" w:rsidRPr="000E600F" w:rsidRDefault="001A3DAC" w:rsidP="00870CBF">
            <w:pPr>
              <w:pStyle w:val="TableText"/>
              <w:jc w:val="center"/>
            </w:pPr>
            <w:r w:rsidRPr="008A391B">
              <w:rPr>
                <w:rFonts w:cs="Arial"/>
                <w:b/>
                <w:bCs/>
              </w:rPr>
              <w:t>redacted</w:t>
            </w:r>
            <w:r w:rsidRPr="000E600F">
              <w:t xml:space="preserve"> </w:t>
            </w:r>
            <w:r w:rsidR="00CF3B48" w:rsidRPr="000E600F">
              <w:t>%</w:t>
            </w:r>
          </w:p>
        </w:tc>
      </w:tr>
    </w:tbl>
    <w:p w14:paraId="65FB5D4B" w14:textId="77777777" w:rsidR="00CF3B48" w:rsidRPr="000E600F" w:rsidRDefault="00CF3B48" w:rsidP="00CF3B48">
      <w:pPr>
        <w:pStyle w:val="TableFigureFooter"/>
      </w:pPr>
      <w:r w:rsidRPr="000E600F">
        <w:t>Source: Analyses performed during the evaluation.</w:t>
      </w:r>
    </w:p>
    <w:p w14:paraId="63710B51" w14:textId="0324C524" w:rsidR="00CF3B48" w:rsidRDefault="008C513A" w:rsidP="00CF3B48">
      <w:pPr>
        <w:pStyle w:val="TableFigureFooter"/>
      </w:pPr>
      <w:r w:rsidRPr="000D659D">
        <w:rPr>
          <w:lang w:val="en-US"/>
        </w:rPr>
        <w:t>g</w:t>
      </w:r>
      <w:r w:rsidR="00A96FCF" w:rsidRPr="00A96FCF">
        <w:rPr>
          <w:i/>
          <w:iCs/>
          <w:lang w:val="en-US"/>
        </w:rPr>
        <w:t>BRCA</w:t>
      </w:r>
      <w:r w:rsidRPr="00487719">
        <w:t xml:space="preserve"> = germline </w:t>
      </w:r>
      <w:r w:rsidRPr="000E600F">
        <w:t>B</w:t>
      </w:r>
      <w:r w:rsidR="00A57669" w:rsidRPr="000E600F">
        <w:t>r</w:t>
      </w:r>
      <w:r w:rsidRPr="000E600F">
        <w:t>east C</w:t>
      </w:r>
      <w:r w:rsidR="00A57669" w:rsidRPr="000E600F">
        <w:t>a</w:t>
      </w:r>
      <w:r w:rsidRPr="000E600F">
        <w:t>ncer</w:t>
      </w:r>
      <w:r w:rsidRPr="00487719">
        <w:t xml:space="preserve"> gene; </w:t>
      </w:r>
      <w:r w:rsidR="00CF3B48" w:rsidRPr="000E600F">
        <w:t>ICER = incremental cost-effectiveness ratio; mBC = metastatic breast cancer recurrence; non</w:t>
      </w:r>
      <w:r w:rsidRPr="000E600F">
        <w:noBreakHyphen/>
      </w:r>
      <w:r w:rsidR="00CF3B48" w:rsidRPr="000E600F">
        <w:t>mBC = non-metastatic breast cancer recurrence</w:t>
      </w:r>
      <w:r w:rsidR="00FD798C" w:rsidRPr="000E600F">
        <w:t>; PARP = poly (adenosine diphosphate [ADP]-ribose) polymerase</w:t>
      </w:r>
      <w:r w:rsidR="00CF3B48" w:rsidRPr="000E600F">
        <w:t>.</w:t>
      </w:r>
    </w:p>
    <w:p w14:paraId="6E04366A" w14:textId="77777777" w:rsidR="009012C1" w:rsidRDefault="009012C1" w:rsidP="009012C1">
      <w:pPr>
        <w:pStyle w:val="TableFigureFooter"/>
        <w:rPr>
          <w:i/>
          <w:iCs/>
        </w:rPr>
      </w:pPr>
      <w:r w:rsidRPr="009B7852">
        <w:rPr>
          <w:i/>
          <w:iCs/>
          <w:vertAlign w:val="superscript"/>
        </w:rPr>
        <w:t xml:space="preserve">1 </w:t>
      </w:r>
      <w:r>
        <w:rPr>
          <w:i/>
          <w:iCs/>
        </w:rPr>
        <w:t>$35,000 to &lt; $45,000</w:t>
      </w:r>
    </w:p>
    <w:p w14:paraId="3364E051" w14:textId="7318FE90" w:rsidR="00CD206C" w:rsidRPr="00E454C1" w:rsidRDefault="009012C1" w:rsidP="00CF3B48">
      <w:pPr>
        <w:pStyle w:val="TableFigureFooter"/>
        <w:rPr>
          <w:i/>
          <w:iCs/>
        </w:rPr>
      </w:pPr>
      <w:r>
        <w:rPr>
          <w:i/>
          <w:iCs/>
          <w:vertAlign w:val="superscript"/>
        </w:rPr>
        <w:t xml:space="preserve">2 </w:t>
      </w:r>
      <w:r w:rsidRPr="009B7852">
        <w:rPr>
          <w:i/>
          <w:iCs/>
          <w:vertAlign w:val="superscript"/>
        </w:rPr>
        <w:t xml:space="preserve"> </w:t>
      </w:r>
      <w:r>
        <w:rPr>
          <w:i/>
          <w:iCs/>
        </w:rPr>
        <w:t>$55,000 to &lt; $75,000</w:t>
      </w:r>
    </w:p>
    <w:p w14:paraId="467DF518" w14:textId="6A0F802C" w:rsidR="00CF3B48" w:rsidRPr="000E600F" w:rsidRDefault="00CF3B48" w:rsidP="00137818">
      <w:r w:rsidRPr="000E600F">
        <w:t>Additional sensitivity analyses based on the alternate base case</w:t>
      </w:r>
      <w:r w:rsidR="00510412" w:rsidRPr="000E600F">
        <w:t xml:space="preserve"> presented in the </w:t>
      </w:r>
      <w:r w:rsidR="008D430B" w:rsidRPr="000E600F">
        <w:t xml:space="preserve">Commentary on the PBAC resubmission </w:t>
      </w:r>
      <w:r w:rsidRPr="000E600F">
        <w:t xml:space="preserve">are presented in </w:t>
      </w:r>
      <w:r w:rsidR="00C225B4" w:rsidRPr="000E600F">
        <w:fldChar w:fldCharType="begin"/>
      </w:r>
      <w:r w:rsidR="00C225B4" w:rsidRPr="000E600F">
        <w:instrText xml:space="preserve"> REF _Ref144290292 \h </w:instrText>
      </w:r>
      <w:r w:rsidR="00510412" w:rsidRPr="000E600F">
        <w:instrText xml:space="preserve"> \* MERGEFORMAT </w:instrText>
      </w:r>
      <w:r w:rsidR="00C225B4" w:rsidRPr="000E600F">
        <w:fldChar w:fldCharType="separate"/>
      </w:r>
      <w:r w:rsidR="00D8423B" w:rsidRPr="000E600F">
        <w:t>Table 10</w:t>
      </w:r>
      <w:r w:rsidR="00C225B4" w:rsidRPr="000E600F">
        <w:fldChar w:fldCharType="end"/>
      </w:r>
      <w:r w:rsidRPr="000E600F">
        <w:t>.</w:t>
      </w:r>
    </w:p>
    <w:p w14:paraId="54015EC5" w14:textId="13A2BEDD" w:rsidR="00CF3B48" w:rsidRPr="000E600F" w:rsidRDefault="00C225B4" w:rsidP="00CF3B48">
      <w:pPr>
        <w:pStyle w:val="Caption"/>
      </w:pPr>
      <w:bookmarkStart w:id="40" w:name="_Ref144290292"/>
      <w:r w:rsidRPr="000E600F">
        <w:t>Table </w:t>
      </w:r>
      <w:r w:rsidR="001947BE">
        <w:fldChar w:fldCharType="begin"/>
      </w:r>
      <w:r w:rsidR="001947BE">
        <w:instrText xml:space="preserve"> SEQ Table \* </w:instrText>
      </w:r>
      <w:r w:rsidR="001947BE">
        <w:instrText xml:space="preserve">ARABIC </w:instrText>
      </w:r>
      <w:r w:rsidR="001947BE">
        <w:fldChar w:fldCharType="separate"/>
      </w:r>
      <w:r w:rsidR="00D8423B" w:rsidRPr="000E600F">
        <w:t>10</w:t>
      </w:r>
      <w:r w:rsidR="001947BE">
        <w:fldChar w:fldCharType="end"/>
      </w:r>
      <w:bookmarkEnd w:id="40"/>
      <w:r w:rsidRPr="000E600F">
        <w:tab/>
      </w:r>
      <w:r w:rsidR="00CF3B48" w:rsidRPr="000E600F">
        <w:t>Sensitivity analyses</w:t>
      </w:r>
      <w:r w:rsidR="00510412" w:rsidRPr="000E600F">
        <w:t xml:space="preserve"> (</w:t>
      </w:r>
      <w:r w:rsidR="00365045" w:rsidRPr="000E600F">
        <w:t xml:space="preserve">PBAC </w:t>
      </w:r>
      <w:r w:rsidR="008B5A04" w:rsidRPr="000E600F">
        <w:t xml:space="preserve">Commentary </w:t>
      </w:r>
      <w:r w:rsidR="00510412" w:rsidRPr="000E600F">
        <w:t>alternate base case)</w:t>
      </w:r>
    </w:p>
    <w:tbl>
      <w:tblPr>
        <w:tblStyle w:val="TableGrid1"/>
        <w:tblW w:w="5000" w:type="pct"/>
        <w:tblLayout w:type="fixed"/>
        <w:tblLook w:val="04A0" w:firstRow="1" w:lastRow="0" w:firstColumn="1" w:lastColumn="0" w:noHBand="0" w:noVBand="1"/>
      </w:tblPr>
      <w:tblGrid>
        <w:gridCol w:w="3415"/>
        <w:gridCol w:w="1542"/>
        <w:gridCol w:w="1260"/>
        <w:gridCol w:w="1717"/>
        <w:gridCol w:w="1082"/>
      </w:tblGrid>
      <w:tr w:rsidR="00CF3B48" w:rsidRPr="00116109" w14:paraId="1ED987C2" w14:textId="77777777" w:rsidTr="00771162">
        <w:trPr>
          <w:cnfStyle w:val="100000000000" w:firstRow="1" w:lastRow="0" w:firstColumn="0" w:lastColumn="0" w:oddVBand="0" w:evenVBand="0" w:oddHBand="0" w:evenHBand="0" w:firstRowFirstColumn="0" w:firstRowLastColumn="0" w:lastRowFirstColumn="0" w:lastRowLastColumn="0"/>
          <w:cantSplit/>
          <w:tblHeader/>
        </w:trPr>
        <w:tc>
          <w:tcPr>
            <w:tcW w:w="1894" w:type="pct"/>
          </w:tcPr>
          <w:p w14:paraId="539D8508" w14:textId="77777777" w:rsidR="00CF3B48" w:rsidRPr="000E600F" w:rsidRDefault="00CF3B48" w:rsidP="00051C04">
            <w:pPr>
              <w:pStyle w:val="In-tableHeading"/>
            </w:pPr>
            <w:r w:rsidRPr="000E600F">
              <w:t>Analyses</w:t>
            </w:r>
          </w:p>
        </w:tc>
        <w:tc>
          <w:tcPr>
            <w:tcW w:w="855" w:type="pct"/>
          </w:tcPr>
          <w:p w14:paraId="5D055919" w14:textId="77777777" w:rsidR="00CF3B48" w:rsidRPr="000E600F" w:rsidRDefault="00CF3B48" w:rsidP="00304B60">
            <w:pPr>
              <w:pStyle w:val="In-tableHeading"/>
              <w:jc w:val="center"/>
            </w:pPr>
            <w:r w:rsidRPr="000E600F">
              <w:t>Incremental cost</w:t>
            </w:r>
          </w:p>
        </w:tc>
        <w:tc>
          <w:tcPr>
            <w:tcW w:w="699" w:type="pct"/>
          </w:tcPr>
          <w:p w14:paraId="31380214" w14:textId="77777777" w:rsidR="00CF3B48" w:rsidRPr="000E600F" w:rsidRDefault="00CF3B48" w:rsidP="00304B60">
            <w:pPr>
              <w:pStyle w:val="In-tableHeading"/>
              <w:jc w:val="center"/>
            </w:pPr>
            <w:r w:rsidRPr="000E600F">
              <w:t>Incremental QALY</w:t>
            </w:r>
          </w:p>
        </w:tc>
        <w:tc>
          <w:tcPr>
            <w:tcW w:w="952" w:type="pct"/>
          </w:tcPr>
          <w:p w14:paraId="4CB4859E" w14:textId="77777777" w:rsidR="00CF3B48" w:rsidRPr="000E600F" w:rsidRDefault="00CF3B48" w:rsidP="00304B60">
            <w:pPr>
              <w:pStyle w:val="In-tableHeading"/>
              <w:jc w:val="center"/>
            </w:pPr>
            <w:r w:rsidRPr="000E600F">
              <w:t>ICER</w:t>
            </w:r>
          </w:p>
        </w:tc>
        <w:tc>
          <w:tcPr>
            <w:tcW w:w="600" w:type="pct"/>
          </w:tcPr>
          <w:p w14:paraId="4476DBC2" w14:textId="77777777" w:rsidR="00CF3B48" w:rsidRPr="000E600F" w:rsidRDefault="00CF3B48" w:rsidP="00304B60">
            <w:pPr>
              <w:pStyle w:val="In-tableHeading"/>
              <w:jc w:val="center"/>
            </w:pPr>
            <w:r w:rsidRPr="000E600F">
              <w:t>% change to ICER</w:t>
            </w:r>
          </w:p>
        </w:tc>
      </w:tr>
      <w:tr w:rsidR="00CF3B48" w:rsidRPr="00116109" w14:paraId="4FCE5CAA" w14:textId="77777777" w:rsidTr="00771162">
        <w:trPr>
          <w:cantSplit/>
        </w:trPr>
        <w:tc>
          <w:tcPr>
            <w:tcW w:w="1894" w:type="pct"/>
            <w:tcBorders>
              <w:bottom w:val="single" w:sz="4" w:space="0" w:color="auto"/>
            </w:tcBorders>
          </w:tcPr>
          <w:p w14:paraId="1A39CEA2" w14:textId="3AC1EA82" w:rsidR="00CF3B48" w:rsidRPr="000E600F" w:rsidRDefault="00365045" w:rsidP="00051C04">
            <w:pPr>
              <w:pStyle w:val="TableText"/>
              <w:keepNext/>
              <w:rPr>
                <w:b/>
              </w:rPr>
            </w:pPr>
            <w:r w:rsidRPr="000E600F">
              <w:rPr>
                <w:b/>
              </w:rPr>
              <w:t xml:space="preserve">PBAC Commentary </w:t>
            </w:r>
            <w:r w:rsidR="00CF3B48" w:rsidRPr="000E600F">
              <w:rPr>
                <w:b/>
              </w:rPr>
              <w:t>alternate base case</w:t>
            </w:r>
          </w:p>
        </w:tc>
        <w:tc>
          <w:tcPr>
            <w:tcW w:w="855" w:type="pct"/>
            <w:tcBorders>
              <w:bottom w:val="single" w:sz="4" w:space="0" w:color="auto"/>
            </w:tcBorders>
          </w:tcPr>
          <w:p w14:paraId="36B8D653" w14:textId="5E311AD1" w:rsidR="00CF3B48" w:rsidRPr="000E600F" w:rsidRDefault="001466D3" w:rsidP="00116109">
            <w:pPr>
              <w:pStyle w:val="TableText"/>
              <w:keepNext/>
              <w:jc w:val="right"/>
              <w:rPr>
                <w:b/>
                <w:highlight w:val="black"/>
              </w:rPr>
            </w:pPr>
            <w:r>
              <w:rPr>
                <w:b/>
              </w:rPr>
              <w:t>redacted</w:t>
            </w:r>
          </w:p>
        </w:tc>
        <w:tc>
          <w:tcPr>
            <w:tcW w:w="699" w:type="pct"/>
            <w:tcBorders>
              <w:bottom w:val="single" w:sz="4" w:space="0" w:color="auto"/>
            </w:tcBorders>
          </w:tcPr>
          <w:p w14:paraId="6C02EDD7" w14:textId="77777777" w:rsidR="00CF3B48" w:rsidRPr="000E600F" w:rsidRDefault="00CF3B48" w:rsidP="00116109">
            <w:pPr>
              <w:pStyle w:val="TableText"/>
              <w:keepNext/>
              <w:jc w:val="right"/>
              <w:rPr>
                <w:b/>
              </w:rPr>
            </w:pPr>
            <w:r w:rsidRPr="000E600F">
              <w:rPr>
                <w:b/>
              </w:rPr>
              <w:t>0.61</w:t>
            </w:r>
          </w:p>
        </w:tc>
        <w:tc>
          <w:tcPr>
            <w:tcW w:w="952" w:type="pct"/>
            <w:tcBorders>
              <w:bottom w:val="single" w:sz="4" w:space="0" w:color="auto"/>
            </w:tcBorders>
          </w:tcPr>
          <w:p w14:paraId="476B3A14" w14:textId="69CA68FA" w:rsidR="00CF3B48" w:rsidRPr="000E600F" w:rsidRDefault="002340B8" w:rsidP="00116109">
            <w:pPr>
              <w:pStyle w:val="TableText"/>
              <w:keepNext/>
              <w:jc w:val="right"/>
              <w:rPr>
                <w:b/>
                <w:highlight w:val="black"/>
              </w:rPr>
            </w:pPr>
            <w:r w:rsidRPr="008A391B">
              <w:rPr>
                <w:rFonts w:cs="Arial"/>
                <w:b/>
                <w:bCs/>
              </w:rPr>
              <w:t>redacted</w:t>
            </w:r>
            <w:r w:rsidRPr="009B7852">
              <w:rPr>
                <w:vertAlign w:val="superscript"/>
              </w:rPr>
              <w:t xml:space="preserve"> </w:t>
            </w:r>
            <w:r w:rsidR="008D5C85">
              <w:rPr>
                <w:vertAlign w:val="superscript"/>
              </w:rPr>
              <w:t>1</w:t>
            </w:r>
          </w:p>
        </w:tc>
        <w:tc>
          <w:tcPr>
            <w:tcW w:w="600" w:type="pct"/>
            <w:tcBorders>
              <w:bottom w:val="single" w:sz="4" w:space="0" w:color="auto"/>
            </w:tcBorders>
          </w:tcPr>
          <w:p w14:paraId="779FFD89" w14:textId="77777777" w:rsidR="00CF3B48" w:rsidRPr="000E600F" w:rsidRDefault="00CF3B48" w:rsidP="00116109">
            <w:pPr>
              <w:pStyle w:val="TableText"/>
              <w:keepNext/>
              <w:jc w:val="right"/>
              <w:rPr>
                <w:b/>
              </w:rPr>
            </w:pPr>
            <w:r w:rsidRPr="000E600F">
              <w:rPr>
                <w:b/>
              </w:rPr>
              <w:t>–</w:t>
            </w:r>
          </w:p>
        </w:tc>
      </w:tr>
      <w:tr w:rsidR="00CF3B48" w:rsidRPr="00116109" w14:paraId="78EA1183" w14:textId="77777777" w:rsidTr="000C0F81">
        <w:trPr>
          <w:cantSplit/>
        </w:trPr>
        <w:tc>
          <w:tcPr>
            <w:tcW w:w="4400" w:type="pct"/>
            <w:gridSpan w:val="4"/>
            <w:tcBorders>
              <w:right w:val="nil"/>
            </w:tcBorders>
          </w:tcPr>
          <w:p w14:paraId="3AC5D52D" w14:textId="77777777" w:rsidR="00CF3B48" w:rsidRPr="000E600F" w:rsidRDefault="00CF3B48" w:rsidP="00051C04">
            <w:pPr>
              <w:pStyle w:val="TableText"/>
              <w:keepNext/>
            </w:pPr>
            <w:r w:rsidRPr="000E600F">
              <w:t>Time horizon (base case: 30 years)</w:t>
            </w:r>
          </w:p>
        </w:tc>
        <w:tc>
          <w:tcPr>
            <w:tcW w:w="600" w:type="pct"/>
            <w:tcBorders>
              <w:left w:val="nil"/>
            </w:tcBorders>
          </w:tcPr>
          <w:p w14:paraId="528FFD02" w14:textId="77777777" w:rsidR="00CF3B48" w:rsidRPr="000E600F" w:rsidRDefault="00CF3B48" w:rsidP="00051C04">
            <w:pPr>
              <w:pStyle w:val="TableText"/>
              <w:keepNext/>
            </w:pPr>
          </w:p>
        </w:tc>
      </w:tr>
      <w:tr w:rsidR="00CF3B48" w:rsidRPr="00116109" w14:paraId="49C4E16C" w14:textId="77777777" w:rsidTr="00771162">
        <w:trPr>
          <w:cantSplit/>
        </w:trPr>
        <w:tc>
          <w:tcPr>
            <w:tcW w:w="1894" w:type="pct"/>
          </w:tcPr>
          <w:p w14:paraId="46AEBBFC" w14:textId="77777777" w:rsidR="00CF3B48" w:rsidRPr="000E600F" w:rsidRDefault="00CF3B48" w:rsidP="00051C04">
            <w:pPr>
              <w:pStyle w:val="TableText"/>
              <w:keepNext/>
            </w:pPr>
            <w:r w:rsidRPr="000E600F">
              <w:t>40 years</w:t>
            </w:r>
          </w:p>
        </w:tc>
        <w:tc>
          <w:tcPr>
            <w:tcW w:w="855" w:type="pct"/>
          </w:tcPr>
          <w:p w14:paraId="386E93E1" w14:textId="5EE4562D" w:rsidR="00CF3B48" w:rsidRPr="000E600F" w:rsidRDefault="001466D3" w:rsidP="00116109">
            <w:pPr>
              <w:pStyle w:val="TableText"/>
              <w:keepNext/>
              <w:jc w:val="right"/>
              <w:rPr>
                <w:highlight w:val="black"/>
              </w:rPr>
            </w:pPr>
            <w:r>
              <w:rPr>
                <w:b/>
              </w:rPr>
              <w:t>redacted</w:t>
            </w:r>
          </w:p>
        </w:tc>
        <w:tc>
          <w:tcPr>
            <w:tcW w:w="699" w:type="pct"/>
          </w:tcPr>
          <w:p w14:paraId="052BF6B5" w14:textId="77777777" w:rsidR="00CF3B48" w:rsidRPr="000E600F" w:rsidRDefault="00CF3B48" w:rsidP="00116109">
            <w:pPr>
              <w:pStyle w:val="TableText"/>
              <w:keepNext/>
              <w:jc w:val="right"/>
            </w:pPr>
            <w:r w:rsidRPr="000E600F">
              <w:t>0.67</w:t>
            </w:r>
          </w:p>
        </w:tc>
        <w:tc>
          <w:tcPr>
            <w:tcW w:w="952" w:type="pct"/>
          </w:tcPr>
          <w:p w14:paraId="02A43AAD" w14:textId="105BFF62" w:rsidR="00CF3B48" w:rsidRPr="000E600F" w:rsidRDefault="002340B8" w:rsidP="00116109">
            <w:pPr>
              <w:pStyle w:val="TableText"/>
              <w:keepNext/>
              <w:jc w:val="right"/>
              <w:rPr>
                <w:highlight w:val="black"/>
              </w:rPr>
            </w:pPr>
            <w:r w:rsidRPr="008A391B">
              <w:rPr>
                <w:rFonts w:cs="Arial"/>
                <w:b/>
                <w:bCs/>
              </w:rPr>
              <w:t>redacted</w:t>
            </w:r>
            <w:r w:rsidRPr="009B7852">
              <w:rPr>
                <w:vertAlign w:val="superscript"/>
              </w:rPr>
              <w:t xml:space="preserve"> </w:t>
            </w:r>
            <w:r w:rsidR="008D5C85">
              <w:rPr>
                <w:vertAlign w:val="superscript"/>
              </w:rPr>
              <w:t>1</w:t>
            </w:r>
          </w:p>
        </w:tc>
        <w:tc>
          <w:tcPr>
            <w:tcW w:w="600" w:type="pct"/>
          </w:tcPr>
          <w:p w14:paraId="716BA5CF" w14:textId="79012CC5" w:rsidR="00CF3B48" w:rsidRPr="000E600F" w:rsidRDefault="001A3DAC" w:rsidP="00116109">
            <w:pPr>
              <w:pStyle w:val="TableText"/>
              <w:keepNext/>
              <w:jc w:val="right"/>
            </w:pPr>
            <w:r w:rsidRPr="008A391B">
              <w:rPr>
                <w:rFonts w:cs="Arial"/>
                <w:b/>
                <w:bCs/>
              </w:rPr>
              <w:t>redacted</w:t>
            </w:r>
            <w:r w:rsidRPr="000E600F">
              <w:t xml:space="preserve"> </w:t>
            </w:r>
            <w:r w:rsidR="00CF3B48" w:rsidRPr="000E600F">
              <w:t>%</w:t>
            </w:r>
          </w:p>
        </w:tc>
      </w:tr>
      <w:tr w:rsidR="000B3287" w:rsidRPr="00116109" w14:paraId="0967525D" w14:textId="77777777" w:rsidTr="00520C34">
        <w:trPr>
          <w:cantSplit/>
        </w:trPr>
        <w:tc>
          <w:tcPr>
            <w:tcW w:w="5000" w:type="pct"/>
            <w:gridSpan w:val="5"/>
          </w:tcPr>
          <w:p w14:paraId="6DE871EC" w14:textId="77777777" w:rsidR="000B3287" w:rsidRPr="000E600F" w:rsidRDefault="000B3287" w:rsidP="00520C34">
            <w:pPr>
              <w:pStyle w:val="TableText"/>
              <w:keepNext/>
            </w:pPr>
            <w:r w:rsidRPr="000E600F">
              <w:t>Observed data truncation point (base case: 60 months)</w:t>
            </w:r>
          </w:p>
        </w:tc>
      </w:tr>
      <w:tr w:rsidR="000B3287" w:rsidRPr="00116109" w14:paraId="024F89EF" w14:textId="77777777" w:rsidTr="00771162">
        <w:trPr>
          <w:cantSplit/>
        </w:trPr>
        <w:tc>
          <w:tcPr>
            <w:tcW w:w="1894" w:type="pct"/>
          </w:tcPr>
          <w:p w14:paraId="5BCF755A" w14:textId="77777777" w:rsidR="000B3287" w:rsidRPr="000E600F" w:rsidRDefault="000B3287" w:rsidP="00520C34">
            <w:pPr>
              <w:pStyle w:val="TableText"/>
              <w:keepNext/>
            </w:pPr>
            <w:r w:rsidRPr="000E600F">
              <w:t>54 months</w:t>
            </w:r>
          </w:p>
        </w:tc>
        <w:tc>
          <w:tcPr>
            <w:tcW w:w="855" w:type="pct"/>
          </w:tcPr>
          <w:p w14:paraId="40D5E70B" w14:textId="5D3608CE" w:rsidR="000B3287" w:rsidRPr="000E600F" w:rsidRDefault="001466D3" w:rsidP="00520C34">
            <w:pPr>
              <w:pStyle w:val="TableText"/>
              <w:keepNext/>
              <w:jc w:val="right"/>
              <w:rPr>
                <w:highlight w:val="black"/>
              </w:rPr>
            </w:pPr>
            <w:r>
              <w:rPr>
                <w:b/>
              </w:rPr>
              <w:t>redacted</w:t>
            </w:r>
          </w:p>
        </w:tc>
        <w:tc>
          <w:tcPr>
            <w:tcW w:w="699" w:type="pct"/>
          </w:tcPr>
          <w:p w14:paraId="690D79AB" w14:textId="77777777" w:rsidR="000B3287" w:rsidRPr="000E600F" w:rsidRDefault="000B3287" w:rsidP="00520C34">
            <w:pPr>
              <w:pStyle w:val="TableText"/>
              <w:keepNext/>
              <w:jc w:val="right"/>
            </w:pPr>
            <w:r w:rsidRPr="000E600F">
              <w:t>0.74</w:t>
            </w:r>
          </w:p>
        </w:tc>
        <w:tc>
          <w:tcPr>
            <w:tcW w:w="952" w:type="pct"/>
          </w:tcPr>
          <w:p w14:paraId="45018BCF" w14:textId="07C02FA0" w:rsidR="000B3287" w:rsidRPr="000E600F" w:rsidRDefault="002340B8" w:rsidP="00520C34">
            <w:pPr>
              <w:pStyle w:val="TableText"/>
              <w:keepNext/>
              <w:jc w:val="right"/>
              <w:rPr>
                <w:highlight w:val="black"/>
              </w:rPr>
            </w:pPr>
            <w:r w:rsidRPr="008A391B">
              <w:rPr>
                <w:rFonts w:cs="Arial"/>
                <w:b/>
                <w:bCs/>
              </w:rPr>
              <w:t>redacted</w:t>
            </w:r>
            <w:r w:rsidRPr="009B7852">
              <w:rPr>
                <w:vertAlign w:val="superscript"/>
              </w:rPr>
              <w:t xml:space="preserve"> </w:t>
            </w:r>
            <w:r w:rsidR="008D5C85">
              <w:rPr>
                <w:vertAlign w:val="superscript"/>
              </w:rPr>
              <w:t>1</w:t>
            </w:r>
          </w:p>
        </w:tc>
        <w:tc>
          <w:tcPr>
            <w:tcW w:w="600" w:type="pct"/>
          </w:tcPr>
          <w:p w14:paraId="675D533F" w14:textId="653124D4" w:rsidR="000B3287" w:rsidRPr="000E600F" w:rsidRDefault="001A3DAC" w:rsidP="00520C34">
            <w:pPr>
              <w:pStyle w:val="TableText"/>
              <w:keepNext/>
              <w:jc w:val="right"/>
            </w:pPr>
            <w:r w:rsidRPr="008A391B">
              <w:rPr>
                <w:rFonts w:cs="Arial"/>
                <w:b/>
                <w:bCs/>
              </w:rPr>
              <w:t>redacted</w:t>
            </w:r>
            <w:r w:rsidRPr="000E600F">
              <w:t xml:space="preserve"> </w:t>
            </w:r>
            <w:r w:rsidR="000B3287" w:rsidRPr="000E600F">
              <w:t>%</w:t>
            </w:r>
          </w:p>
        </w:tc>
      </w:tr>
      <w:tr w:rsidR="000B3287" w:rsidRPr="00116109" w14:paraId="6BC8C499" w14:textId="77777777" w:rsidTr="00520C34">
        <w:trPr>
          <w:cantSplit/>
        </w:trPr>
        <w:tc>
          <w:tcPr>
            <w:tcW w:w="5000" w:type="pct"/>
            <w:gridSpan w:val="5"/>
          </w:tcPr>
          <w:p w14:paraId="406B3478" w14:textId="77777777" w:rsidR="000B3287" w:rsidRPr="000E600F" w:rsidRDefault="000B3287" w:rsidP="00520C34">
            <w:pPr>
              <w:pStyle w:val="TableText"/>
              <w:keepNext/>
            </w:pPr>
            <w:r w:rsidRPr="000E600F">
              <w:t>Increased background mortality multiplier (base case: 2)</w:t>
            </w:r>
          </w:p>
        </w:tc>
      </w:tr>
      <w:tr w:rsidR="000B3287" w:rsidRPr="00116109" w14:paraId="16BCF5FD" w14:textId="77777777" w:rsidTr="00771162">
        <w:trPr>
          <w:cantSplit/>
        </w:trPr>
        <w:tc>
          <w:tcPr>
            <w:tcW w:w="1894" w:type="pct"/>
          </w:tcPr>
          <w:p w14:paraId="102B0CBC" w14:textId="499425DD" w:rsidR="000B3287" w:rsidRPr="000E600F" w:rsidRDefault="000B3287" w:rsidP="00520C34">
            <w:pPr>
              <w:pStyle w:val="TableText"/>
              <w:keepNext/>
            </w:pPr>
            <w:r w:rsidRPr="000E600F">
              <w:t>1.61</w:t>
            </w:r>
          </w:p>
        </w:tc>
        <w:tc>
          <w:tcPr>
            <w:tcW w:w="855" w:type="pct"/>
          </w:tcPr>
          <w:p w14:paraId="5E94322E" w14:textId="75FB156A" w:rsidR="000B3287" w:rsidRPr="000E600F" w:rsidRDefault="001466D3" w:rsidP="00520C34">
            <w:pPr>
              <w:pStyle w:val="TableText"/>
              <w:keepNext/>
              <w:jc w:val="right"/>
              <w:rPr>
                <w:highlight w:val="black"/>
              </w:rPr>
            </w:pPr>
            <w:r>
              <w:rPr>
                <w:b/>
              </w:rPr>
              <w:t>redacted</w:t>
            </w:r>
            <w:r w:rsidRPr="000E600F" w:rsidDel="001466D3">
              <w:t xml:space="preserve"> </w:t>
            </w:r>
          </w:p>
        </w:tc>
        <w:tc>
          <w:tcPr>
            <w:tcW w:w="699" w:type="pct"/>
          </w:tcPr>
          <w:p w14:paraId="7655FD27" w14:textId="77777777" w:rsidR="000B3287" w:rsidRPr="000E600F" w:rsidRDefault="000B3287" w:rsidP="00520C34">
            <w:pPr>
              <w:pStyle w:val="TableText"/>
              <w:keepNext/>
              <w:jc w:val="right"/>
            </w:pPr>
            <w:r w:rsidRPr="000E600F">
              <w:t>0.622</w:t>
            </w:r>
          </w:p>
        </w:tc>
        <w:tc>
          <w:tcPr>
            <w:tcW w:w="952" w:type="pct"/>
          </w:tcPr>
          <w:p w14:paraId="5BDDB754" w14:textId="71D98FD5" w:rsidR="000B3287" w:rsidRPr="00771162" w:rsidRDefault="002340B8" w:rsidP="00520C34">
            <w:pPr>
              <w:pStyle w:val="TableText"/>
              <w:keepNext/>
              <w:jc w:val="right"/>
              <w:rPr>
                <w:highlight w:val="black"/>
                <w:vertAlign w:val="superscript"/>
              </w:rPr>
            </w:pPr>
            <w:r w:rsidRPr="008A391B">
              <w:rPr>
                <w:rFonts w:cs="Arial"/>
                <w:b/>
                <w:bCs/>
              </w:rPr>
              <w:t>redacted</w:t>
            </w:r>
            <w:r w:rsidRPr="002340B8">
              <w:rPr>
                <w:vertAlign w:val="superscript"/>
              </w:rPr>
              <w:t xml:space="preserve"> </w:t>
            </w:r>
            <w:r w:rsidR="008D5C85">
              <w:rPr>
                <w:vertAlign w:val="superscript"/>
              </w:rPr>
              <w:t>1</w:t>
            </w:r>
          </w:p>
        </w:tc>
        <w:tc>
          <w:tcPr>
            <w:tcW w:w="600" w:type="pct"/>
          </w:tcPr>
          <w:p w14:paraId="63CEFC96" w14:textId="02D6CA57" w:rsidR="000B3287" w:rsidRPr="000E600F" w:rsidRDefault="001A3DAC" w:rsidP="00520C34">
            <w:pPr>
              <w:pStyle w:val="TableText"/>
              <w:keepNext/>
              <w:jc w:val="right"/>
            </w:pPr>
            <w:r w:rsidRPr="008A391B">
              <w:rPr>
                <w:rFonts w:cs="Arial"/>
                <w:b/>
                <w:bCs/>
              </w:rPr>
              <w:t>redacted</w:t>
            </w:r>
            <w:r w:rsidRPr="000E600F">
              <w:t xml:space="preserve"> </w:t>
            </w:r>
            <w:r w:rsidR="000B3287" w:rsidRPr="000E600F">
              <w:t>%</w:t>
            </w:r>
          </w:p>
        </w:tc>
      </w:tr>
      <w:tr w:rsidR="00CF3B48" w:rsidRPr="00116109" w14:paraId="6BABB5A7" w14:textId="77777777" w:rsidTr="00304B60">
        <w:trPr>
          <w:cantSplit/>
        </w:trPr>
        <w:tc>
          <w:tcPr>
            <w:tcW w:w="5000" w:type="pct"/>
            <w:gridSpan w:val="5"/>
            <w:tcBorders>
              <w:bottom w:val="single" w:sz="4" w:space="0" w:color="auto"/>
            </w:tcBorders>
          </w:tcPr>
          <w:p w14:paraId="2108DA4E" w14:textId="77777777" w:rsidR="00CF3B48" w:rsidRPr="000E600F" w:rsidRDefault="00CF3B48" w:rsidP="00051C04">
            <w:pPr>
              <w:pStyle w:val="TableText"/>
              <w:keepNext/>
            </w:pPr>
            <w:r w:rsidRPr="000E600F">
              <w:t>Discount rate (base case: 5%)</w:t>
            </w:r>
          </w:p>
        </w:tc>
      </w:tr>
      <w:tr w:rsidR="00CF3B48" w:rsidRPr="00116109" w14:paraId="66FE565A" w14:textId="77777777" w:rsidTr="00771162">
        <w:trPr>
          <w:cantSplit/>
        </w:trPr>
        <w:tc>
          <w:tcPr>
            <w:tcW w:w="1894" w:type="pct"/>
            <w:tcBorders>
              <w:bottom w:val="nil"/>
            </w:tcBorders>
          </w:tcPr>
          <w:p w14:paraId="3564C746" w14:textId="77777777" w:rsidR="00CF3B48" w:rsidRPr="000E600F" w:rsidRDefault="00CF3B48" w:rsidP="00051C04">
            <w:pPr>
              <w:pStyle w:val="TableText"/>
              <w:keepNext/>
            </w:pPr>
            <w:r w:rsidRPr="000E600F">
              <w:t>0%</w:t>
            </w:r>
          </w:p>
        </w:tc>
        <w:tc>
          <w:tcPr>
            <w:tcW w:w="855" w:type="pct"/>
            <w:tcBorders>
              <w:bottom w:val="nil"/>
            </w:tcBorders>
          </w:tcPr>
          <w:p w14:paraId="763D88CA" w14:textId="6778C55D" w:rsidR="00CF3B48" w:rsidRPr="000E600F" w:rsidRDefault="001466D3" w:rsidP="00116109">
            <w:pPr>
              <w:pStyle w:val="TableText"/>
              <w:keepNext/>
              <w:jc w:val="right"/>
            </w:pPr>
            <w:r>
              <w:rPr>
                <w:b/>
              </w:rPr>
              <w:t>redacted</w:t>
            </w:r>
            <w:r w:rsidRPr="000E600F" w:rsidDel="001466D3">
              <w:t xml:space="preserve"> </w:t>
            </w:r>
          </w:p>
        </w:tc>
        <w:tc>
          <w:tcPr>
            <w:tcW w:w="699" w:type="pct"/>
            <w:tcBorders>
              <w:bottom w:val="nil"/>
            </w:tcBorders>
          </w:tcPr>
          <w:p w14:paraId="31B5AEB6" w14:textId="77777777" w:rsidR="00CF3B48" w:rsidRPr="000E600F" w:rsidRDefault="00CF3B48" w:rsidP="00116109">
            <w:pPr>
              <w:pStyle w:val="TableText"/>
              <w:keepNext/>
              <w:jc w:val="right"/>
            </w:pPr>
            <w:r w:rsidRPr="000E600F">
              <w:t>1.18</w:t>
            </w:r>
          </w:p>
        </w:tc>
        <w:tc>
          <w:tcPr>
            <w:tcW w:w="952" w:type="pct"/>
            <w:tcBorders>
              <w:bottom w:val="nil"/>
            </w:tcBorders>
          </w:tcPr>
          <w:p w14:paraId="21FC4360" w14:textId="55B86E89" w:rsidR="00CF3B48" w:rsidRPr="00771162" w:rsidRDefault="002340B8" w:rsidP="00116109">
            <w:pPr>
              <w:pStyle w:val="TableText"/>
              <w:keepNext/>
              <w:jc w:val="right"/>
              <w:rPr>
                <w:vertAlign w:val="superscript"/>
              </w:rPr>
            </w:pPr>
            <w:r w:rsidRPr="008A391B">
              <w:rPr>
                <w:rFonts w:cs="Arial"/>
                <w:b/>
                <w:bCs/>
              </w:rPr>
              <w:t>redacted</w:t>
            </w:r>
            <w:r w:rsidRPr="002340B8">
              <w:rPr>
                <w:vertAlign w:val="superscript"/>
              </w:rPr>
              <w:t xml:space="preserve"> </w:t>
            </w:r>
            <w:r w:rsidR="008D5C85">
              <w:rPr>
                <w:vertAlign w:val="superscript"/>
              </w:rPr>
              <w:t>2</w:t>
            </w:r>
          </w:p>
        </w:tc>
        <w:tc>
          <w:tcPr>
            <w:tcW w:w="600" w:type="pct"/>
            <w:tcBorders>
              <w:bottom w:val="nil"/>
            </w:tcBorders>
          </w:tcPr>
          <w:p w14:paraId="65B189BF" w14:textId="5445B9CC" w:rsidR="00CF3B48" w:rsidRPr="000E600F" w:rsidRDefault="001A3DAC" w:rsidP="00116109">
            <w:pPr>
              <w:pStyle w:val="TableText"/>
              <w:keepNext/>
              <w:jc w:val="right"/>
            </w:pPr>
            <w:r w:rsidRPr="008A391B">
              <w:rPr>
                <w:rFonts w:cs="Arial"/>
                <w:b/>
                <w:bCs/>
              </w:rPr>
              <w:t>redacted</w:t>
            </w:r>
            <w:r w:rsidRPr="000E600F">
              <w:t xml:space="preserve"> </w:t>
            </w:r>
            <w:r w:rsidR="00CF3B48" w:rsidRPr="000E600F">
              <w:t>%</w:t>
            </w:r>
          </w:p>
        </w:tc>
      </w:tr>
      <w:tr w:rsidR="00CF3B48" w:rsidRPr="00116109" w14:paraId="2971EDA6" w14:textId="77777777" w:rsidTr="00771162">
        <w:trPr>
          <w:cantSplit/>
        </w:trPr>
        <w:tc>
          <w:tcPr>
            <w:tcW w:w="1894" w:type="pct"/>
            <w:tcBorders>
              <w:top w:val="nil"/>
            </w:tcBorders>
          </w:tcPr>
          <w:p w14:paraId="46439F19" w14:textId="77777777" w:rsidR="00CF3B48" w:rsidRPr="000E600F" w:rsidRDefault="00CF3B48" w:rsidP="00051C04">
            <w:pPr>
              <w:pStyle w:val="TableText"/>
              <w:keepNext/>
            </w:pPr>
            <w:r w:rsidRPr="000E600F">
              <w:t>3.5%</w:t>
            </w:r>
          </w:p>
        </w:tc>
        <w:tc>
          <w:tcPr>
            <w:tcW w:w="855" w:type="pct"/>
            <w:tcBorders>
              <w:top w:val="nil"/>
            </w:tcBorders>
          </w:tcPr>
          <w:p w14:paraId="2B3B6B35" w14:textId="63A58C14" w:rsidR="00CF3B48" w:rsidRPr="000E600F" w:rsidRDefault="002D6768" w:rsidP="00116109">
            <w:pPr>
              <w:pStyle w:val="TableText"/>
              <w:keepNext/>
              <w:jc w:val="right"/>
            </w:pPr>
            <w:r>
              <w:rPr>
                <w:b/>
              </w:rPr>
              <w:t>redacted</w:t>
            </w:r>
            <w:r w:rsidRPr="000E600F" w:rsidDel="002D6768">
              <w:t xml:space="preserve"> </w:t>
            </w:r>
          </w:p>
        </w:tc>
        <w:tc>
          <w:tcPr>
            <w:tcW w:w="699" w:type="pct"/>
            <w:tcBorders>
              <w:top w:val="nil"/>
            </w:tcBorders>
          </w:tcPr>
          <w:p w14:paraId="218CA407" w14:textId="77777777" w:rsidR="00CF3B48" w:rsidRPr="000E600F" w:rsidRDefault="00CF3B48" w:rsidP="00116109">
            <w:pPr>
              <w:pStyle w:val="TableText"/>
              <w:keepNext/>
              <w:jc w:val="right"/>
            </w:pPr>
            <w:r w:rsidRPr="000E600F">
              <w:t>0.73</w:t>
            </w:r>
          </w:p>
        </w:tc>
        <w:tc>
          <w:tcPr>
            <w:tcW w:w="952" w:type="pct"/>
            <w:tcBorders>
              <w:top w:val="nil"/>
            </w:tcBorders>
          </w:tcPr>
          <w:p w14:paraId="2B7D56DE" w14:textId="7372700F" w:rsidR="00CF3B48" w:rsidRPr="000E600F" w:rsidRDefault="002340B8" w:rsidP="00116109">
            <w:pPr>
              <w:pStyle w:val="TableText"/>
              <w:keepNext/>
              <w:jc w:val="right"/>
            </w:pPr>
            <w:r w:rsidRPr="008A391B">
              <w:rPr>
                <w:rFonts w:cs="Arial"/>
                <w:b/>
                <w:bCs/>
              </w:rPr>
              <w:t>redacted</w:t>
            </w:r>
            <w:r w:rsidRPr="009B7852">
              <w:rPr>
                <w:vertAlign w:val="superscript"/>
              </w:rPr>
              <w:t xml:space="preserve"> </w:t>
            </w:r>
            <w:r w:rsidR="008D5C85">
              <w:rPr>
                <w:vertAlign w:val="superscript"/>
              </w:rPr>
              <w:t>1</w:t>
            </w:r>
          </w:p>
        </w:tc>
        <w:tc>
          <w:tcPr>
            <w:tcW w:w="600" w:type="pct"/>
            <w:tcBorders>
              <w:top w:val="nil"/>
            </w:tcBorders>
          </w:tcPr>
          <w:p w14:paraId="027A5094" w14:textId="6FE7CA71" w:rsidR="00CF3B48" w:rsidRPr="000E600F" w:rsidRDefault="001A3DAC" w:rsidP="00116109">
            <w:pPr>
              <w:pStyle w:val="TableText"/>
              <w:keepNext/>
              <w:jc w:val="right"/>
            </w:pPr>
            <w:r w:rsidRPr="008A391B">
              <w:rPr>
                <w:rFonts w:cs="Arial"/>
                <w:b/>
                <w:bCs/>
              </w:rPr>
              <w:t>redacted</w:t>
            </w:r>
            <w:r w:rsidRPr="000E600F">
              <w:t xml:space="preserve"> </w:t>
            </w:r>
            <w:r w:rsidR="00CF3B48" w:rsidRPr="000E600F">
              <w:t>%</w:t>
            </w:r>
          </w:p>
        </w:tc>
      </w:tr>
      <w:tr w:rsidR="00CF3B48" w:rsidRPr="00116109" w14:paraId="0573F8CF" w14:textId="77777777">
        <w:trPr>
          <w:cantSplit/>
        </w:trPr>
        <w:tc>
          <w:tcPr>
            <w:tcW w:w="5000" w:type="pct"/>
            <w:gridSpan w:val="5"/>
          </w:tcPr>
          <w:p w14:paraId="12B6AF69" w14:textId="77777777" w:rsidR="00CF3B48" w:rsidRPr="000E600F" w:rsidRDefault="00CF3B48" w:rsidP="00051C04">
            <w:pPr>
              <w:pStyle w:val="TableText"/>
              <w:keepNext/>
            </w:pPr>
            <w:r w:rsidRPr="000E600F">
              <w:t>Assumption of reduced recurrence rate in the olaparib arm (base case: Years 5-10: 1% per year; Year 10+: 0%)</w:t>
            </w:r>
          </w:p>
        </w:tc>
      </w:tr>
      <w:tr w:rsidR="00CF3B48" w:rsidRPr="00116109" w14:paraId="0B453102" w14:textId="77777777" w:rsidTr="00771162">
        <w:trPr>
          <w:cantSplit/>
        </w:trPr>
        <w:tc>
          <w:tcPr>
            <w:tcW w:w="1894" w:type="pct"/>
          </w:tcPr>
          <w:p w14:paraId="4D1CD060" w14:textId="5DC27294" w:rsidR="00CF3B48" w:rsidRPr="000E600F" w:rsidRDefault="00CF3B48" w:rsidP="00051C04">
            <w:pPr>
              <w:pStyle w:val="TableText"/>
              <w:keepNext/>
            </w:pPr>
            <w:r w:rsidRPr="000E600F">
              <w:t>Delayed by 1 year, i.e. Years 6-11: 1% per year; Year 11+: 0%)</w:t>
            </w:r>
          </w:p>
        </w:tc>
        <w:tc>
          <w:tcPr>
            <w:tcW w:w="855" w:type="pct"/>
            <w:vAlign w:val="center"/>
          </w:tcPr>
          <w:p w14:paraId="6572CF09" w14:textId="52E507BA" w:rsidR="00CF3B48" w:rsidRPr="000E600F" w:rsidRDefault="002D6768" w:rsidP="00116109">
            <w:pPr>
              <w:pStyle w:val="TableText"/>
              <w:keepNext/>
              <w:jc w:val="right"/>
            </w:pPr>
            <w:r>
              <w:rPr>
                <w:b/>
              </w:rPr>
              <w:t>redacted</w:t>
            </w:r>
          </w:p>
        </w:tc>
        <w:tc>
          <w:tcPr>
            <w:tcW w:w="699" w:type="pct"/>
            <w:vAlign w:val="center"/>
          </w:tcPr>
          <w:p w14:paraId="007D7626" w14:textId="77777777" w:rsidR="00CF3B48" w:rsidRPr="000E600F" w:rsidRDefault="00CF3B48" w:rsidP="00116109">
            <w:pPr>
              <w:pStyle w:val="TableText"/>
              <w:keepNext/>
              <w:jc w:val="right"/>
            </w:pPr>
            <w:r w:rsidRPr="000E600F">
              <w:t>0.47</w:t>
            </w:r>
          </w:p>
        </w:tc>
        <w:tc>
          <w:tcPr>
            <w:tcW w:w="952" w:type="pct"/>
            <w:vAlign w:val="center"/>
          </w:tcPr>
          <w:p w14:paraId="682A362A" w14:textId="3F67963E" w:rsidR="00CF3B48" w:rsidRPr="00771162" w:rsidRDefault="002340B8" w:rsidP="00116109">
            <w:pPr>
              <w:pStyle w:val="TableText"/>
              <w:keepNext/>
              <w:jc w:val="right"/>
              <w:rPr>
                <w:vertAlign w:val="superscript"/>
              </w:rPr>
            </w:pPr>
            <w:r w:rsidRPr="008A391B">
              <w:rPr>
                <w:rFonts w:cs="Arial"/>
                <w:b/>
                <w:bCs/>
              </w:rPr>
              <w:t>redacted</w:t>
            </w:r>
            <w:r w:rsidRPr="002340B8">
              <w:rPr>
                <w:vertAlign w:val="superscript"/>
              </w:rPr>
              <w:t xml:space="preserve"> </w:t>
            </w:r>
            <w:r w:rsidR="00CD206C" w:rsidRPr="00771162">
              <w:rPr>
                <w:vertAlign w:val="superscript"/>
              </w:rPr>
              <w:t>3</w:t>
            </w:r>
          </w:p>
        </w:tc>
        <w:tc>
          <w:tcPr>
            <w:tcW w:w="600" w:type="pct"/>
            <w:vAlign w:val="center"/>
          </w:tcPr>
          <w:p w14:paraId="366CE976" w14:textId="7D29178D" w:rsidR="00CF3B48" w:rsidRPr="000E600F" w:rsidRDefault="001A3DAC" w:rsidP="00116109">
            <w:pPr>
              <w:pStyle w:val="TableText"/>
              <w:keepNext/>
              <w:jc w:val="right"/>
            </w:pPr>
            <w:r w:rsidRPr="008A391B">
              <w:rPr>
                <w:rFonts w:cs="Arial"/>
                <w:b/>
                <w:bCs/>
              </w:rPr>
              <w:t>redacted</w:t>
            </w:r>
            <w:r w:rsidRPr="000E600F">
              <w:t xml:space="preserve"> </w:t>
            </w:r>
            <w:r w:rsidR="00CF3B48" w:rsidRPr="000E600F">
              <w:t>%</w:t>
            </w:r>
          </w:p>
        </w:tc>
      </w:tr>
      <w:tr w:rsidR="00CF3B48" w:rsidRPr="00116109" w14:paraId="5909442D" w14:textId="77777777">
        <w:trPr>
          <w:cantSplit/>
        </w:trPr>
        <w:tc>
          <w:tcPr>
            <w:tcW w:w="5000" w:type="pct"/>
            <w:gridSpan w:val="5"/>
          </w:tcPr>
          <w:p w14:paraId="7875C4BB" w14:textId="201C2033" w:rsidR="00CF3B48" w:rsidRPr="000E600F" w:rsidRDefault="009D6558" w:rsidP="00051C04">
            <w:pPr>
              <w:pStyle w:val="TableText"/>
              <w:keepNext/>
            </w:pPr>
            <w:r w:rsidRPr="000E600F">
              <w:t>g</w:t>
            </w:r>
            <w:r w:rsidR="00A96FCF" w:rsidRPr="00A96FCF">
              <w:rPr>
                <w:i/>
                <w:iCs/>
              </w:rPr>
              <w:t>BRCA</w:t>
            </w:r>
            <w:r w:rsidRPr="000E600F">
              <w:t xml:space="preserve"> </w:t>
            </w:r>
            <w:r w:rsidR="00CF3B48" w:rsidRPr="000E600F">
              <w:t>testing cost (base case: $1,200; To estimate the number needed to be tested to identify one patient treated with olaparib, it was assumed that 100% patients who undergo g</w:t>
            </w:r>
            <w:r w:rsidR="00A96FCF" w:rsidRPr="00A96FCF">
              <w:rPr>
                <w:i/>
                <w:iCs/>
              </w:rPr>
              <w:t>BRCA</w:t>
            </w:r>
            <w:r w:rsidR="00CF3B48" w:rsidRPr="000E600F">
              <w:t xml:space="preserve"> testing and are tested positive for g</w:t>
            </w:r>
            <w:r w:rsidR="00A96FCF" w:rsidRPr="00A96FCF">
              <w:rPr>
                <w:i/>
                <w:iCs/>
              </w:rPr>
              <w:t>BRCA</w:t>
            </w:r>
            <w:r w:rsidR="00CF3B48" w:rsidRPr="000E600F">
              <w:t xml:space="preserve"> </w:t>
            </w:r>
            <w:r w:rsidR="00304B60" w:rsidRPr="000E600F">
              <w:t>variants</w:t>
            </w:r>
            <w:r w:rsidR="00CF3B48" w:rsidRPr="000E600F">
              <w:t xml:space="preserve"> would receive olaparib therapy)</w:t>
            </w:r>
          </w:p>
        </w:tc>
      </w:tr>
      <w:tr w:rsidR="00CF3B48" w:rsidRPr="00116109" w14:paraId="2A6DBD03" w14:textId="77777777" w:rsidTr="00771162">
        <w:trPr>
          <w:cantSplit/>
        </w:trPr>
        <w:tc>
          <w:tcPr>
            <w:tcW w:w="1894" w:type="pct"/>
          </w:tcPr>
          <w:p w14:paraId="53895122" w14:textId="77777777" w:rsidR="00CF3B48" w:rsidRPr="000E600F" w:rsidRDefault="00CF3B48" w:rsidP="00051C04">
            <w:pPr>
              <w:pStyle w:val="TableText"/>
              <w:keepNext/>
            </w:pPr>
            <w:r w:rsidRPr="000E600F">
              <w:t>Unit cost of $1,000</w:t>
            </w:r>
          </w:p>
        </w:tc>
        <w:tc>
          <w:tcPr>
            <w:tcW w:w="855" w:type="pct"/>
            <w:vAlign w:val="center"/>
          </w:tcPr>
          <w:p w14:paraId="55FA5693" w14:textId="03FBA776" w:rsidR="00CF3B48" w:rsidRPr="000E600F" w:rsidRDefault="002D6768" w:rsidP="00116109">
            <w:pPr>
              <w:pStyle w:val="TableText"/>
              <w:keepNext/>
              <w:jc w:val="right"/>
            </w:pPr>
            <w:r>
              <w:rPr>
                <w:b/>
              </w:rPr>
              <w:t>redacted</w:t>
            </w:r>
            <w:r w:rsidRPr="000E600F" w:rsidDel="002D6768">
              <w:t xml:space="preserve"> </w:t>
            </w:r>
          </w:p>
        </w:tc>
        <w:tc>
          <w:tcPr>
            <w:tcW w:w="699" w:type="pct"/>
            <w:vAlign w:val="center"/>
          </w:tcPr>
          <w:p w14:paraId="7FD81B57" w14:textId="77777777" w:rsidR="00CF3B48" w:rsidRPr="000E600F" w:rsidRDefault="00CF3B48" w:rsidP="00116109">
            <w:pPr>
              <w:pStyle w:val="TableText"/>
              <w:keepNext/>
              <w:jc w:val="right"/>
            </w:pPr>
            <w:r w:rsidRPr="000E600F">
              <w:t>0.61</w:t>
            </w:r>
          </w:p>
        </w:tc>
        <w:tc>
          <w:tcPr>
            <w:tcW w:w="952" w:type="pct"/>
            <w:vAlign w:val="center"/>
          </w:tcPr>
          <w:p w14:paraId="209DE5EC" w14:textId="603B3D63" w:rsidR="00CF3B48" w:rsidRPr="000E600F" w:rsidRDefault="00472864" w:rsidP="00116109">
            <w:pPr>
              <w:pStyle w:val="TableText"/>
              <w:keepNext/>
              <w:jc w:val="right"/>
            </w:pPr>
            <w:r w:rsidRPr="008A391B">
              <w:rPr>
                <w:rFonts w:cs="Arial"/>
                <w:b/>
                <w:bCs/>
              </w:rPr>
              <w:t>redacted</w:t>
            </w:r>
            <w:r w:rsidRPr="002340B8">
              <w:rPr>
                <w:vertAlign w:val="superscript"/>
              </w:rPr>
              <w:t xml:space="preserve"> </w:t>
            </w:r>
            <w:r w:rsidR="008D5C85">
              <w:rPr>
                <w:vertAlign w:val="superscript"/>
              </w:rPr>
              <w:t>1</w:t>
            </w:r>
          </w:p>
        </w:tc>
        <w:tc>
          <w:tcPr>
            <w:tcW w:w="600" w:type="pct"/>
            <w:vAlign w:val="center"/>
          </w:tcPr>
          <w:p w14:paraId="648A5863" w14:textId="2B05B336" w:rsidR="00CF3B48" w:rsidRPr="000E600F" w:rsidRDefault="001A3DAC" w:rsidP="00116109">
            <w:pPr>
              <w:pStyle w:val="TableText"/>
              <w:keepNext/>
              <w:jc w:val="right"/>
            </w:pPr>
            <w:r w:rsidRPr="008A391B">
              <w:rPr>
                <w:rFonts w:cs="Arial"/>
                <w:b/>
                <w:bCs/>
              </w:rPr>
              <w:t>redacted</w:t>
            </w:r>
            <w:r w:rsidRPr="000E600F">
              <w:t xml:space="preserve"> </w:t>
            </w:r>
            <w:r w:rsidR="00CF3B48" w:rsidRPr="000E600F">
              <w:t>%</w:t>
            </w:r>
          </w:p>
        </w:tc>
      </w:tr>
      <w:tr w:rsidR="00CF3B48" w:rsidRPr="00116109" w14:paraId="4EDBF6D1" w14:textId="77777777" w:rsidTr="00771162">
        <w:trPr>
          <w:cantSplit/>
        </w:trPr>
        <w:tc>
          <w:tcPr>
            <w:tcW w:w="1894" w:type="pct"/>
          </w:tcPr>
          <w:p w14:paraId="4EF8D6E8" w14:textId="720BFC92" w:rsidR="00CF3B48" w:rsidRPr="000E600F" w:rsidRDefault="00CF3B48" w:rsidP="00051C04">
            <w:pPr>
              <w:pStyle w:val="TableText"/>
              <w:keepNext/>
            </w:pPr>
            <w:r w:rsidRPr="000E600F">
              <w:t xml:space="preserve">Assuming 50% of patients tested positive for </w:t>
            </w:r>
            <w:r w:rsidR="009D6558" w:rsidRPr="000E600F">
              <w:t>g</w:t>
            </w:r>
            <w:r w:rsidR="00A96FCF" w:rsidRPr="00A96FCF">
              <w:rPr>
                <w:i/>
                <w:iCs/>
              </w:rPr>
              <w:t>BRCA</w:t>
            </w:r>
            <w:r w:rsidR="009D6558" w:rsidRPr="000E600F">
              <w:t xml:space="preserve"> </w:t>
            </w:r>
            <w:r w:rsidRPr="000E600F">
              <w:t>would be eligible for olaparib</w:t>
            </w:r>
            <w:r w:rsidR="00304B60" w:rsidRPr="000E600F">
              <w:t xml:space="preserve"> </w:t>
            </w:r>
            <w:r w:rsidRPr="000E600F">
              <w:rPr>
                <w:vertAlign w:val="superscript"/>
              </w:rPr>
              <w:t>a</w:t>
            </w:r>
            <w:r w:rsidRPr="000E600F">
              <w:t xml:space="preserve"> </w:t>
            </w:r>
          </w:p>
        </w:tc>
        <w:tc>
          <w:tcPr>
            <w:tcW w:w="855" w:type="pct"/>
            <w:vAlign w:val="center"/>
          </w:tcPr>
          <w:p w14:paraId="3B5972AD" w14:textId="13F07CB8" w:rsidR="00CF3B48" w:rsidRPr="000E600F" w:rsidRDefault="002D6768" w:rsidP="00116109">
            <w:pPr>
              <w:pStyle w:val="TableText"/>
              <w:keepNext/>
              <w:jc w:val="right"/>
            </w:pPr>
            <w:r>
              <w:rPr>
                <w:b/>
              </w:rPr>
              <w:t>redacted</w:t>
            </w:r>
            <w:r w:rsidRPr="000E600F" w:rsidDel="002D6768">
              <w:t xml:space="preserve"> </w:t>
            </w:r>
          </w:p>
        </w:tc>
        <w:tc>
          <w:tcPr>
            <w:tcW w:w="699" w:type="pct"/>
            <w:vAlign w:val="center"/>
          </w:tcPr>
          <w:p w14:paraId="71911C01" w14:textId="77777777" w:rsidR="00CF3B48" w:rsidRPr="000E600F" w:rsidRDefault="00CF3B48" w:rsidP="00116109">
            <w:pPr>
              <w:pStyle w:val="TableText"/>
              <w:keepNext/>
              <w:jc w:val="right"/>
            </w:pPr>
            <w:r w:rsidRPr="000E600F">
              <w:t>0.61</w:t>
            </w:r>
          </w:p>
        </w:tc>
        <w:tc>
          <w:tcPr>
            <w:tcW w:w="952" w:type="pct"/>
            <w:vAlign w:val="center"/>
          </w:tcPr>
          <w:p w14:paraId="66EC454D" w14:textId="585920CE" w:rsidR="00CF3B48" w:rsidRPr="000E600F" w:rsidRDefault="00472864" w:rsidP="00116109">
            <w:pPr>
              <w:pStyle w:val="TableText"/>
              <w:keepNext/>
              <w:jc w:val="right"/>
            </w:pPr>
            <w:r w:rsidRPr="008A391B">
              <w:rPr>
                <w:rFonts w:cs="Arial"/>
                <w:b/>
                <w:bCs/>
              </w:rPr>
              <w:t>redacted</w:t>
            </w:r>
            <w:r w:rsidRPr="002340B8">
              <w:rPr>
                <w:vertAlign w:val="superscript"/>
              </w:rPr>
              <w:t xml:space="preserve"> </w:t>
            </w:r>
            <w:r w:rsidR="00CD206C" w:rsidRPr="009B7852">
              <w:rPr>
                <w:vertAlign w:val="superscript"/>
              </w:rPr>
              <w:t>3</w:t>
            </w:r>
          </w:p>
        </w:tc>
        <w:tc>
          <w:tcPr>
            <w:tcW w:w="600" w:type="pct"/>
            <w:vAlign w:val="center"/>
          </w:tcPr>
          <w:p w14:paraId="112B8D64" w14:textId="106B2012" w:rsidR="00CF3B48" w:rsidRPr="000E600F" w:rsidRDefault="001A3DAC" w:rsidP="00116109">
            <w:pPr>
              <w:pStyle w:val="TableText"/>
              <w:keepNext/>
              <w:jc w:val="right"/>
            </w:pPr>
            <w:r w:rsidRPr="008A391B">
              <w:rPr>
                <w:rFonts w:cs="Arial"/>
                <w:b/>
                <w:bCs/>
              </w:rPr>
              <w:t>redacted</w:t>
            </w:r>
            <w:r w:rsidRPr="000E600F">
              <w:t xml:space="preserve"> </w:t>
            </w:r>
            <w:r w:rsidR="00CF3B48" w:rsidRPr="000E600F">
              <w:t>%</w:t>
            </w:r>
          </w:p>
        </w:tc>
      </w:tr>
      <w:tr w:rsidR="00CF3B48" w:rsidRPr="00116109" w14:paraId="607FC62B" w14:textId="77777777">
        <w:trPr>
          <w:cantSplit/>
        </w:trPr>
        <w:tc>
          <w:tcPr>
            <w:tcW w:w="5000" w:type="pct"/>
            <w:gridSpan w:val="5"/>
          </w:tcPr>
          <w:p w14:paraId="67988052" w14:textId="77777777" w:rsidR="00CF3B48" w:rsidRPr="000E600F" w:rsidRDefault="00CF3B48" w:rsidP="00051C04">
            <w:pPr>
              <w:pStyle w:val="TableText"/>
              <w:keepNext/>
            </w:pPr>
            <w:r w:rsidRPr="000E600F">
              <w:t>Treatment duration of olaparib (base case: 9.7 months)</w:t>
            </w:r>
          </w:p>
        </w:tc>
      </w:tr>
      <w:tr w:rsidR="00CF3B48" w:rsidRPr="00116109" w14:paraId="403FDA2C" w14:textId="77777777" w:rsidTr="00771162">
        <w:trPr>
          <w:cantSplit/>
        </w:trPr>
        <w:tc>
          <w:tcPr>
            <w:tcW w:w="1894" w:type="pct"/>
          </w:tcPr>
          <w:p w14:paraId="20E24D8B" w14:textId="77777777" w:rsidR="00CF3B48" w:rsidRPr="000E600F" w:rsidRDefault="00CF3B48" w:rsidP="00051C04">
            <w:pPr>
              <w:pStyle w:val="TableText"/>
              <w:keepNext/>
            </w:pPr>
            <w:r w:rsidRPr="000E600F">
              <w:t>10.27 months (based on trial TTD)</w:t>
            </w:r>
          </w:p>
        </w:tc>
        <w:tc>
          <w:tcPr>
            <w:tcW w:w="855" w:type="pct"/>
          </w:tcPr>
          <w:p w14:paraId="24C592E2" w14:textId="0385246B" w:rsidR="00CF3B48" w:rsidRPr="000E600F" w:rsidRDefault="002D6768" w:rsidP="00116109">
            <w:pPr>
              <w:pStyle w:val="TableText"/>
              <w:keepNext/>
              <w:jc w:val="right"/>
            </w:pPr>
            <w:r>
              <w:rPr>
                <w:b/>
              </w:rPr>
              <w:t>redacted</w:t>
            </w:r>
            <w:r w:rsidRPr="000E600F" w:rsidDel="002D6768">
              <w:t xml:space="preserve"> </w:t>
            </w:r>
          </w:p>
        </w:tc>
        <w:tc>
          <w:tcPr>
            <w:tcW w:w="699" w:type="pct"/>
          </w:tcPr>
          <w:p w14:paraId="4AA0A338" w14:textId="77777777" w:rsidR="00CF3B48" w:rsidRPr="000E600F" w:rsidRDefault="00CF3B48" w:rsidP="00116109">
            <w:pPr>
              <w:pStyle w:val="TableText"/>
              <w:keepNext/>
              <w:jc w:val="right"/>
            </w:pPr>
            <w:r w:rsidRPr="000E600F">
              <w:t>0.61</w:t>
            </w:r>
          </w:p>
        </w:tc>
        <w:tc>
          <w:tcPr>
            <w:tcW w:w="952" w:type="pct"/>
          </w:tcPr>
          <w:p w14:paraId="0FA28140" w14:textId="60F92364" w:rsidR="00CF3B48" w:rsidRPr="000E600F" w:rsidRDefault="00472864" w:rsidP="00116109">
            <w:pPr>
              <w:pStyle w:val="TableText"/>
              <w:keepNext/>
              <w:jc w:val="right"/>
            </w:pPr>
            <w:r w:rsidRPr="008A391B">
              <w:rPr>
                <w:rFonts w:cs="Arial"/>
                <w:b/>
                <w:bCs/>
              </w:rPr>
              <w:t>redacted</w:t>
            </w:r>
            <w:r w:rsidRPr="002340B8">
              <w:rPr>
                <w:vertAlign w:val="superscript"/>
              </w:rPr>
              <w:t xml:space="preserve"> </w:t>
            </w:r>
            <w:r w:rsidR="008D5C85">
              <w:rPr>
                <w:vertAlign w:val="superscript"/>
              </w:rPr>
              <w:t>1</w:t>
            </w:r>
          </w:p>
        </w:tc>
        <w:tc>
          <w:tcPr>
            <w:tcW w:w="600" w:type="pct"/>
          </w:tcPr>
          <w:p w14:paraId="684528EC" w14:textId="2A27D4C6" w:rsidR="00CF3B48" w:rsidRPr="000E600F" w:rsidRDefault="001A3DAC" w:rsidP="00116109">
            <w:pPr>
              <w:pStyle w:val="TableText"/>
              <w:keepNext/>
              <w:jc w:val="right"/>
            </w:pPr>
            <w:r w:rsidRPr="008A391B">
              <w:rPr>
                <w:rFonts w:cs="Arial"/>
                <w:b/>
                <w:bCs/>
              </w:rPr>
              <w:t>redacted</w:t>
            </w:r>
            <w:r w:rsidRPr="000E600F">
              <w:t xml:space="preserve"> </w:t>
            </w:r>
            <w:r w:rsidR="00CF3B48" w:rsidRPr="000E600F">
              <w:t>%</w:t>
            </w:r>
          </w:p>
        </w:tc>
      </w:tr>
    </w:tbl>
    <w:p w14:paraId="6CA1AE29" w14:textId="77777777" w:rsidR="00CF3B48" w:rsidRPr="000E600F" w:rsidRDefault="00CF3B48" w:rsidP="00CF3B48">
      <w:pPr>
        <w:pStyle w:val="TableFigureFooter"/>
      </w:pPr>
      <w:r w:rsidRPr="000E600F">
        <w:t>Source: Analyses performed during the evaluation.</w:t>
      </w:r>
    </w:p>
    <w:p w14:paraId="11A3557B" w14:textId="50E56825" w:rsidR="00CF3B48" w:rsidRPr="0063472B" w:rsidRDefault="008C513A" w:rsidP="00CF3B48">
      <w:pPr>
        <w:pStyle w:val="TableFigureFooter"/>
        <w:rPr>
          <w:rFonts w:eastAsia="Calibri"/>
          <w:szCs w:val="20"/>
        </w:rPr>
      </w:pPr>
      <w:bookmarkStart w:id="41" w:name="_Hlk144380205"/>
      <w:r w:rsidRPr="000D659D">
        <w:rPr>
          <w:lang w:val="en-US"/>
        </w:rPr>
        <w:t>g</w:t>
      </w:r>
      <w:r w:rsidR="00A96FCF" w:rsidRPr="00A96FCF">
        <w:rPr>
          <w:i/>
          <w:iCs/>
          <w:lang w:val="en-US"/>
        </w:rPr>
        <w:t>BRCA</w:t>
      </w:r>
      <w:r w:rsidRPr="00487719">
        <w:t xml:space="preserve"> = germline </w:t>
      </w:r>
      <w:r w:rsidRPr="000E600F">
        <w:t>B</w:t>
      </w:r>
      <w:r w:rsidR="00A57669" w:rsidRPr="000E600F">
        <w:t>r</w:t>
      </w:r>
      <w:r w:rsidRPr="000E600F">
        <w:t>east C</w:t>
      </w:r>
      <w:r w:rsidR="00A57669" w:rsidRPr="000E600F">
        <w:t>a</w:t>
      </w:r>
      <w:r w:rsidRPr="000E600F">
        <w:t>ncer</w:t>
      </w:r>
      <w:r w:rsidRPr="00487719">
        <w:t xml:space="preserve"> gene; </w:t>
      </w:r>
      <w:bookmarkEnd w:id="41"/>
      <w:r w:rsidR="006E10B0" w:rsidRPr="00D7662C">
        <w:t xml:space="preserve">HER2 = human epidermal growth factor receptor 2; HR = hormone receptor; </w:t>
      </w:r>
      <w:r w:rsidR="00CF3B48">
        <w:rPr>
          <w:rFonts w:eastAsia="Calibri"/>
          <w:szCs w:val="20"/>
        </w:rPr>
        <w:t xml:space="preserve">ICER = incremental cost-effectiveness ratio; </w:t>
      </w:r>
      <w:r w:rsidR="00CF3B48" w:rsidRPr="0063472B">
        <w:rPr>
          <w:rFonts w:eastAsia="Calibri"/>
          <w:szCs w:val="20"/>
        </w:rPr>
        <w:t>QALY = quality adjusted life year</w:t>
      </w:r>
      <w:r w:rsidR="00FD798C">
        <w:rPr>
          <w:rFonts w:eastAsia="Calibri"/>
          <w:szCs w:val="20"/>
        </w:rPr>
        <w:t>; TTD = time</w:t>
      </w:r>
      <w:r w:rsidR="00FD798C">
        <w:rPr>
          <w:rFonts w:eastAsia="Calibri"/>
          <w:szCs w:val="20"/>
        </w:rPr>
        <w:noBreakHyphen/>
        <w:t>to</w:t>
      </w:r>
      <w:r w:rsidR="00FD798C">
        <w:rPr>
          <w:rFonts w:eastAsia="Calibri"/>
          <w:szCs w:val="20"/>
        </w:rPr>
        <w:noBreakHyphen/>
        <w:t>treatment discontinuation</w:t>
      </w:r>
      <w:r w:rsidR="006E10B0">
        <w:rPr>
          <w:rFonts w:eastAsia="Calibri"/>
          <w:szCs w:val="20"/>
        </w:rPr>
        <w:t xml:space="preserve">; </w:t>
      </w:r>
      <w:r w:rsidR="006E10B0" w:rsidRPr="00D7662C">
        <w:t>TNBC = triple negative breast cancer</w:t>
      </w:r>
      <w:r w:rsidR="00CF3B48" w:rsidRPr="0063472B">
        <w:rPr>
          <w:rFonts w:eastAsia="Calibri"/>
          <w:szCs w:val="20"/>
        </w:rPr>
        <w:t>.</w:t>
      </w:r>
    </w:p>
    <w:p w14:paraId="0694D270" w14:textId="77777777" w:rsidR="00CD206C" w:rsidRDefault="00CF3B48" w:rsidP="00CF3B48">
      <w:pPr>
        <w:pStyle w:val="TableFigureFooter"/>
        <w:rPr>
          <w:rFonts w:eastAsia="Calibri"/>
          <w:szCs w:val="20"/>
        </w:rPr>
      </w:pPr>
      <w:r w:rsidRPr="0063472B">
        <w:rPr>
          <w:rFonts w:eastAsia="Calibri"/>
          <w:szCs w:val="20"/>
          <w:vertAlign w:val="superscript"/>
        </w:rPr>
        <w:t>a</w:t>
      </w:r>
      <w:r w:rsidRPr="0063472B">
        <w:rPr>
          <w:rFonts w:eastAsia="Calibri"/>
          <w:szCs w:val="20"/>
        </w:rPr>
        <w:t xml:space="preserve"> </w:t>
      </w:r>
      <w:r w:rsidR="0003018A">
        <w:rPr>
          <w:rFonts w:eastAsia="Calibri"/>
          <w:szCs w:val="20"/>
        </w:rPr>
        <w:t xml:space="preserve">Tested assuming similar estimates as per </w:t>
      </w:r>
      <w:r w:rsidR="00A234A4">
        <w:rPr>
          <w:rFonts w:eastAsia="Calibri"/>
          <w:szCs w:val="20"/>
        </w:rPr>
        <w:t xml:space="preserve">previous </w:t>
      </w:r>
      <w:r w:rsidR="0003018A">
        <w:rPr>
          <w:rFonts w:eastAsia="Calibri"/>
          <w:szCs w:val="20"/>
        </w:rPr>
        <w:t xml:space="preserve">PBAC recommendations </w:t>
      </w:r>
      <w:r w:rsidR="00A234A4">
        <w:rPr>
          <w:rFonts w:eastAsia="Calibri"/>
          <w:szCs w:val="20"/>
        </w:rPr>
        <w:t>(</w:t>
      </w:r>
      <w:r w:rsidR="00A234A4">
        <w:t>p</w:t>
      </w:r>
      <w:r w:rsidR="00A234A4" w:rsidRPr="00870CBF">
        <w:t>ara</w:t>
      </w:r>
      <w:r w:rsidR="00A234A4">
        <w:t>graph</w:t>
      </w:r>
      <w:r w:rsidR="00A234A4" w:rsidRPr="00870CBF">
        <w:t xml:space="preserve"> 7.14, </w:t>
      </w:r>
      <w:hyperlink r:id="rId49" w:history="1">
        <w:r w:rsidR="00A234A4">
          <w:rPr>
            <w:rStyle w:val="Hyperlink"/>
          </w:rPr>
          <w:t>O</w:t>
        </w:r>
        <w:r w:rsidR="00A234A4" w:rsidRPr="00A15F54">
          <w:rPr>
            <w:rStyle w:val="Hyperlink"/>
          </w:rPr>
          <w:t xml:space="preserve">laparib PSD March 2023 PBAC </w:t>
        </w:r>
        <w:r w:rsidR="00A234A4">
          <w:rPr>
            <w:rStyle w:val="Hyperlink"/>
          </w:rPr>
          <w:t>M</w:t>
        </w:r>
        <w:r w:rsidR="00A234A4" w:rsidRPr="00A15F54">
          <w:rPr>
            <w:rStyle w:val="Hyperlink"/>
          </w:rPr>
          <w:t>eeting</w:t>
        </w:r>
      </w:hyperlink>
      <w:r w:rsidR="00A234A4">
        <w:rPr>
          <w:rFonts w:eastAsia="Calibri"/>
          <w:szCs w:val="20"/>
        </w:rPr>
        <w:t xml:space="preserve">) </w:t>
      </w:r>
      <w:r w:rsidR="0003018A">
        <w:rPr>
          <w:rFonts w:eastAsia="Calibri"/>
          <w:szCs w:val="20"/>
        </w:rPr>
        <w:t>on the financial impact analysis (40% of TNBC patients</w:t>
      </w:r>
      <w:r w:rsidR="00A234A4">
        <w:rPr>
          <w:rFonts w:eastAsia="Calibri"/>
          <w:szCs w:val="20"/>
        </w:rPr>
        <w:t xml:space="preserve"> tested eligible for testing</w:t>
      </w:r>
      <w:r w:rsidR="0003018A">
        <w:rPr>
          <w:rFonts w:eastAsia="Calibri"/>
          <w:szCs w:val="20"/>
        </w:rPr>
        <w:t xml:space="preserve"> and 51% of HR+, HER2− patients</w:t>
      </w:r>
      <w:r w:rsidR="00A234A4">
        <w:rPr>
          <w:rFonts w:eastAsia="Calibri"/>
          <w:szCs w:val="20"/>
        </w:rPr>
        <w:t xml:space="preserve"> tested eligible for treatment</w:t>
      </w:r>
      <w:r w:rsidR="0003018A">
        <w:rPr>
          <w:rFonts w:eastAsia="Calibri"/>
          <w:szCs w:val="20"/>
        </w:rPr>
        <w:t xml:space="preserve">). </w:t>
      </w:r>
      <w:r w:rsidRPr="0063472B">
        <w:rPr>
          <w:rFonts w:eastAsia="Calibri"/>
          <w:szCs w:val="20"/>
        </w:rPr>
        <w:t xml:space="preserve">This effectively doubles the incremental cost for </w:t>
      </w:r>
      <w:r w:rsidR="00944404" w:rsidRPr="00A95439">
        <w:rPr>
          <w:rFonts w:eastAsia="Calibri"/>
          <w:szCs w:val="20"/>
        </w:rPr>
        <w:t>g</w:t>
      </w:r>
      <w:r w:rsidR="00A96FCF" w:rsidRPr="00A96FCF">
        <w:rPr>
          <w:rFonts w:eastAsia="Calibri"/>
          <w:i/>
          <w:iCs/>
          <w:szCs w:val="20"/>
        </w:rPr>
        <w:t>BRCA</w:t>
      </w:r>
      <w:r w:rsidRPr="0063472B">
        <w:rPr>
          <w:rFonts w:eastAsia="Calibri"/>
          <w:szCs w:val="20"/>
        </w:rPr>
        <w:t xml:space="preserve"> testing between the two arms. </w:t>
      </w:r>
    </w:p>
    <w:p w14:paraId="18B7C885" w14:textId="7BF43185" w:rsidR="00CD206C" w:rsidRDefault="00CD206C" w:rsidP="00CD206C">
      <w:pPr>
        <w:pStyle w:val="TableFigureFooter"/>
        <w:rPr>
          <w:i/>
          <w:iCs/>
        </w:rPr>
      </w:pPr>
      <w:r w:rsidRPr="009B7852">
        <w:rPr>
          <w:i/>
          <w:iCs/>
          <w:vertAlign w:val="superscript"/>
        </w:rPr>
        <w:t xml:space="preserve">1 </w:t>
      </w:r>
      <w:r w:rsidR="009012C1">
        <w:rPr>
          <w:i/>
          <w:iCs/>
        </w:rPr>
        <w:t>$55,000 to &lt; $75,000</w:t>
      </w:r>
    </w:p>
    <w:p w14:paraId="5D9461EB" w14:textId="1E3B220A" w:rsidR="00CD206C" w:rsidRDefault="00CD206C" w:rsidP="00CD206C">
      <w:pPr>
        <w:pStyle w:val="TableFigureFooter"/>
        <w:rPr>
          <w:i/>
          <w:iCs/>
        </w:rPr>
      </w:pPr>
      <w:r>
        <w:rPr>
          <w:i/>
          <w:iCs/>
          <w:vertAlign w:val="superscript"/>
        </w:rPr>
        <w:t xml:space="preserve">2 </w:t>
      </w:r>
      <w:r w:rsidRPr="009B7852">
        <w:rPr>
          <w:i/>
          <w:iCs/>
          <w:vertAlign w:val="superscript"/>
        </w:rPr>
        <w:t xml:space="preserve"> </w:t>
      </w:r>
      <w:r w:rsidR="009012C1">
        <w:rPr>
          <w:i/>
          <w:iCs/>
        </w:rPr>
        <w:t>$35,000 to &lt; $45,000</w:t>
      </w:r>
    </w:p>
    <w:p w14:paraId="207D58C7" w14:textId="77777777" w:rsidR="00CD206C" w:rsidRDefault="00CD206C" w:rsidP="00CD206C">
      <w:pPr>
        <w:pStyle w:val="TableFigureFooter"/>
        <w:rPr>
          <w:i/>
          <w:iCs/>
        </w:rPr>
      </w:pPr>
      <w:r>
        <w:rPr>
          <w:i/>
          <w:iCs/>
          <w:vertAlign w:val="superscript"/>
        </w:rPr>
        <w:t xml:space="preserve">3 </w:t>
      </w:r>
      <w:r w:rsidRPr="009B7852">
        <w:rPr>
          <w:i/>
          <w:iCs/>
          <w:vertAlign w:val="superscript"/>
        </w:rPr>
        <w:t xml:space="preserve"> </w:t>
      </w:r>
      <w:r>
        <w:rPr>
          <w:i/>
          <w:iCs/>
        </w:rPr>
        <w:t>$75,000 to &lt; $95,000</w:t>
      </w:r>
    </w:p>
    <w:p w14:paraId="47D7FCC7" w14:textId="282ED7DC" w:rsidR="00962EDB" w:rsidRDefault="004A437F" w:rsidP="00962EDB">
      <w:pPr>
        <w:rPr>
          <w:i/>
          <w:iCs/>
        </w:rPr>
      </w:pPr>
      <w:r w:rsidRPr="000E600F">
        <w:t>The commentary noted that w</w:t>
      </w:r>
      <w:r w:rsidR="00962EDB" w:rsidRPr="000E600F">
        <w:t>hile the ICER was moderately sensitive to accounting for the difference in the population eligible for testing, and that eligible for treatment, it is acknowledged that this analysis does not take into account the other benefits associated with identifying g</w:t>
      </w:r>
      <w:r w:rsidR="00A96FCF" w:rsidRPr="00A96FCF">
        <w:rPr>
          <w:i/>
          <w:iCs/>
        </w:rPr>
        <w:t>BRCA</w:t>
      </w:r>
      <w:r w:rsidR="00962EDB" w:rsidRPr="000E600F">
        <w:t xml:space="preserve"> variants beyond access to olaparib treatment (such as increased monitoring for other cancers and preventative actions e.g. bilateral salpingo-oophorectomy or mastectomy) (</w:t>
      </w:r>
      <w:hyperlink r:id="rId50" w:history="1">
        <w:r w:rsidR="00843CC0" w:rsidRPr="000E600F">
          <w:rPr>
            <w:rStyle w:val="Hyperlink"/>
          </w:rPr>
          <w:t>1411.1 PSD March 2016 MSAC Meeting</w:t>
        </w:r>
      </w:hyperlink>
      <w:r w:rsidR="00962EDB" w:rsidRPr="007B31DA">
        <w:rPr>
          <w:i/>
          <w:iCs/>
        </w:rPr>
        <w:t>).</w:t>
      </w:r>
      <w:r w:rsidR="00962EDB">
        <w:rPr>
          <w:i/>
          <w:iCs/>
        </w:rPr>
        <w:t xml:space="preserve"> </w:t>
      </w:r>
    </w:p>
    <w:p w14:paraId="135DF319" w14:textId="750B6903" w:rsidR="00D01A1C" w:rsidRPr="000E600F" w:rsidRDefault="00D01A1C" w:rsidP="3393979E">
      <w:r w:rsidRPr="000E600F">
        <w:t xml:space="preserve">The </w:t>
      </w:r>
      <w:r w:rsidR="007C0A5B" w:rsidRPr="000E600F">
        <w:t xml:space="preserve">commentary noted that </w:t>
      </w:r>
      <w:r w:rsidRPr="000E600F">
        <w:t>PBAC previously considered that olaparib (following g</w:t>
      </w:r>
      <w:r w:rsidR="00A96FCF" w:rsidRPr="00A96FCF">
        <w:rPr>
          <w:i/>
          <w:iCs/>
        </w:rPr>
        <w:t>BRCA</w:t>
      </w:r>
      <w:r w:rsidRPr="000E600F">
        <w:t xml:space="preserve"> testing at a cost of $1,200) could be considered cost-effective with changes to the economic model and price reduction to achieve an ICER of $35,000/QALY. While this recommended ICER </w:t>
      </w:r>
      <w:r w:rsidR="007C0A5B" w:rsidRPr="000E600F">
        <w:t>wa</w:t>
      </w:r>
      <w:r w:rsidRPr="000E600F">
        <w:t xml:space="preserve">s higher than other decisions in the adjuvant therapy setting ($30,000/QALY) (para 7.9, nivolumab PSD, July 2022 PBAC meeting), MSAC may wish to consider whether this adequately </w:t>
      </w:r>
      <w:r w:rsidR="007C0A5B" w:rsidRPr="000E600F">
        <w:t xml:space="preserve">accounted </w:t>
      </w:r>
      <w:r w:rsidRPr="000E600F">
        <w:t xml:space="preserve">for the costs and benefits resulting from cascade testing not captured in the analysis. The economic evaluation included in the resubmission (with reduced test cost of $1,000), however did not incorporate all of the changes suggested by the PBAC and presented a higher ICER </w:t>
      </w:r>
      <w:r w:rsidR="001741B3">
        <w:t>(</w:t>
      </w:r>
      <w:r w:rsidR="00607921" w:rsidRPr="000E600F">
        <w:t>$3</w:t>
      </w:r>
      <w:r w:rsidR="00607921">
        <w:t>5,000 to &lt;$45,000</w:t>
      </w:r>
      <w:r w:rsidR="00607921" w:rsidRPr="000E600F" w:rsidDel="00607921">
        <w:t xml:space="preserve"> </w:t>
      </w:r>
      <w:r w:rsidRPr="000E600F">
        <w:t>). Increasing the cost of g</w:t>
      </w:r>
      <w:r w:rsidR="00A96FCF" w:rsidRPr="00A96FCF">
        <w:rPr>
          <w:i/>
          <w:iCs/>
        </w:rPr>
        <w:t>BRCA</w:t>
      </w:r>
      <w:r w:rsidRPr="000E600F">
        <w:t xml:space="preserve"> testing from $1,000 (assumed in the current base case) to $1,200 in isolation from the other changes listed in Table 9 results in an ICER of $45</w:t>
      </w:r>
      <w:r w:rsidR="00182727">
        <w:t>,000 to &lt;$55,000</w:t>
      </w:r>
      <w:r w:rsidRPr="000E600F">
        <w:t xml:space="preserve"> per QALY which is less than 3% higher than the current resubmission base case. Addressing the outstanding concerns (and other matters identified during the evaluation) increased the ICER to </w:t>
      </w:r>
      <w:r w:rsidR="00607921" w:rsidRPr="00EC7D1B">
        <w:t>$55,000 to &lt; $75,000</w:t>
      </w:r>
      <w:r w:rsidRPr="000E600F">
        <w:t xml:space="preserve">/QALY and </w:t>
      </w:r>
      <w:r w:rsidR="00607921" w:rsidRPr="00EC7D1B">
        <w:t>$55,000 to &lt; $75,000</w:t>
      </w:r>
      <w:r w:rsidRPr="000E600F">
        <w:t>/QALY (as per Table 9) , assuming test costs of $1,000 and $1,200, respectively.</w:t>
      </w:r>
    </w:p>
    <w:p w14:paraId="25AE2BAC" w14:textId="1F35AB00" w:rsidR="00772829" w:rsidRPr="00CE28E3" w:rsidRDefault="00C36633" w:rsidP="002A18BE">
      <w:pPr>
        <w:pStyle w:val="Heading2"/>
        <w:numPr>
          <w:ilvl w:val="0"/>
          <w:numId w:val="0"/>
        </w:numPr>
      </w:pPr>
      <w:bookmarkStart w:id="42" w:name="_Toc69491426"/>
      <w:bookmarkEnd w:id="37"/>
      <w:r>
        <w:t>1</w:t>
      </w:r>
      <w:r w:rsidR="00CB5FB7">
        <w:t>4</w:t>
      </w:r>
      <w:r>
        <w:t>.</w:t>
      </w:r>
      <w:r>
        <w:tab/>
      </w:r>
      <w:r w:rsidR="00772829" w:rsidRPr="00CE28E3">
        <w:t>Financial/budgetary impacts</w:t>
      </w:r>
      <w:bookmarkEnd w:id="42"/>
    </w:p>
    <w:p w14:paraId="218EDC6E" w14:textId="5730BBCB" w:rsidR="00713852" w:rsidRPr="00713852" w:rsidRDefault="004676B1" w:rsidP="00330A0A">
      <w:pPr>
        <w:rPr>
          <w:i/>
          <w:iCs/>
        </w:rPr>
      </w:pPr>
      <w:r>
        <w:t>The</w:t>
      </w:r>
      <w:r w:rsidR="00713852">
        <w:t xml:space="preserve"> epidemiological approach used</w:t>
      </w:r>
      <w:r>
        <w:t xml:space="preserve"> previously</w:t>
      </w:r>
      <w:r w:rsidR="00713852">
        <w:t xml:space="preserve"> to estimate the changes in use and cost to the MBS and PBS resulting from the proposed listing of </w:t>
      </w:r>
      <w:r w:rsidR="000D659D" w:rsidRPr="000D659D">
        <w:rPr>
          <w:lang w:val="en-US"/>
        </w:rPr>
        <w:t>g</w:t>
      </w:r>
      <w:r w:rsidR="00A96FCF" w:rsidRPr="00A96FCF">
        <w:rPr>
          <w:i/>
          <w:iCs/>
          <w:lang w:val="en-US"/>
        </w:rPr>
        <w:t>BRCA</w:t>
      </w:r>
      <w:r w:rsidR="000D659D">
        <w:t xml:space="preserve"> </w:t>
      </w:r>
      <w:r w:rsidR="00713852">
        <w:t>testing for access to olaparib treatment in high-risk HER2− early breast cancer</w:t>
      </w:r>
      <w:r>
        <w:t xml:space="preserve"> was updated</w:t>
      </w:r>
      <w:r w:rsidR="00713852">
        <w:t xml:space="preserve">. </w:t>
      </w:r>
      <w:r w:rsidR="00713852" w:rsidRPr="000E600F">
        <w:t xml:space="preserve">In general, the </w:t>
      </w:r>
      <w:r w:rsidR="00987F76" w:rsidRPr="000E600F">
        <w:t xml:space="preserve">commentary noted that the </w:t>
      </w:r>
      <w:r w:rsidR="00713852" w:rsidRPr="000E600F">
        <w:t>approach was consistent with the previous submission, with updates to the epidemiological estimates used, based on advice provided by the PBAC.</w:t>
      </w:r>
      <w:r w:rsidR="00713852">
        <w:rPr>
          <w:i/>
          <w:iCs/>
        </w:rPr>
        <w:t xml:space="preserve"> </w:t>
      </w:r>
    </w:p>
    <w:p w14:paraId="13EF0579" w14:textId="23E7C96E" w:rsidR="00C97527" w:rsidRPr="00C97527" w:rsidRDefault="00C97527" w:rsidP="00C97527">
      <w:r w:rsidRPr="00C97527">
        <w:t xml:space="preserve">A summary of the data sources and parameter values used to estimate the utilisation and financial implications </w:t>
      </w:r>
      <w:r w:rsidR="0023202A">
        <w:t xml:space="preserve">of </w:t>
      </w:r>
      <w:r w:rsidR="00987F76">
        <w:t>g</w:t>
      </w:r>
      <w:r w:rsidR="0023202A" w:rsidRPr="00926127">
        <w:rPr>
          <w:i/>
          <w:iCs/>
        </w:rPr>
        <w:t>BRCA</w:t>
      </w:r>
      <w:r w:rsidR="0023202A">
        <w:t xml:space="preserve"> testing </w:t>
      </w:r>
      <w:r w:rsidRPr="00C97527">
        <w:t xml:space="preserve">in the resubmission are summarised in </w:t>
      </w:r>
      <w:r w:rsidR="00A95439">
        <w:fldChar w:fldCharType="begin"/>
      </w:r>
      <w:r w:rsidR="00A95439">
        <w:instrText xml:space="preserve"> REF _Ref144379624 \h </w:instrText>
      </w:r>
      <w:r w:rsidR="00A95439">
        <w:fldChar w:fldCharType="separate"/>
      </w:r>
      <w:r w:rsidR="00D8423B" w:rsidRPr="00137818">
        <w:t>Table </w:t>
      </w:r>
      <w:r w:rsidR="00D8423B">
        <w:rPr>
          <w:noProof/>
        </w:rPr>
        <w:t>11</w:t>
      </w:r>
      <w:r w:rsidR="00A95439">
        <w:fldChar w:fldCharType="end"/>
      </w:r>
      <w:r w:rsidRPr="00C97527">
        <w:t>.</w:t>
      </w:r>
    </w:p>
    <w:p w14:paraId="7AD0FD5D" w14:textId="72B240F2" w:rsidR="00724A47" w:rsidRPr="00137818" w:rsidRDefault="00240167" w:rsidP="00E454C1">
      <w:pPr>
        <w:pStyle w:val="Caption"/>
        <w:spacing w:before="240"/>
      </w:pPr>
      <w:bookmarkStart w:id="43" w:name="_Ref144379624"/>
      <w:r w:rsidRPr="00137818">
        <w:t>Table </w:t>
      </w:r>
      <w:r>
        <w:fldChar w:fldCharType="begin"/>
      </w:r>
      <w:r>
        <w:instrText>SEQ Table \* ARABIC</w:instrText>
      </w:r>
      <w:r>
        <w:fldChar w:fldCharType="separate"/>
      </w:r>
      <w:r w:rsidR="00D8423B">
        <w:rPr>
          <w:noProof/>
        </w:rPr>
        <w:t>11</w:t>
      </w:r>
      <w:r>
        <w:fldChar w:fldCharType="end"/>
      </w:r>
      <w:bookmarkEnd w:id="43"/>
      <w:r w:rsidRPr="00137818">
        <w:tab/>
        <w:t>Data sources and parameter values applied in the utilisation and financial estimates</w:t>
      </w:r>
    </w:p>
    <w:tbl>
      <w:tblPr>
        <w:tblStyle w:val="TableGrid"/>
        <w:tblW w:w="0" w:type="auto"/>
        <w:tblLook w:val="04A0" w:firstRow="1" w:lastRow="0" w:firstColumn="1" w:lastColumn="0" w:noHBand="0" w:noVBand="1"/>
      </w:tblPr>
      <w:tblGrid>
        <w:gridCol w:w="2263"/>
        <w:gridCol w:w="3376"/>
        <w:gridCol w:w="3377"/>
      </w:tblGrid>
      <w:tr w:rsidR="00724A47" w:rsidRPr="00724A47" w14:paraId="3D200D14" w14:textId="77777777" w:rsidTr="00E23BE1">
        <w:trPr>
          <w:cantSplit/>
          <w:tblHeader/>
        </w:trPr>
        <w:tc>
          <w:tcPr>
            <w:tcW w:w="2263" w:type="dxa"/>
            <w:tcBorders>
              <w:bottom w:val="single" w:sz="4" w:space="0" w:color="auto"/>
            </w:tcBorders>
          </w:tcPr>
          <w:p w14:paraId="0512BB46" w14:textId="2227861D" w:rsidR="00724A47" w:rsidRPr="00724A47" w:rsidRDefault="00724A47" w:rsidP="00E454C1">
            <w:pPr>
              <w:pStyle w:val="In-tableHeading"/>
              <w:keepNext w:val="0"/>
            </w:pPr>
            <w:r w:rsidRPr="00FC644B">
              <w:t>Parameter</w:t>
            </w:r>
          </w:p>
        </w:tc>
        <w:tc>
          <w:tcPr>
            <w:tcW w:w="3376" w:type="dxa"/>
            <w:tcBorders>
              <w:bottom w:val="single" w:sz="4" w:space="0" w:color="auto"/>
            </w:tcBorders>
          </w:tcPr>
          <w:p w14:paraId="3AA721EE" w14:textId="6150C2A0" w:rsidR="00724A47" w:rsidRPr="00724A47" w:rsidRDefault="00724A47" w:rsidP="00E454C1">
            <w:pPr>
              <w:pStyle w:val="In-tableHeading"/>
              <w:keepNext w:val="0"/>
            </w:pPr>
            <w:r w:rsidRPr="00FC644B">
              <w:t>Value applied and source</w:t>
            </w:r>
          </w:p>
        </w:tc>
        <w:tc>
          <w:tcPr>
            <w:tcW w:w="3377" w:type="dxa"/>
            <w:tcBorders>
              <w:bottom w:val="single" w:sz="4" w:space="0" w:color="auto"/>
            </w:tcBorders>
          </w:tcPr>
          <w:p w14:paraId="38CD7576" w14:textId="724767E3" w:rsidR="00724A47" w:rsidRPr="00724A47" w:rsidRDefault="00724A47" w:rsidP="00E454C1">
            <w:pPr>
              <w:pStyle w:val="In-tableHeading"/>
              <w:keepNext w:val="0"/>
            </w:pPr>
            <w:r w:rsidRPr="00FC644B">
              <w:t>Comment</w:t>
            </w:r>
          </w:p>
        </w:tc>
      </w:tr>
      <w:tr w:rsidR="00BC2444" w:rsidRPr="00724A47" w14:paraId="38B1C0C4" w14:textId="77777777" w:rsidTr="00E23BE1">
        <w:trPr>
          <w:cantSplit/>
        </w:trPr>
        <w:tc>
          <w:tcPr>
            <w:tcW w:w="2263" w:type="dxa"/>
          </w:tcPr>
          <w:p w14:paraId="5B00F14A" w14:textId="63955EBB" w:rsidR="00BC2444" w:rsidRPr="00724A47" w:rsidRDefault="00BC2444" w:rsidP="00E454C1">
            <w:pPr>
              <w:pStyle w:val="TableText"/>
              <w:spacing w:before="0" w:after="0"/>
            </w:pPr>
            <w:r w:rsidRPr="004F0A3D">
              <w:t>Incident cases of breast cancer</w:t>
            </w:r>
          </w:p>
        </w:tc>
        <w:tc>
          <w:tcPr>
            <w:tcW w:w="3376" w:type="dxa"/>
            <w:vAlign w:val="center"/>
          </w:tcPr>
          <w:p w14:paraId="4E3598B2" w14:textId="7DAC2A26" w:rsidR="00BC2444" w:rsidRPr="00724A47" w:rsidRDefault="00BC2444" w:rsidP="00E454C1">
            <w:pPr>
              <w:pStyle w:val="TableText"/>
              <w:spacing w:before="0" w:after="0"/>
            </w:pPr>
            <w:r w:rsidRPr="00AD5309">
              <w:t>Increasing from 21,729 in Year 1 to 24,173 by Year 6</w:t>
            </w:r>
            <w:r>
              <w:t xml:space="preserve"> based on </w:t>
            </w:r>
            <w:r w:rsidRPr="00724A47">
              <w:t>AIHW breast cancer incidence projections for all persons, 2022−2031</w:t>
            </w:r>
            <w:r w:rsidRPr="009C2CEF">
              <w:rPr>
                <w:vertAlign w:val="superscript"/>
              </w:rPr>
              <w:t>a</w:t>
            </w:r>
          </w:p>
        </w:tc>
        <w:tc>
          <w:tcPr>
            <w:tcW w:w="3377" w:type="dxa"/>
          </w:tcPr>
          <w:p w14:paraId="792FC552" w14:textId="32A4CA81" w:rsidR="00BC2444" w:rsidRPr="000E600F" w:rsidRDefault="00BC2444" w:rsidP="00E454C1">
            <w:pPr>
              <w:pStyle w:val="TableText"/>
              <w:spacing w:before="0" w:after="0"/>
            </w:pPr>
            <w:r w:rsidRPr="000E600F">
              <w:t>The</w:t>
            </w:r>
            <w:r w:rsidR="007971FD" w:rsidRPr="000E600F">
              <w:t xml:space="preserve"> commentary</w:t>
            </w:r>
            <w:r w:rsidRPr="000E600F">
              <w:t xml:space="preserve"> </w:t>
            </w:r>
            <w:r w:rsidR="007971FD" w:rsidRPr="000E600F">
              <w:t>noted that</w:t>
            </w:r>
            <w:r w:rsidRPr="000E600F">
              <w:t xml:space="preserve"> source was unchanged from the previous submission, though estimates </w:t>
            </w:r>
            <w:r w:rsidR="004676B1" w:rsidRPr="000E600F">
              <w:t>were</w:t>
            </w:r>
            <w:r w:rsidRPr="000E600F">
              <w:t xml:space="preserve"> updated to reflect 2024−29 (compared to 2023−28, previously)</w:t>
            </w:r>
          </w:p>
        </w:tc>
      </w:tr>
      <w:tr w:rsidR="00BC2444" w:rsidRPr="00724A47" w14:paraId="45DB2D5C" w14:textId="77777777" w:rsidTr="00E23BE1">
        <w:trPr>
          <w:cantSplit/>
        </w:trPr>
        <w:tc>
          <w:tcPr>
            <w:tcW w:w="2263" w:type="dxa"/>
          </w:tcPr>
          <w:p w14:paraId="356ABF49" w14:textId="74600DA3" w:rsidR="00BC2444" w:rsidRPr="004F7623" w:rsidRDefault="00BC2444" w:rsidP="00E454C1">
            <w:pPr>
              <w:pStyle w:val="TableText"/>
              <w:spacing w:before="0" w:after="0"/>
            </w:pPr>
            <w:r w:rsidRPr="004F0A3D">
              <w:t>Proportion of patients at Stage I-III at diagnosis</w:t>
            </w:r>
          </w:p>
        </w:tc>
        <w:tc>
          <w:tcPr>
            <w:tcW w:w="3376" w:type="dxa"/>
            <w:vAlign w:val="center"/>
          </w:tcPr>
          <w:p w14:paraId="5B39335A" w14:textId="52399C14" w:rsidR="00BC2444" w:rsidRPr="00367A37" w:rsidRDefault="00BC2444" w:rsidP="00E454C1">
            <w:pPr>
              <w:pStyle w:val="TableText"/>
              <w:spacing w:before="0" w:after="0"/>
            </w:pPr>
            <w:r w:rsidRPr="00AD5309">
              <w:t>95.1%</w:t>
            </w:r>
            <w:r>
              <w:t xml:space="preserve"> based on </w:t>
            </w:r>
            <w:r w:rsidRPr="00724A47">
              <w:t>AIHW breast cancer incidence by stage data, 2011, adjusted for patients with unknown disease stage</w:t>
            </w:r>
            <w:r>
              <w:t xml:space="preserve"> </w:t>
            </w:r>
            <w:r w:rsidRPr="009C2CEF">
              <w:rPr>
                <w:vertAlign w:val="superscript"/>
              </w:rPr>
              <w:t>b</w:t>
            </w:r>
          </w:p>
        </w:tc>
        <w:tc>
          <w:tcPr>
            <w:tcW w:w="3377" w:type="dxa"/>
          </w:tcPr>
          <w:p w14:paraId="3C73E9C0" w14:textId="03A13EC8" w:rsidR="00BC2444" w:rsidRPr="000E600F" w:rsidRDefault="007971FD" w:rsidP="00E454C1">
            <w:pPr>
              <w:pStyle w:val="TableText"/>
              <w:spacing w:before="0" w:after="0"/>
            </w:pPr>
            <w:r w:rsidRPr="000E600F">
              <w:t>The commentary considered t</w:t>
            </w:r>
            <w:r w:rsidR="00BC2444" w:rsidRPr="000E600F">
              <w:t xml:space="preserve">his change was consistent with </w:t>
            </w:r>
            <w:r w:rsidR="004676B1" w:rsidRPr="000E600F">
              <w:t xml:space="preserve">PBAC </w:t>
            </w:r>
            <w:r w:rsidR="00BC2444" w:rsidRPr="000E600F">
              <w:t>advice</w:t>
            </w:r>
            <w:r w:rsidR="00870CBF" w:rsidRPr="000E600F">
              <w:t xml:space="preserve"> </w:t>
            </w:r>
            <w:r w:rsidR="00870CBF" w:rsidRPr="000E600F">
              <w:rPr>
                <w:vertAlign w:val="superscript"/>
              </w:rPr>
              <w:t>c</w:t>
            </w:r>
          </w:p>
        </w:tc>
      </w:tr>
      <w:tr w:rsidR="00724A47" w:rsidRPr="00724A47" w14:paraId="5BB33A3B" w14:textId="77777777" w:rsidTr="00E23BE1">
        <w:trPr>
          <w:cantSplit/>
        </w:trPr>
        <w:tc>
          <w:tcPr>
            <w:tcW w:w="2263" w:type="dxa"/>
          </w:tcPr>
          <w:p w14:paraId="51D3F6CD" w14:textId="6E92A337" w:rsidR="00724A47" w:rsidRPr="004F7623" w:rsidRDefault="00724A47" w:rsidP="00E454C1">
            <w:pPr>
              <w:pStyle w:val="TableText"/>
              <w:spacing w:before="0" w:after="0"/>
            </w:pPr>
            <w:r w:rsidRPr="004F0A3D">
              <w:t>Proportion of patients with TNBC</w:t>
            </w:r>
            <w:r w:rsidR="00945AB7">
              <w:t xml:space="preserve"> (eligible for testing)</w:t>
            </w:r>
          </w:p>
        </w:tc>
        <w:tc>
          <w:tcPr>
            <w:tcW w:w="3376" w:type="dxa"/>
          </w:tcPr>
          <w:p w14:paraId="4BAFEFF0" w14:textId="3EC881FC" w:rsidR="00724A47" w:rsidRPr="00367A37" w:rsidRDefault="00724A47" w:rsidP="00E454C1">
            <w:pPr>
              <w:pStyle w:val="TableText"/>
              <w:spacing w:before="0" w:after="0"/>
            </w:pPr>
            <w:r w:rsidRPr="00AD5309">
              <w:t>15.0%</w:t>
            </w:r>
            <w:r>
              <w:t xml:space="preserve"> based on </w:t>
            </w:r>
            <w:r w:rsidRPr="00724A47">
              <w:t>Cancer Council Australia, accepted by the PBAC previously (Table 16, atezolizumab PSD, March 2021 PBAC meeting)</w:t>
            </w:r>
          </w:p>
        </w:tc>
        <w:tc>
          <w:tcPr>
            <w:tcW w:w="3377" w:type="dxa"/>
          </w:tcPr>
          <w:p w14:paraId="37949F62" w14:textId="5BF21E93" w:rsidR="00724A47" w:rsidRPr="000E600F" w:rsidRDefault="007971FD" w:rsidP="00E454C1">
            <w:pPr>
              <w:pStyle w:val="TableText"/>
              <w:spacing w:before="0" w:after="0"/>
            </w:pPr>
            <w:r w:rsidRPr="00FF12BC">
              <w:t xml:space="preserve">The commentary considered </w:t>
            </w:r>
            <w:r w:rsidRPr="000E600F">
              <w:t>t</w:t>
            </w:r>
            <w:r w:rsidR="004676B1" w:rsidRPr="000E600F">
              <w:t xml:space="preserve">his change was consistent with PBAC advice </w:t>
            </w:r>
            <w:r w:rsidR="00870CBF" w:rsidRPr="000E600F">
              <w:rPr>
                <w:vertAlign w:val="superscript"/>
              </w:rPr>
              <w:t>c</w:t>
            </w:r>
          </w:p>
        </w:tc>
      </w:tr>
      <w:tr w:rsidR="00945AB7" w:rsidRPr="00724A47" w14:paraId="7FEFE798" w14:textId="77777777" w:rsidTr="00E23BE1">
        <w:trPr>
          <w:cantSplit/>
        </w:trPr>
        <w:tc>
          <w:tcPr>
            <w:tcW w:w="2263" w:type="dxa"/>
          </w:tcPr>
          <w:p w14:paraId="0AD7CDF1" w14:textId="1F732BA3" w:rsidR="00945AB7" w:rsidRPr="004F0A3D" w:rsidRDefault="00945AB7" w:rsidP="00E454C1">
            <w:pPr>
              <w:pStyle w:val="TableText"/>
              <w:spacing w:before="0" w:after="0"/>
            </w:pPr>
            <w:r>
              <w:t>Proportion of TNBC that is high risk (eligible for treatment</w:t>
            </w:r>
            <w:r w:rsidR="00844E53">
              <w:t xml:space="preserve"> with olaparib</w:t>
            </w:r>
            <w:r>
              <w:t>)</w:t>
            </w:r>
          </w:p>
        </w:tc>
        <w:tc>
          <w:tcPr>
            <w:tcW w:w="3376" w:type="dxa"/>
          </w:tcPr>
          <w:p w14:paraId="14045D10" w14:textId="14DC3D32" w:rsidR="00945AB7" w:rsidRPr="00AD5309" w:rsidRDefault="00945AB7" w:rsidP="00E454C1">
            <w:pPr>
              <w:pStyle w:val="TableText"/>
              <w:spacing w:before="0" w:after="0"/>
            </w:pPr>
            <w:r w:rsidRPr="00945AB7">
              <w:t>Assumed to be 80.0%, as previous PBAC advice (40%)</w:t>
            </w:r>
            <w:r w:rsidR="00C90E52" w:rsidRPr="00C90E52">
              <w:rPr>
                <w:vertAlign w:val="superscript"/>
              </w:rPr>
              <w:t>c</w:t>
            </w:r>
            <w:r w:rsidRPr="00945AB7">
              <w:t xml:space="preserve"> was considered to be an underestimate, due to unknown </w:t>
            </w:r>
            <w:r w:rsidRPr="001D4754">
              <w:rPr>
                <w:i/>
                <w:iCs/>
              </w:rPr>
              <w:t>BRCA</w:t>
            </w:r>
            <w:r w:rsidRPr="00945AB7">
              <w:t xml:space="preserve"> status in the study cited, and a higher risk of recurrence could be expected in g</w:t>
            </w:r>
            <w:r w:rsidRPr="001D4754">
              <w:rPr>
                <w:i/>
                <w:iCs/>
              </w:rPr>
              <w:t>BRCA</w:t>
            </w:r>
            <w:r w:rsidRPr="00945AB7">
              <w:t xml:space="preserve"> patients (due to poor prognosis)</w:t>
            </w:r>
          </w:p>
        </w:tc>
        <w:tc>
          <w:tcPr>
            <w:tcW w:w="3377" w:type="dxa"/>
          </w:tcPr>
          <w:p w14:paraId="7C5E9C59" w14:textId="79950E1A" w:rsidR="00945AB7" w:rsidRPr="000E600F" w:rsidRDefault="007971FD" w:rsidP="00E454C1">
            <w:pPr>
              <w:pStyle w:val="TableText"/>
              <w:spacing w:before="0" w:after="0"/>
            </w:pPr>
            <w:r w:rsidRPr="00FF12BC">
              <w:t xml:space="preserve">The commentary considered </w:t>
            </w:r>
            <w:r w:rsidRPr="000E600F">
              <w:t>t</w:t>
            </w:r>
            <w:r w:rsidR="00945AB7" w:rsidRPr="000E600F">
              <w:t xml:space="preserve">his may not </w:t>
            </w:r>
            <w:r w:rsidR="0066203A">
              <w:t xml:space="preserve">have </w:t>
            </w:r>
            <w:r w:rsidR="00945AB7" w:rsidRPr="000E600F">
              <w:t>be</w:t>
            </w:r>
            <w:r w:rsidR="0066203A">
              <w:t>en</w:t>
            </w:r>
            <w:r w:rsidR="00945AB7" w:rsidRPr="000E600F">
              <w:t xml:space="preserve"> reasonable given that previous studies</w:t>
            </w:r>
            <w:r w:rsidR="00C90E52" w:rsidRPr="000E600F">
              <w:rPr>
                <w:vertAlign w:val="superscript"/>
              </w:rPr>
              <w:t>d</w:t>
            </w:r>
            <w:r w:rsidR="00945AB7" w:rsidRPr="000E600F">
              <w:t xml:space="preserve"> suggest</w:t>
            </w:r>
            <w:r w:rsidR="0066203A">
              <w:t>ed</w:t>
            </w:r>
            <w:r w:rsidR="00945AB7" w:rsidRPr="000E600F">
              <w:t xml:space="preserve"> that response with neoadjuvant chemotherapy may</w:t>
            </w:r>
            <w:r w:rsidR="00945AB7">
              <w:t xml:space="preserve"> </w:t>
            </w:r>
            <w:r w:rsidR="0066203A">
              <w:t>have</w:t>
            </w:r>
            <w:r w:rsidR="00945AB7" w:rsidRPr="000E600F">
              <w:t xml:space="preserve"> be</w:t>
            </w:r>
            <w:r w:rsidR="0066203A">
              <w:t>en</w:t>
            </w:r>
            <w:r w:rsidR="00945AB7" w:rsidRPr="000E600F">
              <w:t xml:space="preserve"> higher in those with g</w:t>
            </w:r>
            <w:r w:rsidR="00A96FCF" w:rsidRPr="00A96FCF">
              <w:rPr>
                <w:i/>
                <w:iCs/>
              </w:rPr>
              <w:t>BRCA</w:t>
            </w:r>
            <w:r w:rsidR="00945AB7" w:rsidRPr="000E600F">
              <w:t xml:space="preserve"> variants.</w:t>
            </w:r>
          </w:p>
          <w:p w14:paraId="0672DF5F" w14:textId="667F5738" w:rsidR="00945AB7" w:rsidRPr="000E600F" w:rsidRDefault="007971FD" w:rsidP="00E454C1">
            <w:pPr>
              <w:pStyle w:val="TableText"/>
              <w:spacing w:before="0" w:after="0"/>
            </w:pPr>
            <w:r w:rsidRPr="00FF12BC">
              <w:t xml:space="preserve">The commentary considered </w:t>
            </w:r>
            <w:r w:rsidRPr="000E600F">
              <w:t>t</w:t>
            </w:r>
            <w:r w:rsidR="00945AB7" w:rsidRPr="000E600F">
              <w:t>h</w:t>
            </w:r>
            <w:r w:rsidR="00927F3F" w:rsidRPr="000E600F">
              <w:t>is was inconsistent with th</w:t>
            </w:r>
            <w:r w:rsidR="00945AB7" w:rsidRPr="000E600F">
              <w:t xml:space="preserve">e economic model </w:t>
            </w:r>
            <w:r w:rsidR="00927F3F" w:rsidRPr="000E600F">
              <w:t xml:space="preserve">which </w:t>
            </w:r>
            <w:r w:rsidR="00945AB7" w:rsidRPr="000E600F">
              <w:t xml:space="preserve">assumed all TNBC patients tested </w:t>
            </w:r>
            <w:r w:rsidR="00AA071A" w:rsidRPr="000E600F">
              <w:t>found with g</w:t>
            </w:r>
            <w:r w:rsidR="00A96FCF" w:rsidRPr="00A96FCF">
              <w:rPr>
                <w:i/>
                <w:iCs/>
              </w:rPr>
              <w:t>BRCA</w:t>
            </w:r>
            <w:r w:rsidR="00AA071A" w:rsidRPr="000E600F">
              <w:t xml:space="preserve"> variants </w:t>
            </w:r>
            <w:r w:rsidR="00945AB7" w:rsidRPr="000E600F">
              <w:t>would meet the criteria for olaparib treatment.</w:t>
            </w:r>
          </w:p>
        </w:tc>
      </w:tr>
      <w:tr w:rsidR="00724A47" w:rsidRPr="00724A47" w14:paraId="5AB7C84B" w14:textId="77777777" w:rsidTr="00E23BE1">
        <w:trPr>
          <w:cantSplit/>
        </w:trPr>
        <w:tc>
          <w:tcPr>
            <w:tcW w:w="2263" w:type="dxa"/>
            <w:shd w:val="clear" w:color="auto" w:fill="B4C6E7" w:themeFill="accent5" w:themeFillTint="66"/>
          </w:tcPr>
          <w:p w14:paraId="7DB083FC" w14:textId="5387CB38" w:rsidR="00724A47" w:rsidRPr="004F7623" w:rsidRDefault="00724A47" w:rsidP="00E454C1">
            <w:pPr>
              <w:pStyle w:val="TableText"/>
              <w:spacing w:before="0" w:after="0"/>
            </w:pPr>
            <w:r w:rsidRPr="004F0A3D">
              <w:t>Proportion with HR+ HER2− breast cancer</w:t>
            </w:r>
          </w:p>
        </w:tc>
        <w:tc>
          <w:tcPr>
            <w:tcW w:w="3376" w:type="dxa"/>
            <w:shd w:val="clear" w:color="auto" w:fill="B4C6E7" w:themeFill="accent5" w:themeFillTint="66"/>
          </w:tcPr>
          <w:p w14:paraId="77C46696" w14:textId="6A817F7F" w:rsidR="00724A47" w:rsidRPr="00367A37" w:rsidRDefault="00BC2444" w:rsidP="00E454C1">
            <w:pPr>
              <w:pStyle w:val="TableText"/>
              <w:spacing w:before="0" w:after="0"/>
            </w:pPr>
            <w:r w:rsidRPr="00AD5309">
              <w:t>69.3%</w:t>
            </w:r>
            <w:r>
              <w:t xml:space="preserve"> (</w:t>
            </w:r>
            <w:r w:rsidRPr="00C55019">
              <w:t xml:space="preserve">Stuart-Harris et al. </w:t>
            </w:r>
            <w:r w:rsidR="00F4414B" w:rsidRPr="00C55019">
              <w:t>2019</w:t>
            </w:r>
            <w:r w:rsidR="00F4414B">
              <w:t>)</w:t>
            </w:r>
            <w:r w:rsidR="00F4414B">
              <w:rPr>
                <w:vertAlign w:val="superscript"/>
              </w:rPr>
              <w:t xml:space="preserve"> </w:t>
            </w:r>
            <w:r w:rsidR="00C90E52">
              <w:rPr>
                <w:vertAlign w:val="superscript"/>
              </w:rPr>
              <w:t>e</w:t>
            </w:r>
          </w:p>
        </w:tc>
        <w:tc>
          <w:tcPr>
            <w:tcW w:w="3377" w:type="dxa"/>
            <w:shd w:val="clear" w:color="auto" w:fill="B4C6E7" w:themeFill="accent5" w:themeFillTint="66"/>
          </w:tcPr>
          <w:p w14:paraId="44A07510" w14:textId="3E41FFC5" w:rsidR="00724A47" w:rsidRPr="00C97527" w:rsidRDefault="007971FD" w:rsidP="00E454C1">
            <w:pPr>
              <w:pStyle w:val="TableText"/>
              <w:spacing w:before="0" w:after="0"/>
              <w:rPr>
                <w:i/>
                <w:iCs/>
              </w:rPr>
            </w:pPr>
            <w:r w:rsidRPr="009E76FB">
              <w:t xml:space="preserve">The commentary </w:t>
            </w:r>
            <w:r>
              <w:t xml:space="preserve">noted </w:t>
            </w:r>
            <w:r w:rsidRPr="000E600F">
              <w:t>t</w:t>
            </w:r>
            <w:r w:rsidR="00C97527" w:rsidRPr="000E600F">
              <w:t>his was unchanged.</w:t>
            </w:r>
          </w:p>
        </w:tc>
      </w:tr>
      <w:tr w:rsidR="00C90E52" w:rsidRPr="00724A47" w14:paraId="512248E6" w14:textId="77777777" w:rsidTr="00C90E52">
        <w:trPr>
          <w:cantSplit/>
        </w:trPr>
        <w:tc>
          <w:tcPr>
            <w:tcW w:w="2263" w:type="dxa"/>
            <w:shd w:val="clear" w:color="auto" w:fill="auto"/>
            <w:vAlign w:val="center"/>
          </w:tcPr>
          <w:p w14:paraId="6EE2DEA4" w14:textId="09AAD717" w:rsidR="00C90E52" w:rsidRPr="004F0A3D" w:rsidRDefault="00C90E52" w:rsidP="00E454C1">
            <w:pPr>
              <w:pStyle w:val="TableText"/>
              <w:spacing w:before="0" w:after="0"/>
            </w:pPr>
            <w:r>
              <w:t>Proportion of HR+ HER2− breast cancer that is high risk (eligible for treatment</w:t>
            </w:r>
            <w:r w:rsidR="00844E53">
              <w:t xml:space="preserve"> with olaparib</w:t>
            </w:r>
            <w:r>
              <w:t>)</w:t>
            </w:r>
          </w:p>
        </w:tc>
        <w:tc>
          <w:tcPr>
            <w:tcW w:w="3376" w:type="dxa"/>
            <w:shd w:val="clear" w:color="auto" w:fill="auto"/>
            <w:vAlign w:val="center"/>
          </w:tcPr>
          <w:p w14:paraId="10843596" w14:textId="26F6B2F1" w:rsidR="00C90E52" w:rsidRDefault="00C90E52" w:rsidP="00E454C1">
            <w:pPr>
              <w:pStyle w:val="TableText"/>
              <w:spacing w:before="0" w:after="0"/>
            </w:pPr>
            <w:r>
              <w:t>39.2% assuming 49.0% of patients have high-risk characteristics eligible for testing (based on the proportion that use (neo)adjuvant therapy reported in Patiniott et.al. 2019</w:t>
            </w:r>
            <w:r w:rsidRPr="00C90E52">
              <w:rPr>
                <w:vertAlign w:val="superscript"/>
              </w:rPr>
              <w:t>f</w:t>
            </w:r>
            <w:r>
              <w:t>) (unchanged from the previous submission), and that of these, 80% do not respond to treatment (as assumed for TNBC)</w:t>
            </w:r>
          </w:p>
        </w:tc>
        <w:tc>
          <w:tcPr>
            <w:tcW w:w="3377" w:type="dxa"/>
            <w:shd w:val="clear" w:color="auto" w:fill="auto"/>
          </w:tcPr>
          <w:p w14:paraId="3F216D57" w14:textId="04FE0F26" w:rsidR="00C90E52" w:rsidRPr="000E600F" w:rsidRDefault="00E6659A" w:rsidP="00E454C1">
            <w:pPr>
              <w:pStyle w:val="TableText"/>
              <w:spacing w:before="0" w:after="0"/>
            </w:pPr>
            <w:r w:rsidRPr="009E76FB">
              <w:t xml:space="preserve">The commentary </w:t>
            </w:r>
            <w:r>
              <w:t xml:space="preserve">noted </w:t>
            </w:r>
            <w:r w:rsidRPr="000E600F">
              <w:t>t</w:t>
            </w:r>
            <w:r w:rsidR="00C90E52" w:rsidRPr="000E600F">
              <w:t xml:space="preserve">he PBAC considered that 25% would be more appropriate. </w:t>
            </w:r>
            <w:r w:rsidR="00C90E52" w:rsidRPr="000E600F">
              <w:rPr>
                <w:vertAlign w:val="superscript"/>
              </w:rPr>
              <w:t>c</w:t>
            </w:r>
            <w:r w:rsidR="00A234A4" w:rsidRPr="000E600F">
              <w:t xml:space="preserve"> </w:t>
            </w:r>
          </w:p>
          <w:p w14:paraId="3B0886A5" w14:textId="576589F1" w:rsidR="00C90E52" w:rsidRPr="000E600F" w:rsidRDefault="00D338C6" w:rsidP="00E454C1">
            <w:pPr>
              <w:pStyle w:val="TableText"/>
              <w:spacing w:before="0" w:after="0"/>
            </w:pPr>
            <w:r w:rsidRPr="00D338C6">
              <w:t xml:space="preserve">The commentary considered </w:t>
            </w:r>
            <w:r w:rsidRPr="000E600F">
              <w:t>t</w:t>
            </w:r>
            <w:r w:rsidR="00927F3F" w:rsidRPr="000E600F">
              <w:t xml:space="preserve">his was inconsistent with the economic model which assumed </w:t>
            </w:r>
            <w:r w:rsidR="00C90E52" w:rsidRPr="000E600F">
              <w:t xml:space="preserve">all HR+ HER2− breast cancer patients eligible for testing (i.e. 49%) </w:t>
            </w:r>
            <w:r w:rsidR="00AA071A" w:rsidRPr="000E600F">
              <w:t>found with g</w:t>
            </w:r>
            <w:r w:rsidR="00A96FCF" w:rsidRPr="00A96FCF">
              <w:rPr>
                <w:i/>
                <w:iCs/>
              </w:rPr>
              <w:t>BRCA</w:t>
            </w:r>
            <w:r w:rsidR="00AA071A" w:rsidRPr="000E600F">
              <w:t xml:space="preserve"> variants </w:t>
            </w:r>
            <w:r w:rsidR="00C90E52" w:rsidRPr="000E600F">
              <w:t>would meet the criteria for olaparib treatment.</w:t>
            </w:r>
          </w:p>
        </w:tc>
      </w:tr>
      <w:tr w:rsidR="00724A47" w:rsidRPr="00724A47" w14:paraId="1EC9EA13" w14:textId="77777777" w:rsidTr="00E23BE1">
        <w:trPr>
          <w:cantSplit/>
        </w:trPr>
        <w:tc>
          <w:tcPr>
            <w:tcW w:w="2263" w:type="dxa"/>
            <w:tcBorders>
              <w:bottom w:val="single" w:sz="4" w:space="0" w:color="auto"/>
            </w:tcBorders>
          </w:tcPr>
          <w:p w14:paraId="11A2909C" w14:textId="60E44170" w:rsidR="00724A47" w:rsidRPr="00724A47" w:rsidRDefault="000D659D" w:rsidP="00E454C1">
            <w:pPr>
              <w:pStyle w:val="TableText"/>
              <w:spacing w:before="0" w:after="0"/>
            </w:pPr>
            <w:r w:rsidRPr="000D659D">
              <w:rPr>
                <w:lang w:val="en-US"/>
              </w:rPr>
              <w:t>g</w:t>
            </w:r>
            <w:r w:rsidRPr="000D659D">
              <w:rPr>
                <w:i/>
                <w:iCs/>
                <w:lang w:val="en-US"/>
              </w:rPr>
              <w:t>BRCA</w:t>
            </w:r>
            <w:r w:rsidRPr="004F0A3D">
              <w:t xml:space="preserve"> </w:t>
            </w:r>
            <w:r w:rsidR="00724A47" w:rsidRPr="004F0A3D">
              <w:t xml:space="preserve">testing </w:t>
            </w:r>
            <w:r w:rsidR="00C97527">
              <w:t>before</w:t>
            </w:r>
            <w:r w:rsidR="00724A47" w:rsidRPr="004F0A3D">
              <w:t xml:space="preserve"> olaparib listing</w:t>
            </w:r>
          </w:p>
        </w:tc>
        <w:tc>
          <w:tcPr>
            <w:tcW w:w="3376" w:type="dxa"/>
            <w:tcBorders>
              <w:bottom w:val="single" w:sz="4" w:space="0" w:color="auto"/>
            </w:tcBorders>
          </w:tcPr>
          <w:p w14:paraId="6F13B3F8" w14:textId="77777777" w:rsidR="00724A47" w:rsidRDefault="00724A47" w:rsidP="00E454C1">
            <w:pPr>
              <w:pStyle w:val="TableText"/>
              <w:spacing w:before="0" w:after="0"/>
            </w:pPr>
            <w:r>
              <w:t>TNBC: 74.0%</w:t>
            </w:r>
          </w:p>
          <w:p w14:paraId="24926A12" w14:textId="1CA2CB36" w:rsidR="00724A47" w:rsidRPr="00724A47" w:rsidRDefault="00724A47" w:rsidP="00E454C1">
            <w:pPr>
              <w:pStyle w:val="TableText"/>
              <w:spacing w:before="0" w:after="0"/>
            </w:pPr>
            <w:r>
              <w:t>HR+</w:t>
            </w:r>
            <w:r w:rsidR="00302ADF">
              <w:t xml:space="preserve"> </w:t>
            </w:r>
            <w:r>
              <w:t>HER2−: 20.0%</w:t>
            </w:r>
          </w:p>
        </w:tc>
        <w:tc>
          <w:tcPr>
            <w:tcW w:w="3377" w:type="dxa"/>
            <w:tcBorders>
              <w:bottom w:val="single" w:sz="4" w:space="0" w:color="auto"/>
            </w:tcBorders>
          </w:tcPr>
          <w:p w14:paraId="1FFBED43" w14:textId="6D69CA19" w:rsidR="00724A47" w:rsidRPr="000E600F" w:rsidRDefault="00D338C6" w:rsidP="00E454C1">
            <w:pPr>
              <w:pStyle w:val="TableText"/>
              <w:spacing w:before="0" w:after="0"/>
            </w:pPr>
            <w:r w:rsidRPr="00D338C6">
              <w:t xml:space="preserve">The commentary considered </w:t>
            </w:r>
            <w:r w:rsidRPr="000E600F">
              <w:t>t</w:t>
            </w:r>
            <w:r w:rsidR="00C97527" w:rsidRPr="000E600F">
              <w:t xml:space="preserve">his was consistent with </w:t>
            </w:r>
            <w:r w:rsidR="004676B1" w:rsidRPr="000E600F">
              <w:t xml:space="preserve">PBAC </w:t>
            </w:r>
            <w:r w:rsidR="00C97527" w:rsidRPr="000E600F">
              <w:t xml:space="preserve">advice </w:t>
            </w:r>
            <w:r w:rsidR="00870CBF" w:rsidRPr="000E600F">
              <w:rPr>
                <w:vertAlign w:val="superscript"/>
              </w:rPr>
              <w:t>c</w:t>
            </w:r>
          </w:p>
        </w:tc>
      </w:tr>
      <w:tr w:rsidR="00C97527" w:rsidRPr="00724A47" w14:paraId="0C0DA7DF" w14:textId="77777777" w:rsidTr="00240167">
        <w:trPr>
          <w:cantSplit/>
        </w:trPr>
        <w:tc>
          <w:tcPr>
            <w:tcW w:w="9016" w:type="dxa"/>
            <w:gridSpan w:val="3"/>
            <w:tcBorders>
              <w:bottom w:val="single" w:sz="4" w:space="0" w:color="auto"/>
            </w:tcBorders>
          </w:tcPr>
          <w:p w14:paraId="31C5CB1B" w14:textId="6A07A353" w:rsidR="00C97527" w:rsidRPr="00C97527" w:rsidRDefault="000D659D" w:rsidP="00E454C1">
            <w:pPr>
              <w:pStyle w:val="TableText"/>
              <w:spacing w:before="0" w:after="0"/>
              <w:rPr>
                <w:i/>
                <w:iCs/>
              </w:rPr>
            </w:pPr>
            <w:r w:rsidRPr="000D659D">
              <w:rPr>
                <w:lang w:val="en-US"/>
              </w:rPr>
              <w:t>g</w:t>
            </w:r>
            <w:r w:rsidRPr="000D659D">
              <w:rPr>
                <w:i/>
                <w:iCs/>
                <w:lang w:val="en-US"/>
              </w:rPr>
              <w:t>BRCA</w:t>
            </w:r>
            <w:r>
              <w:t xml:space="preserve"> </w:t>
            </w:r>
            <w:r w:rsidR="00684CCE">
              <w:t xml:space="preserve">testing </w:t>
            </w:r>
            <w:r w:rsidR="00C97527">
              <w:t>after</w:t>
            </w:r>
            <w:r w:rsidR="00C97527" w:rsidRPr="00B6097A">
              <w:t xml:space="preserve"> olaparib listing</w:t>
            </w:r>
          </w:p>
        </w:tc>
      </w:tr>
      <w:tr w:rsidR="00C97527" w:rsidRPr="00724A47" w14:paraId="751EE870" w14:textId="77777777" w:rsidTr="00E23BE1">
        <w:trPr>
          <w:cantSplit/>
        </w:trPr>
        <w:tc>
          <w:tcPr>
            <w:tcW w:w="2263" w:type="dxa"/>
            <w:tcBorders>
              <w:bottom w:val="dashSmallGap" w:sz="4" w:space="0" w:color="auto"/>
            </w:tcBorders>
            <w:vAlign w:val="center"/>
          </w:tcPr>
          <w:p w14:paraId="4A53A467" w14:textId="6B7ED6D7" w:rsidR="00C97527" w:rsidRPr="004F0A3D" w:rsidRDefault="00C97527" w:rsidP="00E454C1">
            <w:pPr>
              <w:pStyle w:val="TableText"/>
              <w:numPr>
                <w:ilvl w:val="0"/>
                <w:numId w:val="24"/>
              </w:numPr>
              <w:spacing w:before="0" w:after="0"/>
              <w:ind w:left="306" w:hanging="142"/>
            </w:pPr>
            <w:r>
              <w:t>TNBC</w:t>
            </w:r>
          </w:p>
        </w:tc>
        <w:tc>
          <w:tcPr>
            <w:tcW w:w="3376" w:type="dxa"/>
            <w:tcBorders>
              <w:bottom w:val="dashSmallGap" w:sz="4" w:space="0" w:color="auto"/>
            </w:tcBorders>
            <w:vAlign w:val="center"/>
          </w:tcPr>
          <w:p w14:paraId="05D6D744" w14:textId="27D3709C" w:rsidR="00C97527" w:rsidRDefault="004676B1" w:rsidP="00E454C1">
            <w:pPr>
              <w:pStyle w:val="TableText"/>
              <w:spacing w:before="0" w:after="0"/>
            </w:pPr>
            <w:r>
              <w:t xml:space="preserve">74.0% in Year 1 to 90.0% from Year 3. Year 1−2 estimates were as advised by the </w:t>
            </w:r>
            <w:r w:rsidRPr="00870CBF">
              <w:t>PBAC</w:t>
            </w:r>
            <w:r w:rsidR="00870CBF" w:rsidRPr="00870CBF">
              <w:rPr>
                <w:vertAlign w:val="superscript"/>
              </w:rPr>
              <w:t>c</w:t>
            </w:r>
            <w:r w:rsidR="00870CBF">
              <w:t xml:space="preserve">. </w:t>
            </w:r>
            <w:r>
              <w:t>In Year 3+, a higher rate was applied as PBAC advice was considered an underestimate.</w:t>
            </w:r>
          </w:p>
        </w:tc>
        <w:tc>
          <w:tcPr>
            <w:tcW w:w="3377" w:type="dxa"/>
            <w:tcBorders>
              <w:bottom w:val="dashSmallGap" w:sz="4" w:space="0" w:color="auto"/>
            </w:tcBorders>
            <w:vAlign w:val="center"/>
          </w:tcPr>
          <w:p w14:paraId="1E0D08FF" w14:textId="0E7B2256" w:rsidR="00C97527" w:rsidRPr="000E600F" w:rsidRDefault="00D338C6" w:rsidP="00E454C1">
            <w:pPr>
              <w:pStyle w:val="TableText"/>
              <w:spacing w:before="0" w:after="0"/>
            </w:pPr>
            <w:r w:rsidRPr="00FF12BC">
              <w:t xml:space="preserve">The commentary considered </w:t>
            </w:r>
            <w:r w:rsidR="00B57600" w:rsidRPr="000E600F">
              <w:t>t</w:t>
            </w:r>
            <w:r w:rsidR="00C97527" w:rsidRPr="000E600F">
              <w:t>he basis for the claimed underestimate in Year 3+ was not clear.</w:t>
            </w:r>
          </w:p>
        </w:tc>
      </w:tr>
      <w:tr w:rsidR="005D7F58" w:rsidRPr="00724A47" w14:paraId="1D4E07F2" w14:textId="77777777" w:rsidTr="00E23BE1">
        <w:trPr>
          <w:cantSplit/>
        </w:trPr>
        <w:tc>
          <w:tcPr>
            <w:tcW w:w="2263" w:type="dxa"/>
            <w:tcBorders>
              <w:top w:val="dashSmallGap" w:sz="4" w:space="0" w:color="auto"/>
              <w:bottom w:val="single" w:sz="4" w:space="0" w:color="auto"/>
            </w:tcBorders>
            <w:vAlign w:val="center"/>
          </w:tcPr>
          <w:p w14:paraId="2238131C" w14:textId="2BC645FB" w:rsidR="005D7F58" w:rsidRPr="004F0A3D" w:rsidRDefault="005D7F58" w:rsidP="00E454C1">
            <w:pPr>
              <w:pStyle w:val="TableText"/>
              <w:numPr>
                <w:ilvl w:val="0"/>
                <w:numId w:val="24"/>
              </w:numPr>
              <w:spacing w:before="0" w:after="0"/>
              <w:ind w:left="306" w:hanging="142"/>
            </w:pPr>
            <w:r>
              <w:t>HR+</w:t>
            </w:r>
            <w:r w:rsidR="00302ADF">
              <w:t xml:space="preserve"> </w:t>
            </w:r>
            <w:r>
              <w:t>HER2−</w:t>
            </w:r>
          </w:p>
        </w:tc>
        <w:tc>
          <w:tcPr>
            <w:tcW w:w="3376" w:type="dxa"/>
            <w:tcBorders>
              <w:top w:val="dashSmallGap" w:sz="4" w:space="0" w:color="auto"/>
              <w:bottom w:val="single" w:sz="4" w:space="0" w:color="auto"/>
            </w:tcBorders>
            <w:vAlign w:val="center"/>
          </w:tcPr>
          <w:p w14:paraId="5C41EBAB" w14:textId="5228C714" w:rsidR="005D7F58" w:rsidRDefault="004676B1" w:rsidP="00E454C1">
            <w:pPr>
              <w:pStyle w:val="TableText"/>
              <w:spacing w:before="0" w:after="0"/>
            </w:pPr>
            <w:r>
              <w:t>Assumed to increase from 50.0% in Year 1 to 90.0% from Year 4 as estimates advised by the PBAC</w:t>
            </w:r>
            <w:r w:rsidR="00870CBF" w:rsidRPr="00870CBF">
              <w:rPr>
                <w:vertAlign w:val="superscript"/>
              </w:rPr>
              <w:t>c</w:t>
            </w:r>
            <w:r>
              <w:t xml:space="preserve"> were considered an underestimate</w:t>
            </w:r>
            <w:r w:rsidR="00231149">
              <w:t xml:space="preserve"> based on high testing uptake in advanced ovarian and prostate cancer following olaparib listing</w:t>
            </w:r>
            <w:r>
              <w:t>.</w:t>
            </w:r>
          </w:p>
        </w:tc>
        <w:tc>
          <w:tcPr>
            <w:tcW w:w="3377" w:type="dxa"/>
            <w:tcBorders>
              <w:top w:val="dashSmallGap" w:sz="4" w:space="0" w:color="auto"/>
              <w:bottom w:val="single" w:sz="4" w:space="0" w:color="auto"/>
            </w:tcBorders>
            <w:vAlign w:val="center"/>
          </w:tcPr>
          <w:p w14:paraId="67FAD86F" w14:textId="4833B6C1" w:rsidR="005D7F58" w:rsidRPr="000E600F" w:rsidRDefault="00B57600" w:rsidP="00E454C1">
            <w:pPr>
              <w:pStyle w:val="TableText"/>
              <w:spacing w:before="0" w:after="0"/>
            </w:pPr>
            <w:r w:rsidRPr="00FF12BC">
              <w:t xml:space="preserve">The commentary considered </w:t>
            </w:r>
            <w:r w:rsidRPr="000E600F">
              <w:t>t</w:t>
            </w:r>
            <w:r w:rsidR="00231149" w:rsidRPr="000E600F">
              <w:t>t</w:t>
            </w:r>
            <w:r w:rsidRPr="000E600F">
              <w:t xml:space="preserve"> wa</w:t>
            </w:r>
            <w:r w:rsidR="00231149" w:rsidRPr="000E600F">
              <w:t>s unclear whether use of testing for treatment in the advanced setting would be indicative of use of testing for treatment in the early (adjuvant) setting.</w:t>
            </w:r>
          </w:p>
        </w:tc>
      </w:tr>
      <w:tr w:rsidR="00C97527" w:rsidRPr="00724A47" w14:paraId="4305A67A" w14:textId="77777777" w:rsidTr="00240167">
        <w:trPr>
          <w:cantSplit/>
        </w:trPr>
        <w:tc>
          <w:tcPr>
            <w:tcW w:w="9016" w:type="dxa"/>
            <w:gridSpan w:val="3"/>
            <w:tcBorders>
              <w:bottom w:val="single" w:sz="4" w:space="0" w:color="auto"/>
            </w:tcBorders>
          </w:tcPr>
          <w:p w14:paraId="50616251" w14:textId="269C55DA" w:rsidR="00C97527" w:rsidRPr="000E600F" w:rsidRDefault="00C97527" w:rsidP="00E454C1">
            <w:pPr>
              <w:pStyle w:val="TableText"/>
              <w:spacing w:before="0" w:after="0"/>
            </w:pPr>
            <w:r w:rsidRPr="00B63B16">
              <w:t xml:space="preserve">Proportion with </w:t>
            </w:r>
            <w:r w:rsidR="00E659A0" w:rsidRPr="000D659D">
              <w:rPr>
                <w:lang w:val="en-US"/>
              </w:rPr>
              <w:t>g</w:t>
            </w:r>
            <w:r w:rsidR="00E659A0" w:rsidRPr="000D659D">
              <w:rPr>
                <w:i/>
                <w:iCs/>
                <w:lang w:val="en-US"/>
              </w:rPr>
              <w:t>BRCA</w:t>
            </w:r>
            <w:r w:rsidR="00E659A0" w:rsidRPr="000E600F">
              <w:rPr>
                <w:i/>
              </w:rPr>
              <w:t xml:space="preserve"> </w:t>
            </w:r>
            <w:r w:rsidR="00684CCE">
              <w:t>variants</w:t>
            </w:r>
          </w:p>
        </w:tc>
      </w:tr>
      <w:tr w:rsidR="0023202A" w:rsidRPr="00724A47" w14:paraId="43CBF11F" w14:textId="77777777" w:rsidTr="00E23BE1">
        <w:trPr>
          <w:cantSplit/>
        </w:trPr>
        <w:tc>
          <w:tcPr>
            <w:tcW w:w="2263" w:type="dxa"/>
            <w:tcBorders>
              <w:bottom w:val="dashSmallGap" w:sz="4" w:space="0" w:color="auto"/>
            </w:tcBorders>
            <w:shd w:val="clear" w:color="auto" w:fill="B4C6E7" w:themeFill="accent5" w:themeFillTint="66"/>
            <w:vAlign w:val="center"/>
          </w:tcPr>
          <w:p w14:paraId="4AD0631F" w14:textId="77777777" w:rsidR="00C97527" w:rsidRPr="004F0A3D" w:rsidRDefault="00C97527" w:rsidP="00E454C1">
            <w:pPr>
              <w:pStyle w:val="TableText"/>
              <w:numPr>
                <w:ilvl w:val="0"/>
                <w:numId w:val="24"/>
              </w:numPr>
              <w:spacing w:before="0" w:after="0"/>
              <w:ind w:left="306" w:hanging="142"/>
            </w:pPr>
            <w:r>
              <w:t>TNBC</w:t>
            </w:r>
          </w:p>
        </w:tc>
        <w:tc>
          <w:tcPr>
            <w:tcW w:w="3376" w:type="dxa"/>
            <w:tcBorders>
              <w:bottom w:val="dashSmallGap" w:sz="4" w:space="0" w:color="auto"/>
            </w:tcBorders>
            <w:shd w:val="clear" w:color="auto" w:fill="B4C6E7" w:themeFill="accent5" w:themeFillTint="66"/>
          </w:tcPr>
          <w:p w14:paraId="37777D12" w14:textId="46E08E1B" w:rsidR="00C97527" w:rsidRDefault="00C97527" w:rsidP="00E454C1">
            <w:pPr>
              <w:pStyle w:val="TableText"/>
              <w:spacing w:before="0" w:after="0"/>
            </w:pPr>
            <w:r w:rsidRPr="002446A1">
              <w:t>13.25%</w:t>
            </w:r>
            <w:r>
              <w:t xml:space="preserve"> based a</w:t>
            </w:r>
            <w:r w:rsidRPr="00C10776">
              <w:t>verage of Armstrong et al. (2019)</w:t>
            </w:r>
            <w:r w:rsidR="00C90E52">
              <w:rPr>
                <w:vertAlign w:val="superscript"/>
              </w:rPr>
              <w:t>g</w:t>
            </w:r>
            <w:r w:rsidRPr="00C10776">
              <w:t>, Wong-Brown et al. (2015)</w:t>
            </w:r>
            <w:r w:rsidR="00C90E52">
              <w:rPr>
                <w:vertAlign w:val="superscript"/>
              </w:rPr>
              <w:t>h</w:t>
            </w:r>
            <w:r w:rsidR="00C90E52" w:rsidRPr="00C10776">
              <w:t xml:space="preserve"> </w:t>
            </w:r>
            <w:r w:rsidRPr="00C10776">
              <w:t>and IPSOS commissioned data (</w:t>
            </w:r>
            <w:r w:rsidR="00926127">
              <w:t>Att. 1 to the resubmission</w:t>
            </w:r>
            <w:r w:rsidRPr="00C10776">
              <w:t>)</w:t>
            </w:r>
          </w:p>
        </w:tc>
        <w:tc>
          <w:tcPr>
            <w:tcW w:w="3377" w:type="dxa"/>
            <w:tcBorders>
              <w:bottom w:val="dashSmallGap" w:sz="4" w:space="0" w:color="auto"/>
            </w:tcBorders>
            <w:shd w:val="clear" w:color="auto" w:fill="B4C6E7" w:themeFill="accent5" w:themeFillTint="66"/>
          </w:tcPr>
          <w:p w14:paraId="7E05E916" w14:textId="02F6F1AB" w:rsidR="00C97527" w:rsidRPr="000E600F" w:rsidRDefault="00B57600" w:rsidP="00E454C1">
            <w:pPr>
              <w:pStyle w:val="TableText"/>
              <w:spacing w:before="0" w:after="0"/>
            </w:pPr>
            <w:r w:rsidRPr="00FF12BC">
              <w:t xml:space="preserve">The commentary considered </w:t>
            </w:r>
            <w:r w:rsidRPr="000E600F">
              <w:t>t</w:t>
            </w:r>
            <w:r w:rsidR="00C97527" w:rsidRPr="000E600F">
              <w:t xml:space="preserve">his was consistent with PBAC advice </w:t>
            </w:r>
            <w:r w:rsidR="00870CBF" w:rsidRPr="000E600F">
              <w:rPr>
                <w:vertAlign w:val="superscript"/>
              </w:rPr>
              <w:t>c</w:t>
            </w:r>
          </w:p>
        </w:tc>
      </w:tr>
      <w:tr w:rsidR="00C97527" w:rsidRPr="00724A47" w14:paraId="7717368E" w14:textId="77777777" w:rsidTr="00E23BE1">
        <w:trPr>
          <w:cantSplit/>
        </w:trPr>
        <w:tc>
          <w:tcPr>
            <w:tcW w:w="2263" w:type="dxa"/>
            <w:tcBorders>
              <w:top w:val="dashSmallGap" w:sz="4" w:space="0" w:color="auto"/>
            </w:tcBorders>
            <w:vAlign w:val="center"/>
          </w:tcPr>
          <w:p w14:paraId="01EDFD1F" w14:textId="153AB444" w:rsidR="00C97527" w:rsidRPr="004F0A3D" w:rsidRDefault="00C97527" w:rsidP="00E454C1">
            <w:pPr>
              <w:pStyle w:val="TableText"/>
              <w:numPr>
                <w:ilvl w:val="0"/>
                <w:numId w:val="24"/>
              </w:numPr>
              <w:spacing w:before="0" w:after="0"/>
              <w:ind w:left="306" w:hanging="142"/>
            </w:pPr>
            <w:r>
              <w:t>HR+</w:t>
            </w:r>
            <w:r w:rsidR="00302ADF">
              <w:t xml:space="preserve"> </w:t>
            </w:r>
            <w:r>
              <w:t>HER2−</w:t>
            </w:r>
          </w:p>
        </w:tc>
        <w:tc>
          <w:tcPr>
            <w:tcW w:w="3376" w:type="dxa"/>
            <w:tcBorders>
              <w:top w:val="dashSmallGap" w:sz="4" w:space="0" w:color="auto"/>
            </w:tcBorders>
          </w:tcPr>
          <w:p w14:paraId="22142CFC" w14:textId="5812B6F9" w:rsidR="00C97527" w:rsidRDefault="00C97527" w:rsidP="00E454C1">
            <w:pPr>
              <w:pStyle w:val="TableText"/>
              <w:spacing w:before="0" w:after="0"/>
            </w:pPr>
            <w:r w:rsidRPr="002446A1">
              <w:t>5.0%</w:t>
            </w:r>
            <w:r>
              <w:t xml:space="preserve"> based on PBAC advice </w:t>
            </w:r>
            <w:r w:rsidR="00870CBF" w:rsidRPr="00870CBF">
              <w:rPr>
                <w:vertAlign w:val="superscript"/>
              </w:rPr>
              <w:t>c</w:t>
            </w:r>
          </w:p>
        </w:tc>
        <w:tc>
          <w:tcPr>
            <w:tcW w:w="3377" w:type="dxa"/>
            <w:tcBorders>
              <w:top w:val="dashSmallGap" w:sz="4" w:space="0" w:color="auto"/>
            </w:tcBorders>
          </w:tcPr>
          <w:p w14:paraId="7B0E8528" w14:textId="56A1E1A5" w:rsidR="00C97527" w:rsidRPr="000E600F" w:rsidRDefault="00B57600" w:rsidP="00E454C1">
            <w:pPr>
              <w:pStyle w:val="TableText"/>
              <w:spacing w:before="0" w:after="0"/>
            </w:pPr>
            <w:r w:rsidRPr="00FF12BC">
              <w:t xml:space="preserve">The commentary considered </w:t>
            </w:r>
            <w:r w:rsidR="00FF12BC" w:rsidRPr="00FF12BC">
              <w:t xml:space="preserve">this was </w:t>
            </w:r>
            <w:r w:rsidR="00FF12BC" w:rsidRPr="000E600F">
              <w:t>c</w:t>
            </w:r>
            <w:r w:rsidR="0055055C" w:rsidRPr="000E600F">
              <w:t>onsistent with PBAC advice</w:t>
            </w:r>
            <w:r w:rsidR="00C97527" w:rsidRPr="000E600F">
              <w:t>.</w:t>
            </w:r>
          </w:p>
        </w:tc>
      </w:tr>
      <w:tr w:rsidR="00C97527" w:rsidRPr="00724A47" w14:paraId="64BAF4BA" w14:textId="77777777" w:rsidTr="00E23BE1">
        <w:trPr>
          <w:cantSplit/>
        </w:trPr>
        <w:tc>
          <w:tcPr>
            <w:tcW w:w="2263" w:type="dxa"/>
          </w:tcPr>
          <w:p w14:paraId="70F870D3" w14:textId="3945756A" w:rsidR="00C97527" w:rsidRDefault="00C97527" w:rsidP="00E454C1">
            <w:pPr>
              <w:pStyle w:val="TableText"/>
              <w:spacing w:before="0" w:after="0"/>
            </w:pPr>
            <w:r>
              <w:t xml:space="preserve">Cost of </w:t>
            </w:r>
            <w:r w:rsidR="00E659A0" w:rsidRPr="000D659D">
              <w:rPr>
                <w:lang w:val="en-US"/>
              </w:rPr>
              <w:t>g</w:t>
            </w:r>
            <w:r w:rsidR="00E659A0" w:rsidRPr="000D659D">
              <w:rPr>
                <w:i/>
                <w:iCs/>
                <w:lang w:val="en-US"/>
              </w:rPr>
              <w:t>BRCA</w:t>
            </w:r>
            <w:r w:rsidR="00E659A0" w:rsidRPr="00E049EC">
              <w:t xml:space="preserve"> </w:t>
            </w:r>
            <w:r w:rsidRPr="00E049EC">
              <w:t>testing</w:t>
            </w:r>
          </w:p>
        </w:tc>
        <w:tc>
          <w:tcPr>
            <w:tcW w:w="3376" w:type="dxa"/>
          </w:tcPr>
          <w:p w14:paraId="060D4318" w14:textId="6907CEC4" w:rsidR="00C97527" w:rsidRPr="002446A1" w:rsidRDefault="00C97527" w:rsidP="00E454C1">
            <w:pPr>
              <w:pStyle w:val="TableText"/>
              <w:spacing w:before="0" w:after="0"/>
            </w:pPr>
            <w:r w:rsidRPr="00E049EC">
              <w:t>$1,000</w:t>
            </w:r>
            <w:r>
              <w:t xml:space="preserve"> as per the proposed MBS item.</w:t>
            </w:r>
          </w:p>
        </w:tc>
        <w:tc>
          <w:tcPr>
            <w:tcW w:w="3377" w:type="dxa"/>
          </w:tcPr>
          <w:p w14:paraId="45D3ADAF" w14:textId="1B5A5D73" w:rsidR="00C97527" w:rsidRPr="000E600F" w:rsidRDefault="00FF12BC" w:rsidP="00E454C1">
            <w:pPr>
              <w:pStyle w:val="TableText"/>
              <w:spacing w:before="0" w:after="0"/>
            </w:pPr>
            <w:r w:rsidRPr="00FF12BC">
              <w:t xml:space="preserve">The commentary noted </w:t>
            </w:r>
            <w:r w:rsidRPr="000E600F">
              <w:t>t</w:t>
            </w:r>
            <w:r w:rsidR="00C97527" w:rsidRPr="000E600F">
              <w:t>he Department supported a schedule fee of $1,200, based on stakeholder consultation feedback.</w:t>
            </w:r>
          </w:p>
        </w:tc>
      </w:tr>
      <w:tr w:rsidR="00C97527" w:rsidRPr="00724A47" w14:paraId="215AABC1" w14:textId="77777777" w:rsidTr="00E23BE1">
        <w:trPr>
          <w:cantSplit/>
        </w:trPr>
        <w:tc>
          <w:tcPr>
            <w:tcW w:w="2263" w:type="dxa"/>
          </w:tcPr>
          <w:p w14:paraId="59BAE6DD" w14:textId="7BF9192A" w:rsidR="00C97527" w:rsidRDefault="00C97527" w:rsidP="00E454C1">
            <w:pPr>
              <w:pStyle w:val="TableText"/>
              <w:spacing w:before="0" w:after="0"/>
            </w:pPr>
            <w:r>
              <w:t>Number of relatives tested</w:t>
            </w:r>
          </w:p>
        </w:tc>
        <w:tc>
          <w:tcPr>
            <w:tcW w:w="3376" w:type="dxa"/>
          </w:tcPr>
          <w:p w14:paraId="72378FF0" w14:textId="1E016820" w:rsidR="00C97527" w:rsidRPr="00E049EC" w:rsidRDefault="00C97527" w:rsidP="00E454C1">
            <w:pPr>
              <w:pStyle w:val="TableText"/>
              <w:spacing w:before="0" w:after="0"/>
            </w:pPr>
            <w:r>
              <w:t xml:space="preserve">1.8 per incident case identified with </w:t>
            </w:r>
            <w:r w:rsidR="00E659A0" w:rsidRPr="000D659D">
              <w:rPr>
                <w:lang w:val="en-US"/>
              </w:rPr>
              <w:t>g</w:t>
            </w:r>
            <w:r w:rsidR="00E659A0" w:rsidRPr="000D659D">
              <w:rPr>
                <w:i/>
                <w:iCs/>
                <w:lang w:val="en-US"/>
              </w:rPr>
              <w:t>BRCA</w:t>
            </w:r>
            <w:r w:rsidR="00E659A0">
              <w:t xml:space="preserve"> </w:t>
            </w:r>
            <w:r>
              <w:t>variants, based on the</w:t>
            </w:r>
            <w:r w:rsidR="0023202A">
              <w:t xml:space="preserve"> Departmental Overview on the previous submission.</w:t>
            </w:r>
          </w:p>
        </w:tc>
        <w:tc>
          <w:tcPr>
            <w:tcW w:w="3377" w:type="dxa"/>
          </w:tcPr>
          <w:p w14:paraId="5899DA5B" w14:textId="74BFBB79" w:rsidR="00C97527" w:rsidRPr="000E600F" w:rsidRDefault="00FF12BC" w:rsidP="00E454C1">
            <w:pPr>
              <w:pStyle w:val="TableText"/>
              <w:spacing w:before="0" w:after="0"/>
            </w:pPr>
            <w:r w:rsidRPr="00FF12BC">
              <w:t xml:space="preserve">The commentary considered </w:t>
            </w:r>
            <w:r w:rsidRPr="000E600F">
              <w:t>w</w:t>
            </w:r>
            <w:r w:rsidR="0023202A" w:rsidRPr="000E600F">
              <w:t xml:space="preserve">hile the number of relatives tested per patient is reasonable, this does not reflect the </w:t>
            </w:r>
            <w:r w:rsidR="0023202A" w:rsidRPr="000E600F">
              <w:rPr>
                <w:u w:val="single"/>
              </w:rPr>
              <w:t>incremental</w:t>
            </w:r>
            <w:r w:rsidR="0023202A" w:rsidRPr="000E600F">
              <w:t xml:space="preserve"> number of relatives tested due to the listing of olaparib.</w:t>
            </w:r>
          </w:p>
        </w:tc>
      </w:tr>
      <w:tr w:rsidR="00C97527" w:rsidRPr="00724A47" w14:paraId="000F5BC6" w14:textId="77777777" w:rsidTr="00E23BE1">
        <w:trPr>
          <w:cantSplit/>
        </w:trPr>
        <w:tc>
          <w:tcPr>
            <w:tcW w:w="2263" w:type="dxa"/>
          </w:tcPr>
          <w:p w14:paraId="7994A34A" w14:textId="5DD84475" w:rsidR="00C97527" w:rsidRPr="00724A47" w:rsidRDefault="00C97527" w:rsidP="00E454C1">
            <w:pPr>
              <w:pStyle w:val="TableText"/>
              <w:spacing w:before="0" w:after="0"/>
            </w:pPr>
            <w:r w:rsidRPr="00E049EC">
              <w:t>C</w:t>
            </w:r>
            <w:r>
              <w:t xml:space="preserve">ost </w:t>
            </w:r>
            <w:r w:rsidR="004676B1">
              <w:t>per relative tested</w:t>
            </w:r>
            <w:r w:rsidR="00302ADF">
              <w:t xml:space="preserve"> (included in sensitivity analysis only)</w:t>
            </w:r>
          </w:p>
        </w:tc>
        <w:tc>
          <w:tcPr>
            <w:tcW w:w="3376" w:type="dxa"/>
          </w:tcPr>
          <w:p w14:paraId="56494CE3" w14:textId="60136768" w:rsidR="00C97527" w:rsidRPr="00724A47" w:rsidRDefault="00C97527" w:rsidP="00E454C1">
            <w:pPr>
              <w:pStyle w:val="TableText"/>
              <w:spacing w:before="0" w:after="0"/>
            </w:pPr>
            <w:r w:rsidRPr="00E049EC">
              <w:t>$1,000</w:t>
            </w:r>
            <w:r>
              <w:t xml:space="preserve"> as per the proposed MBS item.</w:t>
            </w:r>
          </w:p>
        </w:tc>
        <w:tc>
          <w:tcPr>
            <w:tcW w:w="3377" w:type="dxa"/>
          </w:tcPr>
          <w:p w14:paraId="551775CF" w14:textId="2FB8841E" w:rsidR="00C97527" w:rsidRPr="000E600F" w:rsidRDefault="0055055C" w:rsidP="00E454C1">
            <w:pPr>
              <w:pStyle w:val="TableText"/>
              <w:spacing w:before="0" w:after="0"/>
            </w:pPr>
            <w:r w:rsidRPr="000E600F">
              <w:t xml:space="preserve">The commentary did not consider the assumption </w:t>
            </w:r>
            <w:r w:rsidR="000D687C" w:rsidRPr="000E600F">
              <w:t xml:space="preserve">to be appropriate as </w:t>
            </w:r>
            <w:r w:rsidR="00C97527" w:rsidRPr="000E600F">
              <w:t xml:space="preserve">MBS item </w:t>
            </w:r>
            <w:r w:rsidR="00302ADF" w:rsidRPr="000E600F">
              <w:t xml:space="preserve">73297 </w:t>
            </w:r>
            <w:r w:rsidR="00C97527" w:rsidRPr="000E600F">
              <w:t>has a Schedule Fee of $400</w:t>
            </w:r>
          </w:p>
        </w:tc>
      </w:tr>
    </w:tbl>
    <w:p w14:paraId="2A332256" w14:textId="1A4B167E" w:rsidR="00DD5C85" w:rsidRDefault="00DD5C85" w:rsidP="00E454C1">
      <w:pPr>
        <w:pStyle w:val="TableFigureFooter"/>
        <w:spacing w:before="0"/>
      </w:pPr>
      <w:r w:rsidRPr="00137818">
        <w:t>Source:</w:t>
      </w:r>
      <w:r w:rsidR="00137818">
        <w:t xml:space="preserve"> </w:t>
      </w:r>
      <w:r w:rsidR="00137818" w:rsidRPr="00137818">
        <w:t xml:space="preserve">Constructed during the evaluation from Table 4.3, pp267−8 of the </w:t>
      </w:r>
      <w:r w:rsidR="000315EA">
        <w:t xml:space="preserve">PBAC </w:t>
      </w:r>
      <w:r w:rsidR="00137818" w:rsidRPr="00137818">
        <w:t>resubmission.</w:t>
      </w:r>
    </w:p>
    <w:p w14:paraId="12D2632F" w14:textId="22F4B0A1" w:rsidR="008C513A" w:rsidRPr="00137818" w:rsidRDefault="008C513A" w:rsidP="00137818">
      <w:pPr>
        <w:pStyle w:val="TableFigureFooter"/>
      </w:pPr>
      <w:r w:rsidRPr="00A95439">
        <w:rPr>
          <w:lang w:val="en-US"/>
        </w:rPr>
        <w:t>g</w:t>
      </w:r>
      <w:r w:rsidRPr="00A95439">
        <w:rPr>
          <w:i/>
          <w:iCs/>
          <w:lang w:val="en-US"/>
        </w:rPr>
        <w:t>BRCA</w:t>
      </w:r>
      <w:r w:rsidRPr="00A95439">
        <w:t xml:space="preserve"> = germline </w:t>
      </w:r>
      <w:r w:rsidRPr="00A95439">
        <w:rPr>
          <w:i/>
          <w:iCs/>
        </w:rPr>
        <w:t>BReast CAncer</w:t>
      </w:r>
      <w:r w:rsidRPr="00A95439">
        <w:t xml:space="preserve"> gene;</w:t>
      </w:r>
      <w:r w:rsidR="00A95439">
        <w:t xml:space="preserve"> </w:t>
      </w:r>
      <w:r w:rsidR="00A95439" w:rsidRPr="00A95439">
        <w:t>HER2 = human epidermal growth factor receptor 2; HR = hormone receptor; TNBC = triple negative breast cancer.</w:t>
      </w:r>
    </w:p>
    <w:p w14:paraId="57836962" w14:textId="56AA03CD" w:rsidR="00137818" w:rsidRPr="00137818" w:rsidRDefault="00137818" w:rsidP="00137818">
      <w:pPr>
        <w:pStyle w:val="TableFigureFooter"/>
      </w:pPr>
      <w:r w:rsidRPr="00137818">
        <w:rPr>
          <w:shd w:val="clear" w:color="auto" w:fill="B4C6E7" w:themeFill="accent5" w:themeFillTint="66"/>
        </w:rPr>
        <w:t>Blue</w:t>
      </w:r>
      <w:r w:rsidRPr="00137818">
        <w:t xml:space="preserve"> shading indicates estimates </w:t>
      </w:r>
      <w:r w:rsidR="00413942">
        <w:t>that were unchanged from the previous submission</w:t>
      </w:r>
      <w:r w:rsidRPr="00137818">
        <w:t>.</w:t>
      </w:r>
    </w:p>
    <w:p w14:paraId="36280386" w14:textId="69332594" w:rsidR="00BC2444" w:rsidRPr="00137818" w:rsidRDefault="00BC2444" w:rsidP="00137818">
      <w:pPr>
        <w:pStyle w:val="TableFigureFooter"/>
      </w:pPr>
      <w:r w:rsidRPr="00137818">
        <w:rPr>
          <w:vertAlign w:val="superscript"/>
        </w:rPr>
        <w:t>a</w:t>
      </w:r>
      <w:r w:rsidRPr="00137818">
        <w:t xml:space="preserve"> Australian Institute of Health Welfare. Cancer in Australia 2021. Canberra: AIHW 2021. Cancer series no. 133. Cat. no. CAN 144.</w:t>
      </w:r>
    </w:p>
    <w:p w14:paraId="381BF63C" w14:textId="1651D10D" w:rsidR="00BC2444" w:rsidRPr="00137818" w:rsidRDefault="00BC2444" w:rsidP="00137818">
      <w:pPr>
        <w:pStyle w:val="TableFigureFooter"/>
      </w:pPr>
      <w:r w:rsidRPr="00137818">
        <w:rPr>
          <w:vertAlign w:val="superscript"/>
        </w:rPr>
        <w:t>b</w:t>
      </w:r>
      <w:r w:rsidRPr="00137818">
        <w:t xml:space="preserve"> Australian Institute of Health Welfare. Cancer in Australia 2019. Canberra: AIHW 2019. Cancer series no. 119. Cat. no. CAN 123.</w:t>
      </w:r>
    </w:p>
    <w:p w14:paraId="6B06B19A" w14:textId="1CA75D1E" w:rsidR="00BC2444" w:rsidRDefault="00BC2444" w:rsidP="00137818">
      <w:pPr>
        <w:pStyle w:val="TableFigureFooter"/>
      </w:pPr>
      <w:r w:rsidRPr="00137818">
        <w:rPr>
          <w:vertAlign w:val="superscript"/>
        </w:rPr>
        <w:t>c</w:t>
      </w:r>
      <w:r w:rsidRPr="00137818">
        <w:t xml:space="preserve"> </w:t>
      </w:r>
      <w:r w:rsidR="00870CBF">
        <w:t>P</w:t>
      </w:r>
      <w:r w:rsidR="00870CBF" w:rsidRPr="00870CBF">
        <w:t>ara</w:t>
      </w:r>
      <w:r w:rsidR="00870CBF">
        <w:t>graph</w:t>
      </w:r>
      <w:r w:rsidR="00870CBF" w:rsidRPr="00870CBF">
        <w:t xml:space="preserve"> 7.14, </w:t>
      </w:r>
      <w:hyperlink r:id="rId51" w:history="1">
        <w:r w:rsidR="001D4754">
          <w:rPr>
            <w:rStyle w:val="Hyperlink"/>
          </w:rPr>
          <w:t>O</w:t>
        </w:r>
        <w:r w:rsidR="00870CBF" w:rsidRPr="00A15F54">
          <w:rPr>
            <w:rStyle w:val="Hyperlink"/>
          </w:rPr>
          <w:t xml:space="preserve">laparib PSD March 2023 PBAC </w:t>
        </w:r>
        <w:r w:rsidR="001D4754">
          <w:rPr>
            <w:rStyle w:val="Hyperlink"/>
          </w:rPr>
          <w:t>M</w:t>
        </w:r>
        <w:r w:rsidR="00870CBF" w:rsidRPr="00A15F54">
          <w:rPr>
            <w:rStyle w:val="Hyperlink"/>
          </w:rPr>
          <w:t>eeting</w:t>
        </w:r>
      </w:hyperlink>
      <w:r w:rsidR="00870CBF">
        <w:t>.</w:t>
      </w:r>
    </w:p>
    <w:p w14:paraId="35A2CB07" w14:textId="52D59A39" w:rsidR="00C90E52" w:rsidRPr="00137818" w:rsidRDefault="00C90E52" w:rsidP="00137818">
      <w:pPr>
        <w:pStyle w:val="TableFigureFooter"/>
      </w:pPr>
      <w:r>
        <w:rPr>
          <w:vertAlign w:val="superscript"/>
        </w:rPr>
        <w:t>d</w:t>
      </w:r>
      <w:r w:rsidRPr="00C90E52">
        <w:t xml:space="preserve"> Desai NV, Zakalik D, Somerfield MR, Tung NM. Q and A: A New Standard of Care for Germline </w:t>
      </w:r>
      <w:r w:rsidRPr="000E600F">
        <w:rPr>
          <w:i/>
        </w:rPr>
        <w:t>BRCA1</w:t>
      </w:r>
      <w:r w:rsidRPr="00C90E52">
        <w:t xml:space="preserve"> and/or </w:t>
      </w:r>
      <w:r w:rsidRPr="000E600F">
        <w:rPr>
          <w:i/>
        </w:rPr>
        <w:t>BRCA2</w:t>
      </w:r>
      <w:r w:rsidRPr="00C90E52">
        <w:t xml:space="preserve"> Mutation Carriers With Early-Stage Breast Cancer. JCO Oncol Pract. 2022 Jun;18(6):427-9.</w:t>
      </w:r>
    </w:p>
    <w:p w14:paraId="7AD855D5" w14:textId="2CE5EDDB" w:rsidR="00BC2444" w:rsidRPr="00137818" w:rsidRDefault="00C90E52" w:rsidP="00137818">
      <w:pPr>
        <w:pStyle w:val="TableFigureFooter"/>
      </w:pPr>
      <w:r>
        <w:rPr>
          <w:vertAlign w:val="superscript"/>
        </w:rPr>
        <w:t>e</w:t>
      </w:r>
      <w:r w:rsidRPr="00137818">
        <w:t xml:space="preserve"> </w:t>
      </w:r>
      <w:r w:rsidR="00870CBF" w:rsidRPr="00137818">
        <w:t>Stuart-Harris R, Dahlstrom JE, Gupta R, Zhang Y, Craft P, Shadbolt B. Recurrence in early breast cancer: Analysis of data from 3,765 Australian women treated between 1997 and 2015. The Breast. 2019 2019/04/01/;44:153-9.</w:t>
      </w:r>
    </w:p>
    <w:p w14:paraId="5861B401" w14:textId="14701BEC" w:rsidR="00BC2444" w:rsidRPr="00137818" w:rsidRDefault="00C90E52" w:rsidP="00137818">
      <w:pPr>
        <w:pStyle w:val="TableFigureFooter"/>
      </w:pPr>
      <w:r>
        <w:rPr>
          <w:vertAlign w:val="superscript"/>
        </w:rPr>
        <w:t>f</w:t>
      </w:r>
      <w:r w:rsidRPr="00137818">
        <w:t xml:space="preserve"> </w:t>
      </w:r>
      <w:r w:rsidR="00870CBF" w:rsidRPr="00137818">
        <w:t>Patiniott PD, Wong GYM, Lam YH, Fosh B. Neoadjuvant chemotherapy rates for breast cancer in Australia—“are we there yet?”. Annals of Breast Surgery. 2019;3.</w:t>
      </w:r>
    </w:p>
    <w:p w14:paraId="37398ECC" w14:textId="7A8801B9" w:rsidR="00BC2444" w:rsidRDefault="00C90E52" w:rsidP="00137818">
      <w:pPr>
        <w:pStyle w:val="TableFigureFooter"/>
      </w:pPr>
      <w:r>
        <w:rPr>
          <w:vertAlign w:val="superscript"/>
        </w:rPr>
        <w:t>g</w:t>
      </w:r>
      <w:r w:rsidRPr="00137818">
        <w:t xml:space="preserve"> </w:t>
      </w:r>
      <w:r w:rsidR="00870CBF" w:rsidRPr="00137818">
        <w:t xml:space="preserve">Armstrong N, Ryder S, Forbes C, Ross J, Quek RG. A systematic review of the international prevalence of </w:t>
      </w:r>
      <w:r w:rsidR="00A96FCF" w:rsidRPr="00A96FCF">
        <w:rPr>
          <w:i/>
          <w:iCs/>
        </w:rPr>
        <w:t>BRCA</w:t>
      </w:r>
      <w:r w:rsidR="00870CBF" w:rsidRPr="00137818">
        <w:t xml:space="preserve"> mutation in breast cancer. Clin Epidemiol. 2019;11:543-61.</w:t>
      </w:r>
    </w:p>
    <w:p w14:paraId="2842E23B" w14:textId="5D45F588" w:rsidR="00870CBF" w:rsidRPr="00137818" w:rsidRDefault="00C90E52" w:rsidP="00137818">
      <w:pPr>
        <w:pStyle w:val="TableFigureFooter"/>
      </w:pPr>
      <w:r>
        <w:rPr>
          <w:vertAlign w:val="superscript"/>
        </w:rPr>
        <w:t>h</w:t>
      </w:r>
      <w:r>
        <w:t xml:space="preserve"> </w:t>
      </w:r>
      <w:r w:rsidR="00870CBF" w:rsidRPr="00137818">
        <w:t xml:space="preserve">Wong-Brown MW, Meldrum CJ, Carpenter JE, Clarke CL, Narod SA, Jakubowska A, et al. Prevalence of </w:t>
      </w:r>
      <w:r w:rsidR="00A96FCF" w:rsidRPr="00A96FCF">
        <w:rPr>
          <w:i/>
          <w:iCs/>
        </w:rPr>
        <w:t>BRCA</w:t>
      </w:r>
      <w:r w:rsidR="00870CBF" w:rsidRPr="000E600F">
        <w:rPr>
          <w:i/>
        </w:rPr>
        <w:t>1</w:t>
      </w:r>
      <w:r w:rsidR="00870CBF" w:rsidRPr="00137818">
        <w:t xml:space="preserve"> and </w:t>
      </w:r>
      <w:r w:rsidR="00A96FCF" w:rsidRPr="00A96FCF">
        <w:rPr>
          <w:i/>
          <w:iCs/>
        </w:rPr>
        <w:t>BRCA</w:t>
      </w:r>
      <w:r w:rsidR="00870CBF" w:rsidRPr="000E600F">
        <w:rPr>
          <w:i/>
        </w:rPr>
        <w:t>2</w:t>
      </w:r>
      <w:r w:rsidR="00870CBF" w:rsidRPr="00137818">
        <w:t xml:space="preserve"> germline mutations in patients with triple-negative breast cancer. Breast cancer research and treatment. 2015;150(1):71-80.</w:t>
      </w:r>
    </w:p>
    <w:p w14:paraId="4FE2390F" w14:textId="75A6458B" w:rsidR="0072578A" w:rsidRDefault="00D428B9" w:rsidP="00330A0A">
      <w:pPr>
        <w:rPr>
          <w:i/>
          <w:iCs/>
        </w:rPr>
      </w:pPr>
      <w:r w:rsidRPr="00CE28E3">
        <w:t xml:space="preserve">The financial implications to the </w:t>
      </w:r>
      <w:r w:rsidRPr="00724A47">
        <w:t>MBS</w:t>
      </w:r>
      <w:r w:rsidRPr="00CE28E3">
        <w:t xml:space="preserve"> resulting from the proposed listing of </w:t>
      </w:r>
      <w:r w:rsidR="00AD6F96">
        <w:t>g</w:t>
      </w:r>
      <w:r w:rsidR="00724A47" w:rsidRPr="00AD6F96">
        <w:rPr>
          <w:i/>
          <w:iCs/>
        </w:rPr>
        <w:t>BRCA</w:t>
      </w:r>
      <w:r w:rsidR="00724A47">
        <w:t xml:space="preserve"> testing for access to olaparib in high-risk HER2− early breast cancer</w:t>
      </w:r>
      <w:r w:rsidRPr="00CE28E3">
        <w:t xml:space="preserve"> </w:t>
      </w:r>
      <w:r w:rsidR="00DD5C85">
        <w:t xml:space="preserve">presented in the resubmission </w:t>
      </w:r>
      <w:r w:rsidRPr="00CE28E3">
        <w:t xml:space="preserve">are summarised in </w:t>
      </w:r>
      <w:r w:rsidR="003571C2">
        <w:fldChar w:fldCharType="begin"/>
      </w:r>
      <w:r w:rsidR="003571C2">
        <w:instrText xml:space="preserve"> REF _Ref69726382 \h </w:instrText>
      </w:r>
      <w:r w:rsidR="003571C2">
        <w:fldChar w:fldCharType="separate"/>
      </w:r>
      <w:r w:rsidR="00D8423B" w:rsidRPr="00137818">
        <w:t>Table </w:t>
      </w:r>
      <w:r w:rsidR="00D8423B">
        <w:rPr>
          <w:noProof/>
        </w:rPr>
        <w:t>12</w:t>
      </w:r>
      <w:r w:rsidR="003571C2">
        <w:fldChar w:fldCharType="end"/>
      </w:r>
      <w:r w:rsidRPr="00CE28E3">
        <w:t xml:space="preserve">. </w:t>
      </w:r>
      <w:bookmarkStart w:id="44" w:name="_Hlk144381020"/>
      <w:r w:rsidR="00987F76" w:rsidRPr="000E600F">
        <w:t>The commentary presented r</w:t>
      </w:r>
      <w:r w:rsidR="008442B9" w:rsidRPr="000E600F">
        <w:t>evised estimates assuming a $1,200 schedule fee, with the rebate payable accounting for the GPG</w:t>
      </w:r>
      <w:r w:rsidR="008442B9">
        <w:rPr>
          <w:i/>
          <w:iCs/>
        </w:rPr>
        <w:t>.</w:t>
      </w:r>
      <w:bookmarkEnd w:id="44"/>
    </w:p>
    <w:p w14:paraId="1C7710DF" w14:textId="7FC26863" w:rsidR="00D26FD8" w:rsidRPr="000E600F" w:rsidRDefault="00D26FD8" w:rsidP="00D26FD8">
      <w:r>
        <w:t xml:space="preserve">As some testing is assumed to occur currently in the absence of olaparib listing, the resubmission estimated the incremental number of tests performed, based on current estimates of testing that were not assumed to change over the projected period. This was assumed to be 74% in patients with TNBC, and 20% in patients with </w:t>
      </w:r>
      <w:r w:rsidRPr="004A43AE">
        <w:t>HR+ HER2− breast cancer</w:t>
      </w:r>
      <w:r>
        <w:t>, based on PBAC advice (para</w:t>
      </w:r>
      <w:r w:rsidR="00A15F54">
        <w:t>graph</w:t>
      </w:r>
      <w:r>
        <w:t xml:space="preserve"> 7.14, </w:t>
      </w:r>
      <w:hyperlink r:id="rId52" w:history="1">
        <w:r w:rsidR="00A8699B">
          <w:rPr>
            <w:rStyle w:val="Hyperlink"/>
          </w:rPr>
          <w:t>O</w:t>
        </w:r>
        <w:r w:rsidRPr="00A15F54">
          <w:rPr>
            <w:rStyle w:val="Hyperlink"/>
          </w:rPr>
          <w:t xml:space="preserve">laparib PSD March 2023 PBAC </w:t>
        </w:r>
        <w:r w:rsidR="00A8699B">
          <w:rPr>
            <w:rStyle w:val="Hyperlink"/>
          </w:rPr>
          <w:t>M</w:t>
        </w:r>
        <w:r w:rsidRPr="00A15F54">
          <w:rPr>
            <w:rStyle w:val="Hyperlink"/>
          </w:rPr>
          <w:t>eeting</w:t>
        </w:r>
      </w:hyperlink>
      <w:r>
        <w:t xml:space="preserve">). </w:t>
      </w:r>
      <w:r w:rsidRPr="000E600F">
        <w:t xml:space="preserve">While the extent of background testing in the absence of an olaparib listing was </w:t>
      </w:r>
      <w:r w:rsidR="00987F76" w:rsidRPr="000E600F">
        <w:t xml:space="preserve">considered </w:t>
      </w:r>
      <w:r w:rsidRPr="000E600F">
        <w:t>reasonable</w:t>
      </w:r>
      <w:r w:rsidR="00987F76" w:rsidRPr="000E600F">
        <w:t xml:space="preserve"> by the commentary</w:t>
      </w:r>
      <w:r w:rsidRPr="000E600F">
        <w:t>, as only the cost of incremental testing ha</w:t>
      </w:r>
      <w:r w:rsidR="00987F76" w:rsidRPr="000E600F">
        <w:t>d</w:t>
      </w:r>
      <w:r w:rsidRPr="000E600F">
        <w:t xml:space="preserve"> been included in the analysis, </w:t>
      </w:r>
      <w:r w:rsidR="00987F76" w:rsidRPr="000E600F">
        <w:t xml:space="preserve">it was noted that </w:t>
      </w:r>
      <w:r w:rsidRPr="000E600F">
        <w:t>this approach implicitly assumed that the background level of testing is all currently funded by the MBS</w:t>
      </w:r>
      <w:r w:rsidR="00987F76" w:rsidRPr="000E600F">
        <w:t xml:space="preserve">, which may </w:t>
      </w:r>
      <w:r w:rsidRPr="000E600F">
        <w:t xml:space="preserve">not be reasonable. While it may be reasonable to consider that some of this testing is funded by the MBS (under item 73296), States and Territories and patients may also be paying for these tests. The </w:t>
      </w:r>
      <w:r w:rsidR="00987F76" w:rsidRPr="000E600F">
        <w:t xml:space="preserve">commentary noted that the </w:t>
      </w:r>
      <w:r w:rsidRPr="000E600F">
        <w:t>extent of other sources of funding for the background level of testing is unknown</w:t>
      </w:r>
      <w:r w:rsidR="00987F76" w:rsidRPr="000E600F">
        <w:t>, though a</w:t>
      </w:r>
      <w:r w:rsidRPr="000E600F">
        <w:t>ny shift in testing from these other sources to the MBS ha</w:t>
      </w:r>
      <w:r w:rsidR="00987F76" w:rsidRPr="000E600F">
        <w:t>d</w:t>
      </w:r>
      <w:r w:rsidRPr="000E600F">
        <w:t xml:space="preserve"> not been accounted for in the estimates presented in the resubmission, and so the cost to the MBS may be an underestimate.</w:t>
      </w:r>
    </w:p>
    <w:p w14:paraId="4B9DDA75" w14:textId="5B448673" w:rsidR="00B51107" w:rsidRPr="000E600F" w:rsidRDefault="00D26FD8" w:rsidP="00D26FD8">
      <w:r w:rsidRPr="000E600F">
        <w:t xml:space="preserve">However, the </w:t>
      </w:r>
      <w:r w:rsidR="004A437F" w:rsidRPr="000E600F">
        <w:t xml:space="preserve">commentary further noted that the </w:t>
      </w:r>
      <w:r w:rsidRPr="000E600F">
        <w:t xml:space="preserve">impact of this may be limited due to </w:t>
      </w:r>
      <w:r w:rsidR="00F12FC2" w:rsidRPr="000E600F">
        <w:t>a possible</w:t>
      </w:r>
      <w:r w:rsidRPr="000E600F">
        <w:t xml:space="preserve"> overestimation of the extent of testing uptake following olaparib listing, as higher rates were applied (increasing to 90% in both TNBC and HR+ HER2− breast cancer) than those previously anticipated by the PBAC (85% in TNBC and 30% in HR+ HER2− breast cancer)</w:t>
      </w:r>
      <w:r w:rsidR="00AD6F96" w:rsidRPr="000E600F">
        <w:t xml:space="preserve"> (para</w:t>
      </w:r>
      <w:r w:rsidR="00F12FC2" w:rsidRPr="000E600F">
        <w:t>graph</w:t>
      </w:r>
      <w:r w:rsidR="00AD6F96" w:rsidRPr="000E600F">
        <w:t xml:space="preserve"> 7.14, </w:t>
      </w:r>
      <w:hyperlink r:id="rId53" w:history="1">
        <w:r w:rsidR="00A8699B" w:rsidRPr="000E600F">
          <w:rPr>
            <w:rStyle w:val="Hyperlink"/>
          </w:rPr>
          <w:t>O</w:t>
        </w:r>
        <w:r w:rsidR="00AD6F96" w:rsidRPr="000E600F">
          <w:rPr>
            <w:rStyle w:val="Hyperlink"/>
          </w:rPr>
          <w:t xml:space="preserve">laparib PSD March 2023 PBAC </w:t>
        </w:r>
        <w:r w:rsidR="00A8699B" w:rsidRPr="000E600F">
          <w:rPr>
            <w:rStyle w:val="Hyperlink"/>
          </w:rPr>
          <w:t>M</w:t>
        </w:r>
        <w:r w:rsidR="00AD6F96" w:rsidRPr="000E600F">
          <w:rPr>
            <w:rStyle w:val="Hyperlink"/>
          </w:rPr>
          <w:t>eeting</w:t>
        </w:r>
      </w:hyperlink>
      <w:r w:rsidR="00AD6F96" w:rsidRPr="000E600F">
        <w:t>)</w:t>
      </w:r>
      <w:r w:rsidRPr="000E600F">
        <w:t>.</w:t>
      </w:r>
    </w:p>
    <w:p w14:paraId="37A8F8C4" w14:textId="4D333F94" w:rsidR="00B51107" w:rsidRPr="00B51107" w:rsidRDefault="00B51107" w:rsidP="00D26FD8">
      <w:pPr>
        <w:rPr>
          <w:i/>
          <w:iCs/>
        </w:rPr>
      </w:pPr>
      <w:r w:rsidRPr="00B51107">
        <w:t xml:space="preserve">The resubmission maintained that 49.0% of HR+ HER2− patients would have high-risk characteristics eligible for testing (i.e. tumour histology grade ≥3; tumour size ≥20 mm; or any positive lymph nodes). </w:t>
      </w:r>
      <w:r w:rsidRPr="000E600F">
        <w:t>The</w:t>
      </w:r>
      <w:r w:rsidRPr="00B51107">
        <w:t xml:space="preserve"> </w:t>
      </w:r>
      <w:r w:rsidRPr="000E600F">
        <w:t>PBAC previously considered that 25.0% would be a more appropriate estimate of the proportion at high-risk in the HR+ population</w:t>
      </w:r>
      <w:r w:rsidR="004576A5" w:rsidRPr="000E600F">
        <w:t xml:space="preserve"> (para</w:t>
      </w:r>
      <w:r w:rsidR="00F12FC2" w:rsidRPr="000E600F">
        <w:t>graph</w:t>
      </w:r>
      <w:r w:rsidR="004576A5" w:rsidRPr="000E600F">
        <w:t xml:space="preserve"> 7.14, </w:t>
      </w:r>
      <w:hyperlink r:id="rId54" w:history="1">
        <w:r w:rsidR="00A8699B" w:rsidRPr="000E600F">
          <w:rPr>
            <w:rStyle w:val="Hyperlink"/>
          </w:rPr>
          <w:t>O</w:t>
        </w:r>
        <w:r w:rsidR="004576A5" w:rsidRPr="000E600F">
          <w:rPr>
            <w:rStyle w:val="Hyperlink"/>
          </w:rPr>
          <w:t xml:space="preserve">laparib PSD March 2023 PBAC </w:t>
        </w:r>
        <w:r w:rsidR="00A8699B" w:rsidRPr="000E600F">
          <w:rPr>
            <w:rStyle w:val="Hyperlink"/>
          </w:rPr>
          <w:t>M</w:t>
        </w:r>
        <w:r w:rsidR="004576A5" w:rsidRPr="000E600F">
          <w:rPr>
            <w:rStyle w:val="Hyperlink"/>
          </w:rPr>
          <w:t>eeting</w:t>
        </w:r>
      </w:hyperlink>
      <w:r w:rsidR="004576A5" w:rsidRPr="000E600F">
        <w:t>)</w:t>
      </w:r>
      <w:r w:rsidRPr="000E600F">
        <w:t xml:space="preserve">. However, </w:t>
      </w:r>
      <w:r w:rsidR="004A437F" w:rsidRPr="000E600F">
        <w:t xml:space="preserve">the commentary considered that </w:t>
      </w:r>
      <w:r w:rsidRPr="000E600F">
        <w:t xml:space="preserve">this advice may apply to the overall proportion of patients with </w:t>
      </w:r>
      <w:r w:rsidR="00231149" w:rsidRPr="000E600F">
        <w:t xml:space="preserve">both </w:t>
      </w:r>
      <w:r w:rsidRPr="000E600F">
        <w:t xml:space="preserve">high-risk characteristics </w:t>
      </w:r>
      <w:r w:rsidR="00231149" w:rsidRPr="000E600F">
        <w:t>and</w:t>
      </w:r>
      <w:r w:rsidRPr="000E600F">
        <w:t xml:space="preserve"> a high-risk of recurrence that would be eligible for olaparib treatment (i.e. who also have residual invasive cancer following neoadjuvant chemotherapy, or ≥4 positive lymph nodes). As testing is proposed in a population broader than that eligible for olaparib treatment, using a two-step approach to determine first the number of patients with high-risk characteristics eligible for testing, and then of these, the proportion of which also have a high-risk of recurrence may be reasonable.</w:t>
      </w:r>
      <w:r w:rsidRPr="00B51107">
        <w:t xml:space="preserve"> </w:t>
      </w:r>
      <w:r>
        <w:t xml:space="preserve">The </w:t>
      </w:r>
      <w:r w:rsidR="00F12FC2">
        <w:t xml:space="preserve">commentary considered that the </w:t>
      </w:r>
      <w:r>
        <w:t>study</w:t>
      </w:r>
      <w:r>
        <w:rPr>
          <w:rStyle w:val="FootnoteReference"/>
        </w:rPr>
        <w:footnoteReference w:id="3"/>
      </w:r>
      <w:r>
        <w:t xml:space="preserve"> used to inform this estimate may be a reasonable approximation of the proportion of incident early breast cancer in Australia that would have high-risk characteristics eligible for testing. </w:t>
      </w:r>
    </w:p>
    <w:p w14:paraId="52938961" w14:textId="054B1017" w:rsidR="00DD5C85" w:rsidRPr="00137818" w:rsidRDefault="00D428B9" w:rsidP="00137818">
      <w:pPr>
        <w:pStyle w:val="Caption"/>
        <w:rPr>
          <w:rStyle w:val="TableFigureFooterChar"/>
        </w:rPr>
      </w:pPr>
      <w:bookmarkStart w:id="45" w:name="_Ref69726382"/>
      <w:r w:rsidRPr="00137818">
        <w:t>Table</w:t>
      </w:r>
      <w:r w:rsidR="003571C2" w:rsidRPr="00137818">
        <w:t> </w:t>
      </w:r>
      <w:r>
        <w:fldChar w:fldCharType="begin"/>
      </w:r>
      <w:r>
        <w:instrText>SEQ Table \* ARABIC</w:instrText>
      </w:r>
      <w:r>
        <w:fldChar w:fldCharType="separate"/>
      </w:r>
      <w:r w:rsidR="00D8423B">
        <w:rPr>
          <w:noProof/>
        </w:rPr>
        <w:t>12</w:t>
      </w:r>
      <w:r>
        <w:fldChar w:fldCharType="end"/>
      </w:r>
      <w:bookmarkEnd w:id="45"/>
      <w:r w:rsidRPr="00137818">
        <w:tab/>
      </w:r>
      <w:r w:rsidR="00DD5C85" w:rsidRPr="00137818">
        <w:t xml:space="preserve">Estimated change in the use and cost to the MBS of </w:t>
      </w:r>
      <w:r w:rsidR="00E659A0" w:rsidRPr="000D659D">
        <w:rPr>
          <w:lang w:val="en-US"/>
        </w:rPr>
        <w:t>g</w:t>
      </w:r>
      <w:r w:rsidR="00E659A0" w:rsidRPr="000D659D">
        <w:rPr>
          <w:i/>
          <w:iCs/>
          <w:lang w:val="en-US"/>
        </w:rPr>
        <w:t>BRCA</w:t>
      </w:r>
      <w:r w:rsidR="00E659A0" w:rsidRPr="00137818">
        <w:t xml:space="preserve"> </w:t>
      </w:r>
      <w:r w:rsidR="00DD5C85" w:rsidRPr="00137818">
        <w:t>testing</w:t>
      </w:r>
      <w:bookmarkStart w:id="46" w:name="_Hlk68276814"/>
      <w:r w:rsidR="00366756">
        <w:t xml:space="preserve"> in incident cancer cases</w:t>
      </w:r>
    </w:p>
    <w:tbl>
      <w:tblPr>
        <w:tblStyle w:val="TableGrid"/>
        <w:tblW w:w="5000" w:type="pct"/>
        <w:tblLayout w:type="fixed"/>
        <w:tblLook w:val="04A0" w:firstRow="1" w:lastRow="0" w:firstColumn="1" w:lastColumn="0" w:noHBand="0" w:noVBand="1"/>
      </w:tblPr>
      <w:tblGrid>
        <w:gridCol w:w="281"/>
        <w:gridCol w:w="2409"/>
        <w:gridCol w:w="1053"/>
        <w:gridCol w:w="1055"/>
        <w:gridCol w:w="1055"/>
        <w:gridCol w:w="1053"/>
        <w:gridCol w:w="1055"/>
        <w:gridCol w:w="1055"/>
      </w:tblGrid>
      <w:tr w:rsidR="00DD5C85" w:rsidRPr="00157F55" w14:paraId="0322A18B" w14:textId="77777777">
        <w:trPr>
          <w:trHeight w:val="20"/>
        </w:trPr>
        <w:tc>
          <w:tcPr>
            <w:tcW w:w="156" w:type="pct"/>
          </w:tcPr>
          <w:p w14:paraId="010A3797" w14:textId="77777777" w:rsidR="00DD5C85" w:rsidRPr="00157F55" w:rsidRDefault="00DD5C85" w:rsidP="004C2355">
            <w:pPr>
              <w:pStyle w:val="In-tableHeading"/>
            </w:pPr>
          </w:p>
        </w:tc>
        <w:tc>
          <w:tcPr>
            <w:tcW w:w="1336" w:type="pct"/>
            <w:noWrap/>
            <w:hideMark/>
          </w:tcPr>
          <w:p w14:paraId="00035E2C" w14:textId="77777777" w:rsidR="00DD5C85" w:rsidRPr="00157F55" w:rsidRDefault="00DD5C85" w:rsidP="004C2355">
            <w:pPr>
              <w:pStyle w:val="In-tableHeading"/>
            </w:pPr>
          </w:p>
        </w:tc>
        <w:tc>
          <w:tcPr>
            <w:tcW w:w="584" w:type="pct"/>
            <w:noWrap/>
            <w:hideMark/>
          </w:tcPr>
          <w:p w14:paraId="1C4067F3" w14:textId="77777777" w:rsidR="00DD5C85" w:rsidRPr="00157F55" w:rsidRDefault="00DD5C85" w:rsidP="004C2355">
            <w:pPr>
              <w:pStyle w:val="In-tableHeading"/>
              <w:jc w:val="center"/>
            </w:pPr>
            <w:r w:rsidRPr="00157F55">
              <w:t>2024</w:t>
            </w:r>
          </w:p>
        </w:tc>
        <w:tc>
          <w:tcPr>
            <w:tcW w:w="585" w:type="pct"/>
            <w:noWrap/>
            <w:hideMark/>
          </w:tcPr>
          <w:p w14:paraId="6DE08976" w14:textId="77777777" w:rsidR="00DD5C85" w:rsidRPr="00157F55" w:rsidRDefault="00DD5C85" w:rsidP="004C2355">
            <w:pPr>
              <w:pStyle w:val="In-tableHeading"/>
              <w:jc w:val="center"/>
            </w:pPr>
            <w:r w:rsidRPr="00157F55">
              <w:t>2025</w:t>
            </w:r>
          </w:p>
        </w:tc>
        <w:tc>
          <w:tcPr>
            <w:tcW w:w="585" w:type="pct"/>
            <w:noWrap/>
            <w:hideMark/>
          </w:tcPr>
          <w:p w14:paraId="5A065FEA" w14:textId="77777777" w:rsidR="00DD5C85" w:rsidRPr="00157F55" w:rsidRDefault="00DD5C85" w:rsidP="004C2355">
            <w:pPr>
              <w:pStyle w:val="In-tableHeading"/>
              <w:jc w:val="center"/>
            </w:pPr>
            <w:r w:rsidRPr="00157F55">
              <w:t>2026</w:t>
            </w:r>
          </w:p>
        </w:tc>
        <w:tc>
          <w:tcPr>
            <w:tcW w:w="584" w:type="pct"/>
            <w:noWrap/>
            <w:hideMark/>
          </w:tcPr>
          <w:p w14:paraId="419A6B26" w14:textId="77777777" w:rsidR="00DD5C85" w:rsidRPr="00157F55" w:rsidRDefault="00DD5C85" w:rsidP="004C2355">
            <w:pPr>
              <w:pStyle w:val="In-tableHeading"/>
              <w:jc w:val="center"/>
            </w:pPr>
            <w:r w:rsidRPr="00157F55">
              <w:t>2027</w:t>
            </w:r>
          </w:p>
        </w:tc>
        <w:tc>
          <w:tcPr>
            <w:tcW w:w="585" w:type="pct"/>
            <w:noWrap/>
            <w:hideMark/>
          </w:tcPr>
          <w:p w14:paraId="5C0D7429" w14:textId="77777777" w:rsidR="00DD5C85" w:rsidRPr="00157F55" w:rsidRDefault="00DD5C85" w:rsidP="004C2355">
            <w:pPr>
              <w:pStyle w:val="In-tableHeading"/>
              <w:jc w:val="center"/>
            </w:pPr>
            <w:r w:rsidRPr="00157F55">
              <w:t>2028</w:t>
            </w:r>
          </w:p>
        </w:tc>
        <w:tc>
          <w:tcPr>
            <w:tcW w:w="585" w:type="pct"/>
            <w:noWrap/>
            <w:hideMark/>
          </w:tcPr>
          <w:p w14:paraId="0B2E1D31" w14:textId="77777777" w:rsidR="00DD5C85" w:rsidRPr="00157F55" w:rsidRDefault="00DD5C85" w:rsidP="004C2355">
            <w:pPr>
              <w:pStyle w:val="In-tableHeading"/>
              <w:jc w:val="center"/>
            </w:pPr>
            <w:r w:rsidRPr="00157F55">
              <w:t>2029</w:t>
            </w:r>
          </w:p>
        </w:tc>
      </w:tr>
      <w:tr w:rsidR="00DD5C85" w:rsidRPr="00157F55" w14:paraId="0632B2EA" w14:textId="77777777">
        <w:trPr>
          <w:trHeight w:val="20"/>
        </w:trPr>
        <w:tc>
          <w:tcPr>
            <w:tcW w:w="156" w:type="pct"/>
          </w:tcPr>
          <w:p w14:paraId="629C0293" w14:textId="77777777" w:rsidR="00DD5C85" w:rsidRPr="00B41CDA" w:rsidRDefault="00DD5C85" w:rsidP="004C2355">
            <w:pPr>
              <w:pStyle w:val="TableText"/>
              <w:keepNext/>
              <w:spacing w:before="0" w:after="0"/>
            </w:pPr>
            <w:r>
              <w:t>A</w:t>
            </w:r>
          </w:p>
        </w:tc>
        <w:tc>
          <w:tcPr>
            <w:tcW w:w="1336" w:type="pct"/>
            <w:noWrap/>
          </w:tcPr>
          <w:p w14:paraId="161B9A46" w14:textId="77777777" w:rsidR="00DD5C85" w:rsidRPr="00157F55" w:rsidRDefault="00DD5C85" w:rsidP="004C2355">
            <w:pPr>
              <w:pStyle w:val="TableText"/>
              <w:keepNext/>
              <w:spacing w:before="0" w:after="0"/>
            </w:pPr>
            <w:r w:rsidRPr="00B41CDA">
              <w:t>Breast cancer incidence</w:t>
            </w:r>
          </w:p>
        </w:tc>
        <w:tc>
          <w:tcPr>
            <w:tcW w:w="584" w:type="pct"/>
            <w:noWrap/>
          </w:tcPr>
          <w:p w14:paraId="3BFA23E1" w14:textId="2BA629CB" w:rsidR="00DD5C85" w:rsidRPr="00157F55" w:rsidRDefault="003A7D63" w:rsidP="004C2355">
            <w:pPr>
              <w:pStyle w:val="TableText"/>
              <w:keepNext/>
              <w:spacing w:before="0" w:after="0"/>
              <w:jc w:val="right"/>
            </w:pPr>
            <w:r w:rsidRPr="00771162">
              <w:rPr>
                <w:b/>
                <w:bCs/>
              </w:rPr>
              <w:t>redacted</w:t>
            </w:r>
            <w:r w:rsidR="000633D9" w:rsidRPr="00771162">
              <w:rPr>
                <w:vertAlign w:val="superscript"/>
              </w:rPr>
              <w:t>1</w:t>
            </w:r>
          </w:p>
        </w:tc>
        <w:tc>
          <w:tcPr>
            <w:tcW w:w="585" w:type="pct"/>
            <w:noWrap/>
          </w:tcPr>
          <w:p w14:paraId="063F4E47" w14:textId="209E16F5" w:rsidR="00DD5C85" w:rsidRPr="00157F55" w:rsidRDefault="003A7D63" w:rsidP="004C2355">
            <w:pPr>
              <w:pStyle w:val="TableText"/>
              <w:keepNext/>
              <w:spacing w:before="0" w:after="0"/>
              <w:jc w:val="right"/>
            </w:pPr>
            <w:r w:rsidRPr="00AC2BEC">
              <w:rPr>
                <w:b/>
                <w:bCs/>
              </w:rPr>
              <w:t>redacted</w:t>
            </w:r>
            <w:r w:rsidRPr="00B41CDA" w:rsidDel="003A7D63">
              <w:t xml:space="preserve"> </w:t>
            </w:r>
            <w:r w:rsidR="000633D9" w:rsidRPr="009B7852">
              <w:rPr>
                <w:vertAlign w:val="superscript"/>
              </w:rPr>
              <w:t>1</w:t>
            </w:r>
          </w:p>
        </w:tc>
        <w:tc>
          <w:tcPr>
            <w:tcW w:w="585" w:type="pct"/>
            <w:noWrap/>
          </w:tcPr>
          <w:p w14:paraId="45AA9D9C" w14:textId="6BE3700C" w:rsidR="00DD5C85" w:rsidRPr="00157F55" w:rsidRDefault="003A7D63" w:rsidP="004C2355">
            <w:pPr>
              <w:pStyle w:val="TableText"/>
              <w:keepNext/>
              <w:spacing w:before="0" w:after="0"/>
              <w:jc w:val="right"/>
            </w:pPr>
            <w:r w:rsidRPr="00AC2BEC">
              <w:rPr>
                <w:b/>
                <w:bCs/>
              </w:rPr>
              <w:t>redacted</w:t>
            </w:r>
            <w:r w:rsidRPr="00B41CDA" w:rsidDel="003A7D63">
              <w:t xml:space="preserve"> </w:t>
            </w:r>
            <w:r w:rsidR="000633D9" w:rsidRPr="009B7852">
              <w:rPr>
                <w:vertAlign w:val="superscript"/>
              </w:rPr>
              <w:t>1</w:t>
            </w:r>
          </w:p>
        </w:tc>
        <w:tc>
          <w:tcPr>
            <w:tcW w:w="584" w:type="pct"/>
            <w:noWrap/>
          </w:tcPr>
          <w:p w14:paraId="3D6D3CC5" w14:textId="0F4E5B4C" w:rsidR="00DD5C85" w:rsidRPr="00157F55" w:rsidRDefault="003A7D63" w:rsidP="004C2355">
            <w:pPr>
              <w:pStyle w:val="TableText"/>
              <w:keepNext/>
              <w:spacing w:before="0" w:after="0"/>
              <w:jc w:val="right"/>
            </w:pPr>
            <w:r w:rsidRPr="00AC2BEC">
              <w:rPr>
                <w:b/>
                <w:bCs/>
              </w:rPr>
              <w:t>redacted</w:t>
            </w:r>
            <w:r w:rsidRPr="00B41CDA" w:rsidDel="003A7D63">
              <w:t xml:space="preserve"> </w:t>
            </w:r>
            <w:r w:rsidR="000633D9" w:rsidRPr="009B7852">
              <w:rPr>
                <w:vertAlign w:val="superscript"/>
              </w:rPr>
              <w:t>1</w:t>
            </w:r>
          </w:p>
        </w:tc>
        <w:tc>
          <w:tcPr>
            <w:tcW w:w="585" w:type="pct"/>
            <w:noWrap/>
          </w:tcPr>
          <w:p w14:paraId="22C115E7" w14:textId="4C112B7B" w:rsidR="00DD5C85" w:rsidRPr="00157F55" w:rsidRDefault="003A7D63" w:rsidP="004C2355">
            <w:pPr>
              <w:pStyle w:val="TableText"/>
              <w:keepNext/>
              <w:spacing w:before="0" w:after="0"/>
              <w:jc w:val="right"/>
            </w:pPr>
            <w:r w:rsidRPr="00AC2BEC">
              <w:rPr>
                <w:b/>
                <w:bCs/>
              </w:rPr>
              <w:t>redacted</w:t>
            </w:r>
            <w:r w:rsidRPr="00B41CDA" w:rsidDel="003A7D63">
              <w:t xml:space="preserve"> </w:t>
            </w:r>
            <w:r w:rsidR="000633D9" w:rsidRPr="009B7852">
              <w:rPr>
                <w:vertAlign w:val="superscript"/>
              </w:rPr>
              <w:t>1</w:t>
            </w:r>
          </w:p>
        </w:tc>
        <w:tc>
          <w:tcPr>
            <w:tcW w:w="585" w:type="pct"/>
            <w:noWrap/>
          </w:tcPr>
          <w:p w14:paraId="64720B91" w14:textId="14A17A47" w:rsidR="00DD5C85" w:rsidRPr="00157F55" w:rsidRDefault="003A7D63" w:rsidP="004C2355">
            <w:pPr>
              <w:pStyle w:val="TableText"/>
              <w:keepNext/>
              <w:spacing w:before="0" w:after="0"/>
              <w:jc w:val="right"/>
            </w:pPr>
            <w:r w:rsidRPr="00AC2BEC">
              <w:rPr>
                <w:b/>
                <w:bCs/>
              </w:rPr>
              <w:t>redacted</w:t>
            </w:r>
            <w:r w:rsidRPr="00B41CDA" w:rsidDel="003A7D63">
              <w:t xml:space="preserve"> </w:t>
            </w:r>
            <w:r w:rsidR="000633D9" w:rsidRPr="009B7852">
              <w:rPr>
                <w:vertAlign w:val="superscript"/>
              </w:rPr>
              <w:t>1</w:t>
            </w:r>
          </w:p>
        </w:tc>
      </w:tr>
      <w:tr w:rsidR="00DD5C85" w:rsidRPr="00157F55" w14:paraId="4E1EB787" w14:textId="77777777">
        <w:trPr>
          <w:trHeight w:val="20"/>
        </w:trPr>
        <w:tc>
          <w:tcPr>
            <w:tcW w:w="156" w:type="pct"/>
            <w:tcBorders>
              <w:bottom w:val="single" w:sz="4" w:space="0" w:color="auto"/>
            </w:tcBorders>
          </w:tcPr>
          <w:p w14:paraId="62066A70" w14:textId="77777777" w:rsidR="00DD5C85" w:rsidRPr="00B41CDA" w:rsidRDefault="00DD5C85" w:rsidP="004C2355">
            <w:pPr>
              <w:pStyle w:val="TableText"/>
              <w:keepNext/>
              <w:spacing w:before="0" w:after="0"/>
            </w:pPr>
            <w:r>
              <w:t>B</w:t>
            </w:r>
          </w:p>
        </w:tc>
        <w:tc>
          <w:tcPr>
            <w:tcW w:w="1336" w:type="pct"/>
            <w:tcBorders>
              <w:bottom w:val="single" w:sz="4" w:space="0" w:color="auto"/>
            </w:tcBorders>
            <w:noWrap/>
          </w:tcPr>
          <w:p w14:paraId="2B2E23B4" w14:textId="77777777" w:rsidR="00DD5C85" w:rsidRPr="00157F55" w:rsidRDefault="00DD5C85" w:rsidP="004C2355">
            <w:pPr>
              <w:pStyle w:val="TableText"/>
              <w:keepNext/>
              <w:spacing w:before="0" w:after="0"/>
            </w:pPr>
            <w:r w:rsidRPr="00B41CDA">
              <w:t>No. patients at stage I-III at diagnosis (adjusted) (</w:t>
            </w:r>
            <w:r>
              <w:t>A × </w:t>
            </w:r>
            <w:r w:rsidRPr="00B41CDA">
              <w:t>95.1%)</w:t>
            </w:r>
          </w:p>
        </w:tc>
        <w:tc>
          <w:tcPr>
            <w:tcW w:w="584" w:type="pct"/>
            <w:tcBorders>
              <w:bottom w:val="single" w:sz="4" w:space="0" w:color="auto"/>
            </w:tcBorders>
            <w:noWrap/>
          </w:tcPr>
          <w:p w14:paraId="241C8224" w14:textId="11DCB8A2" w:rsidR="00DD5C85" w:rsidRPr="00157F55" w:rsidRDefault="003A7D63" w:rsidP="004C2355">
            <w:pPr>
              <w:pStyle w:val="TableText"/>
              <w:keepNext/>
              <w:spacing w:before="0" w:after="0"/>
              <w:jc w:val="right"/>
            </w:pPr>
            <w:r w:rsidRPr="00AC2BEC">
              <w:rPr>
                <w:b/>
                <w:bCs/>
              </w:rPr>
              <w:t>redacted</w:t>
            </w:r>
            <w:r w:rsidR="008B56C0" w:rsidRPr="00AC2BEC">
              <w:rPr>
                <w:vertAlign w:val="superscript"/>
              </w:rPr>
              <w:t>1</w:t>
            </w:r>
          </w:p>
        </w:tc>
        <w:tc>
          <w:tcPr>
            <w:tcW w:w="585" w:type="pct"/>
            <w:tcBorders>
              <w:bottom w:val="single" w:sz="4" w:space="0" w:color="auto"/>
            </w:tcBorders>
            <w:noWrap/>
          </w:tcPr>
          <w:p w14:paraId="74B95912" w14:textId="5BA3D33A" w:rsidR="00DD5C85" w:rsidRPr="00157F55" w:rsidRDefault="003A7D63" w:rsidP="004C2355">
            <w:pPr>
              <w:pStyle w:val="TableText"/>
              <w:keepNext/>
              <w:spacing w:before="0" w:after="0"/>
              <w:jc w:val="right"/>
            </w:pPr>
            <w:r w:rsidRPr="00AC2BEC">
              <w:rPr>
                <w:b/>
                <w:bCs/>
              </w:rPr>
              <w:t>redacted</w:t>
            </w:r>
            <w:r w:rsidR="008B56C0" w:rsidRPr="00AC2BEC">
              <w:rPr>
                <w:vertAlign w:val="superscript"/>
              </w:rPr>
              <w:t>1</w:t>
            </w:r>
          </w:p>
        </w:tc>
        <w:tc>
          <w:tcPr>
            <w:tcW w:w="585" w:type="pct"/>
            <w:tcBorders>
              <w:bottom w:val="single" w:sz="4" w:space="0" w:color="auto"/>
            </w:tcBorders>
            <w:noWrap/>
          </w:tcPr>
          <w:p w14:paraId="059AF803" w14:textId="36EB30A3" w:rsidR="00DD5C85" w:rsidRPr="00157F55" w:rsidRDefault="003A7D63" w:rsidP="004C2355">
            <w:pPr>
              <w:pStyle w:val="TableText"/>
              <w:keepNext/>
              <w:spacing w:before="0" w:after="0"/>
              <w:jc w:val="right"/>
            </w:pPr>
            <w:r w:rsidRPr="00AC2BEC">
              <w:rPr>
                <w:b/>
                <w:bCs/>
              </w:rPr>
              <w:t>redacted</w:t>
            </w:r>
            <w:r w:rsidR="008B56C0" w:rsidRPr="00AC2BEC">
              <w:rPr>
                <w:vertAlign w:val="superscript"/>
              </w:rPr>
              <w:t>1</w:t>
            </w:r>
          </w:p>
        </w:tc>
        <w:tc>
          <w:tcPr>
            <w:tcW w:w="584" w:type="pct"/>
            <w:tcBorders>
              <w:bottom w:val="single" w:sz="4" w:space="0" w:color="auto"/>
            </w:tcBorders>
            <w:noWrap/>
          </w:tcPr>
          <w:p w14:paraId="252930EE" w14:textId="77B5AB83" w:rsidR="00DD5C85" w:rsidRPr="00157F55" w:rsidRDefault="003A7D63" w:rsidP="004C2355">
            <w:pPr>
              <w:pStyle w:val="TableText"/>
              <w:keepNext/>
              <w:spacing w:before="0" w:after="0"/>
              <w:jc w:val="right"/>
            </w:pPr>
            <w:r w:rsidRPr="00AC2BEC">
              <w:rPr>
                <w:b/>
                <w:bCs/>
              </w:rPr>
              <w:t>redacted</w:t>
            </w:r>
            <w:r w:rsidR="008B56C0" w:rsidRPr="00AC2BEC">
              <w:rPr>
                <w:vertAlign w:val="superscript"/>
              </w:rPr>
              <w:t>1</w:t>
            </w:r>
          </w:p>
        </w:tc>
        <w:tc>
          <w:tcPr>
            <w:tcW w:w="585" w:type="pct"/>
            <w:tcBorders>
              <w:bottom w:val="single" w:sz="4" w:space="0" w:color="auto"/>
            </w:tcBorders>
            <w:noWrap/>
          </w:tcPr>
          <w:p w14:paraId="3846E9E3" w14:textId="0F81B9AD" w:rsidR="00DD5C85" w:rsidRPr="00157F55" w:rsidRDefault="003A7D63" w:rsidP="004C2355">
            <w:pPr>
              <w:pStyle w:val="TableText"/>
              <w:keepNext/>
              <w:spacing w:before="0" w:after="0"/>
              <w:jc w:val="right"/>
            </w:pPr>
            <w:r w:rsidRPr="00AC2BEC">
              <w:rPr>
                <w:b/>
                <w:bCs/>
              </w:rPr>
              <w:t>redacted</w:t>
            </w:r>
            <w:r w:rsidR="008B56C0" w:rsidRPr="00AC2BEC">
              <w:rPr>
                <w:vertAlign w:val="superscript"/>
              </w:rPr>
              <w:t>1</w:t>
            </w:r>
          </w:p>
        </w:tc>
        <w:tc>
          <w:tcPr>
            <w:tcW w:w="585" w:type="pct"/>
            <w:tcBorders>
              <w:bottom w:val="single" w:sz="4" w:space="0" w:color="auto"/>
            </w:tcBorders>
            <w:noWrap/>
          </w:tcPr>
          <w:p w14:paraId="138771A0" w14:textId="305E7FA6" w:rsidR="00DD5C85" w:rsidRPr="00157F55" w:rsidRDefault="003A7D63" w:rsidP="004C2355">
            <w:pPr>
              <w:pStyle w:val="TableText"/>
              <w:keepNext/>
              <w:spacing w:before="0" w:after="0"/>
              <w:jc w:val="right"/>
            </w:pPr>
            <w:r w:rsidRPr="00AC2BEC">
              <w:rPr>
                <w:b/>
                <w:bCs/>
              </w:rPr>
              <w:t>redacted</w:t>
            </w:r>
            <w:r w:rsidR="008B56C0" w:rsidRPr="00AC2BEC">
              <w:rPr>
                <w:vertAlign w:val="superscript"/>
              </w:rPr>
              <w:t>1</w:t>
            </w:r>
          </w:p>
        </w:tc>
      </w:tr>
      <w:tr w:rsidR="00DD5C85" w:rsidRPr="00EB3599" w14:paraId="5E3B6549" w14:textId="77777777">
        <w:trPr>
          <w:trHeight w:val="20"/>
        </w:trPr>
        <w:tc>
          <w:tcPr>
            <w:tcW w:w="156" w:type="pct"/>
            <w:tcBorders>
              <w:right w:val="nil"/>
            </w:tcBorders>
          </w:tcPr>
          <w:p w14:paraId="0B739CEC" w14:textId="77777777" w:rsidR="00DD5C85" w:rsidRPr="00EB3599" w:rsidRDefault="00DD5C85" w:rsidP="004C2355">
            <w:pPr>
              <w:pStyle w:val="TableText"/>
              <w:keepNext/>
              <w:spacing w:before="0" w:after="0"/>
              <w:rPr>
                <w:b/>
                <w:bCs/>
              </w:rPr>
            </w:pPr>
          </w:p>
        </w:tc>
        <w:tc>
          <w:tcPr>
            <w:tcW w:w="1336" w:type="pct"/>
            <w:tcBorders>
              <w:right w:val="nil"/>
            </w:tcBorders>
            <w:noWrap/>
          </w:tcPr>
          <w:p w14:paraId="6D57CC45" w14:textId="77777777" w:rsidR="00DD5C85" w:rsidRPr="00EB3599" w:rsidRDefault="00DD5C85" w:rsidP="004C2355">
            <w:pPr>
              <w:pStyle w:val="TableText"/>
              <w:keepNext/>
              <w:spacing w:before="0" w:after="0"/>
              <w:rPr>
                <w:b/>
                <w:bCs/>
              </w:rPr>
            </w:pPr>
            <w:r w:rsidRPr="00EB3599">
              <w:rPr>
                <w:b/>
              </w:rPr>
              <w:t>TNBC</w:t>
            </w:r>
          </w:p>
        </w:tc>
        <w:tc>
          <w:tcPr>
            <w:tcW w:w="584" w:type="pct"/>
            <w:tcBorders>
              <w:left w:val="nil"/>
              <w:right w:val="nil"/>
            </w:tcBorders>
            <w:noWrap/>
          </w:tcPr>
          <w:p w14:paraId="5C44584B" w14:textId="77777777" w:rsidR="00DD5C85" w:rsidRPr="00EB3599" w:rsidRDefault="00DD5C85" w:rsidP="004C2355">
            <w:pPr>
              <w:pStyle w:val="TableText"/>
              <w:keepNext/>
              <w:spacing w:before="0" w:after="0"/>
              <w:jc w:val="right"/>
              <w:rPr>
                <w:b/>
                <w:bCs/>
              </w:rPr>
            </w:pPr>
          </w:p>
        </w:tc>
        <w:tc>
          <w:tcPr>
            <w:tcW w:w="585" w:type="pct"/>
            <w:tcBorders>
              <w:left w:val="nil"/>
              <w:right w:val="nil"/>
            </w:tcBorders>
            <w:noWrap/>
          </w:tcPr>
          <w:p w14:paraId="44FC1E5F" w14:textId="77777777" w:rsidR="00DD5C85" w:rsidRPr="00EB3599" w:rsidRDefault="00DD5C85" w:rsidP="004C2355">
            <w:pPr>
              <w:pStyle w:val="TableText"/>
              <w:keepNext/>
              <w:spacing w:before="0" w:after="0"/>
              <w:jc w:val="right"/>
              <w:rPr>
                <w:b/>
                <w:bCs/>
              </w:rPr>
            </w:pPr>
          </w:p>
        </w:tc>
        <w:tc>
          <w:tcPr>
            <w:tcW w:w="585" w:type="pct"/>
            <w:tcBorders>
              <w:left w:val="nil"/>
              <w:right w:val="nil"/>
            </w:tcBorders>
            <w:noWrap/>
          </w:tcPr>
          <w:p w14:paraId="1725F649" w14:textId="77777777" w:rsidR="00DD5C85" w:rsidRPr="00EB3599" w:rsidRDefault="00DD5C85" w:rsidP="004C2355">
            <w:pPr>
              <w:pStyle w:val="TableText"/>
              <w:keepNext/>
              <w:spacing w:before="0" w:after="0"/>
              <w:jc w:val="right"/>
              <w:rPr>
                <w:b/>
                <w:bCs/>
              </w:rPr>
            </w:pPr>
          </w:p>
        </w:tc>
        <w:tc>
          <w:tcPr>
            <w:tcW w:w="584" w:type="pct"/>
            <w:tcBorders>
              <w:left w:val="nil"/>
              <w:right w:val="nil"/>
            </w:tcBorders>
            <w:noWrap/>
          </w:tcPr>
          <w:p w14:paraId="266604D8" w14:textId="77777777" w:rsidR="00DD5C85" w:rsidRPr="00EB3599" w:rsidRDefault="00DD5C85" w:rsidP="004C2355">
            <w:pPr>
              <w:pStyle w:val="TableText"/>
              <w:keepNext/>
              <w:spacing w:before="0" w:after="0"/>
              <w:jc w:val="right"/>
              <w:rPr>
                <w:b/>
                <w:bCs/>
              </w:rPr>
            </w:pPr>
          </w:p>
        </w:tc>
        <w:tc>
          <w:tcPr>
            <w:tcW w:w="585" w:type="pct"/>
            <w:tcBorders>
              <w:left w:val="nil"/>
              <w:right w:val="nil"/>
            </w:tcBorders>
            <w:noWrap/>
          </w:tcPr>
          <w:p w14:paraId="32D4A065" w14:textId="77777777" w:rsidR="00DD5C85" w:rsidRPr="00EB3599" w:rsidRDefault="00DD5C85" w:rsidP="004C2355">
            <w:pPr>
              <w:pStyle w:val="TableText"/>
              <w:keepNext/>
              <w:spacing w:before="0" w:after="0"/>
              <w:jc w:val="right"/>
              <w:rPr>
                <w:b/>
                <w:bCs/>
              </w:rPr>
            </w:pPr>
          </w:p>
        </w:tc>
        <w:tc>
          <w:tcPr>
            <w:tcW w:w="585" w:type="pct"/>
            <w:tcBorders>
              <w:left w:val="nil"/>
            </w:tcBorders>
            <w:noWrap/>
          </w:tcPr>
          <w:p w14:paraId="221A18F0" w14:textId="77777777" w:rsidR="00DD5C85" w:rsidRPr="00EB3599" w:rsidRDefault="00DD5C85" w:rsidP="004C2355">
            <w:pPr>
              <w:pStyle w:val="TableText"/>
              <w:keepNext/>
              <w:spacing w:before="0" w:after="0"/>
              <w:jc w:val="right"/>
              <w:rPr>
                <w:b/>
                <w:bCs/>
              </w:rPr>
            </w:pPr>
          </w:p>
        </w:tc>
      </w:tr>
      <w:tr w:rsidR="00DD5C85" w:rsidRPr="00157F55" w14:paraId="74D9B686" w14:textId="77777777">
        <w:trPr>
          <w:trHeight w:val="20"/>
        </w:trPr>
        <w:tc>
          <w:tcPr>
            <w:tcW w:w="156" w:type="pct"/>
          </w:tcPr>
          <w:p w14:paraId="27A980E8" w14:textId="77777777" w:rsidR="00DD5C85" w:rsidRPr="00B41CDA" w:rsidRDefault="00DD5C85" w:rsidP="004C2355">
            <w:pPr>
              <w:pStyle w:val="TableText"/>
              <w:keepNext/>
              <w:spacing w:before="0" w:after="0"/>
            </w:pPr>
            <w:r>
              <w:t>C</w:t>
            </w:r>
          </w:p>
        </w:tc>
        <w:tc>
          <w:tcPr>
            <w:tcW w:w="1336" w:type="pct"/>
            <w:noWrap/>
          </w:tcPr>
          <w:p w14:paraId="2CC30086" w14:textId="77777777" w:rsidR="00DD5C85" w:rsidRPr="00157F55" w:rsidRDefault="00DD5C85" w:rsidP="004C2355">
            <w:pPr>
              <w:pStyle w:val="TableText"/>
              <w:keepNext/>
              <w:spacing w:before="0" w:after="0"/>
            </w:pPr>
            <w:r w:rsidRPr="00B41CDA">
              <w:t>No. diagnosed with TNBC (</w:t>
            </w:r>
            <w:r>
              <w:t>B × </w:t>
            </w:r>
            <w:r w:rsidRPr="00B41CDA">
              <w:t>15.0%)</w:t>
            </w:r>
          </w:p>
        </w:tc>
        <w:tc>
          <w:tcPr>
            <w:tcW w:w="584" w:type="pct"/>
            <w:noWrap/>
          </w:tcPr>
          <w:p w14:paraId="4FF7F004" w14:textId="3453D474" w:rsidR="00DD5C85" w:rsidRPr="00157F55" w:rsidRDefault="00925BDB" w:rsidP="004C2355">
            <w:pPr>
              <w:pStyle w:val="TableText"/>
              <w:keepNext/>
              <w:spacing w:before="0" w:after="0"/>
              <w:jc w:val="right"/>
            </w:pPr>
            <w:r w:rsidRPr="00AC2BEC">
              <w:rPr>
                <w:b/>
                <w:bCs/>
              </w:rPr>
              <w:t>redacted</w:t>
            </w:r>
            <w:r w:rsidRPr="00B41CDA" w:rsidDel="00925BDB">
              <w:t xml:space="preserve"> </w:t>
            </w:r>
            <w:r w:rsidR="008A3B15" w:rsidRPr="00771162">
              <w:rPr>
                <w:vertAlign w:val="superscript"/>
              </w:rPr>
              <w:t>2</w:t>
            </w:r>
          </w:p>
        </w:tc>
        <w:tc>
          <w:tcPr>
            <w:tcW w:w="585" w:type="pct"/>
            <w:noWrap/>
          </w:tcPr>
          <w:p w14:paraId="75BFB366" w14:textId="2DE8317E" w:rsidR="00DD5C85" w:rsidRPr="00157F55" w:rsidRDefault="00925BDB" w:rsidP="004C2355">
            <w:pPr>
              <w:pStyle w:val="TableText"/>
              <w:keepNext/>
              <w:spacing w:before="0" w:after="0"/>
              <w:jc w:val="right"/>
            </w:pPr>
            <w:r w:rsidRPr="00AC2BEC">
              <w:rPr>
                <w:b/>
                <w:bCs/>
              </w:rPr>
              <w:t>redacted</w:t>
            </w:r>
            <w:r w:rsidR="00A34119" w:rsidRPr="00771162">
              <w:rPr>
                <w:vertAlign w:val="superscript"/>
              </w:rPr>
              <w:t>2</w:t>
            </w:r>
          </w:p>
        </w:tc>
        <w:tc>
          <w:tcPr>
            <w:tcW w:w="585" w:type="pct"/>
            <w:noWrap/>
          </w:tcPr>
          <w:p w14:paraId="56524A1D" w14:textId="3FBF8083" w:rsidR="00DD5C85" w:rsidRPr="00157F55" w:rsidRDefault="00925BDB" w:rsidP="004C2355">
            <w:pPr>
              <w:pStyle w:val="TableText"/>
              <w:keepNext/>
              <w:spacing w:before="0" w:after="0"/>
              <w:jc w:val="right"/>
            </w:pPr>
            <w:r w:rsidRPr="00AC2BEC">
              <w:rPr>
                <w:b/>
                <w:bCs/>
              </w:rPr>
              <w:t>redacted</w:t>
            </w:r>
            <w:r w:rsidR="00A34119" w:rsidRPr="00771162">
              <w:rPr>
                <w:vertAlign w:val="superscript"/>
              </w:rPr>
              <w:t>2</w:t>
            </w:r>
          </w:p>
        </w:tc>
        <w:tc>
          <w:tcPr>
            <w:tcW w:w="584" w:type="pct"/>
            <w:noWrap/>
          </w:tcPr>
          <w:p w14:paraId="2DF21054" w14:textId="63801DCD" w:rsidR="00DD5C85" w:rsidRPr="00157F55" w:rsidRDefault="00925BDB" w:rsidP="004C2355">
            <w:pPr>
              <w:pStyle w:val="TableText"/>
              <w:keepNext/>
              <w:spacing w:before="0" w:after="0"/>
              <w:jc w:val="right"/>
            </w:pPr>
            <w:r w:rsidRPr="00AC2BEC">
              <w:rPr>
                <w:b/>
                <w:bCs/>
              </w:rPr>
              <w:t>redacted</w:t>
            </w:r>
            <w:r w:rsidRPr="00B41CDA" w:rsidDel="00925BDB">
              <w:t xml:space="preserve"> </w:t>
            </w:r>
            <w:r w:rsidR="008A3B15" w:rsidRPr="009B7852">
              <w:rPr>
                <w:vertAlign w:val="superscript"/>
              </w:rPr>
              <w:t>2</w:t>
            </w:r>
          </w:p>
        </w:tc>
        <w:tc>
          <w:tcPr>
            <w:tcW w:w="585" w:type="pct"/>
            <w:noWrap/>
          </w:tcPr>
          <w:p w14:paraId="3A693F88" w14:textId="4504261A" w:rsidR="00DD5C85" w:rsidRPr="00157F55" w:rsidRDefault="00925BDB" w:rsidP="004C2355">
            <w:pPr>
              <w:pStyle w:val="TableText"/>
              <w:keepNext/>
              <w:spacing w:before="0" w:after="0"/>
              <w:jc w:val="right"/>
            </w:pPr>
            <w:r w:rsidRPr="00AC2BEC">
              <w:rPr>
                <w:b/>
                <w:bCs/>
              </w:rPr>
              <w:t>redacted</w:t>
            </w:r>
            <w:r w:rsidRPr="00B41CDA" w:rsidDel="00925BDB">
              <w:t xml:space="preserve"> </w:t>
            </w:r>
            <w:r w:rsidR="008A3B15" w:rsidRPr="009B7852">
              <w:rPr>
                <w:vertAlign w:val="superscript"/>
              </w:rPr>
              <w:t>2</w:t>
            </w:r>
          </w:p>
        </w:tc>
        <w:tc>
          <w:tcPr>
            <w:tcW w:w="585" w:type="pct"/>
            <w:noWrap/>
          </w:tcPr>
          <w:p w14:paraId="72B71626" w14:textId="06839EF2" w:rsidR="00DD5C85" w:rsidRPr="00157F55" w:rsidRDefault="00925BDB" w:rsidP="004C2355">
            <w:pPr>
              <w:pStyle w:val="TableText"/>
              <w:keepNext/>
              <w:spacing w:before="0" w:after="0"/>
              <w:jc w:val="right"/>
            </w:pPr>
            <w:r w:rsidRPr="00AC2BEC">
              <w:rPr>
                <w:b/>
                <w:bCs/>
              </w:rPr>
              <w:t>redacted</w:t>
            </w:r>
            <w:r w:rsidRPr="009B7852">
              <w:rPr>
                <w:vertAlign w:val="superscript"/>
              </w:rPr>
              <w:t>2</w:t>
            </w:r>
          </w:p>
        </w:tc>
      </w:tr>
      <w:tr w:rsidR="00DD5C85" w:rsidRPr="00157F55" w14:paraId="6A6D67F7" w14:textId="77777777">
        <w:trPr>
          <w:trHeight w:val="20"/>
        </w:trPr>
        <w:tc>
          <w:tcPr>
            <w:tcW w:w="156" w:type="pct"/>
          </w:tcPr>
          <w:p w14:paraId="5F3C234C" w14:textId="77777777" w:rsidR="00DD5C85" w:rsidRPr="00B41CDA" w:rsidRDefault="00DD5C85" w:rsidP="004C2355">
            <w:pPr>
              <w:pStyle w:val="TableText"/>
              <w:keepNext/>
              <w:spacing w:before="0" w:after="0"/>
            </w:pPr>
            <w:r>
              <w:t>D</w:t>
            </w:r>
          </w:p>
        </w:tc>
        <w:tc>
          <w:tcPr>
            <w:tcW w:w="1336" w:type="pct"/>
            <w:noWrap/>
          </w:tcPr>
          <w:p w14:paraId="2122F4C0" w14:textId="77777777" w:rsidR="00DD5C85" w:rsidRPr="00157F55" w:rsidRDefault="00DD5C85" w:rsidP="004C2355">
            <w:pPr>
              <w:pStyle w:val="TableText"/>
              <w:keepNext/>
              <w:spacing w:before="0" w:after="0"/>
            </w:pPr>
            <w:r w:rsidRPr="00B41CDA">
              <w:t xml:space="preserve">No. TNBC patients tested </w:t>
            </w:r>
            <w:r>
              <w:t xml:space="preserve">in absence of olaparib listing </w:t>
            </w:r>
            <w:r w:rsidRPr="00B41CDA">
              <w:t>(</w:t>
            </w:r>
            <w:r>
              <w:t>C × </w:t>
            </w:r>
            <w:r w:rsidRPr="00B41CDA">
              <w:t>74.0%)</w:t>
            </w:r>
          </w:p>
        </w:tc>
        <w:tc>
          <w:tcPr>
            <w:tcW w:w="584" w:type="pct"/>
            <w:noWrap/>
          </w:tcPr>
          <w:p w14:paraId="551430EE" w14:textId="6C24F025" w:rsidR="00DD5C85" w:rsidRPr="00157F55" w:rsidRDefault="00925BDB"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5" w:type="pct"/>
            <w:noWrap/>
          </w:tcPr>
          <w:p w14:paraId="02A609BC" w14:textId="601DA098" w:rsidR="00DD5C85" w:rsidRPr="00157F55" w:rsidRDefault="00925BDB"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5" w:type="pct"/>
            <w:noWrap/>
          </w:tcPr>
          <w:p w14:paraId="36D01AA8" w14:textId="6BA6E060" w:rsidR="00DD5C85" w:rsidRPr="00157F55" w:rsidRDefault="00925BDB"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4" w:type="pct"/>
            <w:noWrap/>
          </w:tcPr>
          <w:p w14:paraId="689B8310" w14:textId="7BFAB80F" w:rsidR="00DD5C85" w:rsidRPr="00157F55" w:rsidRDefault="00925BDB"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5" w:type="pct"/>
            <w:noWrap/>
          </w:tcPr>
          <w:p w14:paraId="30FFDA19" w14:textId="5C741AF2" w:rsidR="00DD5C85" w:rsidRPr="00157F55" w:rsidRDefault="00925BDB"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5" w:type="pct"/>
            <w:noWrap/>
          </w:tcPr>
          <w:p w14:paraId="625ED064" w14:textId="7F277D0D" w:rsidR="00DD5C85" w:rsidRPr="00157F55" w:rsidRDefault="00925BDB"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r>
      <w:tr w:rsidR="00DD5C85" w:rsidRPr="00157F55" w14:paraId="6089275B" w14:textId="77777777">
        <w:trPr>
          <w:trHeight w:val="20"/>
        </w:trPr>
        <w:tc>
          <w:tcPr>
            <w:tcW w:w="156" w:type="pct"/>
          </w:tcPr>
          <w:p w14:paraId="023A4E31" w14:textId="77777777" w:rsidR="00DD5C85" w:rsidRPr="00B41CDA" w:rsidRDefault="00DD5C85" w:rsidP="004C2355">
            <w:pPr>
              <w:pStyle w:val="TableText"/>
              <w:keepNext/>
              <w:spacing w:before="0" w:after="0"/>
            </w:pPr>
            <w:r>
              <w:t>E</w:t>
            </w:r>
          </w:p>
        </w:tc>
        <w:tc>
          <w:tcPr>
            <w:tcW w:w="1336" w:type="pct"/>
            <w:noWrap/>
          </w:tcPr>
          <w:p w14:paraId="11D67104" w14:textId="119E166D" w:rsidR="00DD5C85" w:rsidRPr="00157F55" w:rsidRDefault="0017248B" w:rsidP="004C2355">
            <w:pPr>
              <w:pStyle w:val="TableText"/>
              <w:keepNext/>
              <w:spacing w:before="0" w:after="0"/>
            </w:pPr>
            <w:r w:rsidRPr="00B41CDA">
              <w:t xml:space="preserve">Uptake of </w:t>
            </w:r>
            <w:r w:rsidR="00E659A0" w:rsidRPr="000D659D">
              <w:rPr>
                <w:lang w:val="en-US"/>
              </w:rPr>
              <w:t>g</w:t>
            </w:r>
            <w:r w:rsidR="00E659A0" w:rsidRPr="000D659D">
              <w:rPr>
                <w:i/>
                <w:iCs/>
                <w:lang w:val="en-US"/>
              </w:rPr>
              <w:t>BRCA</w:t>
            </w:r>
            <w:r w:rsidR="00E659A0" w:rsidRPr="00B41CDA">
              <w:t xml:space="preserve"> </w:t>
            </w:r>
            <w:r w:rsidRPr="00B41CDA">
              <w:t xml:space="preserve">testing in TNBC patients </w:t>
            </w:r>
            <w:r>
              <w:br/>
            </w:r>
            <w:r w:rsidRPr="00B457CE">
              <w:t>(</w:t>
            </w:r>
            <w:r>
              <w:t>following</w:t>
            </w:r>
            <w:r w:rsidRPr="00B457CE">
              <w:t xml:space="preserve"> olaparib listing)</w:t>
            </w:r>
          </w:p>
        </w:tc>
        <w:tc>
          <w:tcPr>
            <w:tcW w:w="584" w:type="pct"/>
            <w:noWrap/>
          </w:tcPr>
          <w:p w14:paraId="6ABA574E" w14:textId="46D5BF98" w:rsidR="00DD5C85" w:rsidRPr="00157F55" w:rsidRDefault="00ED72E7" w:rsidP="004C2355">
            <w:pPr>
              <w:pStyle w:val="TableText"/>
              <w:keepNext/>
              <w:spacing w:before="0" w:after="0"/>
              <w:jc w:val="right"/>
            </w:pPr>
            <w:r w:rsidRPr="00AC2BEC">
              <w:rPr>
                <w:b/>
                <w:bCs/>
              </w:rPr>
              <w:t>redacted</w:t>
            </w:r>
            <w:r w:rsidRPr="00B41CDA">
              <w:t xml:space="preserve"> </w:t>
            </w:r>
            <w:r w:rsidR="00DD5C85" w:rsidRPr="00B41CDA">
              <w:t>%</w:t>
            </w:r>
          </w:p>
        </w:tc>
        <w:tc>
          <w:tcPr>
            <w:tcW w:w="585" w:type="pct"/>
            <w:noWrap/>
          </w:tcPr>
          <w:p w14:paraId="09B44CAA" w14:textId="675373B3" w:rsidR="00DD5C85" w:rsidRPr="00157F55" w:rsidRDefault="00ED72E7" w:rsidP="004C2355">
            <w:pPr>
              <w:pStyle w:val="TableText"/>
              <w:keepNext/>
              <w:spacing w:before="0" w:after="0"/>
              <w:jc w:val="right"/>
            </w:pPr>
            <w:r w:rsidRPr="00AC2BEC">
              <w:rPr>
                <w:b/>
                <w:bCs/>
              </w:rPr>
              <w:t>redacted</w:t>
            </w:r>
            <w:r w:rsidRPr="00B41CDA">
              <w:t xml:space="preserve"> </w:t>
            </w:r>
            <w:r w:rsidR="00DD5C85" w:rsidRPr="00B41CDA">
              <w:t>%</w:t>
            </w:r>
          </w:p>
        </w:tc>
        <w:tc>
          <w:tcPr>
            <w:tcW w:w="585" w:type="pct"/>
            <w:noWrap/>
          </w:tcPr>
          <w:p w14:paraId="64EDDCDD" w14:textId="7C3A8360" w:rsidR="00DD5C85" w:rsidRPr="00157F55" w:rsidRDefault="00ED72E7" w:rsidP="004C2355">
            <w:pPr>
              <w:pStyle w:val="TableText"/>
              <w:keepNext/>
              <w:spacing w:before="0" w:after="0"/>
              <w:jc w:val="right"/>
            </w:pPr>
            <w:r w:rsidRPr="00AC2BEC">
              <w:rPr>
                <w:b/>
                <w:bCs/>
              </w:rPr>
              <w:t>redacted</w:t>
            </w:r>
            <w:r w:rsidRPr="00B41CDA">
              <w:t xml:space="preserve"> </w:t>
            </w:r>
            <w:r w:rsidR="00DD5C85" w:rsidRPr="00B41CDA">
              <w:t>%</w:t>
            </w:r>
          </w:p>
        </w:tc>
        <w:tc>
          <w:tcPr>
            <w:tcW w:w="584" w:type="pct"/>
            <w:noWrap/>
          </w:tcPr>
          <w:p w14:paraId="143EF297" w14:textId="7C5AA988" w:rsidR="00DD5C85" w:rsidRPr="00157F55" w:rsidRDefault="00ED72E7" w:rsidP="004C2355">
            <w:pPr>
              <w:pStyle w:val="TableText"/>
              <w:keepNext/>
              <w:spacing w:before="0" w:after="0"/>
              <w:jc w:val="right"/>
            </w:pPr>
            <w:r w:rsidRPr="00AC2BEC">
              <w:rPr>
                <w:b/>
                <w:bCs/>
              </w:rPr>
              <w:t>redacted</w:t>
            </w:r>
            <w:r w:rsidRPr="00B41CDA">
              <w:t xml:space="preserve"> </w:t>
            </w:r>
            <w:r w:rsidR="00DD5C85" w:rsidRPr="00B41CDA">
              <w:t>%</w:t>
            </w:r>
          </w:p>
        </w:tc>
        <w:tc>
          <w:tcPr>
            <w:tcW w:w="585" w:type="pct"/>
            <w:noWrap/>
          </w:tcPr>
          <w:p w14:paraId="4DED3856" w14:textId="2681D85B" w:rsidR="00DD5C85" w:rsidRPr="00157F55" w:rsidRDefault="00ED72E7" w:rsidP="004C2355">
            <w:pPr>
              <w:pStyle w:val="TableText"/>
              <w:keepNext/>
              <w:spacing w:before="0" w:after="0"/>
              <w:jc w:val="right"/>
            </w:pPr>
            <w:r w:rsidRPr="00AC2BEC">
              <w:rPr>
                <w:b/>
                <w:bCs/>
              </w:rPr>
              <w:t>redacted</w:t>
            </w:r>
            <w:r w:rsidRPr="00B41CDA">
              <w:t xml:space="preserve"> </w:t>
            </w:r>
            <w:r w:rsidR="00DD5C85" w:rsidRPr="00B41CDA">
              <w:t>%</w:t>
            </w:r>
          </w:p>
        </w:tc>
        <w:tc>
          <w:tcPr>
            <w:tcW w:w="585" w:type="pct"/>
            <w:noWrap/>
          </w:tcPr>
          <w:p w14:paraId="20971EE6" w14:textId="57F7520C" w:rsidR="00DD5C85" w:rsidRPr="00157F55" w:rsidRDefault="00ED72E7" w:rsidP="004C2355">
            <w:pPr>
              <w:pStyle w:val="TableText"/>
              <w:keepNext/>
              <w:spacing w:before="0" w:after="0"/>
              <w:jc w:val="right"/>
            </w:pPr>
            <w:r w:rsidRPr="00AC2BEC">
              <w:rPr>
                <w:b/>
                <w:bCs/>
              </w:rPr>
              <w:t>redacted</w:t>
            </w:r>
            <w:r w:rsidRPr="00B41CDA">
              <w:t xml:space="preserve"> </w:t>
            </w:r>
            <w:r w:rsidR="00DD5C85" w:rsidRPr="00B41CDA">
              <w:t>%</w:t>
            </w:r>
          </w:p>
        </w:tc>
      </w:tr>
      <w:tr w:rsidR="0017248B" w:rsidRPr="00157F55" w14:paraId="3A622AFF" w14:textId="77777777">
        <w:trPr>
          <w:trHeight w:val="20"/>
        </w:trPr>
        <w:tc>
          <w:tcPr>
            <w:tcW w:w="156" w:type="pct"/>
          </w:tcPr>
          <w:p w14:paraId="08B7CB0B" w14:textId="77777777" w:rsidR="0017248B" w:rsidRPr="00B41CDA" w:rsidRDefault="0017248B" w:rsidP="004C2355">
            <w:pPr>
              <w:pStyle w:val="TableText"/>
              <w:keepNext/>
              <w:spacing w:before="0" w:after="0"/>
            </w:pPr>
            <w:r>
              <w:t>F</w:t>
            </w:r>
          </w:p>
        </w:tc>
        <w:tc>
          <w:tcPr>
            <w:tcW w:w="1336" w:type="pct"/>
            <w:noWrap/>
          </w:tcPr>
          <w:p w14:paraId="0DF51793" w14:textId="727707B4" w:rsidR="0017248B" w:rsidRPr="00157F55" w:rsidRDefault="0017248B" w:rsidP="004C2355">
            <w:pPr>
              <w:pStyle w:val="TableText"/>
              <w:keepNext/>
              <w:spacing w:before="0" w:after="0"/>
            </w:pPr>
            <w:r w:rsidRPr="00B41CDA">
              <w:t xml:space="preserve">No. TNBC patients tested </w:t>
            </w:r>
            <w:r>
              <w:br/>
            </w:r>
            <w:r w:rsidRPr="00B457CE">
              <w:t>(</w:t>
            </w:r>
            <w:r>
              <w:t>following</w:t>
            </w:r>
            <w:r w:rsidRPr="00B457CE">
              <w:t xml:space="preserve"> olaparib listing)</w:t>
            </w:r>
            <w:r>
              <w:t xml:space="preserve"> (C × E)</w:t>
            </w:r>
          </w:p>
        </w:tc>
        <w:tc>
          <w:tcPr>
            <w:tcW w:w="584" w:type="pct"/>
            <w:noWrap/>
          </w:tcPr>
          <w:p w14:paraId="0E962D2F" w14:textId="28F55CD3" w:rsidR="0017248B" w:rsidRPr="00157F55" w:rsidRDefault="00925BDB"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5" w:type="pct"/>
            <w:noWrap/>
          </w:tcPr>
          <w:p w14:paraId="32502231" w14:textId="67F6E34A" w:rsidR="0017248B" w:rsidRPr="00157F55" w:rsidRDefault="00925BDB"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5" w:type="pct"/>
            <w:noWrap/>
          </w:tcPr>
          <w:p w14:paraId="473C7B88" w14:textId="057A8985" w:rsidR="0017248B" w:rsidRPr="00157F55" w:rsidRDefault="00925BDB"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4" w:type="pct"/>
            <w:noWrap/>
          </w:tcPr>
          <w:p w14:paraId="765BE00D" w14:textId="48FA5B8D" w:rsidR="0017248B" w:rsidRPr="00157F55" w:rsidRDefault="00925BDB"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5" w:type="pct"/>
            <w:noWrap/>
          </w:tcPr>
          <w:p w14:paraId="3DAF5626" w14:textId="47971ED1" w:rsidR="0017248B" w:rsidRPr="00157F55" w:rsidRDefault="00925BDB"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5" w:type="pct"/>
            <w:noWrap/>
          </w:tcPr>
          <w:p w14:paraId="0A88BA5D" w14:textId="31F9D727" w:rsidR="0017248B" w:rsidRPr="00157F55" w:rsidRDefault="00925BDB"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r>
      <w:tr w:rsidR="0017248B" w:rsidRPr="00157F55" w14:paraId="052C2C37" w14:textId="77777777">
        <w:trPr>
          <w:trHeight w:val="20"/>
        </w:trPr>
        <w:tc>
          <w:tcPr>
            <w:tcW w:w="156" w:type="pct"/>
          </w:tcPr>
          <w:p w14:paraId="63184EBA" w14:textId="77777777" w:rsidR="0017248B" w:rsidRPr="00B41CDA" w:rsidRDefault="0017248B" w:rsidP="004C2355">
            <w:pPr>
              <w:pStyle w:val="TableText"/>
              <w:keepNext/>
              <w:spacing w:before="0" w:after="0"/>
            </w:pPr>
            <w:r>
              <w:t>G</w:t>
            </w:r>
          </w:p>
        </w:tc>
        <w:tc>
          <w:tcPr>
            <w:tcW w:w="1336" w:type="pct"/>
            <w:noWrap/>
          </w:tcPr>
          <w:p w14:paraId="36912A76" w14:textId="3868B34B" w:rsidR="0017248B" w:rsidRPr="00157F55" w:rsidRDefault="0017248B" w:rsidP="004C2355">
            <w:pPr>
              <w:pStyle w:val="TableText"/>
              <w:keepNext/>
              <w:spacing w:before="0" w:after="0"/>
            </w:pPr>
            <w:r w:rsidRPr="00B41CDA">
              <w:t xml:space="preserve">No. TNBC patients with </w:t>
            </w:r>
            <w:r w:rsidR="00E659A0" w:rsidRPr="000D659D">
              <w:rPr>
                <w:lang w:val="en-US"/>
              </w:rPr>
              <w:t>g</w:t>
            </w:r>
            <w:r w:rsidR="00E659A0" w:rsidRPr="000D659D">
              <w:rPr>
                <w:i/>
                <w:iCs/>
                <w:lang w:val="en-US"/>
              </w:rPr>
              <w:t>BRCA</w:t>
            </w:r>
            <w:r w:rsidR="00E659A0">
              <w:t xml:space="preserve"> </w:t>
            </w:r>
            <w:r>
              <w:t>variants</w:t>
            </w:r>
            <w:r w:rsidRPr="00B41CDA">
              <w:t xml:space="preserve"> (</w:t>
            </w:r>
            <w:r>
              <w:t>F × </w:t>
            </w:r>
            <w:r w:rsidRPr="00B41CDA">
              <w:t>13.3%)</w:t>
            </w:r>
          </w:p>
        </w:tc>
        <w:tc>
          <w:tcPr>
            <w:tcW w:w="584" w:type="pct"/>
            <w:noWrap/>
          </w:tcPr>
          <w:p w14:paraId="7A16B220" w14:textId="58BFB614" w:rsidR="0017248B" w:rsidRPr="00157F55" w:rsidRDefault="00ED0CAA" w:rsidP="004C2355">
            <w:pPr>
              <w:pStyle w:val="TableText"/>
              <w:keepNext/>
              <w:spacing w:before="0" w:after="0"/>
              <w:jc w:val="right"/>
            </w:pPr>
            <w:r w:rsidRPr="00AC2BEC">
              <w:rPr>
                <w:b/>
                <w:bCs/>
              </w:rPr>
              <w:t>redacted</w:t>
            </w:r>
            <w:r w:rsidRPr="00B41CDA" w:rsidDel="00925BDB">
              <w:t xml:space="preserve"> </w:t>
            </w:r>
            <w:r w:rsidRPr="00771162">
              <w:rPr>
                <w:vertAlign w:val="superscript"/>
              </w:rPr>
              <w:t>3</w:t>
            </w:r>
          </w:p>
        </w:tc>
        <w:tc>
          <w:tcPr>
            <w:tcW w:w="585" w:type="pct"/>
            <w:noWrap/>
          </w:tcPr>
          <w:p w14:paraId="53BC7DD8" w14:textId="4DB8FEF9" w:rsidR="0017248B" w:rsidRPr="00157F55" w:rsidRDefault="00ED0CAA" w:rsidP="004C2355">
            <w:pPr>
              <w:pStyle w:val="TableText"/>
              <w:keepNext/>
              <w:spacing w:before="0" w:after="0"/>
              <w:jc w:val="right"/>
            </w:pPr>
            <w:r w:rsidRPr="00AC2BEC">
              <w:rPr>
                <w:b/>
                <w:bCs/>
              </w:rPr>
              <w:t>redacted</w:t>
            </w:r>
            <w:r w:rsidRPr="00B41CDA" w:rsidDel="00925BDB">
              <w:t xml:space="preserve"> </w:t>
            </w:r>
            <w:r w:rsidRPr="00AC2BEC">
              <w:rPr>
                <w:vertAlign w:val="superscript"/>
              </w:rPr>
              <w:t>3</w:t>
            </w:r>
          </w:p>
        </w:tc>
        <w:tc>
          <w:tcPr>
            <w:tcW w:w="585" w:type="pct"/>
            <w:noWrap/>
          </w:tcPr>
          <w:p w14:paraId="0134AA01" w14:textId="4D1A6AE7" w:rsidR="0017248B" w:rsidRPr="00157F55" w:rsidRDefault="00ED0CAA" w:rsidP="004C2355">
            <w:pPr>
              <w:pStyle w:val="TableText"/>
              <w:keepNext/>
              <w:spacing w:before="0" w:after="0"/>
              <w:jc w:val="right"/>
            </w:pPr>
            <w:r w:rsidRPr="00AC2BEC">
              <w:rPr>
                <w:b/>
                <w:bCs/>
              </w:rPr>
              <w:t>redacted</w:t>
            </w:r>
            <w:r w:rsidRPr="00B41CDA" w:rsidDel="00925BDB">
              <w:t xml:space="preserve"> </w:t>
            </w:r>
            <w:r w:rsidRPr="00AC2BEC">
              <w:rPr>
                <w:vertAlign w:val="superscript"/>
              </w:rPr>
              <w:t>3</w:t>
            </w:r>
          </w:p>
        </w:tc>
        <w:tc>
          <w:tcPr>
            <w:tcW w:w="584" w:type="pct"/>
            <w:noWrap/>
          </w:tcPr>
          <w:p w14:paraId="5C6A965E" w14:textId="0983EE99" w:rsidR="0017248B" w:rsidRPr="00157F55" w:rsidRDefault="00ED0CAA" w:rsidP="004C2355">
            <w:pPr>
              <w:pStyle w:val="TableText"/>
              <w:keepNext/>
              <w:spacing w:before="0" w:after="0"/>
              <w:jc w:val="right"/>
            </w:pPr>
            <w:r w:rsidRPr="00AC2BEC">
              <w:rPr>
                <w:b/>
                <w:bCs/>
              </w:rPr>
              <w:t>redacted</w:t>
            </w:r>
            <w:r w:rsidRPr="00B41CDA" w:rsidDel="00925BDB">
              <w:t xml:space="preserve"> </w:t>
            </w:r>
            <w:r w:rsidRPr="00AC2BEC">
              <w:rPr>
                <w:vertAlign w:val="superscript"/>
              </w:rPr>
              <w:t>3</w:t>
            </w:r>
          </w:p>
        </w:tc>
        <w:tc>
          <w:tcPr>
            <w:tcW w:w="585" w:type="pct"/>
            <w:noWrap/>
          </w:tcPr>
          <w:p w14:paraId="00178239" w14:textId="25650C6B" w:rsidR="0017248B" w:rsidRPr="00157F55" w:rsidRDefault="00ED0CAA" w:rsidP="004C2355">
            <w:pPr>
              <w:pStyle w:val="TableText"/>
              <w:keepNext/>
              <w:spacing w:before="0" w:after="0"/>
              <w:jc w:val="right"/>
            </w:pPr>
            <w:r w:rsidRPr="00AC2BEC">
              <w:rPr>
                <w:b/>
                <w:bCs/>
              </w:rPr>
              <w:t>redacted</w:t>
            </w:r>
            <w:r w:rsidRPr="00B41CDA" w:rsidDel="00925BDB">
              <w:t xml:space="preserve"> </w:t>
            </w:r>
            <w:r w:rsidRPr="00AC2BEC">
              <w:rPr>
                <w:vertAlign w:val="superscript"/>
              </w:rPr>
              <w:t>3</w:t>
            </w:r>
          </w:p>
        </w:tc>
        <w:tc>
          <w:tcPr>
            <w:tcW w:w="585" w:type="pct"/>
            <w:noWrap/>
          </w:tcPr>
          <w:p w14:paraId="20EB7D21" w14:textId="309A3E7D" w:rsidR="0017248B" w:rsidRPr="00157F55" w:rsidRDefault="00ED0CAA" w:rsidP="004C2355">
            <w:pPr>
              <w:pStyle w:val="TableText"/>
              <w:keepNext/>
              <w:spacing w:before="0" w:after="0"/>
              <w:jc w:val="right"/>
            </w:pPr>
            <w:r w:rsidRPr="00AC2BEC">
              <w:rPr>
                <w:b/>
                <w:bCs/>
              </w:rPr>
              <w:t>redacted</w:t>
            </w:r>
            <w:r w:rsidRPr="00B41CDA" w:rsidDel="00925BDB">
              <w:t xml:space="preserve"> </w:t>
            </w:r>
            <w:r w:rsidRPr="00AC2BEC">
              <w:rPr>
                <w:vertAlign w:val="superscript"/>
              </w:rPr>
              <w:t>3</w:t>
            </w:r>
          </w:p>
        </w:tc>
      </w:tr>
      <w:tr w:rsidR="00DD5C85" w:rsidRPr="00EB3599" w14:paraId="427C84B9" w14:textId="77777777">
        <w:trPr>
          <w:trHeight w:val="20"/>
        </w:trPr>
        <w:tc>
          <w:tcPr>
            <w:tcW w:w="156" w:type="pct"/>
            <w:tcBorders>
              <w:right w:val="nil"/>
            </w:tcBorders>
          </w:tcPr>
          <w:p w14:paraId="0AA8F733" w14:textId="77777777" w:rsidR="00DD5C85" w:rsidRPr="00EB3599" w:rsidRDefault="00DD5C85" w:rsidP="004C2355">
            <w:pPr>
              <w:pStyle w:val="TableText"/>
              <w:keepNext/>
              <w:spacing w:before="0" w:after="0"/>
              <w:rPr>
                <w:b/>
                <w:bCs/>
              </w:rPr>
            </w:pPr>
          </w:p>
        </w:tc>
        <w:tc>
          <w:tcPr>
            <w:tcW w:w="1336" w:type="pct"/>
            <w:tcBorders>
              <w:right w:val="nil"/>
            </w:tcBorders>
            <w:noWrap/>
          </w:tcPr>
          <w:p w14:paraId="0F20225E" w14:textId="77777777" w:rsidR="00DD5C85" w:rsidRPr="00EB3599" w:rsidRDefault="00DD5C85" w:rsidP="004C2355">
            <w:pPr>
              <w:pStyle w:val="TableText"/>
              <w:keepNext/>
              <w:spacing w:before="0" w:after="0"/>
              <w:rPr>
                <w:b/>
                <w:bCs/>
              </w:rPr>
            </w:pPr>
            <w:r w:rsidRPr="00EB3599">
              <w:rPr>
                <w:b/>
              </w:rPr>
              <w:t>HR+ HER2-</w:t>
            </w:r>
            <w:r>
              <w:rPr>
                <w:b/>
              </w:rPr>
              <w:t xml:space="preserve"> breast cancer</w:t>
            </w:r>
          </w:p>
        </w:tc>
        <w:tc>
          <w:tcPr>
            <w:tcW w:w="584" w:type="pct"/>
            <w:tcBorders>
              <w:left w:val="nil"/>
              <w:right w:val="nil"/>
            </w:tcBorders>
            <w:noWrap/>
          </w:tcPr>
          <w:p w14:paraId="5ED32486" w14:textId="77777777" w:rsidR="00DD5C85" w:rsidRPr="00EB3599" w:rsidRDefault="00DD5C85" w:rsidP="004C2355">
            <w:pPr>
              <w:pStyle w:val="TableText"/>
              <w:keepNext/>
              <w:spacing w:before="0" w:after="0"/>
              <w:jc w:val="right"/>
              <w:rPr>
                <w:b/>
                <w:bCs/>
              </w:rPr>
            </w:pPr>
          </w:p>
        </w:tc>
        <w:tc>
          <w:tcPr>
            <w:tcW w:w="585" w:type="pct"/>
            <w:tcBorders>
              <w:left w:val="nil"/>
              <w:right w:val="nil"/>
            </w:tcBorders>
            <w:noWrap/>
          </w:tcPr>
          <w:p w14:paraId="652D013E" w14:textId="77777777" w:rsidR="00DD5C85" w:rsidRPr="00EB3599" w:rsidRDefault="00DD5C85" w:rsidP="004C2355">
            <w:pPr>
              <w:pStyle w:val="TableText"/>
              <w:keepNext/>
              <w:spacing w:before="0" w:after="0"/>
              <w:jc w:val="right"/>
              <w:rPr>
                <w:b/>
                <w:bCs/>
              </w:rPr>
            </w:pPr>
          </w:p>
        </w:tc>
        <w:tc>
          <w:tcPr>
            <w:tcW w:w="585" w:type="pct"/>
            <w:tcBorders>
              <w:left w:val="nil"/>
              <w:right w:val="nil"/>
            </w:tcBorders>
            <w:noWrap/>
          </w:tcPr>
          <w:p w14:paraId="0A959C31" w14:textId="77777777" w:rsidR="00DD5C85" w:rsidRPr="00EB3599" w:rsidRDefault="00DD5C85" w:rsidP="004C2355">
            <w:pPr>
              <w:pStyle w:val="TableText"/>
              <w:keepNext/>
              <w:spacing w:before="0" w:after="0"/>
              <w:jc w:val="right"/>
              <w:rPr>
                <w:b/>
                <w:bCs/>
              </w:rPr>
            </w:pPr>
          </w:p>
        </w:tc>
        <w:tc>
          <w:tcPr>
            <w:tcW w:w="584" w:type="pct"/>
            <w:tcBorders>
              <w:left w:val="nil"/>
              <w:right w:val="nil"/>
            </w:tcBorders>
            <w:noWrap/>
          </w:tcPr>
          <w:p w14:paraId="2895B029" w14:textId="77777777" w:rsidR="00DD5C85" w:rsidRPr="00EB3599" w:rsidRDefault="00DD5C85" w:rsidP="004C2355">
            <w:pPr>
              <w:pStyle w:val="TableText"/>
              <w:keepNext/>
              <w:spacing w:before="0" w:after="0"/>
              <w:jc w:val="right"/>
              <w:rPr>
                <w:b/>
                <w:bCs/>
              </w:rPr>
            </w:pPr>
          </w:p>
        </w:tc>
        <w:tc>
          <w:tcPr>
            <w:tcW w:w="585" w:type="pct"/>
            <w:tcBorders>
              <w:left w:val="nil"/>
              <w:right w:val="nil"/>
            </w:tcBorders>
            <w:noWrap/>
          </w:tcPr>
          <w:p w14:paraId="1193DCC1" w14:textId="77777777" w:rsidR="00DD5C85" w:rsidRPr="00EB3599" w:rsidRDefault="00DD5C85" w:rsidP="004C2355">
            <w:pPr>
              <w:pStyle w:val="TableText"/>
              <w:keepNext/>
              <w:spacing w:before="0" w:after="0"/>
              <w:jc w:val="right"/>
              <w:rPr>
                <w:b/>
                <w:bCs/>
              </w:rPr>
            </w:pPr>
          </w:p>
        </w:tc>
        <w:tc>
          <w:tcPr>
            <w:tcW w:w="585" w:type="pct"/>
            <w:tcBorders>
              <w:left w:val="nil"/>
            </w:tcBorders>
            <w:noWrap/>
          </w:tcPr>
          <w:p w14:paraId="70889301" w14:textId="77777777" w:rsidR="00DD5C85" w:rsidRPr="00EB3599" w:rsidRDefault="00DD5C85" w:rsidP="004C2355">
            <w:pPr>
              <w:pStyle w:val="TableText"/>
              <w:keepNext/>
              <w:spacing w:before="0" w:after="0"/>
              <w:jc w:val="right"/>
              <w:rPr>
                <w:b/>
                <w:bCs/>
              </w:rPr>
            </w:pPr>
          </w:p>
        </w:tc>
      </w:tr>
      <w:tr w:rsidR="0017248B" w:rsidRPr="00157F55" w14:paraId="3505492E" w14:textId="77777777">
        <w:trPr>
          <w:trHeight w:val="20"/>
        </w:trPr>
        <w:tc>
          <w:tcPr>
            <w:tcW w:w="156" w:type="pct"/>
          </w:tcPr>
          <w:p w14:paraId="3DFC94AF" w14:textId="77777777" w:rsidR="0017248B" w:rsidRPr="00157F55" w:rsidRDefault="0017248B" w:rsidP="004C2355">
            <w:pPr>
              <w:pStyle w:val="TableText"/>
              <w:keepNext/>
              <w:spacing w:before="0" w:after="0"/>
            </w:pPr>
            <w:r>
              <w:t>H</w:t>
            </w:r>
          </w:p>
        </w:tc>
        <w:tc>
          <w:tcPr>
            <w:tcW w:w="1336" w:type="pct"/>
            <w:noWrap/>
          </w:tcPr>
          <w:p w14:paraId="1DE0D17F" w14:textId="65A24FB5" w:rsidR="0017248B" w:rsidRPr="00157F55" w:rsidRDefault="0017248B" w:rsidP="004C2355">
            <w:pPr>
              <w:pStyle w:val="TableText"/>
              <w:keepNext/>
              <w:spacing w:before="0" w:after="0"/>
            </w:pPr>
            <w:r w:rsidRPr="00157F55">
              <w:t>No. with HR+</w:t>
            </w:r>
            <w:r>
              <w:t xml:space="preserve"> </w:t>
            </w:r>
            <w:r w:rsidRPr="00157F55">
              <w:t>HER2− breast cancer (</w:t>
            </w:r>
            <w:r>
              <w:t>B × 69.3</w:t>
            </w:r>
            <w:r w:rsidRPr="00157F55">
              <w:t>%)</w:t>
            </w:r>
          </w:p>
        </w:tc>
        <w:tc>
          <w:tcPr>
            <w:tcW w:w="584" w:type="pct"/>
            <w:noWrap/>
          </w:tcPr>
          <w:p w14:paraId="54D1B965" w14:textId="285BFE2E" w:rsidR="0017248B" w:rsidRPr="00157F55" w:rsidRDefault="002F6F31" w:rsidP="004C2355">
            <w:pPr>
              <w:pStyle w:val="TableText"/>
              <w:keepNext/>
              <w:spacing w:before="0" w:after="0"/>
              <w:jc w:val="right"/>
            </w:pPr>
            <w:r w:rsidRPr="00AC2BEC">
              <w:rPr>
                <w:b/>
                <w:bCs/>
              </w:rPr>
              <w:t>redacted</w:t>
            </w:r>
            <w:r w:rsidRPr="00B41CDA" w:rsidDel="00925BDB">
              <w:t xml:space="preserve"> </w:t>
            </w:r>
            <w:r w:rsidRPr="00771162">
              <w:rPr>
                <w:vertAlign w:val="superscript"/>
              </w:rPr>
              <w:t>4</w:t>
            </w:r>
          </w:p>
        </w:tc>
        <w:tc>
          <w:tcPr>
            <w:tcW w:w="585" w:type="pct"/>
            <w:noWrap/>
          </w:tcPr>
          <w:p w14:paraId="0CC243BE" w14:textId="6C32EA19" w:rsidR="0017248B" w:rsidRPr="00157F55" w:rsidRDefault="002F6F31" w:rsidP="004C2355">
            <w:pPr>
              <w:pStyle w:val="TableText"/>
              <w:keepNext/>
              <w:spacing w:before="0" w:after="0"/>
              <w:jc w:val="right"/>
            </w:pPr>
            <w:r w:rsidRPr="00AC2BEC">
              <w:rPr>
                <w:b/>
                <w:bCs/>
              </w:rPr>
              <w:t>redacted</w:t>
            </w:r>
            <w:r w:rsidRPr="00B41CDA" w:rsidDel="00925BDB">
              <w:t xml:space="preserve"> </w:t>
            </w:r>
            <w:r w:rsidRPr="00AC2BEC">
              <w:rPr>
                <w:vertAlign w:val="superscript"/>
              </w:rPr>
              <w:t>4</w:t>
            </w:r>
          </w:p>
        </w:tc>
        <w:tc>
          <w:tcPr>
            <w:tcW w:w="585" w:type="pct"/>
            <w:noWrap/>
          </w:tcPr>
          <w:p w14:paraId="13AD80A8" w14:textId="784BB48B" w:rsidR="0017248B" w:rsidRPr="00157F55" w:rsidRDefault="002F6F31" w:rsidP="004C2355">
            <w:pPr>
              <w:pStyle w:val="TableText"/>
              <w:keepNext/>
              <w:spacing w:before="0" w:after="0"/>
              <w:jc w:val="right"/>
            </w:pPr>
            <w:r w:rsidRPr="00AC2BEC">
              <w:rPr>
                <w:b/>
                <w:bCs/>
              </w:rPr>
              <w:t>redacted</w:t>
            </w:r>
            <w:r w:rsidRPr="00B41CDA" w:rsidDel="00925BDB">
              <w:t xml:space="preserve"> </w:t>
            </w:r>
            <w:r w:rsidRPr="00AC2BEC">
              <w:rPr>
                <w:vertAlign w:val="superscript"/>
              </w:rPr>
              <w:t>4</w:t>
            </w:r>
          </w:p>
        </w:tc>
        <w:tc>
          <w:tcPr>
            <w:tcW w:w="584" w:type="pct"/>
            <w:noWrap/>
          </w:tcPr>
          <w:p w14:paraId="022D5C17" w14:textId="0B5A3541" w:rsidR="0017248B" w:rsidRPr="00157F55" w:rsidRDefault="002F6F31" w:rsidP="004C2355">
            <w:pPr>
              <w:pStyle w:val="TableText"/>
              <w:keepNext/>
              <w:spacing w:before="0" w:after="0"/>
              <w:jc w:val="right"/>
            </w:pPr>
            <w:r w:rsidRPr="00AC2BEC">
              <w:rPr>
                <w:b/>
                <w:bCs/>
              </w:rPr>
              <w:t>redacted</w:t>
            </w:r>
            <w:r w:rsidRPr="00B41CDA" w:rsidDel="00925BDB">
              <w:t xml:space="preserve"> </w:t>
            </w:r>
            <w:r w:rsidRPr="00AC2BEC">
              <w:rPr>
                <w:vertAlign w:val="superscript"/>
              </w:rPr>
              <w:t>4</w:t>
            </w:r>
          </w:p>
        </w:tc>
        <w:tc>
          <w:tcPr>
            <w:tcW w:w="585" w:type="pct"/>
            <w:noWrap/>
          </w:tcPr>
          <w:p w14:paraId="21329488" w14:textId="1EB9C2BA" w:rsidR="0017248B" w:rsidRPr="00157F55" w:rsidRDefault="002F6F31" w:rsidP="004C2355">
            <w:pPr>
              <w:pStyle w:val="TableText"/>
              <w:keepNext/>
              <w:spacing w:before="0" w:after="0"/>
              <w:jc w:val="right"/>
            </w:pPr>
            <w:r w:rsidRPr="00AC2BEC">
              <w:rPr>
                <w:b/>
                <w:bCs/>
              </w:rPr>
              <w:t>redacted</w:t>
            </w:r>
            <w:r w:rsidRPr="00B41CDA" w:rsidDel="00925BDB">
              <w:t xml:space="preserve"> </w:t>
            </w:r>
            <w:r w:rsidRPr="00AC2BEC">
              <w:rPr>
                <w:vertAlign w:val="superscript"/>
              </w:rPr>
              <w:t>4</w:t>
            </w:r>
          </w:p>
        </w:tc>
        <w:tc>
          <w:tcPr>
            <w:tcW w:w="585" w:type="pct"/>
            <w:noWrap/>
          </w:tcPr>
          <w:p w14:paraId="2C78E566" w14:textId="01552FAA" w:rsidR="0017248B" w:rsidRPr="00157F55" w:rsidRDefault="002F6F31" w:rsidP="004C2355">
            <w:pPr>
              <w:pStyle w:val="TableText"/>
              <w:keepNext/>
              <w:spacing w:before="0" w:after="0"/>
              <w:jc w:val="right"/>
            </w:pPr>
            <w:r w:rsidRPr="00AC2BEC">
              <w:rPr>
                <w:b/>
                <w:bCs/>
              </w:rPr>
              <w:t>redacted</w:t>
            </w:r>
            <w:r w:rsidRPr="00B41CDA" w:rsidDel="00925BDB">
              <w:t xml:space="preserve"> </w:t>
            </w:r>
            <w:r w:rsidRPr="00AC2BEC">
              <w:rPr>
                <w:vertAlign w:val="superscript"/>
              </w:rPr>
              <w:t>4</w:t>
            </w:r>
          </w:p>
        </w:tc>
      </w:tr>
      <w:tr w:rsidR="0017248B" w:rsidRPr="00157F55" w14:paraId="375AEB61" w14:textId="77777777">
        <w:trPr>
          <w:trHeight w:val="20"/>
        </w:trPr>
        <w:tc>
          <w:tcPr>
            <w:tcW w:w="156" w:type="pct"/>
          </w:tcPr>
          <w:p w14:paraId="26D53C5C" w14:textId="77777777" w:rsidR="0017248B" w:rsidRPr="00B41CDA" w:rsidRDefault="0017248B" w:rsidP="004C2355">
            <w:pPr>
              <w:pStyle w:val="TableText"/>
              <w:keepNext/>
              <w:spacing w:before="0" w:after="0"/>
            </w:pPr>
            <w:r>
              <w:t>I</w:t>
            </w:r>
          </w:p>
        </w:tc>
        <w:tc>
          <w:tcPr>
            <w:tcW w:w="1336" w:type="pct"/>
            <w:noWrap/>
          </w:tcPr>
          <w:p w14:paraId="5D79564F" w14:textId="21194651" w:rsidR="0017248B" w:rsidRPr="00157F55" w:rsidRDefault="0017248B" w:rsidP="004C2355">
            <w:pPr>
              <w:pStyle w:val="TableText"/>
              <w:keepNext/>
              <w:spacing w:before="0" w:after="0"/>
            </w:pPr>
            <w:r w:rsidRPr="00B41CDA">
              <w:t>No. patients on (neo)adjuvant chemotherapy (</w:t>
            </w:r>
            <w:r>
              <w:t>H × </w:t>
            </w:r>
            <w:r w:rsidRPr="00B41CDA">
              <w:t>49.0%)</w:t>
            </w:r>
          </w:p>
        </w:tc>
        <w:tc>
          <w:tcPr>
            <w:tcW w:w="584" w:type="pct"/>
            <w:noWrap/>
          </w:tcPr>
          <w:p w14:paraId="12F0FA15" w14:textId="3C123B10" w:rsidR="0017248B" w:rsidRPr="00157F55" w:rsidRDefault="00FC2926" w:rsidP="004C2355">
            <w:pPr>
              <w:pStyle w:val="TableText"/>
              <w:keepNext/>
              <w:spacing w:before="0" w:after="0"/>
              <w:jc w:val="right"/>
            </w:pPr>
            <w:r w:rsidRPr="00AC2BEC">
              <w:rPr>
                <w:b/>
                <w:bCs/>
              </w:rPr>
              <w:t>redacted</w:t>
            </w:r>
            <w:r w:rsidRPr="00B41CDA" w:rsidDel="00925BDB">
              <w:t xml:space="preserve"> </w:t>
            </w:r>
            <w:r w:rsidRPr="00771162">
              <w:rPr>
                <w:vertAlign w:val="superscript"/>
              </w:rPr>
              <w:t>5</w:t>
            </w:r>
          </w:p>
        </w:tc>
        <w:tc>
          <w:tcPr>
            <w:tcW w:w="585" w:type="pct"/>
            <w:noWrap/>
          </w:tcPr>
          <w:p w14:paraId="41B6A1E4" w14:textId="2270B865" w:rsidR="0017248B" w:rsidRPr="00157F55" w:rsidRDefault="00FC2926" w:rsidP="004C2355">
            <w:pPr>
              <w:pStyle w:val="TableText"/>
              <w:keepNext/>
              <w:spacing w:before="0" w:after="0"/>
              <w:jc w:val="right"/>
            </w:pPr>
            <w:r w:rsidRPr="00AC2BEC">
              <w:rPr>
                <w:b/>
                <w:bCs/>
              </w:rPr>
              <w:t>redacted</w:t>
            </w:r>
            <w:r w:rsidRPr="00B41CDA" w:rsidDel="00925BDB">
              <w:t xml:space="preserve"> </w:t>
            </w:r>
            <w:r w:rsidRPr="00AC2BEC">
              <w:rPr>
                <w:vertAlign w:val="superscript"/>
              </w:rPr>
              <w:t>5</w:t>
            </w:r>
          </w:p>
        </w:tc>
        <w:tc>
          <w:tcPr>
            <w:tcW w:w="585" w:type="pct"/>
            <w:noWrap/>
          </w:tcPr>
          <w:p w14:paraId="166D6C64" w14:textId="595EC8FE" w:rsidR="0017248B" w:rsidRPr="00157F55" w:rsidRDefault="00FC2926" w:rsidP="004C2355">
            <w:pPr>
              <w:pStyle w:val="TableText"/>
              <w:keepNext/>
              <w:spacing w:before="0" w:after="0"/>
              <w:jc w:val="right"/>
            </w:pPr>
            <w:r w:rsidRPr="00AC2BEC">
              <w:rPr>
                <w:b/>
                <w:bCs/>
              </w:rPr>
              <w:t>redacted</w:t>
            </w:r>
            <w:r w:rsidRPr="00B41CDA" w:rsidDel="00925BDB">
              <w:t xml:space="preserve"> </w:t>
            </w:r>
            <w:r w:rsidRPr="00AC2BEC">
              <w:rPr>
                <w:vertAlign w:val="superscript"/>
              </w:rPr>
              <w:t>5</w:t>
            </w:r>
          </w:p>
        </w:tc>
        <w:tc>
          <w:tcPr>
            <w:tcW w:w="584" w:type="pct"/>
            <w:noWrap/>
          </w:tcPr>
          <w:p w14:paraId="7EE3F385" w14:textId="24518AFF" w:rsidR="0017248B" w:rsidRPr="00157F55" w:rsidRDefault="00FC2926" w:rsidP="004C2355">
            <w:pPr>
              <w:pStyle w:val="TableText"/>
              <w:keepNext/>
              <w:spacing w:before="0" w:after="0"/>
              <w:jc w:val="right"/>
            </w:pPr>
            <w:r w:rsidRPr="00AC2BEC">
              <w:rPr>
                <w:b/>
                <w:bCs/>
              </w:rPr>
              <w:t>redacted</w:t>
            </w:r>
            <w:r w:rsidRPr="00B41CDA" w:rsidDel="00925BDB">
              <w:t xml:space="preserve"> </w:t>
            </w:r>
            <w:r w:rsidRPr="00AC2BEC">
              <w:rPr>
                <w:vertAlign w:val="superscript"/>
              </w:rPr>
              <w:t>5</w:t>
            </w:r>
          </w:p>
        </w:tc>
        <w:tc>
          <w:tcPr>
            <w:tcW w:w="585" w:type="pct"/>
            <w:noWrap/>
          </w:tcPr>
          <w:p w14:paraId="0A022231" w14:textId="674E207E" w:rsidR="0017248B" w:rsidRPr="00157F55" w:rsidRDefault="00FC2926" w:rsidP="004C2355">
            <w:pPr>
              <w:pStyle w:val="TableText"/>
              <w:keepNext/>
              <w:spacing w:before="0" w:after="0"/>
              <w:jc w:val="right"/>
            </w:pPr>
            <w:r w:rsidRPr="00AC2BEC">
              <w:rPr>
                <w:b/>
                <w:bCs/>
              </w:rPr>
              <w:t>redacted</w:t>
            </w:r>
            <w:r w:rsidRPr="00B41CDA" w:rsidDel="00925BDB">
              <w:t xml:space="preserve"> </w:t>
            </w:r>
            <w:r w:rsidRPr="00AC2BEC">
              <w:rPr>
                <w:vertAlign w:val="superscript"/>
              </w:rPr>
              <w:t>5</w:t>
            </w:r>
          </w:p>
        </w:tc>
        <w:tc>
          <w:tcPr>
            <w:tcW w:w="585" w:type="pct"/>
            <w:noWrap/>
          </w:tcPr>
          <w:p w14:paraId="0EE6626F" w14:textId="5680FAE7" w:rsidR="0017248B" w:rsidRPr="00157F55" w:rsidRDefault="00FC2926" w:rsidP="004C2355">
            <w:pPr>
              <w:pStyle w:val="TableText"/>
              <w:keepNext/>
              <w:spacing w:before="0" w:after="0"/>
              <w:jc w:val="right"/>
            </w:pPr>
            <w:r w:rsidRPr="00AC2BEC">
              <w:rPr>
                <w:b/>
                <w:bCs/>
              </w:rPr>
              <w:t>redacted</w:t>
            </w:r>
            <w:r w:rsidRPr="00B41CDA" w:rsidDel="00925BDB">
              <w:t xml:space="preserve"> </w:t>
            </w:r>
            <w:r w:rsidRPr="00AC2BEC">
              <w:rPr>
                <w:vertAlign w:val="superscript"/>
              </w:rPr>
              <w:t>5</w:t>
            </w:r>
          </w:p>
        </w:tc>
      </w:tr>
      <w:tr w:rsidR="0017248B" w:rsidRPr="00157F55" w14:paraId="0F216E35" w14:textId="77777777">
        <w:trPr>
          <w:trHeight w:val="20"/>
        </w:trPr>
        <w:tc>
          <w:tcPr>
            <w:tcW w:w="156" w:type="pct"/>
          </w:tcPr>
          <w:p w14:paraId="3604C4C7" w14:textId="77777777" w:rsidR="0017248B" w:rsidRPr="00B41CDA" w:rsidRDefault="0017248B" w:rsidP="004C2355">
            <w:pPr>
              <w:pStyle w:val="TableText"/>
              <w:keepNext/>
              <w:spacing w:before="0" w:after="0"/>
            </w:pPr>
            <w:r>
              <w:t>J</w:t>
            </w:r>
          </w:p>
        </w:tc>
        <w:tc>
          <w:tcPr>
            <w:tcW w:w="1336" w:type="pct"/>
            <w:noWrap/>
          </w:tcPr>
          <w:p w14:paraId="6FFDC647" w14:textId="1ED8CF36" w:rsidR="0017248B" w:rsidRPr="00157F55" w:rsidRDefault="0017248B" w:rsidP="004C2355">
            <w:pPr>
              <w:pStyle w:val="TableText"/>
              <w:keepNext/>
              <w:spacing w:before="0" w:after="0"/>
            </w:pPr>
            <w:r w:rsidRPr="00B41CDA">
              <w:t xml:space="preserve">No. HR+ HER2− patients tested </w:t>
            </w:r>
            <w:r>
              <w:t xml:space="preserve">in absence of olaparib listing </w:t>
            </w:r>
            <w:r w:rsidRPr="00B41CDA">
              <w:t>(</w:t>
            </w:r>
            <w:r>
              <w:t>I × </w:t>
            </w:r>
            <w:r w:rsidRPr="00B41CDA">
              <w:t>20.0%)</w:t>
            </w:r>
          </w:p>
        </w:tc>
        <w:tc>
          <w:tcPr>
            <w:tcW w:w="584" w:type="pct"/>
            <w:noWrap/>
          </w:tcPr>
          <w:p w14:paraId="75AC96A3" w14:textId="2D265752" w:rsidR="0017248B" w:rsidRPr="00157F55" w:rsidRDefault="00EE0D22"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5" w:type="pct"/>
            <w:noWrap/>
          </w:tcPr>
          <w:p w14:paraId="791BED5D" w14:textId="32F0B1BE" w:rsidR="0017248B" w:rsidRPr="00157F55" w:rsidRDefault="00EE0D22"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5" w:type="pct"/>
            <w:noWrap/>
          </w:tcPr>
          <w:p w14:paraId="3F6DF641" w14:textId="56DF8E67" w:rsidR="0017248B" w:rsidRPr="00157F55" w:rsidRDefault="00EE0D22"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4" w:type="pct"/>
            <w:noWrap/>
          </w:tcPr>
          <w:p w14:paraId="788D03FC" w14:textId="5966F117" w:rsidR="0017248B" w:rsidRPr="00157F55" w:rsidRDefault="00EE0D22"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5" w:type="pct"/>
            <w:noWrap/>
          </w:tcPr>
          <w:p w14:paraId="54DEDBB9" w14:textId="5D3BD9DE" w:rsidR="0017248B" w:rsidRPr="00157F55" w:rsidRDefault="00EE0D22"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5" w:type="pct"/>
            <w:noWrap/>
          </w:tcPr>
          <w:p w14:paraId="04A027BF" w14:textId="1FF3B826" w:rsidR="0017248B" w:rsidRPr="00157F55" w:rsidRDefault="00EE0D22"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r>
      <w:tr w:rsidR="0017248B" w:rsidRPr="00157F55" w14:paraId="344D6281" w14:textId="77777777">
        <w:trPr>
          <w:trHeight w:val="20"/>
        </w:trPr>
        <w:tc>
          <w:tcPr>
            <w:tcW w:w="156" w:type="pct"/>
          </w:tcPr>
          <w:p w14:paraId="108D93FD" w14:textId="77777777" w:rsidR="0017248B" w:rsidRPr="00B41CDA" w:rsidRDefault="0017248B" w:rsidP="004C2355">
            <w:pPr>
              <w:pStyle w:val="TableText"/>
              <w:keepNext/>
              <w:spacing w:before="0" w:after="0"/>
            </w:pPr>
            <w:r>
              <w:t>K</w:t>
            </w:r>
          </w:p>
        </w:tc>
        <w:tc>
          <w:tcPr>
            <w:tcW w:w="1336" w:type="pct"/>
            <w:noWrap/>
          </w:tcPr>
          <w:p w14:paraId="2273153F" w14:textId="7E921923" w:rsidR="0017248B" w:rsidRPr="00157F55" w:rsidRDefault="0017248B" w:rsidP="004C2355">
            <w:pPr>
              <w:pStyle w:val="TableText"/>
              <w:keepNext/>
              <w:spacing w:before="0" w:after="0"/>
            </w:pPr>
            <w:r w:rsidRPr="00B41CDA">
              <w:t xml:space="preserve">Uptake of </w:t>
            </w:r>
            <w:r w:rsidR="00E659A0" w:rsidRPr="000D659D">
              <w:rPr>
                <w:lang w:val="en-US"/>
              </w:rPr>
              <w:t>g</w:t>
            </w:r>
            <w:r w:rsidR="00E659A0" w:rsidRPr="000D659D">
              <w:rPr>
                <w:i/>
                <w:iCs/>
                <w:lang w:val="en-US"/>
              </w:rPr>
              <w:t>BRCA</w:t>
            </w:r>
            <w:r w:rsidR="00E659A0" w:rsidRPr="00B41CDA">
              <w:t xml:space="preserve"> </w:t>
            </w:r>
            <w:r w:rsidRPr="00B41CDA">
              <w:t xml:space="preserve">testing in HR+ HER2− patients </w:t>
            </w:r>
            <w:r w:rsidRPr="00B457CE">
              <w:t>(</w:t>
            </w:r>
            <w:r>
              <w:t>following</w:t>
            </w:r>
            <w:r w:rsidRPr="00B457CE">
              <w:t xml:space="preserve"> olaparib listing)</w:t>
            </w:r>
          </w:p>
        </w:tc>
        <w:tc>
          <w:tcPr>
            <w:tcW w:w="584" w:type="pct"/>
            <w:noWrap/>
          </w:tcPr>
          <w:p w14:paraId="3402DE8A" w14:textId="193427D8" w:rsidR="0017248B" w:rsidRPr="00157F55" w:rsidRDefault="00ED72E7" w:rsidP="004C2355">
            <w:pPr>
              <w:pStyle w:val="TableText"/>
              <w:keepNext/>
              <w:spacing w:before="0" w:after="0"/>
              <w:jc w:val="right"/>
            </w:pPr>
            <w:r w:rsidRPr="00AC2BEC">
              <w:rPr>
                <w:b/>
                <w:bCs/>
              </w:rPr>
              <w:t>redacted</w:t>
            </w:r>
            <w:r w:rsidRPr="00B41CDA">
              <w:t xml:space="preserve"> </w:t>
            </w:r>
            <w:r w:rsidR="0017248B" w:rsidRPr="00B41CDA">
              <w:t>%</w:t>
            </w:r>
          </w:p>
        </w:tc>
        <w:tc>
          <w:tcPr>
            <w:tcW w:w="585" w:type="pct"/>
            <w:noWrap/>
          </w:tcPr>
          <w:p w14:paraId="6D202700" w14:textId="19013F72" w:rsidR="0017248B" w:rsidRPr="00157F55" w:rsidRDefault="00ED72E7" w:rsidP="004C2355">
            <w:pPr>
              <w:pStyle w:val="TableText"/>
              <w:keepNext/>
              <w:spacing w:before="0" w:after="0"/>
              <w:jc w:val="right"/>
            </w:pPr>
            <w:r w:rsidRPr="00AC2BEC">
              <w:rPr>
                <w:b/>
                <w:bCs/>
              </w:rPr>
              <w:t>redacted</w:t>
            </w:r>
            <w:r w:rsidRPr="00B41CDA">
              <w:t xml:space="preserve"> </w:t>
            </w:r>
            <w:r w:rsidR="0017248B" w:rsidRPr="00B41CDA">
              <w:t>%</w:t>
            </w:r>
          </w:p>
        </w:tc>
        <w:tc>
          <w:tcPr>
            <w:tcW w:w="585" w:type="pct"/>
            <w:noWrap/>
          </w:tcPr>
          <w:p w14:paraId="05852729" w14:textId="03C7E8EA" w:rsidR="0017248B" w:rsidRPr="00157F55" w:rsidRDefault="00ED72E7" w:rsidP="004C2355">
            <w:pPr>
              <w:pStyle w:val="TableText"/>
              <w:keepNext/>
              <w:spacing w:before="0" w:after="0"/>
              <w:jc w:val="right"/>
            </w:pPr>
            <w:r w:rsidRPr="00AC2BEC">
              <w:rPr>
                <w:b/>
                <w:bCs/>
              </w:rPr>
              <w:t>redacted</w:t>
            </w:r>
            <w:r w:rsidRPr="00B41CDA">
              <w:t xml:space="preserve"> </w:t>
            </w:r>
            <w:r w:rsidR="0017248B" w:rsidRPr="00B41CDA">
              <w:t>%</w:t>
            </w:r>
          </w:p>
        </w:tc>
        <w:tc>
          <w:tcPr>
            <w:tcW w:w="584" w:type="pct"/>
            <w:noWrap/>
          </w:tcPr>
          <w:p w14:paraId="603C029F" w14:textId="3F79B2FE" w:rsidR="0017248B" w:rsidRPr="00157F55" w:rsidRDefault="00ED72E7" w:rsidP="004C2355">
            <w:pPr>
              <w:pStyle w:val="TableText"/>
              <w:keepNext/>
              <w:spacing w:before="0" w:after="0"/>
              <w:jc w:val="right"/>
            </w:pPr>
            <w:r w:rsidRPr="00AC2BEC">
              <w:rPr>
                <w:b/>
                <w:bCs/>
              </w:rPr>
              <w:t>redacted</w:t>
            </w:r>
            <w:r w:rsidRPr="00B41CDA">
              <w:t xml:space="preserve"> </w:t>
            </w:r>
            <w:r w:rsidR="0017248B" w:rsidRPr="00B41CDA">
              <w:t>%</w:t>
            </w:r>
          </w:p>
        </w:tc>
        <w:tc>
          <w:tcPr>
            <w:tcW w:w="585" w:type="pct"/>
            <w:noWrap/>
          </w:tcPr>
          <w:p w14:paraId="793D6679" w14:textId="3E7B9356" w:rsidR="0017248B" w:rsidRPr="00157F55" w:rsidRDefault="00ED72E7" w:rsidP="004C2355">
            <w:pPr>
              <w:pStyle w:val="TableText"/>
              <w:keepNext/>
              <w:spacing w:before="0" w:after="0"/>
              <w:jc w:val="right"/>
            </w:pPr>
            <w:r w:rsidRPr="00AC2BEC">
              <w:rPr>
                <w:b/>
                <w:bCs/>
              </w:rPr>
              <w:t>redacted</w:t>
            </w:r>
            <w:r w:rsidRPr="00B41CDA">
              <w:t xml:space="preserve"> </w:t>
            </w:r>
            <w:r w:rsidR="0017248B" w:rsidRPr="00B41CDA">
              <w:t>%</w:t>
            </w:r>
          </w:p>
        </w:tc>
        <w:tc>
          <w:tcPr>
            <w:tcW w:w="585" w:type="pct"/>
            <w:noWrap/>
          </w:tcPr>
          <w:p w14:paraId="4391328F" w14:textId="6A343AD3" w:rsidR="0017248B" w:rsidRPr="00157F55" w:rsidRDefault="00ED72E7" w:rsidP="004C2355">
            <w:pPr>
              <w:pStyle w:val="TableText"/>
              <w:keepNext/>
              <w:spacing w:before="0" w:after="0"/>
              <w:jc w:val="right"/>
            </w:pPr>
            <w:r w:rsidRPr="00AC2BEC">
              <w:rPr>
                <w:b/>
                <w:bCs/>
              </w:rPr>
              <w:t>redacted</w:t>
            </w:r>
            <w:r w:rsidRPr="00B41CDA">
              <w:t xml:space="preserve"> </w:t>
            </w:r>
            <w:r w:rsidR="0017248B" w:rsidRPr="00B41CDA">
              <w:t>%</w:t>
            </w:r>
          </w:p>
        </w:tc>
      </w:tr>
      <w:tr w:rsidR="0017248B" w:rsidRPr="00157F55" w14:paraId="5C26BAB1" w14:textId="77777777">
        <w:trPr>
          <w:trHeight w:val="20"/>
        </w:trPr>
        <w:tc>
          <w:tcPr>
            <w:tcW w:w="156" w:type="pct"/>
          </w:tcPr>
          <w:p w14:paraId="17C8BE71" w14:textId="77777777" w:rsidR="0017248B" w:rsidRPr="00B41CDA" w:rsidRDefault="0017248B" w:rsidP="004C2355">
            <w:pPr>
              <w:pStyle w:val="TableText"/>
              <w:keepNext/>
              <w:spacing w:before="0" w:after="0"/>
            </w:pPr>
            <w:r>
              <w:t>L</w:t>
            </w:r>
          </w:p>
        </w:tc>
        <w:tc>
          <w:tcPr>
            <w:tcW w:w="1336" w:type="pct"/>
            <w:noWrap/>
          </w:tcPr>
          <w:p w14:paraId="0B3EA4C9" w14:textId="45DB61B4" w:rsidR="0017248B" w:rsidRPr="00157F55" w:rsidRDefault="0017248B" w:rsidP="004C2355">
            <w:pPr>
              <w:pStyle w:val="TableText"/>
              <w:keepNext/>
              <w:spacing w:before="0" w:after="0"/>
            </w:pPr>
            <w:r w:rsidRPr="00B41CDA">
              <w:t xml:space="preserve">No. HR+ HER2− patients tested </w:t>
            </w:r>
            <w:r w:rsidRPr="00B457CE">
              <w:t>(</w:t>
            </w:r>
            <w:r>
              <w:t>following</w:t>
            </w:r>
            <w:r w:rsidRPr="00B457CE">
              <w:t xml:space="preserve"> olaparib listing)</w:t>
            </w:r>
            <w:r>
              <w:t xml:space="preserve"> (I × K)</w:t>
            </w:r>
          </w:p>
        </w:tc>
        <w:tc>
          <w:tcPr>
            <w:tcW w:w="584" w:type="pct"/>
            <w:noWrap/>
          </w:tcPr>
          <w:p w14:paraId="7D445B2D" w14:textId="63EC5B66" w:rsidR="0017248B" w:rsidRPr="00157F55" w:rsidRDefault="00EE0D22"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5" w:type="pct"/>
            <w:noWrap/>
          </w:tcPr>
          <w:p w14:paraId="426ADB56" w14:textId="7D7B50D6" w:rsidR="0017248B" w:rsidRPr="00157F55" w:rsidRDefault="00A94B30" w:rsidP="004C2355">
            <w:pPr>
              <w:pStyle w:val="TableText"/>
              <w:keepNext/>
              <w:spacing w:before="0" w:after="0"/>
              <w:jc w:val="right"/>
            </w:pPr>
            <w:r w:rsidRPr="00AC2BEC">
              <w:rPr>
                <w:b/>
                <w:bCs/>
              </w:rPr>
              <w:t>redacted</w:t>
            </w:r>
            <w:r w:rsidRPr="00B41CDA" w:rsidDel="00925BDB">
              <w:t xml:space="preserve"> </w:t>
            </w:r>
            <w:r w:rsidRPr="00AC2BEC">
              <w:rPr>
                <w:vertAlign w:val="superscript"/>
              </w:rPr>
              <w:t>5</w:t>
            </w:r>
          </w:p>
        </w:tc>
        <w:tc>
          <w:tcPr>
            <w:tcW w:w="585" w:type="pct"/>
            <w:noWrap/>
          </w:tcPr>
          <w:p w14:paraId="186D542D" w14:textId="7ED91A73" w:rsidR="0017248B" w:rsidRPr="00157F55" w:rsidRDefault="00A94B30" w:rsidP="004C2355">
            <w:pPr>
              <w:pStyle w:val="TableText"/>
              <w:keepNext/>
              <w:spacing w:before="0" w:after="0"/>
              <w:jc w:val="right"/>
            </w:pPr>
            <w:r w:rsidRPr="00AC2BEC">
              <w:rPr>
                <w:b/>
                <w:bCs/>
              </w:rPr>
              <w:t>redacted</w:t>
            </w:r>
            <w:r w:rsidRPr="00B41CDA" w:rsidDel="00925BDB">
              <w:t xml:space="preserve"> </w:t>
            </w:r>
            <w:r w:rsidRPr="00AC2BEC">
              <w:rPr>
                <w:vertAlign w:val="superscript"/>
              </w:rPr>
              <w:t>5</w:t>
            </w:r>
          </w:p>
        </w:tc>
        <w:tc>
          <w:tcPr>
            <w:tcW w:w="584" w:type="pct"/>
            <w:noWrap/>
          </w:tcPr>
          <w:p w14:paraId="35430556" w14:textId="69D89F97" w:rsidR="0017248B" w:rsidRPr="00157F55" w:rsidRDefault="00A94B30" w:rsidP="004C2355">
            <w:pPr>
              <w:pStyle w:val="TableText"/>
              <w:keepNext/>
              <w:spacing w:before="0" w:after="0"/>
              <w:jc w:val="right"/>
            </w:pPr>
            <w:r w:rsidRPr="00AC2BEC">
              <w:rPr>
                <w:b/>
                <w:bCs/>
              </w:rPr>
              <w:t>redacted</w:t>
            </w:r>
            <w:r w:rsidRPr="00B41CDA" w:rsidDel="00925BDB">
              <w:t xml:space="preserve"> </w:t>
            </w:r>
            <w:r w:rsidRPr="00AC2BEC">
              <w:rPr>
                <w:vertAlign w:val="superscript"/>
              </w:rPr>
              <w:t>5</w:t>
            </w:r>
          </w:p>
        </w:tc>
        <w:tc>
          <w:tcPr>
            <w:tcW w:w="585" w:type="pct"/>
            <w:noWrap/>
          </w:tcPr>
          <w:p w14:paraId="6730768D" w14:textId="366F60C3" w:rsidR="0017248B" w:rsidRPr="00157F55" w:rsidRDefault="00A94B30" w:rsidP="004C2355">
            <w:pPr>
              <w:pStyle w:val="TableText"/>
              <w:keepNext/>
              <w:spacing w:before="0" w:after="0"/>
              <w:jc w:val="right"/>
            </w:pPr>
            <w:r w:rsidRPr="00AC2BEC">
              <w:rPr>
                <w:b/>
                <w:bCs/>
              </w:rPr>
              <w:t>redacted</w:t>
            </w:r>
            <w:r w:rsidRPr="00B41CDA" w:rsidDel="00925BDB">
              <w:t xml:space="preserve"> </w:t>
            </w:r>
            <w:r w:rsidRPr="00AC2BEC">
              <w:rPr>
                <w:vertAlign w:val="superscript"/>
              </w:rPr>
              <w:t>5</w:t>
            </w:r>
          </w:p>
        </w:tc>
        <w:tc>
          <w:tcPr>
            <w:tcW w:w="585" w:type="pct"/>
            <w:noWrap/>
          </w:tcPr>
          <w:p w14:paraId="4940F5E9" w14:textId="4E3FFC76" w:rsidR="0017248B" w:rsidRPr="00157F55" w:rsidRDefault="00A94B30" w:rsidP="004C2355">
            <w:pPr>
              <w:pStyle w:val="TableText"/>
              <w:keepNext/>
              <w:spacing w:before="0" w:after="0"/>
              <w:jc w:val="right"/>
            </w:pPr>
            <w:r w:rsidRPr="00AC2BEC">
              <w:rPr>
                <w:b/>
                <w:bCs/>
              </w:rPr>
              <w:t>redacted</w:t>
            </w:r>
            <w:r w:rsidRPr="00B41CDA" w:rsidDel="00925BDB">
              <w:t xml:space="preserve"> </w:t>
            </w:r>
            <w:r w:rsidRPr="00AC2BEC">
              <w:rPr>
                <w:vertAlign w:val="superscript"/>
              </w:rPr>
              <w:t>5</w:t>
            </w:r>
          </w:p>
        </w:tc>
      </w:tr>
      <w:tr w:rsidR="0017248B" w:rsidRPr="00157F55" w14:paraId="3BFF5DC4" w14:textId="77777777">
        <w:trPr>
          <w:trHeight w:val="20"/>
        </w:trPr>
        <w:tc>
          <w:tcPr>
            <w:tcW w:w="156" w:type="pct"/>
          </w:tcPr>
          <w:p w14:paraId="54D50A57" w14:textId="77777777" w:rsidR="0017248B" w:rsidRPr="00B41CDA" w:rsidRDefault="0017248B" w:rsidP="004C2355">
            <w:pPr>
              <w:pStyle w:val="TableText"/>
              <w:keepNext/>
              <w:spacing w:before="0" w:after="0"/>
            </w:pPr>
            <w:r>
              <w:t>M</w:t>
            </w:r>
          </w:p>
        </w:tc>
        <w:tc>
          <w:tcPr>
            <w:tcW w:w="1336" w:type="pct"/>
            <w:noWrap/>
          </w:tcPr>
          <w:p w14:paraId="0BFA96FB" w14:textId="0C401853" w:rsidR="0017248B" w:rsidRPr="00157F55" w:rsidRDefault="0017248B" w:rsidP="004C2355">
            <w:pPr>
              <w:pStyle w:val="TableText"/>
              <w:keepNext/>
              <w:spacing w:before="0" w:after="0"/>
            </w:pPr>
            <w:r w:rsidRPr="00B41CDA">
              <w:t xml:space="preserve">No. HR+ HER2− patients with </w:t>
            </w:r>
            <w:r w:rsidR="00E659A0" w:rsidRPr="000D659D">
              <w:rPr>
                <w:lang w:val="en-US"/>
              </w:rPr>
              <w:t>g</w:t>
            </w:r>
            <w:r w:rsidR="00E659A0" w:rsidRPr="000D659D">
              <w:rPr>
                <w:i/>
                <w:iCs/>
                <w:lang w:val="en-US"/>
              </w:rPr>
              <w:t>BRCA</w:t>
            </w:r>
            <w:r w:rsidR="00E659A0">
              <w:t xml:space="preserve"> </w:t>
            </w:r>
            <w:r>
              <w:t>variants</w:t>
            </w:r>
            <w:r w:rsidRPr="00B41CDA">
              <w:t xml:space="preserve"> (</w:t>
            </w:r>
            <w:r>
              <w:t>L × </w:t>
            </w:r>
            <w:r w:rsidRPr="00B41CDA">
              <w:t>5.0%)</w:t>
            </w:r>
          </w:p>
        </w:tc>
        <w:tc>
          <w:tcPr>
            <w:tcW w:w="584" w:type="pct"/>
            <w:noWrap/>
          </w:tcPr>
          <w:p w14:paraId="277ED9D3" w14:textId="07C51EFA" w:rsidR="0017248B" w:rsidRPr="00157F55" w:rsidRDefault="00B967B4" w:rsidP="004C2355">
            <w:pPr>
              <w:pStyle w:val="TableText"/>
              <w:keepNext/>
              <w:spacing w:before="0" w:after="0"/>
              <w:jc w:val="right"/>
            </w:pPr>
            <w:r w:rsidRPr="00AC2BEC">
              <w:rPr>
                <w:b/>
                <w:bCs/>
              </w:rPr>
              <w:t>redacted</w:t>
            </w:r>
            <w:r w:rsidRPr="00B41CDA" w:rsidDel="00925BDB">
              <w:t xml:space="preserve"> </w:t>
            </w:r>
            <w:r w:rsidRPr="00AC2BEC">
              <w:rPr>
                <w:vertAlign w:val="superscript"/>
              </w:rPr>
              <w:t>3</w:t>
            </w:r>
          </w:p>
        </w:tc>
        <w:tc>
          <w:tcPr>
            <w:tcW w:w="585" w:type="pct"/>
            <w:noWrap/>
          </w:tcPr>
          <w:p w14:paraId="487747CC" w14:textId="304203B6" w:rsidR="0017248B" w:rsidRPr="00157F55" w:rsidRDefault="00B967B4" w:rsidP="004C2355">
            <w:pPr>
              <w:pStyle w:val="TableText"/>
              <w:keepNext/>
              <w:spacing w:before="0" w:after="0"/>
              <w:jc w:val="right"/>
            </w:pPr>
            <w:r w:rsidRPr="00AC2BEC">
              <w:rPr>
                <w:b/>
                <w:bCs/>
              </w:rPr>
              <w:t>redacted</w:t>
            </w:r>
            <w:r w:rsidRPr="00B41CDA" w:rsidDel="00925BDB">
              <w:t xml:space="preserve"> </w:t>
            </w:r>
            <w:r w:rsidRPr="00AC2BEC">
              <w:rPr>
                <w:vertAlign w:val="superscript"/>
              </w:rPr>
              <w:t>3</w:t>
            </w:r>
          </w:p>
        </w:tc>
        <w:tc>
          <w:tcPr>
            <w:tcW w:w="585" w:type="pct"/>
            <w:noWrap/>
          </w:tcPr>
          <w:p w14:paraId="230A3647" w14:textId="6F951B01" w:rsidR="0017248B" w:rsidRPr="00157F55" w:rsidRDefault="00B967B4" w:rsidP="004C2355">
            <w:pPr>
              <w:pStyle w:val="TableText"/>
              <w:keepNext/>
              <w:spacing w:before="0" w:after="0"/>
              <w:jc w:val="right"/>
            </w:pPr>
            <w:r w:rsidRPr="00AC2BEC">
              <w:rPr>
                <w:b/>
                <w:bCs/>
              </w:rPr>
              <w:t>redacted</w:t>
            </w:r>
            <w:r w:rsidRPr="00B41CDA" w:rsidDel="00925BDB">
              <w:t xml:space="preserve"> </w:t>
            </w:r>
            <w:r w:rsidRPr="00AC2BEC">
              <w:rPr>
                <w:vertAlign w:val="superscript"/>
              </w:rPr>
              <w:t>3</w:t>
            </w:r>
          </w:p>
        </w:tc>
        <w:tc>
          <w:tcPr>
            <w:tcW w:w="584" w:type="pct"/>
            <w:noWrap/>
          </w:tcPr>
          <w:p w14:paraId="59D0FB1D" w14:textId="4639F6EA" w:rsidR="0017248B" w:rsidRPr="00157F55" w:rsidRDefault="00B967B4" w:rsidP="004C2355">
            <w:pPr>
              <w:pStyle w:val="TableText"/>
              <w:keepNext/>
              <w:spacing w:before="0" w:after="0"/>
              <w:jc w:val="right"/>
            </w:pPr>
            <w:r w:rsidRPr="00AC2BEC">
              <w:rPr>
                <w:b/>
                <w:bCs/>
              </w:rPr>
              <w:t>redacted</w:t>
            </w:r>
            <w:r w:rsidRPr="00B41CDA" w:rsidDel="00925BDB">
              <w:t xml:space="preserve"> </w:t>
            </w:r>
            <w:r w:rsidRPr="00AC2BEC">
              <w:rPr>
                <w:vertAlign w:val="superscript"/>
              </w:rPr>
              <w:t>3</w:t>
            </w:r>
          </w:p>
        </w:tc>
        <w:tc>
          <w:tcPr>
            <w:tcW w:w="585" w:type="pct"/>
            <w:noWrap/>
          </w:tcPr>
          <w:p w14:paraId="413E5FA7" w14:textId="38C24B18" w:rsidR="0017248B" w:rsidRPr="00157F55" w:rsidRDefault="00B967B4" w:rsidP="004C2355">
            <w:pPr>
              <w:pStyle w:val="TableText"/>
              <w:keepNext/>
              <w:spacing w:before="0" w:after="0"/>
              <w:jc w:val="right"/>
            </w:pPr>
            <w:r w:rsidRPr="00AC2BEC">
              <w:rPr>
                <w:b/>
                <w:bCs/>
              </w:rPr>
              <w:t>redacted</w:t>
            </w:r>
            <w:r w:rsidRPr="00B41CDA" w:rsidDel="00925BDB">
              <w:t xml:space="preserve"> </w:t>
            </w:r>
            <w:r w:rsidRPr="00AC2BEC">
              <w:rPr>
                <w:vertAlign w:val="superscript"/>
              </w:rPr>
              <w:t>3</w:t>
            </w:r>
          </w:p>
        </w:tc>
        <w:tc>
          <w:tcPr>
            <w:tcW w:w="585" w:type="pct"/>
            <w:noWrap/>
          </w:tcPr>
          <w:p w14:paraId="10E85486" w14:textId="594F5CF9" w:rsidR="0017248B" w:rsidRPr="00157F55" w:rsidRDefault="00B967B4" w:rsidP="004C2355">
            <w:pPr>
              <w:pStyle w:val="TableText"/>
              <w:keepNext/>
              <w:spacing w:before="0" w:after="0"/>
              <w:jc w:val="right"/>
            </w:pPr>
            <w:r w:rsidRPr="00AC2BEC">
              <w:rPr>
                <w:b/>
                <w:bCs/>
              </w:rPr>
              <w:t>redacted</w:t>
            </w:r>
            <w:r w:rsidRPr="00B41CDA" w:rsidDel="00925BDB">
              <w:t xml:space="preserve"> </w:t>
            </w:r>
            <w:r w:rsidRPr="00AC2BEC">
              <w:rPr>
                <w:vertAlign w:val="superscript"/>
              </w:rPr>
              <w:t>3</w:t>
            </w:r>
          </w:p>
        </w:tc>
      </w:tr>
      <w:tr w:rsidR="0017248B" w:rsidRPr="00157F55" w14:paraId="457AF814" w14:textId="77777777">
        <w:trPr>
          <w:trHeight w:val="20"/>
        </w:trPr>
        <w:tc>
          <w:tcPr>
            <w:tcW w:w="156" w:type="pct"/>
          </w:tcPr>
          <w:p w14:paraId="4EBCEDD0" w14:textId="77777777" w:rsidR="0017248B" w:rsidRPr="00B41CDA" w:rsidRDefault="0017248B" w:rsidP="004C2355">
            <w:pPr>
              <w:pStyle w:val="TableText"/>
              <w:keepNext/>
              <w:spacing w:before="0" w:after="0"/>
            </w:pPr>
            <w:r>
              <w:t>N</w:t>
            </w:r>
          </w:p>
        </w:tc>
        <w:tc>
          <w:tcPr>
            <w:tcW w:w="1336" w:type="pct"/>
            <w:noWrap/>
          </w:tcPr>
          <w:p w14:paraId="40FC1496" w14:textId="333F70FA" w:rsidR="0017248B" w:rsidRPr="00157F55" w:rsidRDefault="0017248B" w:rsidP="004C2355">
            <w:pPr>
              <w:pStyle w:val="TableText"/>
              <w:keepNext/>
              <w:spacing w:before="0" w:after="0"/>
            </w:pPr>
            <w:r w:rsidRPr="00B42507">
              <w:t>Total no. patients tested following olaparib listing</w:t>
            </w:r>
            <w:r>
              <w:t xml:space="preserve"> (F + L)</w:t>
            </w:r>
          </w:p>
        </w:tc>
        <w:tc>
          <w:tcPr>
            <w:tcW w:w="584" w:type="pct"/>
            <w:noWrap/>
          </w:tcPr>
          <w:p w14:paraId="21AE9809" w14:textId="54AE95EC" w:rsidR="0017248B" w:rsidRPr="00157F55" w:rsidRDefault="00A94B30" w:rsidP="004C2355">
            <w:pPr>
              <w:pStyle w:val="TableText"/>
              <w:keepNext/>
              <w:spacing w:before="0" w:after="0"/>
              <w:jc w:val="right"/>
            </w:pPr>
            <w:r w:rsidRPr="00AC2BEC">
              <w:rPr>
                <w:b/>
                <w:bCs/>
              </w:rPr>
              <w:t>redacted</w:t>
            </w:r>
            <w:r w:rsidRPr="00B41CDA" w:rsidDel="00925BDB">
              <w:t xml:space="preserve"> </w:t>
            </w:r>
            <w:r w:rsidRPr="00AC2BEC">
              <w:rPr>
                <w:vertAlign w:val="superscript"/>
              </w:rPr>
              <w:t>5</w:t>
            </w:r>
          </w:p>
        </w:tc>
        <w:tc>
          <w:tcPr>
            <w:tcW w:w="585" w:type="pct"/>
            <w:noWrap/>
          </w:tcPr>
          <w:p w14:paraId="420B4711" w14:textId="48BA53ED" w:rsidR="0017248B" w:rsidRPr="00157F55" w:rsidRDefault="00A94B30" w:rsidP="004C2355">
            <w:pPr>
              <w:pStyle w:val="TableText"/>
              <w:keepNext/>
              <w:spacing w:before="0" w:after="0"/>
              <w:jc w:val="right"/>
            </w:pPr>
            <w:r w:rsidRPr="00AC2BEC">
              <w:rPr>
                <w:b/>
                <w:bCs/>
              </w:rPr>
              <w:t>redacted</w:t>
            </w:r>
            <w:r w:rsidRPr="00B41CDA" w:rsidDel="00925BDB">
              <w:t xml:space="preserve"> </w:t>
            </w:r>
            <w:r w:rsidRPr="00AC2BEC">
              <w:rPr>
                <w:vertAlign w:val="superscript"/>
              </w:rPr>
              <w:t>5</w:t>
            </w:r>
          </w:p>
        </w:tc>
        <w:tc>
          <w:tcPr>
            <w:tcW w:w="585" w:type="pct"/>
            <w:noWrap/>
          </w:tcPr>
          <w:p w14:paraId="45B2410D" w14:textId="2F329918" w:rsidR="0017248B" w:rsidRPr="00157F55" w:rsidRDefault="00A94B30" w:rsidP="004C2355">
            <w:pPr>
              <w:pStyle w:val="TableText"/>
              <w:keepNext/>
              <w:spacing w:before="0" w:after="0"/>
              <w:jc w:val="right"/>
            </w:pPr>
            <w:r w:rsidRPr="00AC2BEC">
              <w:rPr>
                <w:b/>
                <w:bCs/>
              </w:rPr>
              <w:t>redacted</w:t>
            </w:r>
            <w:r w:rsidRPr="00B41CDA" w:rsidDel="00925BDB">
              <w:t xml:space="preserve"> </w:t>
            </w:r>
            <w:r w:rsidRPr="00AC2BEC">
              <w:rPr>
                <w:vertAlign w:val="superscript"/>
              </w:rPr>
              <w:t>5</w:t>
            </w:r>
          </w:p>
        </w:tc>
        <w:tc>
          <w:tcPr>
            <w:tcW w:w="584" w:type="pct"/>
            <w:noWrap/>
          </w:tcPr>
          <w:p w14:paraId="62765C73" w14:textId="4327FA12" w:rsidR="0017248B" w:rsidRPr="00157F55" w:rsidRDefault="00A94B30" w:rsidP="004C2355">
            <w:pPr>
              <w:pStyle w:val="TableText"/>
              <w:keepNext/>
              <w:spacing w:before="0" w:after="0"/>
              <w:jc w:val="right"/>
            </w:pPr>
            <w:r w:rsidRPr="00AC2BEC">
              <w:rPr>
                <w:b/>
                <w:bCs/>
              </w:rPr>
              <w:t>redacted</w:t>
            </w:r>
            <w:r w:rsidRPr="00B41CDA" w:rsidDel="00925BDB">
              <w:t xml:space="preserve"> </w:t>
            </w:r>
            <w:r w:rsidRPr="00AC2BEC">
              <w:rPr>
                <w:vertAlign w:val="superscript"/>
              </w:rPr>
              <w:t>5</w:t>
            </w:r>
          </w:p>
        </w:tc>
        <w:tc>
          <w:tcPr>
            <w:tcW w:w="585" w:type="pct"/>
            <w:noWrap/>
          </w:tcPr>
          <w:p w14:paraId="71C5819D" w14:textId="6FB161E6" w:rsidR="0017248B" w:rsidRPr="00157F55" w:rsidRDefault="00A94B30" w:rsidP="004C2355">
            <w:pPr>
              <w:pStyle w:val="TableText"/>
              <w:keepNext/>
              <w:spacing w:before="0" w:after="0"/>
              <w:jc w:val="right"/>
            </w:pPr>
            <w:r w:rsidRPr="00AC2BEC">
              <w:rPr>
                <w:b/>
                <w:bCs/>
              </w:rPr>
              <w:t>redacted</w:t>
            </w:r>
            <w:r w:rsidRPr="00B41CDA" w:rsidDel="00925BDB">
              <w:t xml:space="preserve"> </w:t>
            </w:r>
            <w:r w:rsidRPr="00AC2BEC">
              <w:rPr>
                <w:vertAlign w:val="superscript"/>
              </w:rPr>
              <w:t>5</w:t>
            </w:r>
          </w:p>
        </w:tc>
        <w:tc>
          <w:tcPr>
            <w:tcW w:w="585" w:type="pct"/>
            <w:noWrap/>
          </w:tcPr>
          <w:p w14:paraId="410A5C12" w14:textId="754888A2" w:rsidR="0017248B" w:rsidRPr="00157F55" w:rsidRDefault="007116D1" w:rsidP="004C2355">
            <w:pPr>
              <w:pStyle w:val="TableText"/>
              <w:keepNext/>
              <w:spacing w:before="0" w:after="0"/>
              <w:jc w:val="right"/>
            </w:pPr>
            <w:r w:rsidRPr="00AC2BEC">
              <w:rPr>
                <w:b/>
                <w:bCs/>
              </w:rPr>
              <w:t>redacted</w:t>
            </w:r>
            <w:r w:rsidRPr="007116D1">
              <w:rPr>
                <w:vertAlign w:val="superscript"/>
              </w:rPr>
              <w:t xml:space="preserve"> 4</w:t>
            </w:r>
          </w:p>
        </w:tc>
      </w:tr>
      <w:tr w:rsidR="0017248B" w:rsidRPr="00157F55" w14:paraId="23BFD982" w14:textId="77777777">
        <w:trPr>
          <w:trHeight w:val="20"/>
        </w:trPr>
        <w:tc>
          <w:tcPr>
            <w:tcW w:w="156" w:type="pct"/>
          </w:tcPr>
          <w:p w14:paraId="198BF36E" w14:textId="77777777" w:rsidR="0017248B" w:rsidRPr="00B41CDA" w:rsidRDefault="0017248B" w:rsidP="004C2355">
            <w:pPr>
              <w:pStyle w:val="TableText"/>
              <w:keepNext/>
              <w:spacing w:before="0" w:after="0"/>
            </w:pPr>
            <w:r>
              <w:t>O</w:t>
            </w:r>
          </w:p>
        </w:tc>
        <w:tc>
          <w:tcPr>
            <w:tcW w:w="1336" w:type="pct"/>
            <w:noWrap/>
          </w:tcPr>
          <w:p w14:paraId="29068679" w14:textId="17BD9A35" w:rsidR="0017248B" w:rsidRPr="00157F55" w:rsidRDefault="0017248B" w:rsidP="004C2355">
            <w:pPr>
              <w:pStyle w:val="TableText"/>
              <w:keepNext/>
              <w:spacing w:before="0" w:after="0"/>
            </w:pPr>
            <w:r w:rsidRPr="00B42507">
              <w:t xml:space="preserve">Total no. patients tested in absence of olaparib listing </w:t>
            </w:r>
            <w:r>
              <w:t>(D + J)</w:t>
            </w:r>
          </w:p>
        </w:tc>
        <w:tc>
          <w:tcPr>
            <w:tcW w:w="584" w:type="pct"/>
            <w:noWrap/>
          </w:tcPr>
          <w:p w14:paraId="7A619CAE" w14:textId="03059AD6" w:rsidR="0017248B" w:rsidRPr="00157F55" w:rsidRDefault="00031883"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5" w:type="pct"/>
            <w:noWrap/>
          </w:tcPr>
          <w:p w14:paraId="0DC4BF6B" w14:textId="0911B4F9" w:rsidR="0017248B" w:rsidRPr="00157F55" w:rsidRDefault="00031883"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5" w:type="pct"/>
            <w:noWrap/>
          </w:tcPr>
          <w:p w14:paraId="4FF01741" w14:textId="075874E7" w:rsidR="0017248B" w:rsidRPr="00157F55" w:rsidRDefault="00031883"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4" w:type="pct"/>
            <w:noWrap/>
          </w:tcPr>
          <w:p w14:paraId="48B8F8F9" w14:textId="67896E1D" w:rsidR="0017248B" w:rsidRPr="00157F55" w:rsidRDefault="00031883"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5" w:type="pct"/>
            <w:noWrap/>
          </w:tcPr>
          <w:p w14:paraId="7B34328F" w14:textId="1E5245ED" w:rsidR="0017248B" w:rsidRPr="00157F55" w:rsidRDefault="00031883"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c>
          <w:tcPr>
            <w:tcW w:w="585" w:type="pct"/>
            <w:noWrap/>
          </w:tcPr>
          <w:p w14:paraId="1C848A71" w14:textId="2D7EDCDD" w:rsidR="0017248B" w:rsidRPr="00157F55" w:rsidRDefault="00031883" w:rsidP="004C2355">
            <w:pPr>
              <w:pStyle w:val="TableText"/>
              <w:keepNext/>
              <w:spacing w:before="0" w:after="0"/>
              <w:jc w:val="right"/>
            </w:pPr>
            <w:r w:rsidRPr="00AC2BEC">
              <w:rPr>
                <w:b/>
                <w:bCs/>
              </w:rPr>
              <w:t>redacted</w:t>
            </w:r>
            <w:r w:rsidRPr="00B41CDA" w:rsidDel="00925BDB">
              <w:t xml:space="preserve"> </w:t>
            </w:r>
            <w:r w:rsidRPr="00AC2BEC">
              <w:rPr>
                <w:vertAlign w:val="superscript"/>
              </w:rPr>
              <w:t>2</w:t>
            </w:r>
          </w:p>
        </w:tc>
      </w:tr>
      <w:tr w:rsidR="0017248B" w:rsidRPr="009808BA" w14:paraId="1DE617C9" w14:textId="77777777">
        <w:trPr>
          <w:trHeight w:val="20"/>
        </w:trPr>
        <w:tc>
          <w:tcPr>
            <w:tcW w:w="156" w:type="pct"/>
          </w:tcPr>
          <w:p w14:paraId="12081C82" w14:textId="77777777" w:rsidR="0017248B" w:rsidRPr="009808BA" w:rsidRDefault="0017248B" w:rsidP="004C2355">
            <w:pPr>
              <w:pStyle w:val="TableText"/>
              <w:keepNext/>
              <w:spacing w:before="0" w:after="0"/>
              <w:rPr>
                <w:b/>
                <w:bCs/>
              </w:rPr>
            </w:pPr>
            <w:r w:rsidRPr="009808BA">
              <w:rPr>
                <w:b/>
              </w:rPr>
              <w:t>P</w:t>
            </w:r>
          </w:p>
        </w:tc>
        <w:tc>
          <w:tcPr>
            <w:tcW w:w="1336" w:type="pct"/>
            <w:noWrap/>
          </w:tcPr>
          <w:p w14:paraId="5C3A5741" w14:textId="065C97F0" w:rsidR="0017248B" w:rsidRPr="009808BA" w:rsidRDefault="0017248B" w:rsidP="004C2355">
            <w:pPr>
              <w:pStyle w:val="TableText"/>
              <w:keepNext/>
              <w:spacing w:before="0" w:after="0"/>
              <w:rPr>
                <w:b/>
                <w:bCs/>
              </w:rPr>
            </w:pPr>
            <w:r w:rsidRPr="00B42507">
              <w:rPr>
                <w:b/>
              </w:rPr>
              <w:t xml:space="preserve">Change in use of testing due to listing of olaparib </w:t>
            </w:r>
            <w:r w:rsidRPr="009808BA">
              <w:rPr>
                <w:b/>
              </w:rPr>
              <w:t>(N – O)</w:t>
            </w:r>
          </w:p>
        </w:tc>
        <w:tc>
          <w:tcPr>
            <w:tcW w:w="584" w:type="pct"/>
            <w:noWrap/>
          </w:tcPr>
          <w:p w14:paraId="45324303" w14:textId="76EBE0AD" w:rsidR="0017248B" w:rsidRPr="009808BA" w:rsidRDefault="00031883" w:rsidP="004C2355">
            <w:pPr>
              <w:pStyle w:val="TableText"/>
              <w:keepNext/>
              <w:spacing w:before="0" w:after="0"/>
              <w:jc w:val="right"/>
              <w:rPr>
                <w:b/>
                <w:bCs/>
              </w:rPr>
            </w:pPr>
            <w:r w:rsidRPr="00AC2BEC">
              <w:rPr>
                <w:b/>
                <w:bCs/>
              </w:rPr>
              <w:t>redacted</w:t>
            </w:r>
            <w:r w:rsidRPr="00B41CDA" w:rsidDel="00925BDB">
              <w:t xml:space="preserve"> </w:t>
            </w:r>
            <w:r w:rsidRPr="00AC2BEC">
              <w:rPr>
                <w:vertAlign w:val="superscript"/>
              </w:rPr>
              <w:t>2</w:t>
            </w:r>
          </w:p>
        </w:tc>
        <w:tc>
          <w:tcPr>
            <w:tcW w:w="585" w:type="pct"/>
            <w:noWrap/>
          </w:tcPr>
          <w:p w14:paraId="3441A13C" w14:textId="5217373F" w:rsidR="0017248B" w:rsidRPr="009808BA" w:rsidRDefault="00031883" w:rsidP="004C2355">
            <w:pPr>
              <w:pStyle w:val="TableText"/>
              <w:keepNext/>
              <w:spacing w:before="0" w:after="0"/>
              <w:jc w:val="right"/>
              <w:rPr>
                <w:b/>
                <w:bCs/>
              </w:rPr>
            </w:pPr>
            <w:r w:rsidRPr="00AC2BEC">
              <w:rPr>
                <w:b/>
                <w:bCs/>
              </w:rPr>
              <w:t>redacted</w:t>
            </w:r>
            <w:r w:rsidRPr="00B41CDA" w:rsidDel="00925BDB">
              <w:t xml:space="preserve"> </w:t>
            </w:r>
            <w:r w:rsidRPr="00AC2BEC">
              <w:rPr>
                <w:vertAlign w:val="superscript"/>
              </w:rPr>
              <w:t>2</w:t>
            </w:r>
          </w:p>
        </w:tc>
        <w:tc>
          <w:tcPr>
            <w:tcW w:w="585" w:type="pct"/>
            <w:noWrap/>
          </w:tcPr>
          <w:p w14:paraId="54D337CA" w14:textId="5FAF4307" w:rsidR="0017248B" w:rsidRPr="009808BA" w:rsidRDefault="00031883" w:rsidP="004C2355">
            <w:pPr>
              <w:pStyle w:val="TableText"/>
              <w:keepNext/>
              <w:spacing w:before="0" w:after="0"/>
              <w:jc w:val="right"/>
              <w:rPr>
                <w:b/>
                <w:bCs/>
              </w:rPr>
            </w:pPr>
            <w:r w:rsidRPr="00AC2BEC">
              <w:rPr>
                <w:b/>
                <w:bCs/>
              </w:rPr>
              <w:t>redacted</w:t>
            </w:r>
            <w:r w:rsidRPr="00B41CDA" w:rsidDel="00925BDB">
              <w:t xml:space="preserve"> </w:t>
            </w:r>
            <w:r w:rsidRPr="00AC2BEC">
              <w:rPr>
                <w:vertAlign w:val="superscript"/>
              </w:rPr>
              <w:t>2</w:t>
            </w:r>
          </w:p>
        </w:tc>
        <w:tc>
          <w:tcPr>
            <w:tcW w:w="584" w:type="pct"/>
            <w:noWrap/>
          </w:tcPr>
          <w:p w14:paraId="461014AD" w14:textId="61AB46E5" w:rsidR="0017248B" w:rsidRPr="009808BA" w:rsidRDefault="00A94B30" w:rsidP="004C2355">
            <w:pPr>
              <w:pStyle w:val="TableText"/>
              <w:keepNext/>
              <w:spacing w:before="0" w:after="0"/>
              <w:jc w:val="right"/>
              <w:rPr>
                <w:b/>
                <w:bCs/>
              </w:rPr>
            </w:pPr>
            <w:r w:rsidRPr="00AC2BEC">
              <w:rPr>
                <w:b/>
                <w:bCs/>
              </w:rPr>
              <w:t>redacted</w:t>
            </w:r>
            <w:r w:rsidRPr="00B41CDA" w:rsidDel="00925BDB">
              <w:t xml:space="preserve"> </w:t>
            </w:r>
            <w:r w:rsidRPr="00AC2BEC">
              <w:rPr>
                <w:vertAlign w:val="superscript"/>
              </w:rPr>
              <w:t>5</w:t>
            </w:r>
          </w:p>
        </w:tc>
        <w:tc>
          <w:tcPr>
            <w:tcW w:w="585" w:type="pct"/>
            <w:noWrap/>
          </w:tcPr>
          <w:p w14:paraId="71F617F2" w14:textId="02CBB9DA" w:rsidR="0017248B" w:rsidRPr="009808BA" w:rsidRDefault="00A94B30" w:rsidP="004C2355">
            <w:pPr>
              <w:pStyle w:val="TableText"/>
              <w:keepNext/>
              <w:spacing w:before="0" w:after="0"/>
              <w:jc w:val="right"/>
              <w:rPr>
                <w:b/>
                <w:bCs/>
              </w:rPr>
            </w:pPr>
            <w:r w:rsidRPr="00AC2BEC">
              <w:rPr>
                <w:b/>
                <w:bCs/>
              </w:rPr>
              <w:t>redacted</w:t>
            </w:r>
            <w:r w:rsidRPr="00B41CDA" w:rsidDel="00925BDB">
              <w:t xml:space="preserve"> </w:t>
            </w:r>
            <w:r w:rsidRPr="00AC2BEC">
              <w:rPr>
                <w:vertAlign w:val="superscript"/>
              </w:rPr>
              <w:t>5</w:t>
            </w:r>
          </w:p>
        </w:tc>
        <w:tc>
          <w:tcPr>
            <w:tcW w:w="585" w:type="pct"/>
            <w:noWrap/>
          </w:tcPr>
          <w:p w14:paraId="09019CB9" w14:textId="591BC844" w:rsidR="0017248B" w:rsidRPr="009808BA" w:rsidRDefault="00A94B30" w:rsidP="004C2355">
            <w:pPr>
              <w:pStyle w:val="TableText"/>
              <w:keepNext/>
              <w:spacing w:before="0" w:after="0"/>
              <w:jc w:val="right"/>
              <w:rPr>
                <w:b/>
                <w:bCs/>
              </w:rPr>
            </w:pPr>
            <w:r w:rsidRPr="00AC2BEC">
              <w:rPr>
                <w:b/>
                <w:bCs/>
              </w:rPr>
              <w:t>redacted</w:t>
            </w:r>
            <w:r w:rsidRPr="00B41CDA" w:rsidDel="00925BDB">
              <w:t xml:space="preserve"> </w:t>
            </w:r>
            <w:r w:rsidRPr="00AC2BEC">
              <w:rPr>
                <w:vertAlign w:val="superscript"/>
              </w:rPr>
              <w:t>5</w:t>
            </w:r>
          </w:p>
        </w:tc>
      </w:tr>
      <w:tr w:rsidR="0017248B" w:rsidRPr="00157F55" w14:paraId="4197B46C" w14:textId="77777777">
        <w:trPr>
          <w:trHeight w:val="20"/>
        </w:trPr>
        <w:tc>
          <w:tcPr>
            <w:tcW w:w="156" w:type="pct"/>
          </w:tcPr>
          <w:p w14:paraId="1F2B44CD" w14:textId="77777777" w:rsidR="0017248B" w:rsidRPr="00B41CDA" w:rsidRDefault="0017248B" w:rsidP="004C2355">
            <w:pPr>
              <w:pStyle w:val="TableText"/>
              <w:keepNext/>
              <w:spacing w:before="0" w:after="0"/>
            </w:pPr>
          </w:p>
        </w:tc>
        <w:tc>
          <w:tcPr>
            <w:tcW w:w="1336" w:type="pct"/>
            <w:noWrap/>
          </w:tcPr>
          <w:p w14:paraId="59FB2A96" w14:textId="37CAA19A" w:rsidR="0017248B" w:rsidRPr="00157F55" w:rsidRDefault="0017248B" w:rsidP="004C2355">
            <w:pPr>
              <w:pStyle w:val="TableText"/>
              <w:keepNext/>
              <w:spacing w:before="0" w:after="0"/>
            </w:pPr>
            <w:r w:rsidRPr="00B41CDA">
              <w:t>Cost of</w:t>
            </w:r>
            <w:r>
              <w:t xml:space="preserve"> incremental</w:t>
            </w:r>
            <w:r w:rsidRPr="00B41CDA">
              <w:t xml:space="preserve"> testing to the MBS (</w:t>
            </w:r>
            <w:r>
              <w:t>P × </w:t>
            </w:r>
            <w:r w:rsidRPr="00B41CDA">
              <w:t>$850.00</w:t>
            </w:r>
            <w:r>
              <w:t>)</w:t>
            </w:r>
          </w:p>
        </w:tc>
        <w:tc>
          <w:tcPr>
            <w:tcW w:w="584" w:type="pct"/>
            <w:noWrap/>
          </w:tcPr>
          <w:p w14:paraId="139DAC97" w14:textId="12C16A26" w:rsidR="0017248B" w:rsidRPr="00157F55" w:rsidRDefault="00A9386E" w:rsidP="004C2355">
            <w:pPr>
              <w:pStyle w:val="TableText"/>
              <w:keepNext/>
              <w:spacing w:before="0" w:after="0"/>
              <w:jc w:val="right"/>
            </w:pPr>
            <w:r w:rsidRPr="00AC2BEC">
              <w:rPr>
                <w:b/>
                <w:bCs/>
              </w:rPr>
              <w:t>redacted</w:t>
            </w:r>
            <w:r w:rsidRPr="00B41CDA" w:rsidDel="00925BDB">
              <w:t xml:space="preserve"> </w:t>
            </w:r>
            <w:r w:rsidRPr="00771162">
              <w:rPr>
                <w:vertAlign w:val="superscript"/>
              </w:rPr>
              <w:t>6</w:t>
            </w:r>
          </w:p>
        </w:tc>
        <w:tc>
          <w:tcPr>
            <w:tcW w:w="585" w:type="pct"/>
            <w:noWrap/>
          </w:tcPr>
          <w:p w14:paraId="22F2C625" w14:textId="2111F6DE" w:rsidR="0017248B" w:rsidRPr="00157F55" w:rsidRDefault="00A9386E" w:rsidP="004C2355">
            <w:pPr>
              <w:pStyle w:val="TableText"/>
              <w:keepNext/>
              <w:spacing w:before="0" w:after="0"/>
              <w:jc w:val="right"/>
            </w:pPr>
            <w:r w:rsidRPr="00AC2BEC">
              <w:rPr>
                <w:b/>
                <w:bCs/>
              </w:rPr>
              <w:t xml:space="preserve"> redacted</w:t>
            </w:r>
            <w:r w:rsidRPr="00B41CDA" w:rsidDel="00925BDB">
              <w:t xml:space="preserve"> </w:t>
            </w:r>
            <w:r w:rsidRPr="00AC2BEC">
              <w:rPr>
                <w:vertAlign w:val="superscript"/>
              </w:rPr>
              <w:t>6</w:t>
            </w:r>
          </w:p>
        </w:tc>
        <w:tc>
          <w:tcPr>
            <w:tcW w:w="585" w:type="pct"/>
            <w:noWrap/>
          </w:tcPr>
          <w:p w14:paraId="56A83023" w14:textId="49386BEE" w:rsidR="0017248B" w:rsidRPr="00157F55" w:rsidRDefault="00A9386E" w:rsidP="004C2355">
            <w:pPr>
              <w:pStyle w:val="TableText"/>
              <w:keepNext/>
              <w:spacing w:before="0" w:after="0"/>
              <w:jc w:val="right"/>
            </w:pPr>
            <w:r w:rsidRPr="00AC2BEC">
              <w:rPr>
                <w:b/>
                <w:bCs/>
              </w:rPr>
              <w:t>redacted</w:t>
            </w:r>
            <w:r w:rsidRPr="00B41CDA" w:rsidDel="00925BDB">
              <w:t xml:space="preserve"> </w:t>
            </w:r>
            <w:r w:rsidRPr="00AC2BEC">
              <w:rPr>
                <w:vertAlign w:val="superscript"/>
              </w:rPr>
              <w:t>6</w:t>
            </w:r>
            <w:r w:rsidR="005957EA" w:rsidRPr="00771162">
              <w:rPr>
                <w:vertAlign w:val="superscript"/>
              </w:rPr>
              <w:t xml:space="preserve"> </w:t>
            </w:r>
          </w:p>
        </w:tc>
        <w:tc>
          <w:tcPr>
            <w:tcW w:w="584" w:type="pct"/>
            <w:noWrap/>
          </w:tcPr>
          <w:p w14:paraId="0D4B9F7C" w14:textId="149155AA" w:rsidR="0017248B" w:rsidRPr="00157F55" w:rsidRDefault="00A9386E" w:rsidP="004C2355">
            <w:pPr>
              <w:pStyle w:val="TableText"/>
              <w:keepNext/>
              <w:spacing w:before="0" w:after="0"/>
              <w:jc w:val="right"/>
            </w:pPr>
            <w:r w:rsidRPr="00AC2BEC">
              <w:rPr>
                <w:b/>
                <w:bCs/>
              </w:rPr>
              <w:t>redacted</w:t>
            </w:r>
            <w:r w:rsidRPr="00B41CDA" w:rsidDel="00925BDB">
              <w:t xml:space="preserve"> </w:t>
            </w:r>
            <w:r w:rsidRPr="00AC2BEC">
              <w:rPr>
                <w:vertAlign w:val="superscript"/>
              </w:rPr>
              <w:t>6</w:t>
            </w:r>
          </w:p>
        </w:tc>
        <w:tc>
          <w:tcPr>
            <w:tcW w:w="585" w:type="pct"/>
            <w:noWrap/>
          </w:tcPr>
          <w:p w14:paraId="293219B0" w14:textId="26902A2F" w:rsidR="0017248B" w:rsidRPr="00157F55" w:rsidRDefault="00A9386E" w:rsidP="004C2355">
            <w:pPr>
              <w:pStyle w:val="TableText"/>
              <w:keepNext/>
              <w:spacing w:before="0" w:after="0"/>
              <w:jc w:val="right"/>
            </w:pPr>
            <w:r w:rsidRPr="00AC2BEC">
              <w:rPr>
                <w:b/>
                <w:bCs/>
              </w:rPr>
              <w:t>redacted</w:t>
            </w:r>
            <w:r w:rsidRPr="00B41CDA" w:rsidDel="00925BDB">
              <w:t xml:space="preserve"> </w:t>
            </w:r>
            <w:r w:rsidRPr="00AC2BEC">
              <w:rPr>
                <w:vertAlign w:val="superscript"/>
              </w:rPr>
              <w:t>6</w:t>
            </w:r>
          </w:p>
        </w:tc>
        <w:tc>
          <w:tcPr>
            <w:tcW w:w="585" w:type="pct"/>
            <w:noWrap/>
          </w:tcPr>
          <w:p w14:paraId="02102CEA" w14:textId="7BC13E67" w:rsidR="0017248B" w:rsidRPr="00157F55" w:rsidRDefault="00A9386E" w:rsidP="004C2355">
            <w:pPr>
              <w:pStyle w:val="TableText"/>
              <w:keepNext/>
              <w:spacing w:before="0" w:after="0"/>
              <w:jc w:val="right"/>
            </w:pPr>
            <w:r w:rsidRPr="00AC2BEC">
              <w:rPr>
                <w:b/>
                <w:bCs/>
              </w:rPr>
              <w:t>redacted</w:t>
            </w:r>
            <w:r w:rsidRPr="00B41CDA" w:rsidDel="00925BDB">
              <w:t xml:space="preserve"> </w:t>
            </w:r>
            <w:r w:rsidRPr="00AC2BEC">
              <w:rPr>
                <w:vertAlign w:val="superscript"/>
              </w:rPr>
              <w:t>6</w:t>
            </w:r>
          </w:p>
        </w:tc>
      </w:tr>
      <w:tr w:rsidR="0017248B" w:rsidRPr="00EB3599" w14:paraId="7F7A783A" w14:textId="77777777">
        <w:trPr>
          <w:trHeight w:val="20"/>
        </w:trPr>
        <w:tc>
          <w:tcPr>
            <w:tcW w:w="156" w:type="pct"/>
          </w:tcPr>
          <w:p w14:paraId="73F15B8A" w14:textId="77777777" w:rsidR="0017248B" w:rsidRPr="00EB3599" w:rsidRDefault="0017248B" w:rsidP="004C2355">
            <w:pPr>
              <w:pStyle w:val="TableText"/>
              <w:keepNext/>
              <w:spacing w:before="0" w:after="0"/>
              <w:rPr>
                <w:i/>
                <w:iCs/>
              </w:rPr>
            </w:pPr>
          </w:p>
        </w:tc>
        <w:tc>
          <w:tcPr>
            <w:tcW w:w="1336" w:type="pct"/>
            <w:noWrap/>
          </w:tcPr>
          <w:p w14:paraId="0D51B8D8" w14:textId="53FF1FCF" w:rsidR="0017248B" w:rsidRPr="00EB3599" w:rsidRDefault="0017248B" w:rsidP="004C2355">
            <w:pPr>
              <w:pStyle w:val="TableText"/>
              <w:spacing w:before="0" w:after="0"/>
              <w:ind w:left="167"/>
              <w:rPr>
                <w:i/>
                <w:iCs/>
              </w:rPr>
            </w:pPr>
            <w:r w:rsidRPr="00EB3599">
              <w:rPr>
                <w:i/>
                <w:iCs/>
              </w:rPr>
              <w:t>Revised (</w:t>
            </w:r>
            <w:r>
              <w:rPr>
                <w:i/>
                <w:iCs/>
              </w:rPr>
              <w:t>P </w:t>
            </w:r>
            <w:r w:rsidRPr="006C6A23">
              <w:rPr>
                <w:i/>
                <w:iCs/>
              </w:rPr>
              <w:t>×</w:t>
            </w:r>
            <w:r>
              <w:rPr>
                <w:i/>
                <w:iCs/>
              </w:rPr>
              <w:t> </w:t>
            </w:r>
            <w:r w:rsidRPr="00EB3599">
              <w:rPr>
                <w:i/>
                <w:iCs/>
              </w:rPr>
              <w:t>$1,106.80)</w:t>
            </w:r>
          </w:p>
        </w:tc>
        <w:tc>
          <w:tcPr>
            <w:tcW w:w="584" w:type="pct"/>
            <w:noWrap/>
          </w:tcPr>
          <w:p w14:paraId="132CE5C0" w14:textId="3F83DE65" w:rsidR="0017248B" w:rsidRPr="00EB3599" w:rsidRDefault="00A9386E" w:rsidP="004C2355">
            <w:pPr>
              <w:pStyle w:val="TableText"/>
              <w:keepNext/>
              <w:spacing w:before="0" w:after="0"/>
              <w:jc w:val="right"/>
              <w:rPr>
                <w:i/>
                <w:iCs/>
              </w:rPr>
            </w:pPr>
            <w:r w:rsidRPr="00AC2BEC">
              <w:rPr>
                <w:b/>
                <w:bCs/>
              </w:rPr>
              <w:t>redacted</w:t>
            </w:r>
            <w:r w:rsidRPr="00B41CDA" w:rsidDel="00925BDB">
              <w:t xml:space="preserve"> </w:t>
            </w:r>
            <w:r w:rsidRPr="00AC2BEC">
              <w:rPr>
                <w:vertAlign w:val="superscript"/>
              </w:rPr>
              <w:t>6</w:t>
            </w:r>
          </w:p>
        </w:tc>
        <w:tc>
          <w:tcPr>
            <w:tcW w:w="585" w:type="pct"/>
            <w:noWrap/>
          </w:tcPr>
          <w:p w14:paraId="3C76C1D4" w14:textId="40F78E9A" w:rsidR="0017248B" w:rsidRPr="00EB3599" w:rsidRDefault="00A9386E" w:rsidP="004C2355">
            <w:pPr>
              <w:pStyle w:val="TableText"/>
              <w:keepNext/>
              <w:spacing w:before="0" w:after="0"/>
              <w:jc w:val="right"/>
              <w:rPr>
                <w:i/>
                <w:iCs/>
              </w:rPr>
            </w:pPr>
            <w:r w:rsidRPr="00AC2BEC">
              <w:rPr>
                <w:b/>
                <w:bCs/>
              </w:rPr>
              <w:t>redacted</w:t>
            </w:r>
            <w:r w:rsidRPr="00B41CDA" w:rsidDel="00925BDB">
              <w:t xml:space="preserve"> </w:t>
            </w:r>
            <w:r w:rsidRPr="00AC2BEC">
              <w:rPr>
                <w:vertAlign w:val="superscript"/>
              </w:rPr>
              <w:t>6</w:t>
            </w:r>
          </w:p>
        </w:tc>
        <w:tc>
          <w:tcPr>
            <w:tcW w:w="585" w:type="pct"/>
            <w:noWrap/>
          </w:tcPr>
          <w:p w14:paraId="32F6BC01" w14:textId="74266F7A" w:rsidR="0017248B" w:rsidRPr="00EB3599" w:rsidRDefault="00A9386E" w:rsidP="004C2355">
            <w:pPr>
              <w:pStyle w:val="TableText"/>
              <w:keepNext/>
              <w:spacing w:before="0" w:after="0"/>
              <w:jc w:val="right"/>
              <w:rPr>
                <w:i/>
                <w:iCs/>
              </w:rPr>
            </w:pPr>
            <w:r w:rsidRPr="00AC2BEC">
              <w:rPr>
                <w:b/>
                <w:bCs/>
              </w:rPr>
              <w:t>redacted</w:t>
            </w:r>
            <w:r w:rsidRPr="00B41CDA" w:rsidDel="00925BDB">
              <w:t xml:space="preserve"> </w:t>
            </w:r>
            <w:r w:rsidRPr="00AC2BEC">
              <w:rPr>
                <w:vertAlign w:val="superscript"/>
              </w:rPr>
              <w:t>6</w:t>
            </w:r>
          </w:p>
        </w:tc>
        <w:tc>
          <w:tcPr>
            <w:tcW w:w="584" w:type="pct"/>
            <w:noWrap/>
          </w:tcPr>
          <w:p w14:paraId="3E9751F9" w14:textId="018F8ABE" w:rsidR="0017248B" w:rsidRPr="00EB3599" w:rsidRDefault="00A9386E" w:rsidP="004C2355">
            <w:pPr>
              <w:pStyle w:val="TableText"/>
              <w:keepNext/>
              <w:spacing w:before="0" w:after="0"/>
              <w:jc w:val="right"/>
              <w:rPr>
                <w:i/>
                <w:iCs/>
              </w:rPr>
            </w:pPr>
            <w:r w:rsidRPr="00AC2BEC">
              <w:rPr>
                <w:b/>
                <w:bCs/>
              </w:rPr>
              <w:t>redacted</w:t>
            </w:r>
            <w:r w:rsidRPr="00B41CDA" w:rsidDel="00925BDB">
              <w:t xml:space="preserve"> </w:t>
            </w:r>
            <w:r w:rsidRPr="00AC2BEC">
              <w:rPr>
                <w:vertAlign w:val="superscript"/>
              </w:rPr>
              <w:t>6</w:t>
            </w:r>
          </w:p>
        </w:tc>
        <w:tc>
          <w:tcPr>
            <w:tcW w:w="585" w:type="pct"/>
            <w:noWrap/>
          </w:tcPr>
          <w:p w14:paraId="4E308E9B" w14:textId="7ACA5264" w:rsidR="0017248B" w:rsidRPr="00EB3599" w:rsidRDefault="00A9386E" w:rsidP="004C2355">
            <w:pPr>
              <w:pStyle w:val="TableText"/>
              <w:keepNext/>
              <w:spacing w:before="0" w:after="0"/>
              <w:jc w:val="right"/>
              <w:rPr>
                <w:i/>
                <w:iCs/>
              </w:rPr>
            </w:pPr>
            <w:r w:rsidRPr="00AC2BEC">
              <w:rPr>
                <w:b/>
                <w:bCs/>
              </w:rPr>
              <w:t>redacted</w:t>
            </w:r>
            <w:r w:rsidRPr="00B41CDA" w:rsidDel="00925BDB">
              <w:t xml:space="preserve"> </w:t>
            </w:r>
            <w:r w:rsidRPr="00AC2BEC">
              <w:rPr>
                <w:vertAlign w:val="superscript"/>
              </w:rPr>
              <w:t>6</w:t>
            </w:r>
          </w:p>
        </w:tc>
        <w:tc>
          <w:tcPr>
            <w:tcW w:w="585" w:type="pct"/>
            <w:noWrap/>
          </w:tcPr>
          <w:p w14:paraId="37DB9F49" w14:textId="126E3D3B" w:rsidR="0017248B" w:rsidRPr="00EB3599" w:rsidRDefault="009B79D4" w:rsidP="004C2355">
            <w:pPr>
              <w:pStyle w:val="TableText"/>
              <w:keepNext/>
              <w:spacing w:before="0" w:after="0"/>
              <w:jc w:val="right"/>
              <w:rPr>
                <w:i/>
                <w:iCs/>
              </w:rPr>
            </w:pPr>
            <w:r w:rsidRPr="00AC2BEC">
              <w:rPr>
                <w:b/>
                <w:bCs/>
              </w:rPr>
              <w:t>redacted</w:t>
            </w:r>
            <w:r w:rsidRPr="00B41CDA" w:rsidDel="00925BDB">
              <w:t xml:space="preserve"> </w:t>
            </w:r>
            <w:r w:rsidRPr="00AC2BEC">
              <w:rPr>
                <w:vertAlign w:val="superscript"/>
              </w:rPr>
              <w:t>6</w:t>
            </w:r>
          </w:p>
        </w:tc>
      </w:tr>
    </w:tbl>
    <w:p w14:paraId="18633891" w14:textId="0E83E39B" w:rsidR="00DD5C85" w:rsidRDefault="00DD5C85" w:rsidP="004C2355">
      <w:pPr>
        <w:pStyle w:val="TableFigureFooter"/>
      </w:pPr>
      <w:r>
        <w:t>Source:</w:t>
      </w:r>
      <w:r w:rsidR="0017248B">
        <w:t xml:space="preserve"> </w:t>
      </w:r>
      <w:r w:rsidR="0017248B" w:rsidRPr="0017248B">
        <w:t xml:space="preserve">Constructed during the evaluation from Table 4.32, p291; Table 4.33, p292 and Table 4.37, pp294−5 of the </w:t>
      </w:r>
      <w:r w:rsidR="000315EA">
        <w:t xml:space="preserve">PBAC </w:t>
      </w:r>
      <w:r w:rsidR="0017248B" w:rsidRPr="0017248B">
        <w:t>resubmission and from the ‘Att_4.1_OlympiA UCM_AZ Resubmission_FINAL.xlsx’ file.</w:t>
      </w:r>
    </w:p>
    <w:p w14:paraId="7D2F5A16" w14:textId="4ACB641A" w:rsidR="00D8423B" w:rsidRDefault="00D8423B" w:rsidP="00DD5C85">
      <w:pPr>
        <w:pStyle w:val="TableFigureFooter"/>
      </w:pPr>
      <w:r>
        <w:t>Note: Analyses are presented for each calendar year.</w:t>
      </w:r>
    </w:p>
    <w:p w14:paraId="662367FE" w14:textId="77777777" w:rsidR="009A54E5" w:rsidRDefault="008C513A" w:rsidP="009A54E5">
      <w:pPr>
        <w:pStyle w:val="TableFigureFooter"/>
      </w:pPr>
      <w:r w:rsidRPr="000D659D">
        <w:rPr>
          <w:lang w:val="en-US"/>
        </w:rPr>
        <w:t>g</w:t>
      </w:r>
      <w:r w:rsidRPr="000D659D">
        <w:rPr>
          <w:i/>
          <w:iCs/>
          <w:lang w:val="en-US"/>
        </w:rPr>
        <w:t>BRCA</w:t>
      </w:r>
      <w:r w:rsidRPr="00487719">
        <w:t xml:space="preserve"> = germline </w:t>
      </w:r>
      <w:r w:rsidRPr="001B7AF2">
        <w:rPr>
          <w:i/>
          <w:iCs/>
        </w:rPr>
        <w:t>BReast CAncer</w:t>
      </w:r>
      <w:r w:rsidRPr="00487719">
        <w:t xml:space="preserve"> gene</w:t>
      </w:r>
      <w:r w:rsidRPr="006E10B0">
        <w:t xml:space="preserve">; </w:t>
      </w:r>
      <w:r w:rsidR="0017248B" w:rsidRPr="00102F98">
        <w:t>HER2 = human epidermal growth factor receptor 2; HR = hormone receptor; TNBC = triple negative breast cancer.</w:t>
      </w:r>
    </w:p>
    <w:p w14:paraId="06DBC3DD" w14:textId="789DBC71" w:rsidR="008A3B15" w:rsidRDefault="009A54E5" w:rsidP="009A54E5">
      <w:pPr>
        <w:pStyle w:val="TableFigureFooter"/>
        <w:rPr>
          <w:i/>
          <w:iCs/>
        </w:rPr>
      </w:pPr>
      <w:r w:rsidRPr="00DD2938">
        <w:rPr>
          <w:i/>
          <w:iCs/>
          <w:vertAlign w:val="superscript"/>
        </w:rPr>
        <w:t>1</w:t>
      </w:r>
      <w:r w:rsidRPr="00DD2938">
        <w:rPr>
          <w:i/>
          <w:iCs/>
        </w:rPr>
        <w:t xml:space="preserve"> </w:t>
      </w:r>
      <w:r>
        <w:rPr>
          <w:i/>
          <w:iCs/>
        </w:rPr>
        <w:t>2</w:t>
      </w:r>
      <w:r w:rsidRPr="00DD2938">
        <w:rPr>
          <w:i/>
          <w:iCs/>
        </w:rPr>
        <w:t xml:space="preserve">0,000 to &lt; </w:t>
      </w:r>
      <w:r>
        <w:rPr>
          <w:i/>
          <w:iCs/>
        </w:rPr>
        <w:t>3</w:t>
      </w:r>
      <w:r w:rsidRPr="00DD2938">
        <w:rPr>
          <w:i/>
          <w:iCs/>
        </w:rPr>
        <w:t>0,000</w:t>
      </w:r>
    </w:p>
    <w:p w14:paraId="1EDDF3D3" w14:textId="0A065488" w:rsidR="008A3B15" w:rsidRDefault="008A3B15" w:rsidP="009A54E5">
      <w:pPr>
        <w:pStyle w:val="TableFigureFooter"/>
        <w:rPr>
          <w:i/>
          <w:iCs/>
        </w:rPr>
      </w:pPr>
      <w:r w:rsidRPr="00771162">
        <w:rPr>
          <w:i/>
          <w:iCs/>
          <w:vertAlign w:val="superscript"/>
        </w:rPr>
        <w:t>2</w:t>
      </w:r>
      <w:r>
        <w:rPr>
          <w:i/>
          <w:iCs/>
        </w:rPr>
        <w:t xml:space="preserve"> </w:t>
      </w:r>
      <w:r w:rsidR="00347D17" w:rsidRPr="00347D17">
        <w:rPr>
          <w:i/>
          <w:iCs/>
        </w:rPr>
        <w:t>500 to &lt; 5,000</w:t>
      </w:r>
    </w:p>
    <w:p w14:paraId="72714005" w14:textId="3EEA9158" w:rsidR="005E33FE" w:rsidRPr="00771162" w:rsidRDefault="008F0BB1" w:rsidP="00771162">
      <w:pPr>
        <w:pStyle w:val="TableFigureFooter"/>
      </w:pPr>
      <w:r>
        <w:rPr>
          <w:vertAlign w:val="superscript"/>
        </w:rPr>
        <w:t>3</w:t>
      </w:r>
      <w:r w:rsidR="004235EC">
        <w:t xml:space="preserve"> &lt;</w:t>
      </w:r>
      <w:r>
        <w:t xml:space="preserve"> 5</w:t>
      </w:r>
      <w:r w:rsidR="004235EC">
        <w:t>00</w:t>
      </w:r>
    </w:p>
    <w:p w14:paraId="357588C2" w14:textId="2A5939B8" w:rsidR="009A54E5" w:rsidRDefault="002F6F31" w:rsidP="00DD5C85">
      <w:pPr>
        <w:pStyle w:val="TableFigureFooter"/>
        <w:rPr>
          <w:szCs w:val="18"/>
        </w:rPr>
      </w:pPr>
      <w:r>
        <w:rPr>
          <w:sz w:val="20"/>
          <w:vertAlign w:val="superscript"/>
        </w:rPr>
        <w:t xml:space="preserve">4 </w:t>
      </w:r>
      <w:r w:rsidR="005E33FE" w:rsidRPr="00771162">
        <w:rPr>
          <w:szCs w:val="18"/>
        </w:rPr>
        <w:t>10,000 to &lt; 20,000</w:t>
      </w:r>
    </w:p>
    <w:p w14:paraId="5F783B07" w14:textId="33AFF653" w:rsidR="006150DB" w:rsidRDefault="00FC2926" w:rsidP="00DD5C85">
      <w:pPr>
        <w:pStyle w:val="TableFigureFooter"/>
        <w:rPr>
          <w:szCs w:val="18"/>
        </w:rPr>
      </w:pPr>
      <w:r>
        <w:rPr>
          <w:szCs w:val="18"/>
          <w:vertAlign w:val="superscript"/>
        </w:rPr>
        <w:t>5</w:t>
      </w:r>
      <w:r w:rsidR="006150DB" w:rsidRPr="00771162">
        <w:rPr>
          <w:szCs w:val="18"/>
          <w:vertAlign w:val="superscript"/>
        </w:rPr>
        <w:t xml:space="preserve"> </w:t>
      </w:r>
      <w:r>
        <w:rPr>
          <w:szCs w:val="18"/>
        </w:rPr>
        <w:t>5</w:t>
      </w:r>
      <w:r w:rsidR="006150DB">
        <w:rPr>
          <w:szCs w:val="18"/>
        </w:rPr>
        <w:t xml:space="preserve">000 to &lt; </w:t>
      </w:r>
      <w:r>
        <w:rPr>
          <w:szCs w:val="18"/>
        </w:rPr>
        <w:t>10,</w:t>
      </w:r>
      <w:r w:rsidR="006150DB">
        <w:rPr>
          <w:szCs w:val="18"/>
        </w:rPr>
        <w:t>000</w:t>
      </w:r>
    </w:p>
    <w:p w14:paraId="192CD206" w14:textId="27561571" w:rsidR="00D425C8" w:rsidRDefault="00A9386E" w:rsidP="00DD5C85">
      <w:pPr>
        <w:pStyle w:val="TableFigureFooter"/>
        <w:rPr>
          <w:szCs w:val="18"/>
        </w:rPr>
      </w:pPr>
      <w:r>
        <w:rPr>
          <w:szCs w:val="18"/>
          <w:vertAlign w:val="superscript"/>
        </w:rPr>
        <w:t>6</w:t>
      </w:r>
      <w:r w:rsidR="00D425C8">
        <w:rPr>
          <w:szCs w:val="18"/>
        </w:rPr>
        <w:t xml:space="preserve"> </w:t>
      </w:r>
      <w:r w:rsidRPr="00A9386E">
        <w:rPr>
          <w:szCs w:val="18"/>
        </w:rPr>
        <w:t>$0 to &lt; $10 million</w:t>
      </w:r>
    </w:p>
    <w:bookmarkEnd w:id="46"/>
    <w:p w14:paraId="7CCAD020" w14:textId="764A083F" w:rsidR="009E6377" w:rsidRPr="000E600F" w:rsidRDefault="009E6377" w:rsidP="009E6377">
      <w:r>
        <w:t xml:space="preserve">The resubmission estimated an additional </w:t>
      </w:r>
      <w:r w:rsidR="008007BD" w:rsidRPr="008007BD">
        <w:t>500 to &lt; 5,000</w:t>
      </w:r>
      <w:r w:rsidR="007136CB">
        <w:t xml:space="preserve"> </w:t>
      </w:r>
      <w:r>
        <w:t xml:space="preserve">to </w:t>
      </w:r>
      <w:r w:rsidR="00CA61CB" w:rsidRPr="00CA61CB">
        <w:t>5,000 to &lt; 10,000</w:t>
      </w:r>
      <w:r w:rsidR="00CA61CB">
        <w:t xml:space="preserve"> </w:t>
      </w:r>
      <w:r>
        <w:t xml:space="preserve">tests per year following the listing of olaparib. The cost to the MBS per additional test applied was $850. This was based on the proposed schedule fee of $1,000 with an 85% rebate applied. </w:t>
      </w:r>
      <w:r w:rsidRPr="000E600F">
        <w:t>The</w:t>
      </w:r>
      <w:r w:rsidR="00801346" w:rsidRPr="000E600F">
        <w:t xml:space="preserve"> commentary noted that </w:t>
      </w:r>
      <w:r w:rsidRPr="000E600F">
        <w:t xml:space="preserve">MSAC PSD noted inconsistencies in the schedule fee for other current </w:t>
      </w:r>
      <w:r w:rsidR="00A96FCF" w:rsidRPr="00A96FCF">
        <w:rPr>
          <w:i/>
          <w:iCs/>
        </w:rPr>
        <w:t>BRCA</w:t>
      </w:r>
      <w:r w:rsidRPr="000E600F">
        <w:t xml:space="preserve"> testing items (item 73304, $1,000; and item 73295, $1,200) and that the </w:t>
      </w:r>
      <w:r w:rsidR="00007A1F" w:rsidRPr="000E600F">
        <w:t>d</w:t>
      </w:r>
      <w:r w:rsidRPr="000E600F">
        <w:t xml:space="preserve">epartment was to investigate which fee would be more appropriate (p3, </w:t>
      </w:r>
      <w:hyperlink r:id="rId55" w:history="1">
        <w:r w:rsidR="008B7891" w:rsidRPr="000E600F">
          <w:rPr>
            <w:rStyle w:val="Hyperlink"/>
          </w:rPr>
          <w:t>1716 PSD March 2023 MSAC Meeting</w:t>
        </w:r>
      </w:hyperlink>
      <w:r w:rsidRPr="000E600F">
        <w:t xml:space="preserve">). The </w:t>
      </w:r>
      <w:r w:rsidR="00007A1F" w:rsidRPr="000E600F">
        <w:t>d</w:t>
      </w:r>
      <w:r w:rsidRPr="000E600F">
        <w:t xml:space="preserve">epartment supported a schedule fee of $1,200, based on stakeholder consultation feedback indicating this was most appropriate to cover the costs of providing the service. The </w:t>
      </w:r>
      <w:r w:rsidR="00007A1F" w:rsidRPr="000E600F">
        <w:t>d</w:t>
      </w:r>
      <w:r w:rsidRPr="000E600F">
        <w:t>epartment also supported conducting a sensitivity analysis using a schedule fee of $1,000, given there are some similar services funded on the MBS with a fee of $1,000.</w:t>
      </w:r>
    </w:p>
    <w:p w14:paraId="0B9F4FB1" w14:textId="59B6C943" w:rsidR="009E6377" w:rsidRDefault="009E6377" w:rsidP="009E6377">
      <w:r w:rsidRPr="000E600F">
        <w:t xml:space="preserve">While it was reasonable that the resubmission assumed the 85% rebate, the </w:t>
      </w:r>
      <w:r w:rsidR="00B37058" w:rsidRPr="000E600F">
        <w:t xml:space="preserve">commentary considered that the </w:t>
      </w:r>
      <w:r w:rsidRPr="000E600F">
        <w:t>implications of the GPG were not considered. This would result in the rebate payable by the MBS increasing to the difference between the schedule fee and the GPG.</w:t>
      </w:r>
    </w:p>
    <w:p w14:paraId="76D90014" w14:textId="02F36739" w:rsidR="00240167" w:rsidRPr="000E600F" w:rsidRDefault="00240167" w:rsidP="00240167">
      <w:r>
        <w:t xml:space="preserve">The MSAC noted previously that proposed testing would trigger cascade testing in biological relatives of patients found to carry </w:t>
      </w:r>
      <w:r w:rsidR="00AD6F96">
        <w:t>g</w:t>
      </w:r>
      <w:r w:rsidRPr="00AD6F96">
        <w:rPr>
          <w:i/>
          <w:iCs/>
        </w:rPr>
        <w:t>BRCA</w:t>
      </w:r>
      <w:r>
        <w:t xml:space="preserve"> variants using MBS item 73297 (p5, </w:t>
      </w:r>
      <w:hyperlink r:id="rId56" w:history="1">
        <w:r w:rsidR="008B7891" w:rsidRPr="008B7891">
          <w:rPr>
            <w:rStyle w:val="Hyperlink"/>
          </w:rPr>
          <w:t>1716 PSD March 2023 MSAC Meeting</w:t>
        </w:r>
      </w:hyperlink>
      <w:r>
        <w:t xml:space="preserve">). Changes in the use and cost of cascade testing to the MBS were included in the resubmission </w:t>
      </w:r>
      <w:r w:rsidR="004B1A2B">
        <w:t>as</w:t>
      </w:r>
      <w:r>
        <w:t xml:space="preserve"> a sensitivity analysis only. </w:t>
      </w:r>
      <w:r w:rsidR="009C0C51" w:rsidRPr="000E600F">
        <w:t>Th</w:t>
      </w:r>
      <w:r w:rsidR="00B37058" w:rsidRPr="000E600F">
        <w:t>e commentary considered that thi</w:t>
      </w:r>
      <w:r w:rsidR="009C0C51" w:rsidRPr="000E600F">
        <w:t>s was not reasonable nor well justified.</w:t>
      </w:r>
      <w:r w:rsidR="009C0C51">
        <w:t xml:space="preserve"> In this sensitivity analysis, the resubmission assumed that for each patient identified with </w:t>
      </w:r>
      <w:r w:rsidR="00E659A0" w:rsidRPr="000D659D">
        <w:rPr>
          <w:lang w:val="en-US"/>
        </w:rPr>
        <w:t>g</w:t>
      </w:r>
      <w:r w:rsidR="00A96FCF" w:rsidRPr="00A96FCF">
        <w:rPr>
          <w:i/>
          <w:iCs/>
          <w:lang w:val="en-US"/>
        </w:rPr>
        <w:t>BRCA</w:t>
      </w:r>
      <w:r w:rsidR="00E659A0">
        <w:t xml:space="preserve"> </w:t>
      </w:r>
      <w:r w:rsidR="009C0C51">
        <w:t xml:space="preserve">variants following the listing of olaparib, 1.8 relatives would take up cascade testing at an assumed cost of $850 per test. </w:t>
      </w:r>
      <w:r w:rsidR="009C0C51" w:rsidRPr="000E600F">
        <w:t xml:space="preserve">While </w:t>
      </w:r>
      <w:r w:rsidR="00B37058" w:rsidRPr="000E600F">
        <w:t xml:space="preserve">the </w:t>
      </w:r>
      <w:r w:rsidR="009C0C51" w:rsidRPr="000E600F">
        <w:t xml:space="preserve">number of relatives tested per patient was reasonable, </w:t>
      </w:r>
      <w:r w:rsidR="005535B4" w:rsidRPr="000E600F">
        <w:t xml:space="preserve">the commentary considered that </w:t>
      </w:r>
      <w:r w:rsidR="009C0C51" w:rsidRPr="000E600F">
        <w:t xml:space="preserve">this approach </w:t>
      </w:r>
      <w:r w:rsidR="00A3278D" w:rsidRPr="000E600F">
        <w:t xml:space="preserve">reflected </w:t>
      </w:r>
      <w:r w:rsidR="00B41993" w:rsidRPr="000E600F">
        <w:t xml:space="preserve">the cost of the total number of relatives tested due to the listing of </w:t>
      </w:r>
      <w:r w:rsidR="004D632E" w:rsidRPr="000E600F">
        <w:t>o</w:t>
      </w:r>
      <w:r w:rsidR="00B41993" w:rsidRPr="000E600F">
        <w:t xml:space="preserve">laparib rather than </w:t>
      </w:r>
      <w:r w:rsidR="009C0C51" w:rsidRPr="000E600F">
        <w:t xml:space="preserve">the </w:t>
      </w:r>
      <w:r w:rsidR="009C0C51" w:rsidRPr="000E600F">
        <w:rPr>
          <w:u w:val="single"/>
        </w:rPr>
        <w:t>incremental</w:t>
      </w:r>
      <w:r w:rsidR="009C0C51" w:rsidRPr="000E600F">
        <w:t xml:space="preserve"> number of relatives tested. Th</w:t>
      </w:r>
      <w:r w:rsidR="005535B4" w:rsidRPr="000E600F">
        <w:t>e commentary considered that this</w:t>
      </w:r>
      <w:r w:rsidR="009C0C51" w:rsidRPr="000E600F">
        <w:t xml:space="preserve"> </w:t>
      </w:r>
      <w:r w:rsidR="005535B4" w:rsidRPr="000E600F">
        <w:t>wa</w:t>
      </w:r>
      <w:r w:rsidR="009C0C51" w:rsidRPr="000E600F">
        <w:t>s not reasonable given that cascade testing can currently be accessed under MBS item 73297</w:t>
      </w:r>
      <w:r w:rsidR="0017063D" w:rsidRPr="000E600F">
        <w:t xml:space="preserve"> which also has a lower rebated fee</w:t>
      </w:r>
      <w:r w:rsidR="009C0C51" w:rsidRPr="000E600F">
        <w:t xml:space="preserve"> (85% rebate: $340).</w:t>
      </w:r>
    </w:p>
    <w:p w14:paraId="69CC0DD8" w14:textId="29D49049" w:rsidR="00240167" w:rsidRDefault="00240167" w:rsidP="00240167">
      <w:r>
        <w:t>The estimated number of cascade tests and cost to the MBS for cascade testing</w:t>
      </w:r>
      <w:r w:rsidR="004B1A2B">
        <w:t xml:space="preserve"> as estimated in the resubmission</w:t>
      </w:r>
      <w:r>
        <w:t xml:space="preserve"> is presented in </w:t>
      </w:r>
      <w:r w:rsidR="00F72056">
        <w:rPr>
          <w:highlight w:val="yellow"/>
        </w:rPr>
        <w:fldChar w:fldCharType="begin"/>
      </w:r>
      <w:r w:rsidR="00F72056">
        <w:instrText xml:space="preserve"> REF _Ref144124307 \h </w:instrText>
      </w:r>
      <w:r w:rsidR="00F72056">
        <w:rPr>
          <w:highlight w:val="yellow"/>
        </w:rPr>
      </w:r>
      <w:r w:rsidR="00F72056">
        <w:rPr>
          <w:highlight w:val="yellow"/>
        </w:rPr>
        <w:fldChar w:fldCharType="separate"/>
      </w:r>
      <w:r w:rsidR="00D8423B" w:rsidRPr="00137818">
        <w:t>Table </w:t>
      </w:r>
      <w:r w:rsidR="00D8423B">
        <w:rPr>
          <w:noProof/>
        </w:rPr>
        <w:t>13</w:t>
      </w:r>
      <w:r w:rsidR="00F72056">
        <w:rPr>
          <w:highlight w:val="yellow"/>
        </w:rPr>
        <w:fldChar w:fldCharType="end"/>
      </w:r>
      <w:r>
        <w:t xml:space="preserve">. </w:t>
      </w:r>
      <w:r w:rsidR="005535B4" w:rsidRPr="000E600F">
        <w:t>The commentary presented r</w:t>
      </w:r>
      <w:r w:rsidRPr="000E600F">
        <w:t xml:space="preserve">evised estimates, based on the incremental number of relatives tested and cost of testing based on MBS item 73297, in </w:t>
      </w:r>
      <w:r w:rsidR="00F72056" w:rsidRPr="000E600F">
        <w:rPr>
          <w:highlight w:val="yellow"/>
        </w:rPr>
        <w:fldChar w:fldCharType="begin"/>
      </w:r>
      <w:r w:rsidR="00F72056" w:rsidRPr="000E600F">
        <w:instrText xml:space="preserve"> REF _Ref144124314 \h </w:instrText>
      </w:r>
      <w:r w:rsidR="00F72056" w:rsidRPr="000E600F">
        <w:rPr>
          <w:highlight w:val="yellow"/>
        </w:rPr>
        <w:instrText xml:space="preserve"> \* MERGEFORMAT </w:instrText>
      </w:r>
      <w:r w:rsidR="00F72056" w:rsidRPr="000E600F">
        <w:rPr>
          <w:highlight w:val="yellow"/>
        </w:rPr>
      </w:r>
      <w:r w:rsidR="00F72056" w:rsidRPr="000E600F">
        <w:rPr>
          <w:highlight w:val="yellow"/>
        </w:rPr>
        <w:fldChar w:fldCharType="separate"/>
      </w:r>
      <w:r w:rsidR="00D8423B" w:rsidRPr="000E600F">
        <w:t>Table 14</w:t>
      </w:r>
      <w:r w:rsidR="00F72056" w:rsidRPr="000E600F">
        <w:rPr>
          <w:highlight w:val="yellow"/>
        </w:rPr>
        <w:fldChar w:fldCharType="end"/>
      </w:r>
      <w:r w:rsidRPr="000E600F">
        <w:t>.</w:t>
      </w:r>
    </w:p>
    <w:p w14:paraId="5CB0FF65" w14:textId="371B49A9" w:rsidR="00240167" w:rsidRDefault="00F72056" w:rsidP="00137818">
      <w:pPr>
        <w:pStyle w:val="Caption"/>
      </w:pPr>
      <w:bookmarkStart w:id="47" w:name="_Ref144124307"/>
      <w:r w:rsidRPr="00137818">
        <w:t>Table </w:t>
      </w:r>
      <w:r>
        <w:fldChar w:fldCharType="begin"/>
      </w:r>
      <w:r>
        <w:instrText>SEQ Table \* ARABIC</w:instrText>
      </w:r>
      <w:r>
        <w:fldChar w:fldCharType="separate"/>
      </w:r>
      <w:r w:rsidR="00D8423B">
        <w:rPr>
          <w:noProof/>
        </w:rPr>
        <w:t>13</w:t>
      </w:r>
      <w:r>
        <w:fldChar w:fldCharType="end"/>
      </w:r>
      <w:bookmarkEnd w:id="47"/>
      <w:r w:rsidRPr="00137818">
        <w:tab/>
      </w:r>
      <w:r w:rsidR="00240167" w:rsidRPr="001B23DE">
        <w:t>Estimated change in use and cost of cascade testing</w:t>
      </w:r>
    </w:p>
    <w:tbl>
      <w:tblPr>
        <w:tblStyle w:val="TableGrid"/>
        <w:tblW w:w="5000" w:type="pct"/>
        <w:tblLayout w:type="fixed"/>
        <w:tblLook w:val="04A0" w:firstRow="1" w:lastRow="0" w:firstColumn="1" w:lastColumn="0" w:noHBand="0" w:noVBand="1"/>
      </w:tblPr>
      <w:tblGrid>
        <w:gridCol w:w="2491"/>
        <w:gridCol w:w="1087"/>
        <w:gridCol w:w="1089"/>
        <w:gridCol w:w="1089"/>
        <w:gridCol w:w="1087"/>
        <w:gridCol w:w="1089"/>
        <w:gridCol w:w="1084"/>
      </w:tblGrid>
      <w:tr w:rsidR="00240167" w:rsidRPr="00157F55" w14:paraId="12A0685E" w14:textId="77777777">
        <w:trPr>
          <w:trHeight w:val="20"/>
        </w:trPr>
        <w:tc>
          <w:tcPr>
            <w:tcW w:w="1381" w:type="pct"/>
            <w:noWrap/>
            <w:hideMark/>
          </w:tcPr>
          <w:p w14:paraId="0D42B317" w14:textId="77777777" w:rsidR="00240167" w:rsidRPr="00157F55" w:rsidRDefault="00240167">
            <w:pPr>
              <w:pStyle w:val="In-tableHeading"/>
            </w:pPr>
          </w:p>
        </w:tc>
        <w:tc>
          <w:tcPr>
            <w:tcW w:w="603" w:type="pct"/>
            <w:noWrap/>
            <w:hideMark/>
          </w:tcPr>
          <w:p w14:paraId="52DD3453" w14:textId="77777777" w:rsidR="00240167" w:rsidRPr="00157F55" w:rsidRDefault="00240167">
            <w:pPr>
              <w:pStyle w:val="In-tableHeading"/>
              <w:jc w:val="center"/>
            </w:pPr>
            <w:r w:rsidRPr="00157F55">
              <w:t>2024</w:t>
            </w:r>
          </w:p>
        </w:tc>
        <w:tc>
          <w:tcPr>
            <w:tcW w:w="604" w:type="pct"/>
            <w:noWrap/>
            <w:hideMark/>
          </w:tcPr>
          <w:p w14:paraId="0B2D2C1F" w14:textId="77777777" w:rsidR="00240167" w:rsidRPr="00157F55" w:rsidRDefault="00240167">
            <w:pPr>
              <w:pStyle w:val="In-tableHeading"/>
              <w:jc w:val="center"/>
            </w:pPr>
            <w:r w:rsidRPr="00157F55">
              <w:t>2025</w:t>
            </w:r>
          </w:p>
        </w:tc>
        <w:tc>
          <w:tcPr>
            <w:tcW w:w="604" w:type="pct"/>
            <w:noWrap/>
            <w:hideMark/>
          </w:tcPr>
          <w:p w14:paraId="5F025E2D" w14:textId="77777777" w:rsidR="00240167" w:rsidRPr="00157F55" w:rsidRDefault="00240167">
            <w:pPr>
              <w:pStyle w:val="In-tableHeading"/>
              <w:jc w:val="center"/>
            </w:pPr>
            <w:r w:rsidRPr="00157F55">
              <w:t>2026</w:t>
            </w:r>
          </w:p>
        </w:tc>
        <w:tc>
          <w:tcPr>
            <w:tcW w:w="603" w:type="pct"/>
            <w:noWrap/>
            <w:hideMark/>
          </w:tcPr>
          <w:p w14:paraId="78E3D809" w14:textId="77777777" w:rsidR="00240167" w:rsidRPr="00157F55" w:rsidRDefault="00240167">
            <w:pPr>
              <w:pStyle w:val="In-tableHeading"/>
              <w:jc w:val="center"/>
            </w:pPr>
            <w:r w:rsidRPr="00157F55">
              <w:t>2027</w:t>
            </w:r>
          </w:p>
        </w:tc>
        <w:tc>
          <w:tcPr>
            <w:tcW w:w="604" w:type="pct"/>
            <w:noWrap/>
            <w:hideMark/>
          </w:tcPr>
          <w:p w14:paraId="57E3BC7E" w14:textId="77777777" w:rsidR="00240167" w:rsidRPr="00157F55" w:rsidRDefault="00240167">
            <w:pPr>
              <w:pStyle w:val="In-tableHeading"/>
              <w:jc w:val="center"/>
            </w:pPr>
            <w:r w:rsidRPr="00157F55">
              <w:t>2028</w:t>
            </w:r>
          </w:p>
        </w:tc>
        <w:tc>
          <w:tcPr>
            <w:tcW w:w="601" w:type="pct"/>
            <w:noWrap/>
            <w:hideMark/>
          </w:tcPr>
          <w:p w14:paraId="56C304EA" w14:textId="77777777" w:rsidR="00240167" w:rsidRPr="00157F55" w:rsidRDefault="00240167">
            <w:pPr>
              <w:pStyle w:val="In-tableHeading"/>
              <w:jc w:val="center"/>
            </w:pPr>
            <w:r w:rsidRPr="00157F55">
              <w:t>2029</w:t>
            </w:r>
          </w:p>
        </w:tc>
      </w:tr>
      <w:tr w:rsidR="00240167" w:rsidRPr="00157F55" w14:paraId="520D23A0" w14:textId="77777777">
        <w:trPr>
          <w:trHeight w:val="20"/>
        </w:trPr>
        <w:tc>
          <w:tcPr>
            <w:tcW w:w="1381" w:type="pct"/>
            <w:noWrap/>
          </w:tcPr>
          <w:p w14:paraId="2ED08C15" w14:textId="0F9FC9D5" w:rsidR="00240167" w:rsidRPr="00157F55" w:rsidRDefault="00684CCE">
            <w:pPr>
              <w:pStyle w:val="TableText"/>
            </w:pPr>
            <w:r w:rsidRPr="006B0EC7">
              <w:t xml:space="preserve">No. patients identified with </w:t>
            </w:r>
            <w:r w:rsidR="00E659A0" w:rsidRPr="000D659D">
              <w:rPr>
                <w:lang w:val="en-US"/>
              </w:rPr>
              <w:t>g</w:t>
            </w:r>
            <w:r w:rsidR="00E659A0" w:rsidRPr="000D659D">
              <w:rPr>
                <w:i/>
                <w:iCs/>
                <w:lang w:val="en-US"/>
              </w:rPr>
              <w:t>BRCA</w:t>
            </w:r>
            <w:r w:rsidR="00E659A0">
              <w:t xml:space="preserve"> </w:t>
            </w:r>
            <w:r>
              <w:t>variants</w:t>
            </w:r>
            <w:r w:rsidRPr="006B0EC7">
              <w:t xml:space="preserve"> </w:t>
            </w:r>
            <w:r>
              <w:t>following olaparib listing</w:t>
            </w:r>
            <w:r>
              <w:br/>
            </w:r>
            <w:r w:rsidR="00240167">
              <w:t xml:space="preserve">(Row G + Row M, </w:t>
            </w:r>
            <w:r w:rsidR="00F72056">
              <w:rPr>
                <w:highlight w:val="yellow"/>
              </w:rPr>
              <w:fldChar w:fldCharType="begin"/>
            </w:r>
            <w:r w:rsidR="00F72056">
              <w:instrText xml:space="preserve"> REF _Ref69726382 \h </w:instrText>
            </w:r>
            <w:r w:rsidR="00F72056">
              <w:rPr>
                <w:highlight w:val="yellow"/>
              </w:rPr>
            </w:r>
            <w:r w:rsidR="00F72056">
              <w:rPr>
                <w:highlight w:val="yellow"/>
              </w:rPr>
              <w:fldChar w:fldCharType="separate"/>
            </w:r>
            <w:r w:rsidR="00D8423B" w:rsidRPr="00137818">
              <w:t>Table </w:t>
            </w:r>
            <w:r w:rsidR="00D8423B">
              <w:rPr>
                <w:noProof/>
              </w:rPr>
              <w:t>12</w:t>
            </w:r>
            <w:r w:rsidR="00F72056">
              <w:rPr>
                <w:highlight w:val="yellow"/>
              </w:rPr>
              <w:fldChar w:fldCharType="end"/>
            </w:r>
            <w:r w:rsidR="00240167">
              <w:t>)</w:t>
            </w:r>
          </w:p>
        </w:tc>
        <w:tc>
          <w:tcPr>
            <w:tcW w:w="603" w:type="pct"/>
            <w:noWrap/>
          </w:tcPr>
          <w:p w14:paraId="119AC25F" w14:textId="112B4FCD" w:rsidR="00240167" w:rsidRPr="00157F55" w:rsidRDefault="00654618">
            <w:pPr>
              <w:pStyle w:val="TableText"/>
              <w:jc w:val="right"/>
            </w:pPr>
            <w:r w:rsidRPr="00771162">
              <w:rPr>
                <w:b/>
                <w:bCs/>
              </w:rPr>
              <w:t>redacted</w:t>
            </w:r>
            <w:r w:rsidR="007F71A5" w:rsidRPr="00771162">
              <w:rPr>
                <w:vertAlign w:val="superscript"/>
              </w:rPr>
              <w:t>1</w:t>
            </w:r>
          </w:p>
        </w:tc>
        <w:tc>
          <w:tcPr>
            <w:tcW w:w="604" w:type="pct"/>
            <w:noWrap/>
          </w:tcPr>
          <w:p w14:paraId="791F6796" w14:textId="45A12923" w:rsidR="00240167" w:rsidRPr="00157F55" w:rsidRDefault="00C35F5D">
            <w:pPr>
              <w:pStyle w:val="TableText"/>
              <w:jc w:val="right"/>
            </w:pPr>
            <w:r>
              <w:rPr>
                <w:b/>
                <w:bCs/>
              </w:rPr>
              <w:t>r</w:t>
            </w:r>
            <w:r w:rsidRPr="00AC2BEC">
              <w:rPr>
                <w:b/>
                <w:bCs/>
              </w:rPr>
              <w:t>edacted</w:t>
            </w:r>
            <w:r w:rsidRPr="00771162">
              <w:rPr>
                <w:b/>
                <w:bCs/>
                <w:vertAlign w:val="superscript"/>
              </w:rPr>
              <w:t>2</w:t>
            </w:r>
          </w:p>
        </w:tc>
        <w:tc>
          <w:tcPr>
            <w:tcW w:w="604" w:type="pct"/>
            <w:noWrap/>
          </w:tcPr>
          <w:p w14:paraId="44D5E4B8" w14:textId="52B4105C" w:rsidR="00240167" w:rsidRPr="00157F55" w:rsidRDefault="00100F49">
            <w:pPr>
              <w:pStyle w:val="TableText"/>
              <w:jc w:val="right"/>
            </w:pPr>
            <w:r>
              <w:rPr>
                <w:b/>
                <w:bCs/>
              </w:rPr>
              <w:t>r</w:t>
            </w:r>
            <w:r w:rsidRPr="00AC2BEC">
              <w:rPr>
                <w:b/>
                <w:bCs/>
              </w:rPr>
              <w:t>edacted</w:t>
            </w:r>
            <w:r w:rsidRPr="00AC2BEC">
              <w:rPr>
                <w:b/>
                <w:bCs/>
                <w:vertAlign w:val="superscript"/>
              </w:rPr>
              <w:t>2</w:t>
            </w:r>
          </w:p>
        </w:tc>
        <w:tc>
          <w:tcPr>
            <w:tcW w:w="603" w:type="pct"/>
            <w:noWrap/>
          </w:tcPr>
          <w:p w14:paraId="5CB4512A" w14:textId="60E481CC" w:rsidR="00240167" w:rsidRPr="00157F55" w:rsidRDefault="00100F49">
            <w:pPr>
              <w:pStyle w:val="TableText"/>
              <w:jc w:val="right"/>
            </w:pPr>
            <w:r>
              <w:rPr>
                <w:b/>
                <w:bCs/>
              </w:rPr>
              <w:t>r</w:t>
            </w:r>
            <w:r w:rsidRPr="00AC2BEC">
              <w:rPr>
                <w:b/>
                <w:bCs/>
              </w:rPr>
              <w:t>edacted</w:t>
            </w:r>
            <w:r w:rsidRPr="00AC2BEC">
              <w:rPr>
                <w:b/>
                <w:bCs/>
                <w:vertAlign w:val="superscript"/>
              </w:rPr>
              <w:t>2</w:t>
            </w:r>
          </w:p>
        </w:tc>
        <w:tc>
          <w:tcPr>
            <w:tcW w:w="604" w:type="pct"/>
            <w:noWrap/>
          </w:tcPr>
          <w:p w14:paraId="0C9AAECC" w14:textId="395449EC" w:rsidR="00240167" w:rsidRPr="00157F55" w:rsidRDefault="00100F49">
            <w:pPr>
              <w:pStyle w:val="TableText"/>
              <w:jc w:val="right"/>
            </w:pPr>
            <w:r>
              <w:rPr>
                <w:b/>
                <w:bCs/>
              </w:rPr>
              <w:t>r</w:t>
            </w:r>
            <w:r w:rsidRPr="00AC2BEC">
              <w:rPr>
                <w:b/>
                <w:bCs/>
              </w:rPr>
              <w:t>edacted</w:t>
            </w:r>
            <w:r w:rsidRPr="00AC2BEC">
              <w:rPr>
                <w:b/>
                <w:bCs/>
                <w:vertAlign w:val="superscript"/>
              </w:rPr>
              <w:t>2</w:t>
            </w:r>
          </w:p>
        </w:tc>
        <w:tc>
          <w:tcPr>
            <w:tcW w:w="601" w:type="pct"/>
            <w:noWrap/>
          </w:tcPr>
          <w:p w14:paraId="25308939" w14:textId="58BD9B3F" w:rsidR="00240167" w:rsidRPr="00157F55" w:rsidRDefault="00100F49">
            <w:pPr>
              <w:pStyle w:val="TableText"/>
              <w:jc w:val="right"/>
            </w:pPr>
            <w:r>
              <w:rPr>
                <w:b/>
                <w:bCs/>
              </w:rPr>
              <w:t>r</w:t>
            </w:r>
            <w:r w:rsidRPr="00AC2BEC">
              <w:rPr>
                <w:b/>
                <w:bCs/>
              </w:rPr>
              <w:t>edacted</w:t>
            </w:r>
            <w:r w:rsidRPr="00AC2BEC">
              <w:rPr>
                <w:b/>
                <w:bCs/>
                <w:vertAlign w:val="superscript"/>
              </w:rPr>
              <w:t>2</w:t>
            </w:r>
          </w:p>
        </w:tc>
      </w:tr>
      <w:tr w:rsidR="00240167" w:rsidRPr="00157F55" w14:paraId="42D4F7BF" w14:textId="77777777">
        <w:trPr>
          <w:trHeight w:val="20"/>
        </w:trPr>
        <w:tc>
          <w:tcPr>
            <w:tcW w:w="1381" w:type="pct"/>
            <w:tcBorders>
              <w:bottom w:val="single" w:sz="4" w:space="0" w:color="auto"/>
            </w:tcBorders>
            <w:noWrap/>
          </w:tcPr>
          <w:p w14:paraId="5D1C9BBF" w14:textId="2A6CC29D" w:rsidR="00240167" w:rsidRPr="00157F55" w:rsidRDefault="00684CCE">
            <w:pPr>
              <w:pStyle w:val="TableText"/>
            </w:pPr>
            <w:r w:rsidRPr="006B0EC7">
              <w:t xml:space="preserve">No. cascade tests </w:t>
            </w:r>
            <w:r>
              <w:br/>
              <w:t xml:space="preserve">(1.8 </w:t>
            </w:r>
            <w:r w:rsidRPr="006B0EC7">
              <w:t xml:space="preserve">per patient </w:t>
            </w:r>
            <w:r>
              <w:t xml:space="preserve">with </w:t>
            </w:r>
            <w:r w:rsidR="00E659A0" w:rsidRPr="000D659D">
              <w:rPr>
                <w:lang w:val="en-US"/>
              </w:rPr>
              <w:t>g</w:t>
            </w:r>
            <w:r w:rsidR="00E659A0" w:rsidRPr="000D659D">
              <w:rPr>
                <w:i/>
                <w:iCs/>
                <w:lang w:val="en-US"/>
              </w:rPr>
              <w:t>BRCA</w:t>
            </w:r>
            <w:r w:rsidR="00E659A0">
              <w:t xml:space="preserve"> </w:t>
            </w:r>
            <w:r>
              <w:t xml:space="preserve">variants </w:t>
            </w:r>
            <w:r w:rsidRPr="006B0EC7">
              <w:t>identified</w:t>
            </w:r>
            <w:r>
              <w:t>)</w:t>
            </w:r>
          </w:p>
        </w:tc>
        <w:tc>
          <w:tcPr>
            <w:tcW w:w="603" w:type="pct"/>
            <w:tcBorders>
              <w:bottom w:val="single" w:sz="4" w:space="0" w:color="auto"/>
            </w:tcBorders>
            <w:noWrap/>
          </w:tcPr>
          <w:p w14:paraId="2D8FDA6F" w14:textId="7CF99321" w:rsidR="00240167" w:rsidRPr="00157F55" w:rsidRDefault="00100F49">
            <w:pPr>
              <w:pStyle w:val="TableText"/>
              <w:jc w:val="right"/>
            </w:pPr>
            <w:r>
              <w:rPr>
                <w:b/>
                <w:bCs/>
              </w:rPr>
              <w:t>r</w:t>
            </w:r>
            <w:r w:rsidRPr="00AC2BEC">
              <w:rPr>
                <w:b/>
                <w:bCs/>
              </w:rPr>
              <w:t>edacted</w:t>
            </w:r>
            <w:r w:rsidRPr="00AC2BEC">
              <w:rPr>
                <w:b/>
                <w:bCs/>
                <w:vertAlign w:val="superscript"/>
              </w:rPr>
              <w:t>2</w:t>
            </w:r>
          </w:p>
        </w:tc>
        <w:tc>
          <w:tcPr>
            <w:tcW w:w="604" w:type="pct"/>
            <w:tcBorders>
              <w:bottom w:val="single" w:sz="4" w:space="0" w:color="auto"/>
            </w:tcBorders>
            <w:noWrap/>
          </w:tcPr>
          <w:p w14:paraId="02BBAB52" w14:textId="0D8E51A0" w:rsidR="00240167" w:rsidRPr="00157F55" w:rsidRDefault="00100F49">
            <w:pPr>
              <w:pStyle w:val="TableText"/>
              <w:jc w:val="right"/>
            </w:pPr>
            <w:r>
              <w:rPr>
                <w:b/>
                <w:bCs/>
              </w:rPr>
              <w:t>r</w:t>
            </w:r>
            <w:r w:rsidRPr="00AC2BEC">
              <w:rPr>
                <w:b/>
                <w:bCs/>
              </w:rPr>
              <w:t>edacted</w:t>
            </w:r>
            <w:r w:rsidRPr="00AC2BEC">
              <w:rPr>
                <w:b/>
                <w:bCs/>
                <w:vertAlign w:val="superscript"/>
              </w:rPr>
              <w:t>2</w:t>
            </w:r>
          </w:p>
        </w:tc>
        <w:tc>
          <w:tcPr>
            <w:tcW w:w="604" w:type="pct"/>
            <w:tcBorders>
              <w:bottom w:val="single" w:sz="4" w:space="0" w:color="auto"/>
            </w:tcBorders>
            <w:noWrap/>
          </w:tcPr>
          <w:p w14:paraId="74A817D7" w14:textId="27DE2BB0" w:rsidR="00240167" w:rsidRPr="00157F55" w:rsidRDefault="00100F49">
            <w:pPr>
              <w:pStyle w:val="TableText"/>
              <w:jc w:val="right"/>
            </w:pPr>
            <w:r>
              <w:rPr>
                <w:b/>
                <w:bCs/>
              </w:rPr>
              <w:t>r</w:t>
            </w:r>
            <w:r w:rsidRPr="00AC2BEC">
              <w:rPr>
                <w:b/>
                <w:bCs/>
              </w:rPr>
              <w:t>edacted</w:t>
            </w:r>
            <w:r w:rsidRPr="00AC2BEC">
              <w:rPr>
                <w:b/>
                <w:bCs/>
                <w:vertAlign w:val="superscript"/>
              </w:rPr>
              <w:t>2</w:t>
            </w:r>
          </w:p>
        </w:tc>
        <w:tc>
          <w:tcPr>
            <w:tcW w:w="603" w:type="pct"/>
            <w:tcBorders>
              <w:bottom w:val="single" w:sz="4" w:space="0" w:color="auto"/>
            </w:tcBorders>
            <w:noWrap/>
          </w:tcPr>
          <w:p w14:paraId="6FA79601" w14:textId="113EBA22" w:rsidR="00240167" w:rsidRPr="00157F55" w:rsidRDefault="00100F49">
            <w:pPr>
              <w:pStyle w:val="TableText"/>
              <w:jc w:val="right"/>
            </w:pPr>
            <w:r>
              <w:rPr>
                <w:b/>
                <w:bCs/>
              </w:rPr>
              <w:t>r</w:t>
            </w:r>
            <w:r w:rsidRPr="00AC2BEC">
              <w:rPr>
                <w:b/>
                <w:bCs/>
              </w:rPr>
              <w:t>edacted</w:t>
            </w:r>
            <w:r w:rsidRPr="00AC2BEC">
              <w:rPr>
                <w:b/>
                <w:bCs/>
                <w:vertAlign w:val="superscript"/>
              </w:rPr>
              <w:t>2</w:t>
            </w:r>
          </w:p>
        </w:tc>
        <w:tc>
          <w:tcPr>
            <w:tcW w:w="604" w:type="pct"/>
            <w:tcBorders>
              <w:bottom w:val="single" w:sz="4" w:space="0" w:color="auto"/>
            </w:tcBorders>
            <w:noWrap/>
          </w:tcPr>
          <w:p w14:paraId="0B32A1B9" w14:textId="37317ED7" w:rsidR="00240167" w:rsidRPr="00157F55" w:rsidRDefault="00100F49">
            <w:pPr>
              <w:pStyle w:val="TableText"/>
              <w:jc w:val="right"/>
            </w:pPr>
            <w:r>
              <w:rPr>
                <w:b/>
                <w:bCs/>
              </w:rPr>
              <w:t xml:space="preserve"> r</w:t>
            </w:r>
            <w:r w:rsidRPr="00AC2BEC">
              <w:rPr>
                <w:b/>
                <w:bCs/>
              </w:rPr>
              <w:t>edacted</w:t>
            </w:r>
            <w:r w:rsidRPr="00AC2BEC">
              <w:rPr>
                <w:b/>
                <w:bCs/>
                <w:vertAlign w:val="superscript"/>
              </w:rPr>
              <w:t>2</w:t>
            </w:r>
          </w:p>
        </w:tc>
        <w:tc>
          <w:tcPr>
            <w:tcW w:w="601" w:type="pct"/>
            <w:tcBorders>
              <w:bottom w:val="single" w:sz="4" w:space="0" w:color="auto"/>
            </w:tcBorders>
            <w:noWrap/>
          </w:tcPr>
          <w:p w14:paraId="3072E557" w14:textId="0B43443F" w:rsidR="00240167" w:rsidRPr="00157F55" w:rsidRDefault="00100F49">
            <w:pPr>
              <w:pStyle w:val="TableText"/>
              <w:jc w:val="right"/>
            </w:pPr>
            <w:r>
              <w:rPr>
                <w:b/>
                <w:bCs/>
              </w:rPr>
              <w:t>r</w:t>
            </w:r>
            <w:r w:rsidRPr="00AC2BEC">
              <w:rPr>
                <w:b/>
                <w:bCs/>
              </w:rPr>
              <w:t>edacted</w:t>
            </w:r>
            <w:r w:rsidRPr="00AC2BEC">
              <w:rPr>
                <w:b/>
                <w:bCs/>
                <w:vertAlign w:val="superscript"/>
              </w:rPr>
              <w:t>2</w:t>
            </w:r>
          </w:p>
        </w:tc>
      </w:tr>
      <w:tr w:rsidR="00240167" w:rsidRPr="00157F55" w14:paraId="3505F341" w14:textId="77777777">
        <w:trPr>
          <w:trHeight w:val="20"/>
        </w:trPr>
        <w:tc>
          <w:tcPr>
            <w:tcW w:w="1381" w:type="pct"/>
            <w:noWrap/>
          </w:tcPr>
          <w:p w14:paraId="7F313C9D" w14:textId="77777777" w:rsidR="00240167" w:rsidRPr="00157F55" w:rsidRDefault="00240167">
            <w:pPr>
              <w:pStyle w:val="TableText"/>
            </w:pPr>
            <w:r w:rsidRPr="006B0EC7">
              <w:t xml:space="preserve">Cost of cascade testing to the MBS </w:t>
            </w:r>
            <w:r>
              <w:br/>
            </w:r>
            <w:r w:rsidRPr="006B0EC7">
              <w:t>($850.00 per relative tested)</w:t>
            </w:r>
          </w:p>
        </w:tc>
        <w:tc>
          <w:tcPr>
            <w:tcW w:w="603" w:type="pct"/>
            <w:noWrap/>
          </w:tcPr>
          <w:p w14:paraId="1EEF5843" w14:textId="2E9DE481" w:rsidR="00240167" w:rsidRPr="00157F55" w:rsidRDefault="00604F40">
            <w:pPr>
              <w:pStyle w:val="TableText"/>
              <w:jc w:val="right"/>
            </w:pPr>
            <w:r>
              <w:rPr>
                <w:b/>
                <w:bCs/>
              </w:rPr>
              <w:t>r</w:t>
            </w:r>
            <w:r w:rsidRPr="00AC2BEC">
              <w:rPr>
                <w:b/>
                <w:bCs/>
              </w:rPr>
              <w:t>edacted</w:t>
            </w:r>
            <w:r w:rsidR="00AD345C" w:rsidRPr="00771162">
              <w:rPr>
                <w:vertAlign w:val="superscript"/>
              </w:rPr>
              <w:t>3</w:t>
            </w:r>
          </w:p>
        </w:tc>
        <w:tc>
          <w:tcPr>
            <w:tcW w:w="604" w:type="pct"/>
            <w:noWrap/>
          </w:tcPr>
          <w:p w14:paraId="5F19B451" w14:textId="7A53F001" w:rsidR="00240167" w:rsidRPr="00157F55" w:rsidRDefault="00604F40">
            <w:pPr>
              <w:pStyle w:val="TableText"/>
              <w:jc w:val="right"/>
            </w:pPr>
            <w:r>
              <w:rPr>
                <w:b/>
                <w:bCs/>
              </w:rPr>
              <w:t>r</w:t>
            </w:r>
            <w:r w:rsidRPr="00AC2BEC">
              <w:rPr>
                <w:b/>
                <w:bCs/>
              </w:rPr>
              <w:t>edacted</w:t>
            </w:r>
            <w:r w:rsidRPr="00AC2BEC">
              <w:rPr>
                <w:vertAlign w:val="superscript"/>
              </w:rPr>
              <w:t>3</w:t>
            </w:r>
          </w:p>
        </w:tc>
        <w:tc>
          <w:tcPr>
            <w:tcW w:w="604" w:type="pct"/>
            <w:noWrap/>
          </w:tcPr>
          <w:p w14:paraId="7827672E" w14:textId="012B5555" w:rsidR="00240167" w:rsidRPr="00157F55" w:rsidRDefault="00604F40">
            <w:pPr>
              <w:pStyle w:val="TableText"/>
              <w:jc w:val="right"/>
            </w:pPr>
            <w:r>
              <w:rPr>
                <w:b/>
                <w:bCs/>
              </w:rPr>
              <w:t>r</w:t>
            </w:r>
            <w:r w:rsidRPr="00AC2BEC">
              <w:rPr>
                <w:b/>
                <w:bCs/>
              </w:rPr>
              <w:t>edacted</w:t>
            </w:r>
            <w:r w:rsidRPr="00AC2BEC">
              <w:rPr>
                <w:vertAlign w:val="superscript"/>
              </w:rPr>
              <w:t>3</w:t>
            </w:r>
          </w:p>
        </w:tc>
        <w:tc>
          <w:tcPr>
            <w:tcW w:w="603" w:type="pct"/>
            <w:noWrap/>
          </w:tcPr>
          <w:p w14:paraId="1AAE5529" w14:textId="76755C97" w:rsidR="00240167" w:rsidRPr="00157F55" w:rsidRDefault="00604F40">
            <w:pPr>
              <w:pStyle w:val="TableText"/>
              <w:jc w:val="right"/>
            </w:pPr>
            <w:r>
              <w:rPr>
                <w:b/>
                <w:bCs/>
              </w:rPr>
              <w:t>r</w:t>
            </w:r>
            <w:r w:rsidRPr="00AC2BEC">
              <w:rPr>
                <w:b/>
                <w:bCs/>
              </w:rPr>
              <w:t>edacted</w:t>
            </w:r>
            <w:r w:rsidRPr="00AC2BEC">
              <w:rPr>
                <w:vertAlign w:val="superscript"/>
              </w:rPr>
              <w:t>3</w:t>
            </w:r>
          </w:p>
        </w:tc>
        <w:tc>
          <w:tcPr>
            <w:tcW w:w="604" w:type="pct"/>
            <w:noWrap/>
          </w:tcPr>
          <w:p w14:paraId="2D05CCB4" w14:textId="0F6E0E56" w:rsidR="00240167" w:rsidRPr="00157F55" w:rsidRDefault="00604F40">
            <w:pPr>
              <w:pStyle w:val="TableText"/>
              <w:jc w:val="right"/>
            </w:pPr>
            <w:r>
              <w:rPr>
                <w:b/>
                <w:bCs/>
              </w:rPr>
              <w:t>r</w:t>
            </w:r>
            <w:r w:rsidRPr="00AC2BEC">
              <w:rPr>
                <w:b/>
                <w:bCs/>
              </w:rPr>
              <w:t>edacted</w:t>
            </w:r>
            <w:r w:rsidRPr="00AC2BEC">
              <w:rPr>
                <w:vertAlign w:val="superscript"/>
              </w:rPr>
              <w:t>3</w:t>
            </w:r>
          </w:p>
        </w:tc>
        <w:tc>
          <w:tcPr>
            <w:tcW w:w="601" w:type="pct"/>
            <w:noWrap/>
          </w:tcPr>
          <w:p w14:paraId="528AE1D1" w14:textId="107994E1" w:rsidR="00240167" w:rsidRPr="00157F55" w:rsidRDefault="00604F40">
            <w:pPr>
              <w:pStyle w:val="TableText"/>
              <w:jc w:val="right"/>
            </w:pPr>
            <w:r>
              <w:rPr>
                <w:b/>
                <w:bCs/>
              </w:rPr>
              <w:t>r</w:t>
            </w:r>
            <w:r w:rsidRPr="00AC2BEC">
              <w:rPr>
                <w:b/>
                <w:bCs/>
              </w:rPr>
              <w:t>edacted</w:t>
            </w:r>
            <w:r w:rsidRPr="00AC2BEC">
              <w:rPr>
                <w:vertAlign w:val="superscript"/>
              </w:rPr>
              <w:t>3</w:t>
            </w:r>
          </w:p>
        </w:tc>
      </w:tr>
      <w:tr w:rsidR="00F72056" w:rsidRPr="00157F55" w14:paraId="49C4AA10" w14:textId="77777777">
        <w:trPr>
          <w:trHeight w:val="20"/>
        </w:trPr>
        <w:tc>
          <w:tcPr>
            <w:tcW w:w="1381" w:type="pct"/>
            <w:noWrap/>
          </w:tcPr>
          <w:p w14:paraId="1E6525E2" w14:textId="1CEBB5D5" w:rsidR="00F72056" w:rsidRPr="006B0EC7" w:rsidRDefault="00F72056" w:rsidP="00F72056">
            <w:pPr>
              <w:pStyle w:val="TableText"/>
              <w:ind w:left="167"/>
            </w:pPr>
            <w:r>
              <w:rPr>
                <w:i/>
                <w:iCs/>
              </w:rPr>
              <w:t xml:space="preserve">Revised </w:t>
            </w:r>
            <w:r>
              <w:rPr>
                <w:i/>
                <w:iCs/>
              </w:rPr>
              <w:br/>
              <w:t>($340.00 per relative tested)</w:t>
            </w:r>
          </w:p>
        </w:tc>
        <w:tc>
          <w:tcPr>
            <w:tcW w:w="603" w:type="pct"/>
            <w:noWrap/>
          </w:tcPr>
          <w:p w14:paraId="296B12C3" w14:textId="23513B81" w:rsidR="00F72056" w:rsidRPr="006B0EC7" w:rsidRDefault="00604F40" w:rsidP="00F72056">
            <w:pPr>
              <w:pStyle w:val="TableText"/>
              <w:jc w:val="right"/>
            </w:pPr>
            <w:r>
              <w:rPr>
                <w:b/>
                <w:bCs/>
              </w:rPr>
              <w:t>r</w:t>
            </w:r>
            <w:r w:rsidRPr="00AC2BEC">
              <w:rPr>
                <w:b/>
                <w:bCs/>
              </w:rPr>
              <w:t>edacted</w:t>
            </w:r>
            <w:r w:rsidRPr="00AC2BEC">
              <w:rPr>
                <w:vertAlign w:val="superscript"/>
              </w:rPr>
              <w:t>3</w:t>
            </w:r>
          </w:p>
        </w:tc>
        <w:tc>
          <w:tcPr>
            <w:tcW w:w="604" w:type="pct"/>
            <w:noWrap/>
          </w:tcPr>
          <w:p w14:paraId="0BBB9D82" w14:textId="7E648D70" w:rsidR="00F72056" w:rsidRPr="006B0EC7" w:rsidRDefault="00604F40" w:rsidP="00F72056">
            <w:pPr>
              <w:pStyle w:val="TableText"/>
              <w:jc w:val="right"/>
            </w:pPr>
            <w:r>
              <w:rPr>
                <w:b/>
                <w:bCs/>
              </w:rPr>
              <w:t>r</w:t>
            </w:r>
            <w:r w:rsidRPr="00AC2BEC">
              <w:rPr>
                <w:b/>
                <w:bCs/>
              </w:rPr>
              <w:t>edacted</w:t>
            </w:r>
            <w:r w:rsidRPr="00AC2BEC">
              <w:rPr>
                <w:vertAlign w:val="superscript"/>
              </w:rPr>
              <w:t>3</w:t>
            </w:r>
          </w:p>
        </w:tc>
        <w:tc>
          <w:tcPr>
            <w:tcW w:w="604" w:type="pct"/>
            <w:noWrap/>
          </w:tcPr>
          <w:p w14:paraId="37962F76" w14:textId="72931020" w:rsidR="00F72056" w:rsidRPr="006B0EC7" w:rsidRDefault="00604F40" w:rsidP="00F72056">
            <w:pPr>
              <w:pStyle w:val="TableText"/>
              <w:jc w:val="right"/>
            </w:pPr>
            <w:r>
              <w:rPr>
                <w:b/>
                <w:bCs/>
              </w:rPr>
              <w:t>r</w:t>
            </w:r>
            <w:r w:rsidRPr="00AC2BEC">
              <w:rPr>
                <w:b/>
                <w:bCs/>
              </w:rPr>
              <w:t>edacted</w:t>
            </w:r>
            <w:r w:rsidRPr="00AC2BEC">
              <w:rPr>
                <w:vertAlign w:val="superscript"/>
              </w:rPr>
              <w:t>3</w:t>
            </w:r>
          </w:p>
        </w:tc>
        <w:tc>
          <w:tcPr>
            <w:tcW w:w="603" w:type="pct"/>
            <w:noWrap/>
          </w:tcPr>
          <w:p w14:paraId="17A7944B" w14:textId="0EDE8102" w:rsidR="00F72056" w:rsidRPr="006B0EC7" w:rsidRDefault="00604F40" w:rsidP="00F72056">
            <w:pPr>
              <w:pStyle w:val="TableText"/>
              <w:jc w:val="right"/>
            </w:pPr>
            <w:r>
              <w:rPr>
                <w:b/>
                <w:bCs/>
              </w:rPr>
              <w:t>r</w:t>
            </w:r>
            <w:r w:rsidRPr="00AC2BEC">
              <w:rPr>
                <w:b/>
                <w:bCs/>
              </w:rPr>
              <w:t>edacted</w:t>
            </w:r>
            <w:r w:rsidRPr="00AC2BEC">
              <w:rPr>
                <w:vertAlign w:val="superscript"/>
              </w:rPr>
              <w:t>3</w:t>
            </w:r>
          </w:p>
        </w:tc>
        <w:tc>
          <w:tcPr>
            <w:tcW w:w="604" w:type="pct"/>
            <w:noWrap/>
          </w:tcPr>
          <w:p w14:paraId="12F0AD3B" w14:textId="0907D411" w:rsidR="00F72056" w:rsidRPr="006B0EC7" w:rsidRDefault="00604F40" w:rsidP="00F72056">
            <w:pPr>
              <w:pStyle w:val="TableText"/>
              <w:jc w:val="right"/>
            </w:pPr>
            <w:r>
              <w:rPr>
                <w:b/>
                <w:bCs/>
              </w:rPr>
              <w:t>r</w:t>
            </w:r>
            <w:r w:rsidRPr="00AC2BEC">
              <w:rPr>
                <w:b/>
                <w:bCs/>
              </w:rPr>
              <w:t>edacted</w:t>
            </w:r>
            <w:r w:rsidRPr="00AC2BEC">
              <w:rPr>
                <w:vertAlign w:val="superscript"/>
              </w:rPr>
              <w:t>3</w:t>
            </w:r>
          </w:p>
        </w:tc>
        <w:tc>
          <w:tcPr>
            <w:tcW w:w="601" w:type="pct"/>
            <w:noWrap/>
          </w:tcPr>
          <w:p w14:paraId="36327BD0" w14:textId="3B8E280B" w:rsidR="00F72056" w:rsidRPr="006B0EC7" w:rsidRDefault="00604F40" w:rsidP="00F72056">
            <w:pPr>
              <w:pStyle w:val="TableText"/>
              <w:jc w:val="right"/>
            </w:pPr>
            <w:r>
              <w:rPr>
                <w:b/>
                <w:bCs/>
              </w:rPr>
              <w:t>r</w:t>
            </w:r>
            <w:r w:rsidRPr="00AC2BEC">
              <w:rPr>
                <w:b/>
                <w:bCs/>
              </w:rPr>
              <w:t>edacted</w:t>
            </w:r>
            <w:r w:rsidRPr="00AC2BEC">
              <w:rPr>
                <w:vertAlign w:val="superscript"/>
              </w:rPr>
              <w:t>3</w:t>
            </w:r>
          </w:p>
        </w:tc>
      </w:tr>
    </w:tbl>
    <w:p w14:paraId="7BCDF3BE" w14:textId="045C61CB" w:rsidR="00F72056" w:rsidRDefault="00F72056" w:rsidP="00F72056">
      <w:pPr>
        <w:pStyle w:val="TableFigureFooter"/>
      </w:pPr>
      <w:r>
        <w:t xml:space="preserve">Source: Constructed during the evaluation from Table 4.34, p293; Table 4.35, pp293−4 and Table 4.38, p295 of the </w:t>
      </w:r>
      <w:r w:rsidR="000315EA">
        <w:t xml:space="preserve">PBAC </w:t>
      </w:r>
      <w:r>
        <w:t>resubmission and from the ‘Att_4.1_OlympiA UCM_AZ Resubmission_FINAL.xlsx’ file.</w:t>
      </w:r>
    </w:p>
    <w:p w14:paraId="48B8682C" w14:textId="77777777" w:rsidR="00D8423B" w:rsidRDefault="00D8423B" w:rsidP="00D8423B">
      <w:pPr>
        <w:pStyle w:val="TableFigureFooter"/>
      </w:pPr>
      <w:bookmarkStart w:id="48" w:name="_Hlk144124695"/>
      <w:r>
        <w:t>Note: Analyses are presented for each calendar year.</w:t>
      </w:r>
    </w:p>
    <w:p w14:paraId="4051E6C5" w14:textId="000DFE9A" w:rsidR="00240167" w:rsidRDefault="008C513A" w:rsidP="00F72056">
      <w:pPr>
        <w:pStyle w:val="TableFigureFooter"/>
      </w:pPr>
      <w:r w:rsidRPr="000D659D">
        <w:rPr>
          <w:lang w:val="en-US"/>
        </w:rPr>
        <w:t>g</w:t>
      </w:r>
      <w:r w:rsidRPr="000D659D">
        <w:rPr>
          <w:i/>
          <w:iCs/>
          <w:lang w:val="en-US"/>
        </w:rPr>
        <w:t>BRCA</w:t>
      </w:r>
      <w:r w:rsidRPr="00487719">
        <w:t xml:space="preserve"> = germline </w:t>
      </w:r>
      <w:r w:rsidRPr="001B7AF2">
        <w:rPr>
          <w:i/>
          <w:iCs/>
        </w:rPr>
        <w:t>BReast CAncer</w:t>
      </w:r>
      <w:r w:rsidRPr="00487719">
        <w:t xml:space="preserve"> gene</w:t>
      </w:r>
      <w:r w:rsidR="00F72056">
        <w:t>.</w:t>
      </w:r>
    </w:p>
    <w:p w14:paraId="5444259B" w14:textId="7FC5F88D" w:rsidR="007F71A5" w:rsidRPr="00D42E47" w:rsidRDefault="007F71A5" w:rsidP="007F71A5">
      <w:pPr>
        <w:pStyle w:val="TableFigureFooter"/>
        <w:rPr>
          <w:szCs w:val="18"/>
        </w:rPr>
      </w:pPr>
      <w:r w:rsidRPr="00D42E47">
        <w:rPr>
          <w:szCs w:val="18"/>
          <w:vertAlign w:val="superscript"/>
        </w:rPr>
        <w:t>1</w:t>
      </w:r>
      <w:r w:rsidRPr="00D42E47">
        <w:rPr>
          <w:szCs w:val="18"/>
        </w:rPr>
        <w:t xml:space="preserve"> </w:t>
      </w:r>
      <w:r w:rsidR="00BD341C" w:rsidRPr="00BD341C">
        <w:rPr>
          <w:szCs w:val="18"/>
        </w:rPr>
        <w:t>&lt; 500</w:t>
      </w:r>
    </w:p>
    <w:p w14:paraId="22EA404E" w14:textId="62B9A262" w:rsidR="008866AD" w:rsidRPr="00D42E47" w:rsidRDefault="008866AD" w:rsidP="007F71A5">
      <w:pPr>
        <w:pStyle w:val="TableFigureFooter"/>
        <w:rPr>
          <w:szCs w:val="18"/>
        </w:rPr>
      </w:pPr>
      <w:r w:rsidRPr="00771162">
        <w:rPr>
          <w:szCs w:val="18"/>
          <w:vertAlign w:val="superscript"/>
        </w:rPr>
        <w:t>2</w:t>
      </w:r>
      <w:r w:rsidRPr="00D42E47">
        <w:rPr>
          <w:szCs w:val="18"/>
        </w:rPr>
        <w:t xml:space="preserve"> </w:t>
      </w:r>
      <w:r w:rsidR="00C35F5D" w:rsidRPr="00C35F5D">
        <w:rPr>
          <w:szCs w:val="18"/>
        </w:rPr>
        <w:t>500 to &lt; 5,000</w:t>
      </w:r>
    </w:p>
    <w:p w14:paraId="3859856E" w14:textId="156233D6" w:rsidR="007F71A5" w:rsidRPr="00771162" w:rsidRDefault="00AD345C" w:rsidP="00F72056">
      <w:pPr>
        <w:pStyle w:val="TableFigureFooter"/>
        <w:rPr>
          <w:szCs w:val="18"/>
        </w:rPr>
      </w:pPr>
      <w:r w:rsidRPr="00771162">
        <w:rPr>
          <w:szCs w:val="18"/>
          <w:vertAlign w:val="superscript"/>
        </w:rPr>
        <w:t>3</w:t>
      </w:r>
      <w:r w:rsidRPr="00771162">
        <w:rPr>
          <w:szCs w:val="18"/>
        </w:rPr>
        <w:t xml:space="preserve"> </w:t>
      </w:r>
      <w:r w:rsidR="00604F40" w:rsidRPr="00A9386E">
        <w:rPr>
          <w:szCs w:val="18"/>
        </w:rPr>
        <w:t>$0 to &lt; $10 million</w:t>
      </w:r>
    </w:p>
    <w:p w14:paraId="67F143D9" w14:textId="759F83B8" w:rsidR="008442B9" w:rsidRPr="000E600F" w:rsidRDefault="00F72056" w:rsidP="008442B9">
      <w:pPr>
        <w:pStyle w:val="Caption"/>
      </w:pPr>
      <w:bookmarkStart w:id="49" w:name="_Ref144124314"/>
      <w:bookmarkEnd w:id="48"/>
      <w:r w:rsidRPr="000E600F">
        <w:t>Table </w:t>
      </w:r>
      <w:r w:rsidR="001947BE">
        <w:fldChar w:fldCharType="begin"/>
      </w:r>
      <w:r w:rsidR="001947BE">
        <w:instrText xml:space="preserve"> SEQ Table \* ARABIC </w:instrText>
      </w:r>
      <w:r w:rsidR="001947BE">
        <w:fldChar w:fldCharType="separate"/>
      </w:r>
      <w:r w:rsidR="00D8423B" w:rsidRPr="000E600F">
        <w:t>14</w:t>
      </w:r>
      <w:r w:rsidR="001947BE">
        <w:fldChar w:fldCharType="end"/>
      </w:r>
      <w:bookmarkEnd w:id="49"/>
      <w:r w:rsidRPr="000E600F">
        <w:tab/>
      </w:r>
      <w:r w:rsidR="008442B9" w:rsidRPr="000E600F">
        <w:t>Estimated change in use and cost of incremental cascade testing</w:t>
      </w:r>
    </w:p>
    <w:tbl>
      <w:tblPr>
        <w:tblStyle w:val="TableGrid"/>
        <w:tblW w:w="5000" w:type="pct"/>
        <w:tblLayout w:type="fixed"/>
        <w:tblLook w:val="04A0" w:firstRow="1" w:lastRow="0" w:firstColumn="1" w:lastColumn="0" w:noHBand="0" w:noVBand="1"/>
      </w:tblPr>
      <w:tblGrid>
        <w:gridCol w:w="237"/>
        <w:gridCol w:w="3304"/>
        <w:gridCol w:w="913"/>
        <w:gridCol w:w="913"/>
        <w:gridCol w:w="913"/>
        <w:gridCol w:w="912"/>
        <w:gridCol w:w="912"/>
        <w:gridCol w:w="912"/>
      </w:tblGrid>
      <w:tr w:rsidR="00661DB5" w:rsidRPr="00157F55" w14:paraId="6EAF6021" w14:textId="77777777" w:rsidTr="00661DB5">
        <w:trPr>
          <w:trHeight w:val="20"/>
        </w:trPr>
        <w:tc>
          <w:tcPr>
            <w:tcW w:w="131" w:type="pct"/>
          </w:tcPr>
          <w:p w14:paraId="6C2E6551" w14:textId="77777777" w:rsidR="00661DB5" w:rsidRPr="00157F55" w:rsidRDefault="00661DB5" w:rsidP="002C49EA">
            <w:pPr>
              <w:pStyle w:val="In-tableHeading"/>
            </w:pPr>
          </w:p>
        </w:tc>
        <w:tc>
          <w:tcPr>
            <w:tcW w:w="1832" w:type="pct"/>
            <w:noWrap/>
            <w:hideMark/>
          </w:tcPr>
          <w:p w14:paraId="2A3F3341" w14:textId="6045ADEE" w:rsidR="00661DB5" w:rsidRPr="00157F55" w:rsidRDefault="00661DB5" w:rsidP="002C49EA">
            <w:pPr>
              <w:pStyle w:val="In-tableHeading"/>
            </w:pPr>
          </w:p>
        </w:tc>
        <w:tc>
          <w:tcPr>
            <w:tcW w:w="506" w:type="pct"/>
            <w:noWrap/>
            <w:hideMark/>
          </w:tcPr>
          <w:p w14:paraId="559E0E31" w14:textId="77777777" w:rsidR="00661DB5" w:rsidRPr="00157F55" w:rsidRDefault="00661DB5" w:rsidP="002C49EA">
            <w:pPr>
              <w:pStyle w:val="In-tableHeading"/>
              <w:jc w:val="center"/>
            </w:pPr>
            <w:r w:rsidRPr="00157F55">
              <w:t>2024</w:t>
            </w:r>
          </w:p>
        </w:tc>
        <w:tc>
          <w:tcPr>
            <w:tcW w:w="506" w:type="pct"/>
            <w:noWrap/>
            <w:hideMark/>
          </w:tcPr>
          <w:p w14:paraId="2B9355E1" w14:textId="77777777" w:rsidR="00661DB5" w:rsidRPr="00157F55" w:rsidRDefault="00661DB5" w:rsidP="002C49EA">
            <w:pPr>
              <w:pStyle w:val="In-tableHeading"/>
              <w:jc w:val="center"/>
            </w:pPr>
            <w:r w:rsidRPr="00157F55">
              <w:t>2025</w:t>
            </w:r>
          </w:p>
        </w:tc>
        <w:tc>
          <w:tcPr>
            <w:tcW w:w="506" w:type="pct"/>
            <w:noWrap/>
            <w:hideMark/>
          </w:tcPr>
          <w:p w14:paraId="4E5257AD" w14:textId="77777777" w:rsidR="00661DB5" w:rsidRPr="00157F55" w:rsidRDefault="00661DB5" w:rsidP="002C49EA">
            <w:pPr>
              <w:pStyle w:val="In-tableHeading"/>
              <w:jc w:val="center"/>
            </w:pPr>
            <w:r w:rsidRPr="00157F55">
              <w:t>2026</w:t>
            </w:r>
          </w:p>
        </w:tc>
        <w:tc>
          <w:tcPr>
            <w:tcW w:w="506" w:type="pct"/>
            <w:noWrap/>
            <w:hideMark/>
          </w:tcPr>
          <w:p w14:paraId="47FA77DE" w14:textId="77777777" w:rsidR="00661DB5" w:rsidRPr="00157F55" w:rsidRDefault="00661DB5" w:rsidP="002C49EA">
            <w:pPr>
              <w:pStyle w:val="In-tableHeading"/>
              <w:jc w:val="center"/>
            </w:pPr>
            <w:r w:rsidRPr="00157F55">
              <w:t>2027</w:t>
            </w:r>
          </w:p>
        </w:tc>
        <w:tc>
          <w:tcPr>
            <w:tcW w:w="506" w:type="pct"/>
            <w:noWrap/>
            <w:hideMark/>
          </w:tcPr>
          <w:p w14:paraId="6ED54854" w14:textId="77777777" w:rsidR="00661DB5" w:rsidRPr="00157F55" w:rsidRDefault="00661DB5" w:rsidP="002C49EA">
            <w:pPr>
              <w:pStyle w:val="In-tableHeading"/>
              <w:jc w:val="center"/>
            </w:pPr>
            <w:r w:rsidRPr="00157F55">
              <w:t>2028</w:t>
            </w:r>
          </w:p>
        </w:tc>
        <w:tc>
          <w:tcPr>
            <w:tcW w:w="506" w:type="pct"/>
            <w:noWrap/>
            <w:hideMark/>
          </w:tcPr>
          <w:p w14:paraId="07449FB4" w14:textId="77777777" w:rsidR="00661DB5" w:rsidRPr="00157F55" w:rsidRDefault="00661DB5" w:rsidP="002C49EA">
            <w:pPr>
              <w:pStyle w:val="In-tableHeading"/>
              <w:jc w:val="center"/>
            </w:pPr>
            <w:r w:rsidRPr="00157F55">
              <w:t>2029</w:t>
            </w:r>
          </w:p>
        </w:tc>
      </w:tr>
      <w:tr w:rsidR="00661DB5" w:rsidRPr="00E74BFB" w14:paraId="5E093DB3" w14:textId="77777777" w:rsidTr="00661DB5">
        <w:trPr>
          <w:trHeight w:val="20"/>
        </w:trPr>
        <w:tc>
          <w:tcPr>
            <w:tcW w:w="131" w:type="pct"/>
          </w:tcPr>
          <w:p w14:paraId="35FEE9B5" w14:textId="32454ED1" w:rsidR="00661DB5" w:rsidRPr="00470140" w:rsidRDefault="00661DB5" w:rsidP="00661DB5">
            <w:pPr>
              <w:pStyle w:val="TableText"/>
              <w:keepNext/>
            </w:pPr>
            <w:r>
              <w:t>A</w:t>
            </w:r>
          </w:p>
        </w:tc>
        <w:tc>
          <w:tcPr>
            <w:tcW w:w="1832" w:type="pct"/>
            <w:noWrap/>
          </w:tcPr>
          <w:p w14:paraId="5907C47A" w14:textId="2EBB9DB6" w:rsidR="00661DB5" w:rsidRPr="00470140" w:rsidRDefault="00661DB5" w:rsidP="00661DB5">
            <w:pPr>
              <w:pStyle w:val="TableText"/>
              <w:keepNext/>
            </w:pPr>
            <w:r w:rsidRPr="00470140">
              <w:t xml:space="preserve">No. TNBC patients tested </w:t>
            </w:r>
            <w:r>
              <w:t>without</w:t>
            </w:r>
            <w:r w:rsidRPr="00470140">
              <w:t xml:space="preserve"> olaparib listing (Row D</w:t>
            </w:r>
            <w:r>
              <w:t xml:space="preserve">, </w:t>
            </w:r>
            <w:r w:rsidRPr="00801346">
              <w:rPr>
                <w:highlight w:val="yellow"/>
              </w:rPr>
              <w:fldChar w:fldCharType="begin"/>
            </w:r>
            <w:r w:rsidRPr="00801346">
              <w:instrText xml:space="preserve"> REF _Ref69726382 \h </w:instrText>
            </w:r>
            <w:r w:rsidR="00801346">
              <w:rPr>
                <w:highlight w:val="yellow"/>
              </w:rPr>
              <w:instrText xml:space="preserve"> \* MERGEFORMAT </w:instrText>
            </w:r>
            <w:r w:rsidRPr="00801346">
              <w:rPr>
                <w:highlight w:val="yellow"/>
              </w:rPr>
            </w:r>
            <w:r w:rsidRPr="00801346">
              <w:rPr>
                <w:highlight w:val="yellow"/>
              </w:rPr>
              <w:fldChar w:fldCharType="separate"/>
            </w:r>
            <w:r w:rsidR="00D8423B" w:rsidRPr="00801346">
              <w:t>Table </w:t>
            </w:r>
            <w:r w:rsidR="00D8423B" w:rsidRPr="00801346">
              <w:rPr>
                <w:noProof/>
              </w:rPr>
              <w:t>12</w:t>
            </w:r>
            <w:r w:rsidRPr="00801346">
              <w:rPr>
                <w:highlight w:val="yellow"/>
              </w:rPr>
              <w:fldChar w:fldCharType="end"/>
            </w:r>
            <w:r w:rsidRPr="00801346">
              <w:t>)</w:t>
            </w:r>
          </w:p>
        </w:tc>
        <w:tc>
          <w:tcPr>
            <w:tcW w:w="506" w:type="pct"/>
            <w:noWrap/>
          </w:tcPr>
          <w:p w14:paraId="1A096B24" w14:textId="3750B738" w:rsidR="00661DB5" w:rsidRPr="002255CB" w:rsidRDefault="00F16671" w:rsidP="00661DB5">
            <w:pPr>
              <w:pStyle w:val="TableText"/>
              <w:keepNext/>
              <w:jc w:val="right"/>
            </w:pPr>
            <w:r w:rsidRPr="00771162">
              <w:rPr>
                <w:b/>
                <w:bCs/>
              </w:rPr>
              <w:t>redacted</w:t>
            </w:r>
            <w:r w:rsidR="00856F33" w:rsidRPr="00771162">
              <w:rPr>
                <w:vertAlign w:val="superscript"/>
              </w:rPr>
              <w:t>1</w:t>
            </w:r>
          </w:p>
        </w:tc>
        <w:tc>
          <w:tcPr>
            <w:tcW w:w="506" w:type="pct"/>
            <w:noWrap/>
          </w:tcPr>
          <w:p w14:paraId="7660105A" w14:textId="2E91BC68" w:rsidR="00661DB5" w:rsidRPr="002255CB" w:rsidRDefault="00DD403F" w:rsidP="00661DB5">
            <w:pPr>
              <w:pStyle w:val="TableText"/>
              <w:keepNext/>
              <w:jc w:val="right"/>
            </w:pPr>
            <w:r w:rsidRPr="00AC2BEC">
              <w:rPr>
                <w:b/>
                <w:bCs/>
              </w:rPr>
              <w:t>redacted</w:t>
            </w:r>
            <w:r w:rsidRPr="002255CB" w:rsidDel="00DD403F">
              <w:t xml:space="preserve"> </w:t>
            </w:r>
            <w:r w:rsidR="00856F33" w:rsidRPr="009B7852">
              <w:rPr>
                <w:vertAlign w:val="superscript"/>
              </w:rPr>
              <w:t>1</w:t>
            </w:r>
          </w:p>
        </w:tc>
        <w:tc>
          <w:tcPr>
            <w:tcW w:w="506" w:type="pct"/>
            <w:noWrap/>
          </w:tcPr>
          <w:p w14:paraId="5E604973" w14:textId="27F5AC30" w:rsidR="00661DB5" w:rsidRPr="002255CB" w:rsidRDefault="00DD403F" w:rsidP="00661DB5">
            <w:pPr>
              <w:pStyle w:val="TableText"/>
              <w:keepNext/>
              <w:jc w:val="right"/>
            </w:pPr>
            <w:r w:rsidRPr="00AC2BEC">
              <w:rPr>
                <w:b/>
                <w:bCs/>
              </w:rPr>
              <w:t>redacted</w:t>
            </w:r>
            <w:r w:rsidRPr="002255CB" w:rsidDel="00DD403F">
              <w:t xml:space="preserve"> </w:t>
            </w:r>
            <w:r w:rsidR="00856F33" w:rsidRPr="009B7852">
              <w:rPr>
                <w:vertAlign w:val="superscript"/>
              </w:rPr>
              <w:t>1</w:t>
            </w:r>
          </w:p>
        </w:tc>
        <w:tc>
          <w:tcPr>
            <w:tcW w:w="506" w:type="pct"/>
            <w:noWrap/>
          </w:tcPr>
          <w:p w14:paraId="2EEEAB40" w14:textId="16DB6F14" w:rsidR="00661DB5" w:rsidRPr="002255CB" w:rsidRDefault="00DD403F" w:rsidP="00661DB5">
            <w:pPr>
              <w:pStyle w:val="TableText"/>
              <w:keepNext/>
              <w:jc w:val="right"/>
            </w:pPr>
            <w:r w:rsidRPr="00AC2BEC">
              <w:rPr>
                <w:b/>
                <w:bCs/>
              </w:rPr>
              <w:t>redacted</w:t>
            </w:r>
            <w:r w:rsidRPr="002255CB" w:rsidDel="00DD403F">
              <w:t xml:space="preserve"> </w:t>
            </w:r>
            <w:r w:rsidR="00856F33" w:rsidRPr="009B7852">
              <w:rPr>
                <w:vertAlign w:val="superscript"/>
              </w:rPr>
              <w:t>1</w:t>
            </w:r>
          </w:p>
        </w:tc>
        <w:tc>
          <w:tcPr>
            <w:tcW w:w="506" w:type="pct"/>
            <w:noWrap/>
          </w:tcPr>
          <w:p w14:paraId="152C945D" w14:textId="7B410A3C" w:rsidR="00661DB5" w:rsidRPr="002255CB" w:rsidRDefault="00DD403F" w:rsidP="00661DB5">
            <w:pPr>
              <w:pStyle w:val="TableText"/>
              <w:keepNext/>
              <w:jc w:val="right"/>
            </w:pPr>
            <w:r w:rsidRPr="00AC2BEC">
              <w:rPr>
                <w:b/>
                <w:bCs/>
              </w:rPr>
              <w:t>redacted</w:t>
            </w:r>
            <w:r w:rsidRPr="002255CB" w:rsidDel="00DD403F">
              <w:t xml:space="preserve"> </w:t>
            </w:r>
            <w:r w:rsidR="00856F33" w:rsidRPr="009B7852">
              <w:rPr>
                <w:vertAlign w:val="superscript"/>
              </w:rPr>
              <w:t>1</w:t>
            </w:r>
          </w:p>
        </w:tc>
        <w:tc>
          <w:tcPr>
            <w:tcW w:w="506" w:type="pct"/>
            <w:noWrap/>
          </w:tcPr>
          <w:p w14:paraId="6A446CA7" w14:textId="746226A4" w:rsidR="00661DB5" w:rsidRPr="002255CB" w:rsidRDefault="00DD403F" w:rsidP="00661DB5">
            <w:pPr>
              <w:pStyle w:val="TableText"/>
              <w:keepNext/>
              <w:jc w:val="right"/>
            </w:pPr>
            <w:r w:rsidRPr="00AC2BEC">
              <w:rPr>
                <w:b/>
                <w:bCs/>
              </w:rPr>
              <w:t>redacted</w:t>
            </w:r>
            <w:r w:rsidRPr="002255CB" w:rsidDel="00DD403F">
              <w:t xml:space="preserve"> </w:t>
            </w:r>
            <w:r w:rsidR="00D42E47" w:rsidRPr="009B7852">
              <w:rPr>
                <w:vertAlign w:val="superscript"/>
              </w:rPr>
              <w:t>1</w:t>
            </w:r>
          </w:p>
        </w:tc>
      </w:tr>
      <w:tr w:rsidR="00661DB5" w:rsidRPr="002255CB" w14:paraId="11C70AA0" w14:textId="77777777" w:rsidTr="00661DB5">
        <w:trPr>
          <w:trHeight w:val="20"/>
        </w:trPr>
        <w:tc>
          <w:tcPr>
            <w:tcW w:w="131" w:type="pct"/>
          </w:tcPr>
          <w:p w14:paraId="5558E3EF" w14:textId="27ED86DD" w:rsidR="00661DB5" w:rsidRPr="000E600F" w:rsidRDefault="00661DB5" w:rsidP="00661DB5">
            <w:pPr>
              <w:pStyle w:val="TableText"/>
              <w:keepNext/>
            </w:pPr>
            <w:r>
              <w:t>B</w:t>
            </w:r>
          </w:p>
        </w:tc>
        <w:tc>
          <w:tcPr>
            <w:tcW w:w="1832" w:type="pct"/>
            <w:noWrap/>
          </w:tcPr>
          <w:p w14:paraId="2390DF9C" w14:textId="645A8EAB" w:rsidR="00661DB5" w:rsidRPr="000E600F" w:rsidRDefault="00661DB5" w:rsidP="00661DB5">
            <w:pPr>
              <w:pStyle w:val="TableText"/>
              <w:keepNext/>
            </w:pPr>
            <w:r w:rsidRPr="000E600F">
              <w:t>No. TNBC patients who would have been identified with g</w:t>
            </w:r>
            <w:r w:rsidR="00A96FCF" w:rsidRPr="00A96FCF">
              <w:rPr>
                <w:i/>
                <w:iCs/>
              </w:rPr>
              <w:t>BRCA</w:t>
            </w:r>
            <w:r w:rsidRPr="000E600F">
              <w:t xml:space="preserve"> variants (A × 13.3%)</w:t>
            </w:r>
          </w:p>
        </w:tc>
        <w:tc>
          <w:tcPr>
            <w:tcW w:w="506" w:type="pct"/>
            <w:shd w:val="clear" w:color="auto" w:fill="auto"/>
            <w:noWrap/>
          </w:tcPr>
          <w:p w14:paraId="07DF2683" w14:textId="74715437" w:rsidR="00661DB5" w:rsidRPr="000E600F" w:rsidRDefault="00C27DFF" w:rsidP="00661DB5">
            <w:pPr>
              <w:pStyle w:val="TableText"/>
              <w:keepNext/>
              <w:jc w:val="right"/>
            </w:pPr>
            <w:r w:rsidRPr="00AC2BEC">
              <w:rPr>
                <w:b/>
                <w:bCs/>
              </w:rPr>
              <w:t>redacted</w:t>
            </w:r>
            <w:r w:rsidRPr="000E600F" w:rsidDel="00C27DFF">
              <w:t xml:space="preserve"> </w:t>
            </w:r>
            <w:r w:rsidR="00D42E47" w:rsidRPr="00771162">
              <w:rPr>
                <w:vertAlign w:val="superscript"/>
              </w:rPr>
              <w:t>2</w:t>
            </w:r>
          </w:p>
        </w:tc>
        <w:tc>
          <w:tcPr>
            <w:tcW w:w="506" w:type="pct"/>
            <w:shd w:val="clear" w:color="auto" w:fill="auto"/>
            <w:noWrap/>
          </w:tcPr>
          <w:p w14:paraId="16D523F8" w14:textId="3AB8BEE3"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shd w:val="clear" w:color="auto" w:fill="auto"/>
            <w:noWrap/>
          </w:tcPr>
          <w:p w14:paraId="09D1934D" w14:textId="5C7FDC83"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shd w:val="clear" w:color="auto" w:fill="auto"/>
            <w:noWrap/>
          </w:tcPr>
          <w:p w14:paraId="480C98E9" w14:textId="303B6375"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shd w:val="clear" w:color="auto" w:fill="auto"/>
            <w:noWrap/>
          </w:tcPr>
          <w:p w14:paraId="2652F55E" w14:textId="71635F7C"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shd w:val="clear" w:color="auto" w:fill="auto"/>
            <w:noWrap/>
          </w:tcPr>
          <w:p w14:paraId="579BDF01" w14:textId="0C530C0A"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r>
      <w:tr w:rsidR="00661DB5" w:rsidRPr="00E74BFB" w14:paraId="5BE8861C" w14:textId="77777777" w:rsidTr="00661DB5">
        <w:trPr>
          <w:trHeight w:val="20"/>
        </w:trPr>
        <w:tc>
          <w:tcPr>
            <w:tcW w:w="131" w:type="pct"/>
          </w:tcPr>
          <w:p w14:paraId="3576DCA9" w14:textId="5E5B8514" w:rsidR="00661DB5" w:rsidRPr="00470140" w:rsidRDefault="00661DB5" w:rsidP="00661DB5">
            <w:pPr>
              <w:pStyle w:val="TableText"/>
              <w:keepNext/>
            </w:pPr>
            <w:r>
              <w:t>C</w:t>
            </w:r>
          </w:p>
        </w:tc>
        <w:tc>
          <w:tcPr>
            <w:tcW w:w="1832" w:type="pct"/>
            <w:noWrap/>
          </w:tcPr>
          <w:p w14:paraId="1BEF46C3" w14:textId="6E9E1DB7" w:rsidR="00661DB5" w:rsidRPr="00470140" w:rsidRDefault="00661DB5" w:rsidP="00661DB5">
            <w:pPr>
              <w:pStyle w:val="TableText"/>
              <w:keepNext/>
            </w:pPr>
            <w:r w:rsidRPr="00470140">
              <w:t xml:space="preserve">No. HR+ HER2− patients tested </w:t>
            </w:r>
            <w:r>
              <w:t>without</w:t>
            </w:r>
            <w:r w:rsidRPr="00470140">
              <w:t xml:space="preserve"> olaparib listing (Row J</w:t>
            </w:r>
            <w:r>
              <w:t xml:space="preserve">, </w:t>
            </w:r>
            <w:r w:rsidRPr="00801346">
              <w:rPr>
                <w:highlight w:val="yellow"/>
              </w:rPr>
              <w:fldChar w:fldCharType="begin"/>
            </w:r>
            <w:r w:rsidRPr="00801346">
              <w:instrText xml:space="preserve"> REF _Ref69726382 \h </w:instrText>
            </w:r>
            <w:r w:rsidR="00801346">
              <w:rPr>
                <w:highlight w:val="yellow"/>
              </w:rPr>
              <w:instrText xml:space="preserve"> \* MERGEFORMAT </w:instrText>
            </w:r>
            <w:r w:rsidRPr="00801346">
              <w:rPr>
                <w:highlight w:val="yellow"/>
              </w:rPr>
            </w:r>
            <w:r w:rsidRPr="00801346">
              <w:rPr>
                <w:highlight w:val="yellow"/>
              </w:rPr>
              <w:fldChar w:fldCharType="separate"/>
            </w:r>
            <w:r w:rsidR="00D8423B" w:rsidRPr="00801346">
              <w:t>Table </w:t>
            </w:r>
            <w:r w:rsidR="00D8423B" w:rsidRPr="00801346">
              <w:rPr>
                <w:noProof/>
              </w:rPr>
              <w:t>12</w:t>
            </w:r>
            <w:r w:rsidRPr="00801346">
              <w:rPr>
                <w:highlight w:val="yellow"/>
              </w:rPr>
              <w:fldChar w:fldCharType="end"/>
            </w:r>
            <w:r w:rsidRPr="00801346">
              <w:t>)</w:t>
            </w:r>
          </w:p>
        </w:tc>
        <w:tc>
          <w:tcPr>
            <w:tcW w:w="506" w:type="pct"/>
            <w:shd w:val="clear" w:color="auto" w:fill="auto"/>
            <w:noWrap/>
          </w:tcPr>
          <w:p w14:paraId="457A67E1" w14:textId="69019600" w:rsidR="00661DB5" w:rsidRPr="002255CB" w:rsidRDefault="00C27DFF" w:rsidP="00661DB5">
            <w:pPr>
              <w:pStyle w:val="TableText"/>
              <w:keepNext/>
              <w:jc w:val="right"/>
            </w:pPr>
            <w:r w:rsidRPr="00AC2BEC">
              <w:rPr>
                <w:b/>
                <w:bCs/>
              </w:rPr>
              <w:t>redacted</w:t>
            </w:r>
            <w:r w:rsidRPr="00AC2BEC">
              <w:rPr>
                <w:vertAlign w:val="superscript"/>
              </w:rPr>
              <w:t>1</w:t>
            </w:r>
          </w:p>
        </w:tc>
        <w:tc>
          <w:tcPr>
            <w:tcW w:w="506" w:type="pct"/>
            <w:shd w:val="clear" w:color="auto" w:fill="auto"/>
            <w:noWrap/>
          </w:tcPr>
          <w:p w14:paraId="03EFEFB2" w14:textId="7CE46AF1" w:rsidR="00661DB5" w:rsidRPr="002255CB" w:rsidRDefault="00C27DFF" w:rsidP="00661DB5">
            <w:pPr>
              <w:pStyle w:val="TableText"/>
              <w:keepNext/>
              <w:jc w:val="right"/>
            </w:pPr>
            <w:r w:rsidRPr="00AC2BEC">
              <w:rPr>
                <w:b/>
                <w:bCs/>
              </w:rPr>
              <w:t>redacted</w:t>
            </w:r>
            <w:r w:rsidRPr="00AC2BEC">
              <w:rPr>
                <w:vertAlign w:val="superscript"/>
              </w:rPr>
              <w:t>1</w:t>
            </w:r>
          </w:p>
        </w:tc>
        <w:tc>
          <w:tcPr>
            <w:tcW w:w="506" w:type="pct"/>
            <w:shd w:val="clear" w:color="auto" w:fill="auto"/>
            <w:noWrap/>
          </w:tcPr>
          <w:p w14:paraId="26CB21AF" w14:textId="61E7A3CC" w:rsidR="00661DB5" w:rsidRPr="002255CB" w:rsidRDefault="00C27DFF" w:rsidP="00661DB5">
            <w:pPr>
              <w:pStyle w:val="TableText"/>
              <w:keepNext/>
              <w:jc w:val="right"/>
            </w:pPr>
            <w:r w:rsidRPr="00AC2BEC">
              <w:rPr>
                <w:b/>
                <w:bCs/>
              </w:rPr>
              <w:t>redacted</w:t>
            </w:r>
            <w:r w:rsidRPr="00AC2BEC">
              <w:rPr>
                <w:vertAlign w:val="superscript"/>
              </w:rPr>
              <w:t>1</w:t>
            </w:r>
          </w:p>
        </w:tc>
        <w:tc>
          <w:tcPr>
            <w:tcW w:w="506" w:type="pct"/>
            <w:shd w:val="clear" w:color="auto" w:fill="auto"/>
            <w:noWrap/>
          </w:tcPr>
          <w:p w14:paraId="59D7FBE2" w14:textId="0E83B9E1" w:rsidR="00661DB5" w:rsidRPr="002255CB" w:rsidRDefault="00C27DFF" w:rsidP="00661DB5">
            <w:pPr>
              <w:pStyle w:val="TableText"/>
              <w:keepNext/>
              <w:jc w:val="right"/>
            </w:pPr>
            <w:r w:rsidRPr="00AC2BEC">
              <w:rPr>
                <w:b/>
                <w:bCs/>
              </w:rPr>
              <w:t>redacted</w:t>
            </w:r>
            <w:r w:rsidRPr="00AC2BEC">
              <w:rPr>
                <w:vertAlign w:val="superscript"/>
              </w:rPr>
              <w:t>1</w:t>
            </w:r>
          </w:p>
        </w:tc>
        <w:tc>
          <w:tcPr>
            <w:tcW w:w="506" w:type="pct"/>
            <w:shd w:val="clear" w:color="auto" w:fill="auto"/>
            <w:noWrap/>
          </w:tcPr>
          <w:p w14:paraId="4DE6E79D" w14:textId="6E7EAE5F" w:rsidR="00661DB5" w:rsidRPr="002255CB" w:rsidRDefault="00C27DFF" w:rsidP="00661DB5">
            <w:pPr>
              <w:pStyle w:val="TableText"/>
              <w:keepNext/>
              <w:jc w:val="right"/>
            </w:pPr>
            <w:r w:rsidRPr="00AC2BEC">
              <w:rPr>
                <w:b/>
                <w:bCs/>
              </w:rPr>
              <w:t>redacted</w:t>
            </w:r>
            <w:r w:rsidRPr="00AC2BEC">
              <w:rPr>
                <w:vertAlign w:val="superscript"/>
              </w:rPr>
              <w:t>1</w:t>
            </w:r>
          </w:p>
        </w:tc>
        <w:tc>
          <w:tcPr>
            <w:tcW w:w="506" w:type="pct"/>
            <w:shd w:val="clear" w:color="auto" w:fill="auto"/>
            <w:noWrap/>
          </w:tcPr>
          <w:p w14:paraId="2E505C0F" w14:textId="198E2078" w:rsidR="00661DB5" w:rsidRPr="002255CB" w:rsidRDefault="00C27DFF" w:rsidP="00661DB5">
            <w:pPr>
              <w:pStyle w:val="TableText"/>
              <w:keepNext/>
              <w:jc w:val="right"/>
            </w:pPr>
            <w:r w:rsidRPr="00AC2BEC">
              <w:rPr>
                <w:b/>
                <w:bCs/>
              </w:rPr>
              <w:t>redacted</w:t>
            </w:r>
            <w:r w:rsidRPr="00AC2BEC">
              <w:rPr>
                <w:vertAlign w:val="superscript"/>
              </w:rPr>
              <w:t>1</w:t>
            </w:r>
          </w:p>
        </w:tc>
      </w:tr>
      <w:tr w:rsidR="00661DB5" w:rsidRPr="002255CB" w14:paraId="37572E06" w14:textId="77777777" w:rsidTr="00661DB5">
        <w:trPr>
          <w:trHeight w:val="20"/>
        </w:trPr>
        <w:tc>
          <w:tcPr>
            <w:tcW w:w="131" w:type="pct"/>
          </w:tcPr>
          <w:p w14:paraId="029A3660" w14:textId="780D4454" w:rsidR="00661DB5" w:rsidRPr="000E600F" w:rsidRDefault="00661DB5" w:rsidP="00661DB5">
            <w:pPr>
              <w:pStyle w:val="TableText"/>
              <w:keepNext/>
            </w:pPr>
            <w:r>
              <w:t>D</w:t>
            </w:r>
          </w:p>
        </w:tc>
        <w:tc>
          <w:tcPr>
            <w:tcW w:w="1832" w:type="pct"/>
            <w:noWrap/>
          </w:tcPr>
          <w:p w14:paraId="026DD823" w14:textId="0120228C" w:rsidR="00661DB5" w:rsidRPr="000E600F" w:rsidRDefault="00661DB5" w:rsidP="00661DB5">
            <w:pPr>
              <w:pStyle w:val="TableText"/>
              <w:keepNext/>
            </w:pPr>
            <w:r w:rsidRPr="000E600F">
              <w:t>No. HR+ HER2− patients who would have been identified with g</w:t>
            </w:r>
            <w:r w:rsidR="00A96FCF" w:rsidRPr="00A96FCF">
              <w:rPr>
                <w:i/>
                <w:iCs/>
              </w:rPr>
              <w:t>BRCA</w:t>
            </w:r>
            <w:r w:rsidRPr="000E600F">
              <w:t xml:space="preserve"> variants (C × 5.0%)</w:t>
            </w:r>
          </w:p>
        </w:tc>
        <w:tc>
          <w:tcPr>
            <w:tcW w:w="506" w:type="pct"/>
            <w:shd w:val="clear" w:color="auto" w:fill="auto"/>
            <w:noWrap/>
          </w:tcPr>
          <w:p w14:paraId="4B0962C6" w14:textId="7C806ADD"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shd w:val="clear" w:color="auto" w:fill="auto"/>
            <w:noWrap/>
          </w:tcPr>
          <w:p w14:paraId="421F1847" w14:textId="6590A73B"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shd w:val="clear" w:color="auto" w:fill="auto"/>
            <w:noWrap/>
          </w:tcPr>
          <w:p w14:paraId="3DF33E2D" w14:textId="796C6184"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shd w:val="clear" w:color="auto" w:fill="auto"/>
            <w:noWrap/>
          </w:tcPr>
          <w:p w14:paraId="37A50AC8" w14:textId="4DE5F20C"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shd w:val="clear" w:color="auto" w:fill="auto"/>
            <w:noWrap/>
          </w:tcPr>
          <w:p w14:paraId="519B6A9B" w14:textId="0983A22F"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shd w:val="clear" w:color="auto" w:fill="auto"/>
            <w:noWrap/>
          </w:tcPr>
          <w:p w14:paraId="52558EE1" w14:textId="724D6C52" w:rsidR="00661DB5" w:rsidRPr="000E600F" w:rsidRDefault="00C27DFF" w:rsidP="00661DB5">
            <w:pPr>
              <w:pStyle w:val="TableText"/>
              <w:keepNext/>
              <w:jc w:val="right"/>
            </w:pPr>
            <w:r w:rsidRPr="00AC2BEC">
              <w:rPr>
                <w:b/>
                <w:bCs/>
              </w:rPr>
              <w:t>redacted</w:t>
            </w:r>
            <w:r w:rsidR="000A0E8F" w:rsidRPr="009B7852">
              <w:rPr>
                <w:vertAlign w:val="superscript"/>
              </w:rPr>
              <w:t>2</w:t>
            </w:r>
          </w:p>
        </w:tc>
      </w:tr>
      <w:tr w:rsidR="00661DB5" w:rsidRPr="002255CB" w14:paraId="22E8BB1E" w14:textId="77777777" w:rsidTr="00661DB5">
        <w:trPr>
          <w:trHeight w:val="20"/>
        </w:trPr>
        <w:tc>
          <w:tcPr>
            <w:tcW w:w="131" w:type="pct"/>
          </w:tcPr>
          <w:p w14:paraId="29C2BFE1" w14:textId="30033238" w:rsidR="00661DB5" w:rsidRPr="000E600F" w:rsidRDefault="00661DB5" w:rsidP="00661DB5">
            <w:pPr>
              <w:pStyle w:val="TableText"/>
              <w:keepNext/>
            </w:pPr>
            <w:r>
              <w:t>E</w:t>
            </w:r>
          </w:p>
        </w:tc>
        <w:tc>
          <w:tcPr>
            <w:tcW w:w="1832" w:type="pct"/>
            <w:noWrap/>
          </w:tcPr>
          <w:p w14:paraId="268D5F51" w14:textId="48DA01F7" w:rsidR="00661DB5" w:rsidRPr="000E600F" w:rsidRDefault="00661DB5" w:rsidP="00661DB5">
            <w:pPr>
              <w:pStyle w:val="TableText"/>
              <w:keepNext/>
            </w:pPr>
            <w:r w:rsidRPr="000E600F">
              <w:t>Total no. patients identified with g</w:t>
            </w:r>
            <w:r w:rsidR="00A96FCF" w:rsidRPr="00A96FCF">
              <w:rPr>
                <w:i/>
                <w:iCs/>
              </w:rPr>
              <w:t>BRCA</w:t>
            </w:r>
            <w:r w:rsidRPr="000E600F">
              <w:t xml:space="preserve"> variants without olaparib listing (B + D)</w:t>
            </w:r>
          </w:p>
        </w:tc>
        <w:tc>
          <w:tcPr>
            <w:tcW w:w="506" w:type="pct"/>
            <w:noWrap/>
          </w:tcPr>
          <w:p w14:paraId="188E76AD" w14:textId="23FB1543"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noWrap/>
          </w:tcPr>
          <w:p w14:paraId="2C6B92EE" w14:textId="726B75E4"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noWrap/>
          </w:tcPr>
          <w:p w14:paraId="35F08443" w14:textId="1F96A1C4"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noWrap/>
          </w:tcPr>
          <w:p w14:paraId="670EC2F9" w14:textId="70C8B271"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noWrap/>
          </w:tcPr>
          <w:p w14:paraId="3C5AB2FC" w14:textId="5E729BE0"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noWrap/>
          </w:tcPr>
          <w:p w14:paraId="7E912FEE" w14:textId="6DD2BFE8"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r>
      <w:tr w:rsidR="00661DB5" w:rsidRPr="00157F55" w14:paraId="5744A422" w14:textId="77777777" w:rsidTr="00661DB5">
        <w:trPr>
          <w:trHeight w:val="20"/>
        </w:trPr>
        <w:tc>
          <w:tcPr>
            <w:tcW w:w="131" w:type="pct"/>
          </w:tcPr>
          <w:p w14:paraId="720C56A6" w14:textId="05AA50CF" w:rsidR="00661DB5" w:rsidRPr="00470140" w:rsidRDefault="00661DB5" w:rsidP="00661DB5">
            <w:pPr>
              <w:pStyle w:val="TableText"/>
              <w:keepNext/>
            </w:pPr>
            <w:r>
              <w:t>F</w:t>
            </w:r>
          </w:p>
        </w:tc>
        <w:tc>
          <w:tcPr>
            <w:tcW w:w="1832" w:type="pct"/>
            <w:noWrap/>
          </w:tcPr>
          <w:p w14:paraId="555F38E7" w14:textId="6E8A47E8" w:rsidR="00661DB5" w:rsidRPr="00470140" w:rsidRDefault="00661DB5" w:rsidP="00661DB5">
            <w:pPr>
              <w:pStyle w:val="TableText"/>
              <w:keepNext/>
            </w:pPr>
            <w:r w:rsidRPr="00470140">
              <w:t xml:space="preserve">No. patients identified with </w:t>
            </w:r>
            <w:r w:rsidRPr="000D659D">
              <w:rPr>
                <w:lang w:val="en-US"/>
              </w:rPr>
              <w:t>g</w:t>
            </w:r>
            <w:r w:rsidR="00A96FCF" w:rsidRPr="00A96FCF">
              <w:rPr>
                <w:i/>
                <w:iCs/>
                <w:lang w:val="en-US"/>
              </w:rPr>
              <w:t>BRCA</w:t>
            </w:r>
            <w:r>
              <w:t xml:space="preserve"> variants </w:t>
            </w:r>
            <w:r w:rsidRPr="00470140">
              <w:t>following olaparib listing</w:t>
            </w:r>
            <w:r w:rsidRPr="00470140">
              <w:br/>
              <w:t>(Row G + Row M</w:t>
            </w:r>
            <w:r>
              <w:t xml:space="preserve">, </w:t>
            </w:r>
            <w:r w:rsidRPr="00801346">
              <w:rPr>
                <w:highlight w:val="yellow"/>
              </w:rPr>
              <w:fldChar w:fldCharType="begin"/>
            </w:r>
            <w:r w:rsidRPr="00801346">
              <w:instrText xml:space="preserve"> REF _Ref69726382 \h </w:instrText>
            </w:r>
            <w:r w:rsidR="00801346">
              <w:rPr>
                <w:highlight w:val="yellow"/>
              </w:rPr>
              <w:instrText xml:space="preserve"> \* MERGEFORMAT </w:instrText>
            </w:r>
            <w:r w:rsidRPr="00801346">
              <w:rPr>
                <w:highlight w:val="yellow"/>
              </w:rPr>
            </w:r>
            <w:r w:rsidRPr="00801346">
              <w:rPr>
                <w:highlight w:val="yellow"/>
              </w:rPr>
              <w:fldChar w:fldCharType="separate"/>
            </w:r>
            <w:r w:rsidR="00D8423B" w:rsidRPr="00801346">
              <w:t>Table </w:t>
            </w:r>
            <w:r w:rsidR="00D8423B" w:rsidRPr="00801346">
              <w:rPr>
                <w:noProof/>
              </w:rPr>
              <w:t>12</w:t>
            </w:r>
            <w:r w:rsidRPr="00801346">
              <w:rPr>
                <w:highlight w:val="yellow"/>
              </w:rPr>
              <w:fldChar w:fldCharType="end"/>
            </w:r>
            <w:r w:rsidRPr="00470140">
              <w:t>)</w:t>
            </w:r>
          </w:p>
        </w:tc>
        <w:tc>
          <w:tcPr>
            <w:tcW w:w="506" w:type="pct"/>
            <w:noWrap/>
          </w:tcPr>
          <w:p w14:paraId="4116C8F0" w14:textId="491917D3" w:rsidR="00661DB5" w:rsidRPr="002255CB" w:rsidRDefault="00C27DFF" w:rsidP="00661DB5">
            <w:pPr>
              <w:pStyle w:val="TableText"/>
              <w:keepNext/>
              <w:jc w:val="right"/>
            </w:pPr>
            <w:r w:rsidRPr="00AC2BEC">
              <w:rPr>
                <w:b/>
                <w:bCs/>
              </w:rPr>
              <w:t>redacted</w:t>
            </w:r>
            <w:r w:rsidRPr="002255CB" w:rsidDel="00C27DFF">
              <w:t xml:space="preserve"> </w:t>
            </w:r>
            <w:r w:rsidR="00D42E47" w:rsidRPr="009B7852">
              <w:rPr>
                <w:vertAlign w:val="superscript"/>
              </w:rPr>
              <w:t>2</w:t>
            </w:r>
          </w:p>
        </w:tc>
        <w:tc>
          <w:tcPr>
            <w:tcW w:w="506" w:type="pct"/>
            <w:noWrap/>
          </w:tcPr>
          <w:p w14:paraId="222782EB" w14:textId="62B3CCE5" w:rsidR="00661DB5" w:rsidRPr="002255CB" w:rsidRDefault="00C27DFF" w:rsidP="00661DB5">
            <w:pPr>
              <w:pStyle w:val="TableText"/>
              <w:keepNext/>
              <w:jc w:val="right"/>
            </w:pPr>
            <w:r w:rsidRPr="00AC2BEC">
              <w:rPr>
                <w:b/>
                <w:bCs/>
              </w:rPr>
              <w:t>redacted</w:t>
            </w:r>
            <w:r w:rsidRPr="00AC2BEC">
              <w:rPr>
                <w:vertAlign w:val="superscript"/>
              </w:rPr>
              <w:t>1</w:t>
            </w:r>
          </w:p>
        </w:tc>
        <w:tc>
          <w:tcPr>
            <w:tcW w:w="506" w:type="pct"/>
            <w:noWrap/>
          </w:tcPr>
          <w:p w14:paraId="60D64224" w14:textId="26C865D4" w:rsidR="00661DB5" w:rsidRPr="002255CB" w:rsidRDefault="00C27DFF" w:rsidP="00661DB5">
            <w:pPr>
              <w:pStyle w:val="TableText"/>
              <w:keepNext/>
              <w:jc w:val="right"/>
            </w:pPr>
            <w:r w:rsidRPr="00AC2BEC">
              <w:rPr>
                <w:b/>
                <w:bCs/>
              </w:rPr>
              <w:t>redacted</w:t>
            </w:r>
            <w:r w:rsidRPr="00AC2BEC">
              <w:rPr>
                <w:vertAlign w:val="superscript"/>
              </w:rPr>
              <w:t>1</w:t>
            </w:r>
          </w:p>
        </w:tc>
        <w:tc>
          <w:tcPr>
            <w:tcW w:w="506" w:type="pct"/>
            <w:noWrap/>
          </w:tcPr>
          <w:p w14:paraId="16B457F1" w14:textId="70F73A6C" w:rsidR="00661DB5" w:rsidRPr="002255CB" w:rsidRDefault="00C27DFF" w:rsidP="00661DB5">
            <w:pPr>
              <w:pStyle w:val="TableText"/>
              <w:keepNext/>
              <w:jc w:val="right"/>
            </w:pPr>
            <w:r w:rsidRPr="00AC2BEC">
              <w:rPr>
                <w:b/>
                <w:bCs/>
              </w:rPr>
              <w:t>redacted</w:t>
            </w:r>
            <w:r w:rsidRPr="00AC2BEC">
              <w:rPr>
                <w:vertAlign w:val="superscript"/>
              </w:rPr>
              <w:t>1</w:t>
            </w:r>
          </w:p>
        </w:tc>
        <w:tc>
          <w:tcPr>
            <w:tcW w:w="506" w:type="pct"/>
            <w:noWrap/>
          </w:tcPr>
          <w:p w14:paraId="1F9E6B81" w14:textId="57893B37" w:rsidR="00661DB5" w:rsidRPr="002255CB" w:rsidRDefault="00C27DFF" w:rsidP="00661DB5">
            <w:pPr>
              <w:pStyle w:val="TableText"/>
              <w:keepNext/>
              <w:jc w:val="right"/>
            </w:pPr>
            <w:r w:rsidRPr="00AC2BEC">
              <w:rPr>
                <w:b/>
                <w:bCs/>
              </w:rPr>
              <w:t>redacted</w:t>
            </w:r>
            <w:r w:rsidRPr="00AC2BEC">
              <w:rPr>
                <w:vertAlign w:val="superscript"/>
              </w:rPr>
              <w:t>1</w:t>
            </w:r>
          </w:p>
        </w:tc>
        <w:tc>
          <w:tcPr>
            <w:tcW w:w="506" w:type="pct"/>
            <w:noWrap/>
          </w:tcPr>
          <w:p w14:paraId="1B8EFB1F" w14:textId="46B1A218" w:rsidR="00661DB5" w:rsidRPr="002255CB" w:rsidRDefault="00C27DFF" w:rsidP="00661DB5">
            <w:pPr>
              <w:pStyle w:val="TableText"/>
              <w:keepNext/>
              <w:jc w:val="right"/>
            </w:pPr>
            <w:r w:rsidRPr="00AC2BEC">
              <w:rPr>
                <w:b/>
                <w:bCs/>
              </w:rPr>
              <w:t>redacted</w:t>
            </w:r>
            <w:r w:rsidRPr="00AC2BEC">
              <w:rPr>
                <w:vertAlign w:val="superscript"/>
              </w:rPr>
              <w:t>1</w:t>
            </w:r>
          </w:p>
        </w:tc>
      </w:tr>
      <w:tr w:rsidR="00661DB5" w:rsidRPr="00280220" w14:paraId="47E8CFAA" w14:textId="77777777" w:rsidTr="00661DB5">
        <w:trPr>
          <w:trHeight w:val="20"/>
        </w:trPr>
        <w:tc>
          <w:tcPr>
            <w:tcW w:w="131" w:type="pct"/>
          </w:tcPr>
          <w:p w14:paraId="65989245" w14:textId="71EACD18" w:rsidR="00661DB5" w:rsidRPr="000E600F" w:rsidRDefault="00661DB5" w:rsidP="00661DB5">
            <w:pPr>
              <w:pStyle w:val="TableText"/>
              <w:keepNext/>
            </w:pPr>
            <w:r>
              <w:t>G</w:t>
            </w:r>
          </w:p>
        </w:tc>
        <w:tc>
          <w:tcPr>
            <w:tcW w:w="1832" w:type="pct"/>
            <w:noWrap/>
          </w:tcPr>
          <w:p w14:paraId="7F599E50" w14:textId="49F57928" w:rsidR="00661DB5" w:rsidRPr="000E600F" w:rsidRDefault="00661DB5" w:rsidP="00661DB5">
            <w:pPr>
              <w:pStyle w:val="TableText"/>
              <w:keepNext/>
            </w:pPr>
            <w:r w:rsidRPr="000E600F">
              <w:t>Additional patients with g</w:t>
            </w:r>
            <w:r w:rsidR="00A96FCF" w:rsidRPr="00A96FCF">
              <w:rPr>
                <w:i/>
                <w:iCs/>
              </w:rPr>
              <w:t>BRCA</w:t>
            </w:r>
            <w:r w:rsidRPr="000E600F">
              <w:t xml:space="preserve"> variants identified following olaparib listing (F – E)</w:t>
            </w:r>
          </w:p>
        </w:tc>
        <w:tc>
          <w:tcPr>
            <w:tcW w:w="506" w:type="pct"/>
            <w:noWrap/>
          </w:tcPr>
          <w:p w14:paraId="2C1B6DD5" w14:textId="27A448E3"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noWrap/>
          </w:tcPr>
          <w:p w14:paraId="33514724" w14:textId="648D01F5"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noWrap/>
          </w:tcPr>
          <w:p w14:paraId="502303D9" w14:textId="1090F783"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noWrap/>
          </w:tcPr>
          <w:p w14:paraId="6A577884" w14:textId="24741876"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noWrap/>
          </w:tcPr>
          <w:p w14:paraId="38B7543E" w14:textId="14DB1F5E"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noWrap/>
          </w:tcPr>
          <w:p w14:paraId="6C27A4C3" w14:textId="354F0AFA"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r>
      <w:tr w:rsidR="00661DB5" w:rsidRPr="00280220" w14:paraId="270803B0" w14:textId="77777777" w:rsidTr="00661DB5">
        <w:trPr>
          <w:trHeight w:val="20"/>
        </w:trPr>
        <w:tc>
          <w:tcPr>
            <w:tcW w:w="131" w:type="pct"/>
            <w:tcBorders>
              <w:bottom w:val="single" w:sz="4" w:space="0" w:color="auto"/>
            </w:tcBorders>
          </w:tcPr>
          <w:p w14:paraId="3B44FCF6" w14:textId="57CAFEE3" w:rsidR="00661DB5" w:rsidRPr="000E600F" w:rsidRDefault="00661DB5" w:rsidP="00661DB5">
            <w:pPr>
              <w:pStyle w:val="TableText"/>
              <w:keepNext/>
            </w:pPr>
            <w:r>
              <w:t>H</w:t>
            </w:r>
          </w:p>
        </w:tc>
        <w:tc>
          <w:tcPr>
            <w:tcW w:w="1832" w:type="pct"/>
            <w:tcBorders>
              <w:bottom w:val="single" w:sz="4" w:space="0" w:color="auto"/>
            </w:tcBorders>
            <w:noWrap/>
          </w:tcPr>
          <w:p w14:paraId="49738C4B" w14:textId="1D975603" w:rsidR="00661DB5" w:rsidRPr="00470140" w:rsidRDefault="00661DB5" w:rsidP="00661DB5">
            <w:pPr>
              <w:pStyle w:val="TableText"/>
              <w:keepNext/>
            </w:pPr>
            <w:r w:rsidRPr="000E600F">
              <w:t>No. additional cascade tests</w:t>
            </w:r>
            <w:r w:rsidRPr="00470140">
              <w:t xml:space="preserve"> (</w:t>
            </w:r>
            <w:r>
              <w:t>G</w:t>
            </w:r>
            <w:r w:rsidRPr="00661DB5">
              <w:t> × </w:t>
            </w:r>
            <w:r w:rsidRPr="00470140">
              <w:t>1.8)</w:t>
            </w:r>
          </w:p>
        </w:tc>
        <w:tc>
          <w:tcPr>
            <w:tcW w:w="506" w:type="pct"/>
            <w:tcBorders>
              <w:bottom w:val="single" w:sz="4" w:space="0" w:color="auto"/>
            </w:tcBorders>
            <w:noWrap/>
          </w:tcPr>
          <w:p w14:paraId="70D9E36C" w14:textId="3464EAA5"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tcBorders>
              <w:bottom w:val="single" w:sz="4" w:space="0" w:color="auto"/>
            </w:tcBorders>
            <w:noWrap/>
          </w:tcPr>
          <w:p w14:paraId="71F69FB1" w14:textId="1E8A7CE8" w:rsidR="00661DB5" w:rsidRPr="000E600F" w:rsidRDefault="00C27DFF" w:rsidP="00661DB5">
            <w:pPr>
              <w:pStyle w:val="TableText"/>
              <w:keepNext/>
              <w:jc w:val="right"/>
            </w:pPr>
            <w:r w:rsidRPr="00AC2BEC">
              <w:rPr>
                <w:b/>
                <w:bCs/>
              </w:rPr>
              <w:t>redacted</w:t>
            </w:r>
            <w:r w:rsidRPr="000E600F" w:rsidDel="00C27DFF">
              <w:t xml:space="preserve"> </w:t>
            </w:r>
            <w:r w:rsidR="00D42E47" w:rsidRPr="009B7852">
              <w:rPr>
                <w:vertAlign w:val="superscript"/>
              </w:rPr>
              <w:t>2</w:t>
            </w:r>
          </w:p>
        </w:tc>
        <w:tc>
          <w:tcPr>
            <w:tcW w:w="506" w:type="pct"/>
            <w:tcBorders>
              <w:bottom w:val="single" w:sz="4" w:space="0" w:color="auto"/>
            </w:tcBorders>
            <w:noWrap/>
          </w:tcPr>
          <w:p w14:paraId="1D593413" w14:textId="41E69644" w:rsidR="00661DB5" w:rsidRPr="000E600F" w:rsidRDefault="00C27DFF" w:rsidP="00661DB5">
            <w:pPr>
              <w:pStyle w:val="TableText"/>
              <w:keepNext/>
              <w:jc w:val="right"/>
            </w:pPr>
            <w:r w:rsidRPr="00AC2BEC">
              <w:rPr>
                <w:b/>
                <w:bCs/>
              </w:rPr>
              <w:t>redacted</w:t>
            </w:r>
            <w:r w:rsidRPr="00AC2BEC">
              <w:rPr>
                <w:vertAlign w:val="superscript"/>
              </w:rPr>
              <w:t>1</w:t>
            </w:r>
          </w:p>
        </w:tc>
        <w:tc>
          <w:tcPr>
            <w:tcW w:w="506" w:type="pct"/>
            <w:tcBorders>
              <w:bottom w:val="single" w:sz="4" w:space="0" w:color="auto"/>
            </w:tcBorders>
            <w:noWrap/>
          </w:tcPr>
          <w:p w14:paraId="022F909A" w14:textId="461F7B34" w:rsidR="00661DB5" w:rsidRPr="000E600F" w:rsidRDefault="00C27DFF" w:rsidP="00661DB5">
            <w:pPr>
              <w:pStyle w:val="TableText"/>
              <w:keepNext/>
              <w:jc w:val="right"/>
            </w:pPr>
            <w:r w:rsidRPr="00AC2BEC">
              <w:rPr>
                <w:b/>
                <w:bCs/>
              </w:rPr>
              <w:t>redacted</w:t>
            </w:r>
            <w:r w:rsidRPr="00AC2BEC">
              <w:rPr>
                <w:vertAlign w:val="superscript"/>
              </w:rPr>
              <w:t>1</w:t>
            </w:r>
          </w:p>
        </w:tc>
        <w:tc>
          <w:tcPr>
            <w:tcW w:w="506" w:type="pct"/>
            <w:tcBorders>
              <w:bottom w:val="single" w:sz="4" w:space="0" w:color="auto"/>
            </w:tcBorders>
            <w:noWrap/>
          </w:tcPr>
          <w:p w14:paraId="75CB134C" w14:textId="40C66530" w:rsidR="00661DB5" w:rsidRPr="000E600F" w:rsidRDefault="00C27DFF" w:rsidP="00661DB5">
            <w:pPr>
              <w:pStyle w:val="TableText"/>
              <w:keepNext/>
              <w:jc w:val="right"/>
            </w:pPr>
            <w:r w:rsidRPr="00AC2BEC">
              <w:rPr>
                <w:b/>
                <w:bCs/>
              </w:rPr>
              <w:t>redacted</w:t>
            </w:r>
            <w:r w:rsidRPr="00AC2BEC">
              <w:rPr>
                <w:vertAlign w:val="superscript"/>
              </w:rPr>
              <w:t>1</w:t>
            </w:r>
          </w:p>
        </w:tc>
        <w:tc>
          <w:tcPr>
            <w:tcW w:w="506" w:type="pct"/>
            <w:tcBorders>
              <w:bottom w:val="single" w:sz="4" w:space="0" w:color="auto"/>
            </w:tcBorders>
            <w:noWrap/>
          </w:tcPr>
          <w:p w14:paraId="0AB04306" w14:textId="1624C07A" w:rsidR="00661DB5" w:rsidRPr="000E600F" w:rsidRDefault="00C27DFF" w:rsidP="00661DB5">
            <w:pPr>
              <w:pStyle w:val="TableText"/>
              <w:keepNext/>
              <w:jc w:val="right"/>
            </w:pPr>
            <w:r w:rsidRPr="00AC2BEC">
              <w:rPr>
                <w:b/>
                <w:bCs/>
              </w:rPr>
              <w:t>redacted</w:t>
            </w:r>
            <w:r w:rsidRPr="00AC2BEC">
              <w:rPr>
                <w:vertAlign w:val="superscript"/>
              </w:rPr>
              <w:t>1</w:t>
            </w:r>
          </w:p>
        </w:tc>
      </w:tr>
      <w:tr w:rsidR="00661DB5" w:rsidRPr="00280220" w14:paraId="12578B87" w14:textId="77777777" w:rsidTr="00661DB5">
        <w:trPr>
          <w:trHeight w:val="20"/>
        </w:trPr>
        <w:tc>
          <w:tcPr>
            <w:tcW w:w="131" w:type="pct"/>
          </w:tcPr>
          <w:p w14:paraId="57B2435E" w14:textId="3137CB99" w:rsidR="00661DB5" w:rsidRPr="000E600F" w:rsidRDefault="00661DB5" w:rsidP="00661DB5">
            <w:pPr>
              <w:pStyle w:val="TableText"/>
              <w:keepNext/>
            </w:pPr>
          </w:p>
        </w:tc>
        <w:tc>
          <w:tcPr>
            <w:tcW w:w="1832" w:type="pct"/>
            <w:noWrap/>
          </w:tcPr>
          <w:p w14:paraId="79824DDA" w14:textId="7E28B5C7" w:rsidR="00661DB5" w:rsidRPr="000E600F" w:rsidRDefault="00661DB5" w:rsidP="00661DB5">
            <w:pPr>
              <w:pStyle w:val="TableText"/>
              <w:keepNext/>
            </w:pPr>
            <w:r w:rsidRPr="000E600F">
              <w:t>Cost of additional cascade testing to the MBS (H × $340.00)</w:t>
            </w:r>
          </w:p>
        </w:tc>
        <w:tc>
          <w:tcPr>
            <w:tcW w:w="506" w:type="pct"/>
            <w:noWrap/>
          </w:tcPr>
          <w:p w14:paraId="16F19903" w14:textId="530CF57F" w:rsidR="00661DB5" w:rsidRPr="000E600F" w:rsidRDefault="00510EAC" w:rsidP="00661DB5">
            <w:pPr>
              <w:pStyle w:val="TableText"/>
              <w:keepNext/>
              <w:jc w:val="right"/>
            </w:pPr>
            <w:r w:rsidRPr="00AC2BEC">
              <w:rPr>
                <w:b/>
                <w:bCs/>
              </w:rPr>
              <w:t>redacted</w:t>
            </w:r>
            <w:r w:rsidRPr="000E600F" w:rsidDel="00C27DFF">
              <w:t xml:space="preserve"> </w:t>
            </w:r>
            <w:r w:rsidRPr="00771162">
              <w:rPr>
                <w:vertAlign w:val="superscript"/>
              </w:rPr>
              <w:t>3</w:t>
            </w:r>
          </w:p>
        </w:tc>
        <w:tc>
          <w:tcPr>
            <w:tcW w:w="506" w:type="pct"/>
            <w:noWrap/>
          </w:tcPr>
          <w:p w14:paraId="4D87C275" w14:textId="3332EC58" w:rsidR="00661DB5" w:rsidRPr="000E600F" w:rsidRDefault="00510EAC" w:rsidP="00661DB5">
            <w:pPr>
              <w:pStyle w:val="TableText"/>
              <w:keepNext/>
              <w:jc w:val="right"/>
            </w:pPr>
            <w:r w:rsidRPr="00AC2BEC">
              <w:rPr>
                <w:b/>
                <w:bCs/>
              </w:rPr>
              <w:t>redacted</w:t>
            </w:r>
            <w:r w:rsidRPr="000E600F" w:rsidDel="00C27DFF">
              <w:t xml:space="preserve"> </w:t>
            </w:r>
            <w:r w:rsidRPr="00AC2BEC">
              <w:rPr>
                <w:vertAlign w:val="superscript"/>
              </w:rPr>
              <w:t>3</w:t>
            </w:r>
          </w:p>
        </w:tc>
        <w:tc>
          <w:tcPr>
            <w:tcW w:w="506" w:type="pct"/>
            <w:noWrap/>
          </w:tcPr>
          <w:p w14:paraId="6C3BEF73" w14:textId="43A1B254" w:rsidR="00661DB5" w:rsidRPr="000E600F" w:rsidRDefault="00510EAC" w:rsidP="00661DB5">
            <w:pPr>
              <w:pStyle w:val="TableText"/>
              <w:keepNext/>
              <w:jc w:val="right"/>
            </w:pPr>
            <w:r w:rsidRPr="00AC2BEC">
              <w:rPr>
                <w:b/>
                <w:bCs/>
              </w:rPr>
              <w:t>redacted</w:t>
            </w:r>
            <w:r w:rsidRPr="000E600F" w:rsidDel="00C27DFF">
              <w:t xml:space="preserve"> </w:t>
            </w:r>
            <w:r w:rsidRPr="00AC2BEC">
              <w:rPr>
                <w:vertAlign w:val="superscript"/>
              </w:rPr>
              <w:t>3</w:t>
            </w:r>
          </w:p>
        </w:tc>
        <w:tc>
          <w:tcPr>
            <w:tcW w:w="506" w:type="pct"/>
            <w:noWrap/>
          </w:tcPr>
          <w:p w14:paraId="525DECA9" w14:textId="2D43097F" w:rsidR="00661DB5" w:rsidRPr="000E600F" w:rsidRDefault="00510EAC" w:rsidP="00661DB5">
            <w:pPr>
              <w:pStyle w:val="TableText"/>
              <w:keepNext/>
              <w:jc w:val="right"/>
            </w:pPr>
            <w:r w:rsidRPr="00AC2BEC">
              <w:rPr>
                <w:b/>
                <w:bCs/>
              </w:rPr>
              <w:t>redacted</w:t>
            </w:r>
            <w:r w:rsidRPr="000E600F" w:rsidDel="00C27DFF">
              <w:t xml:space="preserve"> </w:t>
            </w:r>
            <w:r w:rsidRPr="00AC2BEC">
              <w:rPr>
                <w:vertAlign w:val="superscript"/>
              </w:rPr>
              <w:t>3</w:t>
            </w:r>
          </w:p>
        </w:tc>
        <w:tc>
          <w:tcPr>
            <w:tcW w:w="506" w:type="pct"/>
            <w:noWrap/>
          </w:tcPr>
          <w:p w14:paraId="784D0029" w14:textId="7FD023D3" w:rsidR="00661DB5" w:rsidRPr="000E600F" w:rsidRDefault="00510EAC" w:rsidP="00661DB5">
            <w:pPr>
              <w:pStyle w:val="TableText"/>
              <w:keepNext/>
              <w:jc w:val="right"/>
            </w:pPr>
            <w:r w:rsidRPr="00AC2BEC">
              <w:rPr>
                <w:b/>
                <w:bCs/>
              </w:rPr>
              <w:t>redacted</w:t>
            </w:r>
            <w:r w:rsidRPr="000E600F" w:rsidDel="00C27DFF">
              <w:t xml:space="preserve"> </w:t>
            </w:r>
            <w:r w:rsidRPr="00AC2BEC">
              <w:rPr>
                <w:vertAlign w:val="superscript"/>
              </w:rPr>
              <w:t>3</w:t>
            </w:r>
          </w:p>
        </w:tc>
        <w:tc>
          <w:tcPr>
            <w:tcW w:w="506" w:type="pct"/>
            <w:noWrap/>
          </w:tcPr>
          <w:p w14:paraId="3D0C0CE5" w14:textId="3C0259C1" w:rsidR="00661DB5" w:rsidRPr="000E600F" w:rsidRDefault="00510EAC" w:rsidP="00661DB5">
            <w:pPr>
              <w:pStyle w:val="TableText"/>
              <w:keepNext/>
              <w:jc w:val="right"/>
            </w:pPr>
            <w:r w:rsidRPr="00AC2BEC">
              <w:rPr>
                <w:b/>
                <w:bCs/>
              </w:rPr>
              <w:t>redacted</w:t>
            </w:r>
            <w:r w:rsidRPr="000E600F" w:rsidDel="00C27DFF">
              <w:t xml:space="preserve"> </w:t>
            </w:r>
            <w:r w:rsidRPr="00AC2BEC">
              <w:rPr>
                <w:vertAlign w:val="superscript"/>
              </w:rPr>
              <w:t>3</w:t>
            </w:r>
          </w:p>
        </w:tc>
      </w:tr>
    </w:tbl>
    <w:p w14:paraId="1F52DFDA" w14:textId="6E157D55" w:rsidR="008442B9" w:rsidRDefault="008442B9" w:rsidP="008442B9">
      <w:pPr>
        <w:pStyle w:val="TableFigureFooter"/>
      </w:pPr>
      <w:r w:rsidRPr="008442B9">
        <w:t>Source: Constructed during the evaluation from the ‘Att_4.1_OlympiA UCM_AZ Resubmission_FINAL.xlsx’ file included in the resubmission.</w:t>
      </w:r>
    </w:p>
    <w:p w14:paraId="170F15C7" w14:textId="77777777" w:rsidR="00D8423B" w:rsidRDefault="00D8423B" w:rsidP="00D8423B">
      <w:pPr>
        <w:pStyle w:val="TableFigureFooter"/>
      </w:pPr>
      <w:r>
        <w:t>Note: Analyses are presented for each calendar year.</w:t>
      </w:r>
    </w:p>
    <w:p w14:paraId="79DC730B" w14:textId="1698DC63" w:rsidR="00F72056" w:rsidRDefault="008C513A" w:rsidP="00F72056">
      <w:pPr>
        <w:pStyle w:val="TableFigureFooter"/>
      </w:pPr>
      <w:r w:rsidRPr="000D659D">
        <w:rPr>
          <w:lang w:val="en-US"/>
        </w:rPr>
        <w:t>g</w:t>
      </w:r>
      <w:r w:rsidRPr="000D659D">
        <w:rPr>
          <w:i/>
          <w:iCs/>
          <w:lang w:val="en-US"/>
        </w:rPr>
        <w:t>BRCA</w:t>
      </w:r>
      <w:r w:rsidRPr="00487719">
        <w:t xml:space="preserve"> = germline </w:t>
      </w:r>
      <w:r w:rsidRPr="001B7AF2">
        <w:rPr>
          <w:i/>
          <w:iCs/>
        </w:rPr>
        <w:t>BReast CAncer</w:t>
      </w:r>
      <w:r w:rsidRPr="00487719">
        <w:t xml:space="preserve"> gene</w:t>
      </w:r>
      <w:r w:rsidR="006E10B0" w:rsidRPr="006E10B0">
        <w:t xml:space="preserve">; </w:t>
      </w:r>
      <w:r w:rsidR="006E10B0" w:rsidRPr="00D7662C">
        <w:t>HER2 = human epidermal growth factor receptor 2; HR = hormone receptor; TNBC = triple negative breast cancer</w:t>
      </w:r>
      <w:r w:rsidR="00F72056">
        <w:t>.</w:t>
      </w:r>
    </w:p>
    <w:p w14:paraId="0845A340" w14:textId="3AE25D8F" w:rsidR="00D42E47" w:rsidRDefault="00D42E47" w:rsidP="00D42E47">
      <w:pPr>
        <w:pStyle w:val="TableFigureFooter"/>
        <w:rPr>
          <w:szCs w:val="18"/>
        </w:rPr>
      </w:pPr>
      <w:r>
        <w:rPr>
          <w:szCs w:val="18"/>
          <w:vertAlign w:val="superscript"/>
        </w:rPr>
        <w:t>1</w:t>
      </w:r>
      <w:r w:rsidRPr="00D42E47">
        <w:rPr>
          <w:szCs w:val="18"/>
        </w:rPr>
        <w:t xml:space="preserve"> </w:t>
      </w:r>
      <w:r w:rsidR="00F16671" w:rsidRPr="00F16671">
        <w:rPr>
          <w:szCs w:val="18"/>
        </w:rPr>
        <w:t>500 to &lt; 5,000</w:t>
      </w:r>
    </w:p>
    <w:p w14:paraId="6F58F207" w14:textId="09BF27DE" w:rsidR="00D42E47" w:rsidRPr="00D42E47" w:rsidRDefault="00D42E47" w:rsidP="00D42E47">
      <w:pPr>
        <w:pStyle w:val="TableFigureFooter"/>
        <w:rPr>
          <w:szCs w:val="18"/>
        </w:rPr>
      </w:pPr>
      <w:r>
        <w:rPr>
          <w:szCs w:val="18"/>
          <w:vertAlign w:val="superscript"/>
        </w:rPr>
        <w:t>2</w:t>
      </w:r>
      <w:r w:rsidRPr="00D42E47">
        <w:rPr>
          <w:szCs w:val="18"/>
        </w:rPr>
        <w:t xml:space="preserve"> </w:t>
      </w:r>
      <w:r w:rsidR="00C27DFF" w:rsidRPr="00C27DFF">
        <w:rPr>
          <w:szCs w:val="18"/>
        </w:rPr>
        <w:t>&lt; 500</w:t>
      </w:r>
    </w:p>
    <w:p w14:paraId="460D4D62" w14:textId="142100EA" w:rsidR="00E015CC" w:rsidRDefault="00510EAC" w:rsidP="00D42E47">
      <w:pPr>
        <w:pStyle w:val="TableFigureFooter"/>
        <w:rPr>
          <w:szCs w:val="18"/>
        </w:rPr>
      </w:pPr>
      <w:r>
        <w:rPr>
          <w:szCs w:val="18"/>
          <w:vertAlign w:val="superscript"/>
        </w:rPr>
        <w:t>3</w:t>
      </w:r>
      <w:r w:rsidR="00E015CC">
        <w:rPr>
          <w:szCs w:val="18"/>
        </w:rPr>
        <w:t xml:space="preserve"> </w:t>
      </w:r>
      <w:r w:rsidRPr="00510EAC">
        <w:rPr>
          <w:szCs w:val="18"/>
        </w:rPr>
        <w:t>$0 to &lt; $10 million</w:t>
      </w:r>
    </w:p>
    <w:p w14:paraId="1C4D53E2" w14:textId="6ECFD1C2" w:rsidR="008442B9" w:rsidRDefault="008442B9" w:rsidP="008442B9">
      <w:r w:rsidRPr="008442B9">
        <w:t xml:space="preserve">The net cost to the MBS is estimated in </w:t>
      </w:r>
      <w:r w:rsidR="00E7023C">
        <w:fldChar w:fldCharType="begin"/>
      </w:r>
      <w:r w:rsidR="00E7023C">
        <w:instrText xml:space="preserve"> REF _Ref144124751 \h </w:instrText>
      </w:r>
      <w:r w:rsidR="00E7023C">
        <w:fldChar w:fldCharType="separate"/>
      </w:r>
      <w:r w:rsidR="00D8423B" w:rsidRPr="00137818">
        <w:t>Table </w:t>
      </w:r>
      <w:r w:rsidR="00D8423B">
        <w:rPr>
          <w:noProof/>
        </w:rPr>
        <w:t>15</w:t>
      </w:r>
      <w:r w:rsidR="00E7023C">
        <w:fldChar w:fldCharType="end"/>
      </w:r>
      <w:r w:rsidRPr="008442B9">
        <w:t>.</w:t>
      </w:r>
    </w:p>
    <w:p w14:paraId="4E0C1D1F" w14:textId="4C47885C" w:rsidR="008442B9" w:rsidRDefault="00F72056" w:rsidP="008442B9">
      <w:pPr>
        <w:pStyle w:val="Caption"/>
      </w:pPr>
      <w:bookmarkStart w:id="50" w:name="_Ref144124751"/>
      <w:r w:rsidRPr="00137818">
        <w:t>Table </w:t>
      </w:r>
      <w:r>
        <w:fldChar w:fldCharType="begin"/>
      </w:r>
      <w:r>
        <w:instrText>SEQ Table \* ARABIC</w:instrText>
      </w:r>
      <w:r>
        <w:fldChar w:fldCharType="separate"/>
      </w:r>
      <w:r w:rsidR="00D8423B">
        <w:rPr>
          <w:noProof/>
        </w:rPr>
        <w:t>15</w:t>
      </w:r>
      <w:r>
        <w:fldChar w:fldCharType="end"/>
      </w:r>
      <w:bookmarkEnd w:id="50"/>
      <w:r w:rsidRPr="00137818">
        <w:tab/>
      </w:r>
      <w:r w:rsidR="008442B9" w:rsidRPr="008442B9">
        <w:t>Net changes to the MBS</w:t>
      </w:r>
    </w:p>
    <w:tbl>
      <w:tblPr>
        <w:tblStyle w:val="TableGrid"/>
        <w:tblW w:w="5000" w:type="pct"/>
        <w:tblLayout w:type="fixed"/>
        <w:tblLook w:val="04A0" w:firstRow="1" w:lastRow="0" w:firstColumn="1" w:lastColumn="0" w:noHBand="0" w:noVBand="1"/>
      </w:tblPr>
      <w:tblGrid>
        <w:gridCol w:w="2491"/>
        <w:gridCol w:w="1087"/>
        <w:gridCol w:w="1089"/>
        <w:gridCol w:w="1089"/>
        <w:gridCol w:w="1087"/>
        <w:gridCol w:w="1089"/>
        <w:gridCol w:w="1084"/>
      </w:tblGrid>
      <w:tr w:rsidR="008442B9" w:rsidRPr="00157F55" w14:paraId="4FDAC09C" w14:textId="77777777">
        <w:trPr>
          <w:trHeight w:val="20"/>
        </w:trPr>
        <w:tc>
          <w:tcPr>
            <w:tcW w:w="1381" w:type="pct"/>
            <w:tcBorders>
              <w:bottom w:val="single" w:sz="4" w:space="0" w:color="auto"/>
            </w:tcBorders>
            <w:noWrap/>
            <w:hideMark/>
          </w:tcPr>
          <w:p w14:paraId="37E3AC12" w14:textId="77777777" w:rsidR="008442B9" w:rsidRPr="00157F55" w:rsidRDefault="008442B9">
            <w:pPr>
              <w:pStyle w:val="In-tableHeading"/>
            </w:pPr>
          </w:p>
        </w:tc>
        <w:tc>
          <w:tcPr>
            <w:tcW w:w="603" w:type="pct"/>
            <w:tcBorders>
              <w:bottom w:val="single" w:sz="4" w:space="0" w:color="auto"/>
            </w:tcBorders>
            <w:noWrap/>
            <w:hideMark/>
          </w:tcPr>
          <w:p w14:paraId="344CFF2A" w14:textId="77777777" w:rsidR="008442B9" w:rsidRPr="00157F55" w:rsidRDefault="008442B9">
            <w:pPr>
              <w:pStyle w:val="In-tableHeading"/>
              <w:jc w:val="center"/>
            </w:pPr>
            <w:r w:rsidRPr="00157F55">
              <w:t>2024</w:t>
            </w:r>
          </w:p>
        </w:tc>
        <w:tc>
          <w:tcPr>
            <w:tcW w:w="604" w:type="pct"/>
            <w:tcBorders>
              <w:bottom w:val="single" w:sz="4" w:space="0" w:color="auto"/>
            </w:tcBorders>
            <w:noWrap/>
            <w:hideMark/>
          </w:tcPr>
          <w:p w14:paraId="08E5B2D2" w14:textId="77777777" w:rsidR="008442B9" w:rsidRPr="00157F55" w:rsidRDefault="008442B9">
            <w:pPr>
              <w:pStyle w:val="In-tableHeading"/>
              <w:jc w:val="center"/>
            </w:pPr>
            <w:r w:rsidRPr="00157F55">
              <w:t>2025</w:t>
            </w:r>
          </w:p>
        </w:tc>
        <w:tc>
          <w:tcPr>
            <w:tcW w:w="604" w:type="pct"/>
            <w:tcBorders>
              <w:bottom w:val="single" w:sz="4" w:space="0" w:color="auto"/>
            </w:tcBorders>
            <w:noWrap/>
            <w:hideMark/>
          </w:tcPr>
          <w:p w14:paraId="6F09DD7B" w14:textId="77777777" w:rsidR="008442B9" w:rsidRPr="00157F55" w:rsidRDefault="008442B9">
            <w:pPr>
              <w:pStyle w:val="In-tableHeading"/>
              <w:jc w:val="center"/>
            </w:pPr>
            <w:r w:rsidRPr="00157F55">
              <w:t>2026</w:t>
            </w:r>
          </w:p>
        </w:tc>
        <w:tc>
          <w:tcPr>
            <w:tcW w:w="603" w:type="pct"/>
            <w:tcBorders>
              <w:bottom w:val="single" w:sz="4" w:space="0" w:color="auto"/>
            </w:tcBorders>
            <w:noWrap/>
            <w:hideMark/>
          </w:tcPr>
          <w:p w14:paraId="6882A48D" w14:textId="77777777" w:rsidR="008442B9" w:rsidRPr="00157F55" w:rsidRDefault="008442B9">
            <w:pPr>
              <w:pStyle w:val="In-tableHeading"/>
              <w:jc w:val="center"/>
            </w:pPr>
            <w:r w:rsidRPr="00157F55">
              <w:t>2027</w:t>
            </w:r>
          </w:p>
        </w:tc>
        <w:tc>
          <w:tcPr>
            <w:tcW w:w="604" w:type="pct"/>
            <w:tcBorders>
              <w:bottom w:val="single" w:sz="4" w:space="0" w:color="auto"/>
            </w:tcBorders>
            <w:noWrap/>
            <w:hideMark/>
          </w:tcPr>
          <w:p w14:paraId="76EFB293" w14:textId="77777777" w:rsidR="008442B9" w:rsidRPr="00157F55" w:rsidRDefault="008442B9">
            <w:pPr>
              <w:pStyle w:val="In-tableHeading"/>
              <w:jc w:val="center"/>
            </w:pPr>
            <w:r w:rsidRPr="00157F55">
              <w:t>2028</w:t>
            </w:r>
          </w:p>
        </w:tc>
        <w:tc>
          <w:tcPr>
            <w:tcW w:w="601" w:type="pct"/>
            <w:tcBorders>
              <w:bottom w:val="single" w:sz="4" w:space="0" w:color="auto"/>
            </w:tcBorders>
            <w:noWrap/>
            <w:hideMark/>
          </w:tcPr>
          <w:p w14:paraId="64A2AD2F" w14:textId="77777777" w:rsidR="008442B9" w:rsidRPr="00157F55" w:rsidRDefault="008442B9">
            <w:pPr>
              <w:pStyle w:val="In-tableHeading"/>
              <w:jc w:val="center"/>
            </w:pPr>
            <w:r w:rsidRPr="00157F55">
              <w:t>2029</w:t>
            </w:r>
          </w:p>
        </w:tc>
      </w:tr>
      <w:tr w:rsidR="008442B9" w:rsidRPr="00157F55" w14:paraId="0043F550" w14:textId="77777777">
        <w:trPr>
          <w:trHeight w:val="20"/>
        </w:trPr>
        <w:tc>
          <w:tcPr>
            <w:tcW w:w="1381" w:type="pct"/>
            <w:tcBorders>
              <w:bottom w:val="nil"/>
            </w:tcBorders>
            <w:noWrap/>
          </w:tcPr>
          <w:p w14:paraId="161C0707" w14:textId="77777777" w:rsidR="008442B9" w:rsidRPr="00157F55" w:rsidRDefault="008442B9">
            <w:pPr>
              <w:pStyle w:val="TableText"/>
            </w:pPr>
            <w:r w:rsidRPr="00415DF1">
              <w:t>Cost to the MBS of testing additional incident cases</w:t>
            </w:r>
          </w:p>
        </w:tc>
        <w:tc>
          <w:tcPr>
            <w:tcW w:w="603" w:type="pct"/>
            <w:tcBorders>
              <w:bottom w:val="nil"/>
            </w:tcBorders>
            <w:noWrap/>
          </w:tcPr>
          <w:p w14:paraId="4C464FAA" w14:textId="413A260B" w:rsidR="008442B9" w:rsidRPr="00157F55" w:rsidRDefault="002B5E1F">
            <w:pPr>
              <w:pStyle w:val="TableText"/>
              <w:jc w:val="right"/>
            </w:pPr>
            <w:r w:rsidRPr="00771162">
              <w:rPr>
                <w:b/>
                <w:bCs/>
              </w:rPr>
              <w:t>redacted</w:t>
            </w:r>
            <w:r w:rsidR="00383209" w:rsidRPr="00771162">
              <w:rPr>
                <w:vertAlign w:val="superscript"/>
              </w:rPr>
              <w:t>1</w:t>
            </w:r>
          </w:p>
        </w:tc>
        <w:tc>
          <w:tcPr>
            <w:tcW w:w="604" w:type="pct"/>
            <w:tcBorders>
              <w:bottom w:val="nil"/>
            </w:tcBorders>
            <w:noWrap/>
          </w:tcPr>
          <w:p w14:paraId="406B0878" w14:textId="6ED2412B" w:rsidR="008442B9" w:rsidRPr="00157F55" w:rsidRDefault="002B5E1F">
            <w:pPr>
              <w:pStyle w:val="TableText"/>
              <w:jc w:val="right"/>
            </w:pPr>
            <w:r w:rsidRPr="00AC2BEC">
              <w:rPr>
                <w:b/>
                <w:bCs/>
              </w:rPr>
              <w:t>redacted</w:t>
            </w:r>
            <w:r w:rsidRPr="00AC2BEC">
              <w:rPr>
                <w:vertAlign w:val="superscript"/>
              </w:rPr>
              <w:t>1</w:t>
            </w:r>
          </w:p>
        </w:tc>
        <w:tc>
          <w:tcPr>
            <w:tcW w:w="604" w:type="pct"/>
            <w:tcBorders>
              <w:bottom w:val="nil"/>
            </w:tcBorders>
            <w:noWrap/>
          </w:tcPr>
          <w:p w14:paraId="6530CA05" w14:textId="131B1246" w:rsidR="008442B9" w:rsidRPr="00157F55" w:rsidRDefault="002B5E1F">
            <w:pPr>
              <w:pStyle w:val="TableText"/>
              <w:jc w:val="right"/>
            </w:pPr>
            <w:r w:rsidRPr="00AC2BEC">
              <w:rPr>
                <w:b/>
                <w:bCs/>
              </w:rPr>
              <w:t>redacted</w:t>
            </w:r>
            <w:r w:rsidRPr="00AC2BEC">
              <w:rPr>
                <w:vertAlign w:val="superscript"/>
              </w:rPr>
              <w:t>1</w:t>
            </w:r>
          </w:p>
        </w:tc>
        <w:tc>
          <w:tcPr>
            <w:tcW w:w="603" w:type="pct"/>
            <w:tcBorders>
              <w:bottom w:val="nil"/>
            </w:tcBorders>
            <w:noWrap/>
          </w:tcPr>
          <w:p w14:paraId="1BC30746" w14:textId="1098C074" w:rsidR="008442B9" w:rsidRPr="00157F55" w:rsidRDefault="002B5E1F">
            <w:pPr>
              <w:pStyle w:val="TableText"/>
              <w:jc w:val="right"/>
            </w:pPr>
            <w:r w:rsidRPr="00AC2BEC">
              <w:rPr>
                <w:b/>
                <w:bCs/>
              </w:rPr>
              <w:t>redacted</w:t>
            </w:r>
            <w:r w:rsidRPr="00AC2BEC">
              <w:rPr>
                <w:vertAlign w:val="superscript"/>
              </w:rPr>
              <w:t>1</w:t>
            </w:r>
          </w:p>
        </w:tc>
        <w:tc>
          <w:tcPr>
            <w:tcW w:w="604" w:type="pct"/>
            <w:tcBorders>
              <w:bottom w:val="nil"/>
            </w:tcBorders>
            <w:noWrap/>
          </w:tcPr>
          <w:p w14:paraId="23FAB9A9" w14:textId="4F1BDE62" w:rsidR="008442B9" w:rsidRPr="00157F55" w:rsidRDefault="002B5E1F">
            <w:pPr>
              <w:pStyle w:val="TableText"/>
              <w:jc w:val="right"/>
            </w:pPr>
            <w:r w:rsidRPr="00AC2BEC">
              <w:rPr>
                <w:b/>
                <w:bCs/>
              </w:rPr>
              <w:t>redacted</w:t>
            </w:r>
            <w:r w:rsidRPr="00AC2BEC">
              <w:rPr>
                <w:vertAlign w:val="superscript"/>
              </w:rPr>
              <w:t>1</w:t>
            </w:r>
          </w:p>
        </w:tc>
        <w:tc>
          <w:tcPr>
            <w:tcW w:w="601" w:type="pct"/>
            <w:tcBorders>
              <w:bottom w:val="nil"/>
            </w:tcBorders>
            <w:noWrap/>
          </w:tcPr>
          <w:p w14:paraId="64B148D5" w14:textId="5C755122" w:rsidR="008442B9" w:rsidRPr="00157F55" w:rsidRDefault="002B5E1F">
            <w:pPr>
              <w:pStyle w:val="TableText"/>
              <w:jc w:val="right"/>
            </w:pPr>
            <w:r w:rsidRPr="00AC2BEC">
              <w:rPr>
                <w:b/>
                <w:bCs/>
              </w:rPr>
              <w:t>redacted</w:t>
            </w:r>
            <w:r w:rsidRPr="00AC2BEC">
              <w:rPr>
                <w:vertAlign w:val="superscript"/>
              </w:rPr>
              <w:t>1</w:t>
            </w:r>
          </w:p>
        </w:tc>
      </w:tr>
      <w:tr w:rsidR="008442B9" w:rsidRPr="00D85CA9" w14:paraId="2ED80EF1" w14:textId="77777777">
        <w:trPr>
          <w:trHeight w:val="20"/>
        </w:trPr>
        <w:tc>
          <w:tcPr>
            <w:tcW w:w="1381" w:type="pct"/>
            <w:tcBorders>
              <w:top w:val="nil"/>
              <w:bottom w:val="single" w:sz="4" w:space="0" w:color="auto"/>
            </w:tcBorders>
            <w:noWrap/>
          </w:tcPr>
          <w:p w14:paraId="4A26C10C" w14:textId="77777777" w:rsidR="008442B9" w:rsidRPr="00D85CA9" w:rsidRDefault="008442B9" w:rsidP="00F72056">
            <w:pPr>
              <w:pStyle w:val="TableText"/>
              <w:ind w:left="167"/>
              <w:rPr>
                <w:i/>
                <w:iCs/>
              </w:rPr>
            </w:pPr>
            <w:r w:rsidRPr="00D85CA9">
              <w:rPr>
                <w:i/>
                <w:iCs/>
              </w:rPr>
              <w:t>Revised</w:t>
            </w:r>
            <w:r>
              <w:rPr>
                <w:i/>
                <w:iCs/>
              </w:rPr>
              <w:t xml:space="preserve"> </w:t>
            </w:r>
            <w:r w:rsidRPr="0043238B">
              <w:rPr>
                <w:i/>
                <w:iCs/>
                <w:vertAlign w:val="superscript"/>
              </w:rPr>
              <w:t>a</w:t>
            </w:r>
          </w:p>
        </w:tc>
        <w:tc>
          <w:tcPr>
            <w:tcW w:w="603" w:type="pct"/>
            <w:tcBorders>
              <w:top w:val="nil"/>
              <w:bottom w:val="single" w:sz="4" w:space="0" w:color="auto"/>
            </w:tcBorders>
            <w:noWrap/>
          </w:tcPr>
          <w:p w14:paraId="4BC8D209" w14:textId="1BB67F90" w:rsidR="008442B9" w:rsidRPr="00D85CA9" w:rsidRDefault="00054526">
            <w:pPr>
              <w:pStyle w:val="TableText"/>
              <w:jc w:val="right"/>
              <w:rPr>
                <w:i/>
                <w:iCs/>
              </w:rPr>
            </w:pPr>
            <w:r w:rsidRPr="00AC2BEC">
              <w:rPr>
                <w:b/>
                <w:bCs/>
              </w:rPr>
              <w:t>redacted</w:t>
            </w:r>
            <w:r w:rsidRPr="00AC2BEC">
              <w:rPr>
                <w:vertAlign w:val="superscript"/>
              </w:rPr>
              <w:t>1</w:t>
            </w:r>
          </w:p>
        </w:tc>
        <w:tc>
          <w:tcPr>
            <w:tcW w:w="604" w:type="pct"/>
            <w:tcBorders>
              <w:top w:val="nil"/>
              <w:bottom w:val="single" w:sz="4" w:space="0" w:color="auto"/>
            </w:tcBorders>
            <w:noWrap/>
          </w:tcPr>
          <w:p w14:paraId="722E81FA" w14:textId="4348749B" w:rsidR="008442B9" w:rsidRPr="00D85CA9" w:rsidRDefault="00054526">
            <w:pPr>
              <w:pStyle w:val="TableText"/>
              <w:jc w:val="right"/>
              <w:rPr>
                <w:i/>
                <w:iCs/>
              </w:rPr>
            </w:pPr>
            <w:r w:rsidRPr="00AC2BEC">
              <w:rPr>
                <w:b/>
                <w:bCs/>
              </w:rPr>
              <w:t>redacted</w:t>
            </w:r>
            <w:r w:rsidRPr="00AC2BEC">
              <w:rPr>
                <w:vertAlign w:val="superscript"/>
              </w:rPr>
              <w:t>1</w:t>
            </w:r>
          </w:p>
        </w:tc>
        <w:tc>
          <w:tcPr>
            <w:tcW w:w="604" w:type="pct"/>
            <w:tcBorders>
              <w:top w:val="nil"/>
              <w:bottom w:val="single" w:sz="4" w:space="0" w:color="auto"/>
            </w:tcBorders>
            <w:noWrap/>
          </w:tcPr>
          <w:p w14:paraId="7D3D446F" w14:textId="4DAE281D" w:rsidR="008442B9" w:rsidRPr="00D85CA9" w:rsidRDefault="00054526">
            <w:pPr>
              <w:pStyle w:val="TableText"/>
              <w:jc w:val="right"/>
              <w:rPr>
                <w:i/>
                <w:iCs/>
              </w:rPr>
            </w:pPr>
            <w:r w:rsidRPr="00AC2BEC">
              <w:rPr>
                <w:b/>
                <w:bCs/>
              </w:rPr>
              <w:t>redacted</w:t>
            </w:r>
            <w:r w:rsidRPr="00AC2BEC">
              <w:rPr>
                <w:vertAlign w:val="superscript"/>
              </w:rPr>
              <w:t>1</w:t>
            </w:r>
          </w:p>
        </w:tc>
        <w:tc>
          <w:tcPr>
            <w:tcW w:w="603" w:type="pct"/>
            <w:tcBorders>
              <w:top w:val="nil"/>
              <w:bottom w:val="single" w:sz="4" w:space="0" w:color="auto"/>
            </w:tcBorders>
            <w:noWrap/>
          </w:tcPr>
          <w:p w14:paraId="327756D4" w14:textId="2D45B727" w:rsidR="008442B9" w:rsidRPr="00D85CA9" w:rsidRDefault="00054526">
            <w:pPr>
              <w:pStyle w:val="TableText"/>
              <w:jc w:val="right"/>
              <w:rPr>
                <w:i/>
                <w:iCs/>
              </w:rPr>
            </w:pPr>
            <w:r w:rsidRPr="00AC2BEC">
              <w:rPr>
                <w:b/>
                <w:bCs/>
              </w:rPr>
              <w:t>redacted</w:t>
            </w:r>
            <w:r w:rsidRPr="00AC2BEC">
              <w:rPr>
                <w:vertAlign w:val="superscript"/>
              </w:rPr>
              <w:t>1</w:t>
            </w:r>
          </w:p>
        </w:tc>
        <w:tc>
          <w:tcPr>
            <w:tcW w:w="604" w:type="pct"/>
            <w:tcBorders>
              <w:top w:val="nil"/>
              <w:bottom w:val="single" w:sz="4" w:space="0" w:color="auto"/>
            </w:tcBorders>
            <w:noWrap/>
          </w:tcPr>
          <w:p w14:paraId="274ACA46" w14:textId="66902C1B" w:rsidR="008442B9" w:rsidRPr="00D85CA9" w:rsidRDefault="00054526">
            <w:pPr>
              <w:pStyle w:val="TableText"/>
              <w:jc w:val="right"/>
              <w:rPr>
                <w:i/>
                <w:iCs/>
              </w:rPr>
            </w:pPr>
            <w:r w:rsidRPr="00AC2BEC">
              <w:rPr>
                <w:b/>
                <w:bCs/>
              </w:rPr>
              <w:t>redacted</w:t>
            </w:r>
            <w:r w:rsidRPr="00AC2BEC">
              <w:rPr>
                <w:vertAlign w:val="superscript"/>
              </w:rPr>
              <w:t>1</w:t>
            </w:r>
          </w:p>
        </w:tc>
        <w:tc>
          <w:tcPr>
            <w:tcW w:w="601" w:type="pct"/>
            <w:tcBorders>
              <w:top w:val="nil"/>
              <w:bottom w:val="single" w:sz="4" w:space="0" w:color="auto"/>
            </w:tcBorders>
            <w:noWrap/>
          </w:tcPr>
          <w:p w14:paraId="7B3EAF4D" w14:textId="417366C2" w:rsidR="008442B9" w:rsidRPr="00D85CA9" w:rsidRDefault="00054526">
            <w:pPr>
              <w:pStyle w:val="TableText"/>
              <w:jc w:val="right"/>
              <w:rPr>
                <w:i/>
                <w:iCs/>
              </w:rPr>
            </w:pPr>
            <w:r w:rsidRPr="00AC2BEC">
              <w:rPr>
                <w:b/>
                <w:bCs/>
              </w:rPr>
              <w:t>redacted</w:t>
            </w:r>
            <w:r w:rsidRPr="00AC2BEC">
              <w:rPr>
                <w:vertAlign w:val="superscript"/>
              </w:rPr>
              <w:t>1</w:t>
            </w:r>
          </w:p>
        </w:tc>
      </w:tr>
      <w:tr w:rsidR="008442B9" w:rsidRPr="00157F55" w14:paraId="10F8EC4E" w14:textId="77777777">
        <w:trPr>
          <w:trHeight w:val="20"/>
        </w:trPr>
        <w:tc>
          <w:tcPr>
            <w:tcW w:w="1381" w:type="pct"/>
            <w:tcBorders>
              <w:bottom w:val="nil"/>
            </w:tcBorders>
            <w:noWrap/>
          </w:tcPr>
          <w:p w14:paraId="31C1F1AB" w14:textId="77777777" w:rsidR="008442B9" w:rsidRPr="00157F55" w:rsidRDefault="008442B9">
            <w:pPr>
              <w:pStyle w:val="TableText"/>
            </w:pPr>
            <w:r w:rsidRPr="00415DF1">
              <w:t>Cost to the MBS of additional cascade testing</w:t>
            </w:r>
          </w:p>
        </w:tc>
        <w:tc>
          <w:tcPr>
            <w:tcW w:w="603" w:type="pct"/>
            <w:tcBorders>
              <w:bottom w:val="nil"/>
            </w:tcBorders>
            <w:noWrap/>
          </w:tcPr>
          <w:p w14:paraId="7860F6D9" w14:textId="0339EA36" w:rsidR="008442B9" w:rsidRPr="00157F55" w:rsidRDefault="00054526">
            <w:pPr>
              <w:pStyle w:val="TableText"/>
              <w:jc w:val="right"/>
            </w:pPr>
            <w:r w:rsidRPr="00AC2BEC">
              <w:rPr>
                <w:b/>
                <w:bCs/>
              </w:rPr>
              <w:t>redacted</w:t>
            </w:r>
            <w:r w:rsidRPr="00AC2BEC">
              <w:rPr>
                <w:vertAlign w:val="superscript"/>
              </w:rPr>
              <w:t>1</w:t>
            </w:r>
          </w:p>
        </w:tc>
        <w:tc>
          <w:tcPr>
            <w:tcW w:w="604" w:type="pct"/>
            <w:tcBorders>
              <w:bottom w:val="nil"/>
            </w:tcBorders>
            <w:noWrap/>
          </w:tcPr>
          <w:p w14:paraId="3AEAD8D8" w14:textId="5FDAC2E7" w:rsidR="008442B9" w:rsidRPr="00157F55" w:rsidRDefault="00054526">
            <w:pPr>
              <w:pStyle w:val="TableText"/>
              <w:jc w:val="right"/>
            </w:pPr>
            <w:r w:rsidRPr="00AC2BEC">
              <w:rPr>
                <w:b/>
                <w:bCs/>
              </w:rPr>
              <w:t>redacted</w:t>
            </w:r>
            <w:r w:rsidRPr="00AC2BEC">
              <w:rPr>
                <w:vertAlign w:val="superscript"/>
              </w:rPr>
              <w:t>1</w:t>
            </w:r>
          </w:p>
        </w:tc>
        <w:tc>
          <w:tcPr>
            <w:tcW w:w="604" w:type="pct"/>
            <w:tcBorders>
              <w:bottom w:val="nil"/>
            </w:tcBorders>
            <w:noWrap/>
          </w:tcPr>
          <w:p w14:paraId="5E8DB39A" w14:textId="6673F4FB" w:rsidR="008442B9" w:rsidRPr="00157F55" w:rsidRDefault="00054526">
            <w:pPr>
              <w:pStyle w:val="TableText"/>
              <w:jc w:val="right"/>
            </w:pPr>
            <w:r w:rsidRPr="00AC2BEC">
              <w:rPr>
                <w:b/>
                <w:bCs/>
              </w:rPr>
              <w:t>redacted</w:t>
            </w:r>
            <w:r w:rsidRPr="00AC2BEC">
              <w:rPr>
                <w:vertAlign w:val="superscript"/>
              </w:rPr>
              <w:t>1</w:t>
            </w:r>
          </w:p>
        </w:tc>
        <w:tc>
          <w:tcPr>
            <w:tcW w:w="603" w:type="pct"/>
            <w:tcBorders>
              <w:bottom w:val="nil"/>
            </w:tcBorders>
            <w:noWrap/>
          </w:tcPr>
          <w:p w14:paraId="7D3012AD" w14:textId="098A2298" w:rsidR="008442B9" w:rsidRPr="00157F55" w:rsidRDefault="00054526">
            <w:pPr>
              <w:pStyle w:val="TableText"/>
              <w:jc w:val="right"/>
            </w:pPr>
            <w:r w:rsidRPr="00AC2BEC">
              <w:rPr>
                <w:b/>
                <w:bCs/>
              </w:rPr>
              <w:t>redacted</w:t>
            </w:r>
            <w:r w:rsidRPr="00AC2BEC">
              <w:rPr>
                <w:vertAlign w:val="superscript"/>
              </w:rPr>
              <w:t>1</w:t>
            </w:r>
          </w:p>
        </w:tc>
        <w:tc>
          <w:tcPr>
            <w:tcW w:w="604" w:type="pct"/>
            <w:tcBorders>
              <w:bottom w:val="nil"/>
            </w:tcBorders>
            <w:noWrap/>
          </w:tcPr>
          <w:p w14:paraId="38498117" w14:textId="135DD9CB" w:rsidR="008442B9" w:rsidRPr="00157F55" w:rsidRDefault="00054526">
            <w:pPr>
              <w:pStyle w:val="TableText"/>
              <w:jc w:val="right"/>
            </w:pPr>
            <w:r w:rsidRPr="00AC2BEC">
              <w:rPr>
                <w:b/>
                <w:bCs/>
              </w:rPr>
              <w:t>redacted</w:t>
            </w:r>
            <w:r w:rsidRPr="00AC2BEC">
              <w:rPr>
                <w:vertAlign w:val="superscript"/>
              </w:rPr>
              <w:t>1</w:t>
            </w:r>
          </w:p>
        </w:tc>
        <w:tc>
          <w:tcPr>
            <w:tcW w:w="601" w:type="pct"/>
            <w:tcBorders>
              <w:bottom w:val="nil"/>
            </w:tcBorders>
            <w:noWrap/>
          </w:tcPr>
          <w:p w14:paraId="76EA2E23" w14:textId="460A1732" w:rsidR="008442B9" w:rsidRPr="00157F55" w:rsidRDefault="00054526">
            <w:pPr>
              <w:pStyle w:val="TableText"/>
              <w:jc w:val="right"/>
            </w:pPr>
            <w:r w:rsidRPr="00AC2BEC">
              <w:rPr>
                <w:b/>
                <w:bCs/>
              </w:rPr>
              <w:t>redacted</w:t>
            </w:r>
            <w:r w:rsidRPr="00AC2BEC">
              <w:rPr>
                <w:vertAlign w:val="superscript"/>
              </w:rPr>
              <w:t>1</w:t>
            </w:r>
          </w:p>
        </w:tc>
      </w:tr>
      <w:tr w:rsidR="008442B9" w:rsidRPr="00D85CA9" w14:paraId="523AD977" w14:textId="77777777">
        <w:trPr>
          <w:trHeight w:val="20"/>
        </w:trPr>
        <w:tc>
          <w:tcPr>
            <w:tcW w:w="1381" w:type="pct"/>
            <w:tcBorders>
              <w:top w:val="nil"/>
              <w:bottom w:val="single" w:sz="4" w:space="0" w:color="auto"/>
            </w:tcBorders>
            <w:noWrap/>
          </w:tcPr>
          <w:p w14:paraId="388E1BEB" w14:textId="77777777" w:rsidR="008442B9" w:rsidRPr="00D85CA9" w:rsidRDefault="008442B9" w:rsidP="00F72056">
            <w:pPr>
              <w:pStyle w:val="TableText"/>
              <w:ind w:left="167"/>
              <w:rPr>
                <w:i/>
                <w:iCs/>
              </w:rPr>
            </w:pPr>
            <w:r w:rsidRPr="00D85CA9">
              <w:rPr>
                <w:i/>
                <w:iCs/>
              </w:rPr>
              <w:t>Revised</w:t>
            </w:r>
            <w:r>
              <w:rPr>
                <w:i/>
                <w:iCs/>
              </w:rPr>
              <w:t xml:space="preserve"> </w:t>
            </w:r>
            <w:r w:rsidRPr="0043238B">
              <w:rPr>
                <w:i/>
                <w:iCs/>
                <w:vertAlign w:val="superscript"/>
              </w:rPr>
              <w:t>b</w:t>
            </w:r>
          </w:p>
        </w:tc>
        <w:tc>
          <w:tcPr>
            <w:tcW w:w="603" w:type="pct"/>
            <w:tcBorders>
              <w:top w:val="nil"/>
              <w:bottom w:val="single" w:sz="4" w:space="0" w:color="auto"/>
            </w:tcBorders>
            <w:noWrap/>
          </w:tcPr>
          <w:p w14:paraId="3ED1C6F6" w14:textId="0C28C0DE" w:rsidR="008442B9" w:rsidRPr="00D85CA9" w:rsidRDefault="00054526">
            <w:pPr>
              <w:pStyle w:val="TableText"/>
              <w:jc w:val="right"/>
              <w:rPr>
                <w:i/>
                <w:iCs/>
              </w:rPr>
            </w:pPr>
            <w:r w:rsidRPr="00AC2BEC">
              <w:rPr>
                <w:b/>
                <w:bCs/>
              </w:rPr>
              <w:t>redacted</w:t>
            </w:r>
            <w:r w:rsidRPr="00AC2BEC">
              <w:rPr>
                <w:vertAlign w:val="superscript"/>
              </w:rPr>
              <w:t>1</w:t>
            </w:r>
          </w:p>
        </w:tc>
        <w:tc>
          <w:tcPr>
            <w:tcW w:w="604" w:type="pct"/>
            <w:tcBorders>
              <w:top w:val="nil"/>
              <w:bottom w:val="single" w:sz="4" w:space="0" w:color="auto"/>
            </w:tcBorders>
            <w:noWrap/>
          </w:tcPr>
          <w:p w14:paraId="10CA94E0" w14:textId="127BC71D" w:rsidR="008442B9" w:rsidRPr="00D85CA9" w:rsidRDefault="00054526">
            <w:pPr>
              <w:pStyle w:val="TableText"/>
              <w:jc w:val="right"/>
              <w:rPr>
                <w:i/>
                <w:iCs/>
              </w:rPr>
            </w:pPr>
            <w:r w:rsidRPr="00AC2BEC">
              <w:rPr>
                <w:b/>
                <w:bCs/>
              </w:rPr>
              <w:t>redacted</w:t>
            </w:r>
            <w:r w:rsidRPr="00AC2BEC">
              <w:rPr>
                <w:vertAlign w:val="superscript"/>
              </w:rPr>
              <w:t>1</w:t>
            </w:r>
          </w:p>
        </w:tc>
        <w:tc>
          <w:tcPr>
            <w:tcW w:w="604" w:type="pct"/>
            <w:tcBorders>
              <w:top w:val="nil"/>
              <w:bottom w:val="single" w:sz="4" w:space="0" w:color="auto"/>
            </w:tcBorders>
            <w:noWrap/>
          </w:tcPr>
          <w:p w14:paraId="46BE101E" w14:textId="31925B6F" w:rsidR="008442B9" w:rsidRPr="00D85CA9" w:rsidRDefault="00054526">
            <w:pPr>
              <w:pStyle w:val="TableText"/>
              <w:jc w:val="right"/>
              <w:rPr>
                <w:i/>
                <w:iCs/>
              </w:rPr>
            </w:pPr>
            <w:r w:rsidRPr="00AC2BEC">
              <w:rPr>
                <w:b/>
                <w:bCs/>
              </w:rPr>
              <w:t>redacted</w:t>
            </w:r>
            <w:r w:rsidRPr="00AC2BEC">
              <w:rPr>
                <w:vertAlign w:val="superscript"/>
              </w:rPr>
              <w:t>1</w:t>
            </w:r>
          </w:p>
        </w:tc>
        <w:tc>
          <w:tcPr>
            <w:tcW w:w="603" w:type="pct"/>
            <w:tcBorders>
              <w:top w:val="nil"/>
              <w:bottom w:val="single" w:sz="4" w:space="0" w:color="auto"/>
            </w:tcBorders>
            <w:noWrap/>
          </w:tcPr>
          <w:p w14:paraId="047D3854" w14:textId="56CA7821" w:rsidR="008442B9" w:rsidRPr="00D85CA9" w:rsidRDefault="00054526">
            <w:pPr>
              <w:pStyle w:val="TableText"/>
              <w:jc w:val="right"/>
              <w:rPr>
                <w:i/>
                <w:iCs/>
              </w:rPr>
            </w:pPr>
            <w:r w:rsidRPr="00AC2BEC">
              <w:rPr>
                <w:b/>
                <w:bCs/>
              </w:rPr>
              <w:t>redacted</w:t>
            </w:r>
            <w:r w:rsidRPr="00AC2BEC">
              <w:rPr>
                <w:vertAlign w:val="superscript"/>
              </w:rPr>
              <w:t>1</w:t>
            </w:r>
          </w:p>
        </w:tc>
        <w:tc>
          <w:tcPr>
            <w:tcW w:w="604" w:type="pct"/>
            <w:tcBorders>
              <w:top w:val="nil"/>
              <w:bottom w:val="single" w:sz="4" w:space="0" w:color="auto"/>
            </w:tcBorders>
            <w:noWrap/>
          </w:tcPr>
          <w:p w14:paraId="52E6916E" w14:textId="306F7CC8" w:rsidR="008442B9" w:rsidRPr="00D85CA9" w:rsidRDefault="00054526">
            <w:pPr>
              <w:pStyle w:val="TableText"/>
              <w:jc w:val="right"/>
              <w:rPr>
                <w:i/>
                <w:iCs/>
              </w:rPr>
            </w:pPr>
            <w:r w:rsidRPr="00AC2BEC">
              <w:rPr>
                <w:b/>
                <w:bCs/>
              </w:rPr>
              <w:t>redacted</w:t>
            </w:r>
            <w:r w:rsidRPr="00AC2BEC">
              <w:rPr>
                <w:vertAlign w:val="superscript"/>
              </w:rPr>
              <w:t>1</w:t>
            </w:r>
          </w:p>
        </w:tc>
        <w:tc>
          <w:tcPr>
            <w:tcW w:w="601" w:type="pct"/>
            <w:tcBorders>
              <w:top w:val="nil"/>
              <w:bottom w:val="single" w:sz="4" w:space="0" w:color="auto"/>
            </w:tcBorders>
            <w:noWrap/>
          </w:tcPr>
          <w:p w14:paraId="72661B86" w14:textId="2AC12FEB" w:rsidR="008442B9" w:rsidRPr="00D85CA9" w:rsidRDefault="00054526">
            <w:pPr>
              <w:pStyle w:val="TableText"/>
              <w:jc w:val="right"/>
              <w:rPr>
                <w:i/>
                <w:iCs/>
              </w:rPr>
            </w:pPr>
            <w:r w:rsidRPr="00AC2BEC">
              <w:rPr>
                <w:b/>
                <w:bCs/>
              </w:rPr>
              <w:t>redacted</w:t>
            </w:r>
            <w:r w:rsidRPr="00AC2BEC">
              <w:rPr>
                <w:vertAlign w:val="superscript"/>
              </w:rPr>
              <w:t>1</w:t>
            </w:r>
          </w:p>
        </w:tc>
      </w:tr>
      <w:tr w:rsidR="008442B9" w:rsidRPr="00D85CA9" w14:paraId="391CD707" w14:textId="77777777">
        <w:trPr>
          <w:trHeight w:val="20"/>
        </w:trPr>
        <w:tc>
          <w:tcPr>
            <w:tcW w:w="1381" w:type="pct"/>
            <w:tcBorders>
              <w:bottom w:val="nil"/>
            </w:tcBorders>
            <w:noWrap/>
          </w:tcPr>
          <w:p w14:paraId="36B598C0" w14:textId="77777777" w:rsidR="008442B9" w:rsidRPr="00D85CA9" w:rsidRDefault="008442B9">
            <w:pPr>
              <w:pStyle w:val="TableText"/>
              <w:rPr>
                <w:b/>
                <w:bCs/>
              </w:rPr>
            </w:pPr>
            <w:r w:rsidRPr="00D85CA9">
              <w:rPr>
                <w:b/>
              </w:rPr>
              <w:t>Net cost to the MBS</w:t>
            </w:r>
            <w:r>
              <w:rPr>
                <w:b/>
              </w:rPr>
              <w:t xml:space="preserve"> </w:t>
            </w:r>
            <w:r w:rsidRPr="002F659E">
              <w:rPr>
                <w:b/>
                <w:vertAlign w:val="superscript"/>
              </w:rPr>
              <w:t>c</w:t>
            </w:r>
          </w:p>
        </w:tc>
        <w:tc>
          <w:tcPr>
            <w:tcW w:w="603" w:type="pct"/>
            <w:tcBorders>
              <w:bottom w:val="nil"/>
            </w:tcBorders>
            <w:noWrap/>
          </w:tcPr>
          <w:p w14:paraId="6FB1D484" w14:textId="602740A6" w:rsidR="008442B9" w:rsidRPr="002D3D46" w:rsidRDefault="00054526">
            <w:pPr>
              <w:pStyle w:val="TableText"/>
              <w:jc w:val="right"/>
              <w:rPr>
                <w:b/>
                <w:bCs/>
              </w:rPr>
            </w:pPr>
            <w:r w:rsidRPr="00AC2BEC">
              <w:rPr>
                <w:b/>
                <w:bCs/>
              </w:rPr>
              <w:t xml:space="preserve"> redacted</w:t>
            </w:r>
            <w:r w:rsidRPr="00AC2BEC">
              <w:rPr>
                <w:vertAlign w:val="superscript"/>
              </w:rPr>
              <w:t>1</w:t>
            </w:r>
          </w:p>
        </w:tc>
        <w:tc>
          <w:tcPr>
            <w:tcW w:w="604" w:type="pct"/>
            <w:tcBorders>
              <w:bottom w:val="nil"/>
            </w:tcBorders>
            <w:noWrap/>
          </w:tcPr>
          <w:p w14:paraId="1432B2D5" w14:textId="5CE8181D" w:rsidR="008442B9" w:rsidRPr="002D3D46" w:rsidRDefault="00054526">
            <w:pPr>
              <w:pStyle w:val="TableText"/>
              <w:jc w:val="right"/>
              <w:rPr>
                <w:b/>
                <w:bCs/>
              </w:rPr>
            </w:pPr>
            <w:r w:rsidRPr="00AC2BEC">
              <w:rPr>
                <w:b/>
                <w:bCs/>
              </w:rPr>
              <w:t>redacted</w:t>
            </w:r>
            <w:r w:rsidRPr="00AC2BEC">
              <w:rPr>
                <w:vertAlign w:val="superscript"/>
              </w:rPr>
              <w:t>1</w:t>
            </w:r>
          </w:p>
        </w:tc>
        <w:tc>
          <w:tcPr>
            <w:tcW w:w="604" w:type="pct"/>
            <w:tcBorders>
              <w:bottom w:val="nil"/>
            </w:tcBorders>
            <w:noWrap/>
          </w:tcPr>
          <w:p w14:paraId="780357FD" w14:textId="4EF1FB62" w:rsidR="008442B9" w:rsidRPr="002D3D46" w:rsidRDefault="00054526">
            <w:pPr>
              <w:pStyle w:val="TableText"/>
              <w:jc w:val="right"/>
              <w:rPr>
                <w:b/>
                <w:bCs/>
              </w:rPr>
            </w:pPr>
            <w:r w:rsidRPr="00AC2BEC">
              <w:rPr>
                <w:b/>
                <w:bCs/>
              </w:rPr>
              <w:t>redacted</w:t>
            </w:r>
            <w:r w:rsidRPr="00AC2BEC">
              <w:rPr>
                <w:vertAlign w:val="superscript"/>
              </w:rPr>
              <w:t>1</w:t>
            </w:r>
          </w:p>
        </w:tc>
        <w:tc>
          <w:tcPr>
            <w:tcW w:w="603" w:type="pct"/>
            <w:tcBorders>
              <w:bottom w:val="nil"/>
            </w:tcBorders>
            <w:noWrap/>
          </w:tcPr>
          <w:p w14:paraId="3353711C" w14:textId="3445B931" w:rsidR="008442B9" w:rsidRPr="002D3D46" w:rsidRDefault="00054526">
            <w:pPr>
              <w:pStyle w:val="TableText"/>
              <w:jc w:val="right"/>
              <w:rPr>
                <w:b/>
                <w:bCs/>
              </w:rPr>
            </w:pPr>
            <w:r w:rsidRPr="00AC2BEC">
              <w:rPr>
                <w:b/>
                <w:bCs/>
              </w:rPr>
              <w:t>redacted</w:t>
            </w:r>
            <w:r w:rsidRPr="00AC2BEC">
              <w:rPr>
                <w:vertAlign w:val="superscript"/>
              </w:rPr>
              <w:t>1</w:t>
            </w:r>
          </w:p>
        </w:tc>
        <w:tc>
          <w:tcPr>
            <w:tcW w:w="604" w:type="pct"/>
            <w:tcBorders>
              <w:bottom w:val="nil"/>
            </w:tcBorders>
            <w:noWrap/>
          </w:tcPr>
          <w:p w14:paraId="2326FDBD" w14:textId="71DE576D" w:rsidR="008442B9" w:rsidRPr="002D3D46" w:rsidRDefault="00054526">
            <w:pPr>
              <w:pStyle w:val="TableText"/>
              <w:jc w:val="right"/>
              <w:rPr>
                <w:b/>
                <w:bCs/>
              </w:rPr>
            </w:pPr>
            <w:r w:rsidRPr="00AC2BEC">
              <w:rPr>
                <w:b/>
                <w:bCs/>
              </w:rPr>
              <w:t>redacted</w:t>
            </w:r>
            <w:r w:rsidRPr="00AC2BEC">
              <w:rPr>
                <w:vertAlign w:val="superscript"/>
              </w:rPr>
              <w:t>1</w:t>
            </w:r>
          </w:p>
        </w:tc>
        <w:tc>
          <w:tcPr>
            <w:tcW w:w="601" w:type="pct"/>
            <w:tcBorders>
              <w:bottom w:val="nil"/>
            </w:tcBorders>
            <w:noWrap/>
          </w:tcPr>
          <w:p w14:paraId="29E108D7" w14:textId="45C03FE9" w:rsidR="008442B9" w:rsidRPr="002D3D46" w:rsidRDefault="00054526">
            <w:pPr>
              <w:pStyle w:val="TableText"/>
              <w:jc w:val="right"/>
              <w:rPr>
                <w:b/>
                <w:bCs/>
              </w:rPr>
            </w:pPr>
            <w:r w:rsidRPr="00AC2BEC">
              <w:rPr>
                <w:b/>
                <w:bCs/>
              </w:rPr>
              <w:t>redacted</w:t>
            </w:r>
            <w:r w:rsidRPr="00AC2BEC">
              <w:rPr>
                <w:vertAlign w:val="superscript"/>
              </w:rPr>
              <w:t>1</w:t>
            </w:r>
          </w:p>
        </w:tc>
      </w:tr>
      <w:tr w:rsidR="008442B9" w:rsidRPr="00D85CA9" w14:paraId="297C281C" w14:textId="77777777">
        <w:trPr>
          <w:trHeight w:val="20"/>
        </w:trPr>
        <w:tc>
          <w:tcPr>
            <w:tcW w:w="1381" w:type="pct"/>
            <w:tcBorders>
              <w:top w:val="nil"/>
            </w:tcBorders>
            <w:noWrap/>
          </w:tcPr>
          <w:p w14:paraId="227206DB" w14:textId="77777777" w:rsidR="008442B9" w:rsidRPr="00D85CA9" w:rsidRDefault="008442B9" w:rsidP="00F72056">
            <w:pPr>
              <w:pStyle w:val="TableText"/>
              <w:ind w:left="167"/>
              <w:rPr>
                <w:b/>
                <w:bCs/>
                <w:i/>
                <w:iCs/>
              </w:rPr>
            </w:pPr>
            <w:r w:rsidRPr="00D85CA9">
              <w:rPr>
                <w:b/>
                <w:i/>
                <w:iCs/>
              </w:rPr>
              <w:t>Revised</w:t>
            </w:r>
          </w:p>
        </w:tc>
        <w:tc>
          <w:tcPr>
            <w:tcW w:w="603" w:type="pct"/>
            <w:tcBorders>
              <w:top w:val="nil"/>
            </w:tcBorders>
            <w:noWrap/>
          </w:tcPr>
          <w:p w14:paraId="0B7DB4D6" w14:textId="7B60A395" w:rsidR="008442B9" w:rsidRPr="002D3D46" w:rsidRDefault="00054526">
            <w:pPr>
              <w:pStyle w:val="TableText"/>
              <w:jc w:val="right"/>
              <w:rPr>
                <w:b/>
                <w:bCs/>
                <w:i/>
                <w:iCs/>
              </w:rPr>
            </w:pPr>
            <w:r w:rsidRPr="00AC2BEC">
              <w:rPr>
                <w:b/>
                <w:bCs/>
              </w:rPr>
              <w:t>redacted</w:t>
            </w:r>
            <w:r w:rsidRPr="00AC2BEC">
              <w:rPr>
                <w:vertAlign w:val="superscript"/>
              </w:rPr>
              <w:t>1</w:t>
            </w:r>
          </w:p>
        </w:tc>
        <w:tc>
          <w:tcPr>
            <w:tcW w:w="604" w:type="pct"/>
            <w:tcBorders>
              <w:top w:val="nil"/>
            </w:tcBorders>
            <w:noWrap/>
          </w:tcPr>
          <w:p w14:paraId="708F2ED6" w14:textId="45709872" w:rsidR="008442B9" w:rsidRPr="002D3D46" w:rsidRDefault="00054526">
            <w:pPr>
              <w:pStyle w:val="TableText"/>
              <w:jc w:val="right"/>
              <w:rPr>
                <w:b/>
                <w:bCs/>
                <w:i/>
                <w:iCs/>
              </w:rPr>
            </w:pPr>
            <w:r w:rsidRPr="00AC2BEC">
              <w:rPr>
                <w:b/>
                <w:bCs/>
              </w:rPr>
              <w:t>redacted</w:t>
            </w:r>
            <w:r w:rsidRPr="00AC2BEC">
              <w:rPr>
                <w:vertAlign w:val="superscript"/>
              </w:rPr>
              <w:t>1</w:t>
            </w:r>
          </w:p>
        </w:tc>
        <w:tc>
          <w:tcPr>
            <w:tcW w:w="604" w:type="pct"/>
            <w:tcBorders>
              <w:top w:val="nil"/>
            </w:tcBorders>
            <w:noWrap/>
          </w:tcPr>
          <w:p w14:paraId="4004B151" w14:textId="0B951712" w:rsidR="008442B9" w:rsidRPr="002D3D46" w:rsidRDefault="00054526">
            <w:pPr>
              <w:pStyle w:val="TableText"/>
              <w:jc w:val="right"/>
              <w:rPr>
                <w:b/>
                <w:bCs/>
                <w:i/>
                <w:iCs/>
              </w:rPr>
            </w:pPr>
            <w:r w:rsidRPr="00AC2BEC">
              <w:rPr>
                <w:b/>
                <w:bCs/>
              </w:rPr>
              <w:t>redacted</w:t>
            </w:r>
            <w:r w:rsidRPr="00AC2BEC">
              <w:rPr>
                <w:vertAlign w:val="superscript"/>
              </w:rPr>
              <w:t>1</w:t>
            </w:r>
          </w:p>
        </w:tc>
        <w:tc>
          <w:tcPr>
            <w:tcW w:w="603" w:type="pct"/>
            <w:tcBorders>
              <w:top w:val="nil"/>
            </w:tcBorders>
            <w:noWrap/>
          </w:tcPr>
          <w:p w14:paraId="0F1347B8" w14:textId="0F010387" w:rsidR="008442B9" w:rsidRPr="002D3D46" w:rsidRDefault="00054526">
            <w:pPr>
              <w:pStyle w:val="TableText"/>
              <w:jc w:val="right"/>
              <w:rPr>
                <w:b/>
                <w:bCs/>
                <w:i/>
                <w:iCs/>
              </w:rPr>
            </w:pPr>
            <w:r w:rsidRPr="00AC2BEC">
              <w:rPr>
                <w:b/>
                <w:bCs/>
              </w:rPr>
              <w:t xml:space="preserve"> redacted</w:t>
            </w:r>
            <w:r w:rsidRPr="00AC2BEC">
              <w:rPr>
                <w:vertAlign w:val="superscript"/>
              </w:rPr>
              <w:t>1</w:t>
            </w:r>
          </w:p>
        </w:tc>
        <w:tc>
          <w:tcPr>
            <w:tcW w:w="604" w:type="pct"/>
            <w:tcBorders>
              <w:top w:val="nil"/>
            </w:tcBorders>
            <w:noWrap/>
          </w:tcPr>
          <w:p w14:paraId="71B328C5" w14:textId="34F11C26" w:rsidR="008442B9" w:rsidRPr="002D3D46" w:rsidRDefault="00054526">
            <w:pPr>
              <w:pStyle w:val="TableText"/>
              <w:jc w:val="right"/>
              <w:rPr>
                <w:b/>
                <w:bCs/>
                <w:i/>
                <w:iCs/>
              </w:rPr>
            </w:pPr>
            <w:r w:rsidRPr="00AC2BEC">
              <w:rPr>
                <w:b/>
                <w:bCs/>
              </w:rPr>
              <w:t>redacted</w:t>
            </w:r>
            <w:r w:rsidRPr="00AC2BEC">
              <w:rPr>
                <w:vertAlign w:val="superscript"/>
              </w:rPr>
              <w:t>1</w:t>
            </w:r>
          </w:p>
        </w:tc>
        <w:tc>
          <w:tcPr>
            <w:tcW w:w="601" w:type="pct"/>
            <w:tcBorders>
              <w:top w:val="nil"/>
            </w:tcBorders>
            <w:noWrap/>
          </w:tcPr>
          <w:p w14:paraId="012FFFFC" w14:textId="2670FE48" w:rsidR="008442B9" w:rsidRPr="002D3D46" w:rsidRDefault="00054526">
            <w:pPr>
              <w:pStyle w:val="TableText"/>
              <w:jc w:val="right"/>
              <w:rPr>
                <w:b/>
                <w:bCs/>
                <w:i/>
                <w:iCs/>
              </w:rPr>
            </w:pPr>
            <w:r w:rsidRPr="00AC2BEC">
              <w:rPr>
                <w:b/>
                <w:bCs/>
              </w:rPr>
              <w:t>redacted</w:t>
            </w:r>
            <w:r w:rsidRPr="00AC2BEC">
              <w:rPr>
                <w:vertAlign w:val="superscript"/>
              </w:rPr>
              <w:t>1</w:t>
            </w:r>
          </w:p>
        </w:tc>
      </w:tr>
    </w:tbl>
    <w:p w14:paraId="2720DB2A" w14:textId="74CD2A43" w:rsidR="008442B9" w:rsidRDefault="008442B9" w:rsidP="008442B9">
      <w:pPr>
        <w:pStyle w:val="TableFigureFooter"/>
      </w:pPr>
      <w:r>
        <w:t xml:space="preserve">Source: Table 4.37, pp294−5 of the </w:t>
      </w:r>
      <w:r w:rsidR="000315EA">
        <w:t xml:space="preserve">PBAC </w:t>
      </w:r>
      <w:r>
        <w:t>resubmission and from the ‘Att_4.1_OlympiA UCM_AZ Resubmission_FINAL.xlsx’ file.</w:t>
      </w:r>
    </w:p>
    <w:p w14:paraId="6F3C48AE" w14:textId="77777777" w:rsidR="00D8423B" w:rsidRDefault="00D8423B" w:rsidP="00D8423B">
      <w:pPr>
        <w:pStyle w:val="TableFigureFooter"/>
      </w:pPr>
      <w:r>
        <w:t>Note: Analyses are presented for each calendar year.</w:t>
      </w:r>
    </w:p>
    <w:p w14:paraId="328495FA" w14:textId="77777777" w:rsidR="008442B9" w:rsidRDefault="008442B9" w:rsidP="008442B9">
      <w:pPr>
        <w:pStyle w:val="TableFigureFooter"/>
      </w:pPr>
      <w:r w:rsidRPr="009C0C51">
        <w:rPr>
          <w:vertAlign w:val="superscript"/>
        </w:rPr>
        <w:t>a</w:t>
      </w:r>
      <w:r>
        <w:t xml:space="preserve"> Revised to assume a schedule fee of $1,200 per test in incident patients, with 85% rebate applied what accounted for the greatest permissible gap.</w:t>
      </w:r>
    </w:p>
    <w:p w14:paraId="237A68BF" w14:textId="77777777" w:rsidR="008442B9" w:rsidRDefault="008442B9" w:rsidP="008442B9">
      <w:pPr>
        <w:pStyle w:val="TableFigureFooter"/>
      </w:pPr>
      <w:r w:rsidRPr="009C0C51">
        <w:rPr>
          <w:vertAlign w:val="superscript"/>
        </w:rPr>
        <w:t>b</w:t>
      </w:r>
      <w:r>
        <w:t xml:space="preserve"> Revised to include the cost of incremental cascade testing only due to the listing of olaparib, and to assume a schedule fee of $400 per relative tested (based on MBS item 73297)</w:t>
      </w:r>
    </w:p>
    <w:p w14:paraId="4763D456" w14:textId="77777777" w:rsidR="00643556" w:rsidRDefault="008442B9" w:rsidP="00643556">
      <w:pPr>
        <w:pStyle w:val="TableFigureFooter"/>
        <w:rPr>
          <w:szCs w:val="18"/>
          <w:vertAlign w:val="superscript"/>
        </w:rPr>
      </w:pPr>
      <w:r w:rsidRPr="009C0C51">
        <w:rPr>
          <w:vertAlign w:val="superscript"/>
        </w:rPr>
        <w:t>c</w:t>
      </w:r>
      <w:r>
        <w:t xml:space="preserve"> The base case net cost to the MBS estimated in the resubmission did not include the impact on cascade testing.</w:t>
      </w:r>
      <w:r w:rsidR="00643556" w:rsidRPr="00643556">
        <w:rPr>
          <w:szCs w:val="18"/>
          <w:vertAlign w:val="superscript"/>
        </w:rPr>
        <w:t xml:space="preserve"> </w:t>
      </w:r>
    </w:p>
    <w:p w14:paraId="28E00D8F" w14:textId="0177322A" w:rsidR="00643556" w:rsidRDefault="00643556" w:rsidP="00643556">
      <w:pPr>
        <w:pStyle w:val="TableFigureFooter"/>
        <w:rPr>
          <w:szCs w:val="18"/>
        </w:rPr>
      </w:pPr>
      <w:r w:rsidRPr="009B7852">
        <w:rPr>
          <w:szCs w:val="18"/>
          <w:vertAlign w:val="superscript"/>
        </w:rPr>
        <w:t>1</w:t>
      </w:r>
      <w:r>
        <w:rPr>
          <w:szCs w:val="18"/>
        </w:rPr>
        <w:t xml:space="preserve"> </w:t>
      </w:r>
      <w:r w:rsidR="002B5E1F" w:rsidRPr="00510EAC">
        <w:rPr>
          <w:szCs w:val="18"/>
        </w:rPr>
        <w:t>$0 to &lt; $10 million</w:t>
      </w:r>
    </w:p>
    <w:p w14:paraId="25B0B35C" w14:textId="732D2B48" w:rsidR="008442B9" w:rsidRPr="000E600F" w:rsidRDefault="008442B9" w:rsidP="008442B9">
      <w:r w:rsidRPr="000E600F">
        <w:t xml:space="preserve">The </w:t>
      </w:r>
      <w:r w:rsidR="005535B4" w:rsidRPr="000E600F">
        <w:t xml:space="preserve">commentary presented the </w:t>
      </w:r>
      <w:r w:rsidRPr="000E600F">
        <w:t xml:space="preserve">impact of using testing uptake estimates as advised previously by the PBAC in </w:t>
      </w:r>
      <w:r w:rsidR="00E7023C" w:rsidRPr="000E600F">
        <w:fldChar w:fldCharType="begin"/>
      </w:r>
      <w:r w:rsidR="00E7023C" w:rsidRPr="000E600F">
        <w:instrText xml:space="preserve"> REF _Ref144124759 \h </w:instrText>
      </w:r>
      <w:r w:rsidR="002C49EA" w:rsidRPr="000E600F">
        <w:instrText xml:space="preserve"> \* MERGEFORMAT </w:instrText>
      </w:r>
      <w:r w:rsidR="00E7023C" w:rsidRPr="000E600F">
        <w:fldChar w:fldCharType="separate"/>
      </w:r>
      <w:r w:rsidR="00D8423B" w:rsidRPr="000E600F">
        <w:t>Table 16</w:t>
      </w:r>
      <w:r w:rsidR="00E7023C" w:rsidRPr="000E600F">
        <w:fldChar w:fldCharType="end"/>
      </w:r>
      <w:r w:rsidRPr="000E600F">
        <w:t>. This resulted in a substantially lower estimate of the incremental number of tests performed due to the listing of olaparib, and therefore, lower cost impact to the MBS. However, these costs do not account for any shift in testing of incident cases from other funding sources to the MBS (and so this may underestimate the cost to the MBS).</w:t>
      </w:r>
    </w:p>
    <w:p w14:paraId="4C4DFE39" w14:textId="0BAC7721" w:rsidR="008442B9" w:rsidRPr="000E600F" w:rsidRDefault="00F72056" w:rsidP="008442B9">
      <w:pPr>
        <w:pStyle w:val="Caption"/>
      </w:pPr>
      <w:bookmarkStart w:id="51" w:name="_Ref144124759"/>
      <w:r w:rsidRPr="000E600F">
        <w:t>Table </w:t>
      </w:r>
      <w:r w:rsidR="001947BE">
        <w:fldChar w:fldCharType="begin"/>
      </w:r>
      <w:r w:rsidR="001947BE">
        <w:instrText xml:space="preserve"> SEQ Table \* ARABIC </w:instrText>
      </w:r>
      <w:r w:rsidR="001947BE">
        <w:fldChar w:fldCharType="separate"/>
      </w:r>
      <w:r w:rsidR="00D8423B" w:rsidRPr="000E600F">
        <w:t>16</w:t>
      </w:r>
      <w:r w:rsidR="001947BE">
        <w:fldChar w:fldCharType="end"/>
      </w:r>
      <w:bookmarkEnd w:id="51"/>
      <w:r w:rsidRPr="000E600F">
        <w:tab/>
      </w:r>
      <w:r w:rsidR="008442B9" w:rsidRPr="000E600F">
        <w:t xml:space="preserve">Estimated change in the use and cost to the MBS due to the listing of olaparib (using PBAC specified estimates on uptake of </w:t>
      </w:r>
      <w:r w:rsidR="00E659A0" w:rsidRPr="000E600F">
        <w:rPr>
          <w:lang w:val="en-US"/>
        </w:rPr>
        <w:t>g</w:t>
      </w:r>
      <w:r w:rsidR="00A96FCF" w:rsidRPr="00A96FCF">
        <w:rPr>
          <w:i/>
          <w:iCs/>
          <w:lang w:val="en-US"/>
        </w:rPr>
        <w:t>BRCA</w:t>
      </w:r>
      <w:r w:rsidR="00E659A0" w:rsidRPr="000E600F">
        <w:t xml:space="preserve"> </w:t>
      </w:r>
      <w:r w:rsidR="008442B9" w:rsidRPr="000E600F">
        <w:t>testing following olaparib listing)</w:t>
      </w:r>
    </w:p>
    <w:tbl>
      <w:tblPr>
        <w:tblStyle w:val="TableGrid"/>
        <w:tblW w:w="5000" w:type="pct"/>
        <w:tblLayout w:type="fixed"/>
        <w:tblLook w:val="04A0" w:firstRow="1" w:lastRow="0" w:firstColumn="1" w:lastColumn="0" w:noHBand="0" w:noVBand="1"/>
      </w:tblPr>
      <w:tblGrid>
        <w:gridCol w:w="282"/>
        <w:gridCol w:w="2410"/>
        <w:gridCol w:w="1053"/>
        <w:gridCol w:w="1055"/>
        <w:gridCol w:w="1053"/>
        <w:gridCol w:w="1055"/>
        <w:gridCol w:w="1053"/>
        <w:gridCol w:w="1055"/>
      </w:tblGrid>
      <w:tr w:rsidR="008442B9" w:rsidRPr="00B457CE" w14:paraId="16AF3EA6" w14:textId="77777777">
        <w:trPr>
          <w:trHeight w:val="20"/>
          <w:tblHeader/>
        </w:trPr>
        <w:tc>
          <w:tcPr>
            <w:tcW w:w="156" w:type="pct"/>
          </w:tcPr>
          <w:p w14:paraId="6F0FF037" w14:textId="77777777" w:rsidR="008442B9" w:rsidRPr="00B457CE" w:rsidRDefault="008442B9">
            <w:pPr>
              <w:pStyle w:val="In-tableHeading"/>
              <w:keepNext w:val="0"/>
            </w:pPr>
          </w:p>
        </w:tc>
        <w:tc>
          <w:tcPr>
            <w:tcW w:w="1336" w:type="pct"/>
            <w:noWrap/>
            <w:hideMark/>
          </w:tcPr>
          <w:p w14:paraId="517F4E90" w14:textId="77777777" w:rsidR="008442B9" w:rsidRPr="00B457CE" w:rsidRDefault="008442B9">
            <w:pPr>
              <w:pStyle w:val="In-tableHeading"/>
              <w:keepNext w:val="0"/>
            </w:pPr>
          </w:p>
        </w:tc>
        <w:tc>
          <w:tcPr>
            <w:tcW w:w="584" w:type="pct"/>
            <w:noWrap/>
            <w:hideMark/>
          </w:tcPr>
          <w:p w14:paraId="1BF5C966" w14:textId="77777777" w:rsidR="008442B9" w:rsidRPr="00B457CE" w:rsidRDefault="008442B9">
            <w:pPr>
              <w:pStyle w:val="In-tableHeading"/>
              <w:keepNext w:val="0"/>
              <w:jc w:val="center"/>
            </w:pPr>
            <w:r w:rsidRPr="00B457CE">
              <w:t>2024</w:t>
            </w:r>
          </w:p>
        </w:tc>
        <w:tc>
          <w:tcPr>
            <w:tcW w:w="585" w:type="pct"/>
            <w:noWrap/>
            <w:hideMark/>
          </w:tcPr>
          <w:p w14:paraId="3F3C14CA" w14:textId="77777777" w:rsidR="008442B9" w:rsidRPr="00B457CE" w:rsidRDefault="008442B9">
            <w:pPr>
              <w:pStyle w:val="In-tableHeading"/>
              <w:keepNext w:val="0"/>
              <w:jc w:val="center"/>
            </w:pPr>
            <w:r w:rsidRPr="00B457CE">
              <w:t>2025</w:t>
            </w:r>
          </w:p>
        </w:tc>
        <w:tc>
          <w:tcPr>
            <w:tcW w:w="584" w:type="pct"/>
            <w:noWrap/>
            <w:hideMark/>
          </w:tcPr>
          <w:p w14:paraId="7EF64ED6" w14:textId="77777777" w:rsidR="008442B9" w:rsidRPr="00B457CE" w:rsidRDefault="008442B9">
            <w:pPr>
              <w:pStyle w:val="In-tableHeading"/>
              <w:keepNext w:val="0"/>
              <w:jc w:val="center"/>
            </w:pPr>
            <w:r w:rsidRPr="00B457CE">
              <w:t>2026</w:t>
            </w:r>
          </w:p>
        </w:tc>
        <w:tc>
          <w:tcPr>
            <w:tcW w:w="585" w:type="pct"/>
            <w:noWrap/>
            <w:hideMark/>
          </w:tcPr>
          <w:p w14:paraId="4A3B768E" w14:textId="77777777" w:rsidR="008442B9" w:rsidRPr="00B457CE" w:rsidRDefault="008442B9">
            <w:pPr>
              <w:pStyle w:val="In-tableHeading"/>
              <w:keepNext w:val="0"/>
              <w:jc w:val="center"/>
            </w:pPr>
            <w:r w:rsidRPr="00B457CE">
              <w:t>2027</w:t>
            </w:r>
          </w:p>
        </w:tc>
        <w:tc>
          <w:tcPr>
            <w:tcW w:w="584" w:type="pct"/>
            <w:noWrap/>
            <w:hideMark/>
          </w:tcPr>
          <w:p w14:paraId="66400784" w14:textId="77777777" w:rsidR="008442B9" w:rsidRPr="00B457CE" w:rsidRDefault="008442B9">
            <w:pPr>
              <w:pStyle w:val="In-tableHeading"/>
              <w:keepNext w:val="0"/>
              <w:jc w:val="center"/>
            </w:pPr>
            <w:r w:rsidRPr="00B457CE">
              <w:t>2028</w:t>
            </w:r>
          </w:p>
        </w:tc>
        <w:tc>
          <w:tcPr>
            <w:tcW w:w="585" w:type="pct"/>
            <w:noWrap/>
            <w:hideMark/>
          </w:tcPr>
          <w:p w14:paraId="416D3C4D" w14:textId="77777777" w:rsidR="008442B9" w:rsidRPr="00B457CE" w:rsidRDefault="008442B9">
            <w:pPr>
              <w:pStyle w:val="In-tableHeading"/>
              <w:keepNext w:val="0"/>
              <w:jc w:val="center"/>
            </w:pPr>
            <w:r w:rsidRPr="00B457CE">
              <w:t>2029</w:t>
            </w:r>
          </w:p>
        </w:tc>
      </w:tr>
      <w:tr w:rsidR="008442B9" w:rsidRPr="00B457CE" w14:paraId="2EDE99A7" w14:textId="77777777">
        <w:trPr>
          <w:trHeight w:val="20"/>
        </w:trPr>
        <w:tc>
          <w:tcPr>
            <w:tcW w:w="156" w:type="pct"/>
            <w:tcBorders>
              <w:right w:val="nil"/>
            </w:tcBorders>
          </w:tcPr>
          <w:p w14:paraId="5C0336A0" w14:textId="77777777" w:rsidR="008442B9" w:rsidRPr="00B457CE" w:rsidRDefault="008442B9">
            <w:pPr>
              <w:pStyle w:val="TableText"/>
              <w:rPr>
                <w:b/>
                <w:bCs/>
              </w:rPr>
            </w:pPr>
          </w:p>
        </w:tc>
        <w:tc>
          <w:tcPr>
            <w:tcW w:w="1336" w:type="pct"/>
            <w:tcBorders>
              <w:right w:val="nil"/>
            </w:tcBorders>
            <w:noWrap/>
          </w:tcPr>
          <w:p w14:paraId="02538D8B" w14:textId="77777777" w:rsidR="008442B9" w:rsidRPr="00B457CE" w:rsidRDefault="008442B9">
            <w:pPr>
              <w:pStyle w:val="TableText"/>
              <w:rPr>
                <w:b/>
                <w:bCs/>
              </w:rPr>
            </w:pPr>
            <w:r w:rsidRPr="00B457CE">
              <w:rPr>
                <w:b/>
              </w:rPr>
              <w:t>TNBC</w:t>
            </w:r>
          </w:p>
        </w:tc>
        <w:tc>
          <w:tcPr>
            <w:tcW w:w="584" w:type="pct"/>
            <w:tcBorders>
              <w:left w:val="nil"/>
              <w:right w:val="nil"/>
            </w:tcBorders>
            <w:noWrap/>
          </w:tcPr>
          <w:p w14:paraId="5A69B2CF" w14:textId="77777777" w:rsidR="008442B9" w:rsidRPr="00B457CE" w:rsidRDefault="008442B9">
            <w:pPr>
              <w:pStyle w:val="TableText"/>
              <w:jc w:val="right"/>
              <w:rPr>
                <w:b/>
                <w:bCs/>
              </w:rPr>
            </w:pPr>
          </w:p>
        </w:tc>
        <w:tc>
          <w:tcPr>
            <w:tcW w:w="585" w:type="pct"/>
            <w:tcBorders>
              <w:left w:val="nil"/>
              <w:right w:val="nil"/>
            </w:tcBorders>
            <w:noWrap/>
          </w:tcPr>
          <w:p w14:paraId="23FD9A93" w14:textId="77777777" w:rsidR="008442B9" w:rsidRPr="00B457CE" w:rsidRDefault="008442B9">
            <w:pPr>
              <w:pStyle w:val="TableText"/>
              <w:jc w:val="right"/>
              <w:rPr>
                <w:b/>
                <w:bCs/>
              </w:rPr>
            </w:pPr>
          </w:p>
        </w:tc>
        <w:tc>
          <w:tcPr>
            <w:tcW w:w="584" w:type="pct"/>
            <w:tcBorders>
              <w:left w:val="nil"/>
              <w:right w:val="nil"/>
            </w:tcBorders>
            <w:noWrap/>
          </w:tcPr>
          <w:p w14:paraId="531FCF0B" w14:textId="77777777" w:rsidR="008442B9" w:rsidRPr="00B457CE" w:rsidRDefault="008442B9">
            <w:pPr>
              <w:pStyle w:val="TableText"/>
              <w:jc w:val="right"/>
              <w:rPr>
                <w:b/>
                <w:bCs/>
              </w:rPr>
            </w:pPr>
          </w:p>
        </w:tc>
        <w:tc>
          <w:tcPr>
            <w:tcW w:w="585" w:type="pct"/>
            <w:tcBorders>
              <w:left w:val="nil"/>
              <w:right w:val="nil"/>
            </w:tcBorders>
            <w:noWrap/>
          </w:tcPr>
          <w:p w14:paraId="0656CA71" w14:textId="77777777" w:rsidR="008442B9" w:rsidRPr="00B457CE" w:rsidRDefault="008442B9">
            <w:pPr>
              <w:pStyle w:val="TableText"/>
              <w:jc w:val="right"/>
              <w:rPr>
                <w:b/>
                <w:bCs/>
              </w:rPr>
            </w:pPr>
          </w:p>
        </w:tc>
        <w:tc>
          <w:tcPr>
            <w:tcW w:w="584" w:type="pct"/>
            <w:tcBorders>
              <w:left w:val="nil"/>
              <w:right w:val="nil"/>
            </w:tcBorders>
            <w:noWrap/>
          </w:tcPr>
          <w:p w14:paraId="4AA104AD" w14:textId="77777777" w:rsidR="008442B9" w:rsidRPr="00B457CE" w:rsidRDefault="008442B9">
            <w:pPr>
              <w:pStyle w:val="TableText"/>
              <w:jc w:val="right"/>
              <w:rPr>
                <w:b/>
                <w:bCs/>
              </w:rPr>
            </w:pPr>
          </w:p>
        </w:tc>
        <w:tc>
          <w:tcPr>
            <w:tcW w:w="585" w:type="pct"/>
            <w:tcBorders>
              <w:left w:val="nil"/>
            </w:tcBorders>
            <w:noWrap/>
          </w:tcPr>
          <w:p w14:paraId="1E3D4075" w14:textId="77777777" w:rsidR="008442B9" w:rsidRPr="00B457CE" w:rsidRDefault="008442B9">
            <w:pPr>
              <w:pStyle w:val="TableText"/>
              <w:jc w:val="right"/>
              <w:rPr>
                <w:b/>
                <w:bCs/>
              </w:rPr>
            </w:pPr>
          </w:p>
        </w:tc>
      </w:tr>
      <w:tr w:rsidR="008442B9" w:rsidRPr="00B457CE" w14:paraId="5567327F" w14:textId="77777777">
        <w:trPr>
          <w:trHeight w:val="20"/>
        </w:trPr>
        <w:tc>
          <w:tcPr>
            <w:tcW w:w="156" w:type="pct"/>
          </w:tcPr>
          <w:p w14:paraId="2CB96AA5" w14:textId="77777777" w:rsidR="008442B9" w:rsidRPr="00B457CE" w:rsidRDefault="008442B9">
            <w:pPr>
              <w:pStyle w:val="TableText"/>
            </w:pPr>
            <w:r>
              <w:t>A</w:t>
            </w:r>
          </w:p>
        </w:tc>
        <w:tc>
          <w:tcPr>
            <w:tcW w:w="1336" w:type="pct"/>
            <w:noWrap/>
          </w:tcPr>
          <w:p w14:paraId="603D00A6" w14:textId="4D83B931" w:rsidR="008442B9" w:rsidRPr="00B457CE" w:rsidRDefault="008442B9">
            <w:pPr>
              <w:pStyle w:val="TableText"/>
            </w:pPr>
            <w:r w:rsidRPr="00B41CDA">
              <w:t xml:space="preserve">No. diagnosed with TNBC </w:t>
            </w:r>
            <w:r>
              <w:br/>
            </w:r>
            <w:r w:rsidRPr="00B457CE">
              <w:t>(</w:t>
            </w:r>
            <w:r>
              <w:t>Row C</w:t>
            </w:r>
            <w:r w:rsidR="005D5784">
              <w:t xml:space="preserve">, </w:t>
            </w:r>
            <w:r w:rsidR="005D5784">
              <w:fldChar w:fldCharType="begin"/>
            </w:r>
            <w:r w:rsidR="005D5784">
              <w:instrText xml:space="preserve"> REF _Ref69726382 \h </w:instrText>
            </w:r>
            <w:r w:rsidR="005D5784">
              <w:fldChar w:fldCharType="separate"/>
            </w:r>
            <w:r w:rsidR="00D8423B" w:rsidRPr="00137818">
              <w:t>Table </w:t>
            </w:r>
            <w:r w:rsidR="00D8423B">
              <w:rPr>
                <w:noProof/>
              </w:rPr>
              <w:t>12</w:t>
            </w:r>
            <w:r w:rsidR="005D5784">
              <w:fldChar w:fldCharType="end"/>
            </w:r>
            <w:r w:rsidRPr="00B457CE">
              <w:t>)</w:t>
            </w:r>
          </w:p>
        </w:tc>
        <w:tc>
          <w:tcPr>
            <w:tcW w:w="584" w:type="pct"/>
            <w:noWrap/>
          </w:tcPr>
          <w:p w14:paraId="1F4ECFCD" w14:textId="57D7DC6F" w:rsidR="008442B9" w:rsidRPr="00B457CE" w:rsidRDefault="003963EA">
            <w:pPr>
              <w:pStyle w:val="TableText"/>
              <w:jc w:val="right"/>
            </w:pPr>
            <w:r w:rsidRPr="00771162">
              <w:rPr>
                <w:b/>
                <w:bCs/>
              </w:rPr>
              <w:t>redacted</w:t>
            </w:r>
            <w:r w:rsidR="001405FF" w:rsidRPr="00771162">
              <w:rPr>
                <w:vertAlign w:val="superscript"/>
              </w:rPr>
              <w:t>1</w:t>
            </w:r>
          </w:p>
        </w:tc>
        <w:tc>
          <w:tcPr>
            <w:tcW w:w="585" w:type="pct"/>
            <w:noWrap/>
          </w:tcPr>
          <w:p w14:paraId="2D86A9BD" w14:textId="0F3064B8" w:rsidR="008442B9" w:rsidRPr="00B457CE" w:rsidRDefault="003963EA">
            <w:pPr>
              <w:pStyle w:val="TableText"/>
              <w:jc w:val="right"/>
            </w:pPr>
            <w:r w:rsidRPr="00AC2BEC">
              <w:rPr>
                <w:b/>
                <w:bCs/>
              </w:rPr>
              <w:t>redacted</w:t>
            </w:r>
          </w:p>
        </w:tc>
        <w:tc>
          <w:tcPr>
            <w:tcW w:w="584" w:type="pct"/>
            <w:noWrap/>
          </w:tcPr>
          <w:p w14:paraId="222A8F54" w14:textId="4E94AAE1" w:rsidR="008442B9" w:rsidRPr="00B457CE" w:rsidRDefault="003963EA">
            <w:pPr>
              <w:pStyle w:val="TableText"/>
              <w:jc w:val="right"/>
            </w:pPr>
            <w:r w:rsidRPr="00AC2BEC">
              <w:rPr>
                <w:b/>
                <w:bCs/>
              </w:rPr>
              <w:t>redacted</w:t>
            </w:r>
          </w:p>
        </w:tc>
        <w:tc>
          <w:tcPr>
            <w:tcW w:w="585" w:type="pct"/>
            <w:noWrap/>
          </w:tcPr>
          <w:p w14:paraId="55C950EC" w14:textId="386C50E1" w:rsidR="008442B9" w:rsidRPr="00B457CE" w:rsidRDefault="003963EA">
            <w:pPr>
              <w:pStyle w:val="TableText"/>
              <w:jc w:val="right"/>
            </w:pPr>
            <w:r w:rsidRPr="00AC2BEC">
              <w:rPr>
                <w:b/>
                <w:bCs/>
              </w:rPr>
              <w:t>redacted</w:t>
            </w:r>
            <w:r w:rsidRPr="00B41CDA" w:rsidDel="003963EA">
              <w:t xml:space="preserve"> </w:t>
            </w:r>
            <w:r w:rsidR="00F44ADC" w:rsidRPr="009B7852">
              <w:rPr>
                <w:vertAlign w:val="superscript"/>
              </w:rPr>
              <w:t>1</w:t>
            </w:r>
          </w:p>
        </w:tc>
        <w:tc>
          <w:tcPr>
            <w:tcW w:w="584" w:type="pct"/>
            <w:noWrap/>
          </w:tcPr>
          <w:p w14:paraId="27324B8C" w14:textId="2E67AB18" w:rsidR="008442B9" w:rsidRPr="00B457CE" w:rsidRDefault="00066997">
            <w:pPr>
              <w:pStyle w:val="TableText"/>
              <w:jc w:val="right"/>
            </w:pPr>
            <w:r w:rsidRPr="00AC2BEC">
              <w:rPr>
                <w:b/>
                <w:bCs/>
              </w:rPr>
              <w:t>redacted</w:t>
            </w:r>
            <w:r w:rsidRPr="00B41CDA" w:rsidDel="00066997">
              <w:t xml:space="preserve"> </w:t>
            </w:r>
            <w:r w:rsidR="00F44ADC" w:rsidRPr="009B7852">
              <w:rPr>
                <w:vertAlign w:val="superscript"/>
              </w:rPr>
              <w:t>1</w:t>
            </w:r>
          </w:p>
        </w:tc>
        <w:tc>
          <w:tcPr>
            <w:tcW w:w="585" w:type="pct"/>
            <w:noWrap/>
          </w:tcPr>
          <w:p w14:paraId="4F88FD38" w14:textId="6DD73630" w:rsidR="008442B9" w:rsidRPr="00B457CE" w:rsidRDefault="00066997">
            <w:pPr>
              <w:pStyle w:val="TableText"/>
              <w:jc w:val="right"/>
            </w:pPr>
            <w:r w:rsidRPr="00AC2BEC">
              <w:rPr>
                <w:b/>
                <w:bCs/>
              </w:rPr>
              <w:t>redacted</w:t>
            </w:r>
            <w:r w:rsidRPr="00B41CDA" w:rsidDel="00066997">
              <w:t xml:space="preserve"> </w:t>
            </w:r>
            <w:r w:rsidR="00F44ADC" w:rsidRPr="009B7852">
              <w:rPr>
                <w:vertAlign w:val="superscript"/>
              </w:rPr>
              <w:t>1</w:t>
            </w:r>
          </w:p>
        </w:tc>
      </w:tr>
      <w:tr w:rsidR="008442B9" w:rsidRPr="00B457CE" w14:paraId="50AAFA69" w14:textId="77777777">
        <w:trPr>
          <w:trHeight w:val="20"/>
        </w:trPr>
        <w:tc>
          <w:tcPr>
            <w:tcW w:w="156" w:type="pct"/>
          </w:tcPr>
          <w:p w14:paraId="73091437" w14:textId="77777777" w:rsidR="008442B9" w:rsidRPr="00B457CE" w:rsidRDefault="008442B9">
            <w:pPr>
              <w:pStyle w:val="TableText"/>
            </w:pPr>
            <w:r>
              <w:t>B</w:t>
            </w:r>
          </w:p>
        </w:tc>
        <w:tc>
          <w:tcPr>
            <w:tcW w:w="1336" w:type="pct"/>
            <w:noWrap/>
          </w:tcPr>
          <w:p w14:paraId="3E597944" w14:textId="27EDD08C" w:rsidR="008442B9" w:rsidRPr="00B457CE" w:rsidRDefault="008442B9">
            <w:pPr>
              <w:pStyle w:val="TableText"/>
            </w:pPr>
            <w:r w:rsidRPr="00B457CE">
              <w:t xml:space="preserve">No. TNBC patients tested </w:t>
            </w:r>
            <w:r w:rsidR="00E04621">
              <w:t>without</w:t>
            </w:r>
            <w:r w:rsidRPr="00B457CE">
              <w:t xml:space="preserve"> olaparib listing </w:t>
            </w:r>
            <w:r>
              <w:br/>
            </w:r>
            <w:r w:rsidRPr="00B457CE">
              <w:t>(</w:t>
            </w:r>
            <w:r>
              <w:t>Row D</w:t>
            </w:r>
            <w:r w:rsidR="005D5784">
              <w:t xml:space="preserve">, </w:t>
            </w:r>
            <w:r w:rsidR="005D5784">
              <w:fldChar w:fldCharType="begin"/>
            </w:r>
            <w:r w:rsidR="005D5784">
              <w:instrText xml:space="preserve"> REF _Ref69726382 \h </w:instrText>
            </w:r>
            <w:r w:rsidR="005D5784">
              <w:fldChar w:fldCharType="separate"/>
            </w:r>
            <w:r w:rsidR="00D8423B" w:rsidRPr="00137818">
              <w:t>Table </w:t>
            </w:r>
            <w:r w:rsidR="00D8423B">
              <w:rPr>
                <w:noProof/>
              </w:rPr>
              <w:t>12</w:t>
            </w:r>
            <w:r w:rsidR="005D5784">
              <w:fldChar w:fldCharType="end"/>
            </w:r>
            <w:r w:rsidRPr="00B457CE">
              <w:t>)</w:t>
            </w:r>
          </w:p>
        </w:tc>
        <w:tc>
          <w:tcPr>
            <w:tcW w:w="584" w:type="pct"/>
            <w:noWrap/>
          </w:tcPr>
          <w:p w14:paraId="098E0624" w14:textId="7446CD3D" w:rsidR="008442B9" w:rsidRPr="00B457CE" w:rsidRDefault="00D43016">
            <w:pPr>
              <w:pStyle w:val="TableText"/>
              <w:jc w:val="right"/>
            </w:pPr>
            <w:r w:rsidRPr="00AC2BEC">
              <w:rPr>
                <w:b/>
                <w:bCs/>
              </w:rPr>
              <w:t>redacted</w:t>
            </w:r>
            <w:r w:rsidRPr="00AC2BEC">
              <w:rPr>
                <w:vertAlign w:val="superscript"/>
              </w:rPr>
              <w:t>1</w:t>
            </w:r>
          </w:p>
        </w:tc>
        <w:tc>
          <w:tcPr>
            <w:tcW w:w="585" w:type="pct"/>
            <w:noWrap/>
          </w:tcPr>
          <w:p w14:paraId="288E3DCA" w14:textId="5B3C9C76" w:rsidR="008442B9" w:rsidRPr="00B457CE" w:rsidRDefault="00D43016">
            <w:pPr>
              <w:pStyle w:val="TableText"/>
              <w:jc w:val="right"/>
            </w:pPr>
            <w:r w:rsidRPr="00AC2BEC">
              <w:rPr>
                <w:b/>
                <w:bCs/>
              </w:rPr>
              <w:t>redacted</w:t>
            </w:r>
            <w:r w:rsidRPr="00AC2BEC">
              <w:rPr>
                <w:vertAlign w:val="superscript"/>
              </w:rPr>
              <w:t>1</w:t>
            </w:r>
          </w:p>
        </w:tc>
        <w:tc>
          <w:tcPr>
            <w:tcW w:w="584" w:type="pct"/>
            <w:noWrap/>
          </w:tcPr>
          <w:p w14:paraId="73E53663" w14:textId="3F4B4C16" w:rsidR="008442B9" w:rsidRPr="00B457CE" w:rsidRDefault="00D43016">
            <w:pPr>
              <w:pStyle w:val="TableText"/>
              <w:jc w:val="right"/>
            </w:pPr>
            <w:r w:rsidRPr="00AC2BEC">
              <w:rPr>
                <w:b/>
                <w:bCs/>
              </w:rPr>
              <w:t>redacted</w:t>
            </w:r>
            <w:r w:rsidRPr="00AC2BEC">
              <w:rPr>
                <w:vertAlign w:val="superscript"/>
              </w:rPr>
              <w:t>1</w:t>
            </w:r>
          </w:p>
        </w:tc>
        <w:tc>
          <w:tcPr>
            <w:tcW w:w="585" w:type="pct"/>
            <w:noWrap/>
          </w:tcPr>
          <w:p w14:paraId="3B646329" w14:textId="46B2AD13" w:rsidR="008442B9" w:rsidRPr="00B457CE" w:rsidRDefault="00D43016">
            <w:pPr>
              <w:pStyle w:val="TableText"/>
              <w:jc w:val="right"/>
            </w:pPr>
            <w:r w:rsidRPr="00AC2BEC">
              <w:rPr>
                <w:b/>
                <w:bCs/>
              </w:rPr>
              <w:t>redacted</w:t>
            </w:r>
            <w:r w:rsidRPr="00AC2BEC">
              <w:rPr>
                <w:vertAlign w:val="superscript"/>
              </w:rPr>
              <w:t>1</w:t>
            </w:r>
          </w:p>
        </w:tc>
        <w:tc>
          <w:tcPr>
            <w:tcW w:w="584" w:type="pct"/>
            <w:noWrap/>
          </w:tcPr>
          <w:p w14:paraId="153CE4A7" w14:textId="4FA69DE0" w:rsidR="008442B9" w:rsidRPr="00B457CE" w:rsidRDefault="00D43016">
            <w:pPr>
              <w:pStyle w:val="TableText"/>
              <w:jc w:val="right"/>
            </w:pPr>
            <w:r w:rsidRPr="00AC2BEC">
              <w:rPr>
                <w:b/>
                <w:bCs/>
              </w:rPr>
              <w:t>redacted</w:t>
            </w:r>
            <w:r w:rsidRPr="00AC2BEC">
              <w:rPr>
                <w:vertAlign w:val="superscript"/>
              </w:rPr>
              <w:t>1</w:t>
            </w:r>
          </w:p>
        </w:tc>
        <w:tc>
          <w:tcPr>
            <w:tcW w:w="585" w:type="pct"/>
            <w:noWrap/>
          </w:tcPr>
          <w:p w14:paraId="5C1C9C74" w14:textId="0C15A499" w:rsidR="008442B9" w:rsidRPr="00B457CE" w:rsidRDefault="00D43016">
            <w:pPr>
              <w:pStyle w:val="TableText"/>
              <w:jc w:val="right"/>
            </w:pPr>
            <w:r w:rsidRPr="00AC2BEC">
              <w:rPr>
                <w:b/>
                <w:bCs/>
              </w:rPr>
              <w:t>redacted</w:t>
            </w:r>
            <w:r w:rsidRPr="00AC2BEC">
              <w:rPr>
                <w:vertAlign w:val="superscript"/>
              </w:rPr>
              <w:t>1</w:t>
            </w:r>
          </w:p>
        </w:tc>
      </w:tr>
      <w:tr w:rsidR="008442B9" w:rsidRPr="00B457CE" w14:paraId="578E1F2F" w14:textId="77777777">
        <w:trPr>
          <w:trHeight w:val="20"/>
        </w:trPr>
        <w:tc>
          <w:tcPr>
            <w:tcW w:w="156" w:type="pct"/>
          </w:tcPr>
          <w:p w14:paraId="4A557A0A" w14:textId="77777777" w:rsidR="008442B9" w:rsidRPr="00B457CE" w:rsidRDefault="008442B9">
            <w:pPr>
              <w:pStyle w:val="TableText"/>
            </w:pPr>
            <w:r>
              <w:t>C</w:t>
            </w:r>
          </w:p>
        </w:tc>
        <w:tc>
          <w:tcPr>
            <w:tcW w:w="1336" w:type="pct"/>
            <w:noWrap/>
          </w:tcPr>
          <w:p w14:paraId="4C37C10D" w14:textId="76EADDA7" w:rsidR="008442B9" w:rsidRPr="00B457CE" w:rsidRDefault="00E04621">
            <w:pPr>
              <w:pStyle w:val="TableText"/>
            </w:pPr>
            <w:r w:rsidRPr="00B457CE">
              <w:t xml:space="preserve">No. TNBC patients identified with </w:t>
            </w:r>
            <w:r w:rsidR="00E659A0" w:rsidRPr="000D659D">
              <w:rPr>
                <w:lang w:val="en-US"/>
              </w:rPr>
              <w:t>g</w:t>
            </w:r>
            <w:r w:rsidR="00E659A0" w:rsidRPr="000D659D">
              <w:rPr>
                <w:i/>
                <w:iCs/>
                <w:lang w:val="en-US"/>
              </w:rPr>
              <w:t>BRCA</w:t>
            </w:r>
            <w:r w:rsidR="00E659A0">
              <w:t xml:space="preserve"> </w:t>
            </w:r>
            <w:r w:rsidRPr="00B457CE">
              <w:t>variants</w:t>
            </w:r>
            <w:r>
              <w:t xml:space="preserve"> without</w:t>
            </w:r>
            <w:r w:rsidRPr="00B457CE">
              <w:t xml:space="preserve"> olaparib listing </w:t>
            </w:r>
            <w:r w:rsidR="008442B9" w:rsidRPr="00B457CE">
              <w:t>(</w:t>
            </w:r>
            <w:r w:rsidR="008442B9">
              <w:t>B × </w:t>
            </w:r>
            <w:r w:rsidR="008442B9" w:rsidRPr="00B457CE">
              <w:t>13.3%)</w:t>
            </w:r>
          </w:p>
        </w:tc>
        <w:tc>
          <w:tcPr>
            <w:tcW w:w="584" w:type="pct"/>
            <w:noWrap/>
          </w:tcPr>
          <w:p w14:paraId="11F5ED63" w14:textId="35583762" w:rsidR="008442B9" w:rsidRPr="000B6200" w:rsidRDefault="00CC5B05">
            <w:pPr>
              <w:pStyle w:val="TableText"/>
              <w:jc w:val="right"/>
              <w:rPr>
                <w:i/>
                <w:iCs/>
              </w:rPr>
            </w:pPr>
            <w:r w:rsidRPr="00771162">
              <w:rPr>
                <w:b/>
                <w:bCs/>
              </w:rPr>
              <w:t>redacted</w:t>
            </w:r>
            <w:r w:rsidRPr="00771162">
              <w:rPr>
                <w:vertAlign w:val="superscript"/>
              </w:rPr>
              <w:t>2</w:t>
            </w:r>
          </w:p>
        </w:tc>
        <w:tc>
          <w:tcPr>
            <w:tcW w:w="585" w:type="pct"/>
            <w:noWrap/>
          </w:tcPr>
          <w:p w14:paraId="22A0A464" w14:textId="14516E1D" w:rsidR="008442B9" w:rsidRPr="000B6200" w:rsidRDefault="00CC5B05">
            <w:pPr>
              <w:pStyle w:val="TableText"/>
              <w:jc w:val="right"/>
              <w:rPr>
                <w:i/>
                <w:iCs/>
              </w:rPr>
            </w:pPr>
            <w:r w:rsidRPr="00AC2BEC">
              <w:rPr>
                <w:b/>
                <w:bCs/>
              </w:rPr>
              <w:t>redacted</w:t>
            </w:r>
            <w:r w:rsidRPr="00AC2BEC">
              <w:rPr>
                <w:vertAlign w:val="superscript"/>
              </w:rPr>
              <w:t>2</w:t>
            </w:r>
          </w:p>
        </w:tc>
        <w:tc>
          <w:tcPr>
            <w:tcW w:w="584" w:type="pct"/>
            <w:noWrap/>
          </w:tcPr>
          <w:p w14:paraId="07CF575D" w14:textId="12FA1B44" w:rsidR="008442B9" w:rsidRPr="000B6200" w:rsidRDefault="00CC5B05">
            <w:pPr>
              <w:pStyle w:val="TableText"/>
              <w:jc w:val="right"/>
              <w:rPr>
                <w:i/>
                <w:iCs/>
              </w:rPr>
            </w:pPr>
            <w:r w:rsidRPr="00AC2BEC">
              <w:rPr>
                <w:b/>
                <w:bCs/>
              </w:rPr>
              <w:t>redacted</w:t>
            </w:r>
            <w:r w:rsidRPr="00AC2BEC">
              <w:rPr>
                <w:vertAlign w:val="superscript"/>
              </w:rPr>
              <w:t>2</w:t>
            </w:r>
          </w:p>
        </w:tc>
        <w:tc>
          <w:tcPr>
            <w:tcW w:w="585" w:type="pct"/>
            <w:noWrap/>
          </w:tcPr>
          <w:p w14:paraId="385745C1" w14:textId="1FF4B32E" w:rsidR="008442B9" w:rsidRPr="000B6200" w:rsidRDefault="00CC5B05">
            <w:pPr>
              <w:pStyle w:val="TableText"/>
              <w:jc w:val="right"/>
              <w:rPr>
                <w:i/>
                <w:iCs/>
              </w:rPr>
            </w:pPr>
            <w:r w:rsidRPr="00AC2BEC">
              <w:rPr>
                <w:b/>
                <w:bCs/>
              </w:rPr>
              <w:t>redacted</w:t>
            </w:r>
            <w:r w:rsidRPr="00AC2BEC">
              <w:rPr>
                <w:vertAlign w:val="superscript"/>
              </w:rPr>
              <w:t>2</w:t>
            </w:r>
          </w:p>
        </w:tc>
        <w:tc>
          <w:tcPr>
            <w:tcW w:w="584" w:type="pct"/>
            <w:noWrap/>
          </w:tcPr>
          <w:p w14:paraId="071BD515" w14:textId="098ABD63" w:rsidR="008442B9" w:rsidRPr="000B6200" w:rsidRDefault="00CC5B05">
            <w:pPr>
              <w:pStyle w:val="TableText"/>
              <w:jc w:val="right"/>
              <w:rPr>
                <w:i/>
                <w:iCs/>
              </w:rPr>
            </w:pPr>
            <w:r w:rsidRPr="00AC2BEC">
              <w:rPr>
                <w:b/>
                <w:bCs/>
              </w:rPr>
              <w:t>redacted</w:t>
            </w:r>
            <w:r w:rsidRPr="00AC2BEC">
              <w:rPr>
                <w:vertAlign w:val="superscript"/>
              </w:rPr>
              <w:t>2</w:t>
            </w:r>
          </w:p>
        </w:tc>
        <w:tc>
          <w:tcPr>
            <w:tcW w:w="585" w:type="pct"/>
            <w:noWrap/>
          </w:tcPr>
          <w:p w14:paraId="51CA438B" w14:textId="78DAAB7F" w:rsidR="008442B9" w:rsidRPr="000B6200" w:rsidRDefault="00CC5B05">
            <w:pPr>
              <w:pStyle w:val="TableText"/>
              <w:jc w:val="right"/>
              <w:rPr>
                <w:i/>
                <w:iCs/>
              </w:rPr>
            </w:pPr>
            <w:r w:rsidRPr="00AC2BEC">
              <w:rPr>
                <w:b/>
                <w:bCs/>
              </w:rPr>
              <w:t>redacted</w:t>
            </w:r>
            <w:r w:rsidRPr="00AC2BEC">
              <w:rPr>
                <w:vertAlign w:val="superscript"/>
              </w:rPr>
              <w:t>2</w:t>
            </w:r>
          </w:p>
        </w:tc>
      </w:tr>
      <w:tr w:rsidR="008442B9" w:rsidRPr="00B42507" w14:paraId="48ACCBF6" w14:textId="77777777">
        <w:trPr>
          <w:trHeight w:val="20"/>
        </w:trPr>
        <w:tc>
          <w:tcPr>
            <w:tcW w:w="156" w:type="pct"/>
          </w:tcPr>
          <w:p w14:paraId="024F394D" w14:textId="77777777" w:rsidR="008442B9" w:rsidRPr="00B42507" w:rsidRDefault="008442B9">
            <w:pPr>
              <w:pStyle w:val="TableText"/>
              <w:rPr>
                <w:i/>
                <w:iCs/>
              </w:rPr>
            </w:pPr>
            <w:r>
              <w:rPr>
                <w:i/>
                <w:iCs/>
              </w:rPr>
              <w:t>D</w:t>
            </w:r>
          </w:p>
        </w:tc>
        <w:tc>
          <w:tcPr>
            <w:tcW w:w="1336" w:type="pct"/>
            <w:noWrap/>
          </w:tcPr>
          <w:p w14:paraId="3455EFAD" w14:textId="77777777" w:rsidR="008442B9" w:rsidRPr="00B42507" w:rsidRDefault="008442B9">
            <w:pPr>
              <w:pStyle w:val="TableText"/>
              <w:rPr>
                <w:i/>
                <w:iCs/>
              </w:rPr>
            </w:pPr>
            <w:r w:rsidRPr="00B42507">
              <w:rPr>
                <w:i/>
                <w:iCs/>
              </w:rPr>
              <w:t>Uptake of testing in TNBC patients (</w:t>
            </w:r>
            <w:r>
              <w:rPr>
                <w:i/>
                <w:iCs/>
              </w:rPr>
              <w:t>following</w:t>
            </w:r>
            <w:r w:rsidRPr="00B42507">
              <w:rPr>
                <w:i/>
                <w:iCs/>
              </w:rPr>
              <w:t xml:space="preserve"> olaparib listing)</w:t>
            </w:r>
          </w:p>
        </w:tc>
        <w:tc>
          <w:tcPr>
            <w:tcW w:w="584" w:type="pct"/>
            <w:noWrap/>
          </w:tcPr>
          <w:p w14:paraId="5FD89C3C" w14:textId="4F16A42F" w:rsidR="008442B9" w:rsidRPr="00B42507" w:rsidRDefault="0070465A">
            <w:pPr>
              <w:pStyle w:val="TableText"/>
              <w:jc w:val="right"/>
              <w:rPr>
                <w:i/>
                <w:iCs/>
              </w:rPr>
            </w:pPr>
            <w:r w:rsidRPr="00771162">
              <w:rPr>
                <w:b/>
                <w:bCs/>
              </w:rPr>
              <w:t>redacted</w:t>
            </w:r>
            <w:r w:rsidRPr="00B42507">
              <w:rPr>
                <w:i/>
                <w:iCs/>
              </w:rPr>
              <w:t xml:space="preserve"> </w:t>
            </w:r>
            <w:r w:rsidR="008442B9" w:rsidRPr="00B42507">
              <w:rPr>
                <w:i/>
                <w:iCs/>
              </w:rPr>
              <w:t>%</w:t>
            </w:r>
          </w:p>
        </w:tc>
        <w:tc>
          <w:tcPr>
            <w:tcW w:w="585" w:type="pct"/>
            <w:noWrap/>
          </w:tcPr>
          <w:p w14:paraId="13EE9938" w14:textId="618C8220" w:rsidR="008442B9" w:rsidRPr="00B42507" w:rsidRDefault="0070465A">
            <w:pPr>
              <w:pStyle w:val="TableText"/>
              <w:jc w:val="right"/>
              <w:rPr>
                <w:i/>
                <w:iCs/>
              </w:rPr>
            </w:pPr>
            <w:r w:rsidRPr="00771162">
              <w:rPr>
                <w:b/>
                <w:bCs/>
              </w:rPr>
              <w:t>redacted</w:t>
            </w:r>
            <w:r w:rsidRPr="00B42507">
              <w:rPr>
                <w:i/>
                <w:iCs/>
              </w:rPr>
              <w:t xml:space="preserve"> </w:t>
            </w:r>
            <w:r w:rsidR="008442B9" w:rsidRPr="00B42507">
              <w:rPr>
                <w:i/>
                <w:iCs/>
              </w:rPr>
              <w:t>%</w:t>
            </w:r>
          </w:p>
        </w:tc>
        <w:tc>
          <w:tcPr>
            <w:tcW w:w="584" w:type="pct"/>
            <w:noWrap/>
          </w:tcPr>
          <w:p w14:paraId="4378B0A4" w14:textId="35ABA0EC" w:rsidR="008442B9" w:rsidRPr="00B42507" w:rsidRDefault="0070465A">
            <w:pPr>
              <w:pStyle w:val="TableText"/>
              <w:jc w:val="right"/>
              <w:rPr>
                <w:i/>
                <w:iCs/>
              </w:rPr>
            </w:pPr>
            <w:r w:rsidRPr="00771162">
              <w:rPr>
                <w:b/>
                <w:bCs/>
              </w:rPr>
              <w:t>redacted</w:t>
            </w:r>
            <w:r w:rsidRPr="00B42507">
              <w:rPr>
                <w:i/>
                <w:iCs/>
              </w:rPr>
              <w:t xml:space="preserve"> </w:t>
            </w:r>
            <w:r w:rsidR="008442B9" w:rsidRPr="00B42507">
              <w:rPr>
                <w:i/>
                <w:iCs/>
              </w:rPr>
              <w:t>%</w:t>
            </w:r>
          </w:p>
        </w:tc>
        <w:tc>
          <w:tcPr>
            <w:tcW w:w="585" w:type="pct"/>
            <w:noWrap/>
          </w:tcPr>
          <w:p w14:paraId="081D5F5E" w14:textId="41F3C84C" w:rsidR="008442B9" w:rsidRPr="00B42507" w:rsidRDefault="0070465A">
            <w:pPr>
              <w:pStyle w:val="TableText"/>
              <w:jc w:val="right"/>
              <w:rPr>
                <w:i/>
                <w:iCs/>
              </w:rPr>
            </w:pPr>
            <w:r w:rsidRPr="00771162">
              <w:rPr>
                <w:b/>
                <w:bCs/>
              </w:rPr>
              <w:t>redacted</w:t>
            </w:r>
            <w:r w:rsidRPr="00B42507">
              <w:rPr>
                <w:i/>
                <w:iCs/>
              </w:rPr>
              <w:t xml:space="preserve"> </w:t>
            </w:r>
            <w:r w:rsidR="008442B9" w:rsidRPr="00B42507">
              <w:rPr>
                <w:i/>
                <w:iCs/>
              </w:rPr>
              <w:t>%</w:t>
            </w:r>
          </w:p>
        </w:tc>
        <w:tc>
          <w:tcPr>
            <w:tcW w:w="584" w:type="pct"/>
            <w:noWrap/>
          </w:tcPr>
          <w:p w14:paraId="69E0602E" w14:textId="0D9D701F" w:rsidR="008442B9" w:rsidRPr="00B42507" w:rsidRDefault="0070465A">
            <w:pPr>
              <w:pStyle w:val="TableText"/>
              <w:jc w:val="right"/>
              <w:rPr>
                <w:i/>
                <w:iCs/>
              </w:rPr>
            </w:pPr>
            <w:r w:rsidRPr="00771162">
              <w:rPr>
                <w:b/>
                <w:bCs/>
              </w:rPr>
              <w:t>redacted</w:t>
            </w:r>
            <w:r w:rsidRPr="00B42507">
              <w:rPr>
                <w:i/>
                <w:iCs/>
              </w:rPr>
              <w:t xml:space="preserve"> </w:t>
            </w:r>
            <w:r w:rsidR="008442B9" w:rsidRPr="00B42507">
              <w:rPr>
                <w:i/>
                <w:iCs/>
              </w:rPr>
              <w:t>%</w:t>
            </w:r>
          </w:p>
        </w:tc>
        <w:tc>
          <w:tcPr>
            <w:tcW w:w="585" w:type="pct"/>
            <w:noWrap/>
          </w:tcPr>
          <w:p w14:paraId="5FD6A60B" w14:textId="7F9CC5FE" w:rsidR="008442B9" w:rsidRPr="00B42507" w:rsidRDefault="0070465A">
            <w:pPr>
              <w:pStyle w:val="TableText"/>
              <w:jc w:val="right"/>
              <w:rPr>
                <w:i/>
                <w:iCs/>
              </w:rPr>
            </w:pPr>
            <w:r w:rsidRPr="00771162">
              <w:rPr>
                <w:b/>
                <w:bCs/>
              </w:rPr>
              <w:t>redacted</w:t>
            </w:r>
            <w:r w:rsidRPr="00B42507">
              <w:rPr>
                <w:i/>
                <w:iCs/>
              </w:rPr>
              <w:t xml:space="preserve"> </w:t>
            </w:r>
            <w:r w:rsidR="008442B9" w:rsidRPr="00B42507">
              <w:rPr>
                <w:i/>
                <w:iCs/>
              </w:rPr>
              <w:t>%</w:t>
            </w:r>
          </w:p>
        </w:tc>
      </w:tr>
      <w:tr w:rsidR="008442B9" w:rsidRPr="00B457CE" w14:paraId="6B573130" w14:textId="77777777">
        <w:trPr>
          <w:trHeight w:val="20"/>
        </w:trPr>
        <w:tc>
          <w:tcPr>
            <w:tcW w:w="156" w:type="pct"/>
          </w:tcPr>
          <w:p w14:paraId="28197FA6" w14:textId="77777777" w:rsidR="008442B9" w:rsidRPr="00B457CE" w:rsidRDefault="008442B9">
            <w:pPr>
              <w:pStyle w:val="TableText"/>
            </w:pPr>
            <w:r>
              <w:t>E</w:t>
            </w:r>
          </w:p>
        </w:tc>
        <w:tc>
          <w:tcPr>
            <w:tcW w:w="1336" w:type="pct"/>
            <w:noWrap/>
          </w:tcPr>
          <w:p w14:paraId="7542D0A1" w14:textId="77777777" w:rsidR="008442B9" w:rsidRPr="00B457CE" w:rsidRDefault="008442B9">
            <w:pPr>
              <w:pStyle w:val="TableText"/>
            </w:pPr>
            <w:r w:rsidRPr="00B457CE">
              <w:t>No. TNBC patients tested (</w:t>
            </w:r>
            <w:r>
              <w:t>following</w:t>
            </w:r>
            <w:r w:rsidRPr="00B457CE">
              <w:t xml:space="preserve"> olaparib listing)</w:t>
            </w:r>
            <w:r>
              <w:t xml:space="preserve"> (A × D)</w:t>
            </w:r>
          </w:p>
        </w:tc>
        <w:tc>
          <w:tcPr>
            <w:tcW w:w="584" w:type="pct"/>
            <w:noWrap/>
          </w:tcPr>
          <w:p w14:paraId="1F4A9BB7" w14:textId="77F21940" w:rsidR="008442B9" w:rsidRPr="00B42507" w:rsidRDefault="00D43016">
            <w:pPr>
              <w:pStyle w:val="TableText"/>
              <w:jc w:val="right"/>
              <w:rPr>
                <w:i/>
                <w:iCs/>
              </w:rPr>
            </w:pPr>
            <w:r w:rsidRPr="00AC2BEC">
              <w:rPr>
                <w:b/>
                <w:bCs/>
              </w:rPr>
              <w:t>redacted</w:t>
            </w:r>
            <w:r w:rsidRPr="00AC2BEC">
              <w:rPr>
                <w:vertAlign w:val="superscript"/>
              </w:rPr>
              <w:t>1</w:t>
            </w:r>
          </w:p>
        </w:tc>
        <w:tc>
          <w:tcPr>
            <w:tcW w:w="585" w:type="pct"/>
            <w:noWrap/>
          </w:tcPr>
          <w:p w14:paraId="0C446C43" w14:textId="1DBF9EAB" w:rsidR="008442B9" w:rsidRPr="00B42507" w:rsidRDefault="00D43016">
            <w:pPr>
              <w:pStyle w:val="TableText"/>
              <w:jc w:val="right"/>
              <w:rPr>
                <w:i/>
                <w:iCs/>
              </w:rPr>
            </w:pPr>
            <w:r w:rsidRPr="00AC2BEC">
              <w:rPr>
                <w:b/>
                <w:bCs/>
              </w:rPr>
              <w:t>redacted</w:t>
            </w:r>
            <w:r w:rsidRPr="00AC2BEC">
              <w:rPr>
                <w:vertAlign w:val="superscript"/>
              </w:rPr>
              <w:t>1</w:t>
            </w:r>
          </w:p>
        </w:tc>
        <w:tc>
          <w:tcPr>
            <w:tcW w:w="584" w:type="pct"/>
            <w:noWrap/>
          </w:tcPr>
          <w:p w14:paraId="37FA0355" w14:textId="5B36C7AF" w:rsidR="008442B9" w:rsidRPr="00B42507" w:rsidRDefault="00D43016">
            <w:pPr>
              <w:pStyle w:val="TableText"/>
              <w:jc w:val="right"/>
              <w:rPr>
                <w:i/>
                <w:iCs/>
              </w:rPr>
            </w:pPr>
            <w:r w:rsidRPr="00AC2BEC">
              <w:rPr>
                <w:b/>
                <w:bCs/>
              </w:rPr>
              <w:t>redacted</w:t>
            </w:r>
            <w:r w:rsidRPr="00AC2BEC">
              <w:rPr>
                <w:vertAlign w:val="superscript"/>
              </w:rPr>
              <w:t>1</w:t>
            </w:r>
          </w:p>
        </w:tc>
        <w:tc>
          <w:tcPr>
            <w:tcW w:w="585" w:type="pct"/>
            <w:noWrap/>
          </w:tcPr>
          <w:p w14:paraId="0D5EA82D" w14:textId="5F975BF0" w:rsidR="008442B9" w:rsidRPr="00B42507" w:rsidRDefault="00D43016">
            <w:pPr>
              <w:pStyle w:val="TableText"/>
              <w:jc w:val="right"/>
              <w:rPr>
                <w:i/>
                <w:iCs/>
              </w:rPr>
            </w:pPr>
            <w:r w:rsidRPr="00AC2BEC">
              <w:rPr>
                <w:b/>
                <w:bCs/>
              </w:rPr>
              <w:t>redacted</w:t>
            </w:r>
            <w:r w:rsidRPr="00AC2BEC">
              <w:rPr>
                <w:vertAlign w:val="superscript"/>
              </w:rPr>
              <w:t>1</w:t>
            </w:r>
          </w:p>
        </w:tc>
        <w:tc>
          <w:tcPr>
            <w:tcW w:w="584" w:type="pct"/>
            <w:noWrap/>
          </w:tcPr>
          <w:p w14:paraId="03668717" w14:textId="4CAEFE72" w:rsidR="008442B9" w:rsidRPr="00B42507" w:rsidRDefault="00D43016">
            <w:pPr>
              <w:pStyle w:val="TableText"/>
              <w:jc w:val="right"/>
              <w:rPr>
                <w:i/>
                <w:iCs/>
              </w:rPr>
            </w:pPr>
            <w:r w:rsidRPr="00AC2BEC">
              <w:rPr>
                <w:b/>
                <w:bCs/>
              </w:rPr>
              <w:t>redacted</w:t>
            </w:r>
            <w:r w:rsidRPr="00AC2BEC">
              <w:rPr>
                <w:vertAlign w:val="superscript"/>
              </w:rPr>
              <w:t>1</w:t>
            </w:r>
          </w:p>
        </w:tc>
        <w:tc>
          <w:tcPr>
            <w:tcW w:w="585" w:type="pct"/>
            <w:noWrap/>
          </w:tcPr>
          <w:p w14:paraId="0F592E70" w14:textId="526C8CFA" w:rsidR="008442B9" w:rsidRPr="00B42507" w:rsidRDefault="00D43016">
            <w:pPr>
              <w:pStyle w:val="TableText"/>
              <w:jc w:val="right"/>
              <w:rPr>
                <w:i/>
                <w:iCs/>
              </w:rPr>
            </w:pPr>
            <w:r w:rsidRPr="00AC2BEC">
              <w:rPr>
                <w:b/>
                <w:bCs/>
              </w:rPr>
              <w:t>redacted</w:t>
            </w:r>
            <w:r w:rsidRPr="00AC2BEC">
              <w:rPr>
                <w:vertAlign w:val="superscript"/>
              </w:rPr>
              <w:t>1</w:t>
            </w:r>
          </w:p>
        </w:tc>
      </w:tr>
      <w:tr w:rsidR="008442B9" w:rsidRPr="00B457CE" w14:paraId="77AF0DEC" w14:textId="77777777">
        <w:trPr>
          <w:trHeight w:val="20"/>
        </w:trPr>
        <w:tc>
          <w:tcPr>
            <w:tcW w:w="156" w:type="pct"/>
          </w:tcPr>
          <w:p w14:paraId="0B06E89D" w14:textId="77777777" w:rsidR="008442B9" w:rsidRPr="00B457CE" w:rsidRDefault="008442B9">
            <w:pPr>
              <w:pStyle w:val="TableText"/>
            </w:pPr>
            <w:r>
              <w:t>F</w:t>
            </w:r>
          </w:p>
        </w:tc>
        <w:tc>
          <w:tcPr>
            <w:tcW w:w="1336" w:type="pct"/>
            <w:noWrap/>
          </w:tcPr>
          <w:p w14:paraId="23169159" w14:textId="445325AC" w:rsidR="008442B9" w:rsidRPr="00B457CE" w:rsidRDefault="008442B9">
            <w:pPr>
              <w:pStyle w:val="TableText"/>
            </w:pPr>
            <w:r w:rsidRPr="00B457CE">
              <w:t xml:space="preserve">No. TNBC patients identified with </w:t>
            </w:r>
            <w:r w:rsidR="00E659A0" w:rsidRPr="000D659D">
              <w:rPr>
                <w:lang w:val="en-US"/>
              </w:rPr>
              <w:t>g</w:t>
            </w:r>
            <w:r w:rsidR="00E659A0" w:rsidRPr="000D659D">
              <w:rPr>
                <w:i/>
                <w:iCs/>
                <w:lang w:val="en-US"/>
              </w:rPr>
              <w:t>BRCA</w:t>
            </w:r>
            <w:r w:rsidR="00E659A0">
              <w:t xml:space="preserve"> </w:t>
            </w:r>
            <w:r w:rsidRPr="00B457CE">
              <w:t>variants</w:t>
            </w:r>
            <w:r>
              <w:t xml:space="preserve"> following</w:t>
            </w:r>
            <w:r w:rsidRPr="00B457CE">
              <w:t xml:space="preserve"> olaparib listing (</w:t>
            </w:r>
            <w:r>
              <w:t>E × </w:t>
            </w:r>
            <w:r w:rsidRPr="00B457CE">
              <w:t>13.3%)</w:t>
            </w:r>
          </w:p>
        </w:tc>
        <w:tc>
          <w:tcPr>
            <w:tcW w:w="584" w:type="pct"/>
            <w:noWrap/>
          </w:tcPr>
          <w:p w14:paraId="33D2D3A8" w14:textId="29694623" w:rsidR="008442B9" w:rsidRPr="00B42507" w:rsidRDefault="00CC5B05">
            <w:pPr>
              <w:pStyle w:val="TableText"/>
              <w:jc w:val="right"/>
              <w:rPr>
                <w:i/>
                <w:iCs/>
              </w:rPr>
            </w:pPr>
            <w:r w:rsidRPr="00AC2BEC">
              <w:rPr>
                <w:b/>
                <w:bCs/>
              </w:rPr>
              <w:t>redacted</w:t>
            </w:r>
            <w:r w:rsidRPr="00AC2BEC">
              <w:rPr>
                <w:vertAlign w:val="superscript"/>
              </w:rPr>
              <w:t>2</w:t>
            </w:r>
          </w:p>
        </w:tc>
        <w:tc>
          <w:tcPr>
            <w:tcW w:w="585" w:type="pct"/>
            <w:noWrap/>
          </w:tcPr>
          <w:p w14:paraId="3A0EA315" w14:textId="46B47518" w:rsidR="008442B9" w:rsidRPr="00B42507" w:rsidRDefault="00CC5B05">
            <w:pPr>
              <w:pStyle w:val="TableText"/>
              <w:jc w:val="right"/>
              <w:rPr>
                <w:i/>
                <w:iCs/>
              </w:rPr>
            </w:pPr>
            <w:r w:rsidRPr="00AC2BEC">
              <w:rPr>
                <w:b/>
                <w:bCs/>
              </w:rPr>
              <w:t>redacted</w:t>
            </w:r>
            <w:r w:rsidRPr="00AC2BEC">
              <w:rPr>
                <w:vertAlign w:val="superscript"/>
              </w:rPr>
              <w:t>2</w:t>
            </w:r>
          </w:p>
        </w:tc>
        <w:tc>
          <w:tcPr>
            <w:tcW w:w="584" w:type="pct"/>
            <w:noWrap/>
          </w:tcPr>
          <w:p w14:paraId="5E93284E" w14:textId="13FD0565" w:rsidR="008442B9" w:rsidRPr="00B42507" w:rsidRDefault="00CC5B05">
            <w:pPr>
              <w:pStyle w:val="TableText"/>
              <w:jc w:val="right"/>
              <w:rPr>
                <w:i/>
                <w:iCs/>
              </w:rPr>
            </w:pPr>
            <w:r w:rsidRPr="00AC2BEC">
              <w:rPr>
                <w:b/>
                <w:bCs/>
              </w:rPr>
              <w:t>redacted</w:t>
            </w:r>
            <w:r w:rsidRPr="00AC2BEC">
              <w:rPr>
                <w:vertAlign w:val="superscript"/>
              </w:rPr>
              <w:t>2</w:t>
            </w:r>
          </w:p>
        </w:tc>
        <w:tc>
          <w:tcPr>
            <w:tcW w:w="585" w:type="pct"/>
            <w:noWrap/>
          </w:tcPr>
          <w:p w14:paraId="4E7E23B5" w14:textId="6CC4A7D7" w:rsidR="008442B9" w:rsidRPr="00B42507" w:rsidRDefault="00CC5B05">
            <w:pPr>
              <w:pStyle w:val="TableText"/>
              <w:jc w:val="right"/>
              <w:rPr>
                <w:i/>
                <w:iCs/>
              </w:rPr>
            </w:pPr>
            <w:r w:rsidRPr="00AC2BEC">
              <w:rPr>
                <w:b/>
                <w:bCs/>
              </w:rPr>
              <w:t>redacted</w:t>
            </w:r>
            <w:r w:rsidRPr="00AC2BEC">
              <w:rPr>
                <w:vertAlign w:val="superscript"/>
              </w:rPr>
              <w:t>2</w:t>
            </w:r>
          </w:p>
        </w:tc>
        <w:tc>
          <w:tcPr>
            <w:tcW w:w="584" w:type="pct"/>
            <w:noWrap/>
          </w:tcPr>
          <w:p w14:paraId="582CBBC2" w14:textId="4F67CD21" w:rsidR="008442B9" w:rsidRPr="00B42507" w:rsidRDefault="00CC5B05">
            <w:pPr>
              <w:pStyle w:val="TableText"/>
              <w:jc w:val="right"/>
              <w:rPr>
                <w:i/>
                <w:iCs/>
              </w:rPr>
            </w:pPr>
            <w:r w:rsidRPr="00AC2BEC">
              <w:rPr>
                <w:b/>
                <w:bCs/>
              </w:rPr>
              <w:t>redacted</w:t>
            </w:r>
            <w:r w:rsidRPr="00AC2BEC">
              <w:rPr>
                <w:vertAlign w:val="superscript"/>
              </w:rPr>
              <w:t>2</w:t>
            </w:r>
          </w:p>
        </w:tc>
        <w:tc>
          <w:tcPr>
            <w:tcW w:w="585" w:type="pct"/>
            <w:noWrap/>
          </w:tcPr>
          <w:p w14:paraId="472BD59F" w14:textId="02C0C924" w:rsidR="008442B9" w:rsidRPr="00B42507" w:rsidRDefault="00CC5B05">
            <w:pPr>
              <w:pStyle w:val="TableText"/>
              <w:jc w:val="right"/>
              <w:rPr>
                <w:i/>
                <w:iCs/>
              </w:rPr>
            </w:pPr>
            <w:r w:rsidRPr="00AC2BEC">
              <w:rPr>
                <w:b/>
                <w:bCs/>
              </w:rPr>
              <w:t>redacted</w:t>
            </w:r>
            <w:r w:rsidRPr="00AC2BEC">
              <w:rPr>
                <w:vertAlign w:val="superscript"/>
              </w:rPr>
              <w:t>2</w:t>
            </w:r>
          </w:p>
        </w:tc>
      </w:tr>
      <w:tr w:rsidR="008442B9" w:rsidRPr="00B457CE" w14:paraId="75B76283" w14:textId="77777777">
        <w:trPr>
          <w:trHeight w:val="20"/>
        </w:trPr>
        <w:tc>
          <w:tcPr>
            <w:tcW w:w="156" w:type="pct"/>
            <w:tcBorders>
              <w:right w:val="nil"/>
            </w:tcBorders>
          </w:tcPr>
          <w:p w14:paraId="11B61CC9" w14:textId="77777777" w:rsidR="008442B9" w:rsidRPr="00B457CE" w:rsidRDefault="008442B9">
            <w:pPr>
              <w:pStyle w:val="TableText"/>
              <w:rPr>
                <w:b/>
                <w:bCs/>
              </w:rPr>
            </w:pPr>
          </w:p>
        </w:tc>
        <w:tc>
          <w:tcPr>
            <w:tcW w:w="1336" w:type="pct"/>
            <w:tcBorders>
              <w:right w:val="nil"/>
            </w:tcBorders>
            <w:noWrap/>
          </w:tcPr>
          <w:p w14:paraId="127AFCDA" w14:textId="77777777" w:rsidR="008442B9" w:rsidRPr="00B457CE" w:rsidRDefault="008442B9">
            <w:pPr>
              <w:pStyle w:val="TableText"/>
              <w:rPr>
                <w:b/>
                <w:bCs/>
              </w:rPr>
            </w:pPr>
            <w:r w:rsidRPr="00B457CE">
              <w:rPr>
                <w:b/>
              </w:rPr>
              <w:t>HR+ HER2- breast cancer</w:t>
            </w:r>
          </w:p>
        </w:tc>
        <w:tc>
          <w:tcPr>
            <w:tcW w:w="584" w:type="pct"/>
            <w:tcBorders>
              <w:left w:val="nil"/>
              <w:right w:val="nil"/>
            </w:tcBorders>
            <w:noWrap/>
          </w:tcPr>
          <w:p w14:paraId="1342E2A8" w14:textId="77777777" w:rsidR="008442B9" w:rsidRPr="00B457CE" w:rsidRDefault="008442B9">
            <w:pPr>
              <w:pStyle w:val="TableText"/>
              <w:jc w:val="right"/>
              <w:rPr>
                <w:b/>
                <w:bCs/>
              </w:rPr>
            </w:pPr>
          </w:p>
        </w:tc>
        <w:tc>
          <w:tcPr>
            <w:tcW w:w="585" w:type="pct"/>
            <w:tcBorders>
              <w:left w:val="nil"/>
              <w:right w:val="nil"/>
            </w:tcBorders>
            <w:noWrap/>
          </w:tcPr>
          <w:p w14:paraId="07FE07FF" w14:textId="77777777" w:rsidR="008442B9" w:rsidRPr="00B457CE" w:rsidRDefault="008442B9">
            <w:pPr>
              <w:pStyle w:val="TableText"/>
              <w:jc w:val="right"/>
              <w:rPr>
                <w:b/>
                <w:bCs/>
              </w:rPr>
            </w:pPr>
          </w:p>
        </w:tc>
        <w:tc>
          <w:tcPr>
            <w:tcW w:w="584" w:type="pct"/>
            <w:tcBorders>
              <w:left w:val="nil"/>
              <w:right w:val="nil"/>
            </w:tcBorders>
            <w:noWrap/>
          </w:tcPr>
          <w:p w14:paraId="3785879F" w14:textId="77777777" w:rsidR="008442B9" w:rsidRPr="00B457CE" w:rsidRDefault="008442B9">
            <w:pPr>
              <w:pStyle w:val="TableText"/>
              <w:jc w:val="right"/>
              <w:rPr>
                <w:b/>
                <w:bCs/>
              </w:rPr>
            </w:pPr>
          </w:p>
        </w:tc>
        <w:tc>
          <w:tcPr>
            <w:tcW w:w="585" w:type="pct"/>
            <w:tcBorders>
              <w:left w:val="nil"/>
              <w:right w:val="nil"/>
            </w:tcBorders>
            <w:noWrap/>
          </w:tcPr>
          <w:p w14:paraId="18B0AB44" w14:textId="77777777" w:rsidR="008442B9" w:rsidRPr="00B457CE" w:rsidRDefault="008442B9">
            <w:pPr>
              <w:pStyle w:val="TableText"/>
              <w:jc w:val="right"/>
              <w:rPr>
                <w:b/>
                <w:bCs/>
              </w:rPr>
            </w:pPr>
          </w:p>
        </w:tc>
        <w:tc>
          <w:tcPr>
            <w:tcW w:w="584" w:type="pct"/>
            <w:tcBorders>
              <w:left w:val="nil"/>
              <w:right w:val="nil"/>
            </w:tcBorders>
            <w:noWrap/>
          </w:tcPr>
          <w:p w14:paraId="4CA714A3" w14:textId="77777777" w:rsidR="008442B9" w:rsidRPr="00B457CE" w:rsidRDefault="008442B9">
            <w:pPr>
              <w:pStyle w:val="TableText"/>
              <w:jc w:val="right"/>
              <w:rPr>
                <w:b/>
                <w:bCs/>
              </w:rPr>
            </w:pPr>
          </w:p>
        </w:tc>
        <w:tc>
          <w:tcPr>
            <w:tcW w:w="585" w:type="pct"/>
            <w:tcBorders>
              <w:left w:val="nil"/>
            </w:tcBorders>
            <w:noWrap/>
          </w:tcPr>
          <w:p w14:paraId="40CF8F40" w14:textId="77777777" w:rsidR="008442B9" w:rsidRPr="00B457CE" w:rsidRDefault="008442B9">
            <w:pPr>
              <w:pStyle w:val="TableText"/>
              <w:jc w:val="right"/>
              <w:rPr>
                <w:b/>
                <w:bCs/>
              </w:rPr>
            </w:pPr>
          </w:p>
        </w:tc>
      </w:tr>
      <w:tr w:rsidR="008442B9" w:rsidRPr="00B457CE" w14:paraId="51A60CAE" w14:textId="77777777">
        <w:trPr>
          <w:trHeight w:val="20"/>
        </w:trPr>
        <w:tc>
          <w:tcPr>
            <w:tcW w:w="156" w:type="pct"/>
          </w:tcPr>
          <w:p w14:paraId="174B3ABF" w14:textId="77777777" w:rsidR="008442B9" w:rsidRPr="00B457CE" w:rsidRDefault="008442B9">
            <w:pPr>
              <w:pStyle w:val="TableText"/>
            </w:pPr>
            <w:r>
              <w:t>G</w:t>
            </w:r>
          </w:p>
        </w:tc>
        <w:tc>
          <w:tcPr>
            <w:tcW w:w="1336" w:type="pct"/>
            <w:noWrap/>
          </w:tcPr>
          <w:p w14:paraId="3C196E4E" w14:textId="665385E2" w:rsidR="008442B9" w:rsidRPr="00B457CE" w:rsidRDefault="008442B9">
            <w:pPr>
              <w:pStyle w:val="TableText"/>
            </w:pPr>
            <w:r w:rsidRPr="00B457CE">
              <w:t xml:space="preserve">No. HR+ HER2− patients </w:t>
            </w:r>
            <w:r>
              <w:t xml:space="preserve">with high-risk characteristics </w:t>
            </w:r>
            <w:r w:rsidRPr="00B457CE">
              <w:t>(</w:t>
            </w:r>
            <w:r>
              <w:t>Row I</w:t>
            </w:r>
            <w:r w:rsidR="005D5784">
              <w:t xml:space="preserve">, </w:t>
            </w:r>
            <w:r w:rsidR="005D5784">
              <w:fldChar w:fldCharType="begin"/>
            </w:r>
            <w:r w:rsidR="005D5784">
              <w:instrText xml:space="preserve"> REF _Ref69726382 \h </w:instrText>
            </w:r>
            <w:r w:rsidR="005D5784">
              <w:fldChar w:fldCharType="separate"/>
            </w:r>
            <w:r w:rsidR="00D8423B" w:rsidRPr="00137818">
              <w:t>Table </w:t>
            </w:r>
            <w:r w:rsidR="00D8423B">
              <w:rPr>
                <w:noProof/>
              </w:rPr>
              <w:t>12</w:t>
            </w:r>
            <w:r w:rsidR="005D5784">
              <w:fldChar w:fldCharType="end"/>
            </w:r>
            <w:r>
              <w:t>)</w:t>
            </w:r>
          </w:p>
        </w:tc>
        <w:tc>
          <w:tcPr>
            <w:tcW w:w="584" w:type="pct"/>
            <w:noWrap/>
          </w:tcPr>
          <w:p w14:paraId="36A973AA" w14:textId="38F11204" w:rsidR="008442B9" w:rsidRPr="00B457CE" w:rsidRDefault="00931EDD">
            <w:pPr>
              <w:pStyle w:val="TableText"/>
              <w:jc w:val="right"/>
            </w:pPr>
            <w:r>
              <w:rPr>
                <w:b/>
                <w:bCs/>
              </w:rPr>
              <w:t>r</w:t>
            </w:r>
            <w:r w:rsidRPr="00AC2BEC">
              <w:rPr>
                <w:b/>
                <w:bCs/>
              </w:rPr>
              <w:t>edacted</w:t>
            </w:r>
            <w:r w:rsidRPr="00771162">
              <w:rPr>
                <w:vertAlign w:val="superscript"/>
              </w:rPr>
              <w:t>3</w:t>
            </w:r>
          </w:p>
        </w:tc>
        <w:tc>
          <w:tcPr>
            <w:tcW w:w="585" w:type="pct"/>
            <w:noWrap/>
          </w:tcPr>
          <w:p w14:paraId="1DC7059F" w14:textId="134CF62E" w:rsidR="008442B9" w:rsidRPr="00B457CE" w:rsidRDefault="00904A8A">
            <w:pPr>
              <w:pStyle w:val="TableText"/>
              <w:jc w:val="right"/>
            </w:pPr>
            <w:r>
              <w:rPr>
                <w:b/>
                <w:bCs/>
              </w:rPr>
              <w:t>r</w:t>
            </w:r>
            <w:r w:rsidRPr="00AC2BEC">
              <w:rPr>
                <w:b/>
                <w:bCs/>
              </w:rPr>
              <w:t>edacted</w:t>
            </w:r>
            <w:r w:rsidRPr="00AC2BEC">
              <w:rPr>
                <w:vertAlign w:val="superscript"/>
              </w:rPr>
              <w:t>3</w:t>
            </w:r>
          </w:p>
        </w:tc>
        <w:tc>
          <w:tcPr>
            <w:tcW w:w="584" w:type="pct"/>
            <w:noWrap/>
          </w:tcPr>
          <w:p w14:paraId="772F5576" w14:textId="0A8CFB36" w:rsidR="008442B9" w:rsidRPr="00B457CE" w:rsidRDefault="00904A8A">
            <w:pPr>
              <w:pStyle w:val="TableText"/>
              <w:jc w:val="right"/>
            </w:pPr>
            <w:r>
              <w:rPr>
                <w:b/>
                <w:bCs/>
              </w:rPr>
              <w:t>r</w:t>
            </w:r>
            <w:r w:rsidRPr="00AC2BEC">
              <w:rPr>
                <w:b/>
                <w:bCs/>
              </w:rPr>
              <w:t>edacted</w:t>
            </w:r>
            <w:r w:rsidRPr="00AC2BEC">
              <w:rPr>
                <w:vertAlign w:val="superscript"/>
              </w:rPr>
              <w:t>3</w:t>
            </w:r>
          </w:p>
        </w:tc>
        <w:tc>
          <w:tcPr>
            <w:tcW w:w="585" w:type="pct"/>
            <w:noWrap/>
          </w:tcPr>
          <w:p w14:paraId="6DEE929D" w14:textId="5D8DF871" w:rsidR="008442B9" w:rsidRPr="00B457CE" w:rsidRDefault="00904A8A">
            <w:pPr>
              <w:pStyle w:val="TableText"/>
              <w:jc w:val="right"/>
            </w:pPr>
            <w:r>
              <w:rPr>
                <w:b/>
                <w:bCs/>
              </w:rPr>
              <w:t>r</w:t>
            </w:r>
            <w:r w:rsidRPr="00AC2BEC">
              <w:rPr>
                <w:b/>
                <w:bCs/>
              </w:rPr>
              <w:t>edacted</w:t>
            </w:r>
            <w:r w:rsidRPr="00AC2BEC">
              <w:rPr>
                <w:vertAlign w:val="superscript"/>
              </w:rPr>
              <w:t>3</w:t>
            </w:r>
          </w:p>
        </w:tc>
        <w:tc>
          <w:tcPr>
            <w:tcW w:w="584" w:type="pct"/>
            <w:noWrap/>
          </w:tcPr>
          <w:p w14:paraId="747B8FE3" w14:textId="2A80FF3D" w:rsidR="008442B9" w:rsidRPr="00B457CE" w:rsidRDefault="00904A8A">
            <w:pPr>
              <w:pStyle w:val="TableText"/>
              <w:jc w:val="right"/>
            </w:pPr>
            <w:r>
              <w:rPr>
                <w:b/>
                <w:bCs/>
              </w:rPr>
              <w:t>r</w:t>
            </w:r>
            <w:r w:rsidRPr="00AC2BEC">
              <w:rPr>
                <w:b/>
                <w:bCs/>
              </w:rPr>
              <w:t>edacted</w:t>
            </w:r>
            <w:r w:rsidRPr="00AC2BEC">
              <w:rPr>
                <w:vertAlign w:val="superscript"/>
              </w:rPr>
              <w:t>3</w:t>
            </w:r>
          </w:p>
        </w:tc>
        <w:tc>
          <w:tcPr>
            <w:tcW w:w="585" w:type="pct"/>
            <w:noWrap/>
          </w:tcPr>
          <w:p w14:paraId="434BE53C" w14:textId="0E8EF99D" w:rsidR="008442B9" w:rsidRPr="00B457CE" w:rsidRDefault="00904A8A">
            <w:pPr>
              <w:pStyle w:val="TableText"/>
              <w:jc w:val="right"/>
            </w:pPr>
            <w:r>
              <w:rPr>
                <w:b/>
                <w:bCs/>
              </w:rPr>
              <w:t>r</w:t>
            </w:r>
            <w:r w:rsidRPr="00AC2BEC">
              <w:rPr>
                <w:b/>
                <w:bCs/>
              </w:rPr>
              <w:t>edacted</w:t>
            </w:r>
            <w:r w:rsidRPr="00AC2BEC">
              <w:rPr>
                <w:vertAlign w:val="superscript"/>
              </w:rPr>
              <w:t>3</w:t>
            </w:r>
          </w:p>
        </w:tc>
      </w:tr>
      <w:tr w:rsidR="008442B9" w:rsidRPr="00B457CE" w14:paraId="55EF75F0" w14:textId="77777777">
        <w:trPr>
          <w:trHeight w:val="20"/>
        </w:trPr>
        <w:tc>
          <w:tcPr>
            <w:tcW w:w="156" w:type="pct"/>
          </w:tcPr>
          <w:p w14:paraId="6A415FE7" w14:textId="77777777" w:rsidR="008442B9" w:rsidRPr="00B457CE" w:rsidRDefault="008442B9">
            <w:pPr>
              <w:pStyle w:val="TableText"/>
            </w:pPr>
            <w:r>
              <w:t>H</w:t>
            </w:r>
          </w:p>
        </w:tc>
        <w:tc>
          <w:tcPr>
            <w:tcW w:w="1336" w:type="pct"/>
            <w:noWrap/>
          </w:tcPr>
          <w:p w14:paraId="690901F3" w14:textId="1B70530A" w:rsidR="008442B9" w:rsidRPr="00B457CE" w:rsidRDefault="008442B9">
            <w:pPr>
              <w:pStyle w:val="TableText"/>
            </w:pPr>
            <w:r w:rsidRPr="00B457CE">
              <w:t xml:space="preserve">No. HR+ HER2− patients tested </w:t>
            </w:r>
            <w:r w:rsidR="00E04621">
              <w:t>without</w:t>
            </w:r>
            <w:r w:rsidRPr="00B457CE">
              <w:t xml:space="preserve"> olaparib listing (</w:t>
            </w:r>
            <w:r>
              <w:t>Row J</w:t>
            </w:r>
            <w:r w:rsidR="005D5784">
              <w:t xml:space="preserve">, </w:t>
            </w:r>
            <w:r w:rsidR="005D5784">
              <w:fldChar w:fldCharType="begin"/>
            </w:r>
            <w:r w:rsidR="005D5784">
              <w:instrText xml:space="preserve"> REF _Ref69726382 \h </w:instrText>
            </w:r>
            <w:r w:rsidR="005D5784">
              <w:fldChar w:fldCharType="separate"/>
            </w:r>
            <w:r w:rsidR="00D8423B" w:rsidRPr="00137818">
              <w:t>Table </w:t>
            </w:r>
            <w:r w:rsidR="00D8423B">
              <w:rPr>
                <w:noProof/>
              </w:rPr>
              <w:t>12</w:t>
            </w:r>
            <w:r w:rsidR="005D5784">
              <w:fldChar w:fldCharType="end"/>
            </w:r>
            <w:r w:rsidRPr="00B457CE">
              <w:t>)</w:t>
            </w:r>
          </w:p>
        </w:tc>
        <w:tc>
          <w:tcPr>
            <w:tcW w:w="584" w:type="pct"/>
            <w:noWrap/>
          </w:tcPr>
          <w:p w14:paraId="199CA9BC" w14:textId="1E0AA22D" w:rsidR="008442B9" w:rsidRPr="00B457CE" w:rsidRDefault="00D43016">
            <w:pPr>
              <w:pStyle w:val="TableText"/>
              <w:jc w:val="right"/>
            </w:pPr>
            <w:r w:rsidRPr="00AC2BEC">
              <w:rPr>
                <w:b/>
                <w:bCs/>
              </w:rPr>
              <w:t>redacted</w:t>
            </w:r>
            <w:r w:rsidRPr="00AC2BEC">
              <w:rPr>
                <w:vertAlign w:val="superscript"/>
              </w:rPr>
              <w:t>1</w:t>
            </w:r>
          </w:p>
        </w:tc>
        <w:tc>
          <w:tcPr>
            <w:tcW w:w="585" w:type="pct"/>
            <w:noWrap/>
          </w:tcPr>
          <w:p w14:paraId="2A285EB3" w14:textId="18FC5D49" w:rsidR="008442B9" w:rsidRPr="00B457CE" w:rsidRDefault="00D43016">
            <w:pPr>
              <w:pStyle w:val="TableText"/>
              <w:jc w:val="right"/>
            </w:pPr>
            <w:r w:rsidRPr="00AC2BEC">
              <w:rPr>
                <w:b/>
                <w:bCs/>
              </w:rPr>
              <w:t>redacted</w:t>
            </w:r>
            <w:r w:rsidRPr="00AC2BEC">
              <w:rPr>
                <w:vertAlign w:val="superscript"/>
              </w:rPr>
              <w:t>1</w:t>
            </w:r>
          </w:p>
        </w:tc>
        <w:tc>
          <w:tcPr>
            <w:tcW w:w="584" w:type="pct"/>
            <w:noWrap/>
          </w:tcPr>
          <w:p w14:paraId="69C5C4DA" w14:textId="24937131" w:rsidR="008442B9" w:rsidRPr="00B457CE" w:rsidRDefault="00D43016">
            <w:pPr>
              <w:pStyle w:val="TableText"/>
              <w:jc w:val="right"/>
            </w:pPr>
            <w:r w:rsidRPr="00AC2BEC">
              <w:rPr>
                <w:b/>
                <w:bCs/>
              </w:rPr>
              <w:t>redacted</w:t>
            </w:r>
            <w:r w:rsidRPr="00AC2BEC">
              <w:rPr>
                <w:vertAlign w:val="superscript"/>
              </w:rPr>
              <w:t>1</w:t>
            </w:r>
          </w:p>
        </w:tc>
        <w:tc>
          <w:tcPr>
            <w:tcW w:w="585" w:type="pct"/>
            <w:noWrap/>
          </w:tcPr>
          <w:p w14:paraId="631DD881" w14:textId="476A3D11" w:rsidR="008442B9" w:rsidRPr="00B457CE" w:rsidRDefault="00D43016">
            <w:pPr>
              <w:pStyle w:val="TableText"/>
              <w:jc w:val="right"/>
            </w:pPr>
            <w:r w:rsidRPr="00AC2BEC">
              <w:rPr>
                <w:b/>
                <w:bCs/>
              </w:rPr>
              <w:t>redacted</w:t>
            </w:r>
            <w:r w:rsidRPr="00AC2BEC">
              <w:rPr>
                <w:vertAlign w:val="superscript"/>
              </w:rPr>
              <w:t>1</w:t>
            </w:r>
          </w:p>
        </w:tc>
        <w:tc>
          <w:tcPr>
            <w:tcW w:w="584" w:type="pct"/>
            <w:noWrap/>
          </w:tcPr>
          <w:p w14:paraId="0B07A9A1" w14:textId="51B58DF7" w:rsidR="008442B9" w:rsidRPr="00B457CE" w:rsidRDefault="00D43016">
            <w:pPr>
              <w:pStyle w:val="TableText"/>
              <w:jc w:val="right"/>
            </w:pPr>
            <w:r w:rsidRPr="00AC2BEC">
              <w:rPr>
                <w:b/>
                <w:bCs/>
              </w:rPr>
              <w:t>redacted</w:t>
            </w:r>
            <w:r w:rsidRPr="00AC2BEC">
              <w:rPr>
                <w:vertAlign w:val="superscript"/>
              </w:rPr>
              <w:t>1</w:t>
            </w:r>
          </w:p>
        </w:tc>
        <w:tc>
          <w:tcPr>
            <w:tcW w:w="585" w:type="pct"/>
            <w:noWrap/>
          </w:tcPr>
          <w:p w14:paraId="40033405" w14:textId="481A008C" w:rsidR="008442B9" w:rsidRPr="00B457CE" w:rsidRDefault="00D43016">
            <w:pPr>
              <w:pStyle w:val="TableText"/>
              <w:jc w:val="right"/>
            </w:pPr>
            <w:r w:rsidRPr="00AC2BEC">
              <w:rPr>
                <w:b/>
                <w:bCs/>
              </w:rPr>
              <w:t>redacted</w:t>
            </w:r>
            <w:r w:rsidRPr="00AC2BEC">
              <w:rPr>
                <w:vertAlign w:val="superscript"/>
              </w:rPr>
              <w:t>1</w:t>
            </w:r>
          </w:p>
        </w:tc>
      </w:tr>
      <w:tr w:rsidR="008442B9" w:rsidRPr="00B457CE" w14:paraId="75732ABD" w14:textId="77777777">
        <w:trPr>
          <w:trHeight w:val="20"/>
        </w:trPr>
        <w:tc>
          <w:tcPr>
            <w:tcW w:w="156" w:type="pct"/>
          </w:tcPr>
          <w:p w14:paraId="5E8C5506" w14:textId="77777777" w:rsidR="008442B9" w:rsidRPr="00B457CE" w:rsidRDefault="008442B9">
            <w:pPr>
              <w:pStyle w:val="TableText"/>
            </w:pPr>
            <w:r>
              <w:t>I</w:t>
            </w:r>
          </w:p>
        </w:tc>
        <w:tc>
          <w:tcPr>
            <w:tcW w:w="1336" w:type="pct"/>
            <w:noWrap/>
          </w:tcPr>
          <w:p w14:paraId="48A6A30B" w14:textId="4ED48985" w:rsidR="008442B9" w:rsidRPr="00B457CE" w:rsidRDefault="008442B9">
            <w:pPr>
              <w:pStyle w:val="TableText"/>
            </w:pPr>
            <w:r w:rsidRPr="00B457CE">
              <w:t xml:space="preserve">No. HR+ HER2− patients identified with </w:t>
            </w:r>
            <w:r w:rsidR="00E659A0" w:rsidRPr="000D659D">
              <w:rPr>
                <w:lang w:val="en-US"/>
              </w:rPr>
              <w:t>g</w:t>
            </w:r>
            <w:r w:rsidR="00E659A0" w:rsidRPr="000D659D">
              <w:rPr>
                <w:i/>
                <w:iCs/>
                <w:lang w:val="en-US"/>
              </w:rPr>
              <w:t>BRCA</w:t>
            </w:r>
            <w:r w:rsidR="00E659A0">
              <w:t xml:space="preserve"> </w:t>
            </w:r>
            <w:r w:rsidRPr="00B457CE">
              <w:t>variants</w:t>
            </w:r>
            <w:r>
              <w:t xml:space="preserve"> in the absence of</w:t>
            </w:r>
            <w:r w:rsidRPr="00B457CE">
              <w:t xml:space="preserve"> olaparib listing (</w:t>
            </w:r>
            <w:r>
              <w:t>H × 5.0</w:t>
            </w:r>
            <w:r w:rsidRPr="00B457CE">
              <w:t>%)</w:t>
            </w:r>
          </w:p>
        </w:tc>
        <w:tc>
          <w:tcPr>
            <w:tcW w:w="584" w:type="pct"/>
            <w:noWrap/>
          </w:tcPr>
          <w:p w14:paraId="3BC9AAFF" w14:textId="2893C3D7" w:rsidR="008442B9" w:rsidRPr="000B6200" w:rsidRDefault="00CC5B05">
            <w:pPr>
              <w:pStyle w:val="TableText"/>
              <w:jc w:val="right"/>
              <w:rPr>
                <w:i/>
                <w:iCs/>
              </w:rPr>
            </w:pPr>
            <w:r w:rsidRPr="00AC2BEC">
              <w:rPr>
                <w:b/>
                <w:bCs/>
              </w:rPr>
              <w:t>redacted</w:t>
            </w:r>
            <w:r w:rsidRPr="00AC2BEC">
              <w:rPr>
                <w:vertAlign w:val="superscript"/>
              </w:rPr>
              <w:t>2</w:t>
            </w:r>
          </w:p>
        </w:tc>
        <w:tc>
          <w:tcPr>
            <w:tcW w:w="585" w:type="pct"/>
            <w:noWrap/>
          </w:tcPr>
          <w:p w14:paraId="42B1D5D9" w14:textId="47CCE5CC" w:rsidR="008442B9" w:rsidRPr="000B6200" w:rsidRDefault="00CC5B05">
            <w:pPr>
              <w:pStyle w:val="TableText"/>
              <w:jc w:val="right"/>
              <w:rPr>
                <w:i/>
                <w:iCs/>
              </w:rPr>
            </w:pPr>
            <w:r w:rsidRPr="00AC2BEC">
              <w:rPr>
                <w:b/>
                <w:bCs/>
              </w:rPr>
              <w:t>redacted</w:t>
            </w:r>
            <w:r w:rsidRPr="00AC2BEC">
              <w:rPr>
                <w:vertAlign w:val="superscript"/>
              </w:rPr>
              <w:t>2</w:t>
            </w:r>
          </w:p>
        </w:tc>
        <w:tc>
          <w:tcPr>
            <w:tcW w:w="584" w:type="pct"/>
            <w:noWrap/>
          </w:tcPr>
          <w:p w14:paraId="3B65BE2C" w14:textId="1A98A305" w:rsidR="008442B9" w:rsidRPr="000B6200" w:rsidRDefault="00CC5B05">
            <w:pPr>
              <w:pStyle w:val="TableText"/>
              <w:jc w:val="right"/>
              <w:rPr>
                <w:i/>
                <w:iCs/>
              </w:rPr>
            </w:pPr>
            <w:r w:rsidRPr="00AC2BEC">
              <w:rPr>
                <w:b/>
                <w:bCs/>
              </w:rPr>
              <w:t>redacted</w:t>
            </w:r>
            <w:r w:rsidRPr="00AC2BEC">
              <w:rPr>
                <w:vertAlign w:val="superscript"/>
              </w:rPr>
              <w:t>2</w:t>
            </w:r>
          </w:p>
        </w:tc>
        <w:tc>
          <w:tcPr>
            <w:tcW w:w="585" w:type="pct"/>
            <w:noWrap/>
          </w:tcPr>
          <w:p w14:paraId="493D7DBE" w14:textId="6CB2BD79" w:rsidR="008442B9" w:rsidRPr="000B6200" w:rsidRDefault="00CC5B05">
            <w:pPr>
              <w:pStyle w:val="TableText"/>
              <w:jc w:val="right"/>
              <w:rPr>
                <w:i/>
                <w:iCs/>
              </w:rPr>
            </w:pPr>
            <w:r w:rsidRPr="00AC2BEC">
              <w:rPr>
                <w:b/>
                <w:bCs/>
              </w:rPr>
              <w:t>redacted</w:t>
            </w:r>
            <w:r w:rsidRPr="00AC2BEC">
              <w:rPr>
                <w:vertAlign w:val="superscript"/>
              </w:rPr>
              <w:t>2</w:t>
            </w:r>
          </w:p>
        </w:tc>
        <w:tc>
          <w:tcPr>
            <w:tcW w:w="584" w:type="pct"/>
            <w:noWrap/>
          </w:tcPr>
          <w:p w14:paraId="570DC11B" w14:textId="201BAFD0" w:rsidR="008442B9" w:rsidRPr="000B6200" w:rsidRDefault="00CC5B05">
            <w:pPr>
              <w:pStyle w:val="TableText"/>
              <w:jc w:val="right"/>
              <w:rPr>
                <w:i/>
                <w:iCs/>
              </w:rPr>
            </w:pPr>
            <w:r w:rsidRPr="00AC2BEC">
              <w:rPr>
                <w:b/>
                <w:bCs/>
              </w:rPr>
              <w:t>redacted</w:t>
            </w:r>
            <w:r w:rsidRPr="00AC2BEC">
              <w:rPr>
                <w:vertAlign w:val="superscript"/>
              </w:rPr>
              <w:t>2</w:t>
            </w:r>
          </w:p>
        </w:tc>
        <w:tc>
          <w:tcPr>
            <w:tcW w:w="585" w:type="pct"/>
            <w:noWrap/>
          </w:tcPr>
          <w:p w14:paraId="45B615E7" w14:textId="36DC1AB7" w:rsidR="008442B9" w:rsidRPr="000B6200" w:rsidRDefault="00CC5B05">
            <w:pPr>
              <w:pStyle w:val="TableText"/>
              <w:jc w:val="right"/>
              <w:rPr>
                <w:i/>
                <w:iCs/>
              </w:rPr>
            </w:pPr>
            <w:r w:rsidRPr="00AC2BEC">
              <w:rPr>
                <w:b/>
                <w:bCs/>
              </w:rPr>
              <w:t>redacted</w:t>
            </w:r>
            <w:r w:rsidRPr="00AC2BEC">
              <w:rPr>
                <w:vertAlign w:val="superscript"/>
              </w:rPr>
              <w:t>2</w:t>
            </w:r>
          </w:p>
        </w:tc>
      </w:tr>
      <w:tr w:rsidR="008442B9" w:rsidRPr="00B42507" w14:paraId="6609A758" w14:textId="77777777">
        <w:trPr>
          <w:trHeight w:val="20"/>
        </w:trPr>
        <w:tc>
          <w:tcPr>
            <w:tcW w:w="156" w:type="pct"/>
          </w:tcPr>
          <w:p w14:paraId="5E3B7D1C" w14:textId="77777777" w:rsidR="008442B9" w:rsidRPr="00B42507" w:rsidRDefault="008442B9">
            <w:pPr>
              <w:pStyle w:val="TableText"/>
              <w:rPr>
                <w:i/>
                <w:iCs/>
              </w:rPr>
            </w:pPr>
            <w:r>
              <w:rPr>
                <w:i/>
                <w:iCs/>
              </w:rPr>
              <w:t>J</w:t>
            </w:r>
          </w:p>
        </w:tc>
        <w:tc>
          <w:tcPr>
            <w:tcW w:w="1336" w:type="pct"/>
            <w:noWrap/>
          </w:tcPr>
          <w:p w14:paraId="2B3B7D1B" w14:textId="4AAC9EB0" w:rsidR="008442B9" w:rsidRPr="00B42507" w:rsidRDefault="008442B9">
            <w:pPr>
              <w:pStyle w:val="TableText"/>
              <w:rPr>
                <w:i/>
                <w:iCs/>
              </w:rPr>
            </w:pPr>
            <w:r w:rsidRPr="00B42507">
              <w:rPr>
                <w:i/>
                <w:iCs/>
              </w:rPr>
              <w:t>Uptake of testing in HR+ HER2− patients</w:t>
            </w:r>
            <w:r>
              <w:rPr>
                <w:i/>
                <w:iCs/>
              </w:rPr>
              <w:br/>
            </w:r>
            <w:r w:rsidRPr="00B42507">
              <w:rPr>
                <w:i/>
                <w:iCs/>
              </w:rPr>
              <w:t>(</w:t>
            </w:r>
            <w:r>
              <w:rPr>
                <w:i/>
                <w:iCs/>
              </w:rPr>
              <w:t>following</w:t>
            </w:r>
            <w:r w:rsidRPr="00B42507">
              <w:rPr>
                <w:i/>
                <w:iCs/>
              </w:rPr>
              <w:t xml:space="preserve"> olaparib listing)</w:t>
            </w:r>
          </w:p>
        </w:tc>
        <w:tc>
          <w:tcPr>
            <w:tcW w:w="584" w:type="pct"/>
            <w:noWrap/>
          </w:tcPr>
          <w:p w14:paraId="243B37CC" w14:textId="328F3560" w:rsidR="008442B9" w:rsidRPr="00B42507" w:rsidRDefault="0070465A">
            <w:pPr>
              <w:pStyle w:val="TableText"/>
              <w:jc w:val="right"/>
              <w:rPr>
                <w:i/>
                <w:iCs/>
              </w:rPr>
            </w:pPr>
            <w:r w:rsidRPr="00771162">
              <w:rPr>
                <w:b/>
                <w:bCs/>
              </w:rPr>
              <w:t>redacted</w:t>
            </w:r>
            <w:r w:rsidRPr="00B42507">
              <w:rPr>
                <w:i/>
                <w:iCs/>
              </w:rPr>
              <w:t xml:space="preserve"> </w:t>
            </w:r>
            <w:r w:rsidR="008442B9" w:rsidRPr="00B42507">
              <w:rPr>
                <w:i/>
                <w:iCs/>
              </w:rPr>
              <w:t>%</w:t>
            </w:r>
          </w:p>
        </w:tc>
        <w:tc>
          <w:tcPr>
            <w:tcW w:w="585" w:type="pct"/>
            <w:noWrap/>
          </w:tcPr>
          <w:p w14:paraId="0ED84F6D" w14:textId="5DFA200E" w:rsidR="008442B9" w:rsidRPr="00B42507" w:rsidRDefault="0070465A">
            <w:pPr>
              <w:pStyle w:val="TableText"/>
              <w:jc w:val="right"/>
              <w:rPr>
                <w:i/>
                <w:iCs/>
              </w:rPr>
            </w:pPr>
            <w:r w:rsidRPr="00771162">
              <w:rPr>
                <w:b/>
                <w:bCs/>
              </w:rPr>
              <w:t>redacted</w:t>
            </w:r>
            <w:r w:rsidRPr="00B42507">
              <w:rPr>
                <w:i/>
                <w:iCs/>
              </w:rPr>
              <w:t xml:space="preserve"> </w:t>
            </w:r>
            <w:r w:rsidR="008442B9" w:rsidRPr="00B42507">
              <w:rPr>
                <w:i/>
                <w:iCs/>
              </w:rPr>
              <w:t>%</w:t>
            </w:r>
          </w:p>
        </w:tc>
        <w:tc>
          <w:tcPr>
            <w:tcW w:w="584" w:type="pct"/>
            <w:noWrap/>
          </w:tcPr>
          <w:p w14:paraId="1B6BB28F" w14:textId="6715C84E" w:rsidR="008442B9" w:rsidRPr="00B42507" w:rsidRDefault="0070465A">
            <w:pPr>
              <w:pStyle w:val="TableText"/>
              <w:jc w:val="right"/>
              <w:rPr>
                <w:i/>
                <w:iCs/>
              </w:rPr>
            </w:pPr>
            <w:r w:rsidRPr="00771162">
              <w:rPr>
                <w:b/>
                <w:bCs/>
              </w:rPr>
              <w:t>redacted</w:t>
            </w:r>
            <w:r w:rsidRPr="00B42507">
              <w:rPr>
                <w:i/>
                <w:iCs/>
              </w:rPr>
              <w:t xml:space="preserve"> </w:t>
            </w:r>
            <w:r w:rsidR="008442B9" w:rsidRPr="00B42507">
              <w:rPr>
                <w:i/>
                <w:iCs/>
              </w:rPr>
              <w:t>%</w:t>
            </w:r>
          </w:p>
        </w:tc>
        <w:tc>
          <w:tcPr>
            <w:tcW w:w="585" w:type="pct"/>
            <w:noWrap/>
          </w:tcPr>
          <w:p w14:paraId="0DADE701" w14:textId="237A2FC8" w:rsidR="008442B9" w:rsidRPr="00B42507" w:rsidRDefault="0070465A">
            <w:pPr>
              <w:pStyle w:val="TableText"/>
              <w:jc w:val="right"/>
              <w:rPr>
                <w:i/>
                <w:iCs/>
              </w:rPr>
            </w:pPr>
            <w:r w:rsidRPr="00771162">
              <w:rPr>
                <w:b/>
                <w:bCs/>
              </w:rPr>
              <w:t>redacted</w:t>
            </w:r>
            <w:r w:rsidRPr="00B42507">
              <w:rPr>
                <w:i/>
                <w:iCs/>
              </w:rPr>
              <w:t xml:space="preserve"> </w:t>
            </w:r>
            <w:r w:rsidR="008442B9" w:rsidRPr="00B42507">
              <w:rPr>
                <w:i/>
                <w:iCs/>
              </w:rPr>
              <w:t>%</w:t>
            </w:r>
          </w:p>
        </w:tc>
        <w:tc>
          <w:tcPr>
            <w:tcW w:w="584" w:type="pct"/>
            <w:noWrap/>
          </w:tcPr>
          <w:p w14:paraId="6383B6AD" w14:textId="1D30225B" w:rsidR="008442B9" w:rsidRPr="00B42507" w:rsidRDefault="0070465A">
            <w:pPr>
              <w:pStyle w:val="TableText"/>
              <w:jc w:val="right"/>
              <w:rPr>
                <w:i/>
                <w:iCs/>
              </w:rPr>
            </w:pPr>
            <w:r w:rsidRPr="00771162">
              <w:rPr>
                <w:b/>
                <w:bCs/>
              </w:rPr>
              <w:t>redacted</w:t>
            </w:r>
            <w:r w:rsidRPr="00B42507">
              <w:rPr>
                <w:i/>
                <w:iCs/>
              </w:rPr>
              <w:t xml:space="preserve"> </w:t>
            </w:r>
            <w:r w:rsidR="008442B9" w:rsidRPr="00B42507">
              <w:rPr>
                <w:i/>
                <w:iCs/>
              </w:rPr>
              <w:t>%</w:t>
            </w:r>
          </w:p>
        </w:tc>
        <w:tc>
          <w:tcPr>
            <w:tcW w:w="585" w:type="pct"/>
            <w:noWrap/>
          </w:tcPr>
          <w:p w14:paraId="4F03F638" w14:textId="3836F501" w:rsidR="008442B9" w:rsidRPr="00B42507" w:rsidRDefault="0070465A">
            <w:pPr>
              <w:pStyle w:val="TableText"/>
              <w:jc w:val="right"/>
              <w:rPr>
                <w:i/>
                <w:iCs/>
              </w:rPr>
            </w:pPr>
            <w:r w:rsidRPr="00771162">
              <w:rPr>
                <w:b/>
                <w:bCs/>
              </w:rPr>
              <w:t>redacted</w:t>
            </w:r>
            <w:r w:rsidRPr="00B42507">
              <w:rPr>
                <w:i/>
                <w:iCs/>
              </w:rPr>
              <w:t xml:space="preserve"> </w:t>
            </w:r>
            <w:r w:rsidR="008442B9" w:rsidRPr="00B42507">
              <w:rPr>
                <w:i/>
                <w:iCs/>
              </w:rPr>
              <w:t>%</w:t>
            </w:r>
          </w:p>
        </w:tc>
      </w:tr>
      <w:tr w:rsidR="008442B9" w:rsidRPr="00B457CE" w14:paraId="64BE8276" w14:textId="77777777">
        <w:trPr>
          <w:trHeight w:val="20"/>
        </w:trPr>
        <w:tc>
          <w:tcPr>
            <w:tcW w:w="156" w:type="pct"/>
          </w:tcPr>
          <w:p w14:paraId="1B65D57B" w14:textId="77777777" w:rsidR="008442B9" w:rsidRPr="00B457CE" w:rsidRDefault="008442B9">
            <w:pPr>
              <w:pStyle w:val="TableText"/>
            </w:pPr>
            <w:r>
              <w:t>K</w:t>
            </w:r>
          </w:p>
        </w:tc>
        <w:tc>
          <w:tcPr>
            <w:tcW w:w="1336" w:type="pct"/>
            <w:noWrap/>
          </w:tcPr>
          <w:p w14:paraId="2CBB827D" w14:textId="5B50AAF1" w:rsidR="008442B9" w:rsidRPr="00B457CE" w:rsidRDefault="008442B9">
            <w:pPr>
              <w:pStyle w:val="TableText"/>
            </w:pPr>
            <w:r w:rsidRPr="00B457CE">
              <w:t>No. HR+ HER2− patients tested (</w:t>
            </w:r>
            <w:r>
              <w:t>following</w:t>
            </w:r>
            <w:r w:rsidRPr="00B457CE">
              <w:t xml:space="preserve"> olaparib listing)</w:t>
            </w:r>
            <w:r>
              <w:t xml:space="preserve"> (G × J)</w:t>
            </w:r>
          </w:p>
        </w:tc>
        <w:tc>
          <w:tcPr>
            <w:tcW w:w="584" w:type="pct"/>
            <w:noWrap/>
          </w:tcPr>
          <w:p w14:paraId="3089AEBB" w14:textId="34F9B52C" w:rsidR="008442B9" w:rsidRPr="00B42507" w:rsidRDefault="00D43016">
            <w:pPr>
              <w:pStyle w:val="TableText"/>
              <w:jc w:val="right"/>
              <w:rPr>
                <w:i/>
                <w:iCs/>
              </w:rPr>
            </w:pPr>
            <w:r w:rsidRPr="00AC2BEC">
              <w:rPr>
                <w:b/>
                <w:bCs/>
              </w:rPr>
              <w:t>redacted</w:t>
            </w:r>
            <w:r w:rsidRPr="00AC2BEC">
              <w:rPr>
                <w:vertAlign w:val="superscript"/>
              </w:rPr>
              <w:t>1</w:t>
            </w:r>
          </w:p>
        </w:tc>
        <w:tc>
          <w:tcPr>
            <w:tcW w:w="585" w:type="pct"/>
            <w:noWrap/>
          </w:tcPr>
          <w:p w14:paraId="2D01140D" w14:textId="6AA838E4" w:rsidR="008442B9" w:rsidRPr="00B42507" w:rsidRDefault="00D43016">
            <w:pPr>
              <w:pStyle w:val="TableText"/>
              <w:jc w:val="right"/>
              <w:rPr>
                <w:i/>
                <w:iCs/>
              </w:rPr>
            </w:pPr>
            <w:r w:rsidRPr="00AC2BEC">
              <w:rPr>
                <w:b/>
                <w:bCs/>
              </w:rPr>
              <w:t>redacted</w:t>
            </w:r>
            <w:r w:rsidRPr="00AC2BEC">
              <w:rPr>
                <w:vertAlign w:val="superscript"/>
              </w:rPr>
              <w:t>1</w:t>
            </w:r>
          </w:p>
        </w:tc>
        <w:tc>
          <w:tcPr>
            <w:tcW w:w="584" w:type="pct"/>
            <w:noWrap/>
          </w:tcPr>
          <w:p w14:paraId="1D6B0194" w14:textId="529B6FD9" w:rsidR="008442B9" w:rsidRPr="00B42507" w:rsidRDefault="00D43016">
            <w:pPr>
              <w:pStyle w:val="TableText"/>
              <w:jc w:val="right"/>
              <w:rPr>
                <w:i/>
                <w:iCs/>
              </w:rPr>
            </w:pPr>
            <w:r w:rsidRPr="00AC2BEC">
              <w:rPr>
                <w:b/>
                <w:bCs/>
              </w:rPr>
              <w:t>redacted</w:t>
            </w:r>
            <w:r w:rsidRPr="00AC2BEC">
              <w:rPr>
                <w:vertAlign w:val="superscript"/>
              </w:rPr>
              <w:t>1</w:t>
            </w:r>
          </w:p>
        </w:tc>
        <w:tc>
          <w:tcPr>
            <w:tcW w:w="585" w:type="pct"/>
            <w:noWrap/>
          </w:tcPr>
          <w:p w14:paraId="2D284FDA" w14:textId="301EBCB0" w:rsidR="008442B9" w:rsidRPr="00B42507" w:rsidRDefault="00BB4EC3">
            <w:pPr>
              <w:pStyle w:val="TableText"/>
              <w:jc w:val="right"/>
              <w:rPr>
                <w:i/>
                <w:iCs/>
              </w:rPr>
            </w:pPr>
            <w:r w:rsidRPr="00AC2BEC">
              <w:rPr>
                <w:b/>
                <w:bCs/>
              </w:rPr>
              <w:t>redacted</w:t>
            </w:r>
            <w:r w:rsidRPr="00AC2BEC">
              <w:rPr>
                <w:vertAlign w:val="superscript"/>
              </w:rPr>
              <w:t>1</w:t>
            </w:r>
          </w:p>
        </w:tc>
        <w:tc>
          <w:tcPr>
            <w:tcW w:w="584" w:type="pct"/>
            <w:noWrap/>
          </w:tcPr>
          <w:p w14:paraId="7E8C23CD" w14:textId="26397226" w:rsidR="008442B9" w:rsidRPr="00B42507" w:rsidRDefault="00BB4EC3">
            <w:pPr>
              <w:pStyle w:val="TableText"/>
              <w:jc w:val="right"/>
              <w:rPr>
                <w:i/>
                <w:iCs/>
              </w:rPr>
            </w:pPr>
            <w:r w:rsidRPr="00AC2BEC">
              <w:rPr>
                <w:b/>
                <w:bCs/>
              </w:rPr>
              <w:t>redacted</w:t>
            </w:r>
            <w:r w:rsidRPr="00AC2BEC">
              <w:rPr>
                <w:vertAlign w:val="superscript"/>
              </w:rPr>
              <w:t>1</w:t>
            </w:r>
          </w:p>
        </w:tc>
        <w:tc>
          <w:tcPr>
            <w:tcW w:w="585" w:type="pct"/>
            <w:noWrap/>
          </w:tcPr>
          <w:p w14:paraId="614665DC" w14:textId="272B21C5" w:rsidR="008442B9" w:rsidRPr="00B42507" w:rsidRDefault="00BB4EC3">
            <w:pPr>
              <w:pStyle w:val="TableText"/>
              <w:jc w:val="right"/>
              <w:rPr>
                <w:i/>
                <w:iCs/>
              </w:rPr>
            </w:pPr>
            <w:r w:rsidRPr="00AC2BEC">
              <w:rPr>
                <w:b/>
                <w:bCs/>
              </w:rPr>
              <w:t>redacted</w:t>
            </w:r>
            <w:r w:rsidRPr="00AC2BEC">
              <w:rPr>
                <w:vertAlign w:val="superscript"/>
              </w:rPr>
              <w:t>1</w:t>
            </w:r>
          </w:p>
        </w:tc>
      </w:tr>
      <w:tr w:rsidR="008442B9" w:rsidRPr="00B457CE" w14:paraId="03431394" w14:textId="77777777">
        <w:trPr>
          <w:trHeight w:val="20"/>
        </w:trPr>
        <w:tc>
          <w:tcPr>
            <w:tcW w:w="156" w:type="pct"/>
          </w:tcPr>
          <w:p w14:paraId="7B9FC507" w14:textId="77777777" w:rsidR="008442B9" w:rsidRPr="00B457CE" w:rsidRDefault="008442B9">
            <w:pPr>
              <w:pStyle w:val="TableText"/>
            </w:pPr>
            <w:r>
              <w:t>L</w:t>
            </w:r>
          </w:p>
        </w:tc>
        <w:tc>
          <w:tcPr>
            <w:tcW w:w="1336" w:type="pct"/>
            <w:noWrap/>
          </w:tcPr>
          <w:p w14:paraId="3B56876B" w14:textId="40BAB3B2" w:rsidR="008442B9" w:rsidRPr="00B457CE" w:rsidRDefault="008442B9">
            <w:pPr>
              <w:pStyle w:val="TableText"/>
            </w:pPr>
            <w:r w:rsidRPr="00B457CE">
              <w:t xml:space="preserve">No. HR+ HER2− patients identified with </w:t>
            </w:r>
            <w:r w:rsidR="00E659A0" w:rsidRPr="000D659D">
              <w:rPr>
                <w:lang w:val="en-US"/>
              </w:rPr>
              <w:t>g</w:t>
            </w:r>
            <w:r w:rsidR="00E659A0" w:rsidRPr="000D659D">
              <w:rPr>
                <w:i/>
                <w:iCs/>
                <w:lang w:val="en-US"/>
              </w:rPr>
              <w:t>BRCA</w:t>
            </w:r>
            <w:r w:rsidR="00E659A0">
              <w:t xml:space="preserve"> </w:t>
            </w:r>
            <w:r w:rsidRPr="00B457CE">
              <w:t xml:space="preserve">variants </w:t>
            </w:r>
            <w:r w:rsidRPr="000B6200">
              <w:t xml:space="preserve">following olaparib listing </w:t>
            </w:r>
            <w:r w:rsidRPr="00B457CE">
              <w:t>(</w:t>
            </w:r>
            <w:r>
              <w:t>K × </w:t>
            </w:r>
            <w:r w:rsidRPr="00B457CE">
              <w:t>5.0%)</w:t>
            </w:r>
          </w:p>
        </w:tc>
        <w:tc>
          <w:tcPr>
            <w:tcW w:w="584" w:type="pct"/>
            <w:noWrap/>
          </w:tcPr>
          <w:p w14:paraId="0195E0AD" w14:textId="3CBB3B5D" w:rsidR="008442B9" w:rsidRPr="00B42507" w:rsidRDefault="00CC5B05">
            <w:pPr>
              <w:pStyle w:val="TableText"/>
              <w:jc w:val="right"/>
              <w:rPr>
                <w:i/>
                <w:iCs/>
              </w:rPr>
            </w:pPr>
            <w:r w:rsidRPr="00AC2BEC">
              <w:rPr>
                <w:b/>
                <w:bCs/>
              </w:rPr>
              <w:t>redacted</w:t>
            </w:r>
            <w:r w:rsidRPr="00AC2BEC">
              <w:rPr>
                <w:vertAlign w:val="superscript"/>
              </w:rPr>
              <w:t>2</w:t>
            </w:r>
          </w:p>
        </w:tc>
        <w:tc>
          <w:tcPr>
            <w:tcW w:w="585" w:type="pct"/>
            <w:noWrap/>
          </w:tcPr>
          <w:p w14:paraId="6DD9074A" w14:textId="75E12C7C" w:rsidR="008442B9" w:rsidRPr="00B42507" w:rsidRDefault="00CC5B05">
            <w:pPr>
              <w:pStyle w:val="TableText"/>
              <w:jc w:val="right"/>
              <w:rPr>
                <w:i/>
                <w:iCs/>
              </w:rPr>
            </w:pPr>
            <w:r w:rsidRPr="00AC2BEC">
              <w:rPr>
                <w:b/>
                <w:bCs/>
              </w:rPr>
              <w:t>redacted</w:t>
            </w:r>
            <w:r w:rsidRPr="00AC2BEC">
              <w:rPr>
                <w:vertAlign w:val="superscript"/>
              </w:rPr>
              <w:t>2</w:t>
            </w:r>
          </w:p>
        </w:tc>
        <w:tc>
          <w:tcPr>
            <w:tcW w:w="584" w:type="pct"/>
            <w:noWrap/>
          </w:tcPr>
          <w:p w14:paraId="39F995CC" w14:textId="5A7478BF" w:rsidR="008442B9" w:rsidRPr="00B42507" w:rsidRDefault="00CC5B05">
            <w:pPr>
              <w:pStyle w:val="TableText"/>
              <w:jc w:val="right"/>
              <w:rPr>
                <w:i/>
                <w:iCs/>
              </w:rPr>
            </w:pPr>
            <w:r w:rsidRPr="00AC2BEC">
              <w:rPr>
                <w:b/>
                <w:bCs/>
              </w:rPr>
              <w:t>redacted</w:t>
            </w:r>
            <w:r w:rsidRPr="00AC2BEC">
              <w:rPr>
                <w:vertAlign w:val="superscript"/>
              </w:rPr>
              <w:t>2</w:t>
            </w:r>
          </w:p>
        </w:tc>
        <w:tc>
          <w:tcPr>
            <w:tcW w:w="585" w:type="pct"/>
            <w:noWrap/>
          </w:tcPr>
          <w:p w14:paraId="36F4987D" w14:textId="41492036" w:rsidR="008442B9" w:rsidRPr="00B42507" w:rsidRDefault="00CC5B05">
            <w:pPr>
              <w:pStyle w:val="TableText"/>
              <w:jc w:val="right"/>
              <w:rPr>
                <w:i/>
                <w:iCs/>
              </w:rPr>
            </w:pPr>
            <w:r w:rsidRPr="00AC2BEC">
              <w:rPr>
                <w:b/>
                <w:bCs/>
              </w:rPr>
              <w:t>redacted</w:t>
            </w:r>
            <w:r w:rsidRPr="00AC2BEC">
              <w:rPr>
                <w:vertAlign w:val="superscript"/>
              </w:rPr>
              <w:t>2</w:t>
            </w:r>
          </w:p>
        </w:tc>
        <w:tc>
          <w:tcPr>
            <w:tcW w:w="584" w:type="pct"/>
            <w:noWrap/>
          </w:tcPr>
          <w:p w14:paraId="608AC408" w14:textId="2D6595E1" w:rsidR="008442B9" w:rsidRPr="00B42507" w:rsidRDefault="00CC5B05">
            <w:pPr>
              <w:pStyle w:val="TableText"/>
              <w:jc w:val="right"/>
              <w:rPr>
                <w:i/>
                <w:iCs/>
              </w:rPr>
            </w:pPr>
            <w:r w:rsidRPr="00AC2BEC">
              <w:rPr>
                <w:b/>
                <w:bCs/>
              </w:rPr>
              <w:t>redacted</w:t>
            </w:r>
            <w:r w:rsidRPr="00AC2BEC">
              <w:rPr>
                <w:vertAlign w:val="superscript"/>
              </w:rPr>
              <w:t>2</w:t>
            </w:r>
          </w:p>
        </w:tc>
        <w:tc>
          <w:tcPr>
            <w:tcW w:w="585" w:type="pct"/>
            <w:noWrap/>
          </w:tcPr>
          <w:p w14:paraId="468F51D4" w14:textId="307C8A4A" w:rsidR="008442B9" w:rsidRPr="00B42507" w:rsidRDefault="00CC5B05">
            <w:pPr>
              <w:pStyle w:val="TableText"/>
              <w:jc w:val="right"/>
              <w:rPr>
                <w:i/>
                <w:iCs/>
              </w:rPr>
            </w:pPr>
            <w:r w:rsidRPr="00AC2BEC">
              <w:rPr>
                <w:b/>
                <w:bCs/>
              </w:rPr>
              <w:t>redacted</w:t>
            </w:r>
            <w:r w:rsidRPr="00AC2BEC">
              <w:rPr>
                <w:vertAlign w:val="superscript"/>
              </w:rPr>
              <w:t>2</w:t>
            </w:r>
          </w:p>
        </w:tc>
      </w:tr>
      <w:tr w:rsidR="008442B9" w:rsidRPr="00B457CE" w14:paraId="45DFDB12" w14:textId="77777777">
        <w:trPr>
          <w:trHeight w:val="20"/>
        </w:trPr>
        <w:tc>
          <w:tcPr>
            <w:tcW w:w="156" w:type="pct"/>
          </w:tcPr>
          <w:p w14:paraId="3F52B4E9" w14:textId="77777777" w:rsidR="008442B9" w:rsidRPr="00B457CE" w:rsidRDefault="008442B9">
            <w:pPr>
              <w:pStyle w:val="TableText"/>
            </w:pPr>
            <w:r>
              <w:t>M</w:t>
            </w:r>
          </w:p>
        </w:tc>
        <w:tc>
          <w:tcPr>
            <w:tcW w:w="1336" w:type="pct"/>
            <w:noWrap/>
          </w:tcPr>
          <w:p w14:paraId="62F32590" w14:textId="77777777" w:rsidR="008442B9" w:rsidRPr="00B457CE" w:rsidRDefault="008442B9">
            <w:pPr>
              <w:pStyle w:val="TableText"/>
            </w:pPr>
            <w:r w:rsidRPr="00B457CE">
              <w:t xml:space="preserve">Total no. patients tested </w:t>
            </w:r>
            <w:r>
              <w:t>following olaparib listing (E + K)</w:t>
            </w:r>
          </w:p>
        </w:tc>
        <w:tc>
          <w:tcPr>
            <w:tcW w:w="584" w:type="pct"/>
            <w:noWrap/>
          </w:tcPr>
          <w:p w14:paraId="24F4EAC4" w14:textId="34D1F6D9" w:rsidR="008442B9" w:rsidRPr="00B42507" w:rsidRDefault="00BB4EC3">
            <w:pPr>
              <w:pStyle w:val="TableText"/>
              <w:jc w:val="right"/>
              <w:rPr>
                <w:i/>
                <w:iCs/>
              </w:rPr>
            </w:pPr>
            <w:r w:rsidRPr="00AC2BEC">
              <w:rPr>
                <w:b/>
                <w:bCs/>
              </w:rPr>
              <w:t>redacted</w:t>
            </w:r>
            <w:r w:rsidRPr="00AC2BEC">
              <w:rPr>
                <w:vertAlign w:val="superscript"/>
              </w:rPr>
              <w:t>1</w:t>
            </w:r>
          </w:p>
        </w:tc>
        <w:tc>
          <w:tcPr>
            <w:tcW w:w="585" w:type="pct"/>
            <w:noWrap/>
          </w:tcPr>
          <w:p w14:paraId="62DF38CB" w14:textId="75F7C4FC" w:rsidR="008442B9" w:rsidRPr="00B42507" w:rsidRDefault="00BB4EC3">
            <w:pPr>
              <w:pStyle w:val="TableText"/>
              <w:jc w:val="right"/>
              <w:rPr>
                <w:i/>
                <w:iCs/>
              </w:rPr>
            </w:pPr>
            <w:r w:rsidRPr="00AC2BEC">
              <w:rPr>
                <w:b/>
                <w:bCs/>
              </w:rPr>
              <w:t>redacted</w:t>
            </w:r>
            <w:r w:rsidRPr="00AC2BEC">
              <w:rPr>
                <w:vertAlign w:val="superscript"/>
              </w:rPr>
              <w:t>1</w:t>
            </w:r>
          </w:p>
        </w:tc>
        <w:tc>
          <w:tcPr>
            <w:tcW w:w="584" w:type="pct"/>
            <w:noWrap/>
          </w:tcPr>
          <w:p w14:paraId="2892AA8D" w14:textId="3D4CF5CD" w:rsidR="008442B9" w:rsidRPr="00B42507" w:rsidRDefault="00BB4EC3">
            <w:pPr>
              <w:pStyle w:val="TableText"/>
              <w:jc w:val="right"/>
              <w:rPr>
                <w:i/>
                <w:iCs/>
              </w:rPr>
            </w:pPr>
            <w:r w:rsidRPr="00AC2BEC">
              <w:rPr>
                <w:b/>
                <w:bCs/>
              </w:rPr>
              <w:t>redacted</w:t>
            </w:r>
            <w:r w:rsidRPr="00AC2BEC">
              <w:rPr>
                <w:vertAlign w:val="superscript"/>
              </w:rPr>
              <w:t>1</w:t>
            </w:r>
          </w:p>
        </w:tc>
        <w:tc>
          <w:tcPr>
            <w:tcW w:w="585" w:type="pct"/>
            <w:noWrap/>
          </w:tcPr>
          <w:p w14:paraId="1DA59ECB" w14:textId="4C7E95DC" w:rsidR="008442B9" w:rsidRPr="00B42507" w:rsidRDefault="00904A8A">
            <w:pPr>
              <w:pStyle w:val="TableText"/>
              <w:jc w:val="right"/>
              <w:rPr>
                <w:i/>
                <w:iCs/>
              </w:rPr>
            </w:pPr>
            <w:r>
              <w:rPr>
                <w:b/>
                <w:bCs/>
              </w:rPr>
              <w:t>r</w:t>
            </w:r>
            <w:r w:rsidRPr="00AC2BEC">
              <w:rPr>
                <w:b/>
                <w:bCs/>
              </w:rPr>
              <w:t>edacted</w:t>
            </w:r>
            <w:r w:rsidRPr="00AC2BEC">
              <w:rPr>
                <w:vertAlign w:val="superscript"/>
              </w:rPr>
              <w:t>3</w:t>
            </w:r>
          </w:p>
        </w:tc>
        <w:tc>
          <w:tcPr>
            <w:tcW w:w="584" w:type="pct"/>
            <w:noWrap/>
          </w:tcPr>
          <w:p w14:paraId="75C994BB" w14:textId="2F47F157" w:rsidR="008442B9" w:rsidRPr="00B42507" w:rsidRDefault="00904A8A">
            <w:pPr>
              <w:pStyle w:val="TableText"/>
              <w:jc w:val="right"/>
              <w:rPr>
                <w:i/>
                <w:iCs/>
              </w:rPr>
            </w:pPr>
            <w:r>
              <w:rPr>
                <w:b/>
                <w:bCs/>
              </w:rPr>
              <w:t>r</w:t>
            </w:r>
            <w:r w:rsidRPr="00AC2BEC">
              <w:rPr>
                <w:b/>
                <w:bCs/>
              </w:rPr>
              <w:t>edacted</w:t>
            </w:r>
            <w:r w:rsidRPr="00AC2BEC">
              <w:rPr>
                <w:vertAlign w:val="superscript"/>
              </w:rPr>
              <w:t>3</w:t>
            </w:r>
          </w:p>
        </w:tc>
        <w:tc>
          <w:tcPr>
            <w:tcW w:w="585" w:type="pct"/>
            <w:noWrap/>
          </w:tcPr>
          <w:p w14:paraId="515BB29C" w14:textId="52CF430E" w:rsidR="008442B9" w:rsidRPr="00B42507" w:rsidRDefault="00904A8A">
            <w:pPr>
              <w:pStyle w:val="TableText"/>
              <w:jc w:val="right"/>
              <w:rPr>
                <w:i/>
                <w:iCs/>
              </w:rPr>
            </w:pPr>
            <w:r>
              <w:rPr>
                <w:b/>
                <w:bCs/>
              </w:rPr>
              <w:t>r</w:t>
            </w:r>
            <w:r w:rsidRPr="00AC2BEC">
              <w:rPr>
                <w:b/>
                <w:bCs/>
              </w:rPr>
              <w:t>edacted</w:t>
            </w:r>
            <w:r w:rsidRPr="00AC2BEC">
              <w:rPr>
                <w:vertAlign w:val="superscript"/>
              </w:rPr>
              <w:t>3</w:t>
            </w:r>
          </w:p>
        </w:tc>
      </w:tr>
      <w:tr w:rsidR="008442B9" w:rsidRPr="00B457CE" w14:paraId="7B74C3FA" w14:textId="77777777">
        <w:trPr>
          <w:trHeight w:val="20"/>
        </w:trPr>
        <w:tc>
          <w:tcPr>
            <w:tcW w:w="156" w:type="pct"/>
          </w:tcPr>
          <w:p w14:paraId="37E4178F" w14:textId="77777777" w:rsidR="008442B9" w:rsidRPr="00B457CE" w:rsidRDefault="008442B9">
            <w:pPr>
              <w:pStyle w:val="TableText"/>
            </w:pPr>
            <w:r>
              <w:t>N</w:t>
            </w:r>
          </w:p>
        </w:tc>
        <w:tc>
          <w:tcPr>
            <w:tcW w:w="1336" w:type="pct"/>
            <w:noWrap/>
          </w:tcPr>
          <w:p w14:paraId="44689081" w14:textId="0CFF4595" w:rsidR="008442B9" w:rsidRPr="00B457CE" w:rsidRDefault="008442B9">
            <w:pPr>
              <w:pStyle w:val="TableText"/>
            </w:pPr>
            <w:r w:rsidRPr="00B457CE">
              <w:t xml:space="preserve">Total no. patients tested </w:t>
            </w:r>
            <w:r w:rsidR="00E04621">
              <w:t>without</w:t>
            </w:r>
            <w:r>
              <w:t xml:space="preserve"> olaparib listing (B + H)</w:t>
            </w:r>
          </w:p>
        </w:tc>
        <w:tc>
          <w:tcPr>
            <w:tcW w:w="584" w:type="pct"/>
            <w:noWrap/>
          </w:tcPr>
          <w:p w14:paraId="7A7C909B" w14:textId="744C5DB4" w:rsidR="008442B9" w:rsidRPr="00B42507" w:rsidRDefault="00BB4EC3">
            <w:pPr>
              <w:pStyle w:val="TableText"/>
              <w:jc w:val="right"/>
              <w:rPr>
                <w:i/>
                <w:iCs/>
              </w:rPr>
            </w:pPr>
            <w:r w:rsidRPr="00AC2BEC">
              <w:rPr>
                <w:b/>
                <w:bCs/>
              </w:rPr>
              <w:t>redacted</w:t>
            </w:r>
            <w:r w:rsidRPr="00AC2BEC">
              <w:rPr>
                <w:vertAlign w:val="superscript"/>
              </w:rPr>
              <w:t>1</w:t>
            </w:r>
          </w:p>
        </w:tc>
        <w:tc>
          <w:tcPr>
            <w:tcW w:w="585" w:type="pct"/>
            <w:noWrap/>
          </w:tcPr>
          <w:p w14:paraId="17C49228" w14:textId="30B3B8A1" w:rsidR="008442B9" w:rsidRPr="00B42507" w:rsidRDefault="00BB4EC3">
            <w:pPr>
              <w:pStyle w:val="TableText"/>
              <w:jc w:val="right"/>
              <w:rPr>
                <w:i/>
                <w:iCs/>
              </w:rPr>
            </w:pPr>
            <w:r w:rsidRPr="00AC2BEC">
              <w:rPr>
                <w:b/>
                <w:bCs/>
              </w:rPr>
              <w:t>redacted</w:t>
            </w:r>
            <w:r w:rsidRPr="00AC2BEC">
              <w:rPr>
                <w:vertAlign w:val="superscript"/>
              </w:rPr>
              <w:t>1</w:t>
            </w:r>
          </w:p>
        </w:tc>
        <w:tc>
          <w:tcPr>
            <w:tcW w:w="584" w:type="pct"/>
            <w:noWrap/>
          </w:tcPr>
          <w:p w14:paraId="6B27C825" w14:textId="79BEC43D" w:rsidR="008442B9" w:rsidRPr="00B42507" w:rsidRDefault="00BB4EC3">
            <w:pPr>
              <w:pStyle w:val="TableText"/>
              <w:jc w:val="right"/>
              <w:rPr>
                <w:i/>
                <w:iCs/>
              </w:rPr>
            </w:pPr>
            <w:r w:rsidRPr="00AC2BEC">
              <w:rPr>
                <w:b/>
                <w:bCs/>
              </w:rPr>
              <w:t>redacted</w:t>
            </w:r>
            <w:r w:rsidRPr="00AC2BEC">
              <w:rPr>
                <w:vertAlign w:val="superscript"/>
              </w:rPr>
              <w:t>1</w:t>
            </w:r>
          </w:p>
        </w:tc>
        <w:tc>
          <w:tcPr>
            <w:tcW w:w="585" w:type="pct"/>
            <w:noWrap/>
          </w:tcPr>
          <w:p w14:paraId="70361572" w14:textId="267B4A81" w:rsidR="008442B9" w:rsidRPr="00B42507" w:rsidRDefault="00BB4EC3">
            <w:pPr>
              <w:pStyle w:val="TableText"/>
              <w:jc w:val="right"/>
              <w:rPr>
                <w:i/>
                <w:iCs/>
              </w:rPr>
            </w:pPr>
            <w:r w:rsidRPr="00AC2BEC">
              <w:rPr>
                <w:b/>
                <w:bCs/>
              </w:rPr>
              <w:t>redacted</w:t>
            </w:r>
            <w:r w:rsidRPr="00AC2BEC">
              <w:rPr>
                <w:vertAlign w:val="superscript"/>
              </w:rPr>
              <w:t>1</w:t>
            </w:r>
          </w:p>
        </w:tc>
        <w:tc>
          <w:tcPr>
            <w:tcW w:w="584" w:type="pct"/>
            <w:noWrap/>
          </w:tcPr>
          <w:p w14:paraId="65E1A6BB" w14:textId="62E5F188" w:rsidR="008442B9" w:rsidRPr="00B42507" w:rsidRDefault="00BB4EC3">
            <w:pPr>
              <w:pStyle w:val="TableText"/>
              <w:jc w:val="right"/>
              <w:rPr>
                <w:i/>
                <w:iCs/>
              </w:rPr>
            </w:pPr>
            <w:r w:rsidRPr="00AC2BEC">
              <w:rPr>
                <w:b/>
                <w:bCs/>
              </w:rPr>
              <w:t>redacted</w:t>
            </w:r>
            <w:r w:rsidRPr="00AC2BEC">
              <w:rPr>
                <w:vertAlign w:val="superscript"/>
              </w:rPr>
              <w:t>1</w:t>
            </w:r>
          </w:p>
        </w:tc>
        <w:tc>
          <w:tcPr>
            <w:tcW w:w="585" w:type="pct"/>
            <w:noWrap/>
          </w:tcPr>
          <w:p w14:paraId="1CC63891" w14:textId="1EAC7BB0" w:rsidR="008442B9" w:rsidRPr="00B42507" w:rsidRDefault="00BB4EC3">
            <w:pPr>
              <w:pStyle w:val="TableText"/>
              <w:jc w:val="right"/>
              <w:rPr>
                <w:i/>
                <w:iCs/>
              </w:rPr>
            </w:pPr>
            <w:r w:rsidRPr="00AC2BEC">
              <w:rPr>
                <w:b/>
                <w:bCs/>
              </w:rPr>
              <w:t>redacted</w:t>
            </w:r>
            <w:r w:rsidRPr="00AC2BEC">
              <w:rPr>
                <w:vertAlign w:val="superscript"/>
              </w:rPr>
              <w:t>1</w:t>
            </w:r>
          </w:p>
        </w:tc>
      </w:tr>
      <w:tr w:rsidR="008442B9" w:rsidRPr="00B457CE" w14:paraId="56E0C0DB" w14:textId="77777777">
        <w:trPr>
          <w:trHeight w:val="20"/>
        </w:trPr>
        <w:tc>
          <w:tcPr>
            <w:tcW w:w="156" w:type="pct"/>
          </w:tcPr>
          <w:p w14:paraId="498F3B97" w14:textId="77777777" w:rsidR="008442B9" w:rsidRPr="00B457CE" w:rsidRDefault="008442B9">
            <w:pPr>
              <w:pStyle w:val="TableText"/>
              <w:rPr>
                <w:b/>
                <w:bCs/>
              </w:rPr>
            </w:pPr>
            <w:r>
              <w:rPr>
                <w:b/>
              </w:rPr>
              <w:t>O</w:t>
            </w:r>
          </w:p>
        </w:tc>
        <w:tc>
          <w:tcPr>
            <w:tcW w:w="1336" w:type="pct"/>
            <w:noWrap/>
          </w:tcPr>
          <w:p w14:paraId="16EDEDBE" w14:textId="77777777" w:rsidR="008442B9" w:rsidRPr="00B457CE" w:rsidRDefault="008442B9">
            <w:pPr>
              <w:pStyle w:val="TableText"/>
              <w:rPr>
                <w:b/>
                <w:bCs/>
              </w:rPr>
            </w:pPr>
            <w:r w:rsidRPr="00B457CE">
              <w:rPr>
                <w:b/>
              </w:rPr>
              <w:t>Change in use of testing</w:t>
            </w:r>
            <w:r>
              <w:rPr>
                <w:b/>
              </w:rPr>
              <w:t xml:space="preserve"> due to listing of olaparib (M – N)</w:t>
            </w:r>
          </w:p>
        </w:tc>
        <w:tc>
          <w:tcPr>
            <w:tcW w:w="584" w:type="pct"/>
            <w:noWrap/>
          </w:tcPr>
          <w:p w14:paraId="40C65C5A" w14:textId="5A11DAC3" w:rsidR="008442B9" w:rsidRPr="00B42507" w:rsidRDefault="00A006A3">
            <w:pPr>
              <w:pStyle w:val="TableText"/>
              <w:jc w:val="right"/>
              <w:rPr>
                <w:b/>
                <w:bCs/>
                <w:i/>
                <w:iCs/>
              </w:rPr>
            </w:pPr>
            <w:r w:rsidRPr="00AC2BEC">
              <w:rPr>
                <w:b/>
                <w:bCs/>
              </w:rPr>
              <w:t>redacted</w:t>
            </w:r>
            <w:r w:rsidRPr="00AC2BEC">
              <w:rPr>
                <w:vertAlign w:val="superscript"/>
              </w:rPr>
              <w:t>2</w:t>
            </w:r>
          </w:p>
        </w:tc>
        <w:tc>
          <w:tcPr>
            <w:tcW w:w="585" w:type="pct"/>
            <w:noWrap/>
          </w:tcPr>
          <w:p w14:paraId="14D1C9BB" w14:textId="7A026425" w:rsidR="008442B9" w:rsidRPr="00B42507" w:rsidRDefault="00004A15">
            <w:pPr>
              <w:pStyle w:val="TableText"/>
              <w:jc w:val="right"/>
              <w:rPr>
                <w:b/>
                <w:bCs/>
                <w:i/>
                <w:iCs/>
              </w:rPr>
            </w:pPr>
            <w:r w:rsidRPr="00AC2BEC">
              <w:rPr>
                <w:b/>
                <w:bCs/>
              </w:rPr>
              <w:t>redacted</w:t>
            </w:r>
            <w:r w:rsidRPr="00AC2BEC">
              <w:rPr>
                <w:vertAlign w:val="superscript"/>
              </w:rPr>
              <w:t>1</w:t>
            </w:r>
          </w:p>
        </w:tc>
        <w:tc>
          <w:tcPr>
            <w:tcW w:w="584" w:type="pct"/>
            <w:noWrap/>
          </w:tcPr>
          <w:p w14:paraId="4F34C707" w14:textId="48C8E291" w:rsidR="008442B9" w:rsidRPr="00B42507" w:rsidRDefault="00004A15">
            <w:pPr>
              <w:pStyle w:val="TableText"/>
              <w:jc w:val="right"/>
              <w:rPr>
                <w:b/>
                <w:bCs/>
                <w:i/>
                <w:iCs/>
              </w:rPr>
            </w:pPr>
            <w:r w:rsidRPr="00AC2BEC">
              <w:rPr>
                <w:b/>
                <w:bCs/>
              </w:rPr>
              <w:t>redacted</w:t>
            </w:r>
            <w:r w:rsidRPr="00AC2BEC">
              <w:rPr>
                <w:vertAlign w:val="superscript"/>
              </w:rPr>
              <w:t>1</w:t>
            </w:r>
          </w:p>
        </w:tc>
        <w:tc>
          <w:tcPr>
            <w:tcW w:w="585" w:type="pct"/>
            <w:noWrap/>
          </w:tcPr>
          <w:p w14:paraId="36C424F2" w14:textId="5DA8A9B8" w:rsidR="008442B9" w:rsidRPr="00B42507" w:rsidRDefault="00004A15">
            <w:pPr>
              <w:pStyle w:val="TableText"/>
              <w:jc w:val="right"/>
              <w:rPr>
                <w:b/>
                <w:bCs/>
                <w:i/>
                <w:iCs/>
              </w:rPr>
            </w:pPr>
            <w:r w:rsidRPr="00AC2BEC">
              <w:rPr>
                <w:b/>
                <w:bCs/>
              </w:rPr>
              <w:t>redacted</w:t>
            </w:r>
            <w:r w:rsidRPr="00AC2BEC">
              <w:rPr>
                <w:vertAlign w:val="superscript"/>
              </w:rPr>
              <w:t>1</w:t>
            </w:r>
          </w:p>
        </w:tc>
        <w:tc>
          <w:tcPr>
            <w:tcW w:w="584" w:type="pct"/>
            <w:noWrap/>
          </w:tcPr>
          <w:p w14:paraId="1DCA23BE" w14:textId="2A83D7E7" w:rsidR="008442B9" w:rsidRPr="00B42507" w:rsidRDefault="00004A15">
            <w:pPr>
              <w:pStyle w:val="TableText"/>
              <w:jc w:val="right"/>
              <w:rPr>
                <w:b/>
                <w:bCs/>
                <w:i/>
                <w:iCs/>
              </w:rPr>
            </w:pPr>
            <w:r w:rsidRPr="00AC2BEC">
              <w:rPr>
                <w:b/>
                <w:bCs/>
              </w:rPr>
              <w:t>redacted</w:t>
            </w:r>
            <w:r w:rsidRPr="00AC2BEC">
              <w:rPr>
                <w:vertAlign w:val="superscript"/>
              </w:rPr>
              <w:t>1</w:t>
            </w:r>
          </w:p>
        </w:tc>
        <w:tc>
          <w:tcPr>
            <w:tcW w:w="585" w:type="pct"/>
            <w:noWrap/>
          </w:tcPr>
          <w:p w14:paraId="6ECA02F7" w14:textId="2687B734" w:rsidR="008442B9" w:rsidRPr="00B42507" w:rsidRDefault="00004A15">
            <w:pPr>
              <w:pStyle w:val="TableText"/>
              <w:jc w:val="right"/>
              <w:rPr>
                <w:b/>
                <w:bCs/>
                <w:i/>
                <w:iCs/>
              </w:rPr>
            </w:pPr>
            <w:r w:rsidRPr="00AC2BEC">
              <w:rPr>
                <w:b/>
                <w:bCs/>
              </w:rPr>
              <w:t>redacted</w:t>
            </w:r>
            <w:r w:rsidRPr="00AC2BEC">
              <w:rPr>
                <w:vertAlign w:val="superscript"/>
              </w:rPr>
              <w:t>1</w:t>
            </w:r>
          </w:p>
        </w:tc>
      </w:tr>
      <w:tr w:rsidR="008442B9" w:rsidRPr="00B42507" w14:paraId="055BEC84" w14:textId="77777777">
        <w:trPr>
          <w:trHeight w:val="20"/>
        </w:trPr>
        <w:tc>
          <w:tcPr>
            <w:tcW w:w="156" w:type="pct"/>
          </w:tcPr>
          <w:p w14:paraId="0753669B" w14:textId="77777777" w:rsidR="008442B9" w:rsidRPr="00B42507" w:rsidRDefault="008442B9">
            <w:pPr>
              <w:pStyle w:val="TableText"/>
              <w:rPr>
                <w:b/>
                <w:bCs/>
                <w:i/>
                <w:iCs/>
              </w:rPr>
            </w:pPr>
            <w:r>
              <w:rPr>
                <w:b/>
                <w:i/>
                <w:iCs/>
              </w:rPr>
              <w:t>P</w:t>
            </w:r>
          </w:p>
        </w:tc>
        <w:tc>
          <w:tcPr>
            <w:tcW w:w="1336" w:type="pct"/>
            <w:noWrap/>
          </w:tcPr>
          <w:p w14:paraId="25940201" w14:textId="77777777" w:rsidR="008442B9" w:rsidRPr="00B42507" w:rsidRDefault="008442B9">
            <w:pPr>
              <w:pStyle w:val="TableText"/>
              <w:rPr>
                <w:b/>
                <w:bCs/>
                <w:i/>
                <w:iCs/>
              </w:rPr>
            </w:pPr>
            <w:r w:rsidRPr="00B42507">
              <w:rPr>
                <w:b/>
                <w:i/>
                <w:iCs/>
              </w:rPr>
              <w:t>Cost of incremental testing to the MBS (</w:t>
            </w:r>
            <w:r>
              <w:rPr>
                <w:b/>
                <w:i/>
                <w:iCs/>
              </w:rPr>
              <w:t>O × </w:t>
            </w:r>
            <w:r w:rsidRPr="00B42507">
              <w:rPr>
                <w:b/>
                <w:i/>
                <w:iCs/>
              </w:rPr>
              <w:t>$1,106.80)</w:t>
            </w:r>
          </w:p>
        </w:tc>
        <w:tc>
          <w:tcPr>
            <w:tcW w:w="584" w:type="pct"/>
            <w:noWrap/>
          </w:tcPr>
          <w:p w14:paraId="3A1DB4F5" w14:textId="3F8C0CD9" w:rsidR="008442B9" w:rsidRPr="00771162" w:rsidRDefault="00722933" w:rsidP="00771162">
            <w:pPr>
              <w:pStyle w:val="TableText"/>
              <w:jc w:val="center"/>
              <w:rPr>
                <w:b/>
                <w:bCs/>
              </w:rPr>
            </w:pPr>
            <w:r w:rsidRPr="00771162">
              <w:rPr>
                <w:b/>
              </w:rPr>
              <w:t xml:space="preserve">redacted </w:t>
            </w:r>
            <w:r w:rsidRPr="00771162">
              <w:rPr>
                <w:b/>
                <w:vertAlign w:val="superscript"/>
              </w:rPr>
              <w:t>4</w:t>
            </w:r>
          </w:p>
        </w:tc>
        <w:tc>
          <w:tcPr>
            <w:tcW w:w="585" w:type="pct"/>
            <w:noWrap/>
          </w:tcPr>
          <w:p w14:paraId="20B3F79E" w14:textId="7AD5BB31" w:rsidR="008442B9" w:rsidRPr="00B42507" w:rsidRDefault="00722933">
            <w:pPr>
              <w:pStyle w:val="TableText"/>
              <w:jc w:val="right"/>
              <w:rPr>
                <w:b/>
                <w:bCs/>
                <w:i/>
                <w:iCs/>
              </w:rPr>
            </w:pPr>
            <w:r w:rsidRPr="00AC2BEC">
              <w:rPr>
                <w:b/>
              </w:rPr>
              <w:t xml:space="preserve">redacted </w:t>
            </w:r>
            <w:r w:rsidRPr="00AC2BEC">
              <w:rPr>
                <w:b/>
                <w:vertAlign w:val="superscript"/>
              </w:rPr>
              <w:t>4</w:t>
            </w:r>
          </w:p>
        </w:tc>
        <w:tc>
          <w:tcPr>
            <w:tcW w:w="584" w:type="pct"/>
            <w:noWrap/>
          </w:tcPr>
          <w:p w14:paraId="332F2F5B" w14:textId="747B4940" w:rsidR="008442B9" w:rsidRPr="00B42507" w:rsidRDefault="00722933">
            <w:pPr>
              <w:pStyle w:val="TableText"/>
              <w:jc w:val="right"/>
              <w:rPr>
                <w:b/>
                <w:bCs/>
                <w:i/>
                <w:iCs/>
              </w:rPr>
            </w:pPr>
            <w:r w:rsidRPr="00AC2BEC">
              <w:rPr>
                <w:b/>
              </w:rPr>
              <w:t xml:space="preserve">redacted </w:t>
            </w:r>
            <w:r w:rsidRPr="00AC2BEC">
              <w:rPr>
                <w:b/>
                <w:vertAlign w:val="superscript"/>
              </w:rPr>
              <w:t>4</w:t>
            </w:r>
          </w:p>
        </w:tc>
        <w:tc>
          <w:tcPr>
            <w:tcW w:w="585" w:type="pct"/>
            <w:noWrap/>
          </w:tcPr>
          <w:p w14:paraId="3438906C" w14:textId="38B5FF3B" w:rsidR="008442B9" w:rsidRPr="00B42507" w:rsidRDefault="00722933">
            <w:pPr>
              <w:pStyle w:val="TableText"/>
              <w:jc w:val="right"/>
              <w:rPr>
                <w:b/>
                <w:bCs/>
                <w:i/>
                <w:iCs/>
              </w:rPr>
            </w:pPr>
            <w:r w:rsidRPr="00AC2BEC">
              <w:rPr>
                <w:b/>
              </w:rPr>
              <w:t xml:space="preserve">redacted </w:t>
            </w:r>
            <w:r w:rsidRPr="00AC2BEC">
              <w:rPr>
                <w:b/>
                <w:vertAlign w:val="superscript"/>
              </w:rPr>
              <w:t>4</w:t>
            </w:r>
          </w:p>
        </w:tc>
        <w:tc>
          <w:tcPr>
            <w:tcW w:w="584" w:type="pct"/>
            <w:noWrap/>
          </w:tcPr>
          <w:p w14:paraId="79095B51" w14:textId="390D5253" w:rsidR="008442B9" w:rsidRPr="00B42507" w:rsidRDefault="00722933">
            <w:pPr>
              <w:pStyle w:val="TableText"/>
              <w:jc w:val="right"/>
              <w:rPr>
                <w:b/>
                <w:bCs/>
                <w:i/>
                <w:iCs/>
              </w:rPr>
            </w:pPr>
            <w:r w:rsidRPr="00AC2BEC">
              <w:rPr>
                <w:b/>
              </w:rPr>
              <w:t xml:space="preserve">redacted </w:t>
            </w:r>
            <w:r w:rsidRPr="00AC2BEC">
              <w:rPr>
                <w:b/>
                <w:vertAlign w:val="superscript"/>
              </w:rPr>
              <w:t>4</w:t>
            </w:r>
          </w:p>
        </w:tc>
        <w:tc>
          <w:tcPr>
            <w:tcW w:w="585" w:type="pct"/>
            <w:noWrap/>
          </w:tcPr>
          <w:p w14:paraId="77013BB1" w14:textId="0396A4AE" w:rsidR="008442B9" w:rsidRPr="00B42507" w:rsidRDefault="00722933">
            <w:pPr>
              <w:pStyle w:val="TableText"/>
              <w:jc w:val="right"/>
              <w:rPr>
                <w:b/>
                <w:bCs/>
                <w:i/>
                <w:iCs/>
              </w:rPr>
            </w:pPr>
            <w:r w:rsidRPr="00AC2BEC">
              <w:rPr>
                <w:b/>
              </w:rPr>
              <w:t xml:space="preserve">redacted </w:t>
            </w:r>
            <w:r w:rsidRPr="00AC2BEC">
              <w:rPr>
                <w:b/>
                <w:vertAlign w:val="superscript"/>
              </w:rPr>
              <w:t>4</w:t>
            </w:r>
          </w:p>
        </w:tc>
      </w:tr>
      <w:tr w:rsidR="008442B9" w:rsidRPr="000150B9" w14:paraId="5DD01C51" w14:textId="77777777">
        <w:trPr>
          <w:trHeight w:val="20"/>
        </w:trPr>
        <w:tc>
          <w:tcPr>
            <w:tcW w:w="156" w:type="pct"/>
          </w:tcPr>
          <w:p w14:paraId="328D3721" w14:textId="77777777" w:rsidR="008442B9" w:rsidRPr="00470140" w:rsidRDefault="008442B9">
            <w:pPr>
              <w:pStyle w:val="TableText"/>
              <w:rPr>
                <w:i/>
                <w:iCs/>
              </w:rPr>
            </w:pPr>
            <w:r>
              <w:rPr>
                <w:i/>
                <w:iCs/>
              </w:rPr>
              <w:t>Q</w:t>
            </w:r>
          </w:p>
        </w:tc>
        <w:tc>
          <w:tcPr>
            <w:tcW w:w="1336" w:type="pct"/>
            <w:noWrap/>
          </w:tcPr>
          <w:p w14:paraId="6E88C926" w14:textId="7262F3A5" w:rsidR="008442B9" w:rsidRPr="000B6200" w:rsidRDefault="008442B9">
            <w:pPr>
              <w:pStyle w:val="TableText"/>
              <w:rPr>
                <w:i/>
                <w:iCs/>
              </w:rPr>
            </w:pPr>
            <w:r w:rsidRPr="00470140">
              <w:rPr>
                <w:i/>
                <w:iCs/>
              </w:rPr>
              <w:t xml:space="preserve">Additional patients with </w:t>
            </w:r>
            <w:r w:rsidR="009D6558" w:rsidRPr="009D6558">
              <w:rPr>
                <w:i/>
              </w:rPr>
              <w:t>g</w:t>
            </w:r>
            <w:r w:rsidR="00A96FCF" w:rsidRPr="00A96FCF">
              <w:rPr>
                <w:i/>
                <w:iCs/>
              </w:rPr>
              <w:t>BRCA</w:t>
            </w:r>
            <w:r w:rsidR="009D6558" w:rsidRPr="00D1522E">
              <w:rPr>
                <w:i/>
              </w:rPr>
              <w:t xml:space="preserve"> </w:t>
            </w:r>
            <w:r>
              <w:rPr>
                <w:i/>
                <w:iCs/>
              </w:rPr>
              <w:t>variants</w:t>
            </w:r>
            <w:r w:rsidRPr="00470140">
              <w:rPr>
                <w:i/>
                <w:iCs/>
              </w:rPr>
              <w:t xml:space="preserve"> identified following olaparib listing</w:t>
            </w:r>
            <w:r>
              <w:rPr>
                <w:i/>
                <w:iCs/>
              </w:rPr>
              <w:t xml:space="preserve"> (F – C) + (L – I)</w:t>
            </w:r>
          </w:p>
        </w:tc>
        <w:tc>
          <w:tcPr>
            <w:tcW w:w="584" w:type="pct"/>
            <w:noWrap/>
          </w:tcPr>
          <w:p w14:paraId="1099A0AE" w14:textId="45386BB2" w:rsidR="008442B9" w:rsidRPr="000150B9" w:rsidRDefault="00A006A3">
            <w:pPr>
              <w:pStyle w:val="TableText"/>
              <w:jc w:val="right"/>
              <w:rPr>
                <w:i/>
                <w:iCs/>
              </w:rPr>
            </w:pPr>
            <w:r w:rsidRPr="00AC2BEC">
              <w:rPr>
                <w:b/>
                <w:bCs/>
              </w:rPr>
              <w:t>redacted</w:t>
            </w:r>
            <w:r w:rsidRPr="00AC2BEC">
              <w:rPr>
                <w:vertAlign w:val="superscript"/>
              </w:rPr>
              <w:t>2</w:t>
            </w:r>
          </w:p>
        </w:tc>
        <w:tc>
          <w:tcPr>
            <w:tcW w:w="585" w:type="pct"/>
            <w:noWrap/>
          </w:tcPr>
          <w:p w14:paraId="70B60003" w14:textId="20886641" w:rsidR="008442B9" w:rsidRPr="000150B9" w:rsidRDefault="00A006A3">
            <w:pPr>
              <w:pStyle w:val="TableText"/>
              <w:jc w:val="right"/>
              <w:rPr>
                <w:i/>
                <w:iCs/>
              </w:rPr>
            </w:pPr>
            <w:r w:rsidRPr="00AC2BEC">
              <w:rPr>
                <w:b/>
                <w:bCs/>
              </w:rPr>
              <w:t>redacted</w:t>
            </w:r>
            <w:r w:rsidRPr="00AC2BEC">
              <w:rPr>
                <w:vertAlign w:val="superscript"/>
              </w:rPr>
              <w:t>2</w:t>
            </w:r>
          </w:p>
        </w:tc>
        <w:tc>
          <w:tcPr>
            <w:tcW w:w="584" w:type="pct"/>
            <w:noWrap/>
          </w:tcPr>
          <w:p w14:paraId="112B53E6" w14:textId="2BC7963E" w:rsidR="008442B9" w:rsidRPr="000150B9" w:rsidRDefault="00A006A3">
            <w:pPr>
              <w:pStyle w:val="TableText"/>
              <w:jc w:val="right"/>
              <w:rPr>
                <w:i/>
                <w:iCs/>
              </w:rPr>
            </w:pPr>
            <w:r w:rsidRPr="00AC2BEC">
              <w:rPr>
                <w:b/>
                <w:bCs/>
              </w:rPr>
              <w:t>redacted</w:t>
            </w:r>
            <w:r w:rsidRPr="00AC2BEC">
              <w:rPr>
                <w:vertAlign w:val="superscript"/>
              </w:rPr>
              <w:t>2</w:t>
            </w:r>
          </w:p>
        </w:tc>
        <w:tc>
          <w:tcPr>
            <w:tcW w:w="585" w:type="pct"/>
            <w:noWrap/>
          </w:tcPr>
          <w:p w14:paraId="463E6C1B" w14:textId="22DB9F11" w:rsidR="008442B9" w:rsidRPr="000150B9" w:rsidRDefault="00A006A3">
            <w:pPr>
              <w:pStyle w:val="TableText"/>
              <w:jc w:val="right"/>
              <w:rPr>
                <w:i/>
                <w:iCs/>
              </w:rPr>
            </w:pPr>
            <w:r w:rsidRPr="00AC2BEC">
              <w:rPr>
                <w:b/>
                <w:bCs/>
              </w:rPr>
              <w:t>redacted</w:t>
            </w:r>
            <w:r w:rsidRPr="00AC2BEC">
              <w:rPr>
                <w:vertAlign w:val="superscript"/>
              </w:rPr>
              <w:t>2</w:t>
            </w:r>
          </w:p>
        </w:tc>
        <w:tc>
          <w:tcPr>
            <w:tcW w:w="584" w:type="pct"/>
            <w:noWrap/>
          </w:tcPr>
          <w:p w14:paraId="63C62192" w14:textId="5E722125" w:rsidR="008442B9" w:rsidRPr="000150B9" w:rsidRDefault="00A006A3">
            <w:pPr>
              <w:pStyle w:val="TableText"/>
              <w:jc w:val="right"/>
              <w:rPr>
                <w:i/>
                <w:iCs/>
              </w:rPr>
            </w:pPr>
            <w:r w:rsidRPr="00AC2BEC">
              <w:rPr>
                <w:b/>
                <w:bCs/>
              </w:rPr>
              <w:t>redacted</w:t>
            </w:r>
            <w:r w:rsidRPr="00AC2BEC">
              <w:rPr>
                <w:vertAlign w:val="superscript"/>
              </w:rPr>
              <w:t>2</w:t>
            </w:r>
          </w:p>
        </w:tc>
        <w:tc>
          <w:tcPr>
            <w:tcW w:w="585" w:type="pct"/>
            <w:noWrap/>
          </w:tcPr>
          <w:p w14:paraId="4302CF1B" w14:textId="38D9467F" w:rsidR="008442B9" w:rsidRPr="000150B9" w:rsidRDefault="00A006A3">
            <w:pPr>
              <w:pStyle w:val="TableText"/>
              <w:jc w:val="right"/>
              <w:rPr>
                <w:i/>
                <w:iCs/>
              </w:rPr>
            </w:pPr>
            <w:r w:rsidRPr="00AC2BEC">
              <w:rPr>
                <w:b/>
                <w:bCs/>
              </w:rPr>
              <w:t>redacted</w:t>
            </w:r>
            <w:r w:rsidRPr="00AC2BEC">
              <w:rPr>
                <w:vertAlign w:val="superscript"/>
              </w:rPr>
              <w:t>2</w:t>
            </w:r>
          </w:p>
        </w:tc>
      </w:tr>
      <w:tr w:rsidR="008442B9" w:rsidRPr="000150B9" w14:paraId="6A111106" w14:textId="77777777">
        <w:trPr>
          <w:trHeight w:val="20"/>
        </w:trPr>
        <w:tc>
          <w:tcPr>
            <w:tcW w:w="156" w:type="pct"/>
          </w:tcPr>
          <w:p w14:paraId="13DB43A5" w14:textId="77777777" w:rsidR="008442B9" w:rsidRPr="00470140" w:rsidRDefault="008442B9">
            <w:pPr>
              <w:pStyle w:val="TableText"/>
              <w:rPr>
                <w:i/>
                <w:iCs/>
              </w:rPr>
            </w:pPr>
            <w:r>
              <w:rPr>
                <w:i/>
                <w:iCs/>
              </w:rPr>
              <w:t>R</w:t>
            </w:r>
          </w:p>
        </w:tc>
        <w:tc>
          <w:tcPr>
            <w:tcW w:w="1336" w:type="pct"/>
            <w:noWrap/>
          </w:tcPr>
          <w:p w14:paraId="5DBEB9DA" w14:textId="77777777" w:rsidR="008442B9" w:rsidRPr="00470140" w:rsidRDefault="008442B9">
            <w:pPr>
              <w:pStyle w:val="TableText"/>
              <w:rPr>
                <w:i/>
                <w:iCs/>
              </w:rPr>
            </w:pPr>
            <w:r w:rsidRPr="00470140">
              <w:rPr>
                <w:i/>
                <w:iCs/>
              </w:rPr>
              <w:t>No. additional cascade tests</w:t>
            </w:r>
            <w:r>
              <w:rPr>
                <w:i/>
                <w:iCs/>
              </w:rPr>
              <w:t xml:space="preserve"> (Q × 1.8)</w:t>
            </w:r>
          </w:p>
        </w:tc>
        <w:tc>
          <w:tcPr>
            <w:tcW w:w="584" w:type="pct"/>
            <w:noWrap/>
          </w:tcPr>
          <w:p w14:paraId="78ECC0C6" w14:textId="02724364" w:rsidR="008442B9" w:rsidRPr="000150B9" w:rsidRDefault="00A006A3">
            <w:pPr>
              <w:pStyle w:val="TableText"/>
              <w:jc w:val="right"/>
              <w:rPr>
                <w:i/>
                <w:iCs/>
              </w:rPr>
            </w:pPr>
            <w:r w:rsidRPr="00AC2BEC">
              <w:rPr>
                <w:b/>
                <w:bCs/>
              </w:rPr>
              <w:t>redacted</w:t>
            </w:r>
            <w:r w:rsidRPr="00AC2BEC">
              <w:rPr>
                <w:vertAlign w:val="superscript"/>
              </w:rPr>
              <w:t>2</w:t>
            </w:r>
          </w:p>
        </w:tc>
        <w:tc>
          <w:tcPr>
            <w:tcW w:w="585" w:type="pct"/>
            <w:noWrap/>
          </w:tcPr>
          <w:p w14:paraId="2DAC714E" w14:textId="74901137" w:rsidR="008442B9" w:rsidRPr="000150B9" w:rsidRDefault="00A006A3">
            <w:pPr>
              <w:pStyle w:val="TableText"/>
              <w:jc w:val="right"/>
              <w:rPr>
                <w:i/>
                <w:iCs/>
              </w:rPr>
            </w:pPr>
            <w:r w:rsidRPr="00AC2BEC">
              <w:rPr>
                <w:b/>
                <w:bCs/>
              </w:rPr>
              <w:t>redacted</w:t>
            </w:r>
            <w:r w:rsidRPr="00AC2BEC">
              <w:rPr>
                <w:vertAlign w:val="superscript"/>
              </w:rPr>
              <w:t>2</w:t>
            </w:r>
          </w:p>
        </w:tc>
        <w:tc>
          <w:tcPr>
            <w:tcW w:w="584" w:type="pct"/>
            <w:noWrap/>
          </w:tcPr>
          <w:p w14:paraId="4B837D19" w14:textId="55F16C88" w:rsidR="008442B9" w:rsidRPr="000150B9" w:rsidRDefault="00A006A3">
            <w:pPr>
              <w:pStyle w:val="TableText"/>
              <w:jc w:val="right"/>
              <w:rPr>
                <w:i/>
                <w:iCs/>
              </w:rPr>
            </w:pPr>
            <w:r w:rsidRPr="00AC2BEC">
              <w:rPr>
                <w:b/>
                <w:bCs/>
              </w:rPr>
              <w:t>redacted</w:t>
            </w:r>
            <w:r w:rsidRPr="00AC2BEC">
              <w:rPr>
                <w:vertAlign w:val="superscript"/>
              </w:rPr>
              <w:t>2</w:t>
            </w:r>
          </w:p>
        </w:tc>
        <w:tc>
          <w:tcPr>
            <w:tcW w:w="585" w:type="pct"/>
            <w:noWrap/>
          </w:tcPr>
          <w:p w14:paraId="0E631807" w14:textId="29DD906C" w:rsidR="008442B9" w:rsidRPr="000150B9" w:rsidRDefault="00A006A3">
            <w:pPr>
              <w:pStyle w:val="TableText"/>
              <w:jc w:val="right"/>
              <w:rPr>
                <w:i/>
                <w:iCs/>
              </w:rPr>
            </w:pPr>
            <w:r w:rsidRPr="00AC2BEC">
              <w:rPr>
                <w:b/>
                <w:bCs/>
              </w:rPr>
              <w:t>redacted</w:t>
            </w:r>
            <w:r w:rsidRPr="00AC2BEC">
              <w:rPr>
                <w:vertAlign w:val="superscript"/>
              </w:rPr>
              <w:t>2</w:t>
            </w:r>
          </w:p>
        </w:tc>
        <w:tc>
          <w:tcPr>
            <w:tcW w:w="584" w:type="pct"/>
            <w:noWrap/>
          </w:tcPr>
          <w:p w14:paraId="0A9D8642" w14:textId="33FA521B" w:rsidR="008442B9" w:rsidRPr="000150B9" w:rsidRDefault="00A006A3">
            <w:pPr>
              <w:pStyle w:val="TableText"/>
              <w:jc w:val="right"/>
              <w:rPr>
                <w:i/>
                <w:iCs/>
              </w:rPr>
            </w:pPr>
            <w:r w:rsidRPr="00AC2BEC">
              <w:rPr>
                <w:b/>
                <w:bCs/>
              </w:rPr>
              <w:t>redacted</w:t>
            </w:r>
            <w:r w:rsidRPr="00AC2BEC">
              <w:rPr>
                <w:vertAlign w:val="superscript"/>
              </w:rPr>
              <w:t>2</w:t>
            </w:r>
          </w:p>
        </w:tc>
        <w:tc>
          <w:tcPr>
            <w:tcW w:w="585" w:type="pct"/>
            <w:noWrap/>
          </w:tcPr>
          <w:p w14:paraId="583450EA" w14:textId="3DC00BF6" w:rsidR="008442B9" w:rsidRPr="000150B9" w:rsidRDefault="00A006A3">
            <w:pPr>
              <w:pStyle w:val="TableText"/>
              <w:jc w:val="right"/>
              <w:rPr>
                <w:i/>
                <w:iCs/>
              </w:rPr>
            </w:pPr>
            <w:r w:rsidRPr="00AC2BEC">
              <w:rPr>
                <w:b/>
                <w:bCs/>
              </w:rPr>
              <w:t>redacted</w:t>
            </w:r>
            <w:r w:rsidRPr="00AC2BEC">
              <w:rPr>
                <w:vertAlign w:val="superscript"/>
              </w:rPr>
              <w:t>2</w:t>
            </w:r>
          </w:p>
        </w:tc>
      </w:tr>
      <w:tr w:rsidR="008442B9" w:rsidRPr="000150B9" w14:paraId="3E91155B" w14:textId="77777777">
        <w:trPr>
          <w:trHeight w:val="20"/>
        </w:trPr>
        <w:tc>
          <w:tcPr>
            <w:tcW w:w="156" w:type="pct"/>
          </w:tcPr>
          <w:p w14:paraId="2BC7023A" w14:textId="77777777" w:rsidR="008442B9" w:rsidRPr="000150B9" w:rsidRDefault="008442B9">
            <w:pPr>
              <w:pStyle w:val="TableText"/>
              <w:rPr>
                <w:b/>
                <w:bCs/>
                <w:i/>
                <w:iCs/>
              </w:rPr>
            </w:pPr>
            <w:r>
              <w:rPr>
                <w:b/>
                <w:i/>
                <w:iCs/>
              </w:rPr>
              <w:t>S</w:t>
            </w:r>
          </w:p>
        </w:tc>
        <w:tc>
          <w:tcPr>
            <w:tcW w:w="1336" w:type="pct"/>
            <w:noWrap/>
          </w:tcPr>
          <w:p w14:paraId="0CAD25E4" w14:textId="77777777" w:rsidR="008442B9" w:rsidRPr="000150B9" w:rsidRDefault="008442B9">
            <w:pPr>
              <w:pStyle w:val="TableText"/>
              <w:rPr>
                <w:b/>
                <w:bCs/>
                <w:i/>
                <w:iCs/>
              </w:rPr>
            </w:pPr>
            <w:r w:rsidRPr="000150B9">
              <w:rPr>
                <w:b/>
                <w:i/>
                <w:iCs/>
              </w:rPr>
              <w:t>Cost of additional cascade testing to the MBS (</w:t>
            </w:r>
            <w:r>
              <w:rPr>
                <w:b/>
                <w:i/>
                <w:iCs/>
              </w:rPr>
              <w:t>R × </w:t>
            </w:r>
            <w:r w:rsidRPr="000150B9">
              <w:rPr>
                <w:b/>
                <w:i/>
                <w:iCs/>
              </w:rPr>
              <w:t>$340.00)</w:t>
            </w:r>
          </w:p>
        </w:tc>
        <w:tc>
          <w:tcPr>
            <w:tcW w:w="584" w:type="pct"/>
            <w:noWrap/>
          </w:tcPr>
          <w:p w14:paraId="699365DB" w14:textId="0B97AE1E" w:rsidR="008442B9" w:rsidRPr="000150B9" w:rsidRDefault="00722933">
            <w:pPr>
              <w:pStyle w:val="TableText"/>
              <w:jc w:val="right"/>
              <w:rPr>
                <w:b/>
                <w:bCs/>
                <w:i/>
                <w:iCs/>
              </w:rPr>
            </w:pPr>
            <w:r w:rsidRPr="00AC2BEC">
              <w:rPr>
                <w:b/>
              </w:rPr>
              <w:t xml:space="preserve">redacted </w:t>
            </w:r>
            <w:r w:rsidRPr="00AC2BEC">
              <w:rPr>
                <w:b/>
                <w:vertAlign w:val="superscript"/>
              </w:rPr>
              <w:t>4</w:t>
            </w:r>
          </w:p>
        </w:tc>
        <w:tc>
          <w:tcPr>
            <w:tcW w:w="585" w:type="pct"/>
            <w:noWrap/>
          </w:tcPr>
          <w:p w14:paraId="56B76E14" w14:textId="54FF6EE4" w:rsidR="008442B9" w:rsidRPr="000150B9" w:rsidRDefault="00722933">
            <w:pPr>
              <w:pStyle w:val="TableText"/>
              <w:jc w:val="right"/>
              <w:rPr>
                <w:b/>
                <w:bCs/>
                <w:i/>
                <w:iCs/>
              </w:rPr>
            </w:pPr>
            <w:r w:rsidRPr="00AC2BEC">
              <w:rPr>
                <w:b/>
              </w:rPr>
              <w:t xml:space="preserve">redacted </w:t>
            </w:r>
            <w:r w:rsidRPr="00AC2BEC">
              <w:rPr>
                <w:b/>
                <w:vertAlign w:val="superscript"/>
              </w:rPr>
              <w:t>4</w:t>
            </w:r>
          </w:p>
        </w:tc>
        <w:tc>
          <w:tcPr>
            <w:tcW w:w="584" w:type="pct"/>
            <w:noWrap/>
          </w:tcPr>
          <w:p w14:paraId="5606E834" w14:textId="664E114B" w:rsidR="008442B9" w:rsidRPr="000150B9" w:rsidRDefault="00722933">
            <w:pPr>
              <w:pStyle w:val="TableText"/>
              <w:jc w:val="right"/>
              <w:rPr>
                <w:b/>
                <w:bCs/>
                <w:i/>
                <w:iCs/>
              </w:rPr>
            </w:pPr>
            <w:r w:rsidRPr="00AC2BEC">
              <w:rPr>
                <w:b/>
              </w:rPr>
              <w:t xml:space="preserve">redacted </w:t>
            </w:r>
            <w:r w:rsidRPr="00AC2BEC">
              <w:rPr>
                <w:b/>
                <w:vertAlign w:val="superscript"/>
              </w:rPr>
              <w:t>4</w:t>
            </w:r>
          </w:p>
        </w:tc>
        <w:tc>
          <w:tcPr>
            <w:tcW w:w="585" w:type="pct"/>
            <w:noWrap/>
          </w:tcPr>
          <w:p w14:paraId="62070528" w14:textId="5BFA5CBC" w:rsidR="008442B9" w:rsidRPr="000150B9" w:rsidRDefault="00722933">
            <w:pPr>
              <w:pStyle w:val="TableText"/>
              <w:jc w:val="right"/>
              <w:rPr>
                <w:b/>
                <w:bCs/>
                <w:i/>
                <w:iCs/>
              </w:rPr>
            </w:pPr>
            <w:r w:rsidRPr="00AC2BEC">
              <w:rPr>
                <w:b/>
              </w:rPr>
              <w:t xml:space="preserve">redacted </w:t>
            </w:r>
            <w:r w:rsidRPr="00AC2BEC">
              <w:rPr>
                <w:b/>
                <w:vertAlign w:val="superscript"/>
              </w:rPr>
              <w:t>4</w:t>
            </w:r>
          </w:p>
        </w:tc>
        <w:tc>
          <w:tcPr>
            <w:tcW w:w="584" w:type="pct"/>
            <w:noWrap/>
          </w:tcPr>
          <w:p w14:paraId="425DA972" w14:textId="2EC4871E" w:rsidR="008442B9" w:rsidRPr="000150B9" w:rsidRDefault="00722933">
            <w:pPr>
              <w:pStyle w:val="TableText"/>
              <w:jc w:val="right"/>
              <w:rPr>
                <w:b/>
                <w:bCs/>
                <w:i/>
                <w:iCs/>
              </w:rPr>
            </w:pPr>
            <w:r w:rsidRPr="00AC2BEC">
              <w:rPr>
                <w:b/>
              </w:rPr>
              <w:t xml:space="preserve">redacted </w:t>
            </w:r>
            <w:r w:rsidRPr="00AC2BEC">
              <w:rPr>
                <w:b/>
                <w:vertAlign w:val="superscript"/>
              </w:rPr>
              <w:t>4</w:t>
            </w:r>
          </w:p>
        </w:tc>
        <w:tc>
          <w:tcPr>
            <w:tcW w:w="585" w:type="pct"/>
            <w:noWrap/>
          </w:tcPr>
          <w:p w14:paraId="1E3A530E" w14:textId="0A76D2BE" w:rsidR="008442B9" w:rsidRPr="000150B9" w:rsidRDefault="00722933">
            <w:pPr>
              <w:pStyle w:val="TableText"/>
              <w:jc w:val="right"/>
              <w:rPr>
                <w:b/>
                <w:bCs/>
                <w:i/>
                <w:iCs/>
              </w:rPr>
            </w:pPr>
            <w:r w:rsidRPr="00AC2BEC">
              <w:rPr>
                <w:b/>
              </w:rPr>
              <w:t xml:space="preserve">redacted </w:t>
            </w:r>
            <w:r w:rsidRPr="00AC2BEC">
              <w:rPr>
                <w:b/>
                <w:vertAlign w:val="superscript"/>
              </w:rPr>
              <w:t>4</w:t>
            </w:r>
          </w:p>
        </w:tc>
      </w:tr>
      <w:tr w:rsidR="008442B9" w:rsidRPr="000150B9" w14:paraId="2E384C9A" w14:textId="77777777">
        <w:trPr>
          <w:trHeight w:val="20"/>
        </w:trPr>
        <w:tc>
          <w:tcPr>
            <w:tcW w:w="156" w:type="pct"/>
          </w:tcPr>
          <w:p w14:paraId="5EED12A8" w14:textId="77777777" w:rsidR="008442B9" w:rsidRPr="000150B9" w:rsidRDefault="008442B9">
            <w:pPr>
              <w:pStyle w:val="TableText"/>
              <w:rPr>
                <w:b/>
                <w:bCs/>
                <w:i/>
                <w:iCs/>
              </w:rPr>
            </w:pPr>
          </w:p>
        </w:tc>
        <w:tc>
          <w:tcPr>
            <w:tcW w:w="1336" w:type="pct"/>
            <w:noWrap/>
          </w:tcPr>
          <w:p w14:paraId="47F1A5A0" w14:textId="77777777" w:rsidR="008442B9" w:rsidRPr="000B6200" w:rsidRDefault="008442B9">
            <w:pPr>
              <w:pStyle w:val="TableText"/>
              <w:rPr>
                <w:b/>
                <w:bCs/>
                <w:i/>
                <w:iCs/>
              </w:rPr>
            </w:pPr>
            <w:r w:rsidRPr="000150B9">
              <w:rPr>
                <w:b/>
                <w:i/>
                <w:iCs/>
              </w:rPr>
              <w:t>Net cost to the MBS</w:t>
            </w:r>
            <w:r>
              <w:rPr>
                <w:b/>
                <w:i/>
                <w:iCs/>
              </w:rPr>
              <w:t xml:space="preserve"> (P + S)</w:t>
            </w:r>
          </w:p>
        </w:tc>
        <w:tc>
          <w:tcPr>
            <w:tcW w:w="584" w:type="pct"/>
            <w:noWrap/>
          </w:tcPr>
          <w:p w14:paraId="1C6BC8DD" w14:textId="0B7F8710" w:rsidR="008442B9" w:rsidRPr="000150B9" w:rsidRDefault="00722933">
            <w:pPr>
              <w:pStyle w:val="TableText"/>
              <w:jc w:val="right"/>
              <w:rPr>
                <w:b/>
                <w:bCs/>
                <w:i/>
                <w:iCs/>
              </w:rPr>
            </w:pPr>
            <w:r w:rsidRPr="00AC2BEC">
              <w:rPr>
                <w:b/>
              </w:rPr>
              <w:t xml:space="preserve">redacted </w:t>
            </w:r>
            <w:r w:rsidRPr="00AC2BEC">
              <w:rPr>
                <w:b/>
                <w:vertAlign w:val="superscript"/>
              </w:rPr>
              <w:t>4</w:t>
            </w:r>
          </w:p>
        </w:tc>
        <w:tc>
          <w:tcPr>
            <w:tcW w:w="585" w:type="pct"/>
            <w:noWrap/>
          </w:tcPr>
          <w:p w14:paraId="6E0582AD" w14:textId="366D2197" w:rsidR="008442B9" w:rsidRPr="000150B9" w:rsidRDefault="00722933">
            <w:pPr>
              <w:pStyle w:val="TableText"/>
              <w:jc w:val="right"/>
              <w:rPr>
                <w:b/>
                <w:bCs/>
                <w:i/>
                <w:iCs/>
              </w:rPr>
            </w:pPr>
            <w:r w:rsidRPr="00AC2BEC">
              <w:rPr>
                <w:b/>
              </w:rPr>
              <w:t xml:space="preserve">redacted </w:t>
            </w:r>
            <w:r w:rsidRPr="00AC2BEC">
              <w:rPr>
                <w:b/>
                <w:vertAlign w:val="superscript"/>
              </w:rPr>
              <w:t>4</w:t>
            </w:r>
          </w:p>
        </w:tc>
        <w:tc>
          <w:tcPr>
            <w:tcW w:w="584" w:type="pct"/>
            <w:noWrap/>
          </w:tcPr>
          <w:p w14:paraId="6473101F" w14:textId="13AE8137" w:rsidR="008442B9" w:rsidRPr="000150B9" w:rsidRDefault="00722933">
            <w:pPr>
              <w:pStyle w:val="TableText"/>
              <w:jc w:val="right"/>
              <w:rPr>
                <w:b/>
                <w:bCs/>
                <w:i/>
                <w:iCs/>
              </w:rPr>
            </w:pPr>
            <w:r w:rsidRPr="00AC2BEC">
              <w:rPr>
                <w:b/>
              </w:rPr>
              <w:t xml:space="preserve">redacted </w:t>
            </w:r>
            <w:r w:rsidRPr="00AC2BEC">
              <w:rPr>
                <w:b/>
                <w:vertAlign w:val="superscript"/>
              </w:rPr>
              <w:t>4</w:t>
            </w:r>
          </w:p>
        </w:tc>
        <w:tc>
          <w:tcPr>
            <w:tcW w:w="585" w:type="pct"/>
            <w:noWrap/>
          </w:tcPr>
          <w:p w14:paraId="2D3E570B" w14:textId="289FC8EA" w:rsidR="008442B9" w:rsidRPr="000150B9" w:rsidRDefault="00722933">
            <w:pPr>
              <w:pStyle w:val="TableText"/>
              <w:jc w:val="right"/>
              <w:rPr>
                <w:b/>
                <w:bCs/>
                <w:i/>
                <w:iCs/>
              </w:rPr>
            </w:pPr>
            <w:r w:rsidRPr="00AC2BEC">
              <w:rPr>
                <w:b/>
              </w:rPr>
              <w:t xml:space="preserve">redacted </w:t>
            </w:r>
            <w:r w:rsidRPr="00AC2BEC">
              <w:rPr>
                <w:b/>
                <w:vertAlign w:val="superscript"/>
              </w:rPr>
              <w:t>4</w:t>
            </w:r>
          </w:p>
        </w:tc>
        <w:tc>
          <w:tcPr>
            <w:tcW w:w="584" w:type="pct"/>
            <w:noWrap/>
          </w:tcPr>
          <w:p w14:paraId="4B9E1C69" w14:textId="14EB79C0" w:rsidR="008442B9" w:rsidRPr="000150B9" w:rsidRDefault="00722933">
            <w:pPr>
              <w:pStyle w:val="TableText"/>
              <w:jc w:val="right"/>
              <w:rPr>
                <w:b/>
                <w:bCs/>
                <w:i/>
                <w:iCs/>
              </w:rPr>
            </w:pPr>
            <w:r w:rsidRPr="00AC2BEC">
              <w:rPr>
                <w:b/>
              </w:rPr>
              <w:t xml:space="preserve">redacted </w:t>
            </w:r>
            <w:r w:rsidRPr="00AC2BEC">
              <w:rPr>
                <w:b/>
                <w:vertAlign w:val="superscript"/>
              </w:rPr>
              <w:t>4</w:t>
            </w:r>
          </w:p>
        </w:tc>
        <w:tc>
          <w:tcPr>
            <w:tcW w:w="585" w:type="pct"/>
            <w:noWrap/>
          </w:tcPr>
          <w:p w14:paraId="0BB4B2B4" w14:textId="2CF77CE2" w:rsidR="008442B9" w:rsidRPr="000150B9" w:rsidRDefault="00722933">
            <w:pPr>
              <w:pStyle w:val="TableText"/>
              <w:jc w:val="right"/>
              <w:rPr>
                <w:b/>
                <w:bCs/>
                <w:i/>
                <w:iCs/>
              </w:rPr>
            </w:pPr>
            <w:r w:rsidRPr="00AC2BEC">
              <w:rPr>
                <w:b/>
              </w:rPr>
              <w:t xml:space="preserve">redacted </w:t>
            </w:r>
            <w:r w:rsidRPr="00AC2BEC">
              <w:rPr>
                <w:b/>
                <w:vertAlign w:val="superscript"/>
              </w:rPr>
              <w:t>4</w:t>
            </w:r>
          </w:p>
        </w:tc>
      </w:tr>
    </w:tbl>
    <w:p w14:paraId="6566D84F" w14:textId="52C6ECE7" w:rsidR="008442B9" w:rsidRDefault="008442B9" w:rsidP="008442B9">
      <w:pPr>
        <w:pStyle w:val="TableFigureFooter"/>
      </w:pPr>
      <w:r>
        <w:t>Source: Constructed during the evaluation from the ‘Att_4.1_OlympiA UCM_AZ Resubmission_FINAL.xlsx’ file using estimates advised by the PBAC (paragraph 7.14, olaparib PSD, March 2023 PBAC meeting).</w:t>
      </w:r>
    </w:p>
    <w:p w14:paraId="5D347480" w14:textId="77777777" w:rsidR="00D8423B" w:rsidRDefault="00D8423B" w:rsidP="00D8423B">
      <w:pPr>
        <w:pStyle w:val="TableFigureFooter"/>
      </w:pPr>
      <w:r>
        <w:t>Note: Analyses are presented for each calendar year.</w:t>
      </w:r>
    </w:p>
    <w:p w14:paraId="1F05C896" w14:textId="182C0C82" w:rsidR="008442B9" w:rsidRDefault="008C513A" w:rsidP="008442B9">
      <w:pPr>
        <w:pStyle w:val="TableFigureFooter"/>
      </w:pPr>
      <w:r w:rsidRPr="000D659D">
        <w:rPr>
          <w:lang w:val="en-US"/>
        </w:rPr>
        <w:t>g</w:t>
      </w:r>
      <w:r w:rsidRPr="000D659D">
        <w:rPr>
          <w:i/>
          <w:iCs/>
          <w:lang w:val="en-US"/>
        </w:rPr>
        <w:t>BRCA</w:t>
      </w:r>
      <w:r w:rsidRPr="00487719">
        <w:t xml:space="preserve"> = germline </w:t>
      </w:r>
      <w:r w:rsidRPr="001B7AF2">
        <w:rPr>
          <w:i/>
          <w:iCs/>
        </w:rPr>
        <w:t>BReast CAncer</w:t>
      </w:r>
      <w:r w:rsidRPr="00487719">
        <w:t xml:space="preserve"> gene; </w:t>
      </w:r>
      <w:r w:rsidR="008442B9">
        <w:t>HER2 = human epidermal growth factor receptor 2; HR = hormone receptor; TNBC = triple negative breast cancer.</w:t>
      </w:r>
    </w:p>
    <w:p w14:paraId="4CC5028E" w14:textId="3E5A21F7" w:rsidR="00F44ADC" w:rsidRDefault="00F44ADC" w:rsidP="00F44ADC">
      <w:pPr>
        <w:pStyle w:val="TableFigureFooter"/>
        <w:rPr>
          <w:szCs w:val="18"/>
        </w:rPr>
      </w:pPr>
      <w:r>
        <w:rPr>
          <w:szCs w:val="18"/>
          <w:vertAlign w:val="superscript"/>
        </w:rPr>
        <w:t>1</w:t>
      </w:r>
      <w:r w:rsidRPr="00D42E47">
        <w:rPr>
          <w:szCs w:val="18"/>
        </w:rPr>
        <w:t xml:space="preserve"> </w:t>
      </w:r>
      <w:r w:rsidR="003963EA">
        <w:rPr>
          <w:szCs w:val="18"/>
        </w:rPr>
        <w:t xml:space="preserve">500 </w:t>
      </w:r>
      <w:r w:rsidRPr="00D42E47">
        <w:rPr>
          <w:szCs w:val="18"/>
        </w:rPr>
        <w:t xml:space="preserve">to &lt; </w:t>
      </w:r>
      <w:r w:rsidR="003963EA">
        <w:rPr>
          <w:szCs w:val="18"/>
        </w:rPr>
        <w:t>5</w:t>
      </w:r>
      <w:r w:rsidRPr="00D42E47">
        <w:rPr>
          <w:szCs w:val="18"/>
        </w:rPr>
        <w:t>000</w:t>
      </w:r>
    </w:p>
    <w:p w14:paraId="577D51E7" w14:textId="5156C2C0" w:rsidR="00F44ADC" w:rsidRDefault="00F44ADC" w:rsidP="00F44ADC">
      <w:pPr>
        <w:pStyle w:val="TableFigureFooter"/>
        <w:rPr>
          <w:szCs w:val="18"/>
        </w:rPr>
      </w:pPr>
      <w:r>
        <w:rPr>
          <w:szCs w:val="18"/>
          <w:vertAlign w:val="superscript"/>
        </w:rPr>
        <w:t>2</w:t>
      </w:r>
      <w:r w:rsidRPr="00D42E47">
        <w:rPr>
          <w:szCs w:val="18"/>
        </w:rPr>
        <w:t xml:space="preserve"> &lt; </w:t>
      </w:r>
      <w:r w:rsidR="00E1256E">
        <w:rPr>
          <w:szCs w:val="18"/>
        </w:rPr>
        <w:t>5</w:t>
      </w:r>
      <w:r w:rsidRPr="00D42E47">
        <w:rPr>
          <w:szCs w:val="18"/>
        </w:rPr>
        <w:t>00</w:t>
      </w:r>
    </w:p>
    <w:p w14:paraId="119EDCFA" w14:textId="4C937E2D" w:rsidR="007A4516" w:rsidRPr="00D42E47" w:rsidRDefault="007A4516" w:rsidP="007A4516">
      <w:pPr>
        <w:pStyle w:val="TableFigureFooter"/>
        <w:rPr>
          <w:szCs w:val="18"/>
        </w:rPr>
      </w:pPr>
      <w:r>
        <w:rPr>
          <w:szCs w:val="18"/>
          <w:vertAlign w:val="superscript"/>
        </w:rPr>
        <w:t>3</w:t>
      </w:r>
      <w:r w:rsidRPr="00D42E47">
        <w:rPr>
          <w:szCs w:val="18"/>
        </w:rPr>
        <w:t xml:space="preserve"> </w:t>
      </w:r>
      <w:r w:rsidR="00931EDD" w:rsidRPr="00931EDD">
        <w:rPr>
          <w:szCs w:val="18"/>
        </w:rPr>
        <w:t>5,000 to &lt; 10,000</w:t>
      </w:r>
    </w:p>
    <w:p w14:paraId="101E8BAA" w14:textId="14D75851" w:rsidR="00F44ADC" w:rsidRPr="00E454C1" w:rsidRDefault="005522BF" w:rsidP="008442B9">
      <w:pPr>
        <w:pStyle w:val="TableFigureFooter"/>
        <w:rPr>
          <w:szCs w:val="18"/>
        </w:rPr>
      </w:pPr>
      <w:r>
        <w:rPr>
          <w:szCs w:val="18"/>
          <w:vertAlign w:val="superscript"/>
        </w:rPr>
        <w:t>4</w:t>
      </w:r>
      <w:r w:rsidRPr="00D42E47">
        <w:rPr>
          <w:szCs w:val="18"/>
        </w:rPr>
        <w:t xml:space="preserve"> </w:t>
      </w:r>
      <w:r w:rsidR="00722933" w:rsidRPr="00722933">
        <w:rPr>
          <w:szCs w:val="18"/>
        </w:rPr>
        <w:t>$0 to &lt; $10 million</w:t>
      </w:r>
    </w:p>
    <w:p w14:paraId="0F7D6E35" w14:textId="5929E5CB" w:rsidR="00051C04" w:rsidRDefault="00051C04" w:rsidP="00051C04">
      <w:pPr>
        <w:rPr>
          <w:i/>
          <w:iCs/>
        </w:rPr>
      </w:pPr>
      <w:r>
        <w:t xml:space="preserve">No sensitivity analyses were presented in the resubmission, as the main source of uncertainty had been identified in the previous submission and were considered to be addressed. </w:t>
      </w:r>
      <w:r w:rsidRPr="00A212F0">
        <w:rPr>
          <w:i/>
          <w:iCs/>
        </w:rPr>
        <w:t>Th</w:t>
      </w:r>
      <w:r w:rsidR="005535B4">
        <w:rPr>
          <w:i/>
          <w:iCs/>
        </w:rPr>
        <w:t>e commentary considered that th</w:t>
      </w:r>
      <w:r w:rsidRPr="00A212F0">
        <w:rPr>
          <w:i/>
          <w:iCs/>
        </w:rPr>
        <w:t xml:space="preserve">is was not reasonable as the resubmission had not adhered to all of the recommendations made by the PBAC previously regarding </w:t>
      </w:r>
      <w:r w:rsidR="009D6558" w:rsidRPr="009D6558">
        <w:rPr>
          <w:i/>
        </w:rPr>
        <w:t>g</w:t>
      </w:r>
      <w:r w:rsidR="00A96FCF" w:rsidRPr="00A96FCF">
        <w:rPr>
          <w:i/>
          <w:iCs/>
        </w:rPr>
        <w:t>BRCA</w:t>
      </w:r>
      <w:r w:rsidR="009D6558" w:rsidRPr="00D1522E">
        <w:rPr>
          <w:i/>
        </w:rPr>
        <w:t xml:space="preserve"> </w:t>
      </w:r>
      <w:r w:rsidRPr="00A212F0">
        <w:rPr>
          <w:i/>
          <w:iCs/>
        </w:rPr>
        <w:t>testing uptake and the proportion of patients considered to have a high risk of recurrence.</w:t>
      </w:r>
    </w:p>
    <w:p w14:paraId="3DC6194B" w14:textId="37618978" w:rsidR="00273EFC" w:rsidRPr="00373324" w:rsidRDefault="00273EFC" w:rsidP="00051C04">
      <w:pPr>
        <w:rPr>
          <w:i/>
          <w:iCs/>
        </w:rPr>
      </w:pPr>
      <w:r w:rsidRPr="000E600F">
        <w:t>Additional analyses were conducted during the evaluation exploring the effect of decreasing the schedule fee and testing only those patients who would otherwise meet the criteria for olaparib treatment</w:t>
      </w:r>
      <w:r w:rsidR="002C49EA" w:rsidRPr="000E600F">
        <w:t xml:space="preserve"> (</w:t>
      </w:r>
      <w:r w:rsidR="002C49EA" w:rsidRPr="000E600F">
        <w:fldChar w:fldCharType="begin"/>
      </w:r>
      <w:r w:rsidR="002C49EA" w:rsidRPr="000E600F">
        <w:instrText xml:space="preserve"> REF _Ref144799122 \h </w:instrText>
      </w:r>
      <w:r w:rsidR="00801346">
        <w:instrText xml:space="preserve"> \* MERGEFORMAT </w:instrText>
      </w:r>
      <w:r w:rsidR="002C49EA" w:rsidRPr="000E600F">
        <w:fldChar w:fldCharType="separate"/>
      </w:r>
      <w:r w:rsidR="00D8423B" w:rsidRPr="000E600F">
        <w:t>Table </w:t>
      </w:r>
      <w:r w:rsidR="00D8423B" w:rsidRPr="000E600F">
        <w:rPr>
          <w:noProof/>
        </w:rPr>
        <w:t>17</w:t>
      </w:r>
      <w:r w:rsidR="002C49EA" w:rsidRPr="000E600F">
        <w:fldChar w:fldCharType="end"/>
      </w:r>
      <w:r w:rsidR="002C49EA" w:rsidRPr="000E600F">
        <w:t>)</w:t>
      </w:r>
      <w:r w:rsidRPr="000E600F">
        <w:t>.</w:t>
      </w:r>
      <w:r w:rsidR="00F36528" w:rsidRPr="000E600F">
        <w:t xml:space="preserve"> </w:t>
      </w:r>
      <w:r w:rsidR="00373324" w:rsidRPr="000E600F">
        <w:t>These have only been explored using the resubmission’s estimates of uptake of g</w:t>
      </w:r>
      <w:r w:rsidR="00A96FCF" w:rsidRPr="00A96FCF">
        <w:rPr>
          <w:i/>
          <w:iCs/>
        </w:rPr>
        <w:t>BRCA</w:t>
      </w:r>
      <w:r w:rsidR="00373324" w:rsidRPr="000E600F">
        <w:t xml:space="preserve"> testing, as </w:t>
      </w:r>
      <w:r w:rsidR="005535B4" w:rsidRPr="000E600F">
        <w:t xml:space="preserve">the commentary considered that </w:t>
      </w:r>
      <w:r w:rsidR="00373324" w:rsidRPr="000E600F">
        <w:t>estimates advised by the PBAC may have limited applicability in the narrower population</w:t>
      </w:r>
      <w:r w:rsidR="00373324">
        <w:rPr>
          <w:i/>
          <w:iCs/>
        </w:rPr>
        <w:t>.</w:t>
      </w:r>
    </w:p>
    <w:p w14:paraId="43A8888E" w14:textId="1FB45A2A" w:rsidR="00273EFC" w:rsidRDefault="00F36528" w:rsidP="00273EFC">
      <w:pPr>
        <w:pStyle w:val="Caption"/>
      </w:pPr>
      <w:bookmarkStart w:id="52" w:name="_Ref144799122"/>
      <w:r w:rsidRPr="000E600F">
        <w:t>Table </w:t>
      </w:r>
      <w:r w:rsidR="001947BE">
        <w:fldChar w:fldCharType="begin"/>
      </w:r>
      <w:r w:rsidR="001947BE">
        <w:instrText xml:space="preserve"> SEQ Table \* ARABIC </w:instrText>
      </w:r>
      <w:r w:rsidR="001947BE">
        <w:fldChar w:fldCharType="separate"/>
      </w:r>
      <w:r w:rsidR="00D8423B" w:rsidRPr="000E600F">
        <w:t>17</w:t>
      </w:r>
      <w:r w:rsidR="001947BE">
        <w:fldChar w:fldCharType="end"/>
      </w:r>
      <w:bookmarkEnd w:id="52"/>
      <w:r w:rsidRPr="000E600F">
        <w:tab/>
        <w:t>Sensitivity analyses conducted during the evaluation</w:t>
      </w:r>
    </w:p>
    <w:tbl>
      <w:tblPr>
        <w:tblStyle w:val="TableGrid"/>
        <w:tblW w:w="0" w:type="auto"/>
        <w:tblLayout w:type="fixed"/>
        <w:tblLook w:val="04A0" w:firstRow="1" w:lastRow="0" w:firstColumn="1" w:lastColumn="0" w:noHBand="0" w:noVBand="1"/>
      </w:tblPr>
      <w:tblGrid>
        <w:gridCol w:w="2547"/>
        <w:gridCol w:w="1078"/>
        <w:gridCol w:w="1078"/>
        <w:gridCol w:w="1078"/>
        <w:gridCol w:w="1078"/>
        <w:gridCol w:w="1078"/>
        <w:gridCol w:w="1079"/>
      </w:tblGrid>
      <w:tr w:rsidR="00273EFC" w14:paraId="5A787352" w14:textId="77777777" w:rsidTr="00273EFC">
        <w:tc>
          <w:tcPr>
            <w:tcW w:w="2547" w:type="dxa"/>
          </w:tcPr>
          <w:p w14:paraId="26F892E0" w14:textId="77777777" w:rsidR="00273EFC" w:rsidRDefault="00273EFC" w:rsidP="00273EFC">
            <w:pPr>
              <w:pStyle w:val="In-tableHeading"/>
            </w:pPr>
          </w:p>
        </w:tc>
        <w:tc>
          <w:tcPr>
            <w:tcW w:w="1078" w:type="dxa"/>
          </w:tcPr>
          <w:p w14:paraId="29275A64" w14:textId="5321E9B5" w:rsidR="00273EFC" w:rsidRDefault="00273EFC" w:rsidP="003025A9">
            <w:pPr>
              <w:pStyle w:val="In-tableHeading"/>
              <w:jc w:val="center"/>
            </w:pPr>
            <w:r w:rsidRPr="00A15780">
              <w:t>2024</w:t>
            </w:r>
          </w:p>
        </w:tc>
        <w:tc>
          <w:tcPr>
            <w:tcW w:w="1078" w:type="dxa"/>
          </w:tcPr>
          <w:p w14:paraId="65C37EF3" w14:textId="570FAEA0" w:rsidR="00273EFC" w:rsidRDefault="00273EFC" w:rsidP="003025A9">
            <w:pPr>
              <w:pStyle w:val="In-tableHeading"/>
              <w:jc w:val="center"/>
            </w:pPr>
            <w:r w:rsidRPr="00A15780">
              <w:t>2025</w:t>
            </w:r>
          </w:p>
        </w:tc>
        <w:tc>
          <w:tcPr>
            <w:tcW w:w="1078" w:type="dxa"/>
          </w:tcPr>
          <w:p w14:paraId="17EA1B34" w14:textId="0FAB2338" w:rsidR="00273EFC" w:rsidRDefault="00273EFC" w:rsidP="003025A9">
            <w:pPr>
              <w:pStyle w:val="In-tableHeading"/>
              <w:jc w:val="center"/>
            </w:pPr>
            <w:r w:rsidRPr="00A15780">
              <w:t>2026</w:t>
            </w:r>
          </w:p>
        </w:tc>
        <w:tc>
          <w:tcPr>
            <w:tcW w:w="1078" w:type="dxa"/>
          </w:tcPr>
          <w:p w14:paraId="0B225516" w14:textId="3372CED2" w:rsidR="00273EFC" w:rsidRDefault="00273EFC" w:rsidP="003025A9">
            <w:pPr>
              <w:pStyle w:val="In-tableHeading"/>
              <w:jc w:val="center"/>
            </w:pPr>
            <w:r w:rsidRPr="00A15780">
              <w:t>2027</w:t>
            </w:r>
          </w:p>
        </w:tc>
        <w:tc>
          <w:tcPr>
            <w:tcW w:w="1078" w:type="dxa"/>
          </w:tcPr>
          <w:p w14:paraId="3F26F380" w14:textId="56751FF6" w:rsidR="00273EFC" w:rsidRDefault="00273EFC" w:rsidP="003025A9">
            <w:pPr>
              <w:pStyle w:val="In-tableHeading"/>
              <w:jc w:val="center"/>
            </w:pPr>
            <w:r w:rsidRPr="00A15780">
              <w:t>2028</w:t>
            </w:r>
          </w:p>
        </w:tc>
        <w:tc>
          <w:tcPr>
            <w:tcW w:w="1079" w:type="dxa"/>
          </w:tcPr>
          <w:p w14:paraId="54584C6A" w14:textId="6657F9C1" w:rsidR="00273EFC" w:rsidRDefault="00273EFC" w:rsidP="003025A9">
            <w:pPr>
              <w:pStyle w:val="In-tableHeading"/>
              <w:jc w:val="center"/>
            </w:pPr>
            <w:r w:rsidRPr="00A15780">
              <w:t>2029</w:t>
            </w:r>
          </w:p>
        </w:tc>
      </w:tr>
      <w:tr w:rsidR="00273EFC" w:rsidRPr="00273EFC" w14:paraId="1EDC737D" w14:textId="77777777" w:rsidTr="00273EFC">
        <w:tc>
          <w:tcPr>
            <w:tcW w:w="2547" w:type="dxa"/>
          </w:tcPr>
          <w:p w14:paraId="59ECF172" w14:textId="7146207F" w:rsidR="00273EFC" w:rsidRPr="000E600F" w:rsidRDefault="003025A9" w:rsidP="00273EFC">
            <w:pPr>
              <w:pStyle w:val="TableText"/>
              <w:rPr>
                <w:b/>
              </w:rPr>
            </w:pPr>
            <w:r w:rsidRPr="000E600F">
              <w:rPr>
                <w:b/>
              </w:rPr>
              <w:t>Net cost to the MBS (revised)</w:t>
            </w:r>
          </w:p>
        </w:tc>
        <w:tc>
          <w:tcPr>
            <w:tcW w:w="1078" w:type="dxa"/>
          </w:tcPr>
          <w:p w14:paraId="71F78864" w14:textId="2D7EADEA" w:rsidR="00273EFC" w:rsidRPr="000E600F" w:rsidRDefault="00275FCD" w:rsidP="00273EFC">
            <w:pPr>
              <w:pStyle w:val="TableText"/>
              <w:jc w:val="right"/>
              <w:rPr>
                <w:b/>
              </w:rPr>
            </w:pPr>
            <w:r>
              <w:rPr>
                <w:b/>
              </w:rPr>
              <w:t>redacted</w:t>
            </w:r>
            <w:r w:rsidR="00641001" w:rsidRPr="00771162">
              <w:rPr>
                <w:b/>
                <w:vertAlign w:val="superscript"/>
              </w:rPr>
              <w:t>1</w:t>
            </w:r>
          </w:p>
        </w:tc>
        <w:tc>
          <w:tcPr>
            <w:tcW w:w="1078" w:type="dxa"/>
          </w:tcPr>
          <w:p w14:paraId="40384656" w14:textId="6FE2AC3E" w:rsidR="00273EFC" w:rsidRPr="000E600F" w:rsidRDefault="00275FCD" w:rsidP="00273EFC">
            <w:pPr>
              <w:pStyle w:val="TableText"/>
              <w:jc w:val="right"/>
              <w:rPr>
                <w:b/>
              </w:rPr>
            </w:pPr>
            <w:r>
              <w:rPr>
                <w:b/>
              </w:rPr>
              <w:t>redacted</w:t>
            </w:r>
            <w:r w:rsidRPr="00AC2BEC">
              <w:rPr>
                <w:b/>
                <w:vertAlign w:val="superscript"/>
              </w:rPr>
              <w:t>1</w:t>
            </w:r>
          </w:p>
        </w:tc>
        <w:tc>
          <w:tcPr>
            <w:tcW w:w="1078" w:type="dxa"/>
          </w:tcPr>
          <w:p w14:paraId="49EF1B32" w14:textId="65F6B63D" w:rsidR="00273EFC" w:rsidRPr="000E600F" w:rsidRDefault="00275FCD" w:rsidP="00273EFC">
            <w:pPr>
              <w:pStyle w:val="TableText"/>
              <w:jc w:val="right"/>
              <w:rPr>
                <w:b/>
              </w:rPr>
            </w:pPr>
            <w:r>
              <w:rPr>
                <w:b/>
              </w:rPr>
              <w:t>redacted</w:t>
            </w:r>
            <w:r w:rsidRPr="00AC2BEC">
              <w:rPr>
                <w:b/>
                <w:vertAlign w:val="superscript"/>
              </w:rPr>
              <w:t>1</w:t>
            </w:r>
          </w:p>
        </w:tc>
        <w:tc>
          <w:tcPr>
            <w:tcW w:w="1078" w:type="dxa"/>
          </w:tcPr>
          <w:p w14:paraId="74F331B7" w14:textId="44BA3BC5" w:rsidR="00273EFC" w:rsidRPr="000E600F" w:rsidRDefault="00275FCD" w:rsidP="00273EFC">
            <w:pPr>
              <w:pStyle w:val="TableText"/>
              <w:jc w:val="right"/>
              <w:rPr>
                <w:b/>
              </w:rPr>
            </w:pPr>
            <w:r>
              <w:rPr>
                <w:b/>
              </w:rPr>
              <w:t>redacted</w:t>
            </w:r>
            <w:r w:rsidRPr="00AC2BEC">
              <w:rPr>
                <w:b/>
                <w:vertAlign w:val="superscript"/>
              </w:rPr>
              <w:t>1</w:t>
            </w:r>
          </w:p>
        </w:tc>
        <w:tc>
          <w:tcPr>
            <w:tcW w:w="1078" w:type="dxa"/>
          </w:tcPr>
          <w:p w14:paraId="30C7308B" w14:textId="3793C6D7" w:rsidR="00273EFC" w:rsidRPr="000E600F" w:rsidRDefault="00275FCD" w:rsidP="00273EFC">
            <w:pPr>
              <w:pStyle w:val="TableText"/>
              <w:jc w:val="right"/>
              <w:rPr>
                <w:b/>
              </w:rPr>
            </w:pPr>
            <w:r>
              <w:rPr>
                <w:b/>
              </w:rPr>
              <w:t>redacted</w:t>
            </w:r>
            <w:r w:rsidRPr="00AC2BEC">
              <w:rPr>
                <w:b/>
                <w:vertAlign w:val="superscript"/>
              </w:rPr>
              <w:t>1</w:t>
            </w:r>
          </w:p>
        </w:tc>
        <w:tc>
          <w:tcPr>
            <w:tcW w:w="1079" w:type="dxa"/>
          </w:tcPr>
          <w:p w14:paraId="649E1019" w14:textId="17EDDF28" w:rsidR="00273EFC" w:rsidRPr="000E600F" w:rsidRDefault="00275FCD" w:rsidP="00273EFC">
            <w:pPr>
              <w:pStyle w:val="TableText"/>
              <w:jc w:val="right"/>
              <w:rPr>
                <w:b/>
              </w:rPr>
            </w:pPr>
            <w:r>
              <w:rPr>
                <w:b/>
              </w:rPr>
              <w:t xml:space="preserve"> redacted</w:t>
            </w:r>
            <w:r w:rsidRPr="00AC2BEC">
              <w:rPr>
                <w:b/>
                <w:vertAlign w:val="superscript"/>
              </w:rPr>
              <w:t>1</w:t>
            </w:r>
          </w:p>
        </w:tc>
      </w:tr>
      <w:tr w:rsidR="00273EFC" w14:paraId="525399E9" w14:textId="77777777" w:rsidTr="00273EFC">
        <w:tc>
          <w:tcPr>
            <w:tcW w:w="2547" w:type="dxa"/>
          </w:tcPr>
          <w:p w14:paraId="0A47452D" w14:textId="0F586BC6" w:rsidR="00273EFC" w:rsidRPr="000E600F" w:rsidRDefault="00FB1EC6" w:rsidP="00273EFC">
            <w:pPr>
              <w:pStyle w:val="TableText"/>
            </w:pPr>
            <w:r w:rsidRPr="000E600F">
              <w:t>Schedule fee</w:t>
            </w:r>
            <w:r w:rsidR="00273EFC" w:rsidRPr="000E600F">
              <w:t>, $1</w:t>
            </w:r>
            <w:r w:rsidRPr="000E600F">
              <w:t>,</w:t>
            </w:r>
            <w:r w:rsidR="00273EFC" w:rsidRPr="000E600F">
              <w:t>000</w:t>
            </w:r>
          </w:p>
        </w:tc>
        <w:tc>
          <w:tcPr>
            <w:tcW w:w="1078" w:type="dxa"/>
          </w:tcPr>
          <w:p w14:paraId="6B357CC0" w14:textId="1B96B157" w:rsidR="00273EFC" w:rsidRPr="000E600F" w:rsidRDefault="00275FCD" w:rsidP="00273EFC">
            <w:pPr>
              <w:pStyle w:val="TableText"/>
              <w:jc w:val="right"/>
            </w:pPr>
            <w:r>
              <w:rPr>
                <w:b/>
              </w:rPr>
              <w:t>redacted</w:t>
            </w:r>
            <w:r w:rsidRPr="00AC2BEC">
              <w:rPr>
                <w:b/>
                <w:vertAlign w:val="superscript"/>
              </w:rPr>
              <w:t>1</w:t>
            </w:r>
          </w:p>
        </w:tc>
        <w:tc>
          <w:tcPr>
            <w:tcW w:w="1078" w:type="dxa"/>
          </w:tcPr>
          <w:p w14:paraId="7DFFD4CC" w14:textId="7F1E05BB" w:rsidR="00273EFC" w:rsidRPr="000E600F" w:rsidRDefault="00275FCD" w:rsidP="00273EFC">
            <w:pPr>
              <w:pStyle w:val="TableText"/>
              <w:jc w:val="right"/>
            </w:pPr>
            <w:r>
              <w:rPr>
                <w:b/>
              </w:rPr>
              <w:t>redacted</w:t>
            </w:r>
            <w:r w:rsidRPr="00AC2BEC">
              <w:rPr>
                <w:b/>
                <w:vertAlign w:val="superscript"/>
              </w:rPr>
              <w:t>1</w:t>
            </w:r>
          </w:p>
        </w:tc>
        <w:tc>
          <w:tcPr>
            <w:tcW w:w="1078" w:type="dxa"/>
          </w:tcPr>
          <w:p w14:paraId="5A938A79" w14:textId="3DCEE0CD" w:rsidR="00273EFC" w:rsidRPr="000E600F" w:rsidRDefault="00275FCD" w:rsidP="00273EFC">
            <w:pPr>
              <w:pStyle w:val="TableText"/>
              <w:jc w:val="right"/>
            </w:pPr>
            <w:r>
              <w:rPr>
                <w:b/>
              </w:rPr>
              <w:t>redacted</w:t>
            </w:r>
            <w:r w:rsidRPr="00AC2BEC">
              <w:rPr>
                <w:b/>
                <w:vertAlign w:val="superscript"/>
              </w:rPr>
              <w:t>1</w:t>
            </w:r>
          </w:p>
        </w:tc>
        <w:tc>
          <w:tcPr>
            <w:tcW w:w="1078" w:type="dxa"/>
          </w:tcPr>
          <w:p w14:paraId="6934213E" w14:textId="4492FAB4" w:rsidR="00273EFC" w:rsidRPr="000E600F" w:rsidRDefault="00275FCD" w:rsidP="00273EFC">
            <w:pPr>
              <w:pStyle w:val="TableText"/>
              <w:jc w:val="right"/>
            </w:pPr>
            <w:r>
              <w:rPr>
                <w:b/>
              </w:rPr>
              <w:t>redacted</w:t>
            </w:r>
            <w:r w:rsidRPr="00AC2BEC">
              <w:rPr>
                <w:b/>
                <w:vertAlign w:val="superscript"/>
              </w:rPr>
              <w:t>1</w:t>
            </w:r>
          </w:p>
        </w:tc>
        <w:tc>
          <w:tcPr>
            <w:tcW w:w="1078" w:type="dxa"/>
          </w:tcPr>
          <w:p w14:paraId="0FEC26D6" w14:textId="55A8AA40" w:rsidR="00273EFC" w:rsidRPr="000E600F" w:rsidRDefault="00275FCD" w:rsidP="00273EFC">
            <w:pPr>
              <w:pStyle w:val="TableText"/>
              <w:jc w:val="right"/>
            </w:pPr>
            <w:r>
              <w:rPr>
                <w:b/>
              </w:rPr>
              <w:t>redacted</w:t>
            </w:r>
            <w:r w:rsidRPr="00AC2BEC">
              <w:rPr>
                <w:b/>
                <w:vertAlign w:val="superscript"/>
              </w:rPr>
              <w:t>1</w:t>
            </w:r>
          </w:p>
        </w:tc>
        <w:tc>
          <w:tcPr>
            <w:tcW w:w="1079" w:type="dxa"/>
          </w:tcPr>
          <w:p w14:paraId="719A9503" w14:textId="63AD8DDF" w:rsidR="00273EFC" w:rsidRPr="000E600F" w:rsidRDefault="00275FCD" w:rsidP="00273EFC">
            <w:pPr>
              <w:pStyle w:val="TableText"/>
              <w:jc w:val="right"/>
            </w:pPr>
            <w:r>
              <w:rPr>
                <w:b/>
              </w:rPr>
              <w:t>redacted</w:t>
            </w:r>
            <w:r w:rsidRPr="00AC2BEC">
              <w:rPr>
                <w:b/>
                <w:vertAlign w:val="superscript"/>
              </w:rPr>
              <w:t>1</w:t>
            </w:r>
          </w:p>
        </w:tc>
      </w:tr>
      <w:tr w:rsidR="00273EFC" w14:paraId="26F08217" w14:textId="77777777" w:rsidTr="00273EFC">
        <w:tc>
          <w:tcPr>
            <w:tcW w:w="2547" w:type="dxa"/>
            <w:tcBorders>
              <w:bottom w:val="single" w:sz="4" w:space="0" w:color="auto"/>
            </w:tcBorders>
          </w:tcPr>
          <w:p w14:paraId="6C44695E" w14:textId="307C406E" w:rsidR="00273EFC" w:rsidRPr="000E600F" w:rsidRDefault="00273EFC" w:rsidP="00273EFC">
            <w:pPr>
              <w:pStyle w:val="TableText"/>
            </w:pPr>
            <w:r w:rsidRPr="000E600F">
              <w:t xml:space="preserve">Testing </w:t>
            </w:r>
            <w:r w:rsidR="00FB1EC6" w:rsidRPr="000E600F">
              <w:t xml:space="preserve">only </w:t>
            </w:r>
            <w:r w:rsidRPr="000E600F">
              <w:t xml:space="preserve">in patients who have a high-risk of recurrence </w:t>
            </w:r>
            <w:r w:rsidRPr="000E600F">
              <w:br/>
              <w:t>(i.e. at time of treatment)</w:t>
            </w:r>
          </w:p>
        </w:tc>
        <w:tc>
          <w:tcPr>
            <w:tcW w:w="1078" w:type="dxa"/>
            <w:tcBorders>
              <w:bottom w:val="single" w:sz="4" w:space="0" w:color="auto"/>
            </w:tcBorders>
          </w:tcPr>
          <w:p w14:paraId="178B204E" w14:textId="14288B57" w:rsidR="00273EFC" w:rsidRPr="000E600F" w:rsidRDefault="00275FCD" w:rsidP="00273EFC">
            <w:pPr>
              <w:pStyle w:val="TableText"/>
              <w:jc w:val="right"/>
            </w:pPr>
            <w:r>
              <w:rPr>
                <w:b/>
              </w:rPr>
              <w:t>redacted</w:t>
            </w:r>
            <w:r w:rsidRPr="00AC2BEC">
              <w:rPr>
                <w:b/>
                <w:vertAlign w:val="superscript"/>
              </w:rPr>
              <w:t>1</w:t>
            </w:r>
          </w:p>
        </w:tc>
        <w:tc>
          <w:tcPr>
            <w:tcW w:w="1078" w:type="dxa"/>
            <w:tcBorders>
              <w:bottom w:val="single" w:sz="4" w:space="0" w:color="auto"/>
            </w:tcBorders>
          </w:tcPr>
          <w:p w14:paraId="4F630C34" w14:textId="72764E96" w:rsidR="00273EFC" w:rsidRPr="000E600F" w:rsidRDefault="00275FCD" w:rsidP="00273EFC">
            <w:pPr>
              <w:pStyle w:val="TableText"/>
              <w:jc w:val="right"/>
            </w:pPr>
            <w:r>
              <w:rPr>
                <w:b/>
              </w:rPr>
              <w:t>redacted</w:t>
            </w:r>
            <w:r w:rsidRPr="00AC2BEC">
              <w:rPr>
                <w:b/>
                <w:vertAlign w:val="superscript"/>
              </w:rPr>
              <w:t>1</w:t>
            </w:r>
          </w:p>
        </w:tc>
        <w:tc>
          <w:tcPr>
            <w:tcW w:w="1078" w:type="dxa"/>
            <w:tcBorders>
              <w:bottom w:val="single" w:sz="4" w:space="0" w:color="auto"/>
            </w:tcBorders>
          </w:tcPr>
          <w:p w14:paraId="25D805C0" w14:textId="3FB1C35C" w:rsidR="00273EFC" w:rsidRPr="000E600F" w:rsidRDefault="00275FCD" w:rsidP="00273EFC">
            <w:pPr>
              <w:pStyle w:val="TableText"/>
              <w:jc w:val="right"/>
            </w:pPr>
            <w:r>
              <w:rPr>
                <w:b/>
              </w:rPr>
              <w:t>redacted</w:t>
            </w:r>
            <w:r w:rsidRPr="00AC2BEC">
              <w:rPr>
                <w:b/>
                <w:vertAlign w:val="superscript"/>
              </w:rPr>
              <w:t>1</w:t>
            </w:r>
          </w:p>
        </w:tc>
        <w:tc>
          <w:tcPr>
            <w:tcW w:w="1078" w:type="dxa"/>
            <w:tcBorders>
              <w:bottom w:val="single" w:sz="4" w:space="0" w:color="auto"/>
            </w:tcBorders>
          </w:tcPr>
          <w:p w14:paraId="6B616EF0" w14:textId="21A0656F" w:rsidR="00273EFC" w:rsidRPr="000E600F" w:rsidRDefault="00275FCD" w:rsidP="00273EFC">
            <w:pPr>
              <w:pStyle w:val="TableText"/>
              <w:jc w:val="right"/>
            </w:pPr>
            <w:r>
              <w:rPr>
                <w:b/>
              </w:rPr>
              <w:t>redacted</w:t>
            </w:r>
            <w:r w:rsidRPr="00AC2BEC">
              <w:rPr>
                <w:b/>
                <w:vertAlign w:val="superscript"/>
              </w:rPr>
              <w:t>1</w:t>
            </w:r>
          </w:p>
        </w:tc>
        <w:tc>
          <w:tcPr>
            <w:tcW w:w="1078" w:type="dxa"/>
            <w:tcBorders>
              <w:bottom w:val="single" w:sz="4" w:space="0" w:color="auto"/>
            </w:tcBorders>
          </w:tcPr>
          <w:p w14:paraId="13E9E560" w14:textId="216011F7" w:rsidR="00273EFC" w:rsidRPr="000E600F" w:rsidRDefault="00275FCD" w:rsidP="00273EFC">
            <w:pPr>
              <w:pStyle w:val="TableText"/>
              <w:jc w:val="right"/>
            </w:pPr>
            <w:r>
              <w:rPr>
                <w:b/>
              </w:rPr>
              <w:t>redacted</w:t>
            </w:r>
            <w:r w:rsidRPr="00AC2BEC">
              <w:rPr>
                <w:b/>
                <w:vertAlign w:val="superscript"/>
              </w:rPr>
              <w:t>1</w:t>
            </w:r>
          </w:p>
        </w:tc>
        <w:tc>
          <w:tcPr>
            <w:tcW w:w="1079" w:type="dxa"/>
            <w:tcBorders>
              <w:bottom w:val="single" w:sz="4" w:space="0" w:color="auto"/>
            </w:tcBorders>
          </w:tcPr>
          <w:p w14:paraId="0F1154D7" w14:textId="322DDE8A" w:rsidR="00273EFC" w:rsidRPr="000E600F" w:rsidRDefault="00275FCD" w:rsidP="00273EFC">
            <w:pPr>
              <w:pStyle w:val="TableText"/>
              <w:jc w:val="right"/>
            </w:pPr>
            <w:r>
              <w:rPr>
                <w:b/>
              </w:rPr>
              <w:t>redacted</w:t>
            </w:r>
            <w:r w:rsidRPr="00AC2BEC">
              <w:rPr>
                <w:b/>
                <w:vertAlign w:val="superscript"/>
              </w:rPr>
              <w:t>1</w:t>
            </w:r>
          </w:p>
        </w:tc>
      </w:tr>
    </w:tbl>
    <w:p w14:paraId="049EAAF3" w14:textId="7FFC10C1" w:rsidR="00273EFC" w:rsidRDefault="00F36528" w:rsidP="00273EFC">
      <w:pPr>
        <w:pStyle w:val="TableFigureFooter"/>
      </w:pPr>
      <w:r w:rsidRPr="008442B9">
        <w:t>Source: Constructed during the evaluation from the ‘Att_4.1_OlympiA UCM_AZ Resubmission_FINAL.xlsx’ file included in the resubmission.</w:t>
      </w:r>
    </w:p>
    <w:p w14:paraId="7C1E3E31" w14:textId="77777777" w:rsidR="00D8423B" w:rsidRDefault="00D8423B" w:rsidP="00D8423B">
      <w:pPr>
        <w:pStyle w:val="TableFigureFooter"/>
      </w:pPr>
      <w:r>
        <w:t>Note: Analyses are presented for each calendar year.</w:t>
      </w:r>
    </w:p>
    <w:p w14:paraId="12710456" w14:textId="2463CCE1" w:rsidR="00641001" w:rsidRPr="00E454C1" w:rsidRDefault="00641001" w:rsidP="00D8423B">
      <w:pPr>
        <w:pStyle w:val="TableFigureFooter"/>
        <w:rPr>
          <w:szCs w:val="18"/>
        </w:rPr>
      </w:pPr>
      <w:r>
        <w:rPr>
          <w:szCs w:val="18"/>
          <w:vertAlign w:val="superscript"/>
        </w:rPr>
        <w:t>1</w:t>
      </w:r>
      <w:r>
        <w:rPr>
          <w:szCs w:val="18"/>
        </w:rPr>
        <w:t xml:space="preserve"> </w:t>
      </w:r>
      <w:r w:rsidR="00275FCD" w:rsidRPr="00722933">
        <w:rPr>
          <w:szCs w:val="18"/>
        </w:rPr>
        <w:t>$0 to &lt; $10 million</w:t>
      </w:r>
    </w:p>
    <w:p w14:paraId="7817BF7F" w14:textId="782280BF" w:rsidR="0007780B" w:rsidRPr="000E600F" w:rsidRDefault="005535B4" w:rsidP="0007780B">
      <w:r w:rsidRPr="000E600F">
        <w:t>The commentary considered that w</w:t>
      </w:r>
      <w:r w:rsidR="0007780B" w:rsidRPr="000E600F">
        <w:t>hile restricting testing to better align with the population eligible for treatment does reduce the financial impact to the MBS, this may be associated with delays in the initiation of olaparib treatment and other foregone benefits resulting from the identification of g</w:t>
      </w:r>
      <w:r w:rsidR="00A96FCF" w:rsidRPr="00A96FCF">
        <w:rPr>
          <w:i/>
          <w:iCs/>
        </w:rPr>
        <w:t>BRCA</w:t>
      </w:r>
      <w:r w:rsidR="0007780B" w:rsidRPr="000E600F">
        <w:t xml:space="preserve"> variants.</w:t>
      </w:r>
    </w:p>
    <w:p w14:paraId="7838A9FF" w14:textId="0620AA76" w:rsidR="00772829" w:rsidRPr="00CE28E3" w:rsidRDefault="00C36633" w:rsidP="002A18BE">
      <w:pPr>
        <w:pStyle w:val="Heading2"/>
        <w:numPr>
          <w:ilvl w:val="0"/>
          <w:numId w:val="0"/>
        </w:numPr>
      </w:pPr>
      <w:bookmarkStart w:id="53" w:name="_Toc69491427"/>
      <w:r>
        <w:t>1</w:t>
      </w:r>
      <w:r w:rsidR="00CB5FB7">
        <w:t>5</w:t>
      </w:r>
      <w:r>
        <w:t>.</w:t>
      </w:r>
      <w:r>
        <w:tab/>
      </w:r>
      <w:r w:rsidR="00772829" w:rsidRPr="00CE28E3">
        <w:t xml:space="preserve">Other relevant </w:t>
      </w:r>
      <w:bookmarkEnd w:id="53"/>
      <w:r w:rsidR="00FA5766">
        <w:t>information</w:t>
      </w:r>
    </w:p>
    <w:p w14:paraId="48121C60" w14:textId="77777777" w:rsidR="008220B1" w:rsidRPr="00CE28E3" w:rsidRDefault="008220B1" w:rsidP="008220B1">
      <w:bookmarkStart w:id="54" w:name="_Toc69491428"/>
      <w:r>
        <w:t>Nil</w:t>
      </w:r>
    </w:p>
    <w:bookmarkEnd w:id="54"/>
    <w:p w14:paraId="6DBE4FCD" w14:textId="77777777" w:rsidR="00CB5FB7" w:rsidRDefault="00CB5FB7" w:rsidP="00CB5FB7">
      <w:pPr>
        <w:pStyle w:val="Heading2"/>
        <w:numPr>
          <w:ilvl w:val="0"/>
          <w:numId w:val="0"/>
        </w:numPr>
      </w:pPr>
      <w:r>
        <w:t>16.</w:t>
      </w:r>
      <w:r>
        <w:tab/>
        <w:t>Applicant comments on MSAC’s Public Summary Document</w:t>
      </w:r>
    </w:p>
    <w:p w14:paraId="39086F7F" w14:textId="5D56664A" w:rsidR="00CB5FB7" w:rsidRPr="00E454C1" w:rsidRDefault="00BB74D8" w:rsidP="00E454C1">
      <w:r w:rsidRPr="00E454C1">
        <w:t>The applicant had no comment.</w:t>
      </w:r>
    </w:p>
    <w:p w14:paraId="13AA3714" w14:textId="77777777" w:rsidR="00CB5FB7" w:rsidRDefault="00CB5FB7" w:rsidP="00CB5FB7">
      <w:pPr>
        <w:pStyle w:val="Heading2"/>
        <w:numPr>
          <w:ilvl w:val="0"/>
          <w:numId w:val="0"/>
        </w:numPr>
      </w:pPr>
      <w:r>
        <w:t>17.</w:t>
      </w:r>
      <w:r>
        <w:tab/>
        <w:t>Further information on MSAC</w:t>
      </w:r>
    </w:p>
    <w:p w14:paraId="01B2A9FA" w14:textId="7559532C" w:rsidR="00772829" w:rsidRPr="00CB5FB7" w:rsidRDefault="00CB5FB7" w:rsidP="00CB5FB7">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57" w:tooltip="Link to the MSAC website" w:history="1">
        <w:r w:rsidRPr="00F309FA">
          <w:rPr>
            <w:rStyle w:val="Hyperlink"/>
            <w:rFonts w:ascii="Franklin Gothic Book" w:hAnsi="Franklin Gothic Book"/>
            <w:bCs/>
            <w:iCs/>
            <w:sz w:val="22"/>
          </w:rPr>
          <w:t>visit the MSAC website</w:t>
        </w:r>
      </w:hyperlink>
    </w:p>
    <w:sectPr w:rsidR="00772829" w:rsidRPr="00CB5FB7" w:rsidSect="00D10B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B832" w14:textId="77777777" w:rsidR="009E3E7B" w:rsidRDefault="009E3E7B" w:rsidP="00B62DF2">
      <w:pPr>
        <w:spacing w:after="0" w:line="240" w:lineRule="auto"/>
      </w:pPr>
      <w:r>
        <w:separator/>
      </w:r>
    </w:p>
  </w:endnote>
  <w:endnote w:type="continuationSeparator" w:id="0">
    <w:p w14:paraId="771F5672" w14:textId="77777777" w:rsidR="009E3E7B" w:rsidRDefault="009E3E7B" w:rsidP="00B62DF2">
      <w:pPr>
        <w:spacing w:after="0" w:line="240" w:lineRule="auto"/>
      </w:pPr>
      <w:r>
        <w:continuationSeparator/>
      </w:r>
    </w:p>
  </w:endnote>
  <w:endnote w:type="continuationNotice" w:id="1">
    <w:p w14:paraId="3CBC4F03" w14:textId="77777777" w:rsidR="009E3E7B" w:rsidRDefault="009E3E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0988ED4C" w:rsidR="005947B5" w:rsidRDefault="005947B5" w:rsidP="009E3F3D">
    <w:pPr>
      <w:pStyle w:val="Footer"/>
      <w:jc w:val="right"/>
    </w:pPr>
    <w:r>
      <w:fldChar w:fldCharType="begin"/>
    </w:r>
    <w:r>
      <w:instrText xml:space="preserve"> PAGE   \* MERGEFORMAT </w:instrText>
    </w:r>
    <w:r>
      <w:fldChar w:fldCharType="separate"/>
    </w:r>
    <w:r w:rsidR="00120BD3">
      <w:rPr>
        <w:noProof/>
      </w:rPr>
      <w:t>22</w:t>
    </w:r>
    <w:r>
      <w:rPr>
        <w:noProof/>
      </w:rPr>
      <w:fldChar w:fldCharType="end"/>
    </w:r>
    <w:r>
      <w:rPr>
        <w:noProof/>
      </w:rPr>
      <w:tab/>
    </w:r>
    <w:r>
      <w:rPr>
        <w:noProof/>
      </w:rPr>
      <w:tab/>
    </w:r>
    <w:r w:rsidR="009E3F3D" w:rsidRPr="009E3F3D">
      <w:t xml:space="preserve">MSAC assessment report 1716 – Germline </w:t>
    </w:r>
    <w:r w:rsidR="009E3F3D" w:rsidRPr="009E3F3D">
      <w:rPr>
        <w:i/>
        <w:iCs/>
      </w:rPr>
      <w:t>BRCA</w:t>
    </w:r>
    <w:r w:rsidR="009E3F3D" w:rsidRPr="009E3F3D">
      <w:t xml:space="preserve"> test in HER2− high risk early breast cancer to for access to PBS subsidised olaparib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57C2148D" w:rsidR="005947B5" w:rsidRDefault="005947B5" w:rsidP="00CB5FB7">
        <w:pPr>
          <w:pStyle w:val="Footer"/>
          <w:tabs>
            <w:tab w:val="clear" w:pos="4513"/>
          </w:tabs>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433E" w14:textId="77777777" w:rsidR="00EB08E3" w:rsidRDefault="00EB0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3896" w14:textId="77777777" w:rsidR="009E3E7B" w:rsidRDefault="009E3E7B" w:rsidP="00B62DF2">
      <w:pPr>
        <w:spacing w:after="0" w:line="240" w:lineRule="auto"/>
      </w:pPr>
      <w:r>
        <w:separator/>
      </w:r>
    </w:p>
  </w:footnote>
  <w:footnote w:type="continuationSeparator" w:id="0">
    <w:p w14:paraId="5407F4B6" w14:textId="77777777" w:rsidR="009E3E7B" w:rsidRDefault="009E3E7B" w:rsidP="00B62DF2">
      <w:pPr>
        <w:spacing w:after="0" w:line="240" w:lineRule="auto"/>
      </w:pPr>
      <w:r>
        <w:continuationSeparator/>
      </w:r>
    </w:p>
  </w:footnote>
  <w:footnote w:type="continuationNotice" w:id="1">
    <w:p w14:paraId="52CCDF28" w14:textId="77777777" w:rsidR="009E3E7B" w:rsidRDefault="009E3E7B">
      <w:pPr>
        <w:spacing w:before="0" w:after="0" w:line="240" w:lineRule="auto"/>
      </w:pPr>
    </w:p>
  </w:footnote>
  <w:footnote w:id="2">
    <w:p w14:paraId="32675421" w14:textId="00BC4D53" w:rsidR="00894343" w:rsidRDefault="00894343">
      <w:pPr>
        <w:pStyle w:val="FootnoteText"/>
      </w:pPr>
      <w:r>
        <w:rPr>
          <w:rStyle w:val="FootnoteReference"/>
        </w:rPr>
        <w:footnoteRef/>
      </w:r>
      <w:r>
        <w:t xml:space="preserve"> </w:t>
      </w:r>
      <w:r w:rsidRPr="00894343">
        <w:t xml:space="preserve">Tung N et al. Frequency of Germline Mutations in 25 Cancer Susceptibility Genes in a Sequential Series of Patients With Breast Cancer. </w:t>
      </w:r>
      <w:r w:rsidRPr="00894343">
        <w:rPr>
          <w:i/>
          <w:iCs/>
        </w:rPr>
        <w:t>J Clin Oncol</w:t>
      </w:r>
      <w:r w:rsidRPr="00894343">
        <w:t>. 2016 May 1;34(13):1460-8.</w:t>
      </w:r>
    </w:p>
  </w:footnote>
  <w:footnote w:id="3">
    <w:p w14:paraId="7BF9862E" w14:textId="3F1F30B4" w:rsidR="00B51107" w:rsidRDefault="00B51107">
      <w:pPr>
        <w:pStyle w:val="FootnoteText"/>
      </w:pPr>
      <w:r>
        <w:rPr>
          <w:rStyle w:val="FootnoteReference"/>
        </w:rPr>
        <w:footnoteRef/>
      </w:r>
      <w:r>
        <w:t xml:space="preserve"> </w:t>
      </w:r>
      <w:r w:rsidRPr="00B51107">
        <w:t>Patiniott PD, Wong GYM, Lam YH, Fosh B. Neoadjuvant chemotherapy rates for breast cancer in Australia—“are we there yet?”. Annals of Breast Surgery. 2019;3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F2C0" w14:textId="77777777" w:rsidR="00EB08E3" w:rsidRDefault="00EB0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8010" w14:textId="77777777" w:rsidR="00EB08E3" w:rsidRDefault="00EB08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41A2" w14:textId="77777777" w:rsidR="00EB08E3" w:rsidRDefault="00EB0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66"/>
    <w:multiLevelType w:val="hybridMultilevel"/>
    <w:tmpl w:val="C0DA11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2A2B77"/>
    <w:multiLevelType w:val="hybridMultilevel"/>
    <w:tmpl w:val="7134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31608"/>
    <w:multiLevelType w:val="hybridMultilevel"/>
    <w:tmpl w:val="E5C41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B6DAA"/>
    <w:multiLevelType w:val="hybridMultilevel"/>
    <w:tmpl w:val="1DB282F4"/>
    <w:lvl w:ilvl="0" w:tplc="378C825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CC2A9F"/>
    <w:multiLevelType w:val="hybridMultilevel"/>
    <w:tmpl w:val="408CAE0C"/>
    <w:lvl w:ilvl="0" w:tplc="FFFFFFFF">
      <w:start w:val="1"/>
      <w:numFmt w:val="lowerRoman"/>
      <w:lvlText w:val="(%1)"/>
      <w:lvlJc w:val="righ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7"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07244B9"/>
    <w:multiLevelType w:val="hybridMultilevel"/>
    <w:tmpl w:val="0F7459B0"/>
    <w:lvl w:ilvl="0" w:tplc="512EBB4E">
      <w:start w:val="100"/>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14811"/>
    <w:multiLevelType w:val="hybridMultilevel"/>
    <w:tmpl w:val="F11AFAE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C2A69AC"/>
    <w:multiLevelType w:val="hybridMultilevel"/>
    <w:tmpl w:val="69BE16FC"/>
    <w:lvl w:ilvl="0" w:tplc="512EBB4E">
      <w:start w:val="100"/>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6C72"/>
    <w:multiLevelType w:val="hybridMultilevel"/>
    <w:tmpl w:val="0EEA7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84E5D"/>
    <w:multiLevelType w:val="hybridMultilevel"/>
    <w:tmpl w:val="00E49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22C224A"/>
    <w:multiLevelType w:val="hybridMultilevel"/>
    <w:tmpl w:val="3F9EDB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8703C6"/>
    <w:multiLevelType w:val="hybridMultilevel"/>
    <w:tmpl w:val="2B303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784426"/>
    <w:multiLevelType w:val="hybridMultilevel"/>
    <w:tmpl w:val="ABC2DB8C"/>
    <w:lvl w:ilvl="0" w:tplc="AA425588">
      <w:start w:val="100"/>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C94D3A"/>
    <w:multiLevelType w:val="hybridMultilevel"/>
    <w:tmpl w:val="E306E23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3569C5"/>
    <w:multiLevelType w:val="hybridMultilevel"/>
    <w:tmpl w:val="DDD487D6"/>
    <w:lvl w:ilvl="0" w:tplc="0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7D0D22"/>
    <w:multiLevelType w:val="hybridMultilevel"/>
    <w:tmpl w:val="F7263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A059F9"/>
    <w:multiLevelType w:val="hybridMultilevel"/>
    <w:tmpl w:val="BED47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90473A"/>
    <w:multiLevelType w:val="hybridMultilevel"/>
    <w:tmpl w:val="90407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FF5D33"/>
    <w:multiLevelType w:val="hybridMultilevel"/>
    <w:tmpl w:val="57826B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DE00141"/>
    <w:multiLevelType w:val="hybridMultilevel"/>
    <w:tmpl w:val="7B143D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59E0D32"/>
    <w:multiLevelType w:val="hybridMultilevel"/>
    <w:tmpl w:val="BA2E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EC272B"/>
    <w:multiLevelType w:val="hybridMultilevel"/>
    <w:tmpl w:val="1A82619A"/>
    <w:lvl w:ilvl="0" w:tplc="F7C4E31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B232E95"/>
    <w:multiLevelType w:val="hybridMultilevel"/>
    <w:tmpl w:val="408CAE0C"/>
    <w:lvl w:ilvl="0" w:tplc="A6DE152E">
      <w:start w:val="1"/>
      <w:numFmt w:val="lowerRoman"/>
      <w:lvlText w:val="(%1)"/>
      <w:lvlJc w:val="righ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2D563D"/>
    <w:multiLevelType w:val="hybridMultilevel"/>
    <w:tmpl w:val="4CD857C0"/>
    <w:lvl w:ilvl="0" w:tplc="0C090001">
      <w:start w:val="1"/>
      <w:numFmt w:val="bullet"/>
      <w:lvlText w:val=""/>
      <w:lvlJc w:val="left"/>
      <w:pPr>
        <w:ind w:left="1440" w:hanging="72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5"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557784132">
    <w:abstractNumId w:val="12"/>
  </w:num>
  <w:num w:numId="2" w16cid:durableId="2134205237">
    <w:abstractNumId w:val="35"/>
  </w:num>
  <w:num w:numId="3" w16cid:durableId="864750503">
    <w:abstractNumId w:val="1"/>
  </w:num>
  <w:num w:numId="4" w16cid:durableId="1441487232">
    <w:abstractNumId w:val="6"/>
  </w:num>
  <w:num w:numId="5" w16cid:durableId="1560902415">
    <w:abstractNumId w:val="31"/>
  </w:num>
  <w:num w:numId="6" w16cid:durableId="1253247639">
    <w:abstractNumId w:val="7"/>
  </w:num>
  <w:num w:numId="7" w16cid:durableId="1227300579">
    <w:abstractNumId w:val="8"/>
  </w:num>
  <w:num w:numId="8" w16cid:durableId="964972251">
    <w:abstractNumId w:val="10"/>
  </w:num>
  <w:num w:numId="9" w16cid:durableId="880017621">
    <w:abstractNumId w:val="14"/>
  </w:num>
  <w:num w:numId="10" w16cid:durableId="896085468">
    <w:abstractNumId w:val="0"/>
  </w:num>
  <w:num w:numId="11" w16cid:durableId="1670866290">
    <w:abstractNumId w:val="11"/>
  </w:num>
  <w:num w:numId="12" w16cid:durableId="1200700887">
    <w:abstractNumId w:val="19"/>
  </w:num>
  <w:num w:numId="13" w16cid:durableId="2012366706">
    <w:abstractNumId w:val="4"/>
  </w:num>
  <w:num w:numId="14" w16cid:durableId="1689988365">
    <w:abstractNumId w:val="33"/>
  </w:num>
  <w:num w:numId="15" w16cid:durableId="325674227">
    <w:abstractNumId w:val="29"/>
  </w:num>
  <w:num w:numId="16" w16cid:durableId="32535542">
    <w:abstractNumId w:val="34"/>
  </w:num>
  <w:num w:numId="17" w16cid:durableId="1943567107">
    <w:abstractNumId w:val="28"/>
  </w:num>
  <w:num w:numId="18" w16cid:durableId="1282691270">
    <w:abstractNumId w:val="32"/>
  </w:num>
  <w:num w:numId="19" w16cid:durableId="1425343134">
    <w:abstractNumId w:val="16"/>
  </w:num>
  <w:num w:numId="20" w16cid:durableId="1237548393">
    <w:abstractNumId w:val="26"/>
  </w:num>
  <w:num w:numId="21" w16cid:durableId="1587692520">
    <w:abstractNumId w:val="20"/>
  </w:num>
  <w:num w:numId="22" w16cid:durableId="1515027082">
    <w:abstractNumId w:val="5"/>
  </w:num>
  <w:num w:numId="23" w16cid:durableId="372584792">
    <w:abstractNumId w:val="18"/>
  </w:num>
  <w:num w:numId="24" w16cid:durableId="1313026654">
    <w:abstractNumId w:val="30"/>
  </w:num>
  <w:num w:numId="25" w16cid:durableId="1367834135">
    <w:abstractNumId w:val="17"/>
  </w:num>
  <w:num w:numId="26" w16cid:durableId="16393291">
    <w:abstractNumId w:val="13"/>
  </w:num>
  <w:num w:numId="27" w16cid:durableId="437142497">
    <w:abstractNumId w:val="21"/>
  </w:num>
  <w:num w:numId="28" w16cid:durableId="389353398">
    <w:abstractNumId w:val="27"/>
  </w:num>
  <w:num w:numId="29" w16cid:durableId="146672796">
    <w:abstractNumId w:val="25"/>
  </w:num>
  <w:num w:numId="30" w16cid:durableId="1878348360">
    <w:abstractNumId w:val="22"/>
  </w:num>
  <w:num w:numId="31" w16cid:durableId="1463958155">
    <w:abstractNumId w:val="9"/>
  </w:num>
  <w:num w:numId="32" w16cid:durableId="1664701330">
    <w:abstractNumId w:val="15"/>
  </w:num>
  <w:num w:numId="33" w16cid:durableId="1842964896">
    <w:abstractNumId w:val="23"/>
  </w:num>
  <w:num w:numId="34" w16cid:durableId="238636934">
    <w:abstractNumId w:val="3"/>
  </w:num>
  <w:num w:numId="35" w16cid:durableId="1062093665">
    <w:abstractNumId w:val="2"/>
  </w:num>
  <w:num w:numId="36" w16cid:durableId="311637288">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363"/>
    <w:rsid w:val="0000109A"/>
    <w:rsid w:val="00001AE6"/>
    <w:rsid w:val="00001D55"/>
    <w:rsid w:val="000049E0"/>
    <w:rsid w:val="00004A15"/>
    <w:rsid w:val="00004D69"/>
    <w:rsid w:val="00004F7F"/>
    <w:rsid w:val="000054C9"/>
    <w:rsid w:val="000064FB"/>
    <w:rsid w:val="00007164"/>
    <w:rsid w:val="0000785C"/>
    <w:rsid w:val="00007A1F"/>
    <w:rsid w:val="00010E16"/>
    <w:rsid w:val="00011568"/>
    <w:rsid w:val="0001306E"/>
    <w:rsid w:val="00014928"/>
    <w:rsid w:val="00014974"/>
    <w:rsid w:val="0001664F"/>
    <w:rsid w:val="000228B8"/>
    <w:rsid w:val="000231F3"/>
    <w:rsid w:val="000237B9"/>
    <w:rsid w:val="0002381B"/>
    <w:rsid w:val="00024EA5"/>
    <w:rsid w:val="000263C6"/>
    <w:rsid w:val="0002755F"/>
    <w:rsid w:val="0003018A"/>
    <w:rsid w:val="00030423"/>
    <w:rsid w:val="000315EA"/>
    <w:rsid w:val="00031883"/>
    <w:rsid w:val="00032D9C"/>
    <w:rsid w:val="0003423A"/>
    <w:rsid w:val="0003477F"/>
    <w:rsid w:val="00034D6F"/>
    <w:rsid w:val="000359C5"/>
    <w:rsid w:val="00036AD8"/>
    <w:rsid w:val="00037037"/>
    <w:rsid w:val="00037302"/>
    <w:rsid w:val="0004005D"/>
    <w:rsid w:val="00040983"/>
    <w:rsid w:val="00040ADF"/>
    <w:rsid w:val="00040FB4"/>
    <w:rsid w:val="0004178C"/>
    <w:rsid w:val="00041F5D"/>
    <w:rsid w:val="0004360F"/>
    <w:rsid w:val="000443A6"/>
    <w:rsid w:val="000449D1"/>
    <w:rsid w:val="00045B8D"/>
    <w:rsid w:val="00045CC5"/>
    <w:rsid w:val="00046B6A"/>
    <w:rsid w:val="000472D4"/>
    <w:rsid w:val="00050CBA"/>
    <w:rsid w:val="00050CE5"/>
    <w:rsid w:val="00051C04"/>
    <w:rsid w:val="00052DD3"/>
    <w:rsid w:val="0005326D"/>
    <w:rsid w:val="00053F6C"/>
    <w:rsid w:val="00054526"/>
    <w:rsid w:val="0005479B"/>
    <w:rsid w:val="00055E08"/>
    <w:rsid w:val="00060A03"/>
    <w:rsid w:val="00062819"/>
    <w:rsid w:val="0006339C"/>
    <w:rsid w:val="000633D9"/>
    <w:rsid w:val="00064783"/>
    <w:rsid w:val="000647C2"/>
    <w:rsid w:val="00066997"/>
    <w:rsid w:val="0007021F"/>
    <w:rsid w:val="000709A0"/>
    <w:rsid w:val="00071D90"/>
    <w:rsid w:val="00074199"/>
    <w:rsid w:val="000741DA"/>
    <w:rsid w:val="0007780B"/>
    <w:rsid w:val="00080241"/>
    <w:rsid w:val="00081778"/>
    <w:rsid w:val="00083CC3"/>
    <w:rsid w:val="000852F6"/>
    <w:rsid w:val="0008678F"/>
    <w:rsid w:val="000870B6"/>
    <w:rsid w:val="0008727E"/>
    <w:rsid w:val="00087F57"/>
    <w:rsid w:val="000903A6"/>
    <w:rsid w:val="00090613"/>
    <w:rsid w:val="00090BD1"/>
    <w:rsid w:val="00091857"/>
    <w:rsid w:val="00091C59"/>
    <w:rsid w:val="00092A21"/>
    <w:rsid w:val="00093D9A"/>
    <w:rsid w:val="00094656"/>
    <w:rsid w:val="00096B52"/>
    <w:rsid w:val="000A0E8F"/>
    <w:rsid w:val="000A10BF"/>
    <w:rsid w:val="000A11F2"/>
    <w:rsid w:val="000A2ACD"/>
    <w:rsid w:val="000A2B65"/>
    <w:rsid w:val="000A2DA8"/>
    <w:rsid w:val="000A3CBB"/>
    <w:rsid w:val="000A4DA8"/>
    <w:rsid w:val="000A5C47"/>
    <w:rsid w:val="000A629E"/>
    <w:rsid w:val="000A6B30"/>
    <w:rsid w:val="000B1E37"/>
    <w:rsid w:val="000B2D15"/>
    <w:rsid w:val="000B2E66"/>
    <w:rsid w:val="000B3287"/>
    <w:rsid w:val="000B3330"/>
    <w:rsid w:val="000B5773"/>
    <w:rsid w:val="000B5B5A"/>
    <w:rsid w:val="000B6CF0"/>
    <w:rsid w:val="000B720C"/>
    <w:rsid w:val="000B7665"/>
    <w:rsid w:val="000B79DB"/>
    <w:rsid w:val="000C0F81"/>
    <w:rsid w:val="000C7B55"/>
    <w:rsid w:val="000C7C46"/>
    <w:rsid w:val="000D01E5"/>
    <w:rsid w:val="000D08C2"/>
    <w:rsid w:val="000D1B52"/>
    <w:rsid w:val="000D4C1B"/>
    <w:rsid w:val="000D5523"/>
    <w:rsid w:val="000D659D"/>
    <w:rsid w:val="000D687C"/>
    <w:rsid w:val="000E03DC"/>
    <w:rsid w:val="000E1124"/>
    <w:rsid w:val="000E1D63"/>
    <w:rsid w:val="000E2AE6"/>
    <w:rsid w:val="000E3FA3"/>
    <w:rsid w:val="000E431E"/>
    <w:rsid w:val="000E5531"/>
    <w:rsid w:val="000E5C92"/>
    <w:rsid w:val="000E600F"/>
    <w:rsid w:val="000E6410"/>
    <w:rsid w:val="000E678B"/>
    <w:rsid w:val="000F0591"/>
    <w:rsid w:val="000F05D0"/>
    <w:rsid w:val="000F0729"/>
    <w:rsid w:val="000F1070"/>
    <w:rsid w:val="000F2E01"/>
    <w:rsid w:val="000F483A"/>
    <w:rsid w:val="000F5A54"/>
    <w:rsid w:val="000F5DDF"/>
    <w:rsid w:val="000F7987"/>
    <w:rsid w:val="00100220"/>
    <w:rsid w:val="0010051C"/>
    <w:rsid w:val="00100541"/>
    <w:rsid w:val="00100F49"/>
    <w:rsid w:val="00102F98"/>
    <w:rsid w:val="0010448B"/>
    <w:rsid w:val="0010521F"/>
    <w:rsid w:val="0010625A"/>
    <w:rsid w:val="001066E9"/>
    <w:rsid w:val="00107524"/>
    <w:rsid w:val="00107DCD"/>
    <w:rsid w:val="00107EF0"/>
    <w:rsid w:val="0011019D"/>
    <w:rsid w:val="001106D3"/>
    <w:rsid w:val="00111417"/>
    <w:rsid w:val="00112225"/>
    <w:rsid w:val="00113C60"/>
    <w:rsid w:val="00114C3B"/>
    <w:rsid w:val="00115691"/>
    <w:rsid w:val="00116109"/>
    <w:rsid w:val="0011673A"/>
    <w:rsid w:val="00117039"/>
    <w:rsid w:val="001175E6"/>
    <w:rsid w:val="00117F04"/>
    <w:rsid w:val="00120BD3"/>
    <w:rsid w:val="00121EC5"/>
    <w:rsid w:val="00122AE3"/>
    <w:rsid w:val="00122EE1"/>
    <w:rsid w:val="00123658"/>
    <w:rsid w:val="001237AF"/>
    <w:rsid w:val="001247EB"/>
    <w:rsid w:val="00124F3C"/>
    <w:rsid w:val="00125142"/>
    <w:rsid w:val="00125B61"/>
    <w:rsid w:val="00126122"/>
    <w:rsid w:val="00126A1E"/>
    <w:rsid w:val="0013031E"/>
    <w:rsid w:val="00131C76"/>
    <w:rsid w:val="00131CA7"/>
    <w:rsid w:val="00131D45"/>
    <w:rsid w:val="001320F0"/>
    <w:rsid w:val="001323E8"/>
    <w:rsid w:val="001336E0"/>
    <w:rsid w:val="00133970"/>
    <w:rsid w:val="00133F34"/>
    <w:rsid w:val="00135273"/>
    <w:rsid w:val="001359B8"/>
    <w:rsid w:val="00135E6F"/>
    <w:rsid w:val="00135FC9"/>
    <w:rsid w:val="001366BD"/>
    <w:rsid w:val="00137818"/>
    <w:rsid w:val="00137897"/>
    <w:rsid w:val="001405FF"/>
    <w:rsid w:val="00141864"/>
    <w:rsid w:val="00141A1E"/>
    <w:rsid w:val="00142DF8"/>
    <w:rsid w:val="00142F6A"/>
    <w:rsid w:val="00143478"/>
    <w:rsid w:val="00143F2F"/>
    <w:rsid w:val="00144812"/>
    <w:rsid w:val="00146624"/>
    <w:rsid w:val="001466D3"/>
    <w:rsid w:val="00147B89"/>
    <w:rsid w:val="00150376"/>
    <w:rsid w:val="00151DBD"/>
    <w:rsid w:val="001531D6"/>
    <w:rsid w:val="00153F98"/>
    <w:rsid w:val="001547DD"/>
    <w:rsid w:val="00154FC9"/>
    <w:rsid w:val="00155434"/>
    <w:rsid w:val="00155BDA"/>
    <w:rsid w:val="00156D7E"/>
    <w:rsid w:val="00156FA7"/>
    <w:rsid w:val="001579EB"/>
    <w:rsid w:val="0016023A"/>
    <w:rsid w:val="00162DBF"/>
    <w:rsid w:val="0016324A"/>
    <w:rsid w:val="00164CF8"/>
    <w:rsid w:val="001653AE"/>
    <w:rsid w:val="001675A0"/>
    <w:rsid w:val="001704C7"/>
    <w:rsid w:val="0017063D"/>
    <w:rsid w:val="00170D5B"/>
    <w:rsid w:val="0017248B"/>
    <w:rsid w:val="00172B8F"/>
    <w:rsid w:val="00172E96"/>
    <w:rsid w:val="001736F8"/>
    <w:rsid w:val="00173CD2"/>
    <w:rsid w:val="00173D85"/>
    <w:rsid w:val="001741B3"/>
    <w:rsid w:val="00174FD4"/>
    <w:rsid w:val="0017587E"/>
    <w:rsid w:val="00175CE8"/>
    <w:rsid w:val="00177D88"/>
    <w:rsid w:val="00182727"/>
    <w:rsid w:val="00183574"/>
    <w:rsid w:val="00184BAE"/>
    <w:rsid w:val="00187403"/>
    <w:rsid w:val="0019282A"/>
    <w:rsid w:val="0019286B"/>
    <w:rsid w:val="0019362A"/>
    <w:rsid w:val="0019474E"/>
    <w:rsid w:val="001947BE"/>
    <w:rsid w:val="00195681"/>
    <w:rsid w:val="00195728"/>
    <w:rsid w:val="001970C0"/>
    <w:rsid w:val="00197F40"/>
    <w:rsid w:val="001A1CB7"/>
    <w:rsid w:val="001A3BCA"/>
    <w:rsid w:val="001A3DAC"/>
    <w:rsid w:val="001A3EED"/>
    <w:rsid w:val="001A420B"/>
    <w:rsid w:val="001A4B97"/>
    <w:rsid w:val="001A4F7D"/>
    <w:rsid w:val="001A52A5"/>
    <w:rsid w:val="001A6359"/>
    <w:rsid w:val="001A651B"/>
    <w:rsid w:val="001A73D8"/>
    <w:rsid w:val="001A7B42"/>
    <w:rsid w:val="001A7D8F"/>
    <w:rsid w:val="001B05CF"/>
    <w:rsid w:val="001B2A97"/>
    <w:rsid w:val="001B2ABC"/>
    <w:rsid w:val="001B2CD4"/>
    <w:rsid w:val="001B2CFB"/>
    <w:rsid w:val="001B3602"/>
    <w:rsid w:val="001B4AB5"/>
    <w:rsid w:val="001B4EA0"/>
    <w:rsid w:val="001B528F"/>
    <w:rsid w:val="001B7329"/>
    <w:rsid w:val="001B7AF2"/>
    <w:rsid w:val="001C058B"/>
    <w:rsid w:val="001C174A"/>
    <w:rsid w:val="001C1D05"/>
    <w:rsid w:val="001C252A"/>
    <w:rsid w:val="001C2599"/>
    <w:rsid w:val="001C2A48"/>
    <w:rsid w:val="001C62A7"/>
    <w:rsid w:val="001C69E3"/>
    <w:rsid w:val="001C6DFD"/>
    <w:rsid w:val="001C6F31"/>
    <w:rsid w:val="001D03CA"/>
    <w:rsid w:val="001D32C0"/>
    <w:rsid w:val="001D3A64"/>
    <w:rsid w:val="001D4754"/>
    <w:rsid w:val="001D496A"/>
    <w:rsid w:val="001D5793"/>
    <w:rsid w:val="001D6694"/>
    <w:rsid w:val="001D74A7"/>
    <w:rsid w:val="001D74F6"/>
    <w:rsid w:val="001E05C8"/>
    <w:rsid w:val="001E065D"/>
    <w:rsid w:val="001E097B"/>
    <w:rsid w:val="001E15F2"/>
    <w:rsid w:val="001E22F7"/>
    <w:rsid w:val="001E2E27"/>
    <w:rsid w:val="001E465F"/>
    <w:rsid w:val="001F1DA5"/>
    <w:rsid w:val="001F2405"/>
    <w:rsid w:val="001F2902"/>
    <w:rsid w:val="001F3680"/>
    <w:rsid w:val="001F3F36"/>
    <w:rsid w:val="001F4663"/>
    <w:rsid w:val="001F4804"/>
    <w:rsid w:val="001F658C"/>
    <w:rsid w:val="001F675C"/>
    <w:rsid w:val="001F6F44"/>
    <w:rsid w:val="001F74A0"/>
    <w:rsid w:val="001F7563"/>
    <w:rsid w:val="001F779F"/>
    <w:rsid w:val="002007E1"/>
    <w:rsid w:val="002015BB"/>
    <w:rsid w:val="00202CEE"/>
    <w:rsid w:val="002040F1"/>
    <w:rsid w:val="00204424"/>
    <w:rsid w:val="002057D5"/>
    <w:rsid w:val="00207F59"/>
    <w:rsid w:val="00210124"/>
    <w:rsid w:val="00211DC3"/>
    <w:rsid w:val="00212921"/>
    <w:rsid w:val="002130AC"/>
    <w:rsid w:val="002155B6"/>
    <w:rsid w:val="002157E4"/>
    <w:rsid w:val="00215AFB"/>
    <w:rsid w:val="00215DEA"/>
    <w:rsid w:val="002200D8"/>
    <w:rsid w:val="0022148D"/>
    <w:rsid w:val="00223664"/>
    <w:rsid w:val="00223A56"/>
    <w:rsid w:val="0022515B"/>
    <w:rsid w:val="00225833"/>
    <w:rsid w:val="00226095"/>
    <w:rsid w:val="0022615C"/>
    <w:rsid w:val="00227B89"/>
    <w:rsid w:val="00227F43"/>
    <w:rsid w:val="00231149"/>
    <w:rsid w:val="0023202A"/>
    <w:rsid w:val="002330F5"/>
    <w:rsid w:val="002340B8"/>
    <w:rsid w:val="00234640"/>
    <w:rsid w:val="00240106"/>
    <w:rsid w:val="00240167"/>
    <w:rsid w:val="002411C7"/>
    <w:rsid w:val="00242F4E"/>
    <w:rsid w:val="00243425"/>
    <w:rsid w:val="002449CF"/>
    <w:rsid w:val="002452A0"/>
    <w:rsid w:val="00245428"/>
    <w:rsid w:val="002463A6"/>
    <w:rsid w:val="00246506"/>
    <w:rsid w:val="002469FF"/>
    <w:rsid w:val="00246ADB"/>
    <w:rsid w:val="002517A5"/>
    <w:rsid w:val="00251F6C"/>
    <w:rsid w:val="0025249C"/>
    <w:rsid w:val="002539ED"/>
    <w:rsid w:val="0025440D"/>
    <w:rsid w:val="0025450E"/>
    <w:rsid w:val="00255152"/>
    <w:rsid w:val="0025554E"/>
    <w:rsid w:val="0026275C"/>
    <w:rsid w:val="002638F4"/>
    <w:rsid w:val="002647E5"/>
    <w:rsid w:val="00264E02"/>
    <w:rsid w:val="00265A35"/>
    <w:rsid w:val="00265D55"/>
    <w:rsid w:val="00266234"/>
    <w:rsid w:val="00271359"/>
    <w:rsid w:val="0027160C"/>
    <w:rsid w:val="002722B8"/>
    <w:rsid w:val="0027343B"/>
    <w:rsid w:val="00273EFC"/>
    <w:rsid w:val="002743B0"/>
    <w:rsid w:val="002751D1"/>
    <w:rsid w:val="00275209"/>
    <w:rsid w:val="00275E58"/>
    <w:rsid w:val="00275FCD"/>
    <w:rsid w:val="00276CF5"/>
    <w:rsid w:val="00277467"/>
    <w:rsid w:val="00284340"/>
    <w:rsid w:val="0028501E"/>
    <w:rsid w:val="00287E78"/>
    <w:rsid w:val="00290676"/>
    <w:rsid w:val="00290AC2"/>
    <w:rsid w:val="00291462"/>
    <w:rsid w:val="00291572"/>
    <w:rsid w:val="00293BB3"/>
    <w:rsid w:val="00294A3F"/>
    <w:rsid w:val="00296D73"/>
    <w:rsid w:val="002A04B4"/>
    <w:rsid w:val="002A145B"/>
    <w:rsid w:val="002A18BE"/>
    <w:rsid w:val="002A22FB"/>
    <w:rsid w:val="002A36F6"/>
    <w:rsid w:val="002A4084"/>
    <w:rsid w:val="002A4AD6"/>
    <w:rsid w:val="002A53CB"/>
    <w:rsid w:val="002A551D"/>
    <w:rsid w:val="002A7196"/>
    <w:rsid w:val="002A76AE"/>
    <w:rsid w:val="002A7CD6"/>
    <w:rsid w:val="002B0983"/>
    <w:rsid w:val="002B1384"/>
    <w:rsid w:val="002B2261"/>
    <w:rsid w:val="002B3681"/>
    <w:rsid w:val="002B5E1F"/>
    <w:rsid w:val="002B667C"/>
    <w:rsid w:val="002C11CA"/>
    <w:rsid w:val="002C259E"/>
    <w:rsid w:val="002C45E8"/>
    <w:rsid w:val="002C49EA"/>
    <w:rsid w:val="002C70CE"/>
    <w:rsid w:val="002C72C2"/>
    <w:rsid w:val="002D3ED3"/>
    <w:rsid w:val="002D5097"/>
    <w:rsid w:val="002D55CC"/>
    <w:rsid w:val="002D55E4"/>
    <w:rsid w:val="002D65AE"/>
    <w:rsid w:val="002D6768"/>
    <w:rsid w:val="002D690D"/>
    <w:rsid w:val="002D6BFF"/>
    <w:rsid w:val="002E1E90"/>
    <w:rsid w:val="002E2083"/>
    <w:rsid w:val="002E2F2B"/>
    <w:rsid w:val="002E61DA"/>
    <w:rsid w:val="002E63BE"/>
    <w:rsid w:val="002E76B0"/>
    <w:rsid w:val="002E7775"/>
    <w:rsid w:val="002E7AD2"/>
    <w:rsid w:val="002E7BE7"/>
    <w:rsid w:val="002F1399"/>
    <w:rsid w:val="002F1597"/>
    <w:rsid w:val="002F32FB"/>
    <w:rsid w:val="002F5611"/>
    <w:rsid w:val="002F5F5E"/>
    <w:rsid w:val="002F5F85"/>
    <w:rsid w:val="002F693F"/>
    <w:rsid w:val="002F6F31"/>
    <w:rsid w:val="002F73D7"/>
    <w:rsid w:val="003008CC"/>
    <w:rsid w:val="00301763"/>
    <w:rsid w:val="00301E76"/>
    <w:rsid w:val="00302252"/>
    <w:rsid w:val="003025A9"/>
    <w:rsid w:val="003025EC"/>
    <w:rsid w:val="00302ADF"/>
    <w:rsid w:val="00303C60"/>
    <w:rsid w:val="00304B60"/>
    <w:rsid w:val="00304FB8"/>
    <w:rsid w:val="00307299"/>
    <w:rsid w:val="003077BC"/>
    <w:rsid w:val="00307B62"/>
    <w:rsid w:val="00307BB6"/>
    <w:rsid w:val="00310B9B"/>
    <w:rsid w:val="00310C3F"/>
    <w:rsid w:val="00311926"/>
    <w:rsid w:val="00311E87"/>
    <w:rsid w:val="00311EE8"/>
    <w:rsid w:val="00312910"/>
    <w:rsid w:val="00313152"/>
    <w:rsid w:val="003140D2"/>
    <w:rsid w:val="00315156"/>
    <w:rsid w:val="003161AA"/>
    <w:rsid w:val="00316ABC"/>
    <w:rsid w:val="00317714"/>
    <w:rsid w:val="003203B9"/>
    <w:rsid w:val="00320819"/>
    <w:rsid w:val="00320A17"/>
    <w:rsid w:val="0032189C"/>
    <w:rsid w:val="00322DA9"/>
    <w:rsid w:val="00323AF6"/>
    <w:rsid w:val="00324983"/>
    <w:rsid w:val="003251C2"/>
    <w:rsid w:val="00325FA0"/>
    <w:rsid w:val="00326F1C"/>
    <w:rsid w:val="00327162"/>
    <w:rsid w:val="00327622"/>
    <w:rsid w:val="00330A0A"/>
    <w:rsid w:val="003310B7"/>
    <w:rsid w:val="003310C7"/>
    <w:rsid w:val="00331491"/>
    <w:rsid w:val="003328A9"/>
    <w:rsid w:val="003336DA"/>
    <w:rsid w:val="00333A6B"/>
    <w:rsid w:val="003371B5"/>
    <w:rsid w:val="0033794A"/>
    <w:rsid w:val="00337BAF"/>
    <w:rsid w:val="00340341"/>
    <w:rsid w:val="00340C7A"/>
    <w:rsid w:val="003417CB"/>
    <w:rsid w:val="00341ED3"/>
    <w:rsid w:val="003435A9"/>
    <w:rsid w:val="00344649"/>
    <w:rsid w:val="0034517A"/>
    <w:rsid w:val="00345496"/>
    <w:rsid w:val="00345BB7"/>
    <w:rsid w:val="00345BCF"/>
    <w:rsid w:val="00346485"/>
    <w:rsid w:val="003466F9"/>
    <w:rsid w:val="00347D17"/>
    <w:rsid w:val="00347DDE"/>
    <w:rsid w:val="00350092"/>
    <w:rsid w:val="003519AD"/>
    <w:rsid w:val="00351E0E"/>
    <w:rsid w:val="003530C4"/>
    <w:rsid w:val="00354062"/>
    <w:rsid w:val="00354EB4"/>
    <w:rsid w:val="00355813"/>
    <w:rsid w:val="00356D29"/>
    <w:rsid w:val="00356E73"/>
    <w:rsid w:val="003571C2"/>
    <w:rsid w:val="0035759F"/>
    <w:rsid w:val="00363468"/>
    <w:rsid w:val="003640A7"/>
    <w:rsid w:val="00365045"/>
    <w:rsid w:val="00365447"/>
    <w:rsid w:val="00366756"/>
    <w:rsid w:val="0036694F"/>
    <w:rsid w:val="0036719B"/>
    <w:rsid w:val="0036794E"/>
    <w:rsid w:val="00367D5F"/>
    <w:rsid w:val="00373324"/>
    <w:rsid w:val="0037530D"/>
    <w:rsid w:val="003801F5"/>
    <w:rsid w:val="003808BB"/>
    <w:rsid w:val="0038146C"/>
    <w:rsid w:val="00382609"/>
    <w:rsid w:val="00382C91"/>
    <w:rsid w:val="00383209"/>
    <w:rsid w:val="00385062"/>
    <w:rsid w:val="00386124"/>
    <w:rsid w:val="00386399"/>
    <w:rsid w:val="003864D5"/>
    <w:rsid w:val="00390567"/>
    <w:rsid w:val="0039288B"/>
    <w:rsid w:val="00394E8D"/>
    <w:rsid w:val="00395362"/>
    <w:rsid w:val="003963EA"/>
    <w:rsid w:val="003966F6"/>
    <w:rsid w:val="0039677D"/>
    <w:rsid w:val="003A0304"/>
    <w:rsid w:val="003A0660"/>
    <w:rsid w:val="003A0D52"/>
    <w:rsid w:val="003A1828"/>
    <w:rsid w:val="003A1D2D"/>
    <w:rsid w:val="003A2CA8"/>
    <w:rsid w:val="003A2ED1"/>
    <w:rsid w:val="003A4C47"/>
    <w:rsid w:val="003A5883"/>
    <w:rsid w:val="003A6724"/>
    <w:rsid w:val="003A6E1A"/>
    <w:rsid w:val="003A7D63"/>
    <w:rsid w:val="003B0BA1"/>
    <w:rsid w:val="003B3B76"/>
    <w:rsid w:val="003B4599"/>
    <w:rsid w:val="003B5C2C"/>
    <w:rsid w:val="003B61B7"/>
    <w:rsid w:val="003B77CA"/>
    <w:rsid w:val="003C1AE2"/>
    <w:rsid w:val="003C1D1D"/>
    <w:rsid w:val="003C25EC"/>
    <w:rsid w:val="003C44F5"/>
    <w:rsid w:val="003C4F8F"/>
    <w:rsid w:val="003C645C"/>
    <w:rsid w:val="003C6B59"/>
    <w:rsid w:val="003D001A"/>
    <w:rsid w:val="003D1172"/>
    <w:rsid w:val="003D1A58"/>
    <w:rsid w:val="003D299E"/>
    <w:rsid w:val="003D4683"/>
    <w:rsid w:val="003D55E1"/>
    <w:rsid w:val="003D5B5F"/>
    <w:rsid w:val="003D641A"/>
    <w:rsid w:val="003D71EB"/>
    <w:rsid w:val="003D7E32"/>
    <w:rsid w:val="003E1A7A"/>
    <w:rsid w:val="003E222F"/>
    <w:rsid w:val="003E22CB"/>
    <w:rsid w:val="003E2343"/>
    <w:rsid w:val="003E31D3"/>
    <w:rsid w:val="003E406B"/>
    <w:rsid w:val="003E4F96"/>
    <w:rsid w:val="003E5C8D"/>
    <w:rsid w:val="003E5CCA"/>
    <w:rsid w:val="003E7773"/>
    <w:rsid w:val="003F115E"/>
    <w:rsid w:val="003F14C2"/>
    <w:rsid w:val="003F1576"/>
    <w:rsid w:val="003F2210"/>
    <w:rsid w:val="003F2D44"/>
    <w:rsid w:val="003F40FF"/>
    <w:rsid w:val="003F4597"/>
    <w:rsid w:val="003F535C"/>
    <w:rsid w:val="003F6282"/>
    <w:rsid w:val="003F7196"/>
    <w:rsid w:val="0040005F"/>
    <w:rsid w:val="004003D7"/>
    <w:rsid w:val="004008AF"/>
    <w:rsid w:val="00400B5F"/>
    <w:rsid w:val="00400C0E"/>
    <w:rsid w:val="00401892"/>
    <w:rsid w:val="00401DBF"/>
    <w:rsid w:val="004033D9"/>
    <w:rsid w:val="00404A94"/>
    <w:rsid w:val="0040551F"/>
    <w:rsid w:val="00405CD0"/>
    <w:rsid w:val="00407014"/>
    <w:rsid w:val="0040771F"/>
    <w:rsid w:val="00407856"/>
    <w:rsid w:val="00407E3C"/>
    <w:rsid w:val="004111F7"/>
    <w:rsid w:val="0041217D"/>
    <w:rsid w:val="004125C6"/>
    <w:rsid w:val="0041275F"/>
    <w:rsid w:val="00413942"/>
    <w:rsid w:val="00413D02"/>
    <w:rsid w:val="00414660"/>
    <w:rsid w:val="004158E9"/>
    <w:rsid w:val="004175DF"/>
    <w:rsid w:val="00421A89"/>
    <w:rsid w:val="00421EBC"/>
    <w:rsid w:val="0042304B"/>
    <w:rsid w:val="004235EC"/>
    <w:rsid w:val="00424084"/>
    <w:rsid w:val="00424165"/>
    <w:rsid w:val="0042504A"/>
    <w:rsid w:val="00426540"/>
    <w:rsid w:val="004273AD"/>
    <w:rsid w:val="004274D1"/>
    <w:rsid w:val="004278ED"/>
    <w:rsid w:val="00427BFF"/>
    <w:rsid w:val="004305AE"/>
    <w:rsid w:val="0043116A"/>
    <w:rsid w:val="00431800"/>
    <w:rsid w:val="00431F1F"/>
    <w:rsid w:val="00433541"/>
    <w:rsid w:val="0043529D"/>
    <w:rsid w:val="00436514"/>
    <w:rsid w:val="00441F0D"/>
    <w:rsid w:val="004423F7"/>
    <w:rsid w:val="00442A49"/>
    <w:rsid w:val="004433EE"/>
    <w:rsid w:val="00443FAA"/>
    <w:rsid w:val="0044493D"/>
    <w:rsid w:val="00444DAA"/>
    <w:rsid w:val="00445FC3"/>
    <w:rsid w:val="004467A3"/>
    <w:rsid w:val="0044690B"/>
    <w:rsid w:val="00446BBE"/>
    <w:rsid w:val="0044782C"/>
    <w:rsid w:val="0045093D"/>
    <w:rsid w:val="00451645"/>
    <w:rsid w:val="00452898"/>
    <w:rsid w:val="00453A7E"/>
    <w:rsid w:val="00453DBE"/>
    <w:rsid w:val="00453EAF"/>
    <w:rsid w:val="00454F8E"/>
    <w:rsid w:val="00455526"/>
    <w:rsid w:val="004576A5"/>
    <w:rsid w:val="00462778"/>
    <w:rsid w:val="00462953"/>
    <w:rsid w:val="0046495E"/>
    <w:rsid w:val="00464AA4"/>
    <w:rsid w:val="00464F6C"/>
    <w:rsid w:val="00465F32"/>
    <w:rsid w:val="0046739E"/>
    <w:rsid w:val="004676B1"/>
    <w:rsid w:val="00471D0D"/>
    <w:rsid w:val="00472864"/>
    <w:rsid w:val="004748E3"/>
    <w:rsid w:val="00474E01"/>
    <w:rsid w:val="004802E5"/>
    <w:rsid w:val="00482804"/>
    <w:rsid w:val="00482B47"/>
    <w:rsid w:val="0048323E"/>
    <w:rsid w:val="00484DC5"/>
    <w:rsid w:val="004852A2"/>
    <w:rsid w:val="00485675"/>
    <w:rsid w:val="00487C85"/>
    <w:rsid w:val="00490801"/>
    <w:rsid w:val="0049099A"/>
    <w:rsid w:val="00490DC4"/>
    <w:rsid w:val="00490E3C"/>
    <w:rsid w:val="004924BE"/>
    <w:rsid w:val="00492B6D"/>
    <w:rsid w:val="004933B5"/>
    <w:rsid w:val="0049442D"/>
    <w:rsid w:val="00494F64"/>
    <w:rsid w:val="0049542F"/>
    <w:rsid w:val="0049674E"/>
    <w:rsid w:val="004975A2"/>
    <w:rsid w:val="00497B9F"/>
    <w:rsid w:val="004A0D1C"/>
    <w:rsid w:val="004A0F0C"/>
    <w:rsid w:val="004A0F82"/>
    <w:rsid w:val="004A2084"/>
    <w:rsid w:val="004A437F"/>
    <w:rsid w:val="004A4430"/>
    <w:rsid w:val="004A4FDF"/>
    <w:rsid w:val="004A522D"/>
    <w:rsid w:val="004A53BA"/>
    <w:rsid w:val="004A5489"/>
    <w:rsid w:val="004A5E73"/>
    <w:rsid w:val="004A7A52"/>
    <w:rsid w:val="004B19FE"/>
    <w:rsid w:val="004B1A2B"/>
    <w:rsid w:val="004B2140"/>
    <w:rsid w:val="004B2A4D"/>
    <w:rsid w:val="004B2F45"/>
    <w:rsid w:val="004B33C2"/>
    <w:rsid w:val="004B4214"/>
    <w:rsid w:val="004B575D"/>
    <w:rsid w:val="004B6120"/>
    <w:rsid w:val="004B689D"/>
    <w:rsid w:val="004B742D"/>
    <w:rsid w:val="004C008F"/>
    <w:rsid w:val="004C0460"/>
    <w:rsid w:val="004C0DA9"/>
    <w:rsid w:val="004C0E97"/>
    <w:rsid w:val="004C1C33"/>
    <w:rsid w:val="004C2355"/>
    <w:rsid w:val="004C246D"/>
    <w:rsid w:val="004C31A6"/>
    <w:rsid w:val="004C3600"/>
    <w:rsid w:val="004C48C8"/>
    <w:rsid w:val="004C5216"/>
    <w:rsid w:val="004C598D"/>
    <w:rsid w:val="004C6454"/>
    <w:rsid w:val="004C6B86"/>
    <w:rsid w:val="004D1515"/>
    <w:rsid w:val="004D3224"/>
    <w:rsid w:val="004D3897"/>
    <w:rsid w:val="004D4425"/>
    <w:rsid w:val="004D4C46"/>
    <w:rsid w:val="004D5B51"/>
    <w:rsid w:val="004D632E"/>
    <w:rsid w:val="004D714C"/>
    <w:rsid w:val="004E0868"/>
    <w:rsid w:val="004E0A1B"/>
    <w:rsid w:val="004E0C83"/>
    <w:rsid w:val="004E2BD6"/>
    <w:rsid w:val="004E3B19"/>
    <w:rsid w:val="004E4BA3"/>
    <w:rsid w:val="004E7EFD"/>
    <w:rsid w:val="004F50BF"/>
    <w:rsid w:val="004F5920"/>
    <w:rsid w:val="004F6AD3"/>
    <w:rsid w:val="00501386"/>
    <w:rsid w:val="00501BD9"/>
    <w:rsid w:val="00501C25"/>
    <w:rsid w:val="005027A6"/>
    <w:rsid w:val="00502DAE"/>
    <w:rsid w:val="00502E01"/>
    <w:rsid w:val="00502FFB"/>
    <w:rsid w:val="005038A0"/>
    <w:rsid w:val="00504A82"/>
    <w:rsid w:val="00505E19"/>
    <w:rsid w:val="005063A1"/>
    <w:rsid w:val="00507606"/>
    <w:rsid w:val="00507BEB"/>
    <w:rsid w:val="00507D99"/>
    <w:rsid w:val="005103C5"/>
    <w:rsid w:val="00510412"/>
    <w:rsid w:val="005104F8"/>
    <w:rsid w:val="00510EAC"/>
    <w:rsid w:val="00510FC6"/>
    <w:rsid w:val="005118E3"/>
    <w:rsid w:val="00512C07"/>
    <w:rsid w:val="005131D3"/>
    <w:rsid w:val="0051352C"/>
    <w:rsid w:val="00514FC2"/>
    <w:rsid w:val="005156F5"/>
    <w:rsid w:val="00515BFA"/>
    <w:rsid w:val="00517A86"/>
    <w:rsid w:val="00520C34"/>
    <w:rsid w:val="00520FBB"/>
    <w:rsid w:val="0052349D"/>
    <w:rsid w:val="00524BE8"/>
    <w:rsid w:val="0052575D"/>
    <w:rsid w:val="00526C92"/>
    <w:rsid w:val="005270F1"/>
    <w:rsid w:val="005275FC"/>
    <w:rsid w:val="0052768C"/>
    <w:rsid w:val="00527D5E"/>
    <w:rsid w:val="00527F79"/>
    <w:rsid w:val="00530896"/>
    <w:rsid w:val="005310AF"/>
    <w:rsid w:val="005342C3"/>
    <w:rsid w:val="005348F3"/>
    <w:rsid w:val="00535B04"/>
    <w:rsid w:val="005362F5"/>
    <w:rsid w:val="0053725B"/>
    <w:rsid w:val="00540778"/>
    <w:rsid w:val="00540C57"/>
    <w:rsid w:val="00544282"/>
    <w:rsid w:val="00546454"/>
    <w:rsid w:val="00546F61"/>
    <w:rsid w:val="00547D00"/>
    <w:rsid w:val="0055055C"/>
    <w:rsid w:val="005522BF"/>
    <w:rsid w:val="005531BD"/>
    <w:rsid w:val="005535B4"/>
    <w:rsid w:val="00553A29"/>
    <w:rsid w:val="00553C64"/>
    <w:rsid w:val="005567B2"/>
    <w:rsid w:val="00557870"/>
    <w:rsid w:val="00560277"/>
    <w:rsid w:val="0056045F"/>
    <w:rsid w:val="00560938"/>
    <w:rsid w:val="00560AE5"/>
    <w:rsid w:val="00560AF1"/>
    <w:rsid w:val="00561562"/>
    <w:rsid w:val="00561945"/>
    <w:rsid w:val="005637D5"/>
    <w:rsid w:val="00563DE6"/>
    <w:rsid w:val="00563E88"/>
    <w:rsid w:val="00564F99"/>
    <w:rsid w:val="0056528D"/>
    <w:rsid w:val="0056628B"/>
    <w:rsid w:val="00566298"/>
    <w:rsid w:val="005708D8"/>
    <w:rsid w:val="0057091E"/>
    <w:rsid w:val="005723D6"/>
    <w:rsid w:val="00572D22"/>
    <w:rsid w:val="0057398E"/>
    <w:rsid w:val="00573BA3"/>
    <w:rsid w:val="00574A6E"/>
    <w:rsid w:val="00574F6B"/>
    <w:rsid w:val="00576793"/>
    <w:rsid w:val="00577145"/>
    <w:rsid w:val="005773BE"/>
    <w:rsid w:val="00577B25"/>
    <w:rsid w:val="00580B45"/>
    <w:rsid w:val="0058117A"/>
    <w:rsid w:val="00581429"/>
    <w:rsid w:val="00582337"/>
    <w:rsid w:val="00582365"/>
    <w:rsid w:val="0058287B"/>
    <w:rsid w:val="005841AD"/>
    <w:rsid w:val="0058437D"/>
    <w:rsid w:val="00584D9D"/>
    <w:rsid w:val="00585563"/>
    <w:rsid w:val="00585ABC"/>
    <w:rsid w:val="00585C1B"/>
    <w:rsid w:val="00586801"/>
    <w:rsid w:val="00587639"/>
    <w:rsid w:val="00591519"/>
    <w:rsid w:val="00592638"/>
    <w:rsid w:val="00593138"/>
    <w:rsid w:val="005938D3"/>
    <w:rsid w:val="00593A33"/>
    <w:rsid w:val="005947B5"/>
    <w:rsid w:val="00595645"/>
    <w:rsid w:val="005957EA"/>
    <w:rsid w:val="00595EEF"/>
    <w:rsid w:val="0059607E"/>
    <w:rsid w:val="005960BB"/>
    <w:rsid w:val="00596D99"/>
    <w:rsid w:val="00597407"/>
    <w:rsid w:val="005A0496"/>
    <w:rsid w:val="005A157D"/>
    <w:rsid w:val="005A15C8"/>
    <w:rsid w:val="005A269C"/>
    <w:rsid w:val="005A4047"/>
    <w:rsid w:val="005A4384"/>
    <w:rsid w:val="005A54A3"/>
    <w:rsid w:val="005A5C8A"/>
    <w:rsid w:val="005A7012"/>
    <w:rsid w:val="005A7A5E"/>
    <w:rsid w:val="005A7CFF"/>
    <w:rsid w:val="005A7F2D"/>
    <w:rsid w:val="005B0878"/>
    <w:rsid w:val="005B1C07"/>
    <w:rsid w:val="005B2524"/>
    <w:rsid w:val="005B3432"/>
    <w:rsid w:val="005B3BD6"/>
    <w:rsid w:val="005B53A0"/>
    <w:rsid w:val="005B5D6B"/>
    <w:rsid w:val="005B5EA6"/>
    <w:rsid w:val="005B7D6C"/>
    <w:rsid w:val="005C341D"/>
    <w:rsid w:val="005C4179"/>
    <w:rsid w:val="005C496B"/>
    <w:rsid w:val="005C52D6"/>
    <w:rsid w:val="005C7215"/>
    <w:rsid w:val="005C73C4"/>
    <w:rsid w:val="005D00EA"/>
    <w:rsid w:val="005D023B"/>
    <w:rsid w:val="005D02C4"/>
    <w:rsid w:val="005D11A3"/>
    <w:rsid w:val="005D121E"/>
    <w:rsid w:val="005D2304"/>
    <w:rsid w:val="005D3A04"/>
    <w:rsid w:val="005D3F91"/>
    <w:rsid w:val="005D48FE"/>
    <w:rsid w:val="005D4F7D"/>
    <w:rsid w:val="005D5784"/>
    <w:rsid w:val="005D5924"/>
    <w:rsid w:val="005D60B8"/>
    <w:rsid w:val="005D7471"/>
    <w:rsid w:val="005D749D"/>
    <w:rsid w:val="005D77AB"/>
    <w:rsid w:val="005D7F58"/>
    <w:rsid w:val="005E0889"/>
    <w:rsid w:val="005E2702"/>
    <w:rsid w:val="005E33FE"/>
    <w:rsid w:val="005E5874"/>
    <w:rsid w:val="005E6161"/>
    <w:rsid w:val="005E637E"/>
    <w:rsid w:val="005E6E5C"/>
    <w:rsid w:val="005E7254"/>
    <w:rsid w:val="005E75D5"/>
    <w:rsid w:val="005F1543"/>
    <w:rsid w:val="005F1555"/>
    <w:rsid w:val="005F2978"/>
    <w:rsid w:val="005F2EEF"/>
    <w:rsid w:val="005F4721"/>
    <w:rsid w:val="005F4FEC"/>
    <w:rsid w:val="005F5615"/>
    <w:rsid w:val="005F6608"/>
    <w:rsid w:val="005F6AFE"/>
    <w:rsid w:val="005F720A"/>
    <w:rsid w:val="005F749E"/>
    <w:rsid w:val="005F7FBC"/>
    <w:rsid w:val="006016A4"/>
    <w:rsid w:val="00602F43"/>
    <w:rsid w:val="00603062"/>
    <w:rsid w:val="0060323D"/>
    <w:rsid w:val="00603B08"/>
    <w:rsid w:val="00604F40"/>
    <w:rsid w:val="00605776"/>
    <w:rsid w:val="00605B94"/>
    <w:rsid w:val="00605FA2"/>
    <w:rsid w:val="006063B0"/>
    <w:rsid w:val="00607921"/>
    <w:rsid w:val="00610162"/>
    <w:rsid w:val="00610ABA"/>
    <w:rsid w:val="00613033"/>
    <w:rsid w:val="00613037"/>
    <w:rsid w:val="006135AB"/>
    <w:rsid w:val="006138E4"/>
    <w:rsid w:val="006144F6"/>
    <w:rsid w:val="006150DB"/>
    <w:rsid w:val="00616407"/>
    <w:rsid w:val="00620E5A"/>
    <w:rsid w:val="0062117E"/>
    <w:rsid w:val="00622797"/>
    <w:rsid w:val="006245F9"/>
    <w:rsid w:val="006250D8"/>
    <w:rsid w:val="006250E9"/>
    <w:rsid w:val="0062623B"/>
    <w:rsid w:val="00626970"/>
    <w:rsid w:val="00633B2F"/>
    <w:rsid w:val="00635943"/>
    <w:rsid w:val="00636C7D"/>
    <w:rsid w:val="00637B7C"/>
    <w:rsid w:val="00640C31"/>
    <w:rsid w:val="00641001"/>
    <w:rsid w:val="00643226"/>
    <w:rsid w:val="00643276"/>
    <w:rsid w:val="00643556"/>
    <w:rsid w:val="00644517"/>
    <w:rsid w:val="006459EF"/>
    <w:rsid w:val="006465F3"/>
    <w:rsid w:val="00651ACC"/>
    <w:rsid w:val="006534BF"/>
    <w:rsid w:val="006537D7"/>
    <w:rsid w:val="0065444A"/>
    <w:rsid w:val="00654618"/>
    <w:rsid w:val="00654F2B"/>
    <w:rsid w:val="00654F68"/>
    <w:rsid w:val="00655961"/>
    <w:rsid w:val="00655CF9"/>
    <w:rsid w:val="00655D45"/>
    <w:rsid w:val="0065714C"/>
    <w:rsid w:val="006573AC"/>
    <w:rsid w:val="0065744A"/>
    <w:rsid w:val="006579EF"/>
    <w:rsid w:val="00660A74"/>
    <w:rsid w:val="00661537"/>
    <w:rsid w:val="00661DB5"/>
    <w:rsid w:val="0066203A"/>
    <w:rsid w:val="00662E5F"/>
    <w:rsid w:val="00663BF8"/>
    <w:rsid w:val="006641DC"/>
    <w:rsid w:val="00664434"/>
    <w:rsid w:val="00665509"/>
    <w:rsid w:val="0066561F"/>
    <w:rsid w:val="006657D1"/>
    <w:rsid w:val="00665A2F"/>
    <w:rsid w:val="006661E5"/>
    <w:rsid w:val="00666A58"/>
    <w:rsid w:val="006677CE"/>
    <w:rsid w:val="00670650"/>
    <w:rsid w:val="006712C0"/>
    <w:rsid w:val="00673F2E"/>
    <w:rsid w:val="006744AC"/>
    <w:rsid w:val="00674C7D"/>
    <w:rsid w:val="00680B40"/>
    <w:rsid w:val="00681E4C"/>
    <w:rsid w:val="00681EC9"/>
    <w:rsid w:val="006822FA"/>
    <w:rsid w:val="0068288C"/>
    <w:rsid w:val="00682AE8"/>
    <w:rsid w:val="00683F36"/>
    <w:rsid w:val="00684CCE"/>
    <w:rsid w:val="00685589"/>
    <w:rsid w:val="0068682C"/>
    <w:rsid w:val="006873CE"/>
    <w:rsid w:val="00687C11"/>
    <w:rsid w:val="006902D5"/>
    <w:rsid w:val="00690485"/>
    <w:rsid w:val="0069160D"/>
    <w:rsid w:val="006919F9"/>
    <w:rsid w:val="006920D8"/>
    <w:rsid w:val="0069388D"/>
    <w:rsid w:val="006938AA"/>
    <w:rsid w:val="00693B4B"/>
    <w:rsid w:val="0069460D"/>
    <w:rsid w:val="0069474B"/>
    <w:rsid w:val="0069475D"/>
    <w:rsid w:val="00697966"/>
    <w:rsid w:val="006A11ED"/>
    <w:rsid w:val="006A182C"/>
    <w:rsid w:val="006A3A2B"/>
    <w:rsid w:val="006A51BF"/>
    <w:rsid w:val="006A6BF1"/>
    <w:rsid w:val="006A6E75"/>
    <w:rsid w:val="006B1B74"/>
    <w:rsid w:val="006B2031"/>
    <w:rsid w:val="006B3032"/>
    <w:rsid w:val="006B3C6C"/>
    <w:rsid w:val="006B4B4A"/>
    <w:rsid w:val="006B4CE0"/>
    <w:rsid w:val="006B6EC1"/>
    <w:rsid w:val="006B75C6"/>
    <w:rsid w:val="006C2ACC"/>
    <w:rsid w:val="006C354C"/>
    <w:rsid w:val="006C3B76"/>
    <w:rsid w:val="006C4572"/>
    <w:rsid w:val="006C5A52"/>
    <w:rsid w:val="006C5BD5"/>
    <w:rsid w:val="006C5D53"/>
    <w:rsid w:val="006C7B03"/>
    <w:rsid w:val="006D0EC2"/>
    <w:rsid w:val="006D1B19"/>
    <w:rsid w:val="006D2355"/>
    <w:rsid w:val="006D32C1"/>
    <w:rsid w:val="006D3900"/>
    <w:rsid w:val="006D42A3"/>
    <w:rsid w:val="006D4C72"/>
    <w:rsid w:val="006D4E4C"/>
    <w:rsid w:val="006D5585"/>
    <w:rsid w:val="006D5885"/>
    <w:rsid w:val="006D5F76"/>
    <w:rsid w:val="006D6D96"/>
    <w:rsid w:val="006D7211"/>
    <w:rsid w:val="006D75C8"/>
    <w:rsid w:val="006E10B0"/>
    <w:rsid w:val="006E12F6"/>
    <w:rsid w:val="006E2025"/>
    <w:rsid w:val="006E3BA7"/>
    <w:rsid w:val="006E4B64"/>
    <w:rsid w:val="006F0D46"/>
    <w:rsid w:val="006F23DD"/>
    <w:rsid w:val="006F424D"/>
    <w:rsid w:val="006F502F"/>
    <w:rsid w:val="006F5158"/>
    <w:rsid w:val="006F79CA"/>
    <w:rsid w:val="00700950"/>
    <w:rsid w:val="00700A4F"/>
    <w:rsid w:val="00701136"/>
    <w:rsid w:val="0070319A"/>
    <w:rsid w:val="00703306"/>
    <w:rsid w:val="00703CB4"/>
    <w:rsid w:val="0070465A"/>
    <w:rsid w:val="007056A6"/>
    <w:rsid w:val="00705CB0"/>
    <w:rsid w:val="00707C18"/>
    <w:rsid w:val="007103A9"/>
    <w:rsid w:val="00710BA1"/>
    <w:rsid w:val="007116D1"/>
    <w:rsid w:val="007136CB"/>
    <w:rsid w:val="00713852"/>
    <w:rsid w:val="00713BC4"/>
    <w:rsid w:val="00714FDD"/>
    <w:rsid w:val="00715FC8"/>
    <w:rsid w:val="007169D4"/>
    <w:rsid w:val="00716AD2"/>
    <w:rsid w:val="007203CA"/>
    <w:rsid w:val="00722171"/>
    <w:rsid w:val="007226F5"/>
    <w:rsid w:val="00722933"/>
    <w:rsid w:val="00723586"/>
    <w:rsid w:val="00723B2C"/>
    <w:rsid w:val="00724A47"/>
    <w:rsid w:val="00724ED0"/>
    <w:rsid w:val="00724F92"/>
    <w:rsid w:val="007253D6"/>
    <w:rsid w:val="0072556D"/>
    <w:rsid w:val="00725732"/>
    <w:rsid w:val="0072578A"/>
    <w:rsid w:val="0072597A"/>
    <w:rsid w:val="00732313"/>
    <w:rsid w:val="00735B4C"/>
    <w:rsid w:val="0073792C"/>
    <w:rsid w:val="00737C5F"/>
    <w:rsid w:val="00741B4B"/>
    <w:rsid w:val="0074257A"/>
    <w:rsid w:val="007428C9"/>
    <w:rsid w:val="00742CBD"/>
    <w:rsid w:val="00746136"/>
    <w:rsid w:val="00746419"/>
    <w:rsid w:val="00747434"/>
    <w:rsid w:val="0074788B"/>
    <w:rsid w:val="00747B5A"/>
    <w:rsid w:val="00747DE5"/>
    <w:rsid w:val="0075012F"/>
    <w:rsid w:val="00750757"/>
    <w:rsid w:val="00751152"/>
    <w:rsid w:val="0075137C"/>
    <w:rsid w:val="007516FC"/>
    <w:rsid w:val="00753DA7"/>
    <w:rsid w:val="0075418A"/>
    <w:rsid w:val="0076227F"/>
    <w:rsid w:val="0076260D"/>
    <w:rsid w:val="007634E1"/>
    <w:rsid w:val="00763B77"/>
    <w:rsid w:val="00765575"/>
    <w:rsid w:val="00765D26"/>
    <w:rsid w:val="0076702C"/>
    <w:rsid w:val="00767F6C"/>
    <w:rsid w:val="00771162"/>
    <w:rsid w:val="00771CF8"/>
    <w:rsid w:val="00772829"/>
    <w:rsid w:val="00774004"/>
    <w:rsid w:val="00775448"/>
    <w:rsid w:val="0077584F"/>
    <w:rsid w:val="0077622E"/>
    <w:rsid w:val="0077655E"/>
    <w:rsid w:val="00777848"/>
    <w:rsid w:val="00777893"/>
    <w:rsid w:val="0078073B"/>
    <w:rsid w:val="00783228"/>
    <w:rsid w:val="00783D0E"/>
    <w:rsid w:val="00784341"/>
    <w:rsid w:val="007852E9"/>
    <w:rsid w:val="00785458"/>
    <w:rsid w:val="00785863"/>
    <w:rsid w:val="00785E9B"/>
    <w:rsid w:val="007863E5"/>
    <w:rsid w:val="00790B15"/>
    <w:rsid w:val="00790B17"/>
    <w:rsid w:val="00790F49"/>
    <w:rsid w:val="0079266C"/>
    <w:rsid w:val="007931CB"/>
    <w:rsid w:val="007949DA"/>
    <w:rsid w:val="007951D4"/>
    <w:rsid w:val="007964AB"/>
    <w:rsid w:val="00796C0C"/>
    <w:rsid w:val="007971FD"/>
    <w:rsid w:val="00797713"/>
    <w:rsid w:val="00797C46"/>
    <w:rsid w:val="00797F8D"/>
    <w:rsid w:val="007A1048"/>
    <w:rsid w:val="007A1915"/>
    <w:rsid w:val="007A19F6"/>
    <w:rsid w:val="007A2B65"/>
    <w:rsid w:val="007A4516"/>
    <w:rsid w:val="007A5617"/>
    <w:rsid w:val="007A6F35"/>
    <w:rsid w:val="007A77CE"/>
    <w:rsid w:val="007B010E"/>
    <w:rsid w:val="007B0245"/>
    <w:rsid w:val="007B083F"/>
    <w:rsid w:val="007B0880"/>
    <w:rsid w:val="007B0D01"/>
    <w:rsid w:val="007B2085"/>
    <w:rsid w:val="007B20D6"/>
    <w:rsid w:val="007B2FDC"/>
    <w:rsid w:val="007B31DA"/>
    <w:rsid w:val="007B38A0"/>
    <w:rsid w:val="007B38B7"/>
    <w:rsid w:val="007B4F7B"/>
    <w:rsid w:val="007B583D"/>
    <w:rsid w:val="007B6537"/>
    <w:rsid w:val="007B6684"/>
    <w:rsid w:val="007B6B21"/>
    <w:rsid w:val="007B7024"/>
    <w:rsid w:val="007B7C16"/>
    <w:rsid w:val="007B7F24"/>
    <w:rsid w:val="007C0390"/>
    <w:rsid w:val="007C06FB"/>
    <w:rsid w:val="007C0A5B"/>
    <w:rsid w:val="007C12F6"/>
    <w:rsid w:val="007C14A2"/>
    <w:rsid w:val="007C2499"/>
    <w:rsid w:val="007C300E"/>
    <w:rsid w:val="007C328D"/>
    <w:rsid w:val="007C336F"/>
    <w:rsid w:val="007C41B1"/>
    <w:rsid w:val="007C488F"/>
    <w:rsid w:val="007C54D2"/>
    <w:rsid w:val="007C6249"/>
    <w:rsid w:val="007D30B7"/>
    <w:rsid w:val="007D3399"/>
    <w:rsid w:val="007D3705"/>
    <w:rsid w:val="007D3C2A"/>
    <w:rsid w:val="007D3CA1"/>
    <w:rsid w:val="007D6FCC"/>
    <w:rsid w:val="007D77FE"/>
    <w:rsid w:val="007E15AD"/>
    <w:rsid w:val="007E1A42"/>
    <w:rsid w:val="007E1DDC"/>
    <w:rsid w:val="007E2170"/>
    <w:rsid w:val="007E25ED"/>
    <w:rsid w:val="007E2BC0"/>
    <w:rsid w:val="007E6817"/>
    <w:rsid w:val="007E6ECB"/>
    <w:rsid w:val="007F113B"/>
    <w:rsid w:val="007F1F5A"/>
    <w:rsid w:val="007F67E9"/>
    <w:rsid w:val="007F6BB1"/>
    <w:rsid w:val="007F71A5"/>
    <w:rsid w:val="007F7C7B"/>
    <w:rsid w:val="008007BD"/>
    <w:rsid w:val="00801346"/>
    <w:rsid w:val="008040A2"/>
    <w:rsid w:val="00804632"/>
    <w:rsid w:val="00804C78"/>
    <w:rsid w:val="008054D9"/>
    <w:rsid w:val="00805EBB"/>
    <w:rsid w:val="008065B8"/>
    <w:rsid w:val="00806688"/>
    <w:rsid w:val="00807A3E"/>
    <w:rsid w:val="00810184"/>
    <w:rsid w:val="00810338"/>
    <w:rsid w:val="00812282"/>
    <w:rsid w:val="00813057"/>
    <w:rsid w:val="008148E4"/>
    <w:rsid w:val="008157F1"/>
    <w:rsid w:val="0081695A"/>
    <w:rsid w:val="00816EC2"/>
    <w:rsid w:val="008220B1"/>
    <w:rsid w:val="0082249B"/>
    <w:rsid w:val="008230B3"/>
    <w:rsid w:val="008236E1"/>
    <w:rsid w:val="00823FB0"/>
    <w:rsid w:val="00824458"/>
    <w:rsid w:val="00824980"/>
    <w:rsid w:val="008249F7"/>
    <w:rsid w:val="00824B74"/>
    <w:rsid w:val="00826BCF"/>
    <w:rsid w:val="00826DE2"/>
    <w:rsid w:val="00827027"/>
    <w:rsid w:val="00830B11"/>
    <w:rsid w:val="00834FA5"/>
    <w:rsid w:val="0083523C"/>
    <w:rsid w:val="00835EC9"/>
    <w:rsid w:val="00841388"/>
    <w:rsid w:val="00841EFB"/>
    <w:rsid w:val="00841F44"/>
    <w:rsid w:val="00842C82"/>
    <w:rsid w:val="008436D7"/>
    <w:rsid w:val="00843C0D"/>
    <w:rsid w:val="00843CC0"/>
    <w:rsid w:val="008440FE"/>
    <w:rsid w:val="008442B9"/>
    <w:rsid w:val="00844E53"/>
    <w:rsid w:val="00846119"/>
    <w:rsid w:val="008474E3"/>
    <w:rsid w:val="008474EA"/>
    <w:rsid w:val="008475B7"/>
    <w:rsid w:val="008527ED"/>
    <w:rsid w:val="0085357A"/>
    <w:rsid w:val="008537F7"/>
    <w:rsid w:val="008546BE"/>
    <w:rsid w:val="00856074"/>
    <w:rsid w:val="0085662B"/>
    <w:rsid w:val="00856F33"/>
    <w:rsid w:val="00857949"/>
    <w:rsid w:val="00862CCB"/>
    <w:rsid w:val="008702D0"/>
    <w:rsid w:val="00870CBF"/>
    <w:rsid w:val="008719C2"/>
    <w:rsid w:val="008722DE"/>
    <w:rsid w:val="0087277A"/>
    <w:rsid w:val="00872A47"/>
    <w:rsid w:val="008736E2"/>
    <w:rsid w:val="00874565"/>
    <w:rsid w:val="00875C78"/>
    <w:rsid w:val="00877247"/>
    <w:rsid w:val="00877B86"/>
    <w:rsid w:val="008801AE"/>
    <w:rsid w:val="008809C1"/>
    <w:rsid w:val="00880AA3"/>
    <w:rsid w:val="00880E90"/>
    <w:rsid w:val="0088421C"/>
    <w:rsid w:val="008843FE"/>
    <w:rsid w:val="0088445B"/>
    <w:rsid w:val="008866AD"/>
    <w:rsid w:val="00891085"/>
    <w:rsid w:val="00891AF6"/>
    <w:rsid w:val="00891BC3"/>
    <w:rsid w:val="008937C8"/>
    <w:rsid w:val="00894343"/>
    <w:rsid w:val="008967C4"/>
    <w:rsid w:val="008A0053"/>
    <w:rsid w:val="008A0D2A"/>
    <w:rsid w:val="008A147A"/>
    <w:rsid w:val="008A1693"/>
    <w:rsid w:val="008A1B12"/>
    <w:rsid w:val="008A254F"/>
    <w:rsid w:val="008A2630"/>
    <w:rsid w:val="008A3B15"/>
    <w:rsid w:val="008A5833"/>
    <w:rsid w:val="008B3A88"/>
    <w:rsid w:val="008B4BFC"/>
    <w:rsid w:val="008B4F73"/>
    <w:rsid w:val="008B51B4"/>
    <w:rsid w:val="008B56C0"/>
    <w:rsid w:val="008B56CD"/>
    <w:rsid w:val="008B5A04"/>
    <w:rsid w:val="008B5B67"/>
    <w:rsid w:val="008B5D7A"/>
    <w:rsid w:val="008B6459"/>
    <w:rsid w:val="008B66E3"/>
    <w:rsid w:val="008B7848"/>
    <w:rsid w:val="008B7891"/>
    <w:rsid w:val="008C0E19"/>
    <w:rsid w:val="008C1CA2"/>
    <w:rsid w:val="008C1E05"/>
    <w:rsid w:val="008C34BB"/>
    <w:rsid w:val="008C3BDE"/>
    <w:rsid w:val="008C40C3"/>
    <w:rsid w:val="008C45E2"/>
    <w:rsid w:val="008C513A"/>
    <w:rsid w:val="008C65AC"/>
    <w:rsid w:val="008D2D67"/>
    <w:rsid w:val="008D2F4B"/>
    <w:rsid w:val="008D3726"/>
    <w:rsid w:val="008D430B"/>
    <w:rsid w:val="008D4708"/>
    <w:rsid w:val="008D4CB0"/>
    <w:rsid w:val="008D5C85"/>
    <w:rsid w:val="008D5EAC"/>
    <w:rsid w:val="008D6397"/>
    <w:rsid w:val="008D73C9"/>
    <w:rsid w:val="008D76AD"/>
    <w:rsid w:val="008D78CC"/>
    <w:rsid w:val="008E16BF"/>
    <w:rsid w:val="008E27DC"/>
    <w:rsid w:val="008E3049"/>
    <w:rsid w:val="008E35A3"/>
    <w:rsid w:val="008E36F3"/>
    <w:rsid w:val="008E3FE6"/>
    <w:rsid w:val="008E56B1"/>
    <w:rsid w:val="008E62ED"/>
    <w:rsid w:val="008E6443"/>
    <w:rsid w:val="008E7274"/>
    <w:rsid w:val="008F0562"/>
    <w:rsid w:val="008F0BB1"/>
    <w:rsid w:val="008F0F2B"/>
    <w:rsid w:val="008F1713"/>
    <w:rsid w:val="008F1B63"/>
    <w:rsid w:val="008F260B"/>
    <w:rsid w:val="00900E41"/>
    <w:rsid w:val="009012C1"/>
    <w:rsid w:val="00904A8A"/>
    <w:rsid w:val="00906821"/>
    <w:rsid w:val="00906E65"/>
    <w:rsid w:val="00910923"/>
    <w:rsid w:val="00913A18"/>
    <w:rsid w:val="009142FB"/>
    <w:rsid w:val="009144D5"/>
    <w:rsid w:val="00915F98"/>
    <w:rsid w:val="00915FA3"/>
    <w:rsid w:val="009165FF"/>
    <w:rsid w:val="009166BF"/>
    <w:rsid w:val="00916B5A"/>
    <w:rsid w:val="00920AA8"/>
    <w:rsid w:val="00920C9C"/>
    <w:rsid w:val="009217F8"/>
    <w:rsid w:val="009228DD"/>
    <w:rsid w:val="0092470E"/>
    <w:rsid w:val="00925187"/>
    <w:rsid w:val="00925BDB"/>
    <w:rsid w:val="00926127"/>
    <w:rsid w:val="0092709C"/>
    <w:rsid w:val="0092717F"/>
    <w:rsid w:val="00927744"/>
    <w:rsid w:val="00927B05"/>
    <w:rsid w:val="00927F3F"/>
    <w:rsid w:val="00930F4E"/>
    <w:rsid w:val="00931DC1"/>
    <w:rsid w:val="00931DE5"/>
    <w:rsid w:val="00931EDD"/>
    <w:rsid w:val="009327EB"/>
    <w:rsid w:val="0093283F"/>
    <w:rsid w:val="009328BC"/>
    <w:rsid w:val="00934CFD"/>
    <w:rsid w:val="00934DE2"/>
    <w:rsid w:val="0093501F"/>
    <w:rsid w:val="00936062"/>
    <w:rsid w:val="00937CBE"/>
    <w:rsid w:val="009406CB"/>
    <w:rsid w:val="0094333D"/>
    <w:rsid w:val="00944087"/>
    <w:rsid w:val="00944404"/>
    <w:rsid w:val="00944E74"/>
    <w:rsid w:val="00945AB7"/>
    <w:rsid w:val="0095012E"/>
    <w:rsid w:val="00950F07"/>
    <w:rsid w:val="00951934"/>
    <w:rsid w:val="0095207B"/>
    <w:rsid w:val="00954C8C"/>
    <w:rsid w:val="009550BD"/>
    <w:rsid w:val="009561D2"/>
    <w:rsid w:val="0095672D"/>
    <w:rsid w:val="00956ACE"/>
    <w:rsid w:val="009571A3"/>
    <w:rsid w:val="009572A0"/>
    <w:rsid w:val="00957D24"/>
    <w:rsid w:val="009603BC"/>
    <w:rsid w:val="00960DCF"/>
    <w:rsid w:val="00961B53"/>
    <w:rsid w:val="00962EDB"/>
    <w:rsid w:val="00963264"/>
    <w:rsid w:val="0096389D"/>
    <w:rsid w:val="00964A40"/>
    <w:rsid w:val="00965A74"/>
    <w:rsid w:val="009676C0"/>
    <w:rsid w:val="00967797"/>
    <w:rsid w:val="00967C92"/>
    <w:rsid w:val="00973D05"/>
    <w:rsid w:val="00975734"/>
    <w:rsid w:val="00975AC5"/>
    <w:rsid w:val="009803A9"/>
    <w:rsid w:val="009803CB"/>
    <w:rsid w:val="009803D4"/>
    <w:rsid w:val="009807A2"/>
    <w:rsid w:val="009809A5"/>
    <w:rsid w:val="00980F88"/>
    <w:rsid w:val="009811DB"/>
    <w:rsid w:val="0098199C"/>
    <w:rsid w:val="00981BA8"/>
    <w:rsid w:val="00981D1D"/>
    <w:rsid w:val="0098427B"/>
    <w:rsid w:val="00984F70"/>
    <w:rsid w:val="00986502"/>
    <w:rsid w:val="009871D2"/>
    <w:rsid w:val="009873F3"/>
    <w:rsid w:val="00987F76"/>
    <w:rsid w:val="00990A4F"/>
    <w:rsid w:val="009913BB"/>
    <w:rsid w:val="00992A5F"/>
    <w:rsid w:val="00992FC1"/>
    <w:rsid w:val="00995112"/>
    <w:rsid w:val="00995E98"/>
    <w:rsid w:val="00996085"/>
    <w:rsid w:val="009968A4"/>
    <w:rsid w:val="00996F15"/>
    <w:rsid w:val="00997BA8"/>
    <w:rsid w:val="009A06F4"/>
    <w:rsid w:val="009A1B4E"/>
    <w:rsid w:val="009A3778"/>
    <w:rsid w:val="009A3E2E"/>
    <w:rsid w:val="009A54E5"/>
    <w:rsid w:val="009A64A8"/>
    <w:rsid w:val="009A6B33"/>
    <w:rsid w:val="009A7F34"/>
    <w:rsid w:val="009B2245"/>
    <w:rsid w:val="009B258E"/>
    <w:rsid w:val="009B267D"/>
    <w:rsid w:val="009B5997"/>
    <w:rsid w:val="009B6367"/>
    <w:rsid w:val="009B6B23"/>
    <w:rsid w:val="009B77A0"/>
    <w:rsid w:val="009B79D4"/>
    <w:rsid w:val="009B7ABD"/>
    <w:rsid w:val="009C0C51"/>
    <w:rsid w:val="009C182F"/>
    <w:rsid w:val="009C1D27"/>
    <w:rsid w:val="009C3327"/>
    <w:rsid w:val="009C3BD9"/>
    <w:rsid w:val="009C4DE7"/>
    <w:rsid w:val="009C523D"/>
    <w:rsid w:val="009C5B82"/>
    <w:rsid w:val="009C626A"/>
    <w:rsid w:val="009C756E"/>
    <w:rsid w:val="009C75E4"/>
    <w:rsid w:val="009D21BE"/>
    <w:rsid w:val="009D27B2"/>
    <w:rsid w:val="009D3C3D"/>
    <w:rsid w:val="009D46C4"/>
    <w:rsid w:val="009D5288"/>
    <w:rsid w:val="009D6558"/>
    <w:rsid w:val="009E2AD3"/>
    <w:rsid w:val="009E2BD5"/>
    <w:rsid w:val="009E3E7B"/>
    <w:rsid w:val="009E3F3D"/>
    <w:rsid w:val="009E47E5"/>
    <w:rsid w:val="009E54A9"/>
    <w:rsid w:val="009E55C8"/>
    <w:rsid w:val="009E5995"/>
    <w:rsid w:val="009E6377"/>
    <w:rsid w:val="009F0469"/>
    <w:rsid w:val="009F146F"/>
    <w:rsid w:val="009F3221"/>
    <w:rsid w:val="009F3C75"/>
    <w:rsid w:val="009F400D"/>
    <w:rsid w:val="009F62CF"/>
    <w:rsid w:val="009F6D02"/>
    <w:rsid w:val="009F6EEC"/>
    <w:rsid w:val="009F734E"/>
    <w:rsid w:val="00A0037E"/>
    <w:rsid w:val="00A006A3"/>
    <w:rsid w:val="00A01303"/>
    <w:rsid w:val="00A0139E"/>
    <w:rsid w:val="00A02C4F"/>
    <w:rsid w:val="00A0410E"/>
    <w:rsid w:val="00A04A09"/>
    <w:rsid w:val="00A04BC3"/>
    <w:rsid w:val="00A05821"/>
    <w:rsid w:val="00A05D1D"/>
    <w:rsid w:val="00A05EA2"/>
    <w:rsid w:val="00A076CC"/>
    <w:rsid w:val="00A10193"/>
    <w:rsid w:val="00A1165C"/>
    <w:rsid w:val="00A11A6F"/>
    <w:rsid w:val="00A1246D"/>
    <w:rsid w:val="00A125D6"/>
    <w:rsid w:val="00A12D2E"/>
    <w:rsid w:val="00A13048"/>
    <w:rsid w:val="00A13CB1"/>
    <w:rsid w:val="00A1409C"/>
    <w:rsid w:val="00A14E53"/>
    <w:rsid w:val="00A15580"/>
    <w:rsid w:val="00A15F54"/>
    <w:rsid w:val="00A16449"/>
    <w:rsid w:val="00A212F0"/>
    <w:rsid w:val="00A22EFC"/>
    <w:rsid w:val="00A234A4"/>
    <w:rsid w:val="00A2356E"/>
    <w:rsid w:val="00A2604F"/>
    <w:rsid w:val="00A26389"/>
    <w:rsid w:val="00A303B8"/>
    <w:rsid w:val="00A322AD"/>
    <w:rsid w:val="00A3278D"/>
    <w:rsid w:val="00A334E2"/>
    <w:rsid w:val="00A34119"/>
    <w:rsid w:val="00A34735"/>
    <w:rsid w:val="00A352CC"/>
    <w:rsid w:val="00A361C3"/>
    <w:rsid w:val="00A411FA"/>
    <w:rsid w:val="00A4331B"/>
    <w:rsid w:val="00A44674"/>
    <w:rsid w:val="00A44EC1"/>
    <w:rsid w:val="00A454B3"/>
    <w:rsid w:val="00A45E52"/>
    <w:rsid w:val="00A46652"/>
    <w:rsid w:val="00A46D15"/>
    <w:rsid w:val="00A4713D"/>
    <w:rsid w:val="00A50416"/>
    <w:rsid w:val="00A50CEA"/>
    <w:rsid w:val="00A51522"/>
    <w:rsid w:val="00A527C8"/>
    <w:rsid w:val="00A52A33"/>
    <w:rsid w:val="00A5323B"/>
    <w:rsid w:val="00A54DBC"/>
    <w:rsid w:val="00A54FB4"/>
    <w:rsid w:val="00A55CEC"/>
    <w:rsid w:val="00A55ECE"/>
    <w:rsid w:val="00A56DE0"/>
    <w:rsid w:val="00A5761F"/>
    <w:rsid w:val="00A57669"/>
    <w:rsid w:val="00A60FB2"/>
    <w:rsid w:val="00A614EB"/>
    <w:rsid w:val="00A63C18"/>
    <w:rsid w:val="00A64DC2"/>
    <w:rsid w:val="00A65430"/>
    <w:rsid w:val="00A662DC"/>
    <w:rsid w:val="00A66DE0"/>
    <w:rsid w:val="00A6741B"/>
    <w:rsid w:val="00A70211"/>
    <w:rsid w:val="00A7137C"/>
    <w:rsid w:val="00A7183A"/>
    <w:rsid w:val="00A73185"/>
    <w:rsid w:val="00A74154"/>
    <w:rsid w:val="00A74226"/>
    <w:rsid w:val="00A757B0"/>
    <w:rsid w:val="00A75E61"/>
    <w:rsid w:val="00A76F8A"/>
    <w:rsid w:val="00A776A4"/>
    <w:rsid w:val="00A8049D"/>
    <w:rsid w:val="00A822C2"/>
    <w:rsid w:val="00A82990"/>
    <w:rsid w:val="00A8338C"/>
    <w:rsid w:val="00A8415A"/>
    <w:rsid w:val="00A84545"/>
    <w:rsid w:val="00A85F1F"/>
    <w:rsid w:val="00A8699B"/>
    <w:rsid w:val="00A90401"/>
    <w:rsid w:val="00A921E3"/>
    <w:rsid w:val="00A9386E"/>
    <w:rsid w:val="00A94B30"/>
    <w:rsid w:val="00A94D20"/>
    <w:rsid w:val="00A95439"/>
    <w:rsid w:val="00A96400"/>
    <w:rsid w:val="00A96A3F"/>
    <w:rsid w:val="00A96FCF"/>
    <w:rsid w:val="00A9752B"/>
    <w:rsid w:val="00A97FC6"/>
    <w:rsid w:val="00AA02CD"/>
    <w:rsid w:val="00AA071A"/>
    <w:rsid w:val="00AA2461"/>
    <w:rsid w:val="00AA2865"/>
    <w:rsid w:val="00AA3A9B"/>
    <w:rsid w:val="00AA3BF1"/>
    <w:rsid w:val="00AA3D49"/>
    <w:rsid w:val="00AA5007"/>
    <w:rsid w:val="00AA5410"/>
    <w:rsid w:val="00AA6E86"/>
    <w:rsid w:val="00AB1E95"/>
    <w:rsid w:val="00AB21C6"/>
    <w:rsid w:val="00AB2841"/>
    <w:rsid w:val="00AB382E"/>
    <w:rsid w:val="00AC2F2F"/>
    <w:rsid w:val="00AC57BC"/>
    <w:rsid w:val="00AC6117"/>
    <w:rsid w:val="00AC6703"/>
    <w:rsid w:val="00AC6AF7"/>
    <w:rsid w:val="00AC6F7D"/>
    <w:rsid w:val="00AC720A"/>
    <w:rsid w:val="00AC7AEA"/>
    <w:rsid w:val="00AD146A"/>
    <w:rsid w:val="00AD16E2"/>
    <w:rsid w:val="00AD345C"/>
    <w:rsid w:val="00AD4814"/>
    <w:rsid w:val="00AD4B38"/>
    <w:rsid w:val="00AD60EA"/>
    <w:rsid w:val="00AD67D4"/>
    <w:rsid w:val="00AD6F96"/>
    <w:rsid w:val="00AD7162"/>
    <w:rsid w:val="00AD7A1C"/>
    <w:rsid w:val="00AE39FC"/>
    <w:rsid w:val="00AE4331"/>
    <w:rsid w:val="00AE566B"/>
    <w:rsid w:val="00AE614D"/>
    <w:rsid w:val="00AE7849"/>
    <w:rsid w:val="00AE7977"/>
    <w:rsid w:val="00AF0B43"/>
    <w:rsid w:val="00AF1F10"/>
    <w:rsid w:val="00AF3D39"/>
    <w:rsid w:val="00AF497B"/>
    <w:rsid w:val="00AF50F7"/>
    <w:rsid w:val="00AF5D79"/>
    <w:rsid w:val="00AF5FA1"/>
    <w:rsid w:val="00AF6A4C"/>
    <w:rsid w:val="00AF7BC7"/>
    <w:rsid w:val="00B00A8C"/>
    <w:rsid w:val="00B02183"/>
    <w:rsid w:val="00B04373"/>
    <w:rsid w:val="00B047C2"/>
    <w:rsid w:val="00B04CB1"/>
    <w:rsid w:val="00B05635"/>
    <w:rsid w:val="00B07620"/>
    <w:rsid w:val="00B1314F"/>
    <w:rsid w:val="00B14153"/>
    <w:rsid w:val="00B151CF"/>
    <w:rsid w:val="00B16B7A"/>
    <w:rsid w:val="00B20445"/>
    <w:rsid w:val="00B247AD"/>
    <w:rsid w:val="00B25D05"/>
    <w:rsid w:val="00B25E79"/>
    <w:rsid w:val="00B263C8"/>
    <w:rsid w:val="00B26622"/>
    <w:rsid w:val="00B26669"/>
    <w:rsid w:val="00B276B4"/>
    <w:rsid w:val="00B27ADF"/>
    <w:rsid w:val="00B27B57"/>
    <w:rsid w:val="00B303F6"/>
    <w:rsid w:val="00B307B7"/>
    <w:rsid w:val="00B30819"/>
    <w:rsid w:val="00B310F4"/>
    <w:rsid w:val="00B31D20"/>
    <w:rsid w:val="00B32E14"/>
    <w:rsid w:val="00B36028"/>
    <w:rsid w:val="00B368E8"/>
    <w:rsid w:val="00B37058"/>
    <w:rsid w:val="00B40064"/>
    <w:rsid w:val="00B40116"/>
    <w:rsid w:val="00B41993"/>
    <w:rsid w:val="00B41DB4"/>
    <w:rsid w:val="00B47276"/>
    <w:rsid w:val="00B47EAD"/>
    <w:rsid w:val="00B50A44"/>
    <w:rsid w:val="00B51107"/>
    <w:rsid w:val="00B513A3"/>
    <w:rsid w:val="00B542F8"/>
    <w:rsid w:val="00B54EF3"/>
    <w:rsid w:val="00B55524"/>
    <w:rsid w:val="00B5636A"/>
    <w:rsid w:val="00B575BF"/>
    <w:rsid w:val="00B57600"/>
    <w:rsid w:val="00B603FC"/>
    <w:rsid w:val="00B6097A"/>
    <w:rsid w:val="00B612EA"/>
    <w:rsid w:val="00B61C66"/>
    <w:rsid w:val="00B61CBA"/>
    <w:rsid w:val="00B62604"/>
    <w:rsid w:val="00B62DF2"/>
    <w:rsid w:val="00B63B16"/>
    <w:rsid w:val="00B64F63"/>
    <w:rsid w:val="00B66471"/>
    <w:rsid w:val="00B66A87"/>
    <w:rsid w:val="00B6793A"/>
    <w:rsid w:val="00B7106B"/>
    <w:rsid w:val="00B712D0"/>
    <w:rsid w:val="00B719DB"/>
    <w:rsid w:val="00B7242D"/>
    <w:rsid w:val="00B744D2"/>
    <w:rsid w:val="00B757E5"/>
    <w:rsid w:val="00B81F38"/>
    <w:rsid w:val="00B82B40"/>
    <w:rsid w:val="00B835C9"/>
    <w:rsid w:val="00B83B62"/>
    <w:rsid w:val="00B8535F"/>
    <w:rsid w:val="00B878CD"/>
    <w:rsid w:val="00B87929"/>
    <w:rsid w:val="00B87E90"/>
    <w:rsid w:val="00B90F41"/>
    <w:rsid w:val="00B9112E"/>
    <w:rsid w:val="00B9130A"/>
    <w:rsid w:val="00B91CB1"/>
    <w:rsid w:val="00B91CBD"/>
    <w:rsid w:val="00B9249B"/>
    <w:rsid w:val="00B92EEC"/>
    <w:rsid w:val="00B9379C"/>
    <w:rsid w:val="00B9536C"/>
    <w:rsid w:val="00B967B4"/>
    <w:rsid w:val="00B9688C"/>
    <w:rsid w:val="00B968C4"/>
    <w:rsid w:val="00B97961"/>
    <w:rsid w:val="00BA0420"/>
    <w:rsid w:val="00BA1FFB"/>
    <w:rsid w:val="00BA2B3F"/>
    <w:rsid w:val="00BA4E45"/>
    <w:rsid w:val="00BA59FB"/>
    <w:rsid w:val="00BA6071"/>
    <w:rsid w:val="00BA6175"/>
    <w:rsid w:val="00BB14A3"/>
    <w:rsid w:val="00BB2BC3"/>
    <w:rsid w:val="00BB4EC3"/>
    <w:rsid w:val="00BB582C"/>
    <w:rsid w:val="00BB67F3"/>
    <w:rsid w:val="00BB74D8"/>
    <w:rsid w:val="00BC15DE"/>
    <w:rsid w:val="00BC17C8"/>
    <w:rsid w:val="00BC20B6"/>
    <w:rsid w:val="00BC2444"/>
    <w:rsid w:val="00BC369C"/>
    <w:rsid w:val="00BC3D7D"/>
    <w:rsid w:val="00BC3F78"/>
    <w:rsid w:val="00BC4972"/>
    <w:rsid w:val="00BC5CDE"/>
    <w:rsid w:val="00BC5F88"/>
    <w:rsid w:val="00BC660F"/>
    <w:rsid w:val="00BC6897"/>
    <w:rsid w:val="00BC7450"/>
    <w:rsid w:val="00BD1B8D"/>
    <w:rsid w:val="00BD22C9"/>
    <w:rsid w:val="00BD277E"/>
    <w:rsid w:val="00BD32E0"/>
    <w:rsid w:val="00BD33D4"/>
    <w:rsid w:val="00BD341C"/>
    <w:rsid w:val="00BD40B1"/>
    <w:rsid w:val="00BD4639"/>
    <w:rsid w:val="00BD784D"/>
    <w:rsid w:val="00BE0242"/>
    <w:rsid w:val="00BE3300"/>
    <w:rsid w:val="00BE47BF"/>
    <w:rsid w:val="00BE4FA6"/>
    <w:rsid w:val="00BE5374"/>
    <w:rsid w:val="00BE627A"/>
    <w:rsid w:val="00BE6296"/>
    <w:rsid w:val="00BE6CE8"/>
    <w:rsid w:val="00BF179D"/>
    <w:rsid w:val="00BF4048"/>
    <w:rsid w:val="00BF4080"/>
    <w:rsid w:val="00BF501E"/>
    <w:rsid w:val="00BF706C"/>
    <w:rsid w:val="00BF7114"/>
    <w:rsid w:val="00BF7C54"/>
    <w:rsid w:val="00C01D5F"/>
    <w:rsid w:val="00C02CCE"/>
    <w:rsid w:val="00C0345A"/>
    <w:rsid w:val="00C03511"/>
    <w:rsid w:val="00C04851"/>
    <w:rsid w:val="00C04C3A"/>
    <w:rsid w:val="00C05700"/>
    <w:rsid w:val="00C05EAA"/>
    <w:rsid w:val="00C06DC4"/>
    <w:rsid w:val="00C074CD"/>
    <w:rsid w:val="00C10776"/>
    <w:rsid w:val="00C107C3"/>
    <w:rsid w:val="00C13520"/>
    <w:rsid w:val="00C13F21"/>
    <w:rsid w:val="00C14F9B"/>
    <w:rsid w:val="00C14FAB"/>
    <w:rsid w:val="00C15F42"/>
    <w:rsid w:val="00C1610B"/>
    <w:rsid w:val="00C1611D"/>
    <w:rsid w:val="00C16653"/>
    <w:rsid w:val="00C16C9A"/>
    <w:rsid w:val="00C175E4"/>
    <w:rsid w:val="00C17F64"/>
    <w:rsid w:val="00C225B4"/>
    <w:rsid w:val="00C232E0"/>
    <w:rsid w:val="00C24B5E"/>
    <w:rsid w:val="00C2534F"/>
    <w:rsid w:val="00C25A7B"/>
    <w:rsid w:val="00C27DFF"/>
    <w:rsid w:val="00C30058"/>
    <w:rsid w:val="00C30B4F"/>
    <w:rsid w:val="00C312AB"/>
    <w:rsid w:val="00C317A2"/>
    <w:rsid w:val="00C32D47"/>
    <w:rsid w:val="00C335E4"/>
    <w:rsid w:val="00C342CC"/>
    <w:rsid w:val="00C343FC"/>
    <w:rsid w:val="00C35F5D"/>
    <w:rsid w:val="00C3651F"/>
    <w:rsid w:val="00C36633"/>
    <w:rsid w:val="00C36E9D"/>
    <w:rsid w:val="00C37C86"/>
    <w:rsid w:val="00C404BF"/>
    <w:rsid w:val="00C412B1"/>
    <w:rsid w:val="00C4436C"/>
    <w:rsid w:val="00C461B2"/>
    <w:rsid w:val="00C47C8E"/>
    <w:rsid w:val="00C52FD1"/>
    <w:rsid w:val="00C53512"/>
    <w:rsid w:val="00C5353F"/>
    <w:rsid w:val="00C5359B"/>
    <w:rsid w:val="00C53AF7"/>
    <w:rsid w:val="00C55019"/>
    <w:rsid w:val="00C554B5"/>
    <w:rsid w:val="00C55C98"/>
    <w:rsid w:val="00C56EF2"/>
    <w:rsid w:val="00C56FD5"/>
    <w:rsid w:val="00C570A6"/>
    <w:rsid w:val="00C5797E"/>
    <w:rsid w:val="00C579F3"/>
    <w:rsid w:val="00C600B3"/>
    <w:rsid w:val="00C60DE1"/>
    <w:rsid w:val="00C61464"/>
    <w:rsid w:val="00C62E86"/>
    <w:rsid w:val="00C65F38"/>
    <w:rsid w:val="00C6787C"/>
    <w:rsid w:val="00C67E8E"/>
    <w:rsid w:val="00C71432"/>
    <w:rsid w:val="00C715C8"/>
    <w:rsid w:val="00C71AEA"/>
    <w:rsid w:val="00C72177"/>
    <w:rsid w:val="00C74B8C"/>
    <w:rsid w:val="00C76F3E"/>
    <w:rsid w:val="00C8268F"/>
    <w:rsid w:val="00C83535"/>
    <w:rsid w:val="00C83D84"/>
    <w:rsid w:val="00C84FDD"/>
    <w:rsid w:val="00C85F51"/>
    <w:rsid w:val="00C87436"/>
    <w:rsid w:val="00C902FA"/>
    <w:rsid w:val="00C905A5"/>
    <w:rsid w:val="00C90E52"/>
    <w:rsid w:val="00C91651"/>
    <w:rsid w:val="00C917A4"/>
    <w:rsid w:val="00C922A2"/>
    <w:rsid w:val="00C92990"/>
    <w:rsid w:val="00C93751"/>
    <w:rsid w:val="00C942B0"/>
    <w:rsid w:val="00C95901"/>
    <w:rsid w:val="00C97527"/>
    <w:rsid w:val="00C97CEE"/>
    <w:rsid w:val="00CA0639"/>
    <w:rsid w:val="00CA0B35"/>
    <w:rsid w:val="00CA150D"/>
    <w:rsid w:val="00CA2430"/>
    <w:rsid w:val="00CA26EA"/>
    <w:rsid w:val="00CA2FB2"/>
    <w:rsid w:val="00CA3D3A"/>
    <w:rsid w:val="00CA42D6"/>
    <w:rsid w:val="00CA528A"/>
    <w:rsid w:val="00CA61CB"/>
    <w:rsid w:val="00CB0102"/>
    <w:rsid w:val="00CB15E9"/>
    <w:rsid w:val="00CB2BD5"/>
    <w:rsid w:val="00CB2D8C"/>
    <w:rsid w:val="00CB5C55"/>
    <w:rsid w:val="00CB5FB7"/>
    <w:rsid w:val="00CB7252"/>
    <w:rsid w:val="00CC1D1A"/>
    <w:rsid w:val="00CC26B6"/>
    <w:rsid w:val="00CC339B"/>
    <w:rsid w:val="00CC4288"/>
    <w:rsid w:val="00CC43BF"/>
    <w:rsid w:val="00CC5956"/>
    <w:rsid w:val="00CC5B05"/>
    <w:rsid w:val="00CC6260"/>
    <w:rsid w:val="00CC6807"/>
    <w:rsid w:val="00CC70AD"/>
    <w:rsid w:val="00CC71CE"/>
    <w:rsid w:val="00CD06DD"/>
    <w:rsid w:val="00CD1404"/>
    <w:rsid w:val="00CD1AE8"/>
    <w:rsid w:val="00CD206C"/>
    <w:rsid w:val="00CD2C36"/>
    <w:rsid w:val="00CD34B8"/>
    <w:rsid w:val="00CD435C"/>
    <w:rsid w:val="00CE07FF"/>
    <w:rsid w:val="00CE0E87"/>
    <w:rsid w:val="00CE0F43"/>
    <w:rsid w:val="00CE28E3"/>
    <w:rsid w:val="00CE53F8"/>
    <w:rsid w:val="00CE60D6"/>
    <w:rsid w:val="00CF1304"/>
    <w:rsid w:val="00CF1A2D"/>
    <w:rsid w:val="00CF2913"/>
    <w:rsid w:val="00CF3B48"/>
    <w:rsid w:val="00CF3C7B"/>
    <w:rsid w:val="00CF439F"/>
    <w:rsid w:val="00CF60C1"/>
    <w:rsid w:val="00CF6348"/>
    <w:rsid w:val="00CF640B"/>
    <w:rsid w:val="00CF7120"/>
    <w:rsid w:val="00CF724C"/>
    <w:rsid w:val="00CF7791"/>
    <w:rsid w:val="00D001B4"/>
    <w:rsid w:val="00D002B6"/>
    <w:rsid w:val="00D003B7"/>
    <w:rsid w:val="00D00E36"/>
    <w:rsid w:val="00D00F7B"/>
    <w:rsid w:val="00D01A1C"/>
    <w:rsid w:val="00D02D62"/>
    <w:rsid w:val="00D02F4F"/>
    <w:rsid w:val="00D04CB3"/>
    <w:rsid w:val="00D05E07"/>
    <w:rsid w:val="00D073A4"/>
    <w:rsid w:val="00D104DE"/>
    <w:rsid w:val="00D105BD"/>
    <w:rsid w:val="00D10726"/>
    <w:rsid w:val="00D10B90"/>
    <w:rsid w:val="00D1123F"/>
    <w:rsid w:val="00D14093"/>
    <w:rsid w:val="00D14E59"/>
    <w:rsid w:val="00D1522E"/>
    <w:rsid w:val="00D16009"/>
    <w:rsid w:val="00D16F26"/>
    <w:rsid w:val="00D20031"/>
    <w:rsid w:val="00D21039"/>
    <w:rsid w:val="00D2112D"/>
    <w:rsid w:val="00D22F67"/>
    <w:rsid w:val="00D23554"/>
    <w:rsid w:val="00D23B82"/>
    <w:rsid w:val="00D2443B"/>
    <w:rsid w:val="00D2474E"/>
    <w:rsid w:val="00D26FD8"/>
    <w:rsid w:val="00D27441"/>
    <w:rsid w:val="00D313B3"/>
    <w:rsid w:val="00D3292B"/>
    <w:rsid w:val="00D338C6"/>
    <w:rsid w:val="00D33F02"/>
    <w:rsid w:val="00D3589B"/>
    <w:rsid w:val="00D358F7"/>
    <w:rsid w:val="00D36376"/>
    <w:rsid w:val="00D36829"/>
    <w:rsid w:val="00D36E67"/>
    <w:rsid w:val="00D37EF5"/>
    <w:rsid w:val="00D419C9"/>
    <w:rsid w:val="00D425C8"/>
    <w:rsid w:val="00D428B9"/>
    <w:rsid w:val="00D42E47"/>
    <w:rsid w:val="00D43016"/>
    <w:rsid w:val="00D43246"/>
    <w:rsid w:val="00D443E7"/>
    <w:rsid w:val="00D44879"/>
    <w:rsid w:val="00D45750"/>
    <w:rsid w:val="00D457EA"/>
    <w:rsid w:val="00D45C42"/>
    <w:rsid w:val="00D50747"/>
    <w:rsid w:val="00D513CB"/>
    <w:rsid w:val="00D5253B"/>
    <w:rsid w:val="00D52C29"/>
    <w:rsid w:val="00D52E54"/>
    <w:rsid w:val="00D52FF5"/>
    <w:rsid w:val="00D53BFD"/>
    <w:rsid w:val="00D5569B"/>
    <w:rsid w:val="00D56366"/>
    <w:rsid w:val="00D569A2"/>
    <w:rsid w:val="00D56DFA"/>
    <w:rsid w:val="00D60E22"/>
    <w:rsid w:val="00D61302"/>
    <w:rsid w:val="00D6138C"/>
    <w:rsid w:val="00D62691"/>
    <w:rsid w:val="00D62A5A"/>
    <w:rsid w:val="00D62F4D"/>
    <w:rsid w:val="00D64906"/>
    <w:rsid w:val="00D652D9"/>
    <w:rsid w:val="00D70DDA"/>
    <w:rsid w:val="00D73AD9"/>
    <w:rsid w:val="00D751F5"/>
    <w:rsid w:val="00D772C9"/>
    <w:rsid w:val="00D77F0F"/>
    <w:rsid w:val="00D80C29"/>
    <w:rsid w:val="00D8270E"/>
    <w:rsid w:val="00D83110"/>
    <w:rsid w:val="00D8316D"/>
    <w:rsid w:val="00D83B51"/>
    <w:rsid w:val="00D8423B"/>
    <w:rsid w:val="00D84953"/>
    <w:rsid w:val="00D84ECA"/>
    <w:rsid w:val="00D8525E"/>
    <w:rsid w:val="00D86C3A"/>
    <w:rsid w:val="00D90074"/>
    <w:rsid w:val="00D9041B"/>
    <w:rsid w:val="00D908FD"/>
    <w:rsid w:val="00D90DBB"/>
    <w:rsid w:val="00D90E44"/>
    <w:rsid w:val="00D9141D"/>
    <w:rsid w:val="00D9191E"/>
    <w:rsid w:val="00D928C4"/>
    <w:rsid w:val="00D946C9"/>
    <w:rsid w:val="00D94CF3"/>
    <w:rsid w:val="00D951FF"/>
    <w:rsid w:val="00D967A8"/>
    <w:rsid w:val="00DA058E"/>
    <w:rsid w:val="00DA512C"/>
    <w:rsid w:val="00DA6444"/>
    <w:rsid w:val="00DA6765"/>
    <w:rsid w:val="00DA6851"/>
    <w:rsid w:val="00DB003C"/>
    <w:rsid w:val="00DB141B"/>
    <w:rsid w:val="00DB1E91"/>
    <w:rsid w:val="00DB260E"/>
    <w:rsid w:val="00DB4410"/>
    <w:rsid w:val="00DB5117"/>
    <w:rsid w:val="00DB6031"/>
    <w:rsid w:val="00DB664A"/>
    <w:rsid w:val="00DB6E9A"/>
    <w:rsid w:val="00DB7463"/>
    <w:rsid w:val="00DB7D28"/>
    <w:rsid w:val="00DC012A"/>
    <w:rsid w:val="00DC14AF"/>
    <w:rsid w:val="00DC1720"/>
    <w:rsid w:val="00DC1AFE"/>
    <w:rsid w:val="00DC240C"/>
    <w:rsid w:val="00DC3633"/>
    <w:rsid w:val="00DC4108"/>
    <w:rsid w:val="00DC4EC7"/>
    <w:rsid w:val="00DC4F64"/>
    <w:rsid w:val="00DC50C5"/>
    <w:rsid w:val="00DC64A7"/>
    <w:rsid w:val="00DD0953"/>
    <w:rsid w:val="00DD19C8"/>
    <w:rsid w:val="00DD1A95"/>
    <w:rsid w:val="00DD2C81"/>
    <w:rsid w:val="00DD403F"/>
    <w:rsid w:val="00DD41B7"/>
    <w:rsid w:val="00DD49BB"/>
    <w:rsid w:val="00DD5C85"/>
    <w:rsid w:val="00DE00E5"/>
    <w:rsid w:val="00DE245D"/>
    <w:rsid w:val="00DE2496"/>
    <w:rsid w:val="00DE29A5"/>
    <w:rsid w:val="00DE4606"/>
    <w:rsid w:val="00DE7099"/>
    <w:rsid w:val="00DF0FAA"/>
    <w:rsid w:val="00DF26D5"/>
    <w:rsid w:val="00DF2FB5"/>
    <w:rsid w:val="00DF341B"/>
    <w:rsid w:val="00DF39E9"/>
    <w:rsid w:val="00DF3EC4"/>
    <w:rsid w:val="00DF431B"/>
    <w:rsid w:val="00DF4F2C"/>
    <w:rsid w:val="00DF6184"/>
    <w:rsid w:val="00DF67BF"/>
    <w:rsid w:val="00DF74D9"/>
    <w:rsid w:val="00DF7C74"/>
    <w:rsid w:val="00E0028F"/>
    <w:rsid w:val="00E015CC"/>
    <w:rsid w:val="00E01F0E"/>
    <w:rsid w:val="00E0360B"/>
    <w:rsid w:val="00E03A96"/>
    <w:rsid w:val="00E04621"/>
    <w:rsid w:val="00E04643"/>
    <w:rsid w:val="00E05D56"/>
    <w:rsid w:val="00E05E41"/>
    <w:rsid w:val="00E079B8"/>
    <w:rsid w:val="00E10419"/>
    <w:rsid w:val="00E105A9"/>
    <w:rsid w:val="00E1256E"/>
    <w:rsid w:val="00E1321C"/>
    <w:rsid w:val="00E13DDD"/>
    <w:rsid w:val="00E15056"/>
    <w:rsid w:val="00E15DB1"/>
    <w:rsid w:val="00E163C8"/>
    <w:rsid w:val="00E17552"/>
    <w:rsid w:val="00E203C4"/>
    <w:rsid w:val="00E21B03"/>
    <w:rsid w:val="00E2232A"/>
    <w:rsid w:val="00E22445"/>
    <w:rsid w:val="00E23BE1"/>
    <w:rsid w:val="00E2444A"/>
    <w:rsid w:val="00E260A3"/>
    <w:rsid w:val="00E26D15"/>
    <w:rsid w:val="00E27DDB"/>
    <w:rsid w:val="00E3047F"/>
    <w:rsid w:val="00E31702"/>
    <w:rsid w:val="00E31B75"/>
    <w:rsid w:val="00E31E5C"/>
    <w:rsid w:val="00E3242E"/>
    <w:rsid w:val="00E330C9"/>
    <w:rsid w:val="00E3330E"/>
    <w:rsid w:val="00E3351F"/>
    <w:rsid w:val="00E33992"/>
    <w:rsid w:val="00E351E7"/>
    <w:rsid w:val="00E364B2"/>
    <w:rsid w:val="00E40D13"/>
    <w:rsid w:val="00E40DAE"/>
    <w:rsid w:val="00E40E96"/>
    <w:rsid w:val="00E40F62"/>
    <w:rsid w:val="00E42298"/>
    <w:rsid w:val="00E43249"/>
    <w:rsid w:val="00E436A2"/>
    <w:rsid w:val="00E44524"/>
    <w:rsid w:val="00E44C94"/>
    <w:rsid w:val="00E454C1"/>
    <w:rsid w:val="00E458D8"/>
    <w:rsid w:val="00E51176"/>
    <w:rsid w:val="00E51231"/>
    <w:rsid w:val="00E518A7"/>
    <w:rsid w:val="00E529F5"/>
    <w:rsid w:val="00E52E53"/>
    <w:rsid w:val="00E5356B"/>
    <w:rsid w:val="00E53E00"/>
    <w:rsid w:val="00E54221"/>
    <w:rsid w:val="00E5650A"/>
    <w:rsid w:val="00E574EC"/>
    <w:rsid w:val="00E57F9C"/>
    <w:rsid w:val="00E6117B"/>
    <w:rsid w:val="00E615F9"/>
    <w:rsid w:val="00E6193C"/>
    <w:rsid w:val="00E62BC2"/>
    <w:rsid w:val="00E62E05"/>
    <w:rsid w:val="00E62EF7"/>
    <w:rsid w:val="00E63DAA"/>
    <w:rsid w:val="00E65749"/>
    <w:rsid w:val="00E659A0"/>
    <w:rsid w:val="00E66463"/>
    <w:rsid w:val="00E6659A"/>
    <w:rsid w:val="00E66E91"/>
    <w:rsid w:val="00E67327"/>
    <w:rsid w:val="00E7023C"/>
    <w:rsid w:val="00E71431"/>
    <w:rsid w:val="00E72018"/>
    <w:rsid w:val="00E7221D"/>
    <w:rsid w:val="00E73BA2"/>
    <w:rsid w:val="00E75CF6"/>
    <w:rsid w:val="00E7615F"/>
    <w:rsid w:val="00E76AE0"/>
    <w:rsid w:val="00E801A5"/>
    <w:rsid w:val="00E80F84"/>
    <w:rsid w:val="00E8167B"/>
    <w:rsid w:val="00E81A87"/>
    <w:rsid w:val="00E83948"/>
    <w:rsid w:val="00E83CF9"/>
    <w:rsid w:val="00E86170"/>
    <w:rsid w:val="00E92974"/>
    <w:rsid w:val="00E92AB8"/>
    <w:rsid w:val="00E92F98"/>
    <w:rsid w:val="00E9331D"/>
    <w:rsid w:val="00E938EB"/>
    <w:rsid w:val="00E95322"/>
    <w:rsid w:val="00E95490"/>
    <w:rsid w:val="00E96638"/>
    <w:rsid w:val="00E968C1"/>
    <w:rsid w:val="00E971F6"/>
    <w:rsid w:val="00EA0563"/>
    <w:rsid w:val="00EA0E54"/>
    <w:rsid w:val="00EA1769"/>
    <w:rsid w:val="00EA3671"/>
    <w:rsid w:val="00EA3FC2"/>
    <w:rsid w:val="00EA5403"/>
    <w:rsid w:val="00EA78F8"/>
    <w:rsid w:val="00EB05F6"/>
    <w:rsid w:val="00EB08E3"/>
    <w:rsid w:val="00EB0DEA"/>
    <w:rsid w:val="00EB1F63"/>
    <w:rsid w:val="00EB27BC"/>
    <w:rsid w:val="00EB2A04"/>
    <w:rsid w:val="00EB698D"/>
    <w:rsid w:val="00EB6A32"/>
    <w:rsid w:val="00EB6AC6"/>
    <w:rsid w:val="00EB78D4"/>
    <w:rsid w:val="00EB7EF2"/>
    <w:rsid w:val="00EC33A0"/>
    <w:rsid w:val="00EC342C"/>
    <w:rsid w:val="00EC4836"/>
    <w:rsid w:val="00EC5088"/>
    <w:rsid w:val="00EC517A"/>
    <w:rsid w:val="00EC65BA"/>
    <w:rsid w:val="00EC7D1B"/>
    <w:rsid w:val="00ED0085"/>
    <w:rsid w:val="00ED0712"/>
    <w:rsid w:val="00ED0CAA"/>
    <w:rsid w:val="00ED1D9B"/>
    <w:rsid w:val="00ED3E18"/>
    <w:rsid w:val="00ED4EE9"/>
    <w:rsid w:val="00ED519B"/>
    <w:rsid w:val="00ED5D94"/>
    <w:rsid w:val="00ED5E38"/>
    <w:rsid w:val="00ED72E7"/>
    <w:rsid w:val="00ED7C20"/>
    <w:rsid w:val="00EE03E4"/>
    <w:rsid w:val="00EE0D22"/>
    <w:rsid w:val="00EE11BA"/>
    <w:rsid w:val="00EE256D"/>
    <w:rsid w:val="00EE4490"/>
    <w:rsid w:val="00EE4EEF"/>
    <w:rsid w:val="00EE5CAA"/>
    <w:rsid w:val="00EE6832"/>
    <w:rsid w:val="00EE7832"/>
    <w:rsid w:val="00EE7885"/>
    <w:rsid w:val="00EF145B"/>
    <w:rsid w:val="00EF1755"/>
    <w:rsid w:val="00EF3D58"/>
    <w:rsid w:val="00EF4E53"/>
    <w:rsid w:val="00EF626B"/>
    <w:rsid w:val="00EF7063"/>
    <w:rsid w:val="00EF7084"/>
    <w:rsid w:val="00EF74F6"/>
    <w:rsid w:val="00F03795"/>
    <w:rsid w:val="00F03B39"/>
    <w:rsid w:val="00F04052"/>
    <w:rsid w:val="00F0465E"/>
    <w:rsid w:val="00F04B28"/>
    <w:rsid w:val="00F04FED"/>
    <w:rsid w:val="00F059B8"/>
    <w:rsid w:val="00F06673"/>
    <w:rsid w:val="00F06961"/>
    <w:rsid w:val="00F06C1A"/>
    <w:rsid w:val="00F1066F"/>
    <w:rsid w:val="00F11FAA"/>
    <w:rsid w:val="00F120B1"/>
    <w:rsid w:val="00F12FC2"/>
    <w:rsid w:val="00F1415F"/>
    <w:rsid w:val="00F14201"/>
    <w:rsid w:val="00F14F06"/>
    <w:rsid w:val="00F1508C"/>
    <w:rsid w:val="00F1578E"/>
    <w:rsid w:val="00F16671"/>
    <w:rsid w:val="00F17A1B"/>
    <w:rsid w:val="00F17DDF"/>
    <w:rsid w:val="00F20763"/>
    <w:rsid w:val="00F227C8"/>
    <w:rsid w:val="00F23CB7"/>
    <w:rsid w:val="00F257B5"/>
    <w:rsid w:val="00F270CC"/>
    <w:rsid w:val="00F2720E"/>
    <w:rsid w:val="00F2776D"/>
    <w:rsid w:val="00F3441A"/>
    <w:rsid w:val="00F346E6"/>
    <w:rsid w:val="00F36528"/>
    <w:rsid w:val="00F4006C"/>
    <w:rsid w:val="00F40864"/>
    <w:rsid w:val="00F42F55"/>
    <w:rsid w:val="00F4414B"/>
    <w:rsid w:val="00F44895"/>
    <w:rsid w:val="00F44ADC"/>
    <w:rsid w:val="00F47835"/>
    <w:rsid w:val="00F50233"/>
    <w:rsid w:val="00F50585"/>
    <w:rsid w:val="00F50BA4"/>
    <w:rsid w:val="00F516E3"/>
    <w:rsid w:val="00F52BBA"/>
    <w:rsid w:val="00F53855"/>
    <w:rsid w:val="00F53D6C"/>
    <w:rsid w:val="00F54832"/>
    <w:rsid w:val="00F57885"/>
    <w:rsid w:val="00F57C0F"/>
    <w:rsid w:val="00F60D38"/>
    <w:rsid w:val="00F61DCC"/>
    <w:rsid w:val="00F64551"/>
    <w:rsid w:val="00F64EBB"/>
    <w:rsid w:val="00F64F93"/>
    <w:rsid w:val="00F66144"/>
    <w:rsid w:val="00F6713F"/>
    <w:rsid w:val="00F70051"/>
    <w:rsid w:val="00F70361"/>
    <w:rsid w:val="00F70735"/>
    <w:rsid w:val="00F717A2"/>
    <w:rsid w:val="00F72056"/>
    <w:rsid w:val="00F7314B"/>
    <w:rsid w:val="00F73A49"/>
    <w:rsid w:val="00F73D70"/>
    <w:rsid w:val="00F74B51"/>
    <w:rsid w:val="00F756B9"/>
    <w:rsid w:val="00F76088"/>
    <w:rsid w:val="00F81362"/>
    <w:rsid w:val="00F8533E"/>
    <w:rsid w:val="00F854EE"/>
    <w:rsid w:val="00F8625D"/>
    <w:rsid w:val="00F902CA"/>
    <w:rsid w:val="00F90B43"/>
    <w:rsid w:val="00F91353"/>
    <w:rsid w:val="00F925E0"/>
    <w:rsid w:val="00F94AC1"/>
    <w:rsid w:val="00F9684A"/>
    <w:rsid w:val="00F97E2B"/>
    <w:rsid w:val="00FA03F9"/>
    <w:rsid w:val="00FA0825"/>
    <w:rsid w:val="00FA08AD"/>
    <w:rsid w:val="00FA2F27"/>
    <w:rsid w:val="00FA382F"/>
    <w:rsid w:val="00FA4150"/>
    <w:rsid w:val="00FA5766"/>
    <w:rsid w:val="00FA7D7D"/>
    <w:rsid w:val="00FB1EC6"/>
    <w:rsid w:val="00FB41DD"/>
    <w:rsid w:val="00FB5E2D"/>
    <w:rsid w:val="00FB620D"/>
    <w:rsid w:val="00FB6F67"/>
    <w:rsid w:val="00FC0AD7"/>
    <w:rsid w:val="00FC10DE"/>
    <w:rsid w:val="00FC2431"/>
    <w:rsid w:val="00FC2926"/>
    <w:rsid w:val="00FC2D5F"/>
    <w:rsid w:val="00FC2E89"/>
    <w:rsid w:val="00FC5603"/>
    <w:rsid w:val="00FC7D0E"/>
    <w:rsid w:val="00FD0B28"/>
    <w:rsid w:val="00FD17BA"/>
    <w:rsid w:val="00FD2B62"/>
    <w:rsid w:val="00FD2C9D"/>
    <w:rsid w:val="00FD2F74"/>
    <w:rsid w:val="00FD3B3C"/>
    <w:rsid w:val="00FD3B94"/>
    <w:rsid w:val="00FD3E16"/>
    <w:rsid w:val="00FD40DD"/>
    <w:rsid w:val="00FD43B3"/>
    <w:rsid w:val="00FD6295"/>
    <w:rsid w:val="00FD6DD0"/>
    <w:rsid w:val="00FD798C"/>
    <w:rsid w:val="00FE1118"/>
    <w:rsid w:val="00FE2AE7"/>
    <w:rsid w:val="00FE40E5"/>
    <w:rsid w:val="00FE4739"/>
    <w:rsid w:val="00FE4DB2"/>
    <w:rsid w:val="00FE681D"/>
    <w:rsid w:val="00FE74DF"/>
    <w:rsid w:val="00FF0D82"/>
    <w:rsid w:val="00FF0DB6"/>
    <w:rsid w:val="00FF0DBD"/>
    <w:rsid w:val="00FF12BC"/>
    <w:rsid w:val="00FF17F4"/>
    <w:rsid w:val="00FF1ACE"/>
    <w:rsid w:val="00FF2100"/>
    <w:rsid w:val="00FF3A07"/>
    <w:rsid w:val="00FF3FEA"/>
    <w:rsid w:val="00FF42D8"/>
    <w:rsid w:val="00FF4C68"/>
    <w:rsid w:val="03D69DCE"/>
    <w:rsid w:val="1136C088"/>
    <w:rsid w:val="1201C094"/>
    <w:rsid w:val="228EE2A6"/>
    <w:rsid w:val="3393979E"/>
    <w:rsid w:val="40F721B4"/>
    <w:rsid w:val="4D2D97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3"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uiPriority w:val="3"/>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rsid w:val="00B151CF"/>
    <w:pPr>
      <w:keepNext/>
      <w:spacing w:after="60" w:line="240" w:lineRule="auto"/>
    </w:pPr>
    <w:rPr>
      <w:rFonts w:ascii="Arial Narrow" w:hAnsi="Arial Narrow"/>
      <w:b/>
      <w:sz w:val="20"/>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Table HEADER PBAC,-H18,Annotationmark"/>
    <w:basedOn w:val="DefaultParagraphFont"/>
    <w:uiPriority w:val="99"/>
    <w:unhideWhenUsed/>
    <w:rsid w:val="003E7773"/>
    <w:rPr>
      <w:sz w:val="16"/>
      <w:szCs w:val="16"/>
    </w:rPr>
  </w:style>
  <w:style w:type="character" w:customStyle="1" w:styleId="TableTextChar">
    <w:name w:val="Table Text Char"/>
    <w:basedOn w:val="DefaultParagraphFont"/>
    <w:link w:val="TableText"/>
    <w:uiPriority w:val="3"/>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har"/>
    <w:basedOn w:val="Normal"/>
    <w:next w:val="Normal"/>
    <w:link w:val="CaptionChar"/>
    <w:uiPriority w:val="35"/>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 Antiqua" w:hAnsi="Book Antiqua"/>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har Char"/>
    <w:basedOn w:val="DefaultParagraphFont"/>
    <w:link w:val="Caption"/>
    <w:uiPriority w:val="35"/>
    <w:qFormat/>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CMA Table Template,HTAtableplain,PBAC table,MSD Table Grid,Dossier table,Summary Table,PHE Table Grid,Lash Style Table,Section 3- footnotes,HealthConsult,Conclusion box"/>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rsid w:val="00CA528A"/>
    <w:pPr>
      <w:spacing w:after="360" w:line="240" w:lineRule="auto"/>
      <w:contextualSpacing/>
    </w:pPr>
    <w:rPr>
      <w:sz w:val="18"/>
    </w:rPr>
  </w:style>
  <w:style w:type="paragraph" w:styleId="ListParagraph">
    <w:name w:val="List Paragraph"/>
    <w:aliases w:val="Normal bullets,Body Text Bullet Points,Numbered para,BulletPoints,List Paragraph1,Bullet point,List Paragraph11,Recommendation,Section heading,Footnote,Figure_name,Numbered Indented Text,Bullet- First level,List NUmber,Listenabsatz1,lp1"/>
    <w:basedOn w:val="Normal"/>
    <w:link w:val="ListParagraphChar"/>
    <w:uiPriority w:val="33"/>
    <w:qFormat/>
    <w:rsid w:val="00746136"/>
    <w:pPr>
      <w:numPr>
        <w:numId w:val="13"/>
      </w:numPr>
      <w:contextualSpacing/>
    </w:pPr>
  </w:style>
  <w:style w:type="character" w:styleId="Strong">
    <w:name w:val="Strong"/>
    <w:basedOn w:val="DefaultParagraphFont"/>
    <w:uiPriority w:val="22"/>
    <w:rsid w:val="00FD17BA"/>
    <w:rPr>
      <w:b/>
      <w:bCs/>
    </w:rPr>
  </w:style>
  <w:style w:type="paragraph" w:customStyle="1" w:styleId="TableName">
    <w:name w:val="TableName"/>
    <w:basedOn w:val="Normal"/>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rsid w:val="00FD17BA"/>
    <w:pPr>
      <w:ind w:left="142" w:hanging="142"/>
    </w:pPr>
  </w:style>
  <w:style w:type="paragraph" w:customStyle="1" w:styleId="TableTextCA">
    <w:name w:val="Table Text CA"/>
    <w:basedOn w:val="TableText"/>
    <w:rsid w:val="00FD17BA"/>
    <w:pPr>
      <w:jc w:val="center"/>
    </w:pPr>
  </w:style>
  <w:style w:type="paragraph" w:customStyle="1" w:styleId="TableHeadingCA">
    <w:name w:val="Table Heading CA"/>
    <w:basedOn w:val="TableHeading0"/>
    <w:rsid w:val="00FD17BA"/>
    <w:pPr>
      <w:jc w:val="center"/>
    </w:pPr>
  </w:style>
  <w:style w:type="paragraph" w:customStyle="1" w:styleId="TableHeading0">
    <w:name w:val="Table Heading"/>
    <w:basedOn w:val="Normal"/>
    <w:rsid w:val="00FD17BA"/>
    <w:pPr>
      <w:spacing w:after="60" w:line="240" w:lineRule="auto"/>
    </w:pPr>
    <w:rPr>
      <w:rFonts w:ascii="Arial Narrow" w:hAnsi="Arial Narrow"/>
      <w:b/>
      <w:sz w:val="20"/>
    </w:rPr>
  </w:style>
  <w:style w:type="paragraph" w:customStyle="1" w:styleId="TableFigNoteLast">
    <w:name w:val="TableFigNote Last"/>
    <w:basedOn w:val="TableFigNote"/>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rsid w:val="00004F7F"/>
    <w:rPr>
      <w:shd w:val="clear" w:color="auto" w:fill="BDD6EE" w:themeFill="accent1" w:themeFillTint="66"/>
    </w:rPr>
  </w:style>
  <w:style w:type="paragraph" w:customStyle="1" w:styleId="1ExplanatoryText">
    <w:name w:val="1ExplanatoryText"/>
    <w:basedOn w:val="Normal"/>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DD5C85"/>
    <w:pPr>
      <w:tabs>
        <w:tab w:val="left" w:pos="284"/>
      </w:tabs>
      <w:spacing w:after="360" w:line="240" w:lineRule="auto"/>
      <w:contextualSpacing/>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DD5C85"/>
    <w:rPr>
      <w:rFonts w:ascii="Arial Narrow" w:eastAsia="Times New Roman" w:hAnsi="Arial Narrow" w:cs="Arial"/>
      <w:snapToGrid w:val="0"/>
      <w:sz w:val="18"/>
      <w:lang w:eastAsia="en-AU"/>
    </w:rPr>
  </w:style>
  <w:style w:type="character" w:styleId="Emphasis">
    <w:name w:val="Emphasis"/>
    <w:uiPriority w:val="20"/>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Normal bullets Char,Body Text Bullet Points Char,Numbered para Char,BulletPoints Char,List Paragraph1 Char,Bullet point Char,List Paragraph11 Char,Recommendation Char,Section heading Char,Footnote Char,Figure_name Char,lp1 Char"/>
    <w:basedOn w:val="DefaultParagraphFont"/>
    <w:link w:val="ListParagraph"/>
    <w:uiPriority w:val="33"/>
    <w:qFormat/>
    <w:rsid w:val="00746136"/>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uiPriority w:val="1"/>
    <w:locked/>
    <w:rsid w:val="007B0880"/>
    <w:rPr>
      <w:rFonts w:ascii="Arial Narrow" w:eastAsia="Times New Roman" w:hAnsi="Arial Narrow" w:cs="Arial"/>
      <w:sz w:val="18"/>
      <w:szCs w:val="20"/>
    </w:rPr>
  </w:style>
  <w:style w:type="paragraph" w:customStyle="1" w:styleId="TableFooter">
    <w:name w:val="Table Footer"/>
    <w:basedOn w:val="Normal"/>
    <w:link w:val="TableFooterChar"/>
    <w:uiPriority w:val="1"/>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ook Antiqua" w:hAnsi="Book Antiqu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ook Antiqua" w:hAnsi="Book Antiqu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ook Antiqua" w:hAnsi="Book Antiqua"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rsid w:val="002C70CE"/>
    <w:pPr>
      <w:numPr>
        <w:ilvl w:val="0"/>
        <w:numId w:val="7"/>
      </w:numPr>
      <w:spacing w:before="240"/>
      <w:ind w:left="2154" w:hanging="357"/>
    </w:pPr>
  </w:style>
  <w:style w:type="paragraph" w:customStyle="1" w:styleId="NormalBeforeBullet">
    <w:name w:val="Normal Before Bullet"/>
    <w:basedOn w:val="Normal"/>
    <w:rsid w:val="00091C59"/>
    <w:pPr>
      <w:keepNext/>
      <w:spacing w:after="120" w:line="240" w:lineRule="auto"/>
    </w:pPr>
    <w:rPr>
      <w:rFonts w:asciiTheme="minorHAnsi" w:hAnsiTheme="minorHAnsi"/>
    </w:rPr>
  </w:style>
  <w:style w:type="paragraph" w:customStyle="1" w:styleId="Dash">
    <w:name w:val="Dash"/>
    <w:basedOn w:val="Bulle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2"/>
      </w:numPr>
      <w:spacing w:before="0" w:after="0"/>
      <w:ind w:left="714" w:hanging="357"/>
    </w:pPr>
  </w:style>
  <w:style w:type="paragraph" w:customStyle="1" w:styleId="Instructionaltext-afterfiguretable">
    <w:name w:val="Instructional text - after figure/table"/>
    <w:basedOn w:val="Instructionaltex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Bulletpoints">
    <w:name w:val="Bullet points"/>
    <w:basedOn w:val="ListParagraph"/>
    <w:rsid w:val="00DD5C85"/>
    <w:pPr>
      <w:numPr>
        <w:numId w:val="25"/>
      </w:numPr>
      <w:spacing w:before="0" w:after="120" w:line="240" w:lineRule="auto"/>
      <w:jc w:val="both"/>
    </w:pPr>
    <w:rPr>
      <w:rFonts w:asciiTheme="minorHAnsi" w:eastAsia="Times New Roman" w:hAnsiTheme="minorHAnsi" w:cs="Arial"/>
      <w:snapToGrid w:val="0"/>
      <w:sz w:val="24"/>
      <w:szCs w:val="24"/>
      <w:lang w:eastAsia="en-AU"/>
    </w:rPr>
  </w:style>
  <w:style w:type="paragraph" w:customStyle="1" w:styleId="FooterTableFigure">
    <w:name w:val="Footer Table/Figure"/>
    <w:basedOn w:val="Normal"/>
    <w:link w:val="FooterTableFigureChar"/>
    <w:rsid w:val="00DD5C85"/>
    <w:pPr>
      <w:spacing w:before="0" w:after="120" w:line="240" w:lineRule="auto"/>
      <w:contextualSpacing/>
      <w:jc w:val="both"/>
    </w:pPr>
    <w:rPr>
      <w:rFonts w:ascii="Arial Narrow" w:eastAsia="Times New Roman" w:hAnsi="Arial Narrow" w:cs="Arial"/>
      <w:snapToGrid w:val="0"/>
      <w:sz w:val="18"/>
      <w:lang w:eastAsia="en-AU"/>
    </w:rPr>
  </w:style>
  <w:style w:type="character" w:customStyle="1" w:styleId="FooterTableFigureChar">
    <w:name w:val="Footer Table/Figure Char"/>
    <w:link w:val="FooterTableFigure"/>
    <w:rsid w:val="00DD5C85"/>
    <w:rPr>
      <w:rFonts w:ascii="Arial Narrow" w:eastAsia="Times New Roman" w:hAnsi="Arial Narrow" w:cs="Arial"/>
      <w:snapToGrid w:val="0"/>
      <w:sz w:val="18"/>
      <w:lang w:eastAsia="en-AU"/>
    </w:rPr>
  </w:style>
  <w:style w:type="character" w:styleId="UnresolvedMention">
    <w:name w:val="Unresolved Mention"/>
    <w:basedOn w:val="DefaultParagraphFont"/>
    <w:uiPriority w:val="99"/>
    <w:semiHidden/>
    <w:unhideWhenUsed/>
    <w:rsid w:val="00C715C8"/>
    <w:rPr>
      <w:color w:val="605E5C"/>
      <w:shd w:val="clear" w:color="auto" w:fill="E1DFDD"/>
    </w:rPr>
  </w:style>
  <w:style w:type="character" w:styleId="Mention">
    <w:name w:val="Mention"/>
    <w:basedOn w:val="DefaultParagraphFont"/>
    <w:uiPriority w:val="99"/>
    <w:unhideWhenUsed/>
    <w:rsid w:val="00B263C8"/>
    <w:rPr>
      <w:color w:val="2B579A"/>
      <w:shd w:val="clear" w:color="auto" w:fill="E1DFDD"/>
    </w:rPr>
  </w:style>
  <w:style w:type="paragraph" w:styleId="BodyText">
    <w:name w:val="Body Text"/>
    <w:basedOn w:val="Normal"/>
    <w:link w:val="BodyTextChar"/>
    <w:rsid w:val="00CB5FB7"/>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CB5FB7"/>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7275">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27722800">
      <w:bodyDiv w:val="1"/>
      <w:marLeft w:val="0"/>
      <w:marRight w:val="0"/>
      <w:marTop w:val="0"/>
      <w:marBottom w:val="0"/>
      <w:divBdr>
        <w:top w:val="none" w:sz="0" w:space="0" w:color="auto"/>
        <w:left w:val="none" w:sz="0" w:space="0" w:color="auto"/>
        <w:bottom w:val="none" w:sz="0" w:space="0" w:color="auto"/>
        <w:right w:val="none" w:sz="0" w:space="0" w:color="auto"/>
      </w:divBdr>
    </w:div>
    <w:div w:id="50814792">
      <w:bodyDiv w:val="1"/>
      <w:marLeft w:val="0"/>
      <w:marRight w:val="0"/>
      <w:marTop w:val="0"/>
      <w:marBottom w:val="0"/>
      <w:divBdr>
        <w:top w:val="none" w:sz="0" w:space="0" w:color="auto"/>
        <w:left w:val="none" w:sz="0" w:space="0" w:color="auto"/>
        <w:bottom w:val="none" w:sz="0" w:space="0" w:color="auto"/>
        <w:right w:val="none" w:sz="0" w:space="0" w:color="auto"/>
      </w:divBdr>
    </w:div>
    <w:div w:id="62145650">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01581100">
      <w:bodyDiv w:val="1"/>
      <w:marLeft w:val="0"/>
      <w:marRight w:val="0"/>
      <w:marTop w:val="0"/>
      <w:marBottom w:val="0"/>
      <w:divBdr>
        <w:top w:val="none" w:sz="0" w:space="0" w:color="auto"/>
        <w:left w:val="none" w:sz="0" w:space="0" w:color="auto"/>
        <w:bottom w:val="none" w:sz="0" w:space="0" w:color="auto"/>
        <w:right w:val="none" w:sz="0" w:space="0" w:color="auto"/>
      </w:divBdr>
    </w:div>
    <w:div w:id="117796320">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15556134">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80115149">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66052127">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69803158">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010862">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86011922">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37646875">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17085119">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2829107">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70899914">
      <w:bodyDiv w:val="1"/>
      <w:marLeft w:val="0"/>
      <w:marRight w:val="0"/>
      <w:marTop w:val="0"/>
      <w:marBottom w:val="0"/>
      <w:divBdr>
        <w:top w:val="none" w:sz="0" w:space="0" w:color="auto"/>
        <w:left w:val="none" w:sz="0" w:space="0" w:color="auto"/>
        <w:bottom w:val="none" w:sz="0" w:space="0" w:color="auto"/>
        <w:right w:val="none" w:sz="0" w:space="0" w:color="auto"/>
      </w:divBdr>
    </w:div>
    <w:div w:id="1543790700">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29506014">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6158146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81962894">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2217342">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sac.gov.au/internet/msac/publishing.nsf/Content/17CAAFF0DE32AC8FCA25883000065B8E/$File/1716%20Final%20PSD%20-%20Mar%202023%20(redacted).pdf" TargetMode="External"/><Relationship Id="rId18" Type="http://schemas.openxmlformats.org/officeDocument/2006/relationships/hyperlink" Target="http://www.msac.gov.au/internet/msac/publishing.nsf/Content/17CAAFF0DE32AC8FCA25883000065B8E/$File/1716%20Final%20PSD%20-%20Mar%202023%20(redacted).pdf" TargetMode="External"/><Relationship Id="rId26" Type="http://schemas.openxmlformats.org/officeDocument/2006/relationships/footer" Target="footer3.xml"/><Relationship Id="rId39" Type="http://schemas.openxmlformats.org/officeDocument/2006/relationships/hyperlink" Target="https://www.pbs.gov.au/industry/listing/elements/pbac-meetings/psd/2023-03/files/olaparib-psd-03-2023.pdf" TargetMode="External"/><Relationship Id="rId21" Type="http://schemas.openxmlformats.org/officeDocument/2006/relationships/header" Target="header1.xml"/><Relationship Id="rId34" Type="http://schemas.openxmlformats.org/officeDocument/2006/relationships/hyperlink" Target="http://www.msac.gov.au/internet/msac/publishing.nsf/Content/17CAAFF0DE32AC8FCA25883000065B8E/$File/1716%20Final%20PSD%20-%20Mar%202023%20(redacted).pdf" TargetMode="External"/><Relationship Id="rId42" Type="http://schemas.openxmlformats.org/officeDocument/2006/relationships/hyperlink" Target="https://www.pbs.gov.au/industry/listing/elements/pbac-meetings/psd/2023-03/files/olaparib-psd-03-2023.pdf" TargetMode="External"/><Relationship Id="rId47" Type="http://schemas.openxmlformats.org/officeDocument/2006/relationships/hyperlink" Target="https://www.pbs.gov.au/industry/listing/elements/pbac-meetings/psd/2023-03/files/olaparib-psd-03-2023.pdf" TargetMode="External"/><Relationship Id="rId50" Type="http://schemas.openxmlformats.org/officeDocument/2006/relationships/hyperlink" Target="http://www.msac.gov.au/internet/msac/publishing.nsf/Content/D3E96917F7B2253BCA25801000123C2E/$File/PSD_1411.1.pdf" TargetMode="External"/><Relationship Id="rId55" Type="http://schemas.openxmlformats.org/officeDocument/2006/relationships/hyperlink" Target="http://www.msac.gov.au/internet/msac/publishing.nsf/Content/17CAAFF0DE32AC8FCA25883000065B8E/$File/1716%20Final%20PSD%20-%20Mar%202023%20(redacted).pdf" TargetMode="External"/><Relationship Id="rId7" Type="http://schemas.openxmlformats.org/officeDocument/2006/relationships/endnotes" Target="endnotes.xml"/><Relationship Id="rId12" Type="http://schemas.openxmlformats.org/officeDocument/2006/relationships/hyperlink" Target="https://www.pbs.gov.au/industry/listing/elements/pbac-meetings/psd/2023-03/files/olaparib-psd-03-2023.pdf" TargetMode="External"/><Relationship Id="rId17" Type="http://schemas.openxmlformats.org/officeDocument/2006/relationships/hyperlink" Target="http://www.msac.gov.au/internet/msac/publishing.nsf/Content/17CAAFF0DE32AC8FCA25883000065B8E/$File/1716%20Final%20PSD%20-%20Mar%202023%20(redacted).pdf" TargetMode="External"/><Relationship Id="rId25" Type="http://schemas.openxmlformats.org/officeDocument/2006/relationships/header" Target="header3.xml"/><Relationship Id="rId33" Type="http://schemas.openxmlformats.org/officeDocument/2006/relationships/hyperlink" Target="http://www.msac.gov.au/internet/msac/publishing.nsf/Content/17CAAFF0DE32AC8FCA25883000065B8E/$File/1716%20Final%20PSD%20-%20Mar%202023%20(redacted).pdf" TargetMode="External"/><Relationship Id="rId38" Type="http://schemas.openxmlformats.org/officeDocument/2006/relationships/hyperlink" Target="https://www.pbs.gov.au/industry/listing/elements/pbac-meetings/psd/2023-03/files/olaparib-psd-03-2023.pdf" TargetMode="External"/><Relationship Id="rId46" Type="http://schemas.openxmlformats.org/officeDocument/2006/relationships/hyperlink" Target="https://www.pbs.gov.au/industry/listing/elements/pbac-meetings/psd/2023-03/files/olaparib-psd-03-2023.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sac.gov.au/internet/msac/publishing.nsf/Content/17CAAFF0DE32AC8FCA25883000065B8E/$File/1716%20Final%20PSD%20-%20Mar%202023%20(redacted).pdf" TargetMode="External"/><Relationship Id="rId20" Type="http://schemas.openxmlformats.org/officeDocument/2006/relationships/hyperlink" Target="https://www.pbs.gov.au/industry/listing/elements/pbac-meetings/psd/2023-03/files/olaparib-psd-03-2023.pdf" TargetMode="External"/><Relationship Id="rId29" Type="http://schemas.openxmlformats.org/officeDocument/2006/relationships/hyperlink" Target="https://www.pbs.gov.au/industry/listing/elements/pbac-meetings/psd/2023-03/files/olaparib-psd-03-2023.pdf" TargetMode="External"/><Relationship Id="rId41" Type="http://schemas.openxmlformats.org/officeDocument/2006/relationships/hyperlink" Target="https://www.pbs.gov.au/industry/listing/elements/pbac-meetings/psd/2023-03/files/olaparib-psd-03-2023.pdf" TargetMode="External"/><Relationship Id="rId54" Type="http://schemas.openxmlformats.org/officeDocument/2006/relationships/hyperlink" Target="https://www.pbs.gov.au/industry/listing/elements/pbac-meetings/psd/2023-03/files/olaparib-psd-03-2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industry/listing/elements/pbac-meetings/psd/2023-03/files/olaparib-psd-03-2023.pdf" TargetMode="External"/><Relationship Id="rId24" Type="http://schemas.openxmlformats.org/officeDocument/2006/relationships/footer" Target="footer2.xml"/><Relationship Id="rId32" Type="http://schemas.openxmlformats.org/officeDocument/2006/relationships/hyperlink" Target="https://www.pbs.gov.au/industry/listing/elements/pbac-meetings/psd/2023-03/files/olaparib-psd-03-2023.pdf" TargetMode="External"/><Relationship Id="rId37" Type="http://schemas.openxmlformats.org/officeDocument/2006/relationships/hyperlink" Target="https://www.pbs.gov.au/industry/listing/elements/pbac-meetings/psd/2023-03/files/olaparib-psd-03-2023.pdf" TargetMode="External"/><Relationship Id="rId40" Type="http://schemas.openxmlformats.org/officeDocument/2006/relationships/hyperlink" Target="http://www.msac.gov.au/internet/msac/publishing.nsf/Content/17CAAFF0DE32AC8FCA25883000065B8E/$File/1716%20Final%20PSD%20-%20Mar%202023%20(redacted).pdf" TargetMode="External"/><Relationship Id="rId45" Type="http://schemas.openxmlformats.org/officeDocument/2006/relationships/hyperlink" Target="https://www.pbs.gov.au/industry/listing/elements/pbac-meetings/psd/2023-03/files/olaparib-psd-03-2023.pdf" TargetMode="External"/><Relationship Id="rId53" Type="http://schemas.openxmlformats.org/officeDocument/2006/relationships/hyperlink" Target="https://www.pbs.gov.au/industry/listing/elements/pbac-meetings/psd/2023-03/files/olaparib-psd-03-2023.pdf"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sac.gov.au/internet/msac/publishing.nsf/Content/17CAAFF0DE32AC8FCA25883000065B8E/$File/1716%20Final%20PSD%20-%20Mar%202023%20(redacted).pdf" TargetMode="External"/><Relationship Id="rId23" Type="http://schemas.openxmlformats.org/officeDocument/2006/relationships/footer" Target="footer1.xml"/><Relationship Id="rId28" Type="http://schemas.openxmlformats.org/officeDocument/2006/relationships/hyperlink" Target="http://www.msac.gov.au/internet/msac/publishing.nsf/Content/17CAAFF0DE32AC8FCA25883000065B8E/$File/1716%20Final%20PSD%20-%20Mar%202023%20(redacted).pdf" TargetMode="External"/><Relationship Id="rId36" Type="http://schemas.openxmlformats.org/officeDocument/2006/relationships/hyperlink" Target="https://www.pbs.gov.au/industry/listing/elements/pbac-meetings/psd/2023-03/files/olaparib-psd-03-2023.pdf" TargetMode="External"/><Relationship Id="rId49" Type="http://schemas.openxmlformats.org/officeDocument/2006/relationships/hyperlink" Target="https://www.pbs.gov.au/industry/listing/elements/pbac-meetings/psd/2023-03/files/olaparib-psd-03-2023.pdf" TargetMode="External"/><Relationship Id="rId57" Type="http://schemas.openxmlformats.org/officeDocument/2006/relationships/hyperlink" Target="http://msac.gov.au/internet/msac/publishing.nsf/Content/Home-1" TargetMode="External"/><Relationship Id="rId10" Type="http://schemas.openxmlformats.org/officeDocument/2006/relationships/hyperlink" Target="http://www.msac.gov.au/internet/msac/publishing.nsf/Content/D3E96917F7B2253BCA25801000123C2E/$File/PSD_1411.1.pdf" TargetMode="External"/><Relationship Id="rId19" Type="http://schemas.openxmlformats.org/officeDocument/2006/relationships/hyperlink" Target="http://www.msac.gov.au/internet/msac/publishing.nsf/Content/D3E96917F7B2253BCA25801000123C2E/$File/PSD_1411.1.pdf" TargetMode="External"/><Relationship Id="rId31" Type="http://schemas.openxmlformats.org/officeDocument/2006/relationships/hyperlink" Target="http://www.msac.gov.au/internet/msac/publishing.nsf/Content/17CAAFF0DE32AC8FCA25883000065B8E/$File/1716%20Final%20PSD%20-%20Mar%202023%20(redacted).pdf" TargetMode="External"/><Relationship Id="rId44" Type="http://schemas.openxmlformats.org/officeDocument/2006/relationships/hyperlink" Target="https://www.pbs.gov.au/industry/listing/elements/pbac-meetings/psd/2023-03/files/olaparib-psd-03-2023.pdf" TargetMode="External"/><Relationship Id="rId52" Type="http://schemas.openxmlformats.org/officeDocument/2006/relationships/hyperlink" Target="https://www.pbs.gov.au/industry/listing/elements/pbac-meetings/psd/2023-03/files/olaparib-psd-03-2023.pdf" TargetMode="External"/><Relationship Id="rId4" Type="http://schemas.openxmlformats.org/officeDocument/2006/relationships/settings" Target="settings.xml"/><Relationship Id="rId9" Type="http://schemas.openxmlformats.org/officeDocument/2006/relationships/hyperlink" Target="http://www.msac.gov.au/internet/msac/publishing.nsf/Content/17CAAFF0DE32AC8FCA25883000065B8E/$File/1716%20Final%20PSD%20-%20Mar%202023%20(redacted).pdf" TargetMode="External"/><Relationship Id="rId14" Type="http://schemas.openxmlformats.org/officeDocument/2006/relationships/hyperlink" Target="http://www.msac.gov.au/internet/msac/publishing.nsf/Content/17CAAFF0DE32AC8FCA25883000065B8E/$File/1716%20Final%20PSD%20-%20Mar%202023%20(redacted).pdf" TargetMode="External"/><Relationship Id="rId22" Type="http://schemas.openxmlformats.org/officeDocument/2006/relationships/header" Target="header2.xml"/><Relationship Id="rId27" Type="http://schemas.openxmlformats.org/officeDocument/2006/relationships/image" Target="media/image1.png"/><Relationship Id="rId30" Type="http://schemas.openxmlformats.org/officeDocument/2006/relationships/hyperlink" Target="http://www.msac.gov.au/internet/msac/publishing.nsf/Content/17CAAFF0DE32AC8FCA25883000065B8E/$File/1716%20Final%20PSD%20-%20Mar%202023%20(redacted).pdf" TargetMode="External"/><Relationship Id="rId35" Type="http://schemas.openxmlformats.org/officeDocument/2006/relationships/hyperlink" Target="https://www.pbs.gov.au/industry/listing/elements/pbac-meetings/psd/2023-03/files/olaparib-psd-03-2023.pdf" TargetMode="External"/><Relationship Id="rId43" Type="http://schemas.openxmlformats.org/officeDocument/2006/relationships/hyperlink" Target="http://www.msac.gov.au/internet/msac/publishing.nsf/Content/17CAAFF0DE32AC8FCA25883000065B8E/$File/1716%20Final%20PSD%20-%20Mar%202023%20(redacted).pdf" TargetMode="External"/><Relationship Id="rId48" Type="http://schemas.openxmlformats.org/officeDocument/2006/relationships/hyperlink" Target="https://www.pbs.gov.au/industry/listing/elements/pbac-meetings/psd/2023-03/files/olaparib-psd-03-2023.pdf" TargetMode="External"/><Relationship Id="rId56" Type="http://schemas.openxmlformats.org/officeDocument/2006/relationships/hyperlink" Target="http://www.msac.gov.au/internet/msac/publishing.nsf/Content/17CAAFF0DE32AC8FCA25883000065B8E/$File/1716%20Final%20PSD%20-%20Mar%202023%20(redacted).pdf" TargetMode="External"/><Relationship Id="rId8" Type="http://schemas.openxmlformats.org/officeDocument/2006/relationships/hyperlink" Target="http://www.msac.gov.au/" TargetMode="External"/><Relationship Id="rId51" Type="http://schemas.openxmlformats.org/officeDocument/2006/relationships/hyperlink" Target="https://www.pbs.gov.au/industry/listing/elements/pbac-meetings/psd/2023-03/files/olaparib-psd-03-2023.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13489</Words>
  <Characters>76888</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2024-02-15T22:22:00Z</dcterms:created>
  <dcterms:modified xsi:type="dcterms:W3CDTF">2024-02-25T21:15:00Z</dcterms:modified>
  <cp:category/>
</cp:coreProperties>
</file>