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75ED"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79D0AAB6" wp14:editId="5531F39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E78FD8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2A23A2B" w14:textId="77777777" w:rsidR="00BC1364" w:rsidRPr="00F715D1" w:rsidRDefault="00BC1364" w:rsidP="00F715D1">
      <w:pPr>
        <w:pStyle w:val="Subtitle"/>
      </w:pPr>
      <w:r w:rsidRPr="00F715D1">
        <w:t xml:space="preserve">Application No. </w:t>
      </w:r>
      <w:r w:rsidR="004A4CC2" w:rsidRPr="00625EC8">
        <w:rPr>
          <w:szCs w:val="24"/>
        </w:rPr>
        <w:t>1614 – Magnetic resonance-guided focused ultrasound for the treatment of medically refractory essential tremor</w:t>
      </w:r>
    </w:p>
    <w:p w14:paraId="549E6A92" w14:textId="77777777" w:rsidR="00BC1364" w:rsidRPr="00F715D1" w:rsidRDefault="00B35595" w:rsidP="008D1722">
      <w:pPr>
        <w:tabs>
          <w:tab w:val="left" w:pos="2694"/>
          <w:tab w:val="left" w:pos="3686"/>
        </w:tabs>
        <w:spacing w:after="240"/>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proofErr w:type="spellStart"/>
      <w:r w:rsidR="004A4CC2" w:rsidRPr="004A4CC2">
        <w:rPr>
          <w:rFonts w:ascii="Arial" w:hAnsi="Arial" w:cs="Arial"/>
          <w:b/>
          <w:szCs w:val="24"/>
        </w:rPr>
        <w:t>Insightec</w:t>
      </w:r>
      <w:proofErr w:type="spellEnd"/>
      <w:r w:rsidR="004A4CC2" w:rsidRPr="004A4CC2">
        <w:rPr>
          <w:rFonts w:ascii="Arial" w:hAnsi="Arial" w:cs="Arial"/>
          <w:b/>
          <w:szCs w:val="24"/>
        </w:rPr>
        <w:t xml:space="preserve"> Ltd</w:t>
      </w:r>
    </w:p>
    <w:p w14:paraId="5C6B530E"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1C5E2F22"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6442E62B" w14:textId="77777777" w:rsidR="003D7F29" w:rsidRPr="00F715D1" w:rsidRDefault="003D7F29" w:rsidP="00F715D1">
      <w:pPr>
        <w:pStyle w:val="Heading1"/>
      </w:pPr>
      <w:r w:rsidRPr="00F715D1">
        <w:t>Purpose of application</w:t>
      </w:r>
      <w:r w:rsidR="00822C7E" w:rsidRPr="00F715D1">
        <w:t xml:space="preserve"> </w:t>
      </w:r>
    </w:p>
    <w:p w14:paraId="7584F003" w14:textId="77777777" w:rsidR="00E47F08" w:rsidRDefault="00E47F08" w:rsidP="00E47F08">
      <w:r>
        <w:t xml:space="preserve">An application requesting </w:t>
      </w:r>
      <w:r w:rsidRPr="00EE216E">
        <w:rPr>
          <w:szCs w:val="24"/>
        </w:rPr>
        <w:t>Medicare Benefits Schedule (MBS) listing</w:t>
      </w:r>
      <w:r>
        <w:rPr>
          <w:szCs w:val="24"/>
        </w:rPr>
        <w:t xml:space="preserve"> of </w:t>
      </w:r>
      <w:r>
        <w:t>magnetic resonance-guided focused ultrasound (</w:t>
      </w:r>
      <w:proofErr w:type="spellStart"/>
      <w:r>
        <w:t>MRgFUS</w:t>
      </w:r>
      <w:proofErr w:type="spellEnd"/>
      <w:r>
        <w:t xml:space="preserve">) for medically refractory essential tremor (ET) was received from </w:t>
      </w:r>
      <w:proofErr w:type="spellStart"/>
      <w:r>
        <w:t>Insightec</w:t>
      </w:r>
      <w:proofErr w:type="spellEnd"/>
      <w:r w:rsidRPr="006E0071">
        <w:t xml:space="preserve"> by the Department of Health</w:t>
      </w:r>
      <w:r>
        <w:t>.</w:t>
      </w:r>
    </w:p>
    <w:p w14:paraId="07F88E9E" w14:textId="77777777" w:rsidR="00E977EE" w:rsidRPr="00F715D1" w:rsidRDefault="00E977EE" w:rsidP="00F715D1">
      <w:pPr>
        <w:pStyle w:val="Heading1"/>
      </w:pPr>
      <w:r w:rsidRPr="00F715D1">
        <w:t>MSAC’s advice to the Minister</w:t>
      </w:r>
    </w:p>
    <w:p w14:paraId="16C855B1" w14:textId="2D2EA3A7" w:rsidR="005E280E" w:rsidRDefault="005E280E" w:rsidP="0039787B">
      <w:pPr>
        <w:pStyle w:val="NormalBeforeBullet"/>
        <w:spacing w:after="240"/>
      </w:pPr>
      <w:r w:rsidRPr="001342D1">
        <w:t xml:space="preserve">After considering the strength of the available evidence in relation to comparative safety, </w:t>
      </w:r>
      <w:r>
        <w:t>clinical effectiveness and</w:t>
      </w:r>
      <w:r w:rsidR="00A7574E">
        <w:t>+</w:t>
      </w:r>
      <w:r>
        <w:t xml:space="preserve"> cost-</w:t>
      </w:r>
      <w:r w:rsidRPr="001342D1">
        <w:t>effectiveness, MSAC</w:t>
      </w:r>
      <w:r w:rsidRPr="00F07B18">
        <w:t xml:space="preserve"> did not support the creation of a new Medicare Benefits Schedule (MBS) item for magnetic resonance imaging-guided focused ultrasound in the treatment of medically refractory essential tremor. MSAC accepted that there was an unmet clinical need for a non-invasive intervention compared with MBS-funded deep brain </w:t>
      </w:r>
      <w:proofErr w:type="gramStart"/>
      <w:r w:rsidRPr="00F07B18">
        <w:t>stimulation, but</w:t>
      </w:r>
      <w:proofErr w:type="gramEnd"/>
      <w:r w:rsidRPr="00F07B18">
        <w:t xml:space="preserve"> considered that the comparative safety was too uncertain and </w:t>
      </w:r>
      <w:r>
        <w:t xml:space="preserve">– </w:t>
      </w:r>
      <w:r w:rsidRPr="00F07B18">
        <w:t xml:space="preserve">as a consequence </w:t>
      </w:r>
      <w:r>
        <w:t xml:space="preserve">– </w:t>
      </w:r>
      <w:r w:rsidRPr="00F07B18">
        <w:t xml:space="preserve">the economic evaluation was inappropriate. MSAC also noted issues with the procedural requirements, fee structure and frequency of imaging, and that the role of ipsilateral retreatment and contralateral </w:t>
      </w:r>
      <w:r w:rsidR="003F36FB">
        <w:t xml:space="preserve">(non-dominant) </w:t>
      </w:r>
      <w:r w:rsidRPr="00F07B18">
        <w:t>treatment was not supported by the current evidence base.</w:t>
      </w:r>
    </w:p>
    <w:tbl>
      <w:tblPr>
        <w:tblStyle w:val="TableGrid"/>
        <w:tblW w:w="0" w:type="auto"/>
        <w:tblLook w:val="04A0" w:firstRow="1" w:lastRow="0" w:firstColumn="1" w:lastColumn="0" w:noHBand="0" w:noVBand="1"/>
        <w:tblDescription w:val="Consumer summary of MSAC consideration"/>
      </w:tblPr>
      <w:tblGrid>
        <w:gridCol w:w="9016"/>
      </w:tblGrid>
      <w:tr w:rsidR="000663AA" w14:paraId="726808EF" w14:textId="77777777" w:rsidTr="00DA2C15">
        <w:trPr>
          <w:tblHeader/>
        </w:trPr>
        <w:tc>
          <w:tcPr>
            <w:tcW w:w="9016" w:type="dxa"/>
          </w:tcPr>
          <w:p w14:paraId="27C602D9" w14:textId="77777777" w:rsidR="000663AA" w:rsidRPr="000663AA" w:rsidRDefault="000663AA" w:rsidP="000663AA">
            <w:pPr>
              <w:pStyle w:val="Default"/>
              <w:spacing w:before="120" w:after="120"/>
              <w:rPr>
                <w:b/>
                <w:color w:val="auto"/>
              </w:rPr>
            </w:pPr>
            <w:r w:rsidRPr="00C06B0B">
              <w:rPr>
                <w:b/>
                <w:color w:val="auto"/>
              </w:rPr>
              <w:t>Consumer summary</w:t>
            </w:r>
          </w:p>
        </w:tc>
      </w:tr>
      <w:tr w:rsidR="000663AA" w14:paraId="04CCFBA2" w14:textId="77777777" w:rsidTr="000663AA">
        <w:tc>
          <w:tcPr>
            <w:tcW w:w="9016" w:type="dxa"/>
          </w:tcPr>
          <w:p w14:paraId="2FF0C943" w14:textId="663D5977" w:rsidR="005E280E" w:rsidRDefault="005E280E" w:rsidP="00F715D1">
            <w:pPr>
              <w:pStyle w:val="Default"/>
              <w:spacing w:after="240"/>
            </w:pPr>
            <w:r>
              <w:t xml:space="preserve">This application is </w:t>
            </w:r>
            <w:r w:rsidRPr="00845D61">
              <w:t>from</w:t>
            </w:r>
            <w:r>
              <w:t xml:space="preserve"> </w:t>
            </w:r>
            <w:proofErr w:type="spellStart"/>
            <w:r w:rsidRPr="00001419">
              <w:t>Insightec</w:t>
            </w:r>
            <w:proofErr w:type="spellEnd"/>
            <w:r w:rsidRPr="00001419">
              <w:t xml:space="preserve"> Ltd</w:t>
            </w:r>
            <w:r>
              <w:t xml:space="preserve"> and seeks to create a new </w:t>
            </w:r>
            <w:r w:rsidRPr="000B7C35">
              <w:t>Medicare Benefits Schedule (</w:t>
            </w:r>
            <w:r>
              <w:t xml:space="preserve">MBS) item </w:t>
            </w:r>
            <w:r w:rsidRPr="00233303">
              <w:t xml:space="preserve">for </w:t>
            </w:r>
            <w:r>
              <w:t>m</w:t>
            </w:r>
            <w:r w:rsidRPr="00B56F77">
              <w:t xml:space="preserve">agnetic resonance-guided focused ultrasound </w:t>
            </w:r>
            <w:r>
              <w:t>(</w:t>
            </w:r>
            <w:proofErr w:type="spellStart"/>
            <w:r>
              <w:t>MRgFUS</w:t>
            </w:r>
            <w:proofErr w:type="spellEnd"/>
            <w:r>
              <w:t xml:space="preserve">). It would be used to treat </w:t>
            </w:r>
            <w:r w:rsidRPr="00B56F77">
              <w:t>medically refractory essential tremor</w:t>
            </w:r>
            <w:r>
              <w:t>.</w:t>
            </w:r>
          </w:p>
          <w:p w14:paraId="5A9E07AA" w14:textId="0AF69394" w:rsidR="005E280E" w:rsidRDefault="005E280E" w:rsidP="00F715D1">
            <w:pPr>
              <w:pStyle w:val="Default"/>
              <w:spacing w:after="240"/>
            </w:pPr>
            <w:r>
              <w:t>Essential tremor is a condition that causes uncontrolled shaking, mostly in the hands. This application is about refractory essential tremor, which means that the condition does not respond to treatment.</w:t>
            </w:r>
          </w:p>
          <w:p w14:paraId="30884B04" w14:textId="53CA97B6" w:rsidR="005E280E" w:rsidRDefault="005E280E" w:rsidP="00F715D1">
            <w:pPr>
              <w:pStyle w:val="Default"/>
              <w:spacing w:after="240"/>
            </w:pPr>
            <w:r>
              <w:t>Deep brain stimulation</w:t>
            </w:r>
            <w:r w:rsidR="000136BA">
              <w:t xml:space="preserve"> (DBS)</w:t>
            </w:r>
            <w:r>
              <w:t xml:space="preserve"> is often used to control the symptoms of refractory essential tremor. However, this is an invasive </w:t>
            </w:r>
            <w:r w:rsidR="000136BA">
              <w:t xml:space="preserve">procedure </w:t>
            </w:r>
            <w:r>
              <w:t xml:space="preserve">that involves drilling holes into the skull </w:t>
            </w:r>
            <w:r>
              <w:lastRenderedPageBreak/>
              <w:t xml:space="preserve">and putting an electrode deep in the brain. </w:t>
            </w:r>
            <w:proofErr w:type="spellStart"/>
            <w:r>
              <w:t>MRgFUS</w:t>
            </w:r>
            <w:proofErr w:type="spellEnd"/>
            <w:r>
              <w:t xml:space="preserve"> uses f</w:t>
            </w:r>
            <w:r w:rsidRPr="00AD40F2">
              <w:t xml:space="preserve">ocused ultrasound </w:t>
            </w:r>
            <w:r>
              <w:t xml:space="preserve">waves that </w:t>
            </w:r>
            <w:r w:rsidRPr="00AD40F2">
              <w:t>penetrate the skull</w:t>
            </w:r>
            <w:r>
              <w:t xml:space="preserve"> and make changes to the brain tissue</w:t>
            </w:r>
            <w:r w:rsidR="000772B1">
              <w:t xml:space="preserve"> </w:t>
            </w:r>
            <w:r w:rsidR="000772B1" w:rsidRPr="000772B1">
              <w:t xml:space="preserve">which is </w:t>
            </w:r>
            <w:r w:rsidR="000136BA">
              <w:t xml:space="preserve">the </w:t>
            </w:r>
            <w:r w:rsidR="000772B1" w:rsidRPr="000772B1">
              <w:t>cause of the abnormal movements</w:t>
            </w:r>
            <w:r>
              <w:t>,</w:t>
            </w:r>
            <w:r w:rsidRPr="00AD40F2">
              <w:t xml:space="preserve"> without the need to make an incision or drill holes in the skull</w:t>
            </w:r>
            <w:r w:rsidR="000772B1">
              <w:t xml:space="preserve"> </w:t>
            </w:r>
            <w:r w:rsidR="000772B1" w:rsidRPr="000772B1">
              <w:t>to achieve a similar result</w:t>
            </w:r>
            <w:r w:rsidRPr="00AD40F2">
              <w:t>.</w:t>
            </w:r>
          </w:p>
          <w:p w14:paraId="7D5D732B" w14:textId="36897315" w:rsidR="005E280E" w:rsidRDefault="005E280E" w:rsidP="00F715D1">
            <w:pPr>
              <w:pStyle w:val="Default"/>
              <w:spacing w:after="240"/>
            </w:pPr>
            <w:r>
              <w:t xml:space="preserve">MSAC accepted that there will be patients who would prefer to use </w:t>
            </w:r>
            <w:proofErr w:type="spellStart"/>
            <w:r>
              <w:t>MRgFUS</w:t>
            </w:r>
            <w:proofErr w:type="spellEnd"/>
            <w:r>
              <w:t xml:space="preserve"> rather than the more invasive procedure of </w:t>
            </w:r>
            <w:r w:rsidR="000136BA">
              <w:t>DBS</w:t>
            </w:r>
            <w:r>
              <w:t xml:space="preserve"> to manage refractory essential tremor. However, MSAC noted that the level of evidence is very poor for </w:t>
            </w:r>
            <w:proofErr w:type="spellStart"/>
            <w:r>
              <w:t>MRgFUS</w:t>
            </w:r>
            <w:proofErr w:type="spellEnd"/>
            <w:r>
              <w:t xml:space="preserve">, which means that MSAC was unable to ensure that </w:t>
            </w:r>
            <w:proofErr w:type="spellStart"/>
            <w:r>
              <w:t>MRgFUS</w:t>
            </w:r>
            <w:proofErr w:type="spellEnd"/>
            <w:r>
              <w:t xml:space="preserve"> is at least as safe, clinically effective and cost effective as DBS. For these reasons, MSAC did not support this proposed listing.</w:t>
            </w:r>
          </w:p>
          <w:p w14:paraId="204BFED3" w14:textId="6EAACC1D" w:rsidR="000663AA" w:rsidRDefault="000663AA" w:rsidP="0039787B">
            <w:pPr>
              <w:pStyle w:val="Default"/>
              <w:spacing w:after="120"/>
              <w:rPr>
                <w:i/>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16A64C62" w14:textId="1307EE8B" w:rsidR="005E280E" w:rsidRPr="007F09AA" w:rsidRDefault="005E280E" w:rsidP="00F715D1">
            <w:pPr>
              <w:pStyle w:val="Default"/>
              <w:spacing w:after="240"/>
              <w:rPr>
                <w:color w:val="auto"/>
              </w:rPr>
            </w:pPr>
            <w:r w:rsidRPr="00233303">
              <w:t xml:space="preserve">MSAC </w:t>
            </w:r>
            <w:r>
              <w:t>did not support</w:t>
            </w:r>
            <w:r w:rsidRPr="00233303">
              <w:t xml:space="preserve"> </w:t>
            </w:r>
            <w:r w:rsidRPr="00F07B18">
              <w:t xml:space="preserve">the creation of a new MBS item for magnetic resonance imaging-guided focused ultrasound in the treatment of medically refractory essential tremor. MSAC accepted that there </w:t>
            </w:r>
            <w:r>
              <w:t>are some people who need</w:t>
            </w:r>
            <w:r w:rsidRPr="00F07B18">
              <w:t xml:space="preserve"> a non-invasive intervention compared with MBS-funded deep brain stimulation</w:t>
            </w:r>
            <w:r>
              <w:t>. However, MSAC</w:t>
            </w:r>
            <w:r w:rsidRPr="00F07B18">
              <w:t xml:space="preserve"> considered that</w:t>
            </w:r>
            <w:r w:rsidR="00AF78D5">
              <w:t xml:space="preserve"> due to the </w:t>
            </w:r>
            <w:r w:rsidR="00AF78D5" w:rsidRPr="007F09AA">
              <w:t>different safety profiles</w:t>
            </w:r>
            <w:r w:rsidR="009C2A72">
              <w:t xml:space="preserve"> of the technologies</w:t>
            </w:r>
            <w:r w:rsidRPr="00F07B18">
              <w:t xml:space="preserve"> the comparative safety was too uncertain</w:t>
            </w:r>
            <w:r>
              <w:t>, which meant that the</w:t>
            </w:r>
            <w:r w:rsidRPr="00F07B18">
              <w:t xml:space="preserve"> economic evaluation</w:t>
            </w:r>
            <w:r w:rsidR="004D3F7D">
              <w:t>,</w:t>
            </w:r>
            <w:r w:rsidR="009C2A72">
              <w:t xml:space="preserve"> which did not </w:t>
            </w:r>
            <w:proofErr w:type="gramStart"/>
            <w:r w:rsidR="009C2A72">
              <w:t>take into account</w:t>
            </w:r>
            <w:proofErr w:type="gramEnd"/>
            <w:r w:rsidR="009C2A72">
              <w:t xml:space="preserve"> differences in </w:t>
            </w:r>
            <w:r w:rsidR="004D3F7D">
              <w:t xml:space="preserve">benefits and </w:t>
            </w:r>
            <w:r w:rsidR="009C2A72">
              <w:t>harms</w:t>
            </w:r>
            <w:r w:rsidR="004D3F7D">
              <w:t>,</w:t>
            </w:r>
            <w:r w:rsidRPr="00F07B18">
              <w:t xml:space="preserve"> was </w:t>
            </w:r>
            <w:r>
              <w:t xml:space="preserve">not </w:t>
            </w:r>
            <w:r w:rsidRPr="00F07B18">
              <w:t>appropriate.</w:t>
            </w:r>
          </w:p>
        </w:tc>
      </w:tr>
    </w:tbl>
    <w:p w14:paraId="46DE39E3" w14:textId="77777777" w:rsidR="00550354" w:rsidRPr="00F715D1" w:rsidRDefault="00550354" w:rsidP="00F715D1">
      <w:pPr>
        <w:pStyle w:val="Heading1"/>
      </w:pPr>
      <w:r w:rsidRPr="00F715D1">
        <w:lastRenderedPageBreak/>
        <w:t xml:space="preserve">Summary of consideration and rationale for MSAC’s advice </w:t>
      </w:r>
    </w:p>
    <w:p w14:paraId="7E3FF8AE" w14:textId="1F2E3CC1" w:rsidR="005E280E" w:rsidRPr="007F09AA" w:rsidRDefault="005E280E" w:rsidP="007F09AA">
      <w:pPr>
        <w:spacing w:after="240"/>
        <w:rPr>
          <w:color w:val="000000"/>
        </w:rPr>
      </w:pPr>
      <w:r w:rsidRPr="007F09AA">
        <w:rPr>
          <w:color w:val="000000"/>
        </w:rPr>
        <w:t xml:space="preserve">MSAC noted that this application from </w:t>
      </w:r>
      <w:proofErr w:type="spellStart"/>
      <w:r w:rsidRPr="007F09AA">
        <w:rPr>
          <w:color w:val="000000"/>
        </w:rPr>
        <w:t>Insightec</w:t>
      </w:r>
      <w:proofErr w:type="spellEnd"/>
      <w:r w:rsidRPr="007F09AA">
        <w:rPr>
          <w:color w:val="000000"/>
        </w:rPr>
        <w:t xml:space="preserve"> Ltd seeks to create a new MBS item for </w:t>
      </w:r>
      <w:proofErr w:type="spellStart"/>
      <w:r w:rsidRPr="007F09AA">
        <w:rPr>
          <w:color w:val="000000"/>
        </w:rPr>
        <w:t>MRgFUS</w:t>
      </w:r>
      <w:proofErr w:type="spellEnd"/>
      <w:r w:rsidRPr="007F09AA">
        <w:rPr>
          <w:color w:val="000000"/>
        </w:rPr>
        <w:t xml:space="preserve"> for the treatment of medically refractory </w:t>
      </w:r>
      <w:r w:rsidR="000136BA">
        <w:rPr>
          <w:color w:val="000000"/>
        </w:rPr>
        <w:t>essential tremor (</w:t>
      </w:r>
      <w:r w:rsidR="0048220D">
        <w:rPr>
          <w:color w:val="000000"/>
        </w:rPr>
        <w:t>ET</w:t>
      </w:r>
      <w:r w:rsidR="000136BA">
        <w:rPr>
          <w:color w:val="000000"/>
        </w:rPr>
        <w:t>)</w:t>
      </w:r>
      <w:r w:rsidRPr="007F09AA">
        <w:rPr>
          <w:color w:val="000000"/>
        </w:rPr>
        <w:t>.</w:t>
      </w:r>
    </w:p>
    <w:p w14:paraId="25FA0AD6" w14:textId="0059267A" w:rsidR="008472C1" w:rsidRDefault="008472C1" w:rsidP="007F09AA">
      <w:pPr>
        <w:spacing w:after="240"/>
      </w:pPr>
      <w:r>
        <w:t xml:space="preserve">MSAC noted </w:t>
      </w:r>
      <w:r w:rsidR="00D067F8">
        <w:t>the</w:t>
      </w:r>
      <w:r>
        <w:t xml:space="preserve"> </w:t>
      </w:r>
      <w:r w:rsidR="00D067F8">
        <w:t>supportive</w:t>
      </w:r>
      <w:r>
        <w:t xml:space="preserve"> consumer feedback for this application</w:t>
      </w:r>
      <w:r w:rsidR="0066712B">
        <w:t xml:space="preserve"> from a charity group (Parkinson’s South Australia and Norther</w:t>
      </w:r>
      <w:r w:rsidR="000136BA">
        <w:t>n</w:t>
      </w:r>
      <w:r w:rsidR="0066712B">
        <w:t xml:space="preserve"> Territory)</w:t>
      </w:r>
      <w:r>
        <w:t>. MSAC also noted the consumer issues raised at ESC for the proposed intervention.</w:t>
      </w:r>
    </w:p>
    <w:p w14:paraId="1CDB753A" w14:textId="553395A1" w:rsidR="0048220D" w:rsidRDefault="0048220D" w:rsidP="007F09AA">
      <w:pPr>
        <w:spacing w:after="240"/>
        <w:rPr>
          <w:color w:val="000000"/>
        </w:rPr>
      </w:pPr>
      <w:r w:rsidRPr="00F07B18">
        <w:t xml:space="preserve">MSAC </w:t>
      </w:r>
      <w:r>
        <w:t xml:space="preserve">considered </w:t>
      </w:r>
      <w:r w:rsidRPr="00F07B18">
        <w:t>that there was an unmet clinical need for a non-invasive intervention</w:t>
      </w:r>
      <w:r>
        <w:t xml:space="preserve"> such as </w:t>
      </w:r>
      <w:proofErr w:type="spellStart"/>
      <w:r>
        <w:t>MRgFUS</w:t>
      </w:r>
      <w:proofErr w:type="spellEnd"/>
      <w:r>
        <w:t>,</w:t>
      </w:r>
      <w:r w:rsidRPr="00F07B18">
        <w:t xml:space="preserve"> compared with </w:t>
      </w:r>
      <w:r w:rsidR="003C2DE3">
        <w:t xml:space="preserve">invasive </w:t>
      </w:r>
      <w:r w:rsidRPr="00F07B18">
        <w:t>deep brain stimulation</w:t>
      </w:r>
      <w:r>
        <w:t xml:space="preserve"> (DBS).</w:t>
      </w:r>
      <w:r w:rsidR="00526846">
        <w:t xml:space="preserve"> MSAC also noted that </w:t>
      </w:r>
      <w:proofErr w:type="spellStart"/>
      <w:r w:rsidR="00526846">
        <w:t>MRgFUS</w:t>
      </w:r>
      <w:proofErr w:type="spellEnd"/>
      <w:r w:rsidR="00526846">
        <w:t xml:space="preserve"> creates an irreversible thalamic lesion, unlike DBS which is reversible.</w:t>
      </w:r>
    </w:p>
    <w:p w14:paraId="7F51B4CB" w14:textId="37001F26" w:rsidR="00FD33D4" w:rsidRDefault="00FD33D4" w:rsidP="007F09AA">
      <w:pPr>
        <w:spacing w:after="240"/>
        <w:rPr>
          <w:color w:val="000000"/>
        </w:rPr>
      </w:pPr>
      <w:r>
        <w:rPr>
          <w:color w:val="000000"/>
        </w:rPr>
        <w:t xml:space="preserve">MSAC noted </w:t>
      </w:r>
      <w:r>
        <w:t xml:space="preserve">the </w:t>
      </w:r>
      <w:r w:rsidRPr="007E5B77">
        <w:t>applicant-developed assessment report</w:t>
      </w:r>
      <w:r>
        <w:t xml:space="preserve"> (ADAR) included tremor recurrence to allow for retreatment in the algorithm.</w:t>
      </w:r>
    </w:p>
    <w:p w14:paraId="5AD26215" w14:textId="5057169A" w:rsidR="001D31D5" w:rsidRDefault="005E280E" w:rsidP="007F09AA">
      <w:pPr>
        <w:spacing w:after="240"/>
        <w:rPr>
          <w:color w:val="000000"/>
        </w:rPr>
      </w:pPr>
      <w:r w:rsidRPr="007F09AA">
        <w:rPr>
          <w:color w:val="000000"/>
        </w:rPr>
        <w:t xml:space="preserve">MSAC noted that the clinical claim is that </w:t>
      </w:r>
      <w:proofErr w:type="spellStart"/>
      <w:r w:rsidRPr="007F09AA">
        <w:rPr>
          <w:color w:val="000000"/>
        </w:rPr>
        <w:t>MRgFUS</w:t>
      </w:r>
      <w:proofErr w:type="spellEnd"/>
      <w:r w:rsidRPr="007F09AA">
        <w:rPr>
          <w:color w:val="000000"/>
        </w:rPr>
        <w:t xml:space="preserve"> is</w:t>
      </w:r>
      <w:r w:rsidR="001D31D5">
        <w:rPr>
          <w:color w:val="000000"/>
        </w:rPr>
        <w:t>:</w:t>
      </w:r>
    </w:p>
    <w:p w14:paraId="699FF2C3" w14:textId="58F45218" w:rsidR="001D31D5" w:rsidRDefault="005E280E" w:rsidP="007F09AA">
      <w:pPr>
        <w:pStyle w:val="ListParagraph"/>
        <w:numPr>
          <w:ilvl w:val="0"/>
          <w:numId w:val="33"/>
        </w:numPr>
        <w:spacing w:after="240"/>
        <w:rPr>
          <w:color w:val="000000"/>
        </w:rPr>
      </w:pPr>
      <w:r w:rsidRPr="007F09AA">
        <w:rPr>
          <w:color w:val="000000"/>
        </w:rPr>
        <w:t>non-inferior with respect to clinical efficacy and with a different yet non-inferior safety profile compared with</w:t>
      </w:r>
      <w:r w:rsidR="001D31D5" w:rsidRPr="007F09AA">
        <w:rPr>
          <w:color w:val="000000"/>
        </w:rPr>
        <w:t xml:space="preserve"> </w:t>
      </w:r>
      <w:r w:rsidRPr="007F09AA">
        <w:rPr>
          <w:color w:val="000000"/>
        </w:rPr>
        <w:t>DBS</w:t>
      </w:r>
      <w:r w:rsidR="001D31D5">
        <w:rPr>
          <w:color w:val="000000"/>
        </w:rPr>
        <w:t xml:space="preserve"> as the main comparator</w:t>
      </w:r>
    </w:p>
    <w:p w14:paraId="77342C02" w14:textId="2FFE4600" w:rsidR="005E280E" w:rsidRPr="007F09AA" w:rsidRDefault="005E280E" w:rsidP="007F09AA">
      <w:pPr>
        <w:pStyle w:val="ListParagraph"/>
        <w:numPr>
          <w:ilvl w:val="0"/>
          <w:numId w:val="33"/>
        </w:numPr>
        <w:spacing w:after="240"/>
        <w:rPr>
          <w:color w:val="000000"/>
        </w:rPr>
      </w:pPr>
      <w:r w:rsidRPr="007F09AA">
        <w:rPr>
          <w:color w:val="000000"/>
        </w:rPr>
        <w:t>superior with respect to clinical efficacy and inferior with respect to safety, compared with best standard care (BSC) as the potential secondary comparator.</w:t>
      </w:r>
    </w:p>
    <w:p w14:paraId="5A24142C" w14:textId="7060A3F0" w:rsidR="005E280E" w:rsidRPr="007F09AA" w:rsidRDefault="005E280E" w:rsidP="007F09AA">
      <w:pPr>
        <w:spacing w:after="240"/>
        <w:rPr>
          <w:color w:val="000000"/>
        </w:rPr>
      </w:pPr>
      <w:r w:rsidRPr="007F09AA">
        <w:rPr>
          <w:color w:val="000000"/>
        </w:rPr>
        <w:t xml:space="preserve">MSAC </w:t>
      </w:r>
      <w:r w:rsidR="00262777">
        <w:rPr>
          <w:color w:val="000000"/>
        </w:rPr>
        <w:t xml:space="preserve">considered the evidence </w:t>
      </w:r>
      <w:r w:rsidR="00262777" w:rsidRPr="00EB2DA6">
        <w:rPr>
          <w:color w:val="000000"/>
        </w:rPr>
        <w:t xml:space="preserve">for </w:t>
      </w:r>
      <w:proofErr w:type="spellStart"/>
      <w:r w:rsidR="00262777" w:rsidRPr="00EB2DA6">
        <w:rPr>
          <w:color w:val="000000"/>
        </w:rPr>
        <w:t>MRgFUS</w:t>
      </w:r>
      <w:proofErr w:type="spellEnd"/>
      <w:r w:rsidR="00262777" w:rsidRPr="00EB2DA6">
        <w:rPr>
          <w:color w:val="000000"/>
        </w:rPr>
        <w:t xml:space="preserve"> </w:t>
      </w:r>
      <w:r w:rsidR="00262777" w:rsidRPr="007F09AA">
        <w:rPr>
          <w:i/>
          <w:color w:val="000000"/>
        </w:rPr>
        <w:t>vs.</w:t>
      </w:r>
      <w:r w:rsidR="00262777" w:rsidRPr="00EB2DA6">
        <w:rPr>
          <w:color w:val="000000"/>
        </w:rPr>
        <w:t xml:space="preserve"> DBS</w:t>
      </w:r>
      <w:r w:rsidR="00262777">
        <w:rPr>
          <w:color w:val="000000"/>
        </w:rPr>
        <w:t xml:space="preserve">, noting it included </w:t>
      </w:r>
      <w:r w:rsidRPr="007F09AA">
        <w:rPr>
          <w:color w:val="000000"/>
        </w:rPr>
        <w:t>two retrospective studies, one systematic review and indirect treatment comparison</w:t>
      </w:r>
      <w:r w:rsidR="00D65D7A">
        <w:rPr>
          <w:color w:val="000000"/>
        </w:rPr>
        <w:t xml:space="preserve">, </w:t>
      </w:r>
      <w:r w:rsidRPr="007F09AA">
        <w:rPr>
          <w:color w:val="000000"/>
        </w:rPr>
        <w:t xml:space="preserve">and a naïve comparison of single-arm studies (mainly case series) of </w:t>
      </w:r>
      <w:proofErr w:type="spellStart"/>
      <w:r w:rsidRPr="007F09AA">
        <w:rPr>
          <w:color w:val="000000"/>
        </w:rPr>
        <w:t>MRgFUS</w:t>
      </w:r>
      <w:proofErr w:type="spellEnd"/>
      <w:r w:rsidRPr="007F09AA">
        <w:rPr>
          <w:color w:val="000000"/>
        </w:rPr>
        <w:t xml:space="preserve"> (n = 9) and DBS (n = 2)</w:t>
      </w:r>
      <w:r w:rsidR="00D77CAC">
        <w:rPr>
          <w:color w:val="000000"/>
        </w:rPr>
        <w:t xml:space="preserve">, </w:t>
      </w:r>
      <w:r w:rsidR="00D77CAC">
        <w:t>with</w:t>
      </w:r>
      <w:r w:rsidR="00D77CAC" w:rsidRPr="00253BDC">
        <w:t xml:space="preserve"> no direct head-to-head randomised controlled studies (RCTs)</w:t>
      </w:r>
      <w:r w:rsidR="00D77CAC">
        <w:t>.</w:t>
      </w:r>
      <w:r w:rsidR="00393F21">
        <w:t xml:space="preserve"> </w:t>
      </w:r>
      <w:r w:rsidRPr="007F09AA">
        <w:rPr>
          <w:color w:val="000000"/>
        </w:rPr>
        <w:t xml:space="preserve">For </w:t>
      </w:r>
      <w:proofErr w:type="spellStart"/>
      <w:r w:rsidRPr="007F09AA">
        <w:rPr>
          <w:color w:val="000000"/>
        </w:rPr>
        <w:t>MRgFUS</w:t>
      </w:r>
      <w:proofErr w:type="spellEnd"/>
      <w:r w:rsidRPr="007F09AA">
        <w:rPr>
          <w:color w:val="000000"/>
        </w:rPr>
        <w:t xml:space="preserve"> </w:t>
      </w:r>
      <w:r w:rsidR="00D77CAC" w:rsidRPr="007F09AA">
        <w:rPr>
          <w:i/>
          <w:color w:val="000000"/>
        </w:rPr>
        <w:t>vs</w:t>
      </w:r>
      <w:r w:rsidR="00D77CAC">
        <w:rPr>
          <w:color w:val="000000"/>
        </w:rPr>
        <w:t xml:space="preserve">. </w:t>
      </w:r>
      <w:r w:rsidRPr="007F09AA">
        <w:rPr>
          <w:color w:val="000000"/>
        </w:rPr>
        <w:t xml:space="preserve">BSC, </w:t>
      </w:r>
      <w:r w:rsidR="00D77CAC">
        <w:rPr>
          <w:color w:val="000000"/>
        </w:rPr>
        <w:t xml:space="preserve">MSAC noted the pivotal evidence was an </w:t>
      </w:r>
      <w:r w:rsidRPr="007F09AA">
        <w:rPr>
          <w:color w:val="000000"/>
        </w:rPr>
        <w:t>RCT</w:t>
      </w:r>
      <w:r w:rsidR="00D77CAC">
        <w:rPr>
          <w:color w:val="000000"/>
        </w:rPr>
        <w:t xml:space="preserve"> </w:t>
      </w:r>
      <w:r w:rsidRPr="007F09AA">
        <w:rPr>
          <w:color w:val="000000"/>
        </w:rPr>
        <w:t xml:space="preserve">comparing </w:t>
      </w:r>
      <w:proofErr w:type="spellStart"/>
      <w:r w:rsidRPr="007F09AA">
        <w:rPr>
          <w:color w:val="000000"/>
        </w:rPr>
        <w:t>MRgFUS</w:t>
      </w:r>
      <w:proofErr w:type="spellEnd"/>
      <w:r w:rsidRPr="007F09AA">
        <w:rPr>
          <w:color w:val="000000"/>
        </w:rPr>
        <w:t xml:space="preserve"> with a sham procedure over a 3-month follow-up period.</w:t>
      </w:r>
      <w:r w:rsidR="00545612">
        <w:rPr>
          <w:color w:val="000000"/>
        </w:rPr>
        <w:t xml:space="preserve"> MSAC noted the evidence was supplemented with three follow up reports </w:t>
      </w:r>
      <w:r w:rsidR="00545612">
        <w:rPr>
          <w:color w:val="000000"/>
        </w:rPr>
        <w:lastRenderedPageBreak/>
        <w:t xml:space="preserve">of the intervention arm of the RCT over four years. Overall, MSAC considered the </w:t>
      </w:r>
      <w:r w:rsidR="00545612" w:rsidRPr="000F0122">
        <w:t>existing evidence base was at a high risk of bias</w:t>
      </w:r>
      <w:r w:rsidR="00545612">
        <w:rPr>
          <w:color w:val="000000"/>
        </w:rPr>
        <w:t>.</w:t>
      </w:r>
    </w:p>
    <w:p w14:paraId="25E624F8" w14:textId="1DCA86F7" w:rsidR="00E46DAF" w:rsidRDefault="00CB2E4F" w:rsidP="005E280E">
      <w:pPr>
        <w:pStyle w:val="NormalBeforeBullet"/>
      </w:pPr>
      <w:r>
        <w:t xml:space="preserve">Regarding comparative safety of </w:t>
      </w:r>
      <w:proofErr w:type="spellStart"/>
      <w:r>
        <w:t>MRgFUS</w:t>
      </w:r>
      <w:proofErr w:type="spellEnd"/>
      <w:r>
        <w:t xml:space="preserve"> </w:t>
      </w:r>
      <w:r w:rsidRPr="007F09AA">
        <w:rPr>
          <w:i/>
        </w:rPr>
        <w:t>vs</w:t>
      </w:r>
      <w:r>
        <w:t xml:space="preserve">. DBS, </w:t>
      </w:r>
      <w:r w:rsidR="005E280E">
        <w:t xml:space="preserve">MSAC noted that </w:t>
      </w:r>
      <w:r w:rsidR="00526846">
        <w:t xml:space="preserve">meaningful comparison is difficult </w:t>
      </w:r>
      <w:r>
        <w:t xml:space="preserve">due to the </w:t>
      </w:r>
      <w:r w:rsidR="00E26D57">
        <w:t>two procedures having</w:t>
      </w:r>
      <w:r w:rsidRPr="000F0122">
        <w:t xml:space="preserve"> a different safety profile</w:t>
      </w:r>
      <w:r w:rsidR="00E26D57">
        <w:t xml:space="preserve">: </w:t>
      </w:r>
    </w:p>
    <w:p w14:paraId="6647F9D6" w14:textId="10829295" w:rsidR="00E46DAF" w:rsidRDefault="00E46DAF" w:rsidP="007F09AA">
      <w:pPr>
        <w:pStyle w:val="NormalBeforeBullet"/>
        <w:numPr>
          <w:ilvl w:val="0"/>
          <w:numId w:val="34"/>
        </w:numPr>
      </w:pPr>
      <w:r>
        <w:t>Intra-procedural adverse events</w:t>
      </w:r>
      <w:r w:rsidR="00302F4B">
        <w:t xml:space="preserve"> (AEs)</w:t>
      </w:r>
      <w:r>
        <w:t xml:space="preserve"> were common with </w:t>
      </w:r>
      <w:proofErr w:type="spellStart"/>
      <w:r>
        <w:t>MRgFUS</w:t>
      </w:r>
      <w:proofErr w:type="spellEnd"/>
      <w:r>
        <w:t xml:space="preserve"> </w:t>
      </w:r>
      <w:r w:rsidRPr="007F09AA">
        <w:rPr>
          <w:i/>
        </w:rPr>
        <w:t>vs.</w:t>
      </w:r>
      <w:r>
        <w:t xml:space="preserve"> </w:t>
      </w:r>
      <w:r w:rsidR="00CB2E4F" w:rsidRPr="000F0122">
        <w:t>no intra</w:t>
      </w:r>
      <w:r>
        <w:t>-</w:t>
      </w:r>
      <w:r w:rsidR="00CB2E4F" w:rsidRPr="000F0122">
        <w:t xml:space="preserve">procedural sensations </w:t>
      </w:r>
      <w:r w:rsidR="00E26D57">
        <w:t>with</w:t>
      </w:r>
      <w:r w:rsidR="00CB2E4F" w:rsidRPr="000F0122">
        <w:t xml:space="preserve"> DBS as ins</w:t>
      </w:r>
      <w:r>
        <w:t>erted under general anaesthesia</w:t>
      </w:r>
      <w:r w:rsidR="00CB2E4F" w:rsidRPr="000F0122">
        <w:t xml:space="preserve"> </w:t>
      </w:r>
    </w:p>
    <w:p w14:paraId="348395E4" w14:textId="4A585A9C" w:rsidR="00E46DAF" w:rsidRDefault="0048220D" w:rsidP="007F09AA">
      <w:pPr>
        <w:pStyle w:val="NormalBeforeBullet"/>
        <w:numPr>
          <w:ilvl w:val="0"/>
          <w:numId w:val="34"/>
        </w:numPr>
      </w:pPr>
      <w:r>
        <w:t xml:space="preserve">No serious AEs for </w:t>
      </w:r>
      <w:proofErr w:type="spellStart"/>
      <w:r>
        <w:t>MRgFUS</w:t>
      </w:r>
      <w:proofErr w:type="spellEnd"/>
      <w:r>
        <w:t xml:space="preserve"> </w:t>
      </w:r>
      <w:r w:rsidRPr="007F09AA">
        <w:rPr>
          <w:i/>
        </w:rPr>
        <w:t>vs</w:t>
      </w:r>
      <w:r>
        <w:t xml:space="preserve">. serious AEs from </w:t>
      </w:r>
      <w:r w:rsidR="00CB2E4F" w:rsidRPr="000F0122">
        <w:t xml:space="preserve">potential hardware-related complications </w:t>
      </w:r>
      <w:r w:rsidR="00E46DAF">
        <w:t>with DBS</w:t>
      </w:r>
    </w:p>
    <w:p w14:paraId="31798E9D" w14:textId="483D54A1" w:rsidR="00526846" w:rsidRDefault="00526846" w:rsidP="00526846">
      <w:pPr>
        <w:pStyle w:val="ListParagraph"/>
        <w:numPr>
          <w:ilvl w:val="0"/>
          <w:numId w:val="34"/>
        </w:numPr>
        <w:rPr>
          <w:color w:val="000000"/>
        </w:rPr>
      </w:pPr>
      <w:r>
        <w:t>Post procedural AEs includ</w:t>
      </w:r>
      <w:r w:rsidR="00EA45DD">
        <w:t>ing</w:t>
      </w:r>
      <w:r>
        <w:t xml:space="preserve"> </w:t>
      </w:r>
      <w:r w:rsidRPr="00640196">
        <w:t>paraesthesia and gait disturbance</w:t>
      </w:r>
      <w:r>
        <w:t xml:space="preserve">s were </w:t>
      </w:r>
      <w:r w:rsidRPr="00640196">
        <w:t xml:space="preserve">either transient or improve </w:t>
      </w:r>
      <w:r>
        <w:t xml:space="preserve">with time </w:t>
      </w:r>
      <w:r w:rsidRPr="00EB2DA6">
        <w:rPr>
          <w:i/>
          <w:color w:val="000000"/>
        </w:rPr>
        <w:t>vs.</w:t>
      </w:r>
      <w:r>
        <w:rPr>
          <w:color w:val="000000"/>
        </w:rPr>
        <w:t xml:space="preserve"> </w:t>
      </w:r>
      <w:r w:rsidRPr="0048220D">
        <w:rPr>
          <w:color w:val="000000"/>
        </w:rPr>
        <w:t>AEs including balance or gait difficulties and speech disturbance, with some resolving after hardware programming</w:t>
      </w:r>
      <w:r>
        <w:rPr>
          <w:color w:val="000000"/>
        </w:rPr>
        <w:t xml:space="preserve"> with DBS.</w:t>
      </w:r>
    </w:p>
    <w:p w14:paraId="191B9033" w14:textId="7C25AC2B" w:rsidR="00526846" w:rsidRPr="00E31C89" w:rsidRDefault="00526846" w:rsidP="007F09AA">
      <w:pPr>
        <w:pStyle w:val="BulletLast"/>
        <w:numPr>
          <w:ilvl w:val="0"/>
          <w:numId w:val="0"/>
        </w:numPr>
      </w:pPr>
      <w:r>
        <w:t>MSAC</w:t>
      </w:r>
      <w:r w:rsidR="003D630E">
        <w:t xml:space="preserve"> considered that the claim that AEs are only short term with </w:t>
      </w:r>
      <w:proofErr w:type="spellStart"/>
      <w:r w:rsidR="003D630E">
        <w:t>MRgFUS</w:t>
      </w:r>
      <w:proofErr w:type="spellEnd"/>
      <w:r w:rsidR="003D630E">
        <w:t xml:space="preserve"> is uncertain. Overall, MSAC</w:t>
      </w:r>
      <w:r w:rsidR="00393F21">
        <w:t xml:space="preserve"> </w:t>
      </w:r>
      <w:r>
        <w:t xml:space="preserve">agreed with ESC </w:t>
      </w:r>
      <w:r w:rsidR="00393F21">
        <w:t>and</w:t>
      </w:r>
      <w:r>
        <w:t xml:space="preserve"> considered that there </w:t>
      </w:r>
      <w:r w:rsidR="00393F21">
        <w:t>is an uncertain safety profile</w:t>
      </w:r>
      <w:r w:rsidR="00102396">
        <w:t>.</w:t>
      </w:r>
    </w:p>
    <w:p w14:paraId="1AE02108" w14:textId="63500FEB" w:rsidR="00E32B03" w:rsidRDefault="00526846" w:rsidP="009D448C">
      <w:r w:rsidRPr="00AA12FE">
        <w:t>Regarding comparative effectiveness</w:t>
      </w:r>
      <w:r w:rsidR="009D448C" w:rsidRPr="00AA12FE">
        <w:t xml:space="preserve"> of </w:t>
      </w:r>
      <w:proofErr w:type="spellStart"/>
      <w:r w:rsidR="009D448C" w:rsidRPr="00AA12FE">
        <w:t>MRgFUS</w:t>
      </w:r>
      <w:proofErr w:type="spellEnd"/>
      <w:r w:rsidR="009D448C" w:rsidRPr="00AA12FE">
        <w:t xml:space="preserve"> </w:t>
      </w:r>
      <w:r w:rsidR="009D448C" w:rsidRPr="00AA12FE">
        <w:rPr>
          <w:i/>
        </w:rPr>
        <w:t>vs</w:t>
      </w:r>
      <w:r w:rsidR="009D448C" w:rsidRPr="00AA12FE">
        <w:t>. DBS</w:t>
      </w:r>
      <w:r w:rsidRPr="00AA12FE">
        <w:t xml:space="preserve">, </w:t>
      </w:r>
      <w:r w:rsidR="005E280E" w:rsidRPr="00AA12FE">
        <w:t>MSAC noted that no minimum clinically important difference</w:t>
      </w:r>
      <w:r w:rsidR="00AC2265">
        <w:t xml:space="preserve"> (MCID)</w:t>
      </w:r>
      <w:r w:rsidR="005E280E" w:rsidRPr="00AA12FE">
        <w:t xml:space="preserve"> had been established for any of the tremor scales, despite PASC considering this to be critical to include. Although </w:t>
      </w:r>
      <w:r w:rsidR="006B037D">
        <w:t>statistically</w:t>
      </w:r>
      <w:r w:rsidR="006B037D" w:rsidRPr="00AA12FE">
        <w:t xml:space="preserve"> </w:t>
      </w:r>
      <w:r w:rsidR="005E280E" w:rsidRPr="00AA12FE">
        <w:t xml:space="preserve">significant differences before and after treatment were found in several studies, whether the differences were also clinically significant remains unknown. </w:t>
      </w:r>
      <w:r w:rsidR="009D448C" w:rsidRPr="00AA12FE">
        <w:t xml:space="preserve">In addition, </w:t>
      </w:r>
      <w:r w:rsidR="00AC2265">
        <w:t xml:space="preserve">MSAC noted the ESC advice for comparative effectiveness but </w:t>
      </w:r>
      <w:r w:rsidR="009D448C" w:rsidRPr="00AA12FE">
        <w:t xml:space="preserve">considered that it could not be confident in the magnitude of treatment effect due </w:t>
      </w:r>
      <w:r w:rsidR="00622523">
        <w:t xml:space="preserve">to </w:t>
      </w:r>
      <w:r w:rsidR="009D448C" w:rsidRPr="00AA12FE">
        <w:t xml:space="preserve">the limited and low-quality comparative evidence, small </w:t>
      </w:r>
      <w:r w:rsidR="003F36FB" w:rsidRPr="00AA12FE">
        <w:t xml:space="preserve">numbers of </w:t>
      </w:r>
      <w:r w:rsidR="009D448C" w:rsidRPr="00AA12FE">
        <w:t>patient</w:t>
      </w:r>
      <w:r w:rsidR="003F36FB" w:rsidRPr="00AA12FE">
        <w:t>s</w:t>
      </w:r>
      <w:r w:rsidR="009D448C" w:rsidRPr="00AA12FE">
        <w:t xml:space="preserve">, different methods of assessment of tremor severity, limited long-term follow-up of </w:t>
      </w:r>
      <w:proofErr w:type="spellStart"/>
      <w:r w:rsidR="009D448C" w:rsidRPr="00AA12FE">
        <w:t>MRgFUS</w:t>
      </w:r>
      <w:proofErr w:type="spellEnd"/>
      <w:r w:rsidR="009D448C" w:rsidRPr="00AA12FE">
        <w:t xml:space="preserve"> (indirect treatment comparison was limited to 12 months)</w:t>
      </w:r>
      <w:r w:rsidR="00AC2265">
        <w:t xml:space="preserve">, and in particular </w:t>
      </w:r>
      <w:r w:rsidR="00AC2265" w:rsidRPr="00AA12FE">
        <w:t xml:space="preserve">no </w:t>
      </w:r>
      <w:r w:rsidR="00AC2265">
        <w:t>MCID</w:t>
      </w:r>
      <w:r w:rsidR="00AC2265" w:rsidRPr="00AA12FE">
        <w:t xml:space="preserve"> has been established and validated for ET.</w:t>
      </w:r>
    </w:p>
    <w:p w14:paraId="780DC7DF" w14:textId="3686AB41" w:rsidR="00E32B03" w:rsidRDefault="00E32B03" w:rsidP="0039787B">
      <w:pPr>
        <w:spacing w:before="240" w:after="240"/>
      </w:pPr>
      <w:r>
        <w:t xml:space="preserve">Regarding retreatment, MSAC noted the applicant </w:t>
      </w:r>
      <w:r w:rsidRPr="00EA76F4">
        <w:t xml:space="preserve">acknowledges that </w:t>
      </w:r>
      <w:r>
        <w:t>there is currently insufficient evidence to support retreatment</w:t>
      </w:r>
      <w:r w:rsidR="006B037D">
        <w:t>,</w:t>
      </w:r>
      <w:r>
        <w:t xml:space="preserve"> that that treatment of the contralateral </w:t>
      </w:r>
      <w:r w:rsidR="005D3DE6">
        <w:t>(non</w:t>
      </w:r>
      <w:r w:rsidR="00EA45DD">
        <w:noBreakHyphen/>
      </w:r>
      <w:r w:rsidR="005D3DE6">
        <w:t>dominant</w:t>
      </w:r>
      <w:r w:rsidR="003F36FB">
        <w:t xml:space="preserve">) </w:t>
      </w:r>
      <w:r>
        <w:t xml:space="preserve">side is currently investigational and that there is currently </w:t>
      </w:r>
      <w:r w:rsidRPr="00786D99">
        <w:t>no d</w:t>
      </w:r>
      <w:r>
        <w:t xml:space="preserve">ata on contralateral treatment, </w:t>
      </w:r>
      <w:r w:rsidRPr="00786D99">
        <w:t xml:space="preserve">although trials </w:t>
      </w:r>
      <w:r>
        <w:t xml:space="preserve">are </w:t>
      </w:r>
      <w:r w:rsidRPr="00786D99">
        <w:t>underway.</w:t>
      </w:r>
      <w:r w:rsidR="009D448C">
        <w:t xml:space="preserve"> </w:t>
      </w:r>
      <w:r w:rsidRPr="00EB2DA6">
        <w:rPr>
          <w:color w:val="000000"/>
        </w:rPr>
        <w:t xml:space="preserve">MSAC </w:t>
      </w:r>
      <w:r>
        <w:rPr>
          <w:color w:val="000000"/>
        </w:rPr>
        <w:t>considered</w:t>
      </w:r>
      <w:r w:rsidRPr="00EB2DA6">
        <w:rPr>
          <w:color w:val="000000"/>
        </w:rPr>
        <w:t xml:space="preserve"> that the role of repeat and contralateral </w:t>
      </w:r>
      <w:proofErr w:type="spellStart"/>
      <w:r w:rsidRPr="00EB2DA6">
        <w:rPr>
          <w:color w:val="000000"/>
        </w:rPr>
        <w:t>MRgFUS</w:t>
      </w:r>
      <w:proofErr w:type="spellEnd"/>
      <w:r w:rsidRPr="00EB2DA6">
        <w:rPr>
          <w:color w:val="000000"/>
        </w:rPr>
        <w:t xml:space="preserve"> is contentious and that more data are needed.</w:t>
      </w:r>
    </w:p>
    <w:p w14:paraId="057666F7" w14:textId="3EB40C8E" w:rsidR="00FD33D4" w:rsidRDefault="009D448C" w:rsidP="007F09AA">
      <w:pPr>
        <w:spacing w:after="240"/>
      </w:pPr>
      <w:r>
        <w:t>Overall</w:t>
      </w:r>
      <w:r w:rsidR="006B037D">
        <w:t xml:space="preserve"> and based on the available data</w:t>
      </w:r>
      <w:r>
        <w:t xml:space="preserve">, </w:t>
      </w:r>
      <w:r w:rsidR="0072334C">
        <w:t xml:space="preserve">MSAC considered that the claim of comparative effectiveness was uncertain. </w:t>
      </w:r>
    </w:p>
    <w:p w14:paraId="65B76DF5" w14:textId="3523BBB4" w:rsidR="005E280E" w:rsidRPr="007F09AA" w:rsidRDefault="005E280E" w:rsidP="007F09AA">
      <w:pPr>
        <w:spacing w:after="240"/>
        <w:rPr>
          <w:color w:val="000000"/>
        </w:rPr>
      </w:pPr>
      <w:r w:rsidRPr="007F09AA">
        <w:rPr>
          <w:color w:val="000000"/>
        </w:rPr>
        <w:t>MSAC noted that due to the different safety profiles, the appropriate economic analysis for the evaluation, as advised by PASC, should have been a cost-effectiveness</w:t>
      </w:r>
      <w:r w:rsidR="003C2DE3">
        <w:rPr>
          <w:color w:val="000000"/>
        </w:rPr>
        <w:t xml:space="preserve"> analysis (CEA)</w:t>
      </w:r>
      <w:r w:rsidRPr="007F09AA">
        <w:rPr>
          <w:color w:val="000000"/>
        </w:rPr>
        <w:t xml:space="preserve"> or cost-utility analysis</w:t>
      </w:r>
      <w:r w:rsidR="003C2DE3">
        <w:rPr>
          <w:color w:val="000000"/>
        </w:rPr>
        <w:t xml:space="preserve"> (CUA)</w:t>
      </w:r>
      <w:r w:rsidRPr="007F09AA">
        <w:rPr>
          <w:color w:val="000000"/>
        </w:rPr>
        <w:t xml:space="preserve">. However, the ADAR presented a cost-minimisation assessment. MSAC </w:t>
      </w:r>
      <w:r w:rsidR="003D630E">
        <w:rPr>
          <w:color w:val="000000"/>
        </w:rPr>
        <w:t>considered a CUA could have been done, noting</w:t>
      </w:r>
      <w:r w:rsidRPr="007F09AA">
        <w:rPr>
          <w:color w:val="000000"/>
        </w:rPr>
        <w:t xml:space="preserve"> ESC identified a cost-utility analysis that was done by Ontario Health Technology Assessment in 2018 that showed that the incremental cost-effectiveness ratio (ICER) of DBS compared with </w:t>
      </w:r>
      <w:proofErr w:type="spellStart"/>
      <w:r w:rsidRPr="007F09AA">
        <w:rPr>
          <w:color w:val="000000"/>
        </w:rPr>
        <w:t>MRgFUS</w:t>
      </w:r>
      <w:proofErr w:type="spellEnd"/>
      <w:r w:rsidRPr="007F09AA">
        <w:rPr>
          <w:color w:val="000000"/>
        </w:rPr>
        <w:t xml:space="preserve"> neurosurgery is $134,259 per quality-adjusted life year (QALY) gained.</w:t>
      </w:r>
    </w:p>
    <w:p w14:paraId="5D669905" w14:textId="58319F25" w:rsidR="00E32B03" w:rsidRDefault="00E32B03" w:rsidP="007F09AA">
      <w:pPr>
        <w:spacing w:after="240"/>
        <w:rPr>
          <w:color w:val="000000"/>
        </w:rPr>
      </w:pPr>
      <w:r>
        <w:rPr>
          <w:color w:val="000000"/>
        </w:rPr>
        <w:t xml:space="preserve">MSAC noted </w:t>
      </w:r>
      <w:r w:rsidR="00844DA4">
        <w:rPr>
          <w:color w:val="000000"/>
        </w:rPr>
        <w:t xml:space="preserve">several </w:t>
      </w:r>
      <w:r>
        <w:rPr>
          <w:color w:val="000000"/>
        </w:rPr>
        <w:t xml:space="preserve">issues with the proposed item descriptors: </w:t>
      </w:r>
    </w:p>
    <w:p w14:paraId="67698984" w14:textId="4E92782D" w:rsidR="00E32B03" w:rsidRDefault="00E32B03" w:rsidP="007F09AA">
      <w:pPr>
        <w:pStyle w:val="ListParagraph"/>
        <w:numPr>
          <w:ilvl w:val="0"/>
          <w:numId w:val="35"/>
        </w:numPr>
        <w:spacing w:after="240"/>
        <w:rPr>
          <w:color w:val="000000"/>
        </w:rPr>
      </w:pPr>
      <w:r>
        <w:rPr>
          <w:color w:val="000000"/>
        </w:rPr>
        <w:t>T</w:t>
      </w:r>
      <w:r w:rsidR="005E280E" w:rsidRPr="007F09AA">
        <w:rPr>
          <w:color w:val="000000"/>
        </w:rPr>
        <w:t xml:space="preserve">he </w:t>
      </w:r>
      <w:r>
        <w:rPr>
          <w:color w:val="000000"/>
        </w:rPr>
        <w:t>ADAR</w:t>
      </w:r>
      <w:r w:rsidR="005E280E" w:rsidRPr="007F09AA">
        <w:rPr>
          <w:color w:val="000000"/>
        </w:rPr>
        <w:t xml:space="preserve"> did not make a strong case to justify the high fees that were proposed, particularly the proposed MBS fee for presurgical planning, which was increased compared to that in the ratified PICO</w:t>
      </w:r>
    </w:p>
    <w:p w14:paraId="2A60D8C1" w14:textId="20558580" w:rsidR="00FE7F34" w:rsidRDefault="00FE7F34" w:rsidP="007F09AA">
      <w:pPr>
        <w:pStyle w:val="ListParagraph"/>
        <w:numPr>
          <w:ilvl w:val="0"/>
          <w:numId w:val="35"/>
        </w:numPr>
        <w:spacing w:after="240"/>
      </w:pPr>
      <w:r>
        <w:t>T</w:t>
      </w:r>
      <w:r w:rsidR="005E280E" w:rsidRPr="005E280E">
        <w:t xml:space="preserve">he </w:t>
      </w:r>
      <w:r>
        <w:t xml:space="preserve">need for involvement </w:t>
      </w:r>
      <w:r w:rsidR="00CC0C86">
        <w:t xml:space="preserve">of </w:t>
      </w:r>
      <w:r>
        <w:t>all three</w:t>
      </w:r>
      <w:r w:rsidRPr="00FE7F34">
        <w:t xml:space="preserve"> specialist personnel (neurologist, neurosurgeon and neuroradiologist, and the associated item numbers and costs) should be better </w:t>
      </w:r>
      <w:r w:rsidRPr="00FE7F34">
        <w:lastRenderedPageBreak/>
        <w:t>justified</w:t>
      </w:r>
      <w:r w:rsidR="00CC0C86">
        <w:t>. I</w:t>
      </w:r>
      <w:r w:rsidR="006B037D">
        <w:t xml:space="preserve">f all are required, </w:t>
      </w:r>
      <w:r w:rsidR="00CC0C86">
        <w:t xml:space="preserve">the </w:t>
      </w:r>
      <w:r w:rsidR="006B037D">
        <w:t xml:space="preserve">specific roles and thus time commitments </w:t>
      </w:r>
      <w:r w:rsidR="00CC0C86">
        <w:t>of each needs to be clarified.</w:t>
      </w:r>
    </w:p>
    <w:p w14:paraId="540540CA" w14:textId="6E170270" w:rsidR="00FE7F34" w:rsidRPr="007F09AA" w:rsidRDefault="008B6980" w:rsidP="007F09AA">
      <w:pPr>
        <w:pStyle w:val="ListParagraph"/>
        <w:numPr>
          <w:ilvl w:val="0"/>
          <w:numId w:val="35"/>
        </w:numPr>
        <w:spacing w:after="240"/>
      </w:pPr>
      <w:r w:rsidRPr="00FE7F34">
        <w:rPr>
          <w:lang w:val="en-US"/>
        </w:rPr>
        <w:t>The need for separate MRI scans for suitability and planning should be better justified, as well as the need for a special post-treatment MRI item</w:t>
      </w:r>
      <w:r w:rsidR="002704CB">
        <w:rPr>
          <w:lang w:val="en-US"/>
        </w:rPr>
        <w:t>.</w:t>
      </w:r>
    </w:p>
    <w:p w14:paraId="30B18D6F" w14:textId="267EA6E9" w:rsidR="002704CB" w:rsidRDefault="002704CB">
      <w:r>
        <w:t xml:space="preserve">MSAC agreed with ESC and considered that the item descriptor should be restricted to unilateral, once-only treatment. </w:t>
      </w:r>
      <w:r w:rsidRPr="00EB2DA6">
        <w:rPr>
          <w:color w:val="000000"/>
        </w:rPr>
        <w:t xml:space="preserve">MSAC noted the pre-MSAC response that the applicant is willing to work with the Department to develop a restriction for </w:t>
      </w:r>
      <w:proofErr w:type="spellStart"/>
      <w:r w:rsidRPr="00EB2DA6">
        <w:rPr>
          <w:color w:val="000000"/>
        </w:rPr>
        <w:t>MRgFUS</w:t>
      </w:r>
      <w:proofErr w:type="spellEnd"/>
      <w:r w:rsidRPr="00EB2DA6">
        <w:rPr>
          <w:color w:val="000000"/>
        </w:rPr>
        <w:t xml:space="preserve"> that is both clinically acceptable and consistent with the evidence.</w:t>
      </w:r>
    </w:p>
    <w:p w14:paraId="7421FA61" w14:textId="12065547" w:rsidR="008472C1" w:rsidRPr="00EB2DA6" w:rsidRDefault="008472C1" w:rsidP="0039787B">
      <w:pPr>
        <w:spacing w:before="240"/>
      </w:pPr>
      <w:r w:rsidRPr="00EB2DA6">
        <w:t xml:space="preserve">MSAC considered whether it would be possible limit this population to those who are considering using </w:t>
      </w:r>
      <w:proofErr w:type="spellStart"/>
      <w:r w:rsidRPr="00EB2DA6">
        <w:t>MRgFUS</w:t>
      </w:r>
      <w:proofErr w:type="spellEnd"/>
      <w:r w:rsidRPr="00EB2DA6">
        <w:t xml:space="preserve"> as an alternative to DBS. However, it was noted that this would be a difficult population to </w:t>
      </w:r>
      <w:r w:rsidR="005D3DE6">
        <w:t>adequately define</w:t>
      </w:r>
      <w:r w:rsidRPr="00EB2DA6">
        <w:t>.</w:t>
      </w:r>
    </w:p>
    <w:p w14:paraId="6FA0515E" w14:textId="2D095512" w:rsidR="00B62DF8" w:rsidRDefault="005E280E" w:rsidP="0039787B">
      <w:pPr>
        <w:spacing w:before="240"/>
      </w:pPr>
      <w:r w:rsidRPr="007F09AA">
        <w:rPr>
          <w:color w:val="000000"/>
        </w:rPr>
        <w:t xml:space="preserve">MSAC noted that a better understanding of projected case load is needed, as there could be a large demand for this treatment from people who </w:t>
      </w:r>
      <w:r w:rsidR="005D3DE6">
        <w:rPr>
          <w:color w:val="000000"/>
        </w:rPr>
        <w:t>would prefer to not</w:t>
      </w:r>
      <w:r w:rsidRPr="007F09AA">
        <w:rPr>
          <w:color w:val="000000"/>
        </w:rPr>
        <w:t xml:space="preserve"> undergo DBS</w:t>
      </w:r>
      <w:r w:rsidR="005D3DE6">
        <w:rPr>
          <w:color w:val="000000"/>
        </w:rPr>
        <w:t xml:space="preserve"> given a choice</w:t>
      </w:r>
      <w:r w:rsidRPr="007F09AA">
        <w:rPr>
          <w:color w:val="000000"/>
        </w:rPr>
        <w:t xml:space="preserve">. </w:t>
      </w:r>
      <w:r w:rsidR="003D630E">
        <w:rPr>
          <w:color w:val="000000"/>
        </w:rPr>
        <w:t xml:space="preserve">MSAC agreed with ESC that the </w:t>
      </w:r>
      <w:r w:rsidR="003D630E">
        <w:t xml:space="preserve">ADAR likely underestimated the budget impact, with </w:t>
      </w:r>
      <w:r w:rsidR="00CC0C86">
        <w:t xml:space="preserve">remaining </w:t>
      </w:r>
      <w:r w:rsidR="003D630E">
        <w:t xml:space="preserve">uncertainty </w:t>
      </w:r>
      <w:r w:rsidR="00CC0C86">
        <w:t xml:space="preserve">of </w:t>
      </w:r>
      <w:r w:rsidR="003D630E">
        <w:t xml:space="preserve">whether the MBS funding of </w:t>
      </w:r>
      <w:proofErr w:type="spellStart"/>
      <w:r w:rsidR="003D630E">
        <w:t>MRgFUS</w:t>
      </w:r>
      <w:proofErr w:type="spellEnd"/>
      <w:r w:rsidR="003D630E">
        <w:t xml:space="preserve"> will</w:t>
      </w:r>
      <w:r w:rsidR="003D630E" w:rsidRPr="00786D99">
        <w:t xml:space="preserve"> </w:t>
      </w:r>
      <w:r w:rsidR="003D630E">
        <w:t>“</w:t>
      </w:r>
      <w:r w:rsidR="003D630E" w:rsidRPr="00786D99">
        <w:t>grow the market</w:t>
      </w:r>
      <w:r w:rsidR="003D630E">
        <w:t>”.</w:t>
      </w:r>
    </w:p>
    <w:p w14:paraId="2BBBCA02" w14:textId="60DB9D46" w:rsidR="005E280E" w:rsidRPr="005E280E" w:rsidRDefault="005E280E" w:rsidP="0039787B">
      <w:pPr>
        <w:spacing w:before="240"/>
      </w:pPr>
      <w:r w:rsidRPr="005E280E">
        <w:t xml:space="preserve">MSAC also noted that </w:t>
      </w:r>
      <w:r w:rsidR="008472C1">
        <w:t>the availability of</w:t>
      </w:r>
      <w:r w:rsidRPr="005E280E">
        <w:t xml:space="preserve"> </w:t>
      </w:r>
      <w:r w:rsidR="008472C1">
        <w:t>the proposed intervention</w:t>
      </w:r>
      <w:r w:rsidRPr="005E280E">
        <w:t xml:space="preserve"> in the future </w:t>
      </w:r>
      <w:r w:rsidR="008472C1">
        <w:t>needs to be addressed for</w:t>
      </w:r>
      <w:r w:rsidRPr="005E280E">
        <w:t xml:space="preserve"> equity of access, as currently the procedure is only available in one centre in Australia. </w:t>
      </w:r>
      <w:r w:rsidR="003D630E">
        <w:t>MSAC considered that it may be useful to consult with the relevant societies on how the equity issue could be addressed.</w:t>
      </w:r>
    </w:p>
    <w:p w14:paraId="4BAEC4D3" w14:textId="412DF7CE" w:rsidR="00550354" w:rsidRPr="007F09AA" w:rsidRDefault="008472C1" w:rsidP="0039787B">
      <w:pPr>
        <w:spacing w:before="240"/>
      </w:pPr>
      <w:r w:rsidRPr="00F07B18">
        <w:t xml:space="preserve">MSAC </w:t>
      </w:r>
      <w:r w:rsidR="0066712B">
        <w:t xml:space="preserve">considered that any resubmission would need to carefully define the </w:t>
      </w:r>
      <w:r w:rsidR="003C2DE3">
        <w:t xml:space="preserve">eligible </w:t>
      </w:r>
      <w:r w:rsidR="0066712B">
        <w:t>population</w:t>
      </w:r>
      <w:r w:rsidR="003C2DE3">
        <w:t>,</w:t>
      </w:r>
      <w:r w:rsidR="0066712B">
        <w:t xml:space="preserve"> as there </w:t>
      </w:r>
      <w:r w:rsidR="003C2DE3">
        <w:t>may be a</w:t>
      </w:r>
      <w:r w:rsidR="0066712B">
        <w:t xml:space="preserve"> high clinical need </w:t>
      </w:r>
      <w:r w:rsidR="003C2DE3">
        <w:t>in a particular subgroup of patients currently treated with DBS</w:t>
      </w:r>
      <w:r w:rsidR="007F09AA">
        <w:t xml:space="preserve"> that </w:t>
      </w:r>
      <w:proofErr w:type="spellStart"/>
      <w:r w:rsidR="007F09AA">
        <w:t>MRgFUS</w:t>
      </w:r>
      <w:proofErr w:type="spellEnd"/>
      <w:r w:rsidR="007F09AA">
        <w:t xml:space="preserve"> could be restricted to</w:t>
      </w:r>
      <w:r w:rsidR="003C2DE3">
        <w:t xml:space="preserve">. In addition, MSAC considered that the economic evaluation </w:t>
      </w:r>
      <w:r w:rsidR="00941CF0">
        <w:t xml:space="preserve">comparing </w:t>
      </w:r>
      <w:proofErr w:type="spellStart"/>
      <w:r w:rsidR="00941CF0">
        <w:t>MRgFUS</w:t>
      </w:r>
      <w:proofErr w:type="spellEnd"/>
      <w:r w:rsidR="00941CF0">
        <w:t xml:space="preserve"> </w:t>
      </w:r>
      <w:r w:rsidR="00941CF0" w:rsidRPr="007F09AA">
        <w:rPr>
          <w:i/>
        </w:rPr>
        <w:t>vs.</w:t>
      </w:r>
      <w:r w:rsidR="00941CF0">
        <w:t xml:space="preserve"> DBS </w:t>
      </w:r>
      <w:r w:rsidR="003C2DE3">
        <w:t>should be a CEA or CUA</w:t>
      </w:r>
      <w:r w:rsidR="00941CF0">
        <w:t xml:space="preserve"> due to the uncertainty regarding comparative safety,</w:t>
      </w:r>
      <w:r w:rsidR="007F09AA">
        <w:t xml:space="preserve"> </w:t>
      </w:r>
      <w:r w:rsidR="003C2DE3">
        <w:t>and that when</w:t>
      </w:r>
      <w:r w:rsidR="005E280E" w:rsidRPr="005E280E">
        <w:t xml:space="preserve"> more </w:t>
      </w:r>
      <w:r w:rsidR="007F09AA">
        <w:t xml:space="preserve">clinical evidence </w:t>
      </w:r>
      <w:r w:rsidR="003C2DE3">
        <w:t xml:space="preserve">is </w:t>
      </w:r>
      <w:r w:rsidR="005E280E" w:rsidRPr="005E280E">
        <w:t>available</w:t>
      </w:r>
      <w:r w:rsidR="003C2DE3">
        <w:t xml:space="preserve"> it should be included in any future application, </w:t>
      </w:r>
      <w:r w:rsidR="00561F67">
        <w:t>including</w:t>
      </w:r>
      <w:r w:rsidR="003C2DE3">
        <w:t xml:space="preserve"> for retreatment and contralateral treatment</w:t>
      </w:r>
      <w:r w:rsidR="00561F67">
        <w:t xml:space="preserve"> (if available)</w:t>
      </w:r>
      <w:r w:rsidR="005E280E" w:rsidRPr="005E280E">
        <w:t xml:space="preserve">. MSAC also suggested that a </w:t>
      </w:r>
      <w:r w:rsidR="003C2DE3">
        <w:t>resubmission</w:t>
      </w:r>
      <w:r w:rsidR="005E280E" w:rsidRPr="005E280E">
        <w:t xml:space="preserve"> should have a packaged item rather the six separate items within one application.</w:t>
      </w:r>
    </w:p>
    <w:p w14:paraId="0AC1AA19" w14:textId="77777777" w:rsidR="00BC1364" w:rsidRPr="00F715D1" w:rsidRDefault="00BC1364" w:rsidP="00F715D1">
      <w:pPr>
        <w:pStyle w:val="Heading1"/>
      </w:pPr>
      <w:r w:rsidRPr="00F715D1">
        <w:t>Background</w:t>
      </w:r>
    </w:p>
    <w:p w14:paraId="42A73395" w14:textId="77777777" w:rsidR="00E47F08" w:rsidRDefault="00E47F08" w:rsidP="00E47F08">
      <w:pPr>
        <w:rPr>
          <w:szCs w:val="24"/>
        </w:rPr>
      </w:pPr>
      <w:r>
        <w:t>This is the first submission for magnetic resonance-guided focused ultrasound (</w:t>
      </w:r>
      <w:proofErr w:type="spellStart"/>
      <w:r>
        <w:t>MRgFUS</w:t>
      </w:r>
      <w:proofErr w:type="spellEnd"/>
      <w:r>
        <w:t xml:space="preserve">) in patients with medically refractory ET. </w:t>
      </w:r>
      <w:r>
        <w:rPr>
          <w:szCs w:val="24"/>
        </w:rPr>
        <w:t>MSAC has not previously considered this application.</w:t>
      </w:r>
    </w:p>
    <w:p w14:paraId="05080394" w14:textId="178E5EE2" w:rsidR="00E47F08" w:rsidRPr="00E47F08" w:rsidRDefault="00E47F08" w:rsidP="0039787B">
      <w:pPr>
        <w:spacing w:before="240"/>
        <w:rPr>
          <w:szCs w:val="22"/>
        </w:rPr>
      </w:pPr>
      <w:r>
        <w:t xml:space="preserve">The ADAR stated that the applicant intends to lodge an application to the </w:t>
      </w:r>
      <w:r w:rsidRPr="00AC1F5E">
        <w:t>Prostheses List Advisory Committee's (PLAC)</w:t>
      </w:r>
      <w:r>
        <w:t xml:space="preserve"> for the kit to be considered for the Prostheses List (PL). The pre</w:t>
      </w:r>
      <w:r w:rsidR="00EB3C50">
        <w:noBreakHyphen/>
      </w:r>
      <w:r>
        <w:t xml:space="preserve">MSAC response confirmed </w:t>
      </w:r>
      <w:r w:rsidR="00411BC4">
        <w:t>the applicant</w:t>
      </w:r>
      <w:r>
        <w:t xml:space="preserve"> had </w:t>
      </w:r>
      <w:proofErr w:type="gramStart"/>
      <w:r>
        <w:t>submitted an application</w:t>
      </w:r>
      <w:proofErr w:type="gramEnd"/>
      <w:r>
        <w:t xml:space="preserve"> to include the </w:t>
      </w:r>
      <w:proofErr w:type="spellStart"/>
      <w:r>
        <w:t>ExAblate</w:t>
      </w:r>
      <w:proofErr w:type="spellEnd"/>
      <w:r>
        <w:t xml:space="preserve"> Neuro Patient Accessory Kit on part C of the PL (reference number of N002552).</w:t>
      </w:r>
    </w:p>
    <w:p w14:paraId="1F7DE7C2" w14:textId="77777777" w:rsidR="00BC1364" w:rsidRPr="00F715D1" w:rsidRDefault="00BC1364" w:rsidP="00F715D1">
      <w:pPr>
        <w:pStyle w:val="Heading1"/>
      </w:pPr>
      <w:r w:rsidRPr="00F715D1">
        <w:t>Prerequisites to implementation of any funding advice</w:t>
      </w:r>
    </w:p>
    <w:p w14:paraId="37C13B9C" w14:textId="32B0DEF0" w:rsidR="00D36E24" w:rsidRDefault="00D36E24" w:rsidP="00D36E24">
      <w:pPr>
        <w:jc w:val="both"/>
      </w:pPr>
      <w:r>
        <w:t xml:space="preserve">Items on the </w:t>
      </w:r>
      <w:r w:rsidRPr="00941695">
        <w:t>Australian Register of Therapeutic Goods</w:t>
      </w:r>
      <w:r>
        <w:t xml:space="preserve"> (ARTG) relevant to this application are shown in Table 1. The two ARTG listings are identical with alternative distributors (GE and </w:t>
      </w:r>
      <w:proofErr w:type="spellStart"/>
      <w:r>
        <w:t>Medigroup</w:t>
      </w:r>
      <w:proofErr w:type="spellEnd"/>
      <w:r>
        <w:t>). The intended purpose on the ARTG is described as follows: “to produce and control the delivery of high heat, i.e. temperatures greater than 43 degrees Celsius, to the body for the treatment of malignant or benign tumours, or other disease conditions”.</w:t>
      </w:r>
    </w:p>
    <w:p w14:paraId="0B189835" w14:textId="77777777" w:rsidR="00D36E24" w:rsidRDefault="00D36E24" w:rsidP="00D36E24">
      <w:pPr>
        <w:pStyle w:val="Caption"/>
      </w:pPr>
      <w:bookmarkStart w:id="0" w:name="_Ref364240778"/>
      <w:bookmarkStart w:id="1" w:name="_Toc381969859"/>
      <w:bookmarkStart w:id="2" w:name="_Toc52801228"/>
      <w:r>
        <w:lastRenderedPageBreak/>
        <w:t xml:space="preserve">Table </w:t>
      </w:r>
      <w:bookmarkEnd w:id="0"/>
      <w:r>
        <w:t>1</w:t>
      </w:r>
      <w:r>
        <w:tab/>
      </w:r>
      <w:proofErr w:type="spellStart"/>
      <w:r>
        <w:t>MRgFUS</w:t>
      </w:r>
      <w:proofErr w:type="spellEnd"/>
      <w:r>
        <w:t xml:space="preserve"> systems listed on the ARTG</w:t>
      </w:r>
      <w:bookmarkEnd w:id="1"/>
      <w:bookmarkEnd w:id="2"/>
    </w:p>
    <w:tbl>
      <w:tblPr>
        <w:tblStyle w:val="TableGrid1"/>
        <w:tblW w:w="0" w:type="auto"/>
        <w:tblLook w:val="04A0" w:firstRow="1" w:lastRow="0" w:firstColumn="1" w:lastColumn="0" w:noHBand="0" w:noVBand="1"/>
        <w:tblDescription w:val="MRgFUS systems listed on the ARTG"/>
      </w:tblPr>
      <w:tblGrid>
        <w:gridCol w:w="1174"/>
        <w:gridCol w:w="1199"/>
        <w:gridCol w:w="1809"/>
        <w:gridCol w:w="1702"/>
        <w:gridCol w:w="1697"/>
        <w:gridCol w:w="1435"/>
      </w:tblGrid>
      <w:tr w:rsidR="00D36E24" w:rsidRPr="00E14F9B" w14:paraId="60A078EA"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1174" w:type="dxa"/>
            <w:hideMark/>
          </w:tcPr>
          <w:p w14:paraId="4993D623" w14:textId="77777777" w:rsidR="00D36E24" w:rsidRPr="00E14F9B" w:rsidRDefault="00D36E24" w:rsidP="009A745A">
            <w:pPr>
              <w:keepNext/>
              <w:rPr>
                <w:rFonts w:ascii="Arial Narrow" w:hAnsi="Arial Narrow" w:cs="Tahoma"/>
                <w:b/>
                <w:sz w:val="20"/>
              </w:rPr>
            </w:pPr>
            <w:r w:rsidRPr="00E14F9B">
              <w:rPr>
                <w:rFonts w:ascii="Arial Narrow" w:hAnsi="Arial Narrow" w:cs="Tahoma"/>
                <w:b/>
                <w:sz w:val="20"/>
              </w:rPr>
              <w:t>ARTG no.</w:t>
            </w:r>
          </w:p>
        </w:tc>
        <w:tc>
          <w:tcPr>
            <w:tcW w:w="1199" w:type="dxa"/>
            <w:hideMark/>
          </w:tcPr>
          <w:p w14:paraId="478ACEFC" w14:textId="77777777" w:rsidR="00D36E24" w:rsidRPr="00E14F9B" w:rsidRDefault="00D36E24" w:rsidP="009A745A">
            <w:pPr>
              <w:keepNext/>
              <w:rPr>
                <w:rFonts w:ascii="Arial Narrow" w:hAnsi="Arial Narrow" w:cs="Tahoma"/>
                <w:b/>
                <w:sz w:val="20"/>
              </w:rPr>
            </w:pPr>
            <w:r w:rsidRPr="00E14F9B">
              <w:rPr>
                <w:rFonts w:ascii="Arial Narrow" w:hAnsi="Arial Narrow" w:cs="Tahoma"/>
                <w:b/>
                <w:sz w:val="20"/>
              </w:rPr>
              <w:t>Product no.</w:t>
            </w:r>
          </w:p>
        </w:tc>
        <w:tc>
          <w:tcPr>
            <w:tcW w:w="1810" w:type="dxa"/>
            <w:hideMark/>
          </w:tcPr>
          <w:p w14:paraId="33338452" w14:textId="77777777" w:rsidR="00D36E24" w:rsidRPr="00E14F9B" w:rsidRDefault="00D36E24" w:rsidP="009A745A">
            <w:pPr>
              <w:keepNext/>
              <w:rPr>
                <w:rFonts w:ascii="Arial Narrow" w:hAnsi="Arial Narrow" w:cs="Tahoma"/>
                <w:b/>
                <w:sz w:val="20"/>
              </w:rPr>
            </w:pPr>
            <w:r w:rsidRPr="00E14F9B">
              <w:rPr>
                <w:rFonts w:ascii="Arial Narrow" w:hAnsi="Arial Narrow" w:cs="Tahoma"/>
                <w:b/>
                <w:sz w:val="20"/>
              </w:rPr>
              <w:t>Product description</w:t>
            </w:r>
          </w:p>
        </w:tc>
        <w:tc>
          <w:tcPr>
            <w:tcW w:w="1703" w:type="dxa"/>
            <w:hideMark/>
          </w:tcPr>
          <w:p w14:paraId="5A681168" w14:textId="77777777" w:rsidR="00D36E24" w:rsidRPr="00E14F9B" w:rsidRDefault="00D36E24" w:rsidP="009A745A">
            <w:pPr>
              <w:keepNext/>
              <w:rPr>
                <w:rFonts w:ascii="Arial Narrow" w:hAnsi="Arial Narrow" w:cs="Tahoma"/>
                <w:b/>
                <w:sz w:val="20"/>
              </w:rPr>
            </w:pPr>
            <w:r w:rsidRPr="00E14F9B">
              <w:rPr>
                <w:rFonts w:ascii="Arial Narrow" w:hAnsi="Arial Narrow" w:cs="Tahoma"/>
                <w:b/>
                <w:sz w:val="20"/>
              </w:rPr>
              <w:t>Product category</w:t>
            </w:r>
          </w:p>
        </w:tc>
        <w:tc>
          <w:tcPr>
            <w:tcW w:w="1698" w:type="dxa"/>
            <w:hideMark/>
          </w:tcPr>
          <w:p w14:paraId="6570B7E4" w14:textId="77777777" w:rsidR="00D36E24" w:rsidRPr="00E14F9B" w:rsidRDefault="00D36E24" w:rsidP="009A745A">
            <w:pPr>
              <w:keepNext/>
              <w:rPr>
                <w:rFonts w:ascii="Arial Narrow" w:hAnsi="Arial Narrow" w:cs="Tahoma"/>
                <w:b/>
                <w:sz w:val="20"/>
              </w:rPr>
            </w:pPr>
            <w:r w:rsidRPr="00E14F9B">
              <w:rPr>
                <w:rFonts w:ascii="Arial Narrow" w:hAnsi="Arial Narrow" w:cs="Tahoma"/>
                <w:b/>
                <w:sz w:val="20"/>
              </w:rPr>
              <w:t>Sponsor</w:t>
            </w:r>
          </w:p>
        </w:tc>
        <w:tc>
          <w:tcPr>
            <w:tcW w:w="1435" w:type="dxa"/>
            <w:hideMark/>
          </w:tcPr>
          <w:p w14:paraId="304BA25C" w14:textId="77777777" w:rsidR="00D36E24" w:rsidRPr="00E14F9B" w:rsidRDefault="00D36E24" w:rsidP="009A745A">
            <w:pPr>
              <w:keepNext/>
              <w:rPr>
                <w:rFonts w:ascii="Arial Narrow" w:hAnsi="Arial Narrow" w:cs="Tahoma"/>
                <w:b/>
                <w:sz w:val="20"/>
              </w:rPr>
            </w:pPr>
            <w:r w:rsidRPr="00E14F9B">
              <w:rPr>
                <w:rFonts w:ascii="Arial Narrow" w:hAnsi="Arial Narrow" w:cs="Tahoma"/>
                <w:b/>
                <w:sz w:val="20"/>
              </w:rPr>
              <w:t>Manufacturer</w:t>
            </w:r>
          </w:p>
        </w:tc>
      </w:tr>
      <w:tr w:rsidR="00D36E24" w:rsidRPr="00E14F9B" w14:paraId="4E2D91F8" w14:textId="77777777" w:rsidTr="00DA2C15">
        <w:tc>
          <w:tcPr>
            <w:tcW w:w="1174" w:type="dxa"/>
          </w:tcPr>
          <w:p w14:paraId="074B8C84" w14:textId="77777777" w:rsidR="00D36E24" w:rsidRPr="00E14F9B" w:rsidRDefault="00D36E24" w:rsidP="009A745A">
            <w:pPr>
              <w:keepNext/>
              <w:keepLines/>
              <w:rPr>
                <w:rFonts w:cs="Tahoma"/>
                <w:sz w:val="20"/>
              </w:rPr>
            </w:pPr>
            <w:r w:rsidRPr="00E14F9B">
              <w:rPr>
                <w:rFonts w:cs="Tahoma"/>
                <w:sz w:val="20"/>
              </w:rPr>
              <w:t>260438</w:t>
            </w:r>
          </w:p>
          <w:p w14:paraId="785A5FD1" w14:textId="77777777" w:rsidR="00D36E24" w:rsidRPr="00E14F9B" w:rsidRDefault="00D36E24" w:rsidP="009A745A">
            <w:pPr>
              <w:keepNext/>
              <w:keepLines/>
              <w:rPr>
                <w:rFonts w:cs="Tahoma"/>
                <w:sz w:val="20"/>
              </w:rPr>
            </w:pPr>
          </w:p>
        </w:tc>
        <w:tc>
          <w:tcPr>
            <w:tcW w:w="1199" w:type="dxa"/>
            <w:hideMark/>
          </w:tcPr>
          <w:p w14:paraId="3E1ADA26" w14:textId="77777777" w:rsidR="00D36E24" w:rsidRPr="00E14F9B" w:rsidRDefault="00D36E24" w:rsidP="009A745A">
            <w:pPr>
              <w:keepNext/>
              <w:keepLines/>
              <w:rPr>
                <w:rFonts w:cs="Tahoma"/>
                <w:sz w:val="20"/>
              </w:rPr>
            </w:pPr>
            <w:r w:rsidRPr="00E14F9B">
              <w:rPr>
                <w:rFonts w:cs="Tahoma"/>
                <w:sz w:val="20"/>
              </w:rPr>
              <w:t>40781</w:t>
            </w:r>
          </w:p>
        </w:tc>
        <w:tc>
          <w:tcPr>
            <w:tcW w:w="1810" w:type="dxa"/>
            <w:hideMark/>
          </w:tcPr>
          <w:p w14:paraId="272FBC26" w14:textId="77777777" w:rsidR="00D36E24" w:rsidRPr="00E14F9B" w:rsidRDefault="00D36E24" w:rsidP="009A745A">
            <w:pPr>
              <w:keepNext/>
              <w:keepLines/>
              <w:rPr>
                <w:rFonts w:cs="Tahoma"/>
                <w:sz w:val="20"/>
              </w:rPr>
            </w:pPr>
            <w:r w:rsidRPr="00E14F9B">
              <w:rPr>
                <w:rFonts w:cs="Tahoma"/>
                <w:sz w:val="20"/>
              </w:rPr>
              <w:t>Hyperthermia system, ultrasound</w:t>
            </w:r>
          </w:p>
        </w:tc>
        <w:tc>
          <w:tcPr>
            <w:tcW w:w="1703" w:type="dxa"/>
            <w:hideMark/>
          </w:tcPr>
          <w:p w14:paraId="6D51B733" w14:textId="77777777" w:rsidR="00D36E24" w:rsidRPr="00E14F9B" w:rsidRDefault="00D36E24" w:rsidP="009A745A">
            <w:pPr>
              <w:keepNext/>
              <w:keepLines/>
              <w:rPr>
                <w:rFonts w:cs="Tahoma"/>
                <w:sz w:val="20"/>
              </w:rPr>
            </w:pPr>
            <w:r w:rsidRPr="00E14F9B">
              <w:rPr>
                <w:rFonts w:cs="Tahoma"/>
                <w:sz w:val="20"/>
              </w:rPr>
              <w:t>Medical Device Class IIb</w:t>
            </w:r>
          </w:p>
        </w:tc>
        <w:tc>
          <w:tcPr>
            <w:tcW w:w="1698" w:type="dxa"/>
            <w:hideMark/>
          </w:tcPr>
          <w:p w14:paraId="72EDFE9C" w14:textId="77777777" w:rsidR="00D36E24" w:rsidRPr="00E14F9B" w:rsidRDefault="00D36E24" w:rsidP="009A745A">
            <w:pPr>
              <w:keepNext/>
              <w:keepLines/>
              <w:rPr>
                <w:rFonts w:cs="Tahoma"/>
                <w:sz w:val="20"/>
              </w:rPr>
            </w:pPr>
            <w:proofErr w:type="spellStart"/>
            <w:r w:rsidRPr="00E14F9B">
              <w:rPr>
                <w:rFonts w:cs="Tahoma"/>
                <w:sz w:val="20"/>
              </w:rPr>
              <w:t>Medigroup</w:t>
            </w:r>
            <w:proofErr w:type="spellEnd"/>
            <w:r w:rsidRPr="00E14F9B">
              <w:rPr>
                <w:rFonts w:cs="Tahoma"/>
                <w:sz w:val="20"/>
              </w:rPr>
              <w:t xml:space="preserve"> Pty Ltd</w:t>
            </w:r>
          </w:p>
        </w:tc>
        <w:tc>
          <w:tcPr>
            <w:tcW w:w="1435" w:type="dxa"/>
            <w:hideMark/>
          </w:tcPr>
          <w:p w14:paraId="2F4D93D8" w14:textId="77777777" w:rsidR="00D36E24" w:rsidRPr="00E14F9B" w:rsidRDefault="00D36E24" w:rsidP="009A745A">
            <w:pPr>
              <w:keepNext/>
              <w:keepLines/>
              <w:rPr>
                <w:rFonts w:cs="Tahoma"/>
                <w:sz w:val="20"/>
              </w:rPr>
            </w:pPr>
            <w:proofErr w:type="spellStart"/>
            <w:r w:rsidRPr="00E14F9B">
              <w:rPr>
                <w:rFonts w:cs="Tahoma"/>
                <w:sz w:val="20"/>
              </w:rPr>
              <w:t>InSightec</w:t>
            </w:r>
            <w:proofErr w:type="spellEnd"/>
            <w:r w:rsidRPr="00E14F9B">
              <w:rPr>
                <w:rFonts w:cs="Tahoma"/>
                <w:sz w:val="20"/>
              </w:rPr>
              <w:t xml:space="preserve"> Ltd</w:t>
            </w:r>
          </w:p>
        </w:tc>
      </w:tr>
      <w:tr w:rsidR="00D36E24" w:rsidRPr="00E14F9B" w14:paraId="75716392" w14:textId="77777777" w:rsidTr="00DA2C15">
        <w:tc>
          <w:tcPr>
            <w:tcW w:w="1174" w:type="dxa"/>
            <w:hideMark/>
          </w:tcPr>
          <w:p w14:paraId="4545C264" w14:textId="77777777" w:rsidR="00D36E24" w:rsidRPr="00E14F9B" w:rsidRDefault="00D36E24" w:rsidP="009A745A">
            <w:pPr>
              <w:keepNext/>
              <w:keepLines/>
              <w:rPr>
                <w:rFonts w:cs="Tahoma"/>
                <w:sz w:val="20"/>
              </w:rPr>
            </w:pPr>
            <w:r w:rsidRPr="00E14F9B">
              <w:rPr>
                <w:rFonts w:cs="Tahoma"/>
                <w:sz w:val="20"/>
              </w:rPr>
              <w:t xml:space="preserve">128137 </w:t>
            </w:r>
          </w:p>
        </w:tc>
        <w:tc>
          <w:tcPr>
            <w:tcW w:w="1199" w:type="dxa"/>
            <w:hideMark/>
          </w:tcPr>
          <w:p w14:paraId="203F545E" w14:textId="77777777" w:rsidR="00D36E24" w:rsidRPr="00E14F9B" w:rsidRDefault="00D36E24" w:rsidP="009A745A">
            <w:pPr>
              <w:keepNext/>
              <w:keepLines/>
              <w:rPr>
                <w:rFonts w:cs="Tahoma"/>
                <w:sz w:val="20"/>
              </w:rPr>
            </w:pPr>
            <w:r w:rsidRPr="00E14F9B">
              <w:rPr>
                <w:rFonts w:cs="Tahoma"/>
                <w:sz w:val="20"/>
              </w:rPr>
              <w:t>40781</w:t>
            </w:r>
          </w:p>
        </w:tc>
        <w:tc>
          <w:tcPr>
            <w:tcW w:w="1810" w:type="dxa"/>
            <w:hideMark/>
          </w:tcPr>
          <w:p w14:paraId="38944C0D" w14:textId="77777777" w:rsidR="00D36E24" w:rsidRPr="00E14F9B" w:rsidRDefault="00D36E24" w:rsidP="009A745A">
            <w:pPr>
              <w:keepNext/>
              <w:keepLines/>
              <w:rPr>
                <w:rFonts w:cs="Tahoma"/>
                <w:sz w:val="20"/>
              </w:rPr>
            </w:pPr>
            <w:r w:rsidRPr="00E14F9B">
              <w:rPr>
                <w:rFonts w:cs="Tahoma"/>
                <w:sz w:val="20"/>
              </w:rPr>
              <w:t>Hyperthermia system, ultrasound</w:t>
            </w:r>
          </w:p>
        </w:tc>
        <w:tc>
          <w:tcPr>
            <w:tcW w:w="1703" w:type="dxa"/>
            <w:hideMark/>
          </w:tcPr>
          <w:p w14:paraId="2C366784" w14:textId="77777777" w:rsidR="00D36E24" w:rsidRPr="00E14F9B" w:rsidRDefault="00D36E24" w:rsidP="009A745A">
            <w:pPr>
              <w:keepNext/>
              <w:keepLines/>
              <w:rPr>
                <w:rFonts w:cs="Tahoma"/>
                <w:sz w:val="20"/>
              </w:rPr>
            </w:pPr>
            <w:r w:rsidRPr="00E14F9B">
              <w:rPr>
                <w:rFonts w:cs="Tahoma"/>
                <w:sz w:val="20"/>
              </w:rPr>
              <w:t>Medical Device Class IIb</w:t>
            </w:r>
          </w:p>
        </w:tc>
        <w:tc>
          <w:tcPr>
            <w:tcW w:w="1698" w:type="dxa"/>
            <w:hideMark/>
          </w:tcPr>
          <w:p w14:paraId="3E2DEFCC" w14:textId="77777777" w:rsidR="00D36E24" w:rsidRPr="00E14F9B" w:rsidRDefault="00D36E24" w:rsidP="009A745A">
            <w:pPr>
              <w:keepNext/>
              <w:keepLines/>
              <w:rPr>
                <w:rFonts w:cs="Tahoma"/>
                <w:sz w:val="20"/>
              </w:rPr>
            </w:pPr>
            <w:r w:rsidRPr="00E14F9B">
              <w:rPr>
                <w:rFonts w:cs="Tahoma"/>
                <w:sz w:val="20"/>
              </w:rPr>
              <w:t>GE Healthcare Australia Pty Ltd</w:t>
            </w:r>
          </w:p>
        </w:tc>
        <w:tc>
          <w:tcPr>
            <w:tcW w:w="1435" w:type="dxa"/>
            <w:hideMark/>
          </w:tcPr>
          <w:p w14:paraId="03552B79" w14:textId="77777777" w:rsidR="00D36E24" w:rsidRPr="00E14F9B" w:rsidRDefault="00D36E24" w:rsidP="009A745A">
            <w:pPr>
              <w:keepNext/>
              <w:keepLines/>
              <w:rPr>
                <w:rFonts w:cs="Tahoma"/>
                <w:sz w:val="20"/>
              </w:rPr>
            </w:pPr>
            <w:proofErr w:type="spellStart"/>
            <w:r w:rsidRPr="00E14F9B">
              <w:rPr>
                <w:rFonts w:cs="Tahoma"/>
                <w:sz w:val="20"/>
              </w:rPr>
              <w:t>InSightec</w:t>
            </w:r>
            <w:proofErr w:type="spellEnd"/>
            <w:r w:rsidRPr="00E14F9B">
              <w:rPr>
                <w:rFonts w:cs="Tahoma"/>
                <w:sz w:val="20"/>
              </w:rPr>
              <w:t xml:space="preserve"> Ltd</w:t>
            </w:r>
          </w:p>
        </w:tc>
      </w:tr>
    </w:tbl>
    <w:p w14:paraId="390044E4" w14:textId="525C6246" w:rsidR="00BC0CFC" w:rsidRDefault="00D36E24" w:rsidP="0039787B">
      <w:pPr>
        <w:pStyle w:val="TableNote"/>
        <w:keepLines w:val="0"/>
        <w:spacing w:after="0"/>
        <w:rPr>
          <w:rStyle w:val="Hyperlink"/>
        </w:rPr>
      </w:pPr>
      <w:r>
        <w:t>Source: Table 7, p35 of the ADAR</w:t>
      </w:r>
      <w:r>
        <w:rPr>
          <w:rStyle w:val="Hyperlink"/>
        </w:rPr>
        <w:t xml:space="preserve"> </w:t>
      </w:r>
    </w:p>
    <w:p w14:paraId="24767375" w14:textId="45556EFB" w:rsidR="00BC0CFC" w:rsidRPr="00E14F9B" w:rsidRDefault="00BC0CFC" w:rsidP="0039787B">
      <w:pPr>
        <w:pStyle w:val="NormalBeforeBullet"/>
        <w:spacing w:before="240"/>
      </w:pPr>
      <w:r>
        <w:t xml:space="preserve">In the pre-MSAC response, the applicant noted that the ARTG listing 260438 has been transferred to Getz Healthcare (from </w:t>
      </w:r>
      <w:proofErr w:type="spellStart"/>
      <w:r>
        <w:t>Medigroup</w:t>
      </w:r>
      <w:proofErr w:type="spellEnd"/>
      <w:r>
        <w:t xml:space="preserve"> Pty Ltd).</w:t>
      </w:r>
    </w:p>
    <w:p w14:paraId="6CCCF0A1" w14:textId="77777777" w:rsidR="009A745A" w:rsidRPr="00F715D1" w:rsidRDefault="009A745A" w:rsidP="009A745A">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0D383472" w14:textId="05D7DFDD" w:rsidR="009A745A" w:rsidRDefault="009A745A" w:rsidP="009A745A">
      <w:r>
        <w:t>Support was received for the application from</w:t>
      </w:r>
      <w:r w:rsidR="0066712B">
        <w:t xml:space="preserve"> one charity group (Parkinson’s South Australia and Norther</w:t>
      </w:r>
      <w:r w:rsidR="00EB3C50">
        <w:t>n</w:t>
      </w:r>
      <w:r w:rsidR="0066712B">
        <w:t xml:space="preserve"> Territory) and two societies: </w:t>
      </w:r>
      <w:proofErr w:type="gramStart"/>
      <w:r>
        <w:t>the</w:t>
      </w:r>
      <w:proofErr w:type="gramEnd"/>
      <w:r>
        <w:t xml:space="preserve"> Neurosurgical Society of Australasia (NSA) and the Royal Australian New Zealand College of Radiologists (RANZCR). </w:t>
      </w:r>
    </w:p>
    <w:p w14:paraId="0E0163D0" w14:textId="7150DDE8" w:rsidR="009A745A" w:rsidRDefault="009A745A" w:rsidP="0039787B">
      <w:pPr>
        <w:spacing w:before="240"/>
      </w:pPr>
      <w:r>
        <w:t>RANZCR requested that interventional radiologists should be eligible to provide the service.</w:t>
      </w:r>
    </w:p>
    <w:p w14:paraId="665ECE65" w14:textId="77777777" w:rsidR="009A745A" w:rsidRDefault="009A745A" w:rsidP="009A745A">
      <w:r>
        <w:t>The NSA addressed two patient safety concerns in their letter of support for the application. The NSA considered it would be inappropriate for the proposed service to be offered by isolated practitioners and recommended that it should be managed by multidisciplinary teams. In addition, the NSA was also concerned with specific wording regarding who will primarily deliver the proposed service; it was recommended that a neurosurgeon should be specified as the primary proceduralist, supported by a movement disorder neurologist and neuroradiologist.</w:t>
      </w:r>
    </w:p>
    <w:p w14:paraId="2DB7CBE1" w14:textId="01982322" w:rsidR="009A745A" w:rsidRDefault="009A745A" w:rsidP="0039787B">
      <w:pPr>
        <w:spacing w:before="240"/>
      </w:pPr>
      <w:r>
        <w:t xml:space="preserve">The </w:t>
      </w:r>
      <w:r w:rsidRPr="00421091">
        <w:t>Consumer Evidence and Engagement Unit (CEEU)</w:t>
      </w:r>
      <w:r>
        <w:t xml:space="preserve"> </w:t>
      </w:r>
      <w:r w:rsidRPr="00421091">
        <w:t>within the Office of Health Technology Assessment</w:t>
      </w:r>
      <w:r>
        <w:t xml:space="preserve"> of the Department presented information to PASC regarding c</w:t>
      </w:r>
      <w:r w:rsidRPr="00421091">
        <w:t xml:space="preserve">onsumer comments </w:t>
      </w:r>
      <w:r>
        <w:t>that were submitted as part of a</w:t>
      </w:r>
      <w:r w:rsidRPr="00421091">
        <w:t xml:space="preserve"> NICE consultation</w:t>
      </w:r>
      <w:r>
        <w:t xml:space="preserve"> on a similar consideration. The CEEU noted that although the comments may not be applicable to the proposed population in this application, the comments could be helpful in identifying outcomes that are important to patients.</w:t>
      </w:r>
    </w:p>
    <w:p w14:paraId="6E094339" w14:textId="7EA7B60C" w:rsidR="009A745A" w:rsidRDefault="009A745A" w:rsidP="0039787B">
      <w:pPr>
        <w:spacing w:before="240"/>
      </w:pPr>
      <w:r>
        <w:t>One targeted consultation survey was also received from a specialist. The specialist considered some advantages to the proposed service would be the ability to get real time feedback and the ability to retreat, as well as the service being an alternative for patients unfit for surgery. One disadvantage may be considered that the patient is required to have their full head shaved.</w:t>
      </w:r>
    </w:p>
    <w:p w14:paraId="59EE5F69" w14:textId="24DEC9BA" w:rsidR="009A745A" w:rsidRDefault="009A745A" w:rsidP="0039787B">
      <w:pPr>
        <w:spacing w:before="240"/>
      </w:pPr>
      <w:r w:rsidRPr="009A745A">
        <w:t>There was no other public consultation feedback received for this application from consumers.</w:t>
      </w:r>
    </w:p>
    <w:p w14:paraId="28CF35E8" w14:textId="77777777" w:rsidR="00BC1364" w:rsidRPr="00F715D1" w:rsidRDefault="00BC1364" w:rsidP="00F715D1">
      <w:pPr>
        <w:pStyle w:val="Heading1"/>
      </w:pPr>
      <w:r w:rsidRPr="00F715D1">
        <w:t>Proposal for public funding</w:t>
      </w:r>
    </w:p>
    <w:p w14:paraId="1C10E088" w14:textId="507AA99F" w:rsidR="00D36E24" w:rsidRPr="006B6F55" w:rsidRDefault="00D36E24" w:rsidP="00D36E24">
      <w:r>
        <w:t xml:space="preserve">The ADARs proposed </w:t>
      </w:r>
      <w:r w:rsidRPr="006B6F55">
        <w:t>MBS item descriptor</w:t>
      </w:r>
      <w:r>
        <w:t xml:space="preserve">s for </w:t>
      </w:r>
      <w:proofErr w:type="spellStart"/>
      <w:r>
        <w:t>MRgFUS</w:t>
      </w:r>
      <w:proofErr w:type="spellEnd"/>
      <w:r>
        <w:t xml:space="preserve"> include several components: pre-surgical suitability assessment with MRI (</w:t>
      </w:r>
      <w:r>
        <w:fldChar w:fldCharType="begin"/>
      </w:r>
      <w:r>
        <w:instrText xml:space="preserve"> REF _Ref57803828 \h </w:instrText>
      </w:r>
      <w:r>
        <w:fldChar w:fldCharType="separate"/>
      </w:r>
      <w:r>
        <w:t>Table</w:t>
      </w:r>
      <w:r>
        <w:fldChar w:fldCharType="end"/>
      </w:r>
      <w:r w:rsidR="00EB3C50">
        <w:t> 2</w:t>
      </w:r>
      <w:r>
        <w:t xml:space="preserve">), pre-surgical planning with MRI (Table 3), treatment/intraoperative delivery of neurology services of </w:t>
      </w:r>
      <w:proofErr w:type="spellStart"/>
      <w:r>
        <w:t>MRgFUS</w:t>
      </w:r>
      <w:proofErr w:type="spellEnd"/>
      <w:r>
        <w:t xml:space="preserve"> (Table 4), treatment/intraoperative delivery of neurosurgical services of </w:t>
      </w:r>
      <w:proofErr w:type="spellStart"/>
      <w:r>
        <w:t>MRgFUS</w:t>
      </w:r>
      <w:proofErr w:type="spellEnd"/>
      <w:r>
        <w:t xml:space="preserve"> (Table 5),</w:t>
      </w:r>
      <w:r w:rsidRPr="004C7115">
        <w:t xml:space="preserve"> </w:t>
      </w:r>
      <w:r>
        <w:t xml:space="preserve">treatment/intraoperative delivery of radiology services of </w:t>
      </w:r>
      <w:proofErr w:type="spellStart"/>
      <w:r>
        <w:t>MRgFUS</w:t>
      </w:r>
      <w:proofErr w:type="spellEnd"/>
      <w:r>
        <w:t xml:space="preserve"> (Table 6) and post-surgical assessment with MRI (Table 7).</w:t>
      </w:r>
    </w:p>
    <w:p w14:paraId="4E8286CA" w14:textId="77777777" w:rsidR="00D36E24" w:rsidRDefault="00D36E24" w:rsidP="00D36E24">
      <w:pPr>
        <w:pStyle w:val="Caption"/>
      </w:pPr>
      <w:bookmarkStart w:id="3" w:name="_Ref57803828"/>
      <w:bookmarkStart w:id="4" w:name="_Toc60942824"/>
      <w:r>
        <w:lastRenderedPageBreak/>
        <w:t>Table</w:t>
      </w:r>
      <w:bookmarkEnd w:id="3"/>
      <w:r>
        <w:t xml:space="preserve"> 2</w:t>
      </w:r>
      <w:r>
        <w:rPr>
          <w:noProof/>
        </w:rPr>
        <w:tab/>
      </w:r>
      <w:r w:rsidRPr="00C03585">
        <w:t>Proposed MBS item descriptor</w:t>
      </w:r>
      <w:r>
        <w:t xml:space="preserve"> – pre-surgical suitability assessment</w:t>
      </w:r>
      <w:bookmarkEnd w:id="4"/>
    </w:p>
    <w:tbl>
      <w:tblPr>
        <w:tblStyle w:val="TableGrid1"/>
        <w:tblW w:w="5000" w:type="pct"/>
        <w:tblLook w:val="04A0" w:firstRow="1" w:lastRow="0" w:firstColumn="1" w:lastColumn="0" w:noHBand="0" w:noVBand="1"/>
        <w:tblDescription w:val="Proposed MBS item descriptor – pre-surgical suitability assessment"/>
      </w:tblPr>
      <w:tblGrid>
        <w:gridCol w:w="9016"/>
      </w:tblGrid>
      <w:tr w:rsidR="00D36E24" w:rsidRPr="00D33FC3" w14:paraId="5CE80830"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5000" w:type="pct"/>
          </w:tcPr>
          <w:p w14:paraId="0079D4DE" w14:textId="77777777" w:rsidR="00D36E24" w:rsidRPr="00D33FC3" w:rsidRDefault="00D36E24" w:rsidP="009A745A">
            <w:pPr>
              <w:pStyle w:val="Tabletextright"/>
              <w:rPr>
                <w:sz w:val="24"/>
              </w:rPr>
            </w:pPr>
            <w:r>
              <w:t>Category 5 –</w:t>
            </w:r>
            <w:r w:rsidRPr="00DF6882">
              <w:t>DIAGNOSTIC IMAGING SERVICES</w:t>
            </w:r>
          </w:p>
        </w:tc>
      </w:tr>
      <w:tr w:rsidR="00D36E24" w:rsidRPr="00C03585" w14:paraId="08EC4843" w14:textId="77777777" w:rsidTr="00DA2C15">
        <w:tc>
          <w:tcPr>
            <w:tcW w:w="5000" w:type="pct"/>
          </w:tcPr>
          <w:p w14:paraId="4C8EF47A" w14:textId="77777777" w:rsidR="00D36E24" w:rsidRPr="00DF6882" w:rsidRDefault="00D36E24" w:rsidP="009A745A">
            <w:pPr>
              <w:pStyle w:val="Tabletext0"/>
              <w:rPr>
                <w:snapToGrid w:val="0"/>
              </w:rPr>
            </w:pPr>
            <w:r w:rsidRPr="00DF6882">
              <w:rPr>
                <w:snapToGrid w:val="0"/>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2345C5DD" w14:textId="77777777" w:rsidR="00D36E24" w:rsidRPr="00DF6882" w:rsidRDefault="00D36E24" w:rsidP="009A745A">
            <w:pPr>
              <w:pStyle w:val="Tabletext0"/>
              <w:rPr>
                <w:snapToGrid w:val="0"/>
              </w:rPr>
            </w:pPr>
            <w:r w:rsidRPr="00DF6882">
              <w:rPr>
                <w:snapToGrid w:val="0"/>
              </w:rPr>
              <w:t>- assessment of suitability for treatment of essential tremor with MRI-guided focused ultrasound</w:t>
            </w:r>
          </w:p>
          <w:p w14:paraId="46C46515" w14:textId="77777777" w:rsidR="00D36E24" w:rsidRPr="00DF6882" w:rsidRDefault="00D36E24" w:rsidP="009A745A">
            <w:pPr>
              <w:pStyle w:val="Tabletext0"/>
              <w:rPr>
                <w:snapToGrid w:val="0"/>
              </w:rPr>
            </w:pPr>
            <w:r w:rsidRPr="00DF6882">
              <w:rPr>
                <w:snapToGrid w:val="0"/>
              </w:rPr>
              <w:t>Essential tremor where:</w:t>
            </w:r>
          </w:p>
          <w:p w14:paraId="7766C080" w14:textId="77777777" w:rsidR="00D36E24" w:rsidRPr="00DF6882" w:rsidRDefault="00D36E24" w:rsidP="009A745A">
            <w:pPr>
              <w:pStyle w:val="Tabletext0"/>
              <w:rPr>
                <w:snapToGrid w:val="0"/>
              </w:rPr>
            </w:pPr>
            <w:r w:rsidRPr="00DF6882">
              <w:rPr>
                <w:snapToGrid w:val="0"/>
              </w:rPr>
              <w:t>(a)</w:t>
            </w:r>
            <w:r w:rsidRPr="00DF6882">
              <w:rPr>
                <w:snapToGrid w:val="0"/>
              </w:rPr>
              <w:tab/>
              <w:t>Symptoms cause severe disability, and</w:t>
            </w:r>
          </w:p>
          <w:p w14:paraId="162237B3" w14:textId="3AAAD6CC" w:rsidR="00D36E24" w:rsidRPr="00DF6882" w:rsidRDefault="00D36E24" w:rsidP="009A745A">
            <w:pPr>
              <w:pStyle w:val="Tabletext0"/>
              <w:rPr>
                <w:snapToGrid w:val="0"/>
              </w:rPr>
            </w:pPr>
            <w:r w:rsidRPr="00DF6882">
              <w:rPr>
                <w:snapToGrid w:val="0"/>
              </w:rPr>
              <w:t>(b)</w:t>
            </w:r>
            <w:r w:rsidRPr="00DF6882">
              <w:rPr>
                <w:snapToGrid w:val="0"/>
              </w:rPr>
              <w:tab/>
              <w:t>Tremor has proven refractory to, or recurred following, maximal medical therapy</w:t>
            </w:r>
          </w:p>
          <w:p w14:paraId="019EB1A3" w14:textId="673798A7" w:rsidR="00D36E24" w:rsidRPr="00DF6882" w:rsidRDefault="00D36E24" w:rsidP="0039787B">
            <w:pPr>
              <w:pStyle w:val="Tabletext0"/>
              <w:spacing w:before="240" w:after="240"/>
              <w:rPr>
                <w:snapToGrid w:val="0"/>
              </w:rPr>
            </w:pPr>
            <w:r w:rsidRPr="00DF6882">
              <w:rPr>
                <w:snapToGrid w:val="0"/>
              </w:rPr>
              <w:t xml:space="preserve">The service is not applicable to patients with a primary diagnosis of Parkinson’s </w:t>
            </w:r>
            <w:proofErr w:type="spellStart"/>
            <w:r w:rsidRPr="00DF6882">
              <w:rPr>
                <w:snapToGrid w:val="0"/>
              </w:rPr>
              <w:t>disease</w:t>
            </w:r>
            <w:r w:rsidRPr="00DF6882">
              <w:rPr>
                <w:snapToGrid w:val="0"/>
                <w:vertAlign w:val="superscript"/>
              </w:rPr>
              <w:t>a</w:t>
            </w:r>
            <w:proofErr w:type="spellEnd"/>
          </w:p>
          <w:p w14:paraId="40116214" w14:textId="77777777" w:rsidR="00D36E24" w:rsidRPr="00DF6882" w:rsidRDefault="00D36E24" w:rsidP="009A745A">
            <w:pPr>
              <w:pStyle w:val="Tabletext0"/>
              <w:rPr>
                <w:snapToGrid w:val="0"/>
              </w:rPr>
            </w:pPr>
            <w:r w:rsidRPr="00DF6882">
              <w:rPr>
                <w:snapToGrid w:val="0"/>
              </w:rPr>
              <w:t>Bulk bill incentive</w:t>
            </w:r>
          </w:p>
          <w:p w14:paraId="75EC6504" w14:textId="77777777" w:rsidR="00D36E24" w:rsidRPr="00DF6882" w:rsidRDefault="00D36E24" w:rsidP="009A745A">
            <w:pPr>
              <w:pStyle w:val="Tabletext0"/>
              <w:rPr>
                <w:snapToGrid w:val="0"/>
              </w:rPr>
            </w:pPr>
            <w:r w:rsidRPr="00DF6882">
              <w:rPr>
                <w:snapToGrid w:val="0"/>
              </w:rPr>
              <w:t>(</w:t>
            </w:r>
            <w:proofErr w:type="spellStart"/>
            <w:r w:rsidRPr="00DF6882">
              <w:rPr>
                <w:snapToGrid w:val="0"/>
              </w:rPr>
              <w:t>Anaes</w:t>
            </w:r>
            <w:proofErr w:type="spellEnd"/>
            <w:r w:rsidRPr="00DF6882">
              <w:rPr>
                <w:snapToGrid w:val="0"/>
              </w:rPr>
              <w:t>.)</w:t>
            </w:r>
          </w:p>
        </w:tc>
      </w:tr>
      <w:tr w:rsidR="00D36E24" w:rsidRPr="00C03585" w14:paraId="7D06D625" w14:textId="77777777" w:rsidTr="00DA2C15">
        <w:tc>
          <w:tcPr>
            <w:tcW w:w="5000" w:type="pct"/>
          </w:tcPr>
          <w:p w14:paraId="6B9CE4EA" w14:textId="77777777" w:rsidR="00D36E24" w:rsidRDefault="00D36E24" w:rsidP="009A745A">
            <w:pPr>
              <w:pStyle w:val="Tabletext0"/>
              <w:rPr>
                <w:sz w:val="24"/>
              </w:rPr>
            </w:pPr>
            <w:r w:rsidRPr="00C03585">
              <w:t xml:space="preserve">Fee: </w:t>
            </w:r>
            <w:r w:rsidRPr="00DF6882">
              <w:rPr>
                <w:snapToGrid w:val="0"/>
                <w:u w:val="dotted"/>
              </w:rPr>
              <w:t>$</w:t>
            </w:r>
            <w:r w:rsidRPr="00DF6882">
              <w:rPr>
                <w:snapToGrid w:val="0"/>
              </w:rPr>
              <w:t>403.20 Benefit: 75% = $302.40 85% = $342.75</w:t>
            </w:r>
          </w:p>
        </w:tc>
      </w:tr>
    </w:tbl>
    <w:p w14:paraId="0A525470" w14:textId="77777777" w:rsidR="00D36E24" w:rsidRDefault="00D36E24" w:rsidP="00D36E24">
      <w:pPr>
        <w:pStyle w:val="TableNote"/>
        <w:rPr>
          <w:vertAlign w:val="superscript"/>
        </w:rPr>
      </w:pPr>
      <w:r>
        <w:t xml:space="preserve">Source: </w:t>
      </w:r>
      <w:r w:rsidRPr="00C03585">
        <w:t>Table</w:t>
      </w:r>
      <w:r>
        <w:t xml:space="preserve"> 8</w:t>
      </w:r>
      <w:r w:rsidRPr="00C03585">
        <w:t>, pp</w:t>
      </w:r>
      <w:r>
        <w:t xml:space="preserve"> 38-39 </w:t>
      </w:r>
      <w:r w:rsidRPr="00C03585">
        <w:t xml:space="preserve">of the </w:t>
      </w:r>
      <w:r>
        <w:t>ADAR</w:t>
      </w:r>
      <w:r w:rsidRPr="004F5A60">
        <w:rPr>
          <w:vertAlign w:val="superscript"/>
        </w:rPr>
        <w:t xml:space="preserve"> </w:t>
      </w:r>
    </w:p>
    <w:p w14:paraId="137DFE11" w14:textId="77777777" w:rsidR="00D36E24" w:rsidRPr="00DF6882" w:rsidRDefault="00D36E24" w:rsidP="00D36E24">
      <w:pPr>
        <w:pStyle w:val="TableNote"/>
      </w:pPr>
      <w:r w:rsidRPr="00DF6882">
        <w:rPr>
          <w:vertAlign w:val="superscript"/>
        </w:rPr>
        <w:t>a</w:t>
      </w:r>
      <w:r w:rsidRPr="00DF6882">
        <w:t xml:space="preserve">Note: Does not exclude patients with a primary diagnosis of ET with parkinsonian features consistent with the definition of ET plus </w:t>
      </w:r>
    </w:p>
    <w:p w14:paraId="6388A08D" w14:textId="77777777" w:rsidR="00D36E24" w:rsidRDefault="00D36E24" w:rsidP="00D36E24">
      <w:pPr>
        <w:pStyle w:val="Caption"/>
        <w:keepLines/>
      </w:pPr>
      <w:bookmarkStart w:id="5" w:name="_Ref57803829"/>
      <w:bookmarkStart w:id="6" w:name="_Toc60942825"/>
      <w:r>
        <w:t>Table</w:t>
      </w:r>
      <w:bookmarkEnd w:id="5"/>
      <w:r>
        <w:t xml:space="preserve"> 3</w:t>
      </w:r>
      <w:r>
        <w:tab/>
      </w:r>
      <w:r w:rsidRPr="00C03585">
        <w:t>Proposed MBS item descriptor</w:t>
      </w:r>
      <w:r>
        <w:t xml:space="preserve"> – pre-surgical planning</w:t>
      </w:r>
      <w:bookmarkEnd w:id="6"/>
    </w:p>
    <w:tbl>
      <w:tblPr>
        <w:tblStyle w:val="TableGrid1"/>
        <w:tblW w:w="5000" w:type="pct"/>
        <w:tblLook w:val="04A0" w:firstRow="1" w:lastRow="0" w:firstColumn="1" w:lastColumn="0" w:noHBand="0" w:noVBand="1"/>
        <w:tblDescription w:val="Proposed MBS item descriptor – pre-surgical planning"/>
      </w:tblPr>
      <w:tblGrid>
        <w:gridCol w:w="9016"/>
      </w:tblGrid>
      <w:tr w:rsidR="00D36E24" w:rsidRPr="00D33FC3" w14:paraId="660946BE"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5000" w:type="pct"/>
          </w:tcPr>
          <w:p w14:paraId="0B841AEA" w14:textId="77777777" w:rsidR="00D36E24" w:rsidRPr="00D33FC3" w:rsidRDefault="00D36E24" w:rsidP="009A745A">
            <w:pPr>
              <w:pStyle w:val="Tabletextright"/>
              <w:keepLines/>
              <w:rPr>
                <w:sz w:val="24"/>
              </w:rPr>
            </w:pPr>
            <w:r>
              <w:t>Category 5 –</w:t>
            </w:r>
            <w:r w:rsidRPr="00DF6882">
              <w:t>DIAGNOSTIC IMAGING SERVICES</w:t>
            </w:r>
          </w:p>
        </w:tc>
      </w:tr>
      <w:tr w:rsidR="00D36E24" w:rsidRPr="00C03585" w14:paraId="69F2BC4C" w14:textId="77777777" w:rsidTr="00DA2C15">
        <w:tc>
          <w:tcPr>
            <w:tcW w:w="5000" w:type="pct"/>
          </w:tcPr>
          <w:p w14:paraId="0CEBC8A9" w14:textId="77777777" w:rsidR="00D36E24" w:rsidRPr="00DF6882" w:rsidRDefault="00D36E24" w:rsidP="009A745A">
            <w:pPr>
              <w:pStyle w:val="Tabletext0"/>
              <w:keepNext/>
              <w:keepLines/>
              <w:rPr>
                <w:snapToGrid w:val="0"/>
              </w:rPr>
            </w:pPr>
            <w:r w:rsidRPr="00DF6882">
              <w:rPr>
                <w:snapToGrid w:val="0"/>
              </w:rPr>
              <w:t>MAGNETIC RESONANCE IMAGING (including Magnetic Resonance Angiography if performed) and stereotactic anatomic localisation, performed under the professional supervision of an eligible provider at an eligible location where the patient is referred by a specialist or by a consultant physician - scan of head for:</w:t>
            </w:r>
          </w:p>
          <w:p w14:paraId="4C7DA282" w14:textId="77777777" w:rsidR="00D36E24" w:rsidRPr="00DF6882" w:rsidRDefault="00D36E24" w:rsidP="009A745A">
            <w:pPr>
              <w:pStyle w:val="Tabletext0"/>
              <w:keepNext/>
              <w:keepLines/>
              <w:rPr>
                <w:snapToGrid w:val="0"/>
              </w:rPr>
            </w:pPr>
            <w:r w:rsidRPr="00DF6882">
              <w:rPr>
                <w:snapToGrid w:val="0"/>
              </w:rPr>
              <w:t>- stereotactic scan of brain, with frame in place</w:t>
            </w:r>
          </w:p>
          <w:p w14:paraId="0AD02807" w14:textId="77777777" w:rsidR="00D36E24" w:rsidRPr="00DF6882" w:rsidRDefault="00D36E24" w:rsidP="009A745A">
            <w:pPr>
              <w:pStyle w:val="Tabletext0"/>
              <w:keepNext/>
              <w:keepLines/>
              <w:rPr>
                <w:snapToGrid w:val="0"/>
              </w:rPr>
            </w:pPr>
            <w:r w:rsidRPr="00DF6882">
              <w:rPr>
                <w:snapToGrid w:val="0"/>
              </w:rPr>
              <w:t xml:space="preserve">- Computerised planning and target verification </w:t>
            </w:r>
          </w:p>
          <w:p w14:paraId="7ADD2C7F" w14:textId="2B4775AF" w:rsidR="00D36E24" w:rsidRPr="00DF6882" w:rsidRDefault="00D36E24" w:rsidP="009A745A">
            <w:pPr>
              <w:pStyle w:val="Tabletext0"/>
              <w:keepNext/>
              <w:keepLines/>
              <w:rPr>
                <w:snapToGrid w:val="0"/>
              </w:rPr>
            </w:pPr>
            <w:r w:rsidRPr="00DF6882">
              <w:rPr>
                <w:snapToGrid w:val="0"/>
              </w:rPr>
              <w:t>For the sole purpose of conducting MRI-guided focused ultrasound</w:t>
            </w:r>
          </w:p>
          <w:p w14:paraId="1200FBF3" w14:textId="77777777" w:rsidR="00D36E24" w:rsidRPr="00DF6882" w:rsidRDefault="00D36E24" w:rsidP="0039787B">
            <w:pPr>
              <w:pStyle w:val="Tabletext0"/>
              <w:keepNext/>
              <w:keepLines/>
              <w:spacing w:before="240"/>
              <w:rPr>
                <w:snapToGrid w:val="0"/>
              </w:rPr>
            </w:pPr>
            <w:r w:rsidRPr="00DF6882">
              <w:rPr>
                <w:snapToGrid w:val="0"/>
              </w:rPr>
              <w:t>Bulk bill incentive</w:t>
            </w:r>
          </w:p>
          <w:p w14:paraId="4ACE5DD6" w14:textId="77777777" w:rsidR="00D36E24" w:rsidRPr="00DF6882" w:rsidRDefault="00D36E24" w:rsidP="009A745A">
            <w:pPr>
              <w:pStyle w:val="Tabletext0"/>
              <w:keepNext/>
              <w:keepLines/>
              <w:rPr>
                <w:snapToGrid w:val="0"/>
              </w:rPr>
            </w:pPr>
            <w:r w:rsidRPr="00DF6882">
              <w:rPr>
                <w:snapToGrid w:val="0"/>
              </w:rPr>
              <w:t>(</w:t>
            </w:r>
            <w:proofErr w:type="spellStart"/>
            <w:r w:rsidRPr="00DF6882">
              <w:rPr>
                <w:snapToGrid w:val="0"/>
              </w:rPr>
              <w:t>Anaes</w:t>
            </w:r>
            <w:proofErr w:type="spellEnd"/>
            <w:r w:rsidRPr="00DF6882">
              <w:rPr>
                <w:snapToGrid w:val="0"/>
              </w:rPr>
              <w:t>.)</w:t>
            </w:r>
          </w:p>
        </w:tc>
      </w:tr>
      <w:tr w:rsidR="00D36E24" w:rsidRPr="00C03585" w14:paraId="3735F19A" w14:textId="77777777" w:rsidTr="00DA2C15">
        <w:tc>
          <w:tcPr>
            <w:tcW w:w="5000" w:type="pct"/>
          </w:tcPr>
          <w:p w14:paraId="202E9C7C" w14:textId="77777777" w:rsidR="00D36E24" w:rsidRDefault="00D36E24" w:rsidP="009A745A">
            <w:pPr>
              <w:pStyle w:val="Tabletext0"/>
              <w:rPr>
                <w:sz w:val="24"/>
              </w:rPr>
            </w:pPr>
            <w:r w:rsidRPr="00C03585">
              <w:t xml:space="preserve">Fee: </w:t>
            </w:r>
            <w:bookmarkStart w:id="7" w:name="_Hlk59116428"/>
            <w:r w:rsidRPr="00DF6882">
              <w:rPr>
                <w:snapToGrid w:val="0"/>
              </w:rPr>
              <w:t xml:space="preserve">$994.60 </w:t>
            </w:r>
            <w:bookmarkEnd w:id="7"/>
            <w:r w:rsidRPr="00DF6882">
              <w:rPr>
                <w:snapToGrid w:val="0"/>
              </w:rPr>
              <w:t>Benefit: 75% = $745.95 85% = $845.41</w:t>
            </w:r>
          </w:p>
        </w:tc>
      </w:tr>
    </w:tbl>
    <w:p w14:paraId="2B826F66" w14:textId="77777777" w:rsidR="00D36E24" w:rsidRDefault="00D36E24" w:rsidP="00D36E24">
      <w:pPr>
        <w:pStyle w:val="TableNote"/>
      </w:pPr>
      <w:r>
        <w:t xml:space="preserve">Source: </w:t>
      </w:r>
      <w:r w:rsidRPr="00C03585">
        <w:t>Table</w:t>
      </w:r>
      <w:r>
        <w:t xml:space="preserve"> 8</w:t>
      </w:r>
      <w:r w:rsidRPr="00C03585">
        <w:t>, pp</w:t>
      </w:r>
      <w:r>
        <w:t xml:space="preserve"> 38-39 </w:t>
      </w:r>
      <w:r w:rsidRPr="00C03585">
        <w:t xml:space="preserve">of the </w:t>
      </w:r>
      <w:r>
        <w:t>ADAR</w:t>
      </w:r>
    </w:p>
    <w:p w14:paraId="45F85659" w14:textId="39968FC0" w:rsidR="00D36E24" w:rsidRDefault="00D36E24" w:rsidP="00D36E24">
      <w:pPr>
        <w:pStyle w:val="TableNote"/>
      </w:pPr>
      <w:r>
        <w:t xml:space="preserve">Note: </w:t>
      </w:r>
      <w:r w:rsidRPr="00D51BD8">
        <w:t>The item proposed in the ADAR lists a “stereotactic scan of brain, with frame in place; computerised planning and target verification”, instead of “stereotactic scan of brain, with fiducials in place” (item 63010</w:t>
      </w:r>
      <w:r w:rsidR="00BF7763">
        <w:t xml:space="preserve"> [fee: $336]</w:t>
      </w:r>
      <w:r w:rsidRPr="00D51BD8">
        <w:t xml:space="preserve"> and Ratified PICO proposal).</w:t>
      </w:r>
      <w:r w:rsidR="00BF7763">
        <w:t xml:space="preserve"> In addition, the proposed fee of $994.60 is higher than the Ratified PICO based on MBS item 63010 (fee: $336)</w:t>
      </w:r>
    </w:p>
    <w:p w14:paraId="63157A4F" w14:textId="5F4DE50F" w:rsidR="00D36E24" w:rsidRPr="00B06D1C" w:rsidRDefault="00D36E24" w:rsidP="00D36E24">
      <w:pPr>
        <w:pStyle w:val="Caption"/>
      </w:pPr>
      <w:bookmarkStart w:id="8" w:name="_Ref57803830"/>
      <w:bookmarkStart w:id="9" w:name="_Toc60942826"/>
      <w:r>
        <w:t>Table</w:t>
      </w:r>
      <w:bookmarkEnd w:id="8"/>
      <w:r>
        <w:t xml:space="preserve"> 4</w:t>
      </w:r>
      <w:r>
        <w:tab/>
      </w:r>
      <w:r w:rsidRPr="00C03585">
        <w:t>Proposed MBS item descriptor</w:t>
      </w:r>
      <w:r>
        <w:t xml:space="preserve"> – treatment/intraoperative procedure (neurology services)</w:t>
      </w:r>
      <w:bookmarkEnd w:id="9"/>
    </w:p>
    <w:tbl>
      <w:tblPr>
        <w:tblStyle w:val="TableGrid1"/>
        <w:tblW w:w="5000" w:type="pct"/>
        <w:tblLook w:val="04A0" w:firstRow="1" w:lastRow="0" w:firstColumn="1" w:lastColumn="0" w:noHBand="0" w:noVBand="1"/>
        <w:tblDescription w:val="Proposed MBS item descriptor – treatment/intraoperative procedure (neurology services)"/>
      </w:tblPr>
      <w:tblGrid>
        <w:gridCol w:w="9016"/>
      </w:tblGrid>
      <w:tr w:rsidR="00D36E24" w:rsidRPr="00D33FC3" w14:paraId="4B618BB5"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5000" w:type="pct"/>
          </w:tcPr>
          <w:p w14:paraId="4A020AB5" w14:textId="77777777" w:rsidR="00D36E24" w:rsidRPr="00D33FC3" w:rsidRDefault="00D36E24" w:rsidP="009A745A">
            <w:pPr>
              <w:pStyle w:val="Tabletextright"/>
              <w:rPr>
                <w:sz w:val="24"/>
              </w:rPr>
            </w:pPr>
            <w:r>
              <w:t>Category 5 –</w:t>
            </w:r>
            <w:r w:rsidRPr="00DF6882">
              <w:t>DIAGNOSTIC IMAGING SERVICES</w:t>
            </w:r>
          </w:p>
        </w:tc>
      </w:tr>
      <w:tr w:rsidR="00D36E24" w:rsidRPr="00C03585" w14:paraId="726F036F" w14:textId="77777777" w:rsidTr="00DA2C15">
        <w:tc>
          <w:tcPr>
            <w:tcW w:w="5000" w:type="pct"/>
          </w:tcPr>
          <w:p w14:paraId="7839834E" w14:textId="77777777" w:rsidR="00D36E24" w:rsidRPr="00DF6882" w:rsidRDefault="00D36E24" w:rsidP="009A745A">
            <w:pPr>
              <w:pStyle w:val="Tabletext0"/>
              <w:keepNext/>
              <w:rPr>
                <w:snapToGrid w:val="0"/>
              </w:rPr>
            </w:pPr>
            <w:r w:rsidRPr="00DF6882">
              <w:rPr>
                <w:snapToGrid w:val="0"/>
              </w:rPr>
              <w:t>MRI-GUIDED FOCUSED ULTRASOUND (unilateral), target localisation incorporating anatomical and physiological techniques, including intraoperative clinical evaluation</w:t>
            </w:r>
          </w:p>
          <w:p w14:paraId="516F3E65" w14:textId="77777777" w:rsidR="00D36E24" w:rsidRPr="00DF6882" w:rsidRDefault="00D36E24" w:rsidP="009A745A">
            <w:pPr>
              <w:pStyle w:val="Tabletext0"/>
              <w:keepNext/>
              <w:rPr>
                <w:snapToGrid w:val="0"/>
              </w:rPr>
            </w:pPr>
            <w:r w:rsidRPr="00DF6882">
              <w:rPr>
                <w:snapToGrid w:val="0"/>
              </w:rPr>
              <w:t>Multiple Operation Rule</w:t>
            </w:r>
          </w:p>
          <w:p w14:paraId="33B99AA9" w14:textId="77777777" w:rsidR="00D36E24" w:rsidRPr="00DF6882" w:rsidRDefault="00D36E24" w:rsidP="009A745A">
            <w:pPr>
              <w:pStyle w:val="Tabletext0"/>
              <w:keepNext/>
              <w:rPr>
                <w:snapToGrid w:val="0"/>
              </w:rPr>
            </w:pPr>
            <w:r w:rsidRPr="00DF6882">
              <w:rPr>
                <w:snapToGrid w:val="0"/>
              </w:rPr>
              <w:t>(</w:t>
            </w:r>
            <w:proofErr w:type="spellStart"/>
            <w:r w:rsidRPr="00DF6882">
              <w:rPr>
                <w:snapToGrid w:val="0"/>
              </w:rPr>
              <w:t>Anaes</w:t>
            </w:r>
            <w:proofErr w:type="spellEnd"/>
            <w:r w:rsidRPr="00DF6882">
              <w:rPr>
                <w:snapToGrid w:val="0"/>
              </w:rPr>
              <w:t>.) (Assist.)</w:t>
            </w:r>
          </w:p>
        </w:tc>
      </w:tr>
      <w:tr w:rsidR="00D36E24" w:rsidRPr="00C03585" w14:paraId="62DBE99F" w14:textId="77777777" w:rsidTr="00DA2C15">
        <w:tc>
          <w:tcPr>
            <w:tcW w:w="5000" w:type="pct"/>
          </w:tcPr>
          <w:p w14:paraId="27E3A273" w14:textId="77777777" w:rsidR="00D36E24" w:rsidRDefault="00D36E24" w:rsidP="009A745A">
            <w:pPr>
              <w:pStyle w:val="Tabletext0"/>
              <w:keepNext/>
              <w:rPr>
                <w:sz w:val="24"/>
              </w:rPr>
            </w:pPr>
            <w:r w:rsidRPr="00C03585">
              <w:t xml:space="preserve">Fee: </w:t>
            </w:r>
            <w:r w:rsidRPr="00DF6882">
              <w:rPr>
                <w:snapToGrid w:val="0"/>
              </w:rPr>
              <w:t>$2,055.05 Benefit: 75% = $1,541.29</w:t>
            </w:r>
          </w:p>
        </w:tc>
      </w:tr>
    </w:tbl>
    <w:p w14:paraId="299E5C6B" w14:textId="77777777" w:rsidR="00D36E24" w:rsidRDefault="00D36E24" w:rsidP="00D36E24">
      <w:pPr>
        <w:pStyle w:val="TableNote"/>
      </w:pPr>
      <w:r>
        <w:t xml:space="preserve">Source: </w:t>
      </w:r>
      <w:r w:rsidRPr="00C03585">
        <w:t>Table</w:t>
      </w:r>
      <w:r>
        <w:t xml:space="preserve"> 8</w:t>
      </w:r>
      <w:r w:rsidRPr="00C03585">
        <w:t>, pp</w:t>
      </w:r>
      <w:r>
        <w:t xml:space="preserve"> 38-39 </w:t>
      </w:r>
      <w:r w:rsidRPr="00C03585">
        <w:t xml:space="preserve">of the </w:t>
      </w:r>
      <w:r>
        <w:t>ADAR</w:t>
      </w:r>
    </w:p>
    <w:p w14:paraId="3B4C3EAD" w14:textId="77777777" w:rsidR="00D36E24" w:rsidRDefault="00D36E24" w:rsidP="00D36E24">
      <w:pPr>
        <w:pStyle w:val="Caption"/>
      </w:pPr>
      <w:bookmarkStart w:id="10" w:name="_Ref57803831"/>
      <w:bookmarkStart w:id="11" w:name="_Toc60942827"/>
      <w:r>
        <w:lastRenderedPageBreak/>
        <w:t xml:space="preserve">Table </w:t>
      </w:r>
      <w:bookmarkEnd w:id="10"/>
      <w:r>
        <w:t>5</w:t>
      </w:r>
      <w:r>
        <w:rPr>
          <w:noProof/>
        </w:rPr>
        <w:tab/>
      </w:r>
      <w:r w:rsidRPr="00C03585">
        <w:t>Proposed MBS item descriptor</w:t>
      </w:r>
      <w:r>
        <w:t xml:space="preserve"> – treatment/intraoperative procedure (neurosurgery services)</w:t>
      </w:r>
      <w:bookmarkEnd w:id="11"/>
      <w:r>
        <w:t xml:space="preserve"> </w:t>
      </w:r>
    </w:p>
    <w:tbl>
      <w:tblPr>
        <w:tblStyle w:val="TableGrid1"/>
        <w:tblW w:w="5000" w:type="pct"/>
        <w:tblLook w:val="04A0" w:firstRow="1" w:lastRow="0" w:firstColumn="1" w:lastColumn="0" w:noHBand="0" w:noVBand="1"/>
        <w:tblDescription w:val="Proposed MBS item descriptor – treatment/intraoperative procedure (neurosurgery services) "/>
      </w:tblPr>
      <w:tblGrid>
        <w:gridCol w:w="9016"/>
      </w:tblGrid>
      <w:tr w:rsidR="00D36E24" w:rsidRPr="00D33FC3" w14:paraId="53C8332B"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5000" w:type="pct"/>
          </w:tcPr>
          <w:p w14:paraId="770D4976" w14:textId="77777777" w:rsidR="00D36E24" w:rsidRPr="00D33FC3" w:rsidRDefault="00D36E24" w:rsidP="009A745A">
            <w:pPr>
              <w:pStyle w:val="Tabletextright"/>
              <w:rPr>
                <w:sz w:val="24"/>
              </w:rPr>
            </w:pPr>
            <w:r w:rsidRPr="00434FA3">
              <w:rPr>
                <w:lang w:eastAsia="en-AU"/>
              </w:rPr>
              <w:t>Category 3 – THERAPEUTIC PROCEDURES</w:t>
            </w:r>
          </w:p>
        </w:tc>
      </w:tr>
      <w:tr w:rsidR="00D36E24" w:rsidRPr="00C03585" w14:paraId="178C9C33" w14:textId="77777777" w:rsidTr="00DA2C15">
        <w:tc>
          <w:tcPr>
            <w:tcW w:w="5000" w:type="pct"/>
          </w:tcPr>
          <w:p w14:paraId="425FE9D7" w14:textId="77777777" w:rsidR="00D36E24" w:rsidRPr="00DF6882" w:rsidRDefault="00D36E24" w:rsidP="009A745A">
            <w:pPr>
              <w:pStyle w:val="Tabletext0"/>
              <w:keepNext/>
              <w:rPr>
                <w:snapToGrid w:val="0"/>
              </w:rPr>
            </w:pPr>
            <w:r w:rsidRPr="00DF6882">
              <w:rPr>
                <w:snapToGrid w:val="0"/>
              </w:rPr>
              <w:t>MRI-GUIDED FOCUSED ULTRASOUND (unilateral) procedure including computer assisted anatomical localisation, physiological localisation, and lesion production in the basal ganglia, brain stem, thalamus or deep white matter tracts, for the treatment of:</w:t>
            </w:r>
          </w:p>
          <w:p w14:paraId="749AA230" w14:textId="77777777" w:rsidR="00D36E24" w:rsidRPr="00DF6882" w:rsidRDefault="00D36E24" w:rsidP="009A745A">
            <w:pPr>
              <w:pStyle w:val="Tabletext0"/>
              <w:keepNext/>
              <w:rPr>
                <w:snapToGrid w:val="0"/>
              </w:rPr>
            </w:pPr>
            <w:r w:rsidRPr="00DF6882">
              <w:rPr>
                <w:snapToGrid w:val="0"/>
              </w:rPr>
              <w:t>Essential tremor where:</w:t>
            </w:r>
          </w:p>
          <w:p w14:paraId="6B4CF768" w14:textId="77777777" w:rsidR="00D36E24" w:rsidRPr="00DF6882" w:rsidRDefault="00D36E24" w:rsidP="009A745A">
            <w:pPr>
              <w:pStyle w:val="Tabletext0"/>
              <w:keepNext/>
              <w:rPr>
                <w:snapToGrid w:val="0"/>
              </w:rPr>
            </w:pPr>
            <w:r w:rsidRPr="00DF6882">
              <w:rPr>
                <w:snapToGrid w:val="0"/>
              </w:rPr>
              <w:t>(a)</w:t>
            </w:r>
            <w:r w:rsidRPr="00DF6882">
              <w:rPr>
                <w:snapToGrid w:val="0"/>
              </w:rPr>
              <w:tab/>
              <w:t>Symptoms cause severe disability, and</w:t>
            </w:r>
          </w:p>
          <w:p w14:paraId="0C05F61C" w14:textId="192A531A" w:rsidR="00D36E24" w:rsidRPr="00DF6882" w:rsidRDefault="00D36E24" w:rsidP="009A745A">
            <w:pPr>
              <w:pStyle w:val="Tabletext0"/>
              <w:keepNext/>
              <w:rPr>
                <w:snapToGrid w:val="0"/>
              </w:rPr>
            </w:pPr>
            <w:r w:rsidRPr="00DF6882">
              <w:rPr>
                <w:snapToGrid w:val="0"/>
              </w:rPr>
              <w:t>(b)</w:t>
            </w:r>
            <w:r w:rsidRPr="00DF6882">
              <w:rPr>
                <w:snapToGrid w:val="0"/>
              </w:rPr>
              <w:tab/>
              <w:t>Tremor has proven refractory to, or recurred following, maximal medical therapy</w:t>
            </w:r>
          </w:p>
          <w:p w14:paraId="5459770C" w14:textId="394B17E8" w:rsidR="00D36E24" w:rsidRPr="00DF6882" w:rsidRDefault="00D36E24" w:rsidP="0039787B">
            <w:pPr>
              <w:pStyle w:val="Tabletext0"/>
              <w:keepNext/>
              <w:spacing w:before="240" w:after="240"/>
              <w:rPr>
                <w:snapToGrid w:val="0"/>
              </w:rPr>
            </w:pPr>
            <w:r w:rsidRPr="00DF6882">
              <w:rPr>
                <w:snapToGrid w:val="0"/>
              </w:rPr>
              <w:t xml:space="preserve">The service is not applicable to patients with a primary diagnosis of Parkinson’s </w:t>
            </w:r>
            <w:proofErr w:type="spellStart"/>
            <w:r w:rsidRPr="00DF6882">
              <w:rPr>
                <w:snapToGrid w:val="0"/>
              </w:rPr>
              <w:t>disease</w:t>
            </w:r>
            <w:r w:rsidRPr="00DF6882">
              <w:rPr>
                <w:snapToGrid w:val="0"/>
                <w:vertAlign w:val="superscript"/>
              </w:rPr>
              <w:t>a</w:t>
            </w:r>
            <w:proofErr w:type="spellEnd"/>
          </w:p>
          <w:p w14:paraId="0738DEF4" w14:textId="77777777" w:rsidR="00D36E24" w:rsidRPr="00DF6882" w:rsidRDefault="00D36E24" w:rsidP="009A745A">
            <w:pPr>
              <w:pStyle w:val="Tabletext0"/>
              <w:keepNext/>
              <w:rPr>
                <w:snapToGrid w:val="0"/>
              </w:rPr>
            </w:pPr>
            <w:r w:rsidRPr="00DF6882">
              <w:rPr>
                <w:snapToGrid w:val="0"/>
              </w:rPr>
              <w:t>Multiple Operation Rule</w:t>
            </w:r>
          </w:p>
          <w:p w14:paraId="2BCDF715" w14:textId="77777777" w:rsidR="00D36E24" w:rsidRPr="00DF6882" w:rsidRDefault="00D36E24" w:rsidP="009A745A">
            <w:pPr>
              <w:pStyle w:val="Tabletext0"/>
              <w:keepNext/>
              <w:rPr>
                <w:snapToGrid w:val="0"/>
              </w:rPr>
            </w:pPr>
            <w:r w:rsidRPr="00DF6882">
              <w:rPr>
                <w:snapToGrid w:val="0"/>
              </w:rPr>
              <w:t>(</w:t>
            </w:r>
            <w:proofErr w:type="spellStart"/>
            <w:r w:rsidRPr="00DF6882">
              <w:rPr>
                <w:snapToGrid w:val="0"/>
              </w:rPr>
              <w:t>Anaes</w:t>
            </w:r>
            <w:proofErr w:type="spellEnd"/>
            <w:r w:rsidRPr="00DF6882">
              <w:rPr>
                <w:snapToGrid w:val="0"/>
              </w:rPr>
              <w:t>.) (Assist.)</w:t>
            </w:r>
          </w:p>
        </w:tc>
      </w:tr>
      <w:tr w:rsidR="00D36E24" w:rsidRPr="00C03585" w14:paraId="29667144" w14:textId="77777777" w:rsidTr="00DA2C15">
        <w:tc>
          <w:tcPr>
            <w:tcW w:w="5000" w:type="pct"/>
          </w:tcPr>
          <w:p w14:paraId="08511384" w14:textId="77777777" w:rsidR="00D36E24" w:rsidRDefault="00D36E24" w:rsidP="009A745A">
            <w:pPr>
              <w:pStyle w:val="Tabletext0"/>
              <w:rPr>
                <w:sz w:val="24"/>
              </w:rPr>
            </w:pPr>
            <w:r w:rsidRPr="00C03585">
              <w:t xml:space="preserve">Fee: </w:t>
            </w:r>
            <w:r w:rsidRPr="00DF6882">
              <w:rPr>
                <w:snapToGrid w:val="0"/>
              </w:rPr>
              <w:t>$3,165.50 Benefit: 75% = $2,372.62</w:t>
            </w:r>
          </w:p>
        </w:tc>
      </w:tr>
    </w:tbl>
    <w:p w14:paraId="5A140E06" w14:textId="77777777" w:rsidR="00D36E24" w:rsidRDefault="00D36E24" w:rsidP="00D36E24">
      <w:pPr>
        <w:pStyle w:val="TableNote"/>
        <w:rPr>
          <w:color w:val="404040" w:themeColor="text1" w:themeTint="BF"/>
          <w:vertAlign w:val="superscript"/>
        </w:rPr>
      </w:pPr>
      <w:r>
        <w:t xml:space="preserve">Source: </w:t>
      </w:r>
      <w:r w:rsidRPr="00C03585">
        <w:t>Table</w:t>
      </w:r>
      <w:r>
        <w:t xml:space="preserve"> 8</w:t>
      </w:r>
      <w:r w:rsidRPr="00C03585">
        <w:t>, pp</w:t>
      </w:r>
      <w:r>
        <w:t xml:space="preserve"> 38-39 </w:t>
      </w:r>
      <w:r w:rsidRPr="00C03585">
        <w:t xml:space="preserve">of the </w:t>
      </w:r>
      <w:r>
        <w:t>ADAR</w:t>
      </w:r>
      <w:r w:rsidRPr="00DF6882">
        <w:rPr>
          <w:color w:val="404040" w:themeColor="text1" w:themeTint="BF"/>
          <w:vertAlign w:val="superscript"/>
        </w:rPr>
        <w:t xml:space="preserve"> </w:t>
      </w:r>
    </w:p>
    <w:p w14:paraId="77C31FE5" w14:textId="16282464" w:rsidR="00D36E24" w:rsidRDefault="00D36E24" w:rsidP="00D36E24">
      <w:pPr>
        <w:pStyle w:val="TableNote"/>
      </w:pPr>
      <w:r w:rsidRPr="00DF6882">
        <w:rPr>
          <w:vertAlign w:val="superscript"/>
        </w:rPr>
        <w:t>a</w:t>
      </w:r>
      <w:r w:rsidRPr="00DF6882">
        <w:t xml:space="preserve">Note: Does not exclude patients with a primary diagnosis of ET with parkinsonian features consistent with the definition of ET plus </w:t>
      </w:r>
    </w:p>
    <w:p w14:paraId="13AB7F91" w14:textId="77777777" w:rsidR="00D36E24" w:rsidRPr="00B06D1C" w:rsidRDefault="00D36E24" w:rsidP="00D36E24">
      <w:pPr>
        <w:pStyle w:val="Caption"/>
        <w:keepLines/>
      </w:pPr>
      <w:bookmarkStart w:id="12" w:name="_Ref57803832"/>
      <w:bookmarkStart w:id="13" w:name="_Toc60942828"/>
      <w:r>
        <w:t>Table</w:t>
      </w:r>
      <w:bookmarkEnd w:id="12"/>
      <w:r>
        <w:t xml:space="preserve"> 6</w:t>
      </w:r>
      <w:r>
        <w:tab/>
      </w:r>
      <w:r w:rsidRPr="00B06D1C">
        <w:t>Proposed MBS item descriptor – treatment/intraoperative procedure (radiology services)</w:t>
      </w:r>
      <w:bookmarkEnd w:id="13"/>
    </w:p>
    <w:tbl>
      <w:tblPr>
        <w:tblStyle w:val="TableGrid1"/>
        <w:tblW w:w="5000" w:type="pct"/>
        <w:tblLook w:val="04A0" w:firstRow="1" w:lastRow="0" w:firstColumn="1" w:lastColumn="0" w:noHBand="0" w:noVBand="1"/>
        <w:tblDescription w:val="Proposed MBS item descriptor – treatment/intraoperative procedure (radiology services)"/>
      </w:tblPr>
      <w:tblGrid>
        <w:gridCol w:w="9016"/>
      </w:tblGrid>
      <w:tr w:rsidR="00D36E24" w:rsidRPr="00D33FC3" w14:paraId="64018370"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5000" w:type="pct"/>
          </w:tcPr>
          <w:p w14:paraId="35499C64" w14:textId="77777777" w:rsidR="00D36E24" w:rsidRPr="00D33FC3" w:rsidRDefault="00D36E24" w:rsidP="009A745A">
            <w:pPr>
              <w:pStyle w:val="Tabletextright"/>
              <w:keepLines/>
              <w:rPr>
                <w:sz w:val="24"/>
              </w:rPr>
            </w:pPr>
            <w:r w:rsidRPr="00434FA3">
              <w:rPr>
                <w:lang w:eastAsia="en-AU"/>
              </w:rPr>
              <w:t>Category 3 – THERAPEUTIC PROCEDURES</w:t>
            </w:r>
          </w:p>
        </w:tc>
      </w:tr>
      <w:tr w:rsidR="00D36E24" w:rsidRPr="00C03585" w14:paraId="415D7C39" w14:textId="77777777" w:rsidTr="00DA2C15">
        <w:tc>
          <w:tcPr>
            <w:tcW w:w="5000" w:type="pct"/>
          </w:tcPr>
          <w:p w14:paraId="3FDF87C7" w14:textId="1BAB9065" w:rsidR="00D36E24" w:rsidRPr="00DF6882" w:rsidRDefault="00D36E24" w:rsidP="009A745A">
            <w:pPr>
              <w:pStyle w:val="Tabletext0"/>
              <w:keepNext/>
              <w:keepLines/>
              <w:rPr>
                <w:snapToGrid w:val="0"/>
              </w:rPr>
            </w:pPr>
            <w:r w:rsidRPr="00DF6882">
              <w:rPr>
                <w:snapToGrid w:val="0"/>
              </w:rPr>
              <w:t>MRI-GUIDED FOCUSED ULTRASOUND (unilateral), target localisation incorporating anatomical and physiological techniques, including intraoperative MRI imaging</w:t>
            </w:r>
          </w:p>
          <w:p w14:paraId="7D68B1E2" w14:textId="77777777" w:rsidR="00D36E24" w:rsidRPr="00DF6882" w:rsidRDefault="00D36E24" w:rsidP="0039787B">
            <w:pPr>
              <w:pStyle w:val="Tabletext0"/>
              <w:keepNext/>
              <w:keepLines/>
              <w:spacing w:before="240"/>
              <w:rPr>
                <w:snapToGrid w:val="0"/>
              </w:rPr>
            </w:pPr>
            <w:r w:rsidRPr="00DF6882">
              <w:rPr>
                <w:snapToGrid w:val="0"/>
              </w:rPr>
              <w:t>Multiple Operation Rule</w:t>
            </w:r>
          </w:p>
          <w:p w14:paraId="347D2E14" w14:textId="77777777" w:rsidR="00D36E24" w:rsidRPr="00DF6882" w:rsidRDefault="00D36E24" w:rsidP="009A745A">
            <w:pPr>
              <w:pStyle w:val="Tabletext0"/>
              <w:keepNext/>
              <w:keepLines/>
            </w:pPr>
            <w:r w:rsidRPr="00DF6882">
              <w:rPr>
                <w:snapToGrid w:val="0"/>
              </w:rPr>
              <w:t>(</w:t>
            </w:r>
            <w:proofErr w:type="spellStart"/>
            <w:r w:rsidRPr="00DF6882">
              <w:rPr>
                <w:snapToGrid w:val="0"/>
              </w:rPr>
              <w:t>Anaes</w:t>
            </w:r>
            <w:proofErr w:type="spellEnd"/>
            <w:r w:rsidRPr="00DF6882">
              <w:rPr>
                <w:snapToGrid w:val="0"/>
              </w:rPr>
              <w:t>.) (Assist.)</w:t>
            </w:r>
          </w:p>
        </w:tc>
      </w:tr>
      <w:tr w:rsidR="00D36E24" w:rsidRPr="00C03585" w14:paraId="79C59B9F" w14:textId="77777777" w:rsidTr="00DA2C15">
        <w:tc>
          <w:tcPr>
            <w:tcW w:w="5000" w:type="pct"/>
          </w:tcPr>
          <w:p w14:paraId="3A737112" w14:textId="77777777" w:rsidR="00D36E24" w:rsidRDefault="00D36E24" w:rsidP="009A745A">
            <w:pPr>
              <w:pStyle w:val="Tabletext0"/>
              <w:keepNext/>
              <w:keepLines/>
              <w:rPr>
                <w:sz w:val="24"/>
              </w:rPr>
            </w:pPr>
            <w:r w:rsidRPr="00C03585">
              <w:t xml:space="preserve">Fee: </w:t>
            </w:r>
            <w:r w:rsidRPr="00434FA3">
              <w:t>$806.40 Benefit: 75% = $604.80 85% = $685.44</w:t>
            </w:r>
          </w:p>
        </w:tc>
      </w:tr>
    </w:tbl>
    <w:p w14:paraId="2CF02C08" w14:textId="77777777" w:rsidR="00D36E24" w:rsidRDefault="00D36E24" w:rsidP="00D36E24">
      <w:pPr>
        <w:pStyle w:val="TableNote"/>
      </w:pPr>
      <w:r>
        <w:t xml:space="preserve">Source: </w:t>
      </w:r>
      <w:r w:rsidRPr="00C03585">
        <w:t>Table</w:t>
      </w:r>
      <w:r>
        <w:t xml:space="preserve"> 8</w:t>
      </w:r>
      <w:r w:rsidRPr="00C03585">
        <w:t>, pp</w:t>
      </w:r>
      <w:r>
        <w:t xml:space="preserve"> 38-39 </w:t>
      </w:r>
      <w:r w:rsidRPr="00C03585">
        <w:t xml:space="preserve">of the </w:t>
      </w:r>
      <w:r>
        <w:t>ADAR</w:t>
      </w:r>
    </w:p>
    <w:p w14:paraId="14D5FFC2" w14:textId="77777777" w:rsidR="00D36E24" w:rsidRPr="00EE6031" w:rsidRDefault="00D36E24" w:rsidP="00D36E24">
      <w:pPr>
        <w:pStyle w:val="Caption"/>
        <w:keepLines/>
      </w:pPr>
      <w:bookmarkStart w:id="14" w:name="_Ref57803833"/>
      <w:bookmarkStart w:id="15" w:name="_Toc60942829"/>
      <w:r>
        <w:t xml:space="preserve">Table </w:t>
      </w:r>
      <w:bookmarkEnd w:id="14"/>
      <w:r>
        <w:t>7</w:t>
      </w:r>
      <w:r>
        <w:rPr>
          <w:noProof/>
        </w:rPr>
        <w:tab/>
      </w:r>
      <w:r w:rsidRPr="00EE6031">
        <w:t>Proposed MBS item descriptor – post-surgical treatment assessment</w:t>
      </w:r>
      <w:bookmarkEnd w:id="15"/>
    </w:p>
    <w:tbl>
      <w:tblPr>
        <w:tblStyle w:val="TableGrid1"/>
        <w:tblW w:w="5000" w:type="pct"/>
        <w:tblLook w:val="04A0" w:firstRow="1" w:lastRow="0" w:firstColumn="1" w:lastColumn="0" w:noHBand="0" w:noVBand="1"/>
        <w:tblDescription w:val="Proposed MBS item descriptor – post-surgical treatment assessment"/>
      </w:tblPr>
      <w:tblGrid>
        <w:gridCol w:w="9016"/>
      </w:tblGrid>
      <w:tr w:rsidR="00D36E24" w:rsidRPr="00D33FC3" w14:paraId="46D5CAF6"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5000" w:type="pct"/>
          </w:tcPr>
          <w:p w14:paraId="70C16893" w14:textId="77777777" w:rsidR="00D36E24" w:rsidRPr="00D33FC3" w:rsidRDefault="00D36E24" w:rsidP="009A745A">
            <w:pPr>
              <w:pStyle w:val="Tabletextright"/>
              <w:keepLines/>
              <w:rPr>
                <w:sz w:val="24"/>
              </w:rPr>
            </w:pPr>
            <w:r w:rsidRPr="00434FA3">
              <w:rPr>
                <w:lang w:eastAsia="en-AU"/>
              </w:rPr>
              <w:t>Category 3 – THERAPEUTIC PROCEDURES</w:t>
            </w:r>
          </w:p>
        </w:tc>
      </w:tr>
      <w:tr w:rsidR="00D36E24" w:rsidRPr="00C03585" w14:paraId="1253E90C" w14:textId="77777777" w:rsidTr="00DA2C15">
        <w:tc>
          <w:tcPr>
            <w:tcW w:w="5000" w:type="pct"/>
          </w:tcPr>
          <w:p w14:paraId="12D80714" w14:textId="77777777" w:rsidR="00D36E24" w:rsidRPr="00DF6882" w:rsidRDefault="00D36E24" w:rsidP="009A745A">
            <w:pPr>
              <w:pStyle w:val="Tabletext0"/>
              <w:keepNext/>
              <w:keepLines/>
              <w:rPr>
                <w:snapToGrid w:val="0"/>
              </w:rPr>
            </w:pPr>
            <w:r w:rsidRPr="00DF6882">
              <w:rPr>
                <w:snapToGrid w:val="0"/>
              </w:rP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45175EF2" w14:textId="7F73E36B" w:rsidR="00D36E24" w:rsidRPr="00DF6882" w:rsidRDefault="00D36E24" w:rsidP="009A745A">
            <w:pPr>
              <w:pStyle w:val="Tabletext0"/>
              <w:keepNext/>
              <w:keepLines/>
              <w:rPr>
                <w:snapToGrid w:val="0"/>
              </w:rPr>
            </w:pPr>
            <w:r w:rsidRPr="00DF6882">
              <w:rPr>
                <w:snapToGrid w:val="0"/>
              </w:rPr>
              <w:t>- assessment of treatment outcomes following MRI-guided focused ultrasound procedure</w:t>
            </w:r>
          </w:p>
          <w:p w14:paraId="2CA25091" w14:textId="77777777" w:rsidR="00D36E24" w:rsidRPr="00DF6882" w:rsidRDefault="00D36E24" w:rsidP="0039787B">
            <w:pPr>
              <w:pStyle w:val="Tabletext0"/>
              <w:keepNext/>
              <w:keepLines/>
              <w:spacing w:before="240"/>
              <w:rPr>
                <w:snapToGrid w:val="0"/>
              </w:rPr>
            </w:pPr>
            <w:r w:rsidRPr="00DF6882">
              <w:rPr>
                <w:snapToGrid w:val="0"/>
              </w:rPr>
              <w:t>Bulk bill incentive</w:t>
            </w:r>
          </w:p>
          <w:p w14:paraId="69F99EAB" w14:textId="77777777" w:rsidR="00D36E24" w:rsidRPr="00DF6882" w:rsidRDefault="00D36E24" w:rsidP="009A745A">
            <w:pPr>
              <w:pStyle w:val="Tabletext0"/>
              <w:keepNext/>
              <w:keepLines/>
              <w:rPr>
                <w:snapToGrid w:val="0"/>
              </w:rPr>
            </w:pPr>
            <w:r w:rsidRPr="00DF6882">
              <w:rPr>
                <w:snapToGrid w:val="0"/>
              </w:rPr>
              <w:t>(</w:t>
            </w:r>
            <w:proofErr w:type="spellStart"/>
            <w:r w:rsidRPr="00DF6882">
              <w:rPr>
                <w:snapToGrid w:val="0"/>
              </w:rPr>
              <w:t>Anaes</w:t>
            </w:r>
            <w:proofErr w:type="spellEnd"/>
            <w:r w:rsidRPr="00DF6882">
              <w:rPr>
                <w:snapToGrid w:val="0"/>
              </w:rPr>
              <w:t>.)</w:t>
            </w:r>
          </w:p>
          <w:p w14:paraId="2848F7B7" w14:textId="77777777" w:rsidR="00D36E24" w:rsidRPr="00DF6882" w:rsidRDefault="00D36E24" w:rsidP="009A745A">
            <w:pPr>
              <w:pStyle w:val="Tabletext0"/>
              <w:keepNext/>
              <w:keepLines/>
              <w:rPr>
                <w:snapToGrid w:val="0"/>
              </w:rPr>
            </w:pPr>
            <w:r w:rsidRPr="00DF6882">
              <w:rPr>
                <w:snapToGrid w:val="0"/>
              </w:rPr>
              <w:t>Claimable only once per patient per procedure</w:t>
            </w:r>
          </w:p>
        </w:tc>
      </w:tr>
      <w:tr w:rsidR="00D36E24" w:rsidRPr="00C03585" w14:paraId="43D31BAF" w14:textId="77777777" w:rsidTr="00DA2C15">
        <w:tc>
          <w:tcPr>
            <w:tcW w:w="5000" w:type="pct"/>
          </w:tcPr>
          <w:p w14:paraId="3820225D" w14:textId="77777777" w:rsidR="00D36E24" w:rsidRDefault="00D36E24" w:rsidP="009A745A">
            <w:pPr>
              <w:pStyle w:val="Tabletext0"/>
              <w:keepNext/>
              <w:keepLines/>
              <w:rPr>
                <w:sz w:val="24"/>
              </w:rPr>
            </w:pPr>
            <w:r w:rsidRPr="00C03585">
              <w:t xml:space="preserve">Fee: </w:t>
            </w:r>
            <w:r w:rsidRPr="00DF6882">
              <w:rPr>
                <w:snapToGrid w:val="0"/>
              </w:rPr>
              <w:t>$403.20 Benefit: 75% = $302.40 85% = $342.75</w:t>
            </w:r>
          </w:p>
        </w:tc>
      </w:tr>
    </w:tbl>
    <w:p w14:paraId="14D9D082" w14:textId="77777777" w:rsidR="00D36E24" w:rsidRDefault="00D36E24" w:rsidP="00007EC5">
      <w:pPr>
        <w:pStyle w:val="TableNote"/>
        <w:spacing w:after="240"/>
      </w:pPr>
      <w:r>
        <w:t xml:space="preserve">Source: </w:t>
      </w:r>
      <w:r w:rsidRPr="00C03585">
        <w:t>Table</w:t>
      </w:r>
      <w:r>
        <w:t xml:space="preserve"> 8</w:t>
      </w:r>
      <w:r w:rsidRPr="00C03585">
        <w:t>, pp</w:t>
      </w:r>
      <w:r>
        <w:t xml:space="preserve"> 38-39 </w:t>
      </w:r>
      <w:r w:rsidRPr="00C03585">
        <w:t xml:space="preserve">of the </w:t>
      </w:r>
      <w:r>
        <w:t>ADAR</w:t>
      </w:r>
    </w:p>
    <w:p w14:paraId="0320CD18" w14:textId="501E8753" w:rsidR="00D36E24" w:rsidRDefault="00D36E24" w:rsidP="00D36E24">
      <w:r>
        <w:t xml:space="preserve">In the Ratified PICO, proposed MBS items for the treatment/intraoperative procedure (listed above in Table 4, Table 5 and Table 6) include a note that the item is “Claimable only once per patient per lifetime”. The applicant decided to remove this note from the proposed listing as they disagreed with the PASC, </w:t>
      </w:r>
      <w:r w:rsidRPr="00DC45B9">
        <w:t>thus allowing re-treatment or contralateral treatment.</w:t>
      </w:r>
      <w:r>
        <w:t xml:space="preserve"> In the pre-ESC response, the applicant consulted with </w:t>
      </w:r>
      <w:r w:rsidR="00207A19">
        <w:t xml:space="preserve">a clinical </w:t>
      </w:r>
      <w:r>
        <w:t xml:space="preserve">expert advising that explicitly mandating against retreatment unnecessarily removes the autonomy of the treating </w:t>
      </w:r>
      <w:proofErr w:type="gramStart"/>
      <w:r>
        <w:t>physician, and</w:t>
      </w:r>
      <w:proofErr w:type="gramEnd"/>
      <w:r>
        <w:t xml:space="preserve"> provided the reasons why retreatment may be clinically appropriate.</w:t>
      </w:r>
    </w:p>
    <w:p w14:paraId="78709735" w14:textId="6D92A238" w:rsidR="00D36E24" w:rsidRDefault="00D36E24" w:rsidP="0039787B">
      <w:pPr>
        <w:spacing w:before="240"/>
      </w:pPr>
      <w:r>
        <w:t xml:space="preserve">The commentary noted that the item fee for pre-surgical planning as proposed in the ADAR (Table </w:t>
      </w:r>
      <w:r w:rsidR="00207A19">
        <w:t>3)</w:t>
      </w:r>
      <w:r>
        <w:t xml:space="preserve"> </w:t>
      </w:r>
      <w:r w:rsidR="00207A19">
        <w:t xml:space="preserve">is </w:t>
      </w:r>
      <w:r>
        <w:t xml:space="preserve">different from the fee proposed in the Ratified PICO (see Note to Table 3; </w:t>
      </w:r>
      <w:r>
        <w:lastRenderedPageBreak/>
        <w:t xml:space="preserve">proposed fee </w:t>
      </w:r>
      <w:r w:rsidRPr="00C603C3">
        <w:t>$994.60</w:t>
      </w:r>
      <w:r>
        <w:t xml:space="preserve"> </w:t>
      </w:r>
      <w:r w:rsidRPr="0029737B">
        <w:rPr>
          <w:i/>
        </w:rPr>
        <w:t>vs.</w:t>
      </w:r>
      <w:r>
        <w:t xml:space="preserve"> $336.00). There is also a difference in the </w:t>
      </w:r>
      <w:r w:rsidR="00207A19">
        <w:t xml:space="preserve">descriptor </w:t>
      </w:r>
      <w:r>
        <w:t>wording of the MBS item</w:t>
      </w:r>
      <w:r w:rsidRPr="00B66D75">
        <w:t xml:space="preserve"> </w:t>
      </w:r>
      <w:r>
        <w:t>proposed in the ADAR compared to the Ratified PICO. The item proposed in the ADAR lists a “stereotactic scan of brain, with frame in place; computerised planning and target verification”, instead of “stereotactic scan of brain, with fiducials in place” (item 63010 and Ratified PICO proposal).</w:t>
      </w:r>
    </w:p>
    <w:p w14:paraId="675E6ADE" w14:textId="2C97C9A4" w:rsidR="00D36E24" w:rsidRDefault="00D36E24" w:rsidP="0039787B">
      <w:pPr>
        <w:spacing w:before="240"/>
      </w:pPr>
      <w:r>
        <w:t xml:space="preserve">In the pre-ESC response, the applicant indicated that the </w:t>
      </w:r>
      <w:r w:rsidRPr="0044682F">
        <w:t xml:space="preserve">discrepancy is a result of a misunderstanding of the requirements for each stage of the procedure in the PICO. It was mistakenly understood that the first MRI was the planning stage which was later found to be an assessment of suitability for </w:t>
      </w:r>
      <w:proofErr w:type="spellStart"/>
      <w:r w:rsidRPr="0044682F">
        <w:t>MRgFUS</w:t>
      </w:r>
      <w:proofErr w:type="spellEnd"/>
      <w:r w:rsidRPr="0044682F">
        <w:t>. The second imaging stage was initially thought to be a “stereotactic scan of brain, with fiducials in place</w:t>
      </w:r>
      <w:r>
        <w:t>”</w:t>
      </w:r>
      <w:r w:rsidRPr="0044682F">
        <w:t xml:space="preserve"> (as per the PICO) however, following further communication with clinical experts, it was understood that this </w:t>
      </w:r>
      <w:r>
        <w:t xml:space="preserve">service also </w:t>
      </w:r>
      <w:r w:rsidRPr="0044682F">
        <w:t>require</w:t>
      </w:r>
      <w:r>
        <w:t>s</w:t>
      </w:r>
      <w:r w:rsidRPr="0044682F">
        <w:t xml:space="preserve"> a computerised planning component which requires greater time. The increase in cost reflects this</w:t>
      </w:r>
      <w:r>
        <w:t xml:space="preserve"> greater planning time</w:t>
      </w:r>
      <w:r w:rsidRPr="0044682F">
        <w:t>.</w:t>
      </w:r>
    </w:p>
    <w:p w14:paraId="4AD69D9E" w14:textId="01863270" w:rsidR="00D36E24" w:rsidRDefault="00D36E24" w:rsidP="0039787B">
      <w:pPr>
        <w:spacing w:before="240"/>
      </w:pPr>
      <w:r w:rsidRPr="0044682F">
        <w:t xml:space="preserve">The additional cost of $658 for the planning component of this service was based on MBS item 40800 which was discontinued shortly after the ADAR was lodged. Nevertheless, the fee for the </w:t>
      </w:r>
      <w:proofErr w:type="gramStart"/>
      <w:r w:rsidRPr="0044682F">
        <w:t>40800 item</w:t>
      </w:r>
      <w:proofErr w:type="gramEnd"/>
      <w:r w:rsidRPr="0044682F">
        <w:t xml:space="preserve"> number was only used as a benchmark for the expertise and intensity of the service required for the purposes of estimating a reasonable MBS fee.</w:t>
      </w:r>
    </w:p>
    <w:p w14:paraId="2669A5E5" w14:textId="77777777" w:rsidR="00BC1364" w:rsidRPr="00F715D1" w:rsidRDefault="00BC1364" w:rsidP="00F715D1">
      <w:pPr>
        <w:pStyle w:val="Heading1"/>
      </w:pPr>
      <w:r w:rsidRPr="00F715D1">
        <w:t>Proposed intervention’s place in clinical management</w:t>
      </w:r>
    </w:p>
    <w:p w14:paraId="3E0E0075" w14:textId="77777777" w:rsidR="00CF4E81" w:rsidRDefault="00CF4E81" w:rsidP="00F715D1">
      <w:pPr>
        <w:spacing w:after="240"/>
        <w:rPr>
          <w:b/>
          <w:szCs w:val="24"/>
        </w:rPr>
      </w:pPr>
      <w:r w:rsidRPr="00CF4E81">
        <w:rPr>
          <w:b/>
          <w:szCs w:val="24"/>
        </w:rPr>
        <w:t>Description of Proposed Intervention</w:t>
      </w:r>
    </w:p>
    <w:p w14:paraId="3A34602C" w14:textId="77777777" w:rsidR="00D36E24" w:rsidRPr="00D36E24" w:rsidRDefault="00D36E24" w:rsidP="003A1976">
      <w:proofErr w:type="spellStart"/>
      <w:r w:rsidRPr="003353DC">
        <w:t>MRgFUS</w:t>
      </w:r>
      <w:proofErr w:type="spellEnd"/>
      <w:r w:rsidRPr="003353DC">
        <w:t xml:space="preserve"> is a method of targeted tissue thermal ablation used to treat medically refractory ET. The ablation target is the ventral intermediate nucleus (Vim) of the thalamus. Magnetic resonance imaging (MRI) provides detailed images of the brain in real time during the surgery and permits precise localisation and real-time monitoring of the targeted tissue to prevent collateral damage to surrounding healthy tissue. A high-intensity focused ultrasound transducer allows for ultrasound beam steering and focusing without attenuation. Ultrasound waves interact with biological tissue and produce a variety of effects including acoustic cavitation, shear stress, and thermal effect through a vibration of molecules, which in turn generate frictional heat. Protein denaturation or coagulative necrosis occur in the cells. The delivery of the thermal ablation is done through an intact skull, without the need for incision or craniotomy</w:t>
      </w:r>
      <w:r>
        <w:t>.</w:t>
      </w:r>
    </w:p>
    <w:p w14:paraId="4F3EBD23" w14:textId="77F621A6" w:rsidR="00CF4E81" w:rsidRPr="00CF4E81" w:rsidRDefault="00CF4E81" w:rsidP="0039787B">
      <w:pPr>
        <w:autoSpaceDE w:val="0"/>
        <w:autoSpaceDN w:val="0"/>
        <w:adjustRightInd w:val="0"/>
        <w:spacing w:before="240"/>
        <w:rPr>
          <w:b/>
        </w:rPr>
      </w:pPr>
      <w:r w:rsidRPr="00CF4E81">
        <w:rPr>
          <w:b/>
        </w:rPr>
        <w:t>Description of Medical Condition(s)</w:t>
      </w:r>
    </w:p>
    <w:p w14:paraId="553951F5" w14:textId="1E7C1E22" w:rsidR="0039787B" w:rsidRDefault="00D36E24" w:rsidP="0039787B">
      <w:pPr>
        <w:spacing w:before="240"/>
      </w:pPr>
      <w:r>
        <w:t>T</w:t>
      </w:r>
      <w:r w:rsidRPr="00F45A47">
        <w:t xml:space="preserve">he proposed population for treatment with </w:t>
      </w:r>
      <w:proofErr w:type="spellStart"/>
      <w:r w:rsidRPr="00F45A47">
        <w:t>MRgFUS</w:t>
      </w:r>
      <w:proofErr w:type="spellEnd"/>
      <w:r w:rsidRPr="00F45A47">
        <w:t xml:space="preserve"> </w:t>
      </w:r>
      <w:proofErr w:type="gramStart"/>
      <w:r>
        <w:t>are</w:t>
      </w:r>
      <w:proofErr w:type="gramEnd"/>
      <w:r>
        <w:t xml:space="preserve"> a</w:t>
      </w:r>
      <w:r w:rsidRPr="00F45A47">
        <w:t xml:space="preserve">dults with medically refractory </w:t>
      </w:r>
      <w:r>
        <w:t>ET</w:t>
      </w:r>
      <w:r w:rsidRPr="00F45A47">
        <w:t xml:space="preserve"> and symptoms causing severe disability.</w:t>
      </w:r>
      <w:r>
        <w:t xml:space="preserve"> P</w:t>
      </w:r>
      <w:r w:rsidRPr="00F45A47">
        <w:t>atients are required to be under the care of a neurologist</w:t>
      </w:r>
      <w:r>
        <w:t>,</w:t>
      </w:r>
      <w:r w:rsidRPr="00F45A47">
        <w:t xml:space="preserve"> with disability defined as either functional or social</w:t>
      </w:r>
      <w:r>
        <w:t xml:space="preserve">. </w:t>
      </w:r>
      <w:proofErr w:type="spellStart"/>
      <w:r>
        <w:t>MRgFUS</w:t>
      </w:r>
      <w:proofErr w:type="spellEnd"/>
      <w:r>
        <w:t xml:space="preserve"> is proposed only for patients where the primary cause of tremor is ET, i.e. excluding Parkinson’s disease and dystonia. It is proposed that medically refractory be defined as failure to derive adequate benefit from pharmacological treatment (first-line treatment: propranolol or primidone; gabapentin, alprazolam and topiramate available where first-line drugs are contraindicated or not tolerated). The Commentary noted that </w:t>
      </w:r>
      <w:r w:rsidRPr="00886627">
        <w:t xml:space="preserve">the definition of “adequate benefit” has neither been defined in the ADAR nor the Ratified PICO and PASC has previously queried whether ‘medically refractory’ should be defined in the proposed population and what duration is required before a patient is </w:t>
      </w:r>
      <w:r>
        <w:t>considered medically failed (</w:t>
      </w:r>
      <w:hyperlink r:id="rId9" w:history="1">
        <w:r w:rsidRPr="00886627">
          <w:rPr>
            <w:rStyle w:val="Hyperlink"/>
          </w:rPr>
          <w:t>1614 Ratified PICO Confirmation</w:t>
        </w:r>
      </w:hyperlink>
      <w:r>
        <w:t>, p5</w:t>
      </w:r>
      <w:r w:rsidRPr="00886627">
        <w:t>).</w:t>
      </w:r>
      <w:r w:rsidR="0039787B">
        <w:br w:type="page"/>
      </w:r>
    </w:p>
    <w:p w14:paraId="70549540" w14:textId="67BCE8BC" w:rsidR="00411BC4" w:rsidRPr="00411BC4" w:rsidRDefault="00411BC4" w:rsidP="0039787B">
      <w:pPr>
        <w:spacing w:before="240"/>
        <w:rPr>
          <w:b/>
        </w:rPr>
      </w:pPr>
      <w:r w:rsidRPr="00411BC4">
        <w:rPr>
          <w:b/>
        </w:rPr>
        <w:lastRenderedPageBreak/>
        <w:t>Clinical Place</w:t>
      </w:r>
    </w:p>
    <w:p w14:paraId="31365E5C" w14:textId="09FA8FCE" w:rsidR="00D36E24" w:rsidRDefault="00D36E24" w:rsidP="0039787B">
      <w:pPr>
        <w:spacing w:before="240" w:after="240"/>
      </w:pPr>
      <w:r w:rsidRPr="00036585">
        <w:t xml:space="preserve">The clinical management algorithm for patients with ET that depicts the intended use and positioning of </w:t>
      </w:r>
      <w:proofErr w:type="spellStart"/>
      <w:r w:rsidRPr="00036585">
        <w:t>MRgFUS</w:t>
      </w:r>
      <w:proofErr w:type="spellEnd"/>
      <w:r w:rsidRPr="00036585">
        <w:t xml:space="preserve"> following a listing on the MBS is provided in</w:t>
      </w:r>
      <w:r>
        <w:t xml:space="preserve"> Figure 1. </w:t>
      </w:r>
      <w:proofErr w:type="spellStart"/>
      <w:r w:rsidRPr="001C622E">
        <w:t>MRgFUS</w:t>
      </w:r>
      <w:proofErr w:type="spellEnd"/>
      <w:r w:rsidRPr="001C622E">
        <w:t xml:space="preserve"> is carried out as an in-patient procedure and requires an overnight hospitalisation.</w:t>
      </w:r>
      <w:r>
        <w:t xml:space="preserve"> The ADAR noted that </w:t>
      </w:r>
      <w:proofErr w:type="spellStart"/>
      <w:r w:rsidRPr="003E511C">
        <w:t>MRgFUS</w:t>
      </w:r>
      <w:proofErr w:type="spellEnd"/>
      <w:r w:rsidRPr="003E511C">
        <w:t xml:space="preserve"> is positioned in line with DBS and BSC, offering a treatment alternative to patients unwilling to accept the risks associated with DBS or are contraindicated for the procedure, as per the nominated comparators. Patients experiencing tremor recurrence following </w:t>
      </w:r>
      <w:proofErr w:type="spellStart"/>
      <w:r w:rsidRPr="003E511C">
        <w:t>MRgFUS</w:t>
      </w:r>
      <w:proofErr w:type="spellEnd"/>
      <w:r w:rsidRPr="003E511C">
        <w:t xml:space="preserve"> or DBS may seek further treatment depending on the severity of the tremor. These patients may undergo a (further) </w:t>
      </w:r>
      <w:proofErr w:type="spellStart"/>
      <w:r w:rsidRPr="003E511C">
        <w:t>MRgFUS</w:t>
      </w:r>
      <w:proofErr w:type="spellEnd"/>
      <w:r w:rsidRPr="003E511C">
        <w:t xml:space="preserve"> procedure, elect to undergo DBS or remain on BSC.</w:t>
      </w:r>
    </w:p>
    <w:p w14:paraId="0DCECFDC" w14:textId="77777777" w:rsidR="00D36E24" w:rsidRDefault="00D36E24" w:rsidP="00D36E24">
      <w:pPr>
        <w:keepNext/>
        <w:jc w:val="center"/>
      </w:pPr>
      <w:r>
        <w:rPr>
          <w:noProof/>
        </w:rPr>
        <w:drawing>
          <wp:inline distT="0" distB="0" distL="0" distR="0" wp14:anchorId="45FABF65" wp14:editId="3F8D6E97">
            <wp:extent cx="4046045" cy="5447694"/>
            <wp:effectExtent l="0" t="0" r="0" b="635"/>
            <wp:docPr id="33" name="Picture 33" descr="Figure 1 Clinical management algorithm for MRgFUS relative to current 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1 Clinical management algorithm for MRgFUS relative to current clinical practice"/>
                    <pic:cNvPicPr/>
                  </pic:nvPicPr>
                  <pic:blipFill>
                    <a:blip r:embed="rId10">
                      <a:extLst>
                        <a:ext uri="{28A0092B-C50C-407E-A947-70E740481C1C}">
                          <a14:useLocalDpi xmlns:a14="http://schemas.microsoft.com/office/drawing/2010/main" val="0"/>
                        </a:ext>
                      </a:extLst>
                    </a:blip>
                    <a:stretch>
                      <a:fillRect/>
                    </a:stretch>
                  </pic:blipFill>
                  <pic:spPr>
                    <a:xfrm>
                      <a:off x="0" y="0"/>
                      <a:ext cx="4046045" cy="5447694"/>
                    </a:xfrm>
                    <a:prstGeom prst="rect">
                      <a:avLst/>
                    </a:prstGeom>
                  </pic:spPr>
                </pic:pic>
              </a:graphicData>
            </a:graphic>
          </wp:inline>
        </w:drawing>
      </w:r>
    </w:p>
    <w:p w14:paraId="5208D5A1" w14:textId="77777777" w:rsidR="00D36E24" w:rsidRDefault="00D36E24" w:rsidP="00D36E24">
      <w:pPr>
        <w:pStyle w:val="Caption"/>
      </w:pPr>
      <w:bookmarkStart w:id="16" w:name="_Ref379455005"/>
      <w:bookmarkStart w:id="17" w:name="_Ref379454995"/>
      <w:bookmarkStart w:id="18" w:name="_Toc381969891"/>
      <w:bookmarkStart w:id="19" w:name="_Toc52877786"/>
      <w:bookmarkStart w:id="20" w:name="_Toc60942882"/>
      <w:r>
        <w:t>Figure</w:t>
      </w:r>
      <w:bookmarkEnd w:id="16"/>
      <w:r>
        <w:t xml:space="preserve"> 1</w:t>
      </w:r>
      <w:r>
        <w:tab/>
        <w:t xml:space="preserve">Clinical management algorithm for </w:t>
      </w:r>
      <w:bookmarkEnd w:id="17"/>
      <w:bookmarkEnd w:id="18"/>
      <w:proofErr w:type="spellStart"/>
      <w:r>
        <w:t>MRgFUS</w:t>
      </w:r>
      <w:proofErr w:type="spellEnd"/>
      <w:r>
        <w:t xml:space="preserve"> relative to current clinical practice</w:t>
      </w:r>
      <w:bookmarkEnd w:id="19"/>
      <w:bookmarkEnd w:id="20"/>
      <w:r>
        <w:t xml:space="preserve"> </w:t>
      </w:r>
      <w:r w:rsidRPr="003E511C">
        <w:rPr>
          <w:color w:val="FF0000"/>
        </w:rPr>
        <w:t>(proposed service in red)</w:t>
      </w:r>
    </w:p>
    <w:p w14:paraId="37F86FDC" w14:textId="77777777" w:rsidR="00D36E24" w:rsidRDefault="00D36E24" w:rsidP="00D36E24">
      <w:pPr>
        <w:pStyle w:val="TableNote"/>
        <w:rPr>
          <w:vertAlign w:val="superscript"/>
        </w:rPr>
      </w:pPr>
      <w:r>
        <w:t>Source: Figure 3</w:t>
      </w:r>
      <w:r w:rsidRPr="00C03585">
        <w:t xml:space="preserve">, </w:t>
      </w:r>
      <w:r>
        <w:t xml:space="preserve">p 48 </w:t>
      </w:r>
      <w:r w:rsidRPr="00C03585">
        <w:t xml:space="preserve">of the </w:t>
      </w:r>
      <w:r>
        <w:t>ADAR</w:t>
      </w:r>
      <w:r w:rsidRPr="004F5A60">
        <w:rPr>
          <w:vertAlign w:val="superscript"/>
        </w:rPr>
        <w:t xml:space="preserve"> </w:t>
      </w:r>
    </w:p>
    <w:p w14:paraId="50E813C0" w14:textId="77777777" w:rsidR="00D36E24" w:rsidRDefault="00D36E24" w:rsidP="00D36E24">
      <w:pPr>
        <w:pStyle w:val="TableNote"/>
      </w:pPr>
      <w:r>
        <w:t>Abbrevations: BSC, best supportive care; DBS, deep brain stimulation; ET, Essential tremor; MRgFUS, magnetic resonance-guided focused ultrasound</w:t>
      </w:r>
    </w:p>
    <w:p w14:paraId="724A9BDE" w14:textId="77777777" w:rsidR="00D36E24" w:rsidRDefault="00D36E24" w:rsidP="00D36E24">
      <w:pPr>
        <w:pStyle w:val="TableNote"/>
      </w:pPr>
      <w:r w:rsidRPr="001C622E">
        <w:rPr>
          <w:vertAlign w:val="superscript"/>
        </w:rPr>
        <w:t>a</w:t>
      </w:r>
      <w:r>
        <w:t xml:space="preserve"> In those unwilling to accept the risks associated with DBS or are contraindicated for the procedure</w:t>
      </w:r>
    </w:p>
    <w:p w14:paraId="334A7BCD" w14:textId="77777777" w:rsidR="00D36E24" w:rsidRDefault="00D36E24" w:rsidP="00D36E24">
      <w:pPr>
        <w:pStyle w:val="TableNote"/>
      </w:pPr>
      <w:r w:rsidRPr="001C622E">
        <w:rPr>
          <w:vertAlign w:val="superscript"/>
        </w:rPr>
        <w:t>b</w:t>
      </w:r>
      <w:r>
        <w:t xml:space="preserve"> In Australian clinical practice currently, MRgFUS is provided as unilateral treatment. The application form stated that treatment of the contralateral side may be performed after a minimum of 6-12 months</w:t>
      </w:r>
    </w:p>
    <w:p w14:paraId="4B7C2D88" w14:textId="77777777" w:rsidR="00D36E24" w:rsidRDefault="00D36E24" w:rsidP="00D36E24">
      <w:pPr>
        <w:pStyle w:val="TableNote"/>
      </w:pPr>
      <w:r w:rsidRPr="001C622E">
        <w:rPr>
          <w:vertAlign w:val="superscript"/>
        </w:rPr>
        <w:t>c</w:t>
      </w:r>
      <w:r>
        <w:t xml:space="preserve"> See Figure 2 for further detail on the pre- and post-procedure imaging workup required in the MRgFUS clinical pathway</w:t>
      </w:r>
    </w:p>
    <w:p w14:paraId="68AEB18D" w14:textId="2CDAEF81" w:rsidR="00D36E24" w:rsidRDefault="00D36E24" w:rsidP="00D36E24">
      <w:pPr>
        <w:pStyle w:val="TableNote"/>
        <w:keepLines w:val="0"/>
      </w:pPr>
      <w:r w:rsidRPr="001C622E">
        <w:rPr>
          <w:vertAlign w:val="superscript"/>
        </w:rPr>
        <w:t>d</w:t>
      </w:r>
      <w:r>
        <w:t xml:space="preserve"> The Ontario HTA 2018 stated that according to the literature and clinical expert opinion tremor recurrence can nearly always be controlled by adjusting the stimulation level of the device (reprogramming) and therefore does not require reoperation</w:t>
      </w:r>
    </w:p>
    <w:p w14:paraId="3B319777" w14:textId="0EF47A57" w:rsidR="00D36E24" w:rsidRDefault="00D36E24" w:rsidP="0039787B">
      <w:pPr>
        <w:spacing w:after="240"/>
      </w:pPr>
      <w:r>
        <w:lastRenderedPageBreak/>
        <w:t xml:space="preserve">To provide further detail in the </w:t>
      </w:r>
      <w:proofErr w:type="spellStart"/>
      <w:r>
        <w:t>MRgFUS</w:t>
      </w:r>
      <w:proofErr w:type="spellEnd"/>
      <w:r>
        <w:t xml:space="preserve"> clinical pathway, the ADAR provided a supplementary algorithm to </w:t>
      </w:r>
      <w:bookmarkStart w:id="21" w:name="_Hlk59117863"/>
      <w:r>
        <w:t>detail the pre- and post-procedure imaging workup required, at PASC’s request</w:t>
      </w:r>
      <w:bookmarkEnd w:id="21"/>
      <w:r>
        <w:t xml:space="preserve"> (Figure 2).</w:t>
      </w:r>
      <w:bookmarkStart w:id="22" w:name="_Ref48591788"/>
    </w:p>
    <w:p w14:paraId="788C96A8" w14:textId="77777777" w:rsidR="00D36E24" w:rsidRDefault="00D36E24" w:rsidP="00D36E24">
      <w:pPr>
        <w:jc w:val="center"/>
      </w:pPr>
      <w:r>
        <w:rPr>
          <w:noProof/>
        </w:rPr>
        <w:drawing>
          <wp:inline distT="0" distB="0" distL="0" distR="0" wp14:anchorId="3A955203" wp14:editId="0D781DE7">
            <wp:extent cx="4460170" cy="2586251"/>
            <wp:effectExtent l="0" t="0" r="0" b="5080"/>
            <wp:docPr id="34" name="Picture 34" descr="Figure 2 MRgFUS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Figure 2 MRgFUS clinical pathway"/>
                    <pic:cNvPicPr/>
                  </pic:nvPicPr>
                  <pic:blipFill>
                    <a:blip r:embed="rId11">
                      <a:extLst>
                        <a:ext uri="{28A0092B-C50C-407E-A947-70E740481C1C}">
                          <a14:useLocalDpi xmlns:a14="http://schemas.microsoft.com/office/drawing/2010/main" val="0"/>
                        </a:ext>
                      </a:extLst>
                    </a:blip>
                    <a:stretch>
                      <a:fillRect/>
                    </a:stretch>
                  </pic:blipFill>
                  <pic:spPr>
                    <a:xfrm>
                      <a:off x="0" y="0"/>
                      <a:ext cx="4460170" cy="2586251"/>
                    </a:xfrm>
                    <a:prstGeom prst="rect">
                      <a:avLst/>
                    </a:prstGeom>
                  </pic:spPr>
                </pic:pic>
              </a:graphicData>
            </a:graphic>
          </wp:inline>
        </w:drawing>
      </w:r>
    </w:p>
    <w:p w14:paraId="447C907C" w14:textId="77777777" w:rsidR="00D36E24" w:rsidRDefault="00D36E24" w:rsidP="00D36E24">
      <w:pPr>
        <w:pStyle w:val="Caption"/>
      </w:pPr>
      <w:bookmarkStart w:id="23" w:name="_Ref52303345"/>
      <w:bookmarkStart w:id="24" w:name="_Toc52877787"/>
      <w:bookmarkStart w:id="25" w:name="_Toc60942883"/>
      <w:r>
        <w:t>Figure</w:t>
      </w:r>
      <w:bookmarkEnd w:id="22"/>
      <w:bookmarkEnd w:id="23"/>
      <w:r>
        <w:t xml:space="preserve"> 2</w:t>
      </w:r>
      <w:r>
        <w:tab/>
      </w:r>
      <w:proofErr w:type="spellStart"/>
      <w:r>
        <w:t>MRgFUS</w:t>
      </w:r>
      <w:proofErr w:type="spellEnd"/>
      <w:r>
        <w:t xml:space="preserve"> clinical pathway</w:t>
      </w:r>
      <w:bookmarkEnd w:id="24"/>
      <w:bookmarkEnd w:id="25"/>
    </w:p>
    <w:p w14:paraId="79BFBCC9" w14:textId="77777777" w:rsidR="00D36E24" w:rsidRDefault="00D36E24" w:rsidP="00D36E24">
      <w:pPr>
        <w:pStyle w:val="TableNote"/>
        <w:keepLines w:val="0"/>
      </w:pPr>
      <w:r>
        <w:t xml:space="preserve">Source: Figure 4, p 49 of the ADAR </w:t>
      </w:r>
    </w:p>
    <w:p w14:paraId="4BBA5FC2" w14:textId="77777777" w:rsidR="00D36E24" w:rsidRDefault="00D36E24" w:rsidP="00D36E24">
      <w:pPr>
        <w:pStyle w:val="TableNote"/>
        <w:keepLines w:val="0"/>
      </w:pPr>
      <w:r>
        <w:t>Abbreviations: BSC, best supportive care; CT, computerised tomography; MRgFUS, magnetic resonance-guided focused ultrasound; MRI magnetic resonance imaging</w:t>
      </w:r>
    </w:p>
    <w:p w14:paraId="47F86F51" w14:textId="77777777" w:rsidR="00D36E24" w:rsidRDefault="00D36E24" w:rsidP="00D36E24">
      <w:pPr>
        <w:pStyle w:val="TableNote"/>
        <w:keepLines w:val="0"/>
      </w:pPr>
      <w:r>
        <w:t>Note: The procedure itsefl requires a number of brief MRIs to be conducted throughout (average 3 or 4 hours) with and a further standard MRI immediately following the procedure (of 45 minutes duration with formal report).</w:t>
      </w:r>
    </w:p>
    <w:p w14:paraId="20D3481A" w14:textId="77777777" w:rsidR="00BC1364" w:rsidRPr="00F715D1" w:rsidRDefault="00BC1364" w:rsidP="00F715D1">
      <w:pPr>
        <w:pStyle w:val="Heading1"/>
      </w:pPr>
      <w:r w:rsidRPr="00F715D1">
        <w:t xml:space="preserve">Comparator </w:t>
      </w:r>
    </w:p>
    <w:p w14:paraId="6481C078" w14:textId="77777777" w:rsidR="00D36E24" w:rsidRDefault="00D36E24" w:rsidP="00D36E24">
      <w:r>
        <w:t xml:space="preserve">Unilateral or bilateral DBS is proposed as the main comparator for </w:t>
      </w:r>
      <w:proofErr w:type="spellStart"/>
      <w:r>
        <w:t>MRgFUS</w:t>
      </w:r>
      <w:proofErr w:type="spellEnd"/>
      <w:r>
        <w:t xml:space="preserve">. DBS involves inserting a permanent electrode via a burr hole in the skull into the thalamus, or other region of the brain causing the tremor. This electrode is then connected via a wire to a pacemaker box located in the chest region to enable electrical stimulation of the VIM </w:t>
      </w:r>
      <w:proofErr w:type="spellStart"/>
      <w:r w:rsidRPr="006220DF">
        <w:t>Zaaroor</w:t>
      </w:r>
      <w:proofErr w:type="spellEnd"/>
      <w:r w:rsidRPr="006220DF">
        <w:t xml:space="preserve"> et al., 2017</w:t>
      </w:r>
      <w:r w:rsidRPr="006220DF">
        <w:rPr>
          <w:rStyle w:val="FootnoteReference"/>
        </w:rPr>
        <w:footnoteReference w:id="1"/>
      </w:r>
      <w:r w:rsidRPr="006220DF">
        <w:t>.</w:t>
      </w:r>
      <w:r w:rsidRPr="00AE65E9">
        <w:t xml:space="preserve"> DBS is performed during hospital admission, with MBS-listed procedures performed under general anaesthesia (MBS items 40850, 40851, 40852, 40854, 40856, 40858, 40860, 40862; Table 21). The</w:t>
      </w:r>
      <w:r>
        <w:t xml:space="preserve"> ADAR stated that the</w:t>
      </w:r>
      <w:r w:rsidRPr="00AE65E9">
        <w:t xml:space="preserve"> intervention requires at least one night of observation in the intensive care unit and a minimum of one week thereafter at the neu</w:t>
      </w:r>
      <w:r>
        <w:t>rosurgical ward</w:t>
      </w:r>
      <w:r w:rsidRPr="00AE65E9">
        <w:t>.</w:t>
      </w:r>
    </w:p>
    <w:p w14:paraId="0190C6D5" w14:textId="71E31046" w:rsidR="00D36E24" w:rsidRPr="003D0ACF" w:rsidRDefault="00D36E24" w:rsidP="0039787B">
      <w:pPr>
        <w:spacing w:before="240"/>
        <w:jc w:val="both"/>
      </w:pPr>
      <w:r>
        <w:t>Best supportive care (BSC) is proposed as the second comparator, despite its limited efficacy where no alternative options are available.</w:t>
      </w:r>
    </w:p>
    <w:p w14:paraId="2A287EFF" w14:textId="77777777" w:rsidR="00BC1364" w:rsidRPr="00F715D1" w:rsidRDefault="00BC1364" w:rsidP="00F715D1">
      <w:pPr>
        <w:pStyle w:val="Heading1"/>
      </w:pPr>
      <w:r w:rsidRPr="00F715D1">
        <w:t>Comparative safety</w:t>
      </w:r>
    </w:p>
    <w:p w14:paraId="6E9CB728" w14:textId="77777777" w:rsidR="008337E8" w:rsidRDefault="008337E8" w:rsidP="008337E8">
      <w:r>
        <w:t xml:space="preserve">The ADARs evidence base to inform the relative efficacy and safety of </w:t>
      </w:r>
      <w:proofErr w:type="spellStart"/>
      <w:r>
        <w:t>MRgFUS</w:t>
      </w:r>
      <w:proofErr w:type="spellEnd"/>
      <w:r>
        <w:t xml:space="preserve"> and DBS (Comparison 1) comprised of:</w:t>
      </w:r>
    </w:p>
    <w:p w14:paraId="0D2B598E" w14:textId="77777777" w:rsidR="008337E8" w:rsidRDefault="008337E8" w:rsidP="008337E8">
      <w:pPr>
        <w:pStyle w:val="ListParagraph"/>
        <w:numPr>
          <w:ilvl w:val="0"/>
          <w:numId w:val="29"/>
        </w:numPr>
      </w:pPr>
      <w:r>
        <w:t>two retrospective comparative studies (Level III evidence),</w:t>
      </w:r>
    </w:p>
    <w:p w14:paraId="53175A8D" w14:textId="77777777" w:rsidR="008337E8" w:rsidRDefault="00007EC5" w:rsidP="008337E8">
      <w:pPr>
        <w:pStyle w:val="ListParagraph"/>
        <w:numPr>
          <w:ilvl w:val="1"/>
          <w:numId w:val="29"/>
        </w:numPr>
      </w:pPr>
      <w:hyperlink w:anchor="_ENREF_22" w:tooltip="Huss, 2015 #38" w:history="1">
        <w:r w:rsidR="008337E8">
          <w:fldChar w:fldCharType="begin"/>
        </w:r>
        <w:r w:rsidR="008337E8">
          <w:instrText xml:space="preserve"> ADDIN EN.CITE &lt;EndNote&gt;&lt;Cite AuthorYear="1"&gt;&lt;Author&gt;Huss&lt;/Author&gt;&lt;Year&gt;2015&lt;/Year&gt;&lt;RecNum&gt;38&lt;/RecNum&gt;&lt;DisplayText&gt;Huss et al. (2015)&lt;/DisplayText&gt;&lt;record&gt;&lt;rec-number&gt;38&lt;/rec-number&gt;&lt;foreign-keys&gt;&lt;key app="EN" db-id="wtze2vx54sp5w4efzxivv20fxr0fpdsf5wzz" timestamp="1606274228"&gt;38&lt;/key&gt;&lt;/foreign-keys&gt;&lt;ref-type name="Journal Article"&gt;17&lt;/ref-type&gt;&lt;contributors&gt;&lt;authors&gt;&lt;author&gt;Huss, Diane S&lt;/author&gt;&lt;author&gt;Dallapiazza, Robert F&lt;/author&gt;&lt;author&gt;Shah, Binit B&lt;/author&gt;&lt;author&gt;Harrison, Madaline B&lt;/author&gt;&lt;author&gt;Diamond, Joshua&lt;/author&gt;&lt;author&gt;Elias, W Jeff&lt;/author&gt;&lt;/authors&gt;&lt;/contributors&gt;&lt;titles&gt;&lt;title&gt;Functional assessment and quality of life in essential tremor with bilateral or unilateral DBS and focused ultrasound thalamotomy&lt;/title&gt;&lt;secondary-title&gt;Movement Disorders&lt;/secondary-title&gt;&lt;/titles&gt;&lt;periodical&gt;&lt;full-title&gt;Movement Disorders&lt;/full-title&gt;&lt;/periodical&gt;&lt;pages&gt;1937-1943&lt;/pages&gt;&lt;volume&gt;30&lt;/volume&gt;&lt;number&gt;14&lt;/number&gt;&lt;dates&gt;&lt;year&gt;2015&lt;/year&gt;&lt;/dates&gt;&lt;isbn&gt;0885-3185&lt;/isbn&gt;&lt;urls&gt;&lt;/urls&gt;&lt;/record&gt;&lt;/Cite&gt;&lt;/EndNote&gt;</w:instrText>
        </w:r>
        <w:r w:rsidR="008337E8">
          <w:fldChar w:fldCharType="separate"/>
        </w:r>
        <w:r w:rsidR="008337E8">
          <w:rPr>
            <w:noProof/>
          </w:rPr>
          <w:t>Huss et al. (2015)</w:t>
        </w:r>
        <w:r w:rsidR="008337E8">
          <w:fldChar w:fldCharType="end"/>
        </w:r>
      </w:hyperlink>
      <w:r w:rsidR="008337E8">
        <w:rPr>
          <w:rStyle w:val="FootnoteReference"/>
        </w:rPr>
        <w:footnoteReference w:id="2"/>
      </w:r>
      <w:r w:rsidR="008337E8">
        <w:t xml:space="preserve"> compared the safety and clinical effectiveness of </w:t>
      </w:r>
      <w:proofErr w:type="spellStart"/>
      <w:r w:rsidR="008337E8">
        <w:t>MRgFUS</w:t>
      </w:r>
      <w:proofErr w:type="spellEnd"/>
      <w:r w:rsidR="008337E8">
        <w:t xml:space="preserve"> </w:t>
      </w:r>
      <w:r w:rsidR="008337E8" w:rsidRPr="00EA43C7">
        <w:rPr>
          <w:i/>
        </w:rPr>
        <w:t>vs.</w:t>
      </w:r>
      <w:r w:rsidR="008337E8">
        <w:t xml:space="preserve"> unilateral and bilateral DBS by way of a retrospective longitudinal </w:t>
      </w:r>
      <w:r w:rsidR="008337E8">
        <w:lastRenderedPageBreak/>
        <w:t>database analysis, using the Clinical Rating Scale of Tremor (CRST) scale for tremor measurement</w:t>
      </w:r>
    </w:p>
    <w:p w14:paraId="41F9B561" w14:textId="5E58AB7E" w:rsidR="008337E8" w:rsidRDefault="00007EC5" w:rsidP="008337E8">
      <w:pPr>
        <w:pStyle w:val="ListParagraph"/>
        <w:numPr>
          <w:ilvl w:val="1"/>
          <w:numId w:val="29"/>
        </w:numPr>
      </w:pPr>
      <w:hyperlink w:anchor="_ENREF_26" w:tooltip="Kim, 2017 #27" w:history="1">
        <w:r w:rsidR="008337E8">
          <w:fldChar w:fldCharType="begin"/>
        </w:r>
        <w:r w:rsidR="008337E8">
          <w:instrText xml:space="preserve"> ADDIN EN.CITE &lt;EndNote&gt;&lt;Cite AuthorYear="1"&gt;&lt;Author&gt;Kim&lt;/Author&gt;&lt;Year&gt;2017&lt;/Year&gt;&lt;RecNum&gt;27&lt;/RecNum&gt;&lt;DisplayText&gt;Kim et al. (2017)&lt;/DisplayText&gt;&lt;record&gt;&lt;rec-number&gt;27&lt;/rec-number&gt;&lt;foreign-keys&gt;&lt;key app="EN" db-id="wtze2vx54sp5w4efzxivv20fxr0fpdsf5wzz" timestamp="1606273322"&gt;27&lt;/key&gt;&lt;/foreign-keys&gt;&lt;ref-type name="Journal Article"&gt;17&lt;/ref-type&gt;&lt;contributors&gt;&lt;authors&gt;&lt;author&gt;Kim, Minsoo&lt;/author&gt;&lt;author&gt;Jung, Na Young&lt;/author&gt;&lt;author&gt;Park, Chang Kyu&lt;/author&gt;&lt;author&gt;Chang, Won Seok&lt;/author&gt;&lt;author&gt;Jung, Hyun Ho&lt;/author&gt;&lt;author&gt;Chang, Jin Woo&lt;/author&gt;&lt;/authors&gt;&lt;/contributors&gt;&lt;titles&gt;&lt;title&gt;Comparative evaluation of magnetic resonance-guided focused ultrasound surgery for essential tremor&lt;/title&gt;&lt;secondary-title&gt;Stereotactic and functional neurosurgery&lt;/secondary-title&gt;&lt;/titles&gt;&lt;periodical&gt;&lt;full-title&gt;Stereotactic and functional neurosurgery&lt;/full-title&gt;&lt;/periodical&gt;&lt;pages&gt;279-286&lt;/pages&gt;&lt;volume&gt;95&lt;/volume&gt;&lt;number&gt;4&lt;/number&gt;&lt;dates&gt;&lt;year&gt;2017&lt;/year&gt;&lt;/dates&gt;&lt;isbn&gt;1011-6125&lt;/isbn&gt;&lt;urls&gt;&lt;/urls&gt;&lt;/record&gt;&lt;/Cite&gt;&lt;/EndNote&gt;</w:instrText>
        </w:r>
        <w:r w:rsidR="008337E8">
          <w:fldChar w:fldCharType="separate"/>
        </w:r>
        <w:r w:rsidR="008337E8">
          <w:rPr>
            <w:noProof/>
          </w:rPr>
          <w:t>Kim et al. (2017)</w:t>
        </w:r>
        <w:r w:rsidR="008337E8">
          <w:fldChar w:fldCharType="end"/>
        </w:r>
      </w:hyperlink>
      <w:r w:rsidR="008337E8">
        <w:rPr>
          <w:rStyle w:val="FootnoteReference"/>
        </w:rPr>
        <w:footnoteReference w:id="3"/>
      </w:r>
      <w:r w:rsidR="008337E8">
        <w:t xml:space="preserve"> </w:t>
      </w:r>
      <w:r w:rsidR="00546A2C">
        <w:t xml:space="preserve">retrospectively </w:t>
      </w:r>
      <w:r w:rsidR="008337E8">
        <w:t xml:space="preserve">compared </w:t>
      </w:r>
      <w:proofErr w:type="spellStart"/>
      <w:r w:rsidR="008337E8">
        <w:t>MRgFUS</w:t>
      </w:r>
      <w:proofErr w:type="spellEnd"/>
      <w:r w:rsidR="008337E8">
        <w:t xml:space="preserve"> and unilateral DBS, using a non-validated patient response scale. </w:t>
      </w:r>
    </w:p>
    <w:p w14:paraId="23B02222" w14:textId="77777777" w:rsidR="008337E8" w:rsidRDefault="008337E8" w:rsidP="008337E8">
      <w:pPr>
        <w:pStyle w:val="ListParagraph"/>
        <w:numPr>
          <w:ilvl w:val="0"/>
          <w:numId w:val="29"/>
        </w:numPr>
      </w:pPr>
      <w:r>
        <w:t>a systematic review and indirect treatment comparison (ITC) by Langford et al. 2018</w:t>
      </w:r>
      <w:r>
        <w:rPr>
          <w:rStyle w:val="FootnoteReference"/>
        </w:rPr>
        <w:footnoteReference w:id="4"/>
      </w:r>
      <w:r>
        <w:t xml:space="preserve"> (Level III evidence), and  </w:t>
      </w:r>
    </w:p>
    <w:p w14:paraId="371A284D" w14:textId="77777777" w:rsidR="008337E8" w:rsidRDefault="008337E8" w:rsidP="008337E8">
      <w:pPr>
        <w:pStyle w:val="ListParagraph"/>
        <w:numPr>
          <w:ilvl w:val="0"/>
          <w:numId w:val="29"/>
        </w:numPr>
      </w:pPr>
      <w:r>
        <w:t>a naïve comparison conducted with two non-comparative DBS studies and nine non-</w:t>
      </w:r>
      <w:proofErr w:type="gramStart"/>
      <w:r>
        <w:t>comparative</w:t>
      </w:r>
      <w:proofErr w:type="gramEnd"/>
      <w:r>
        <w:t xml:space="preserve"> (mainly case series) </w:t>
      </w:r>
      <w:proofErr w:type="spellStart"/>
      <w:r>
        <w:t>MRgFUS</w:t>
      </w:r>
      <w:proofErr w:type="spellEnd"/>
      <w:r>
        <w:t xml:space="preserve"> studies (Level IV evidence). </w:t>
      </w:r>
    </w:p>
    <w:p w14:paraId="0188E36D" w14:textId="77777777" w:rsidR="008337E8" w:rsidRDefault="008337E8" w:rsidP="0039787B">
      <w:pPr>
        <w:spacing w:before="240"/>
      </w:pPr>
      <w:r>
        <w:t xml:space="preserve">Of the two non-comparative DBS studies, the ADAR considered that one was considered to have a low risk of bias and one was considered to have a moderate risk of bias. While the non-comparative </w:t>
      </w:r>
      <w:proofErr w:type="spellStart"/>
      <w:r>
        <w:t>MRgFUS</w:t>
      </w:r>
      <w:proofErr w:type="spellEnd"/>
      <w:r>
        <w:t xml:space="preserve"> studies were conducted in the USA, Europe, Korea and Japan, the DBS studies included in the ITC and naïve comparison were largely limited to the USA suggesting that there may be some exchangeability issues. The commentary considered that overall, the available evidence was found to be at a high risk of bias.</w:t>
      </w:r>
    </w:p>
    <w:p w14:paraId="61CFEF6E" w14:textId="42DE0CF0" w:rsidR="008337E8" w:rsidRDefault="008337E8" w:rsidP="0039787B">
      <w:pPr>
        <w:spacing w:before="240"/>
      </w:pPr>
      <w:r w:rsidRPr="008711FC">
        <w:t xml:space="preserve">A total of ten studies were considered relevant to the evidence base for </w:t>
      </w:r>
      <w:proofErr w:type="spellStart"/>
      <w:r w:rsidRPr="008711FC">
        <w:t>MRgFUS</w:t>
      </w:r>
      <w:proofErr w:type="spellEnd"/>
      <w:r w:rsidRPr="008711FC">
        <w:t xml:space="preserve"> </w:t>
      </w:r>
      <w:r w:rsidRPr="008711FC">
        <w:rPr>
          <w:i/>
        </w:rPr>
        <w:t>vs.</w:t>
      </w:r>
      <w:r w:rsidRPr="008711FC">
        <w:t xml:space="preserve"> BSC. The pivotal evidence is a sham-controlled multicentre randomised controlled trial (RCT)</w:t>
      </w:r>
      <w:r>
        <w:t xml:space="preserve"> by Elias et al. 2016</w:t>
      </w:r>
      <w:r>
        <w:rPr>
          <w:rStyle w:val="FootnoteReference"/>
        </w:rPr>
        <w:footnoteReference w:id="5"/>
      </w:r>
      <w:r w:rsidRPr="008711FC">
        <w:t xml:space="preserve"> (Level II evidence) considered</w:t>
      </w:r>
      <w:r>
        <w:t xml:space="preserve"> by the ADAR</w:t>
      </w:r>
      <w:r w:rsidRPr="008711FC">
        <w:t xml:space="preserve"> to have a low risk of bias.</w:t>
      </w:r>
      <w:r>
        <w:t xml:space="preserve"> However, the commentary considered the RCT assessed to be at severe risk of bias. </w:t>
      </w:r>
      <w:r w:rsidRPr="008711FC">
        <w:t xml:space="preserve">Nine prospectively conducted non-comparative </w:t>
      </w:r>
      <w:proofErr w:type="spellStart"/>
      <w:r w:rsidRPr="008711FC">
        <w:t>MRgFUS</w:t>
      </w:r>
      <w:proofErr w:type="spellEnd"/>
      <w:r w:rsidRPr="008711FC">
        <w:t xml:space="preserve"> studies were included as supportive evidence to demonstrate consistency and durability of effect.</w:t>
      </w:r>
    </w:p>
    <w:p w14:paraId="01214B92" w14:textId="77777777" w:rsidR="008337E8" w:rsidRDefault="008337E8" w:rsidP="008337E8">
      <w:pPr>
        <w:pStyle w:val="Heading2"/>
      </w:pPr>
      <w:r>
        <w:t>Adverse events</w:t>
      </w:r>
    </w:p>
    <w:p w14:paraId="058FDC1B" w14:textId="1A65E6F4" w:rsidR="008337E8" w:rsidRPr="003A1976" w:rsidRDefault="008337E8" w:rsidP="0039787B">
      <w:pPr>
        <w:pStyle w:val="Heading3"/>
        <w:spacing w:before="240"/>
        <w:rPr>
          <w:rFonts w:ascii="Times New Roman" w:hAnsi="Times New Roman" w:cs="Times New Roman"/>
          <w:color w:val="auto"/>
        </w:rPr>
      </w:pPr>
      <w:proofErr w:type="spellStart"/>
      <w:r w:rsidRPr="003A1976">
        <w:rPr>
          <w:rFonts w:ascii="Times New Roman" w:hAnsi="Times New Roman" w:cs="Times New Roman"/>
          <w:color w:val="auto"/>
        </w:rPr>
        <w:t>MRgFUS</w:t>
      </w:r>
      <w:proofErr w:type="spellEnd"/>
      <w:r w:rsidRPr="003A1976">
        <w:rPr>
          <w:rFonts w:ascii="Times New Roman" w:hAnsi="Times New Roman" w:cs="Times New Roman"/>
          <w:color w:val="auto"/>
        </w:rPr>
        <w:t xml:space="preserve"> </w:t>
      </w:r>
      <w:r w:rsidRPr="003A1976">
        <w:rPr>
          <w:rFonts w:ascii="Times New Roman" w:hAnsi="Times New Roman" w:cs="Times New Roman"/>
          <w:i/>
          <w:color w:val="auto"/>
        </w:rPr>
        <w:t>vs.</w:t>
      </w:r>
      <w:r w:rsidRPr="003A1976">
        <w:rPr>
          <w:rFonts w:ascii="Times New Roman" w:hAnsi="Times New Roman" w:cs="Times New Roman"/>
          <w:color w:val="auto"/>
        </w:rPr>
        <w:t xml:space="preserve"> DBS</w:t>
      </w:r>
    </w:p>
    <w:p w14:paraId="7AFB994C" w14:textId="77777777" w:rsidR="008337E8" w:rsidRDefault="008337E8" w:rsidP="008337E8">
      <w:r>
        <w:t xml:space="preserve">The ADAR stated that the comparative study reported by Huss 2015 demonstrated intraprocedural adverse events (AEs) to be common during the </w:t>
      </w:r>
      <w:proofErr w:type="spellStart"/>
      <w:r>
        <w:t>MRgFUS</w:t>
      </w:r>
      <w:proofErr w:type="spellEnd"/>
      <w:r>
        <w:t xml:space="preserve"> procedure. All were mild or moderate, transient and resolved. No intraprocedural adverse events were reported in the DBS groups.</w:t>
      </w:r>
    </w:p>
    <w:p w14:paraId="5C8E2B1A" w14:textId="0816AC18" w:rsidR="008337E8" w:rsidRDefault="008337E8" w:rsidP="0039787B">
      <w:pPr>
        <w:spacing w:before="240"/>
      </w:pPr>
      <w:r>
        <w:t xml:space="preserve">The ADAR noted that the most common post-procedure AEs reported for </w:t>
      </w:r>
      <w:proofErr w:type="spellStart"/>
      <w:r>
        <w:t>MRgFUS</w:t>
      </w:r>
      <w:proofErr w:type="spellEnd"/>
      <w:r>
        <w:t xml:space="preserve"> were paraesthesia (93.3%) and gait instability (33.3%), the majority of which were transient and resolved by 12 months. Gait instability (84.6%) was frequently observed in patients undergoing unilateral DBS while gait instability and dysarthria were equally as common in bilateral DBS (17.5%). As observed in the </w:t>
      </w:r>
      <w:proofErr w:type="spellStart"/>
      <w:r>
        <w:t>MRgFUS</w:t>
      </w:r>
      <w:proofErr w:type="spellEnd"/>
      <w:r>
        <w:t xml:space="preserve"> group, </w:t>
      </w:r>
      <w:proofErr w:type="gramStart"/>
      <w:r>
        <w:t>the majority of</w:t>
      </w:r>
      <w:proofErr w:type="gramEnd"/>
      <w:r>
        <w:t xml:space="preserve"> DBS-related AEs resolved within the 12 months follow-up. Serious AEs related to DBS hardware placement comprising infection (1.7%), lead erosion (3.5%) and haemorrhage (3.5%) were reported in patients undergoing bilateral DBS only. The risk of infection and hardware complications was also reported in the large, controlled trial reported by </w:t>
      </w:r>
      <w:proofErr w:type="spellStart"/>
      <w:r>
        <w:t>Wharen</w:t>
      </w:r>
      <w:proofErr w:type="spellEnd"/>
      <w:r>
        <w:t xml:space="preserve"> et al. (2017)</w:t>
      </w:r>
      <w:r>
        <w:rPr>
          <w:rStyle w:val="FootnoteReference"/>
        </w:rPr>
        <w:footnoteReference w:id="6"/>
      </w:r>
      <w:r>
        <w:t xml:space="preserve"> in which 13.4% of patients required re-intervention due to device malfunctions. These events have not been reported following </w:t>
      </w:r>
      <w:proofErr w:type="spellStart"/>
      <w:r>
        <w:t>MRgFUS</w:t>
      </w:r>
      <w:proofErr w:type="spellEnd"/>
      <w:r>
        <w:t xml:space="preserve"> reflecting the incisionless nature of the intervention and lack of implantable device required.</w:t>
      </w:r>
    </w:p>
    <w:p w14:paraId="55186F84" w14:textId="77777777" w:rsidR="008337E8" w:rsidRDefault="008337E8" w:rsidP="008337E8">
      <w:r>
        <w:lastRenderedPageBreak/>
        <w:t xml:space="preserve">Overall, the ADAR assessed </w:t>
      </w:r>
      <w:proofErr w:type="spellStart"/>
      <w:r>
        <w:t>MRgFUS</w:t>
      </w:r>
      <w:proofErr w:type="spellEnd"/>
      <w:r>
        <w:t xml:space="preserve"> and DBS to have different short-term safety profiles. The adverse events observed for both treatments were generally mild or moderate in nature and transient, with </w:t>
      </w:r>
      <w:proofErr w:type="gramStart"/>
      <w:r>
        <w:t>the majority of</w:t>
      </w:r>
      <w:proofErr w:type="gramEnd"/>
      <w:r>
        <w:t xml:space="preserve"> complications resolving within 3 to 12 months. Consequently, there are no discernible differences in the long-term safety of these treatment supporting a claim of different yet non-inferior safety of </w:t>
      </w:r>
      <w:proofErr w:type="spellStart"/>
      <w:r>
        <w:t>MRgFUS</w:t>
      </w:r>
      <w:proofErr w:type="spellEnd"/>
      <w:r>
        <w:t xml:space="preserve"> relative to DBS. Given the risks of infection, haemorrhage and hardware complications associated with DBS, this claim is considered conservative.</w:t>
      </w:r>
    </w:p>
    <w:p w14:paraId="7C4C9C0A" w14:textId="0DD33075" w:rsidR="008337E8" w:rsidRPr="0039787B" w:rsidRDefault="008337E8" w:rsidP="0039787B">
      <w:pPr>
        <w:pStyle w:val="Heading3"/>
        <w:spacing w:before="240"/>
        <w:rPr>
          <w:rFonts w:ascii="Times New Roman" w:hAnsi="Times New Roman" w:cs="Times New Roman"/>
          <w:color w:val="auto"/>
        </w:rPr>
      </w:pPr>
      <w:proofErr w:type="spellStart"/>
      <w:r w:rsidRPr="0039787B">
        <w:rPr>
          <w:rFonts w:ascii="Times New Roman" w:hAnsi="Times New Roman" w:cs="Times New Roman"/>
          <w:color w:val="auto"/>
        </w:rPr>
        <w:t>MRgFUS</w:t>
      </w:r>
      <w:proofErr w:type="spellEnd"/>
      <w:r w:rsidRPr="0039787B">
        <w:rPr>
          <w:rFonts w:ascii="Times New Roman" w:hAnsi="Times New Roman" w:cs="Times New Roman"/>
          <w:color w:val="auto"/>
        </w:rPr>
        <w:t xml:space="preserve"> vs. BSC</w:t>
      </w:r>
    </w:p>
    <w:p w14:paraId="220B29AA" w14:textId="77777777" w:rsidR="008337E8" w:rsidRDefault="008337E8" w:rsidP="008337E8">
      <w:r>
        <w:t xml:space="preserve">The ADAR noted a greater proportion of patients treated with </w:t>
      </w:r>
      <w:proofErr w:type="spellStart"/>
      <w:r>
        <w:t>MRgFUS</w:t>
      </w:r>
      <w:proofErr w:type="spellEnd"/>
      <w:r>
        <w:t xml:space="preserve"> experienced procedure-related AEs when compared to sham (N=50; 89% vs. N=12; 60%) as reported in the pivotal RCT.</w:t>
      </w:r>
    </w:p>
    <w:p w14:paraId="34ACB6CF" w14:textId="517B1C39" w:rsidR="008337E8" w:rsidRDefault="008337E8" w:rsidP="0039787B">
      <w:pPr>
        <w:spacing w:before="240"/>
      </w:pPr>
      <w:r>
        <w:t xml:space="preserve">The ADAR also noted that two patients receiving </w:t>
      </w:r>
      <w:proofErr w:type="spellStart"/>
      <w:r>
        <w:t>MRgFUS</w:t>
      </w:r>
      <w:proofErr w:type="spellEnd"/>
      <w:r>
        <w:t xml:space="preserve"> experienced serious adverse events. One patient had dense and permanent hypesthesia of the dominant thumb and index finger and one patient had a transient ischemic attack 6 weeks after the procedure which was not considered to be related to the study procedure. All remaining AEs observed in the </w:t>
      </w:r>
      <w:proofErr w:type="spellStart"/>
      <w:r>
        <w:t>MRgFUS</w:t>
      </w:r>
      <w:proofErr w:type="spellEnd"/>
      <w:r>
        <w:t xml:space="preserve"> were mild or moderate and resolved over the 12-month study period. Long-term efficacy reported in the open-label study at 3 and 4 years showed a further decline in AEs over time in both number and intensity with no new AEs reported. The safety profile observed in the non-comparative studies were consistent with the pivotal trial. AEs were mostly transient with no additional safety signals observed.</w:t>
      </w:r>
    </w:p>
    <w:p w14:paraId="26366D1E" w14:textId="2D504616" w:rsidR="008337E8" w:rsidRDefault="008337E8" w:rsidP="0039787B">
      <w:pPr>
        <w:spacing w:before="240"/>
      </w:pPr>
      <w:r>
        <w:t xml:space="preserve">The ADAR considered that although </w:t>
      </w:r>
      <w:proofErr w:type="spellStart"/>
      <w:r>
        <w:t>MRgFUS</w:t>
      </w:r>
      <w:proofErr w:type="spellEnd"/>
      <w:r>
        <w:t xml:space="preserve"> has an inferior safety profile relative to BSC, the evidence demonstrates the procedure to be safe and well tolerated.</w:t>
      </w:r>
    </w:p>
    <w:p w14:paraId="1104CC94" w14:textId="77777777" w:rsidR="00BC1364" w:rsidRPr="00F715D1" w:rsidRDefault="00BC1364" w:rsidP="00F715D1">
      <w:pPr>
        <w:pStyle w:val="Heading1"/>
      </w:pPr>
      <w:r w:rsidRPr="00F715D1">
        <w:t>Comparative effectiveness</w:t>
      </w:r>
    </w:p>
    <w:p w14:paraId="0028F17B" w14:textId="77777777" w:rsidR="008337E8" w:rsidRDefault="008337E8" w:rsidP="008337E8">
      <w:pPr>
        <w:pStyle w:val="Heading2"/>
      </w:pPr>
      <w:proofErr w:type="spellStart"/>
      <w:r>
        <w:t>MRgFUS</w:t>
      </w:r>
      <w:proofErr w:type="spellEnd"/>
      <w:r>
        <w:t xml:space="preserve"> </w:t>
      </w:r>
      <w:r w:rsidRPr="005E3719">
        <w:t>vs.</w:t>
      </w:r>
      <w:r>
        <w:t xml:space="preserve"> DBS</w:t>
      </w:r>
    </w:p>
    <w:p w14:paraId="3DC4B980" w14:textId="77777777" w:rsidR="008337E8" w:rsidRDefault="008337E8" w:rsidP="008337E8">
      <w:r>
        <w:t xml:space="preserve">The ADAR noted that the Huss 2015 study showed there was </w:t>
      </w:r>
      <w:r w:rsidRPr="00445818">
        <w:t xml:space="preserve">no significant differences between </w:t>
      </w:r>
      <w:proofErr w:type="spellStart"/>
      <w:r w:rsidRPr="00445818">
        <w:t>MRgFUS</w:t>
      </w:r>
      <w:proofErr w:type="spellEnd"/>
      <w:r w:rsidRPr="00445818">
        <w:t xml:space="preserve"> and unilateral/bilateral DBS with respect to reduction in hand tremor and tremor</w:t>
      </w:r>
      <w:r>
        <w:t>-</w:t>
      </w:r>
      <w:r w:rsidRPr="00445818">
        <w:t xml:space="preserve">related disability (Mean difference: 3.4% and 0.0%; 5.3% and 3.0%; for each outcome respectively). Similarly, no significant difference was observed between the </w:t>
      </w:r>
      <w:proofErr w:type="spellStart"/>
      <w:r w:rsidRPr="00445818">
        <w:t>MRgFUS</w:t>
      </w:r>
      <w:proofErr w:type="spellEnd"/>
      <w:r w:rsidRPr="00445818">
        <w:t xml:space="preserve"> and bilateral DBS groups in relation to quality of life (68.0% vs 72.0%; mean difference: 4.0%). The </w:t>
      </w:r>
      <w:r>
        <w:t xml:space="preserve">ADAR considered that the </w:t>
      </w:r>
      <w:r w:rsidRPr="00445818">
        <w:t xml:space="preserve">greater reduction in total </w:t>
      </w:r>
      <w:r>
        <w:t>tremor measured using the clinical rating scale for tremor (CRST)</w:t>
      </w:r>
      <w:r w:rsidRPr="00445818">
        <w:t xml:space="preserve"> following bilateral DBS (23.8%; p&lt;0.05) compared to </w:t>
      </w:r>
      <w:proofErr w:type="spellStart"/>
      <w:r w:rsidRPr="00445818">
        <w:t>MRgFUS</w:t>
      </w:r>
      <w:proofErr w:type="spellEnd"/>
      <w:r w:rsidRPr="00445818">
        <w:t>, likely reflects the inclusion of bilateral measures of tremor in the total CRST. Importantly,</w:t>
      </w:r>
      <w:r>
        <w:t xml:space="preserve"> the ADAR noted that</w:t>
      </w:r>
      <w:r w:rsidRPr="00445818">
        <w:t xml:space="preserve"> tremor</w:t>
      </w:r>
      <w:r>
        <w:t>-</w:t>
      </w:r>
      <w:r w:rsidRPr="00445818">
        <w:t>related disability and quality of life were not significantly differen</w:t>
      </w:r>
      <w:r>
        <w:t xml:space="preserve">t between the treatment groups, which </w:t>
      </w:r>
      <w:r w:rsidRPr="00445818">
        <w:t>demonstrates that the majority of benefit observed from treatment of ET is derived from treating the dominant side and that limited functional gain is achieved from treating the contralateral side.</w:t>
      </w:r>
    </w:p>
    <w:p w14:paraId="791F7C5C" w14:textId="593CE5B7" w:rsidR="008337E8" w:rsidRDefault="008337E8" w:rsidP="0039787B">
      <w:pPr>
        <w:spacing w:before="240"/>
      </w:pPr>
      <w:r>
        <w:t xml:space="preserve">The ADAR noted that based on a responder analysis presented in the Kim (2017) study, the criterion for successful treatment defined as achieving 90-100% resolution of tremor was 16 patients (84.2%) in the DBS group, and 18 patients (78.3%) in the </w:t>
      </w:r>
      <w:proofErr w:type="spellStart"/>
      <w:r>
        <w:t>MRgFUS</w:t>
      </w:r>
      <w:proofErr w:type="spellEnd"/>
      <w:r>
        <w:t xml:space="preserve"> group with no significant differences detected between the two treatment modalities (p=0.62). Complete remission was observed in 9 (47.4%) DBS patients, and 8 (34.8%) </w:t>
      </w:r>
      <w:proofErr w:type="spellStart"/>
      <w:r>
        <w:t>MRgFUS</w:t>
      </w:r>
      <w:proofErr w:type="spellEnd"/>
      <w:r>
        <w:t xml:space="preserve"> patients. </w:t>
      </w:r>
    </w:p>
    <w:p w14:paraId="47F2D28D" w14:textId="6F9E45B7" w:rsidR="008337E8" w:rsidRDefault="008337E8" w:rsidP="008337E8">
      <w:r>
        <w:t xml:space="preserve">The ADAR noted that the ITC was limited to the CRST Part C and the total CRST reported at 12 months. The ADAR also acknowledged that there are substantial limitations in the study, the results of the matching-adjusted indirect comparison (MAIC) and simulated treatment comparison (STC) analyses support the retrospective comparative study suggesting there to be no difference in the reduction of total tremor (MAIC: 0%; STC: 0.31% [95% confidence </w:t>
      </w:r>
      <w:r>
        <w:lastRenderedPageBreak/>
        <w:t xml:space="preserve">interval (CI): -2.53 to 3.16]) and tremor-related disability (MAIC: 0%; STC: -4.35% [95% CI: -12.82 to 4.13]) between </w:t>
      </w:r>
      <w:proofErr w:type="spellStart"/>
      <w:r>
        <w:t>MRgFUS</w:t>
      </w:r>
      <w:proofErr w:type="spellEnd"/>
      <w:r>
        <w:t xml:space="preserve"> and DBS.</w:t>
      </w:r>
    </w:p>
    <w:p w14:paraId="49845240" w14:textId="7D28F1FD" w:rsidR="008337E8" w:rsidRDefault="008337E8" w:rsidP="0039787B">
      <w:pPr>
        <w:spacing w:before="240"/>
      </w:pPr>
      <w:r>
        <w:t xml:space="preserve">The ADAR also noted that little difference was observed between the two surgical approaches in the naïve comparison of non-comparative DBS and </w:t>
      </w:r>
      <w:proofErr w:type="spellStart"/>
      <w:r>
        <w:t>MRgFUS</w:t>
      </w:r>
      <w:proofErr w:type="spellEnd"/>
      <w:r>
        <w:t xml:space="preserve"> studies in relation to total CRST (56.5% </w:t>
      </w:r>
      <w:r w:rsidRPr="002965CB">
        <w:rPr>
          <w:i/>
        </w:rPr>
        <w:t>vs.</w:t>
      </w:r>
      <w:r>
        <w:t xml:space="preserve"> 55.1% for </w:t>
      </w:r>
      <w:proofErr w:type="spellStart"/>
      <w:r>
        <w:t>MRgFUS</w:t>
      </w:r>
      <w:proofErr w:type="spellEnd"/>
      <w:r>
        <w:t xml:space="preserve"> vs DBS; mean difference: 1.4%) or tremor-related disability (68.2% </w:t>
      </w:r>
      <w:r w:rsidRPr="002965CB">
        <w:rPr>
          <w:i/>
        </w:rPr>
        <w:t>vs.</w:t>
      </w:r>
      <w:r>
        <w:t xml:space="preserve"> 71.4% for </w:t>
      </w:r>
      <w:proofErr w:type="spellStart"/>
      <w:r>
        <w:t>MRgFUS</w:t>
      </w:r>
      <w:proofErr w:type="spellEnd"/>
      <w:r>
        <w:t xml:space="preserve"> vs DBS; mean difference: 3.2%).</w:t>
      </w:r>
    </w:p>
    <w:p w14:paraId="5D046331" w14:textId="06A58D04" w:rsidR="008337E8" w:rsidRDefault="008337E8" w:rsidP="0039787B">
      <w:pPr>
        <w:spacing w:before="240"/>
      </w:pPr>
      <w:r w:rsidRPr="002965CB">
        <w:t>A summary of findings is shown in</w:t>
      </w:r>
      <w:r>
        <w:t xml:space="preserve"> Table</w:t>
      </w:r>
      <w:r w:rsidRPr="002965CB">
        <w:t xml:space="preserve"> </w:t>
      </w:r>
      <w:r>
        <w:t>8</w:t>
      </w:r>
      <w:r w:rsidRPr="002965CB">
        <w:t xml:space="preserve">. Collectively, </w:t>
      </w:r>
      <w:r>
        <w:t xml:space="preserve">the ADAR considered that </w:t>
      </w:r>
      <w:r w:rsidRPr="002965CB">
        <w:t xml:space="preserve">these data support a clinical claim of non-inferior efficacy of </w:t>
      </w:r>
      <w:proofErr w:type="spellStart"/>
      <w:r w:rsidRPr="002965CB">
        <w:t>MRgFUS</w:t>
      </w:r>
      <w:proofErr w:type="spellEnd"/>
      <w:r w:rsidRPr="002965CB">
        <w:t xml:space="preserve"> relative to DBS.</w:t>
      </w:r>
    </w:p>
    <w:p w14:paraId="0E54F50D" w14:textId="10C3F72A" w:rsidR="0039787B" w:rsidRDefault="008337E8" w:rsidP="0039787B">
      <w:pPr>
        <w:spacing w:before="240"/>
      </w:pPr>
      <w:r>
        <w:t>The commentary noted that the existing evidence base for Comparison 1 (</w:t>
      </w:r>
      <w:proofErr w:type="spellStart"/>
      <w:r>
        <w:t>MRgFUS</w:t>
      </w:r>
      <w:proofErr w:type="spellEnd"/>
      <w:r>
        <w:t xml:space="preserve"> </w:t>
      </w:r>
      <w:r w:rsidRPr="00EA43C7">
        <w:rPr>
          <w:i/>
        </w:rPr>
        <w:t>vs</w:t>
      </w:r>
      <w:r>
        <w:t>. DBS) was found to be at high risk of bias</w:t>
      </w:r>
      <w:r w:rsidR="006B037D">
        <w:t xml:space="preserve"> due to</w:t>
      </w:r>
      <w:r>
        <w:t xml:space="preserve"> </w:t>
      </w:r>
      <w:r w:rsidR="006B037D">
        <w:t>l</w:t>
      </w:r>
      <w:r>
        <w:t xml:space="preserve">imited comparative evidence. The commentary considered that both </w:t>
      </w:r>
      <w:proofErr w:type="spellStart"/>
      <w:r>
        <w:t>MRgFUS</w:t>
      </w:r>
      <w:proofErr w:type="spellEnd"/>
      <w:r>
        <w:t xml:space="preserve"> and DBS, appear to be effective at significantly reducing tremor (total and hand tremor), tremor-related disability and improving quality of life, at least in short to medium term (up to four years of follow-up for </w:t>
      </w:r>
      <w:proofErr w:type="spellStart"/>
      <w:r>
        <w:t>MRgFUS</w:t>
      </w:r>
      <w:proofErr w:type="spellEnd"/>
      <w:r>
        <w:t xml:space="preserve">). The commentary also considered that the evidence available does not allow to unequivocally conclude whether the clinical effectiveness of </w:t>
      </w:r>
      <w:proofErr w:type="spellStart"/>
      <w:r>
        <w:t>MRgFUS</w:t>
      </w:r>
      <w:proofErr w:type="spellEnd"/>
      <w:r>
        <w:t xml:space="preserve"> is significantly different from DBS. Both </w:t>
      </w:r>
      <w:proofErr w:type="spellStart"/>
      <w:r>
        <w:t>MRgFUS</w:t>
      </w:r>
      <w:proofErr w:type="spellEnd"/>
      <w:r>
        <w:t xml:space="preserve"> and DBS achieved statistically significant improvements from baseline to last follow-up in total tremor (CRST total, percentual change from baseline, range, 35.3-69.6% for </w:t>
      </w:r>
      <w:proofErr w:type="spellStart"/>
      <w:r>
        <w:t>MRgFUS</w:t>
      </w:r>
      <w:proofErr w:type="spellEnd"/>
      <w:r>
        <w:t xml:space="preserve"> and 32.8-79.5% for DBS), hand tremor (range, 43.4-78% for </w:t>
      </w:r>
      <w:proofErr w:type="spellStart"/>
      <w:r>
        <w:t>MRgFUS</w:t>
      </w:r>
      <w:proofErr w:type="spellEnd"/>
      <w:r>
        <w:t xml:space="preserve"> and 44.8-78.9% for DBS), tremor-related disability (Part C of the CRST, range, 55.1-85.4% for </w:t>
      </w:r>
      <w:proofErr w:type="spellStart"/>
      <w:r>
        <w:t>MRgFUS</w:t>
      </w:r>
      <w:proofErr w:type="spellEnd"/>
      <w:r>
        <w:t xml:space="preserve"> and 49.3-88.4% for DBS), and quality of life (QUEST-SI, range 37.1-67.6% for </w:t>
      </w:r>
      <w:proofErr w:type="spellStart"/>
      <w:r>
        <w:t>MRgFUS</w:t>
      </w:r>
      <w:proofErr w:type="spellEnd"/>
      <w:r>
        <w:t>, not interpretable for DBS).</w:t>
      </w:r>
      <w:r w:rsidR="0039787B">
        <w:rPr>
          <w:b/>
          <w:bCs/>
          <w:iCs/>
        </w:rPr>
        <w:br w:type="page"/>
      </w:r>
    </w:p>
    <w:p w14:paraId="14BB3233" w14:textId="67038D69" w:rsidR="008337E8" w:rsidRPr="00C41B26" w:rsidRDefault="008337E8" w:rsidP="0039787B">
      <w:pPr>
        <w:pStyle w:val="Caption"/>
        <w:spacing w:before="240"/>
      </w:pPr>
      <w:r w:rsidRPr="00C41B26">
        <w:lastRenderedPageBreak/>
        <w:t>Table 8</w:t>
      </w:r>
      <w:r w:rsidRPr="00C41B26">
        <w:tab/>
        <w:t xml:space="preserve">Balance of clinical benefits and harms of </w:t>
      </w:r>
      <w:proofErr w:type="spellStart"/>
      <w:r w:rsidRPr="00C41B26">
        <w:t>MRgFUS</w:t>
      </w:r>
      <w:proofErr w:type="spellEnd"/>
      <w:r w:rsidRPr="00C41B26">
        <w:t xml:space="preserve">, relative to DBS, and as measured by the critical patient-relevant outcomes in the key studies </w:t>
      </w:r>
    </w:p>
    <w:tbl>
      <w:tblPr>
        <w:tblW w:w="5000" w:type="pct"/>
        <w:tblCellMar>
          <w:left w:w="28" w:type="dxa"/>
          <w:right w:w="28" w:type="dxa"/>
        </w:tblCellMar>
        <w:tblLook w:val="04A0" w:firstRow="1" w:lastRow="0" w:firstColumn="1" w:lastColumn="0" w:noHBand="0" w:noVBand="1"/>
        <w:tblDescription w:val="Summary of findings table"/>
      </w:tblPr>
      <w:tblGrid>
        <w:gridCol w:w="1608"/>
        <w:gridCol w:w="1663"/>
        <w:gridCol w:w="920"/>
        <w:gridCol w:w="1019"/>
        <w:gridCol w:w="1019"/>
        <w:gridCol w:w="1399"/>
        <w:gridCol w:w="1388"/>
      </w:tblGrid>
      <w:tr w:rsidR="008337E8" w:rsidRPr="00283352" w14:paraId="45A3789E" w14:textId="77777777" w:rsidTr="009A745A">
        <w:trPr>
          <w:tblHeader/>
        </w:trPr>
        <w:tc>
          <w:tcPr>
            <w:tcW w:w="892" w:type="pct"/>
            <w:tcBorders>
              <w:top w:val="single" w:sz="4" w:space="0" w:color="auto"/>
              <w:left w:val="single" w:sz="4" w:space="0" w:color="auto"/>
              <w:bottom w:val="single" w:sz="4" w:space="0" w:color="auto"/>
              <w:right w:val="single" w:sz="4" w:space="0" w:color="auto"/>
            </w:tcBorders>
            <w:hideMark/>
          </w:tcPr>
          <w:p w14:paraId="6C81818D" w14:textId="77777777" w:rsidR="008337E8" w:rsidRPr="00283352" w:rsidRDefault="008337E8" w:rsidP="009A745A">
            <w:pPr>
              <w:spacing w:before="40" w:after="40"/>
              <w:rPr>
                <w:rFonts w:ascii="Arial Narrow" w:hAnsi="Arial Narrow" w:cs="Tahoma"/>
                <w:b/>
                <w:sz w:val="20"/>
              </w:rPr>
            </w:pPr>
            <w:bookmarkStart w:id="26" w:name="_Ref421184437"/>
            <w:bookmarkStart w:id="27" w:name="_Toc444869019"/>
            <w:bookmarkStart w:id="28" w:name="_Toc52801223"/>
            <w:r w:rsidRPr="00283352">
              <w:rPr>
                <w:rFonts w:ascii="Arial Narrow" w:hAnsi="Arial Narrow" w:cs="Tahoma"/>
                <w:b/>
                <w:sz w:val="20"/>
              </w:rPr>
              <w:t>Outcomes (units)</w:t>
            </w:r>
          </w:p>
          <w:p w14:paraId="3F53F2D0"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Follow-up</w:t>
            </w:r>
          </w:p>
        </w:tc>
        <w:tc>
          <w:tcPr>
            <w:tcW w:w="922" w:type="pct"/>
            <w:tcBorders>
              <w:top w:val="single" w:sz="4" w:space="0" w:color="auto"/>
              <w:left w:val="single" w:sz="4" w:space="0" w:color="auto"/>
              <w:bottom w:val="single" w:sz="4" w:space="0" w:color="auto"/>
              <w:right w:val="single" w:sz="4" w:space="0" w:color="auto"/>
            </w:tcBorders>
          </w:tcPr>
          <w:p w14:paraId="1296E151"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Participants (studies)</w:t>
            </w:r>
          </w:p>
          <w:p w14:paraId="414EAC67" w14:textId="77777777" w:rsidR="008337E8" w:rsidRPr="00283352" w:rsidRDefault="008337E8" w:rsidP="009A745A">
            <w:pPr>
              <w:spacing w:before="40" w:after="40"/>
              <w:rPr>
                <w:rFonts w:ascii="Arial Narrow" w:hAnsi="Arial Narrow" w:cs="Tahoma"/>
                <w:b/>
                <w:sz w:val="20"/>
              </w:rPr>
            </w:pPr>
          </w:p>
        </w:tc>
        <w:tc>
          <w:tcPr>
            <w:tcW w:w="510" w:type="pct"/>
            <w:tcBorders>
              <w:top w:val="single" w:sz="4" w:space="0" w:color="auto"/>
              <w:left w:val="single" w:sz="4" w:space="0" w:color="auto"/>
              <w:bottom w:val="single" w:sz="4" w:space="0" w:color="auto"/>
              <w:right w:val="single" w:sz="4" w:space="0" w:color="auto"/>
            </w:tcBorders>
            <w:hideMark/>
          </w:tcPr>
          <w:p w14:paraId="0238CC4E"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Quality of evidence (GRADE)</w:t>
            </w:r>
          </w:p>
        </w:tc>
        <w:tc>
          <w:tcPr>
            <w:tcW w:w="565" w:type="pct"/>
            <w:tcBorders>
              <w:top w:val="single" w:sz="4" w:space="0" w:color="auto"/>
              <w:left w:val="single" w:sz="4" w:space="0" w:color="auto"/>
              <w:bottom w:val="single" w:sz="4" w:space="0" w:color="auto"/>
              <w:right w:val="single" w:sz="4" w:space="0" w:color="auto"/>
            </w:tcBorders>
            <w:hideMark/>
          </w:tcPr>
          <w:p w14:paraId="58027A7E"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 xml:space="preserve">Reduction with </w:t>
            </w:r>
            <w:proofErr w:type="spellStart"/>
            <w:r w:rsidRPr="00283352">
              <w:rPr>
                <w:rFonts w:ascii="Arial Narrow" w:hAnsi="Arial Narrow" w:cs="Tahoma"/>
                <w:b/>
                <w:sz w:val="20"/>
              </w:rPr>
              <w:t>MrgFUS</w:t>
            </w:r>
            <w:proofErr w:type="spellEnd"/>
          </w:p>
        </w:tc>
        <w:tc>
          <w:tcPr>
            <w:tcW w:w="565" w:type="pct"/>
            <w:tcBorders>
              <w:top w:val="single" w:sz="4" w:space="0" w:color="auto"/>
              <w:left w:val="single" w:sz="4" w:space="0" w:color="auto"/>
              <w:bottom w:val="single" w:sz="4" w:space="0" w:color="auto"/>
              <w:right w:val="single" w:sz="4" w:space="0" w:color="auto"/>
            </w:tcBorders>
            <w:hideMark/>
          </w:tcPr>
          <w:p w14:paraId="7222096B"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Reduction with DBS</w:t>
            </w:r>
          </w:p>
        </w:tc>
        <w:tc>
          <w:tcPr>
            <w:tcW w:w="776" w:type="pct"/>
            <w:tcBorders>
              <w:top w:val="single" w:sz="4" w:space="0" w:color="auto"/>
              <w:left w:val="single" w:sz="4" w:space="0" w:color="auto"/>
              <w:bottom w:val="single" w:sz="4" w:space="0" w:color="auto"/>
              <w:right w:val="single" w:sz="4" w:space="0" w:color="auto"/>
            </w:tcBorders>
            <w:hideMark/>
          </w:tcPr>
          <w:p w14:paraId="1ED02FF4"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Mean difference</w:t>
            </w:r>
          </w:p>
        </w:tc>
        <w:tc>
          <w:tcPr>
            <w:tcW w:w="770" w:type="pct"/>
            <w:tcBorders>
              <w:top w:val="single" w:sz="4" w:space="0" w:color="auto"/>
              <w:left w:val="single" w:sz="4" w:space="0" w:color="auto"/>
              <w:bottom w:val="single" w:sz="4" w:space="0" w:color="auto"/>
              <w:right w:val="single" w:sz="4" w:space="0" w:color="auto"/>
            </w:tcBorders>
            <w:hideMark/>
          </w:tcPr>
          <w:p w14:paraId="33CC74A4" w14:textId="77777777" w:rsidR="008337E8" w:rsidRPr="00283352" w:rsidRDefault="008337E8" w:rsidP="009A745A">
            <w:pPr>
              <w:spacing w:before="40" w:after="40"/>
              <w:rPr>
                <w:rFonts w:ascii="Arial Narrow" w:hAnsi="Arial Narrow" w:cs="Tahoma"/>
                <w:b/>
                <w:sz w:val="20"/>
              </w:rPr>
            </w:pPr>
            <w:r w:rsidRPr="00283352">
              <w:rPr>
                <w:rFonts w:ascii="Arial Narrow" w:hAnsi="Arial Narrow" w:cs="Tahoma"/>
                <w:b/>
                <w:sz w:val="20"/>
              </w:rPr>
              <w:t>Comments</w:t>
            </w:r>
          </w:p>
        </w:tc>
      </w:tr>
      <w:tr w:rsidR="008337E8" w:rsidRPr="00283352" w14:paraId="3FB161A3" w14:textId="77777777" w:rsidTr="009A745A">
        <w:tc>
          <w:tcPr>
            <w:tcW w:w="892" w:type="pct"/>
            <w:tcBorders>
              <w:top w:val="single" w:sz="4" w:space="0" w:color="auto"/>
              <w:left w:val="single" w:sz="4" w:space="0" w:color="auto"/>
              <w:bottom w:val="single" w:sz="4" w:space="0" w:color="auto"/>
              <w:right w:val="nil"/>
            </w:tcBorders>
            <w:hideMark/>
          </w:tcPr>
          <w:p w14:paraId="2B57125A" w14:textId="77777777" w:rsidR="008337E8" w:rsidRPr="00283352" w:rsidRDefault="008337E8" w:rsidP="009A745A">
            <w:pPr>
              <w:spacing w:before="40" w:after="40"/>
              <w:rPr>
                <w:rFonts w:ascii="Arial Narrow" w:hAnsi="Arial Narrow" w:cs="Tahoma"/>
                <w:bCs/>
                <w:sz w:val="20"/>
              </w:rPr>
            </w:pPr>
            <w:r w:rsidRPr="00283352">
              <w:rPr>
                <w:rFonts w:ascii="Arial Narrow" w:hAnsi="Arial Narrow" w:cs="Tahoma"/>
                <w:bCs/>
                <w:sz w:val="20"/>
              </w:rPr>
              <w:t xml:space="preserve">Retrospective </w:t>
            </w:r>
          </w:p>
        </w:tc>
        <w:tc>
          <w:tcPr>
            <w:tcW w:w="922" w:type="pct"/>
            <w:tcBorders>
              <w:top w:val="single" w:sz="4" w:space="0" w:color="auto"/>
              <w:left w:val="nil"/>
              <w:bottom w:val="single" w:sz="4" w:space="0" w:color="auto"/>
              <w:right w:val="nil"/>
            </w:tcBorders>
          </w:tcPr>
          <w:p w14:paraId="4667CF13" w14:textId="77777777" w:rsidR="008337E8" w:rsidRPr="00283352" w:rsidRDefault="008337E8" w:rsidP="009A745A">
            <w:pPr>
              <w:spacing w:before="40" w:after="40"/>
              <w:rPr>
                <w:rFonts w:ascii="Arial Narrow" w:hAnsi="Arial Narrow" w:cs="Tahoma"/>
                <w:bCs/>
                <w:sz w:val="20"/>
              </w:rPr>
            </w:pPr>
            <w:r w:rsidRPr="00283352">
              <w:rPr>
                <w:rFonts w:ascii="Arial Narrow" w:hAnsi="Arial Narrow" w:cs="Tahoma"/>
                <w:bCs/>
                <w:sz w:val="20"/>
              </w:rPr>
              <w:t>comparative studies</w:t>
            </w:r>
          </w:p>
        </w:tc>
        <w:tc>
          <w:tcPr>
            <w:tcW w:w="510" w:type="pct"/>
            <w:tcBorders>
              <w:top w:val="single" w:sz="4" w:space="0" w:color="auto"/>
              <w:left w:val="nil"/>
              <w:bottom w:val="single" w:sz="4" w:space="0" w:color="auto"/>
              <w:right w:val="nil"/>
            </w:tcBorders>
          </w:tcPr>
          <w:p w14:paraId="177FF794" w14:textId="77777777" w:rsidR="008337E8" w:rsidRPr="00283352" w:rsidRDefault="008337E8" w:rsidP="009A745A">
            <w:pPr>
              <w:spacing w:before="40" w:after="40"/>
              <w:rPr>
                <w:rFonts w:ascii="Cambria Math" w:hAnsi="Cambria Math" w:cs="Cambria Math"/>
                <w:color w:val="C00000"/>
                <w:sz w:val="20"/>
              </w:rPr>
            </w:pPr>
          </w:p>
        </w:tc>
        <w:tc>
          <w:tcPr>
            <w:tcW w:w="565" w:type="pct"/>
            <w:tcBorders>
              <w:top w:val="single" w:sz="4" w:space="0" w:color="auto"/>
              <w:left w:val="nil"/>
              <w:bottom w:val="single" w:sz="4" w:space="0" w:color="auto"/>
              <w:right w:val="nil"/>
            </w:tcBorders>
          </w:tcPr>
          <w:p w14:paraId="23499CEB" w14:textId="77777777" w:rsidR="008337E8" w:rsidRPr="00283352" w:rsidRDefault="008337E8" w:rsidP="009A745A">
            <w:pPr>
              <w:spacing w:before="40" w:after="40"/>
              <w:rPr>
                <w:rFonts w:ascii="Arial Narrow" w:hAnsi="Arial Narrow" w:cs="Tahoma"/>
                <w:bCs/>
                <w:sz w:val="20"/>
              </w:rPr>
            </w:pPr>
          </w:p>
        </w:tc>
        <w:tc>
          <w:tcPr>
            <w:tcW w:w="565" w:type="pct"/>
            <w:tcBorders>
              <w:top w:val="single" w:sz="4" w:space="0" w:color="auto"/>
              <w:left w:val="nil"/>
              <w:bottom w:val="single" w:sz="4" w:space="0" w:color="auto"/>
              <w:right w:val="nil"/>
            </w:tcBorders>
          </w:tcPr>
          <w:p w14:paraId="5A15A708" w14:textId="77777777" w:rsidR="008337E8" w:rsidRPr="00283352" w:rsidRDefault="008337E8" w:rsidP="009A745A">
            <w:pPr>
              <w:spacing w:before="40" w:after="40"/>
              <w:rPr>
                <w:rFonts w:ascii="Arial Narrow" w:hAnsi="Arial Narrow" w:cs="Tahoma"/>
                <w:bCs/>
                <w:sz w:val="20"/>
              </w:rPr>
            </w:pPr>
          </w:p>
        </w:tc>
        <w:tc>
          <w:tcPr>
            <w:tcW w:w="776" w:type="pct"/>
            <w:tcBorders>
              <w:top w:val="single" w:sz="4" w:space="0" w:color="auto"/>
              <w:left w:val="nil"/>
              <w:bottom w:val="single" w:sz="4" w:space="0" w:color="auto"/>
              <w:right w:val="nil"/>
            </w:tcBorders>
          </w:tcPr>
          <w:p w14:paraId="0BB5B893" w14:textId="77777777" w:rsidR="008337E8" w:rsidRPr="00283352" w:rsidRDefault="008337E8" w:rsidP="009A745A">
            <w:pPr>
              <w:spacing w:before="40" w:after="40"/>
              <w:rPr>
                <w:rFonts w:ascii="Arial Narrow" w:hAnsi="Arial Narrow" w:cs="Tahoma"/>
                <w:bCs/>
                <w:sz w:val="20"/>
              </w:rPr>
            </w:pPr>
          </w:p>
        </w:tc>
        <w:tc>
          <w:tcPr>
            <w:tcW w:w="770" w:type="pct"/>
            <w:tcBorders>
              <w:top w:val="single" w:sz="4" w:space="0" w:color="auto"/>
              <w:left w:val="nil"/>
              <w:bottom w:val="single" w:sz="4" w:space="0" w:color="auto"/>
              <w:right w:val="single" w:sz="4" w:space="0" w:color="auto"/>
            </w:tcBorders>
          </w:tcPr>
          <w:p w14:paraId="55768AA3" w14:textId="77777777" w:rsidR="008337E8" w:rsidRPr="00283352" w:rsidRDefault="008337E8" w:rsidP="009A745A">
            <w:pPr>
              <w:spacing w:before="40" w:after="40"/>
              <w:rPr>
                <w:rFonts w:ascii="Arial Narrow" w:hAnsi="Arial Narrow" w:cs="Tahoma"/>
                <w:bCs/>
                <w:sz w:val="20"/>
              </w:rPr>
            </w:pPr>
          </w:p>
        </w:tc>
      </w:tr>
      <w:tr w:rsidR="008337E8" w:rsidRPr="00283352" w14:paraId="7E69D9D5" w14:textId="77777777" w:rsidTr="009A745A">
        <w:trPr>
          <w:trHeight w:val="263"/>
        </w:trPr>
        <w:tc>
          <w:tcPr>
            <w:tcW w:w="892" w:type="pct"/>
            <w:tcBorders>
              <w:top w:val="single" w:sz="4" w:space="0" w:color="auto"/>
              <w:left w:val="single" w:sz="4" w:space="0" w:color="auto"/>
              <w:bottom w:val="single" w:sz="4" w:space="0" w:color="auto"/>
              <w:right w:val="single" w:sz="4" w:space="0" w:color="auto"/>
            </w:tcBorders>
            <w:hideMark/>
          </w:tcPr>
          <w:p w14:paraId="12FB7C90"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Total CRST, 12 months</w:t>
            </w:r>
          </w:p>
        </w:tc>
        <w:tc>
          <w:tcPr>
            <w:tcW w:w="922" w:type="pct"/>
            <w:tcBorders>
              <w:top w:val="single" w:sz="4" w:space="0" w:color="auto"/>
              <w:left w:val="single" w:sz="4" w:space="0" w:color="auto"/>
              <w:bottom w:val="single" w:sz="4" w:space="0" w:color="auto"/>
              <w:right w:val="single" w:sz="4" w:space="0" w:color="auto"/>
            </w:tcBorders>
            <w:hideMark/>
          </w:tcPr>
          <w:p w14:paraId="54E66BB0" w14:textId="77777777" w:rsidR="008337E8" w:rsidRPr="00283352" w:rsidRDefault="008337E8" w:rsidP="009A745A">
            <w:pPr>
              <w:spacing w:before="40" w:after="40"/>
              <w:rPr>
                <w:rFonts w:ascii="Arial Narrow" w:hAnsi="Arial Narrow" w:cs="Arial"/>
                <w:sz w:val="18"/>
                <w:szCs w:val="18"/>
                <w:vertAlign w:val="superscript"/>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=15; </w:t>
            </w:r>
            <w:proofErr w:type="spellStart"/>
            <w:r w:rsidRPr="00283352">
              <w:rPr>
                <w:rFonts w:ascii="Arial Narrow" w:hAnsi="Arial Narrow" w:cs="Tahoma"/>
                <w:sz w:val="20"/>
              </w:rPr>
              <w:t>uDBS</w:t>
            </w:r>
            <w:proofErr w:type="spellEnd"/>
            <w:r w:rsidRPr="00283352">
              <w:rPr>
                <w:rFonts w:ascii="Arial Narrow" w:hAnsi="Arial Narrow" w:cs="Tahoma"/>
                <w:sz w:val="20"/>
              </w:rPr>
              <w:t xml:space="preserve">=13; </w:t>
            </w:r>
            <w:proofErr w:type="spellStart"/>
            <w:r w:rsidRPr="00283352">
              <w:rPr>
                <w:rFonts w:ascii="Arial Narrow" w:hAnsi="Arial Narrow" w:cs="Tahoma"/>
                <w:sz w:val="20"/>
              </w:rPr>
              <w:t>bDBS</w:t>
            </w:r>
            <w:proofErr w:type="spellEnd"/>
            <w:r w:rsidRPr="00283352">
              <w:rPr>
                <w:rFonts w:ascii="Arial Narrow" w:hAnsi="Arial Narrow" w:cs="Tahoma"/>
                <w:sz w:val="20"/>
              </w:rPr>
              <w:t>=57; k=1</w:t>
            </w:r>
          </w:p>
        </w:tc>
        <w:tc>
          <w:tcPr>
            <w:tcW w:w="510" w:type="pct"/>
            <w:tcBorders>
              <w:top w:val="single" w:sz="4" w:space="0" w:color="auto"/>
              <w:left w:val="single" w:sz="4" w:space="0" w:color="auto"/>
              <w:bottom w:val="single" w:sz="4" w:space="0" w:color="auto"/>
              <w:right w:val="single" w:sz="4" w:space="0" w:color="auto"/>
            </w:tcBorders>
            <w:hideMark/>
          </w:tcPr>
          <w:p w14:paraId="26BE34CD"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69FC6B98"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55.7%</w:t>
            </w:r>
          </w:p>
        </w:tc>
        <w:tc>
          <w:tcPr>
            <w:tcW w:w="565" w:type="pct"/>
            <w:tcBorders>
              <w:top w:val="single" w:sz="4" w:space="0" w:color="auto"/>
              <w:left w:val="single" w:sz="4" w:space="0" w:color="auto"/>
              <w:bottom w:val="single" w:sz="4" w:space="0" w:color="auto"/>
              <w:right w:val="single" w:sz="4" w:space="0" w:color="auto"/>
            </w:tcBorders>
            <w:hideMark/>
          </w:tcPr>
          <w:p w14:paraId="13B89F3B"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uDBS</w:t>
            </w:r>
            <w:proofErr w:type="spellEnd"/>
            <w:r w:rsidRPr="00283352">
              <w:rPr>
                <w:rFonts w:ascii="Arial Narrow" w:hAnsi="Arial Narrow" w:cs="Tahoma"/>
                <w:sz w:val="20"/>
              </w:rPr>
              <w:t>: 73.4%</w:t>
            </w:r>
          </w:p>
          <w:p w14:paraId="2CC15B53" w14:textId="77777777" w:rsidR="008337E8" w:rsidRPr="00283352" w:rsidRDefault="008337E8" w:rsidP="009A745A">
            <w:pPr>
              <w:spacing w:before="40" w:after="40"/>
              <w:rPr>
                <w:rFonts w:ascii="Arial Narrow" w:hAnsi="Arial Narrow" w:cs="Arial"/>
                <w:sz w:val="18"/>
                <w:szCs w:val="18"/>
                <w:vertAlign w:val="superscript"/>
              </w:rPr>
            </w:pPr>
            <w:proofErr w:type="spellStart"/>
            <w:r w:rsidRPr="00283352">
              <w:rPr>
                <w:rFonts w:ascii="Arial Narrow" w:hAnsi="Arial Narrow" w:cs="Tahoma"/>
                <w:sz w:val="20"/>
              </w:rPr>
              <w:t>bDBS</w:t>
            </w:r>
            <w:proofErr w:type="spellEnd"/>
            <w:r w:rsidRPr="00283352">
              <w:rPr>
                <w:rFonts w:ascii="Arial Narrow" w:hAnsi="Arial Narrow" w:cs="Tahoma"/>
                <w:sz w:val="20"/>
              </w:rPr>
              <w:t>: 79.5%</w:t>
            </w:r>
          </w:p>
        </w:tc>
        <w:tc>
          <w:tcPr>
            <w:tcW w:w="776" w:type="pct"/>
            <w:tcBorders>
              <w:top w:val="single" w:sz="4" w:space="0" w:color="auto"/>
              <w:left w:val="single" w:sz="4" w:space="0" w:color="auto"/>
              <w:bottom w:val="single" w:sz="4" w:space="0" w:color="auto"/>
              <w:right w:val="single" w:sz="4" w:space="0" w:color="auto"/>
            </w:tcBorders>
            <w:hideMark/>
          </w:tcPr>
          <w:p w14:paraId="10D93E2C"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uDBS</w:t>
            </w:r>
            <w:proofErr w:type="spellEnd"/>
            <w:r w:rsidRPr="00283352">
              <w:rPr>
                <w:rFonts w:ascii="Arial Narrow" w:hAnsi="Arial Narrow" w:cs="Tahoma"/>
                <w:sz w:val="20"/>
              </w:rPr>
              <w:t xml:space="preserve">: 17% </w:t>
            </w:r>
          </w:p>
          <w:p w14:paraId="7932C83E"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bDBS</w:t>
            </w:r>
            <w:proofErr w:type="spellEnd"/>
            <w:r w:rsidRPr="00283352">
              <w:rPr>
                <w:rFonts w:ascii="Arial Narrow" w:hAnsi="Arial Narrow" w:cs="Tahoma"/>
                <w:sz w:val="20"/>
              </w:rPr>
              <w:t xml:space="preserve">: 23.8% </w:t>
            </w:r>
          </w:p>
        </w:tc>
        <w:tc>
          <w:tcPr>
            <w:tcW w:w="770" w:type="pct"/>
            <w:tcBorders>
              <w:top w:val="single" w:sz="4" w:space="0" w:color="auto"/>
              <w:left w:val="single" w:sz="4" w:space="0" w:color="auto"/>
              <w:bottom w:val="single" w:sz="4" w:space="0" w:color="auto"/>
              <w:right w:val="single" w:sz="4" w:space="0" w:color="auto"/>
            </w:tcBorders>
            <w:hideMark/>
          </w:tcPr>
          <w:p w14:paraId="2C38DD73"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 xml:space="preserve">Numerically favours </w:t>
            </w:r>
            <w:proofErr w:type="spellStart"/>
            <w:r w:rsidRPr="00283352">
              <w:rPr>
                <w:rFonts w:ascii="Arial Narrow" w:hAnsi="Arial Narrow" w:cs="Tahoma"/>
                <w:sz w:val="20"/>
              </w:rPr>
              <w:t>uDBS</w:t>
            </w:r>
            <w:proofErr w:type="spellEnd"/>
          </w:p>
          <w:p w14:paraId="1C94400C"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 xml:space="preserve">Statistically favours </w:t>
            </w:r>
            <w:proofErr w:type="spellStart"/>
            <w:r w:rsidRPr="00283352">
              <w:rPr>
                <w:rFonts w:ascii="Arial Narrow" w:hAnsi="Arial Narrow" w:cs="Tahoma"/>
                <w:sz w:val="20"/>
              </w:rPr>
              <w:t>dDBS</w:t>
            </w:r>
            <w:proofErr w:type="spellEnd"/>
            <w:r w:rsidRPr="00283352">
              <w:rPr>
                <w:rFonts w:ascii="Arial Narrow" w:hAnsi="Arial Narrow" w:cs="Tahoma"/>
                <w:sz w:val="20"/>
              </w:rPr>
              <w:t xml:space="preserve"> (p&lt;0.05)</w:t>
            </w:r>
          </w:p>
        </w:tc>
      </w:tr>
      <w:tr w:rsidR="008337E8" w:rsidRPr="00283352" w14:paraId="24B460A2" w14:textId="77777777" w:rsidTr="009A745A">
        <w:trPr>
          <w:trHeight w:val="263"/>
        </w:trPr>
        <w:tc>
          <w:tcPr>
            <w:tcW w:w="892" w:type="pct"/>
            <w:tcBorders>
              <w:top w:val="single" w:sz="4" w:space="0" w:color="auto"/>
              <w:left w:val="single" w:sz="4" w:space="0" w:color="auto"/>
              <w:bottom w:val="single" w:sz="4" w:space="0" w:color="auto"/>
              <w:right w:val="single" w:sz="4" w:space="0" w:color="auto"/>
            </w:tcBorders>
            <w:hideMark/>
          </w:tcPr>
          <w:p w14:paraId="3DD6B98A"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Hand tremor, 12 months</w:t>
            </w:r>
          </w:p>
        </w:tc>
        <w:tc>
          <w:tcPr>
            <w:tcW w:w="922" w:type="pct"/>
            <w:tcBorders>
              <w:top w:val="single" w:sz="4" w:space="0" w:color="auto"/>
              <w:left w:val="single" w:sz="4" w:space="0" w:color="auto"/>
              <w:bottom w:val="single" w:sz="4" w:space="0" w:color="auto"/>
              <w:right w:val="single" w:sz="4" w:space="0" w:color="auto"/>
            </w:tcBorders>
            <w:hideMark/>
          </w:tcPr>
          <w:p w14:paraId="7198B208"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=15; </w:t>
            </w:r>
            <w:proofErr w:type="spellStart"/>
            <w:r w:rsidRPr="00283352">
              <w:rPr>
                <w:rFonts w:ascii="Arial Narrow" w:hAnsi="Arial Narrow" w:cs="Tahoma"/>
                <w:sz w:val="20"/>
              </w:rPr>
              <w:t>uDBS</w:t>
            </w:r>
            <w:proofErr w:type="spellEnd"/>
            <w:r w:rsidRPr="00283352">
              <w:rPr>
                <w:rFonts w:ascii="Arial Narrow" w:hAnsi="Arial Narrow" w:cs="Tahoma"/>
                <w:sz w:val="20"/>
              </w:rPr>
              <w:t xml:space="preserve">=13; </w:t>
            </w:r>
            <w:proofErr w:type="spellStart"/>
            <w:r w:rsidRPr="00283352">
              <w:rPr>
                <w:rFonts w:ascii="Arial Narrow" w:hAnsi="Arial Narrow" w:cs="Tahoma"/>
                <w:sz w:val="20"/>
              </w:rPr>
              <w:t>bDBS</w:t>
            </w:r>
            <w:proofErr w:type="spellEnd"/>
            <w:r w:rsidRPr="00283352">
              <w:rPr>
                <w:rFonts w:ascii="Arial Narrow" w:hAnsi="Arial Narrow" w:cs="Tahoma"/>
                <w:sz w:val="20"/>
              </w:rPr>
              <w:t>=57; k=1</w:t>
            </w:r>
          </w:p>
        </w:tc>
        <w:tc>
          <w:tcPr>
            <w:tcW w:w="510" w:type="pct"/>
            <w:tcBorders>
              <w:top w:val="single" w:sz="4" w:space="0" w:color="auto"/>
              <w:left w:val="single" w:sz="4" w:space="0" w:color="auto"/>
              <w:bottom w:val="single" w:sz="4" w:space="0" w:color="auto"/>
              <w:right w:val="single" w:sz="4" w:space="0" w:color="auto"/>
            </w:tcBorders>
            <w:hideMark/>
          </w:tcPr>
          <w:p w14:paraId="09F2C104" w14:textId="77777777" w:rsidR="008337E8" w:rsidRPr="00283352" w:rsidRDefault="008337E8" w:rsidP="009A745A">
            <w:pPr>
              <w:spacing w:before="40" w:after="40"/>
              <w:rPr>
                <w:rFonts w:ascii="Cambria Math" w:hAnsi="Cambria Math" w:cs="Tahoma"/>
                <w:color w:val="00B050"/>
                <w:sz w:val="20"/>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40E35D57"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74.5%</w:t>
            </w:r>
          </w:p>
        </w:tc>
        <w:tc>
          <w:tcPr>
            <w:tcW w:w="565" w:type="pct"/>
            <w:tcBorders>
              <w:top w:val="single" w:sz="4" w:space="0" w:color="auto"/>
              <w:left w:val="single" w:sz="4" w:space="0" w:color="auto"/>
              <w:bottom w:val="single" w:sz="4" w:space="0" w:color="auto"/>
              <w:right w:val="single" w:sz="4" w:space="0" w:color="auto"/>
            </w:tcBorders>
            <w:hideMark/>
          </w:tcPr>
          <w:p w14:paraId="6D80B6DB"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uDBS</w:t>
            </w:r>
            <w:proofErr w:type="spellEnd"/>
            <w:r w:rsidRPr="00283352">
              <w:rPr>
                <w:rFonts w:ascii="Arial Narrow" w:hAnsi="Arial Narrow" w:cs="Tahoma"/>
                <w:sz w:val="20"/>
              </w:rPr>
              <w:t>: 78.9%</w:t>
            </w:r>
          </w:p>
          <w:p w14:paraId="7DF3F11B"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bDBS</w:t>
            </w:r>
            <w:proofErr w:type="spellEnd"/>
            <w:r w:rsidRPr="00283352">
              <w:rPr>
                <w:rFonts w:ascii="Arial Narrow" w:hAnsi="Arial Narrow" w:cs="Tahoma"/>
                <w:sz w:val="20"/>
              </w:rPr>
              <w:t>: 74.5%</w:t>
            </w:r>
          </w:p>
        </w:tc>
        <w:tc>
          <w:tcPr>
            <w:tcW w:w="776" w:type="pct"/>
            <w:tcBorders>
              <w:top w:val="single" w:sz="4" w:space="0" w:color="auto"/>
              <w:left w:val="single" w:sz="4" w:space="0" w:color="auto"/>
              <w:bottom w:val="single" w:sz="4" w:space="0" w:color="auto"/>
              <w:right w:val="single" w:sz="4" w:space="0" w:color="auto"/>
            </w:tcBorders>
            <w:hideMark/>
          </w:tcPr>
          <w:p w14:paraId="12759B43"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uDBS</w:t>
            </w:r>
            <w:proofErr w:type="spellEnd"/>
            <w:r w:rsidRPr="00283352">
              <w:rPr>
                <w:rFonts w:ascii="Arial Narrow" w:hAnsi="Arial Narrow" w:cs="Tahoma"/>
                <w:sz w:val="20"/>
              </w:rPr>
              <w:t>: 3.4%</w:t>
            </w:r>
          </w:p>
          <w:p w14:paraId="44D215F5"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bDBS</w:t>
            </w:r>
            <w:proofErr w:type="spellEnd"/>
            <w:r w:rsidRPr="00283352">
              <w:rPr>
                <w:rFonts w:ascii="Arial Narrow" w:hAnsi="Arial Narrow" w:cs="Tahoma"/>
                <w:sz w:val="20"/>
              </w:rPr>
              <w:t>: 0.0%</w:t>
            </w:r>
          </w:p>
        </w:tc>
        <w:tc>
          <w:tcPr>
            <w:tcW w:w="770" w:type="pct"/>
            <w:tcBorders>
              <w:top w:val="single" w:sz="4" w:space="0" w:color="auto"/>
              <w:left w:val="single" w:sz="4" w:space="0" w:color="auto"/>
              <w:bottom w:val="single" w:sz="4" w:space="0" w:color="auto"/>
              <w:right w:val="single" w:sz="4" w:space="0" w:color="auto"/>
            </w:tcBorders>
            <w:hideMark/>
          </w:tcPr>
          <w:p w14:paraId="4AA12FD2"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No significant difference</w:t>
            </w:r>
          </w:p>
        </w:tc>
      </w:tr>
      <w:tr w:rsidR="008337E8" w:rsidRPr="00283352" w14:paraId="29BC3AF2" w14:textId="77777777" w:rsidTr="009A745A">
        <w:tc>
          <w:tcPr>
            <w:tcW w:w="892" w:type="pct"/>
            <w:tcBorders>
              <w:top w:val="single" w:sz="4" w:space="0" w:color="auto"/>
              <w:left w:val="single" w:sz="4" w:space="0" w:color="auto"/>
              <w:bottom w:val="single" w:sz="4" w:space="0" w:color="auto"/>
              <w:right w:val="single" w:sz="4" w:space="0" w:color="auto"/>
            </w:tcBorders>
            <w:hideMark/>
          </w:tcPr>
          <w:p w14:paraId="36EBFC6C"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 xml:space="preserve">CRST Part C, 12 months </w:t>
            </w:r>
          </w:p>
        </w:tc>
        <w:tc>
          <w:tcPr>
            <w:tcW w:w="922" w:type="pct"/>
            <w:tcBorders>
              <w:top w:val="single" w:sz="4" w:space="0" w:color="auto"/>
              <w:left w:val="single" w:sz="4" w:space="0" w:color="auto"/>
              <w:bottom w:val="single" w:sz="4" w:space="0" w:color="auto"/>
              <w:right w:val="single" w:sz="4" w:space="0" w:color="auto"/>
            </w:tcBorders>
            <w:hideMark/>
          </w:tcPr>
          <w:p w14:paraId="163F7F59" w14:textId="77777777" w:rsidR="008337E8" w:rsidRPr="00283352" w:rsidRDefault="008337E8" w:rsidP="009A745A">
            <w:pPr>
              <w:spacing w:before="40" w:after="40"/>
              <w:rPr>
                <w:rFonts w:ascii="Arial Narrow" w:hAnsi="Arial Narrow" w:cs="Arial"/>
                <w:sz w:val="18"/>
                <w:szCs w:val="18"/>
                <w:vertAlign w:val="superscript"/>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=15; </w:t>
            </w:r>
            <w:proofErr w:type="spellStart"/>
            <w:r w:rsidRPr="00283352">
              <w:rPr>
                <w:rFonts w:ascii="Arial Narrow" w:hAnsi="Arial Narrow" w:cs="Tahoma"/>
                <w:sz w:val="20"/>
              </w:rPr>
              <w:t>uDBS</w:t>
            </w:r>
            <w:proofErr w:type="spellEnd"/>
            <w:r w:rsidRPr="00283352">
              <w:rPr>
                <w:rFonts w:ascii="Arial Narrow" w:hAnsi="Arial Narrow" w:cs="Tahoma"/>
                <w:sz w:val="20"/>
              </w:rPr>
              <w:t xml:space="preserve">=13; </w:t>
            </w:r>
            <w:proofErr w:type="spellStart"/>
            <w:r w:rsidRPr="00283352">
              <w:rPr>
                <w:rFonts w:ascii="Arial Narrow" w:hAnsi="Arial Narrow" w:cs="Tahoma"/>
                <w:sz w:val="20"/>
              </w:rPr>
              <w:t>bDBS</w:t>
            </w:r>
            <w:proofErr w:type="spellEnd"/>
            <w:r w:rsidRPr="00283352">
              <w:rPr>
                <w:rFonts w:ascii="Arial Narrow" w:hAnsi="Arial Narrow" w:cs="Tahoma"/>
                <w:sz w:val="20"/>
              </w:rPr>
              <w:t>=57; k=1</w:t>
            </w:r>
          </w:p>
        </w:tc>
        <w:tc>
          <w:tcPr>
            <w:tcW w:w="510" w:type="pct"/>
            <w:tcBorders>
              <w:top w:val="single" w:sz="4" w:space="0" w:color="auto"/>
              <w:left w:val="single" w:sz="4" w:space="0" w:color="auto"/>
              <w:bottom w:val="single" w:sz="4" w:space="0" w:color="auto"/>
              <w:right w:val="single" w:sz="4" w:space="0" w:color="auto"/>
            </w:tcBorders>
            <w:hideMark/>
          </w:tcPr>
          <w:p w14:paraId="1D053115"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6B38AB7F"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88.4%</w:t>
            </w:r>
          </w:p>
        </w:tc>
        <w:tc>
          <w:tcPr>
            <w:tcW w:w="565" w:type="pct"/>
            <w:tcBorders>
              <w:top w:val="single" w:sz="4" w:space="0" w:color="auto"/>
              <w:left w:val="single" w:sz="4" w:space="0" w:color="auto"/>
              <w:bottom w:val="single" w:sz="4" w:space="0" w:color="auto"/>
              <w:right w:val="single" w:sz="4" w:space="0" w:color="auto"/>
            </w:tcBorders>
            <w:hideMark/>
          </w:tcPr>
          <w:p w14:paraId="7818222A"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uDBS</w:t>
            </w:r>
            <w:proofErr w:type="spellEnd"/>
            <w:r w:rsidRPr="00283352">
              <w:rPr>
                <w:rFonts w:ascii="Arial Narrow" w:hAnsi="Arial Narrow" w:cs="Tahoma"/>
                <w:sz w:val="20"/>
              </w:rPr>
              <w:t>: 83.1%</w:t>
            </w:r>
          </w:p>
          <w:p w14:paraId="50E3AF5A" w14:textId="77777777" w:rsidR="008337E8" w:rsidRPr="00283352" w:rsidRDefault="008337E8" w:rsidP="009A745A">
            <w:pPr>
              <w:spacing w:before="40" w:after="40"/>
              <w:rPr>
                <w:rFonts w:ascii="Arial Narrow" w:hAnsi="Arial Narrow" w:cs="Arial"/>
                <w:sz w:val="18"/>
                <w:szCs w:val="18"/>
                <w:vertAlign w:val="superscript"/>
              </w:rPr>
            </w:pPr>
            <w:proofErr w:type="spellStart"/>
            <w:r w:rsidRPr="00283352">
              <w:rPr>
                <w:rFonts w:ascii="Arial Narrow" w:hAnsi="Arial Narrow" w:cs="Tahoma"/>
                <w:sz w:val="20"/>
              </w:rPr>
              <w:t>bDBS</w:t>
            </w:r>
            <w:proofErr w:type="spellEnd"/>
            <w:r w:rsidRPr="00283352">
              <w:rPr>
                <w:rFonts w:ascii="Arial Narrow" w:hAnsi="Arial Narrow" w:cs="Tahoma"/>
                <w:sz w:val="20"/>
              </w:rPr>
              <w:t>: 85.4%</w:t>
            </w:r>
          </w:p>
        </w:tc>
        <w:tc>
          <w:tcPr>
            <w:tcW w:w="776" w:type="pct"/>
            <w:tcBorders>
              <w:top w:val="single" w:sz="4" w:space="0" w:color="auto"/>
              <w:left w:val="single" w:sz="4" w:space="0" w:color="auto"/>
              <w:bottom w:val="single" w:sz="4" w:space="0" w:color="auto"/>
              <w:right w:val="single" w:sz="4" w:space="0" w:color="auto"/>
            </w:tcBorders>
            <w:hideMark/>
          </w:tcPr>
          <w:p w14:paraId="49CAE08B"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uDBS</w:t>
            </w:r>
            <w:proofErr w:type="spellEnd"/>
            <w:r w:rsidRPr="00283352">
              <w:rPr>
                <w:rFonts w:ascii="Arial Narrow" w:hAnsi="Arial Narrow" w:cs="Tahoma"/>
                <w:sz w:val="20"/>
              </w:rPr>
              <w:t>: 5.3%</w:t>
            </w:r>
          </w:p>
          <w:p w14:paraId="07150DF7"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bDBS</w:t>
            </w:r>
            <w:proofErr w:type="spellEnd"/>
            <w:r w:rsidRPr="00283352">
              <w:rPr>
                <w:rFonts w:ascii="Arial Narrow" w:hAnsi="Arial Narrow" w:cs="Tahoma"/>
                <w:sz w:val="20"/>
              </w:rPr>
              <w:t>: 3.0%</w:t>
            </w:r>
          </w:p>
        </w:tc>
        <w:tc>
          <w:tcPr>
            <w:tcW w:w="770" w:type="pct"/>
            <w:tcBorders>
              <w:top w:val="single" w:sz="4" w:space="0" w:color="auto"/>
              <w:left w:val="single" w:sz="4" w:space="0" w:color="auto"/>
              <w:bottom w:val="single" w:sz="4" w:space="0" w:color="auto"/>
              <w:right w:val="single" w:sz="4" w:space="0" w:color="auto"/>
            </w:tcBorders>
            <w:hideMark/>
          </w:tcPr>
          <w:p w14:paraId="4DC56B8F"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No significant difference</w:t>
            </w:r>
          </w:p>
        </w:tc>
      </w:tr>
      <w:tr w:rsidR="008337E8" w:rsidRPr="00283352" w14:paraId="79F11113" w14:textId="77777777" w:rsidTr="009A745A">
        <w:tc>
          <w:tcPr>
            <w:tcW w:w="892" w:type="pct"/>
            <w:tcBorders>
              <w:top w:val="single" w:sz="4" w:space="0" w:color="auto"/>
              <w:left w:val="single" w:sz="4" w:space="0" w:color="auto"/>
              <w:bottom w:val="single" w:sz="4" w:space="0" w:color="auto"/>
              <w:right w:val="single" w:sz="4" w:space="0" w:color="auto"/>
            </w:tcBorders>
            <w:hideMark/>
          </w:tcPr>
          <w:p w14:paraId="352E2244"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QUEST, 12 months</w:t>
            </w:r>
          </w:p>
        </w:tc>
        <w:tc>
          <w:tcPr>
            <w:tcW w:w="922" w:type="pct"/>
            <w:tcBorders>
              <w:top w:val="single" w:sz="4" w:space="0" w:color="auto"/>
              <w:left w:val="single" w:sz="4" w:space="0" w:color="auto"/>
              <w:bottom w:val="single" w:sz="4" w:space="0" w:color="auto"/>
              <w:right w:val="single" w:sz="4" w:space="0" w:color="auto"/>
            </w:tcBorders>
            <w:hideMark/>
          </w:tcPr>
          <w:p w14:paraId="45E56810"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=15; </w:t>
            </w:r>
            <w:proofErr w:type="spellStart"/>
            <w:r w:rsidRPr="00283352">
              <w:rPr>
                <w:rFonts w:ascii="Arial Narrow" w:hAnsi="Arial Narrow" w:cs="Tahoma"/>
                <w:sz w:val="20"/>
              </w:rPr>
              <w:t>uDBS</w:t>
            </w:r>
            <w:proofErr w:type="spellEnd"/>
            <w:r w:rsidRPr="00283352">
              <w:rPr>
                <w:rFonts w:ascii="Arial Narrow" w:hAnsi="Arial Narrow" w:cs="Tahoma"/>
                <w:sz w:val="20"/>
              </w:rPr>
              <w:t xml:space="preserve">=13; </w:t>
            </w:r>
            <w:proofErr w:type="spellStart"/>
            <w:r w:rsidRPr="00283352">
              <w:rPr>
                <w:rFonts w:ascii="Arial Narrow" w:hAnsi="Arial Narrow" w:cs="Tahoma"/>
                <w:sz w:val="20"/>
              </w:rPr>
              <w:t>bDBS</w:t>
            </w:r>
            <w:proofErr w:type="spellEnd"/>
            <w:r w:rsidRPr="00283352">
              <w:rPr>
                <w:rFonts w:ascii="Arial Narrow" w:hAnsi="Arial Narrow" w:cs="Tahoma"/>
                <w:sz w:val="20"/>
              </w:rPr>
              <w:t>=57; k=1</w:t>
            </w:r>
          </w:p>
        </w:tc>
        <w:tc>
          <w:tcPr>
            <w:tcW w:w="510" w:type="pct"/>
            <w:tcBorders>
              <w:top w:val="single" w:sz="4" w:space="0" w:color="auto"/>
              <w:left w:val="single" w:sz="4" w:space="0" w:color="auto"/>
              <w:bottom w:val="single" w:sz="4" w:space="0" w:color="auto"/>
              <w:right w:val="single" w:sz="4" w:space="0" w:color="auto"/>
            </w:tcBorders>
            <w:hideMark/>
          </w:tcPr>
          <w:p w14:paraId="0CD61418" w14:textId="77777777" w:rsidR="008337E8" w:rsidRPr="00283352" w:rsidRDefault="008337E8" w:rsidP="009A745A">
            <w:pPr>
              <w:spacing w:before="40" w:after="40"/>
              <w:rPr>
                <w:rFonts w:ascii="Cambria Math" w:hAnsi="Cambria Math" w:cs="Tahoma"/>
                <w:color w:val="00B050"/>
                <w:sz w:val="20"/>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0BCD8DE0"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68.0%</w:t>
            </w:r>
          </w:p>
        </w:tc>
        <w:tc>
          <w:tcPr>
            <w:tcW w:w="565" w:type="pct"/>
            <w:tcBorders>
              <w:top w:val="single" w:sz="4" w:space="0" w:color="auto"/>
              <w:left w:val="single" w:sz="4" w:space="0" w:color="auto"/>
              <w:bottom w:val="single" w:sz="4" w:space="0" w:color="auto"/>
              <w:right w:val="single" w:sz="4" w:space="0" w:color="auto"/>
            </w:tcBorders>
            <w:hideMark/>
          </w:tcPr>
          <w:p w14:paraId="67C883D8"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bDBS</w:t>
            </w:r>
            <w:proofErr w:type="spellEnd"/>
            <w:r w:rsidRPr="00283352">
              <w:rPr>
                <w:rFonts w:ascii="Arial Narrow" w:hAnsi="Arial Narrow" w:cs="Tahoma"/>
                <w:sz w:val="20"/>
              </w:rPr>
              <w:t>: 72.0%</w:t>
            </w:r>
          </w:p>
        </w:tc>
        <w:tc>
          <w:tcPr>
            <w:tcW w:w="776" w:type="pct"/>
            <w:tcBorders>
              <w:top w:val="single" w:sz="4" w:space="0" w:color="auto"/>
              <w:left w:val="single" w:sz="4" w:space="0" w:color="auto"/>
              <w:bottom w:val="single" w:sz="4" w:space="0" w:color="auto"/>
              <w:right w:val="single" w:sz="4" w:space="0" w:color="auto"/>
            </w:tcBorders>
            <w:hideMark/>
          </w:tcPr>
          <w:p w14:paraId="1276DB86"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xml:space="preserve"> vs </w:t>
            </w:r>
            <w:proofErr w:type="spellStart"/>
            <w:r w:rsidRPr="00283352">
              <w:rPr>
                <w:rFonts w:ascii="Arial Narrow" w:hAnsi="Arial Narrow" w:cs="Tahoma"/>
                <w:sz w:val="20"/>
              </w:rPr>
              <w:t>bDBS</w:t>
            </w:r>
            <w:proofErr w:type="spellEnd"/>
            <w:r w:rsidRPr="00283352">
              <w:rPr>
                <w:rFonts w:ascii="Arial Narrow" w:hAnsi="Arial Narrow" w:cs="Tahoma"/>
                <w:sz w:val="20"/>
              </w:rPr>
              <w:t>: 4.0%</w:t>
            </w:r>
          </w:p>
        </w:tc>
        <w:tc>
          <w:tcPr>
            <w:tcW w:w="770" w:type="pct"/>
            <w:tcBorders>
              <w:top w:val="single" w:sz="4" w:space="0" w:color="auto"/>
              <w:left w:val="single" w:sz="4" w:space="0" w:color="auto"/>
              <w:bottom w:val="single" w:sz="4" w:space="0" w:color="auto"/>
              <w:right w:val="single" w:sz="4" w:space="0" w:color="auto"/>
            </w:tcBorders>
            <w:hideMark/>
          </w:tcPr>
          <w:p w14:paraId="74D0664A"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No significant difference</w:t>
            </w:r>
          </w:p>
        </w:tc>
      </w:tr>
      <w:tr w:rsidR="008337E8" w:rsidRPr="00283352" w14:paraId="36D4BB8C" w14:textId="77777777" w:rsidTr="009A745A">
        <w:tc>
          <w:tcPr>
            <w:tcW w:w="892" w:type="pct"/>
            <w:tcBorders>
              <w:top w:val="single" w:sz="4" w:space="0" w:color="auto"/>
              <w:left w:val="single" w:sz="4" w:space="0" w:color="auto"/>
              <w:bottom w:val="single" w:sz="4" w:space="0" w:color="auto"/>
              <w:right w:val="nil"/>
            </w:tcBorders>
            <w:hideMark/>
          </w:tcPr>
          <w:p w14:paraId="30291132"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 xml:space="preserve">Indirect treatment </w:t>
            </w:r>
          </w:p>
        </w:tc>
        <w:tc>
          <w:tcPr>
            <w:tcW w:w="922" w:type="pct"/>
            <w:tcBorders>
              <w:top w:val="single" w:sz="4" w:space="0" w:color="auto"/>
              <w:left w:val="nil"/>
              <w:bottom w:val="single" w:sz="4" w:space="0" w:color="auto"/>
              <w:right w:val="nil"/>
            </w:tcBorders>
          </w:tcPr>
          <w:p w14:paraId="3285786B"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comparison</w:t>
            </w:r>
          </w:p>
        </w:tc>
        <w:tc>
          <w:tcPr>
            <w:tcW w:w="510" w:type="pct"/>
            <w:tcBorders>
              <w:top w:val="single" w:sz="4" w:space="0" w:color="auto"/>
              <w:left w:val="nil"/>
              <w:bottom w:val="single" w:sz="4" w:space="0" w:color="auto"/>
              <w:right w:val="nil"/>
            </w:tcBorders>
          </w:tcPr>
          <w:p w14:paraId="45695EC3" w14:textId="77777777" w:rsidR="008337E8" w:rsidRPr="00283352" w:rsidRDefault="008337E8" w:rsidP="009A745A">
            <w:pPr>
              <w:spacing w:before="40" w:after="40"/>
              <w:rPr>
                <w:rFonts w:ascii="Arial Narrow" w:hAnsi="Arial Narrow" w:cs="Tahoma"/>
                <w:sz w:val="20"/>
              </w:rPr>
            </w:pPr>
          </w:p>
        </w:tc>
        <w:tc>
          <w:tcPr>
            <w:tcW w:w="565" w:type="pct"/>
            <w:tcBorders>
              <w:top w:val="single" w:sz="4" w:space="0" w:color="auto"/>
              <w:left w:val="nil"/>
              <w:bottom w:val="single" w:sz="4" w:space="0" w:color="auto"/>
              <w:right w:val="nil"/>
            </w:tcBorders>
          </w:tcPr>
          <w:p w14:paraId="76653A06" w14:textId="77777777" w:rsidR="008337E8" w:rsidRPr="00283352" w:rsidRDefault="008337E8" w:rsidP="009A745A">
            <w:pPr>
              <w:spacing w:before="40" w:after="40"/>
              <w:rPr>
                <w:rFonts w:ascii="Arial Narrow" w:hAnsi="Arial Narrow" w:cs="Tahoma"/>
                <w:sz w:val="20"/>
              </w:rPr>
            </w:pPr>
          </w:p>
        </w:tc>
        <w:tc>
          <w:tcPr>
            <w:tcW w:w="565" w:type="pct"/>
            <w:tcBorders>
              <w:top w:val="single" w:sz="4" w:space="0" w:color="auto"/>
              <w:left w:val="nil"/>
              <w:bottom w:val="single" w:sz="4" w:space="0" w:color="auto"/>
              <w:right w:val="nil"/>
            </w:tcBorders>
          </w:tcPr>
          <w:p w14:paraId="246FFA8F" w14:textId="77777777" w:rsidR="008337E8" w:rsidRPr="00283352" w:rsidRDefault="008337E8" w:rsidP="009A745A">
            <w:pPr>
              <w:spacing w:before="40" w:after="40"/>
              <w:rPr>
                <w:rFonts w:ascii="Arial Narrow" w:hAnsi="Arial Narrow" w:cs="Tahoma"/>
                <w:sz w:val="20"/>
              </w:rPr>
            </w:pPr>
          </w:p>
        </w:tc>
        <w:tc>
          <w:tcPr>
            <w:tcW w:w="776" w:type="pct"/>
            <w:tcBorders>
              <w:top w:val="single" w:sz="4" w:space="0" w:color="auto"/>
              <w:left w:val="nil"/>
              <w:bottom w:val="single" w:sz="4" w:space="0" w:color="auto"/>
              <w:right w:val="nil"/>
            </w:tcBorders>
          </w:tcPr>
          <w:p w14:paraId="76EBF585" w14:textId="77777777" w:rsidR="008337E8" w:rsidRPr="00283352" w:rsidRDefault="008337E8" w:rsidP="009A745A">
            <w:pPr>
              <w:spacing w:before="40" w:after="40"/>
              <w:rPr>
                <w:rFonts w:ascii="Arial Narrow" w:hAnsi="Arial Narrow" w:cs="Tahoma"/>
                <w:sz w:val="20"/>
              </w:rPr>
            </w:pPr>
          </w:p>
        </w:tc>
        <w:tc>
          <w:tcPr>
            <w:tcW w:w="770" w:type="pct"/>
            <w:tcBorders>
              <w:top w:val="single" w:sz="4" w:space="0" w:color="auto"/>
              <w:left w:val="nil"/>
              <w:bottom w:val="single" w:sz="4" w:space="0" w:color="auto"/>
              <w:right w:val="single" w:sz="4" w:space="0" w:color="auto"/>
            </w:tcBorders>
          </w:tcPr>
          <w:p w14:paraId="5536EAA6" w14:textId="77777777" w:rsidR="008337E8" w:rsidRPr="00283352" w:rsidRDefault="008337E8" w:rsidP="009A745A">
            <w:pPr>
              <w:spacing w:before="40" w:after="40"/>
              <w:rPr>
                <w:rFonts w:ascii="Arial Narrow" w:hAnsi="Arial Narrow" w:cs="Tahoma"/>
                <w:sz w:val="20"/>
              </w:rPr>
            </w:pPr>
          </w:p>
        </w:tc>
      </w:tr>
      <w:tr w:rsidR="008337E8" w:rsidRPr="00283352" w14:paraId="132CC6F1" w14:textId="77777777" w:rsidTr="009A745A">
        <w:tc>
          <w:tcPr>
            <w:tcW w:w="892" w:type="pct"/>
            <w:tcBorders>
              <w:top w:val="single" w:sz="4" w:space="0" w:color="auto"/>
              <w:left w:val="single" w:sz="4" w:space="0" w:color="auto"/>
              <w:bottom w:val="single" w:sz="4" w:space="0" w:color="auto"/>
              <w:right w:val="single" w:sz="4" w:space="0" w:color="auto"/>
            </w:tcBorders>
            <w:hideMark/>
          </w:tcPr>
          <w:p w14:paraId="1A2BAA27"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Total CRST, 12 months</w:t>
            </w:r>
          </w:p>
        </w:tc>
        <w:tc>
          <w:tcPr>
            <w:tcW w:w="922" w:type="pct"/>
            <w:tcBorders>
              <w:top w:val="single" w:sz="4" w:space="0" w:color="auto"/>
              <w:left w:val="single" w:sz="4" w:space="0" w:color="auto"/>
              <w:bottom w:val="single" w:sz="4" w:space="0" w:color="auto"/>
              <w:right w:val="single" w:sz="4" w:space="0" w:color="auto"/>
            </w:tcBorders>
            <w:hideMark/>
          </w:tcPr>
          <w:p w14:paraId="182B47CD"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 48 DBS=97; k=3</w:t>
            </w:r>
          </w:p>
        </w:tc>
        <w:tc>
          <w:tcPr>
            <w:tcW w:w="510" w:type="pct"/>
            <w:tcBorders>
              <w:top w:val="single" w:sz="4" w:space="0" w:color="auto"/>
              <w:left w:val="single" w:sz="4" w:space="0" w:color="auto"/>
              <w:bottom w:val="single" w:sz="4" w:space="0" w:color="auto"/>
              <w:right w:val="single" w:sz="4" w:space="0" w:color="auto"/>
            </w:tcBorders>
            <w:hideMark/>
          </w:tcPr>
          <w:p w14:paraId="4F6E4EB3" w14:textId="77777777" w:rsidR="008337E8" w:rsidRPr="00283352" w:rsidRDefault="008337E8" w:rsidP="009A745A">
            <w:pPr>
              <w:spacing w:before="40" w:after="40"/>
              <w:rPr>
                <w:rFonts w:ascii="Arial Narrow" w:hAnsi="Arial Narrow" w:cs="Tahoma"/>
                <w:sz w:val="20"/>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55CE10F4"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NA</w:t>
            </w:r>
          </w:p>
        </w:tc>
        <w:tc>
          <w:tcPr>
            <w:tcW w:w="565" w:type="pct"/>
            <w:tcBorders>
              <w:top w:val="single" w:sz="4" w:space="0" w:color="auto"/>
              <w:left w:val="single" w:sz="4" w:space="0" w:color="auto"/>
              <w:bottom w:val="single" w:sz="4" w:space="0" w:color="auto"/>
              <w:right w:val="single" w:sz="4" w:space="0" w:color="auto"/>
            </w:tcBorders>
            <w:hideMark/>
          </w:tcPr>
          <w:p w14:paraId="5D6D3801"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NA</w:t>
            </w:r>
          </w:p>
        </w:tc>
        <w:tc>
          <w:tcPr>
            <w:tcW w:w="776" w:type="pct"/>
            <w:tcBorders>
              <w:top w:val="single" w:sz="4" w:space="0" w:color="auto"/>
              <w:left w:val="single" w:sz="4" w:space="0" w:color="auto"/>
              <w:bottom w:val="single" w:sz="4" w:space="0" w:color="auto"/>
              <w:right w:val="single" w:sz="4" w:space="0" w:color="auto"/>
            </w:tcBorders>
            <w:hideMark/>
          </w:tcPr>
          <w:p w14:paraId="420A76A0"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MAIC</w:t>
            </w:r>
            <w:r w:rsidRPr="00283352">
              <w:rPr>
                <w:rFonts w:ascii="Arial Narrow" w:hAnsi="Arial Narrow" w:cs="Tahoma"/>
                <w:sz w:val="20"/>
                <w:vertAlign w:val="superscript"/>
              </w:rPr>
              <w:t>a</w:t>
            </w:r>
            <w:proofErr w:type="spellEnd"/>
            <w:r w:rsidRPr="00283352">
              <w:rPr>
                <w:rFonts w:ascii="Arial Narrow" w:hAnsi="Arial Narrow" w:cs="Tahoma"/>
                <w:sz w:val="20"/>
              </w:rPr>
              <w:t>: 0% (0)</w:t>
            </w:r>
          </w:p>
          <w:p w14:paraId="2675A00F"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STC</w:t>
            </w:r>
            <w:r w:rsidRPr="00283352">
              <w:rPr>
                <w:rFonts w:ascii="Arial Narrow" w:hAnsi="Arial Narrow" w:cs="Tahoma"/>
                <w:sz w:val="20"/>
                <w:vertAlign w:val="superscript"/>
              </w:rPr>
              <w:t>a</w:t>
            </w:r>
            <w:proofErr w:type="spellEnd"/>
            <w:r w:rsidRPr="00283352">
              <w:rPr>
                <w:rFonts w:ascii="Arial Narrow" w:hAnsi="Arial Narrow" w:cs="Tahoma"/>
                <w:sz w:val="20"/>
              </w:rPr>
              <w:t xml:space="preserve">: 0.31% </w:t>
            </w:r>
            <w:r w:rsidRPr="00283352">
              <w:rPr>
                <w:rFonts w:ascii="Arial Narrow" w:hAnsi="Arial Narrow" w:cs="Tahoma"/>
                <w:sz w:val="20"/>
              </w:rPr>
              <w:br/>
              <w:t>(-2.53 to 3.16)</w:t>
            </w:r>
          </w:p>
        </w:tc>
        <w:tc>
          <w:tcPr>
            <w:tcW w:w="770" w:type="pct"/>
            <w:tcBorders>
              <w:top w:val="single" w:sz="4" w:space="0" w:color="auto"/>
              <w:left w:val="single" w:sz="4" w:space="0" w:color="auto"/>
              <w:bottom w:val="single" w:sz="4" w:space="0" w:color="auto"/>
              <w:right w:val="single" w:sz="4" w:space="0" w:color="auto"/>
            </w:tcBorders>
            <w:hideMark/>
          </w:tcPr>
          <w:p w14:paraId="098A2151"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No significant difference</w:t>
            </w:r>
          </w:p>
        </w:tc>
      </w:tr>
      <w:tr w:rsidR="008337E8" w:rsidRPr="00283352" w14:paraId="750A84E7" w14:textId="77777777" w:rsidTr="009A745A">
        <w:tc>
          <w:tcPr>
            <w:tcW w:w="892" w:type="pct"/>
            <w:tcBorders>
              <w:top w:val="single" w:sz="4" w:space="0" w:color="auto"/>
              <w:left w:val="single" w:sz="4" w:space="0" w:color="auto"/>
              <w:bottom w:val="single" w:sz="4" w:space="0" w:color="auto"/>
              <w:right w:val="single" w:sz="4" w:space="0" w:color="auto"/>
            </w:tcBorders>
            <w:hideMark/>
          </w:tcPr>
          <w:p w14:paraId="37D8CCF7" w14:textId="77777777" w:rsidR="008337E8" w:rsidRPr="00283352" w:rsidRDefault="008337E8" w:rsidP="009A745A">
            <w:pPr>
              <w:spacing w:before="40" w:after="40"/>
              <w:rPr>
                <w:rFonts w:ascii="Arial Narrow" w:hAnsi="Arial Narrow" w:cs="Arial"/>
                <w:sz w:val="18"/>
                <w:szCs w:val="18"/>
                <w:vertAlign w:val="superscript"/>
              </w:rPr>
            </w:pPr>
            <w:r w:rsidRPr="00283352">
              <w:rPr>
                <w:rFonts w:ascii="Arial Narrow" w:hAnsi="Arial Narrow" w:cs="Tahoma"/>
                <w:sz w:val="20"/>
              </w:rPr>
              <w:t xml:space="preserve">CRST Part C, 12 months </w:t>
            </w:r>
          </w:p>
        </w:tc>
        <w:tc>
          <w:tcPr>
            <w:tcW w:w="922" w:type="pct"/>
            <w:tcBorders>
              <w:top w:val="single" w:sz="4" w:space="0" w:color="auto"/>
              <w:left w:val="single" w:sz="4" w:space="0" w:color="auto"/>
              <w:bottom w:val="single" w:sz="4" w:space="0" w:color="auto"/>
              <w:right w:val="single" w:sz="4" w:space="0" w:color="auto"/>
            </w:tcBorders>
            <w:hideMark/>
          </w:tcPr>
          <w:p w14:paraId="133BE92A"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=48 DBS=28; k=2</w:t>
            </w:r>
          </w:p>
        </w:tc>
        <w:tc>
          <w:tcPr>
            <w:tcW w:w="510" w:type="pct"/>
            <w:tcBorders>
              <w:top w:val="single" w:sz="4" w:space="0" w:color="auto"/>
              <w:left w:val="single" w:sz="4" w:space="0" w:color="auto"/>
              <w:bottom w:val="single" w:sz="4" w:space="0" w:color="auto"/>
              <w:right w:val="single" w:sz="4" w:space="0" w:color="auto"/>
            </w:tcBorders>
            <w:hideMark/>
          </w:tcPr>
          <w:p w14:paraId="7C6CA408" w14:textId="77777777" w:rsidR="008337E8" w:rsidRPr="00283352" w:rsidRDefault="008337E8" w:rsidP="009A745A">
            <w:pPr>
              <w:spacing w:before="40" w:after="40"/>
              <w:rPr>
                <w:rFonts w:ascii="Arial Narrow" w:hAnsi="Arial Narrow" w:cs="Tahoma"/>
                <w:sz w:val="20"/>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6EDDB473"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NA</w:t>
            </w:r>
          </w:p>
        </w:tc>
        <w:tc>
          <w:tcPr>
            <w:tcW w:w="565" w:type="pct"/>
            <w:tcBorders>
              <w:top w:val="single" w:sz="4" w:space="0" w:color="auto"/>
              <w:left w:val="single" w:sz="4" w:space="0" w:color="auto"/>
              <w:bottom w:val="single" w:sz="4" w:space="0" w:color="auto"/>
              <w:right w:val="single" w:sz="4" w:space="0" w:color="auto"/>
            </w:tcBorders>
            <w:hideMark/>
          </w:tcPr>
          <w:p w14:paraId="4A608F32"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NA</w:t>
            </w:r>
          </w:p>
        </w:tc>
        <w:tc>
          <w:tcPr>
            <w:tcW w:w="776" w:type="pct"/>
            <w:tcBorders>
              <w:top w:val="single" w:sz="4" w:space="0" w:color="auto"/>
              <w:left w:val="single" w:sz="4" w:space="0" w:color="auto"/>
              <w:bottom w:val="single" w:sz="4" w:space="0" w:color="auto"/>
              <w:right w:val="single" w:sz="4" w:space="0" w:color="auto"/>
            </w:tcBorders>
            <w:hideMark/>
          </w:tcPr>
          <w:p w14:paraId="75624EE5"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MAIC</w:t>
            </w:r>
            <w:r w:rsidRPr="00283352">
              <w:rPr>
                <w:rFonts w:ascii="Arial Narrow" w:hAnsi="Arial Narrow" w:cs="Tahoma"/>
                <w:sz w:val="20"/>
                <w:vertAlign w:val="superscript"/>
              </w:rPr>
              <w:t>a</w:t>
            </w:r>
            <w:proofErr w:type="spellEnd"/>
            <w:r w:rsidRPr="00283352">
              <w:rPr>
                <w:rFonts w:ascii="Arial Narrow" w:hAnsi="Arial Narrow" w:cs="Tahoma"/>
                <w:sz w:val="20"/>
              </w:rPr>
              <w:t>: 0% (0)</w:t>
            </w:r>
          </w:p>
          <w:p w14:paraId="5779B04F" w14:textId="77777777" w:rsidR="008337E8" w:rsidRPr="00283352" w:rsidRDefault="008337E8" w:rsidP="009A745A">
            <w:pPr>
              <w:spacing w:before="40" w:after="40"/>
              <w:rPr>
                <w:rFonts w:ascii="Arial Narrow" w:hAnsi="Arial Narrow" w:cs="Tahoma"/>
                <w:sz w:val="20"/>
              </w:rPr>
            </w:pPr>
            <w:proofErr w:type="spellStart"/>
            <w:r w:rsidRPr="00283352">
              <w:rPr>
                <w:rFonts w:ascii="Arial Narrow" w:hAnsi="Arial Narrow" w:cs="Tahoma"/>
                <w:sz w:val="20"/>
              </w:rPr>
              <w:t>STC</w:t>
            </w:r>
            <w:r w:rsidRPr="00283352">
              <w:rPr>
                <w:rFonts w:ascii="Arial Narrow" w:hAnsi="Arial Narrow" w:cs="Tahoma"/>
                <w:sz w:val="20"/>
                <w:vertAlign w:val="superscript"/>
              </w:rPr>
              <w:t>a</w:t>
            </w:r>
            <w:proofErr w:type="spellEnd"/>
            <w:r w:rsidRPr="00283352">
              <w:rPr>
                <w:rFonts w:ascii="Arial Narrow" w:hAnsi="Arial Narrow" w:cs="Tahoma"/>
                <w:sz w:val="20"/>
              </w:rPr>
              <w:t>: -4.35%</w:t>
            </w:r>
            <w:r w:rsidRPr="00283352">
              <w:rPr>
                <w:rFonts w:ascii="Arial Narrow" w:hAnsi="Arial Narrow" w:cs="Tahoma"/>
                <w:sz w:val="20"/>
              </w:rPr>
              <w:br/>
              <w:t>(-12.82 to 4.13)</w:t>
            </w:r>
          </w:p>
        </w:tc>
        <w:tc>
          <w:tcPr>
            <w:tcW w:w="770" w:type="pct"/>
            <w:tcBorders>
              <w:top w:val="single" w:sz="4" w:space="0" w:color="auto"/>
              <w:left w:val="single" w:sz="4" w:space="0" w:color="auto"/>
              <w:bottom w:val="single" w:sz="4" w:space="0" w:color="auto"/>
              <w:right w:val="single" w:sz="4" w:space="0" w:color="auto"/>
            </w:tcBorders>
            <w:hideMark/>
          </w:tcPr>
          <w:p w14:paraId="726DB01F" w14:textId="77777777" w:rsidR="008337E8" w:rsidRPr="00283352" w:rsidRDefault="008337E8" w:rsidP="009A745A">
            <w:pPr>
              <w:spacing w:before="40" w:after="40"/>
              <w:rPr>
                <w:rFonts w:ascii="Arial Narrow" w:hAnsi="Arial Narrow" w:cs="Tahoma"/>
                <w:sz w:val="20"/>
              </w:rPr>
            </w:pPr>
            <w:r w:rsidRPr="00283352">
              <w:rPr>
                <w:rFonts w:ascii="Arial Narrow" w:hAnsi="Arial Narrow" w:cs="Tahoma"/>
                <w:sz w:val="20"/>
              </w:rPr>
              <w:t>No significant difference</w:t>
            </w:r>
          </w:p>
        </w:tc>
      </w:tr>
      <w:tr w:rsidR="008337E8" w:rsidRPr="00283352" w14:paraId="602FE4F1" w14:textId="77777777" w:rsidTr="009A745A">
        <w:tc>
          <w:tcPr>
            <w:tcW w:w="892" w:type="pct"/>
            <w:tcBorders>
              <w:top w:val="single" w:sz="4" w:space="0" w:color="auto"/>
              <w:left w:val="single" w:sz="4" w:space="0" w:color="auto"/>
              <w:bottom w:val="single" w:sz="4" w:space="0" w:color="auto"/>
              <w:right w:val="nil"/>
            </w:tcBorders>
            <w:hideMark/>
          </w:tcPr>
          <w:p w14:paraId="2F9984A2"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Naïve comparison</w:t>
            </w:r>
          </w:p>
        </w:tc>
        <w:tc>
          <w:tcPr>
            <w:tcW w:w="922" w:type="pct"/>
            <w:tcBorders>
              <w:top w:val="single" w:sz="4" w:space="0" w:color="auto"/>
              <w:left w:val="nil"/>
              <w:bottom w:val="single" w:sz="4" w:space="0" w:color="auto"/>
              <w:right w:val="nil"/>
            </w:tcBorders>
          </w:tcPr>
          <w:p w14:paraId="2F82184A" w14:textId="77777777" w:rsidR="008337E8" w:rsidRPr="00283352" w:rsidRDefault="008337E8" w:rsidP="009A745A">
            <w:pPr>
              <w:keepNext/>
              <w:keepLines/>
              <w:spacing w:before="40" w:after="40"/>
              <w:rPr>
                <w:rFonts w:ascii="Arial Narrow" w:hAnsi="Arial Narrow" w:cs="Tahoma"/>
                <w:sz w:val="20"/>
              </w:rPr>
            </w:pPr>
          </w:p>
        </w:tc>
        <w:tc>
          <w:tcPr>
            <w:tcW w:w="510" w:type="pct"/>
            <w:tcBorders>
              <w:top w:val="single" w:sz="4" w:space="0" w:color="auto"/>
              <w:left w:val="nil"/>
              <w:bottom w:val="single" w:sz="4" w:space="0" w:color="auto"/>
              <w:right w:val="nil"/>
            </w:tcBorders>
          </w:tcPr>
          <w:p w14:paraId="2CEA95C4" w14:textId="77777777" w:rsidR="008337E8" w:rsidRPr="00283352" w:rsidRDefault="008337E8" w:rsidP="009A745A">
            <w:pPr>
              <w:keepNext/>
              <w:keepLines/>
              <w:spacing w:before="40" w:after="40"/>
              <w:rPr>
                <w:rFonts w:ascii="Cambria Math" w:hAnsi="Cambria Math" w:cs="Tahoma"/>
                <w:color w:val="00B050"/>
                <w:sz w:val="20"/>
              </w:rPr>
            </w:pPr>
          </w:p>
        </w:tc>
        <w:tc>
          <w:tcPr>
            <w:tcW w:w="565" w:type="pct"/>
            <w:tcBorders>
              <w:top w:val="single" w:sz="4" w:space="0" w:color="auto"/>
              <w:left w:val="nil"/>
              <w:bottom w:val="single" w:sz="4" w:space="0" w:color="auto"/>
              <w:right w:val="nil"/>
            </w:tcBorders>
          </w:tcPr>
          <w:p w14:paraId="3E805399" w14:textId="77777777" w:rsidR="008337E8" w:rsidRPr="00283352" w:rsidRDefault="008337E8" w:rsidP="009A745A">
            <w:pPr>
              <w:keepNext/>
              <w:keepLines/>
              <w:spacing w:before="40" w:after="40"/>
              <w:rPr>
                <w:rFonts w:ascii="Arial Narrow" w:hAnsi="Arial Narrow" w:cs="Tahoma"/>
                <w:sz w:val="20"/>
              </w:rPr>
            </w:pPr>
          </w:p>
        </w:tc>
        <w:tc>
          <w:tcPr>
            <w:tcW w:w="565" w:type="pct"/>
            <w:tcBorders>
              <w:top w:val="single" w:sz="4" w:space="0" w:color="auto"/>
              <w:left w:val="nil"/>
              <w:bottom w:val="single" w:sz="4" w:space="0" w:color="auto"/>
              <w:right w:val="nil"/>
            </w:tcBorders>
          </w:tcPr>
          <w:p w14:paraId="5C13F4CA" w14:textId="77777777" w:rsidR="008337E8" w:rsidRPr="00283352" w:rsidRDefault="008337E8" w:rsidP="009A745A">
            <w:pPr>
              <w:keepNext/>
              <w:keepLines/>
              <w:spacing w:before="40" w:after="40"/>
              <w:rPr>
                <w:rFonts w:ascii="Arial Narrow" w:hAnsi="Arial Narrow" w:cs="Tahoma"/>
                <w:sz w:val="20"/>
              </w:rPr>
            </w:pPr>
          </w:p>
        </w:tc>
        <w:tc>
          <w:tcPr>
            <w:tcW w:w="776" w:type="pct"/>
            <w:tcBorders>
              <w:top w:val="single" w:sz="4" w:space="0" w:color="auto"/>
              <w:left w:val="nil"/>
              <w:bottom w:val="single" w:sz="4" w:space="0" w:color="auto"/>
              <w:right w:val="nil"/>
            </w:tcBorders>
          </w:tcPr>
          <w:p w14:paraId="04A2CBEB" w14:textId="77777777" w:rsidR="008337E8" w:rsidRPr="00283352" w:rsidRDefault="008337E8" w:rsidP="009A745A">
            <w:pPr>
              <w:keepNext/>
              <w:keepLines/>
              <w:spacing w:before="40" w:after="40"/>
              <w:rPr>
                <w:rFonts w:ascii="Arial Narrow" w:hAnsi="Arial Narrow" w:cs="Tahoma"/>
                <w:sz w:val="20"/>
              </w:rPr>
            </w:pPr>
          </w:p>
        </w:tc>
        <w:tc>
          <w:tcPr>
            <w:tcW w:w="770" w:type="pct"/>
            <w:tcBorders>
              <w:top w:val="single" w:sz="4" w:space="0" w:color="auto"/>
              <w:left w:val="nil"/>
              <w:bottom w:val="single" w:sz="4" w:space="0" w:color="auto"/>
              <w:right w:val="single" w:sz="4" w:space="0" w:color="auto"/>
            </w:tcBorders>
          </w:tcPr>
          <w:p w14:paraId="7475A460" w14:textId="77777777" w:rsidR="008337E8" w:rsidRPr="00283352" w:rsidRDefault="008337E8" w:rsidP="009A745A">
            <w:pPr>
              <w:keepNext/>
              <w:keepLines/>
              <w:spacing w:before="40" w:after="40"/>
              <w:rPr>
                <w:rFonts w:ascii="Arial Narrow" w:hAnsi="Arial Narrow" w:cs="Tahoma"/>
                <w:sz w:val="20"/>
              </w:rPr>
            </w:pPr>
          </w:p>
        </w:tc>
      </w:tr>
      <w:tr w:rsidR="008337E8" w:rsidRPr="00283352" w14:paraId="36FBC465" w14:textId="77777777" w:rsidTr="009A745A">
        <w:tc>
          <w:tcPr>
            <w:tcW w:w="892" w:type="pct"/>
            <w:tcBorders>
              <w:top w:val="single" w:sz="4" w:space="0" w:color="auto"/>
              <w:left w:val="single" w:sz="4" w:space="0" w:color="auto"/>
              <w:bottom w:val="single" w:sz="4" w:space="0" w:color="auto"/>
              <w:right w:val="single" w:sz="4" w:space="0" w:color="auto"/>
            </w:tcBorders>
            <w:hideMark/>
          </w:tcPr>
          <w:p w14:paraId="286EEB50"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Total CRST, 12 months</w:t>
            </w:r>
          </w:p>
        </w:tc>
        <w:tc>
          <w:tcPr>
            <w:tcW w:w="922" w:type="pct"/>
            <w:tcBorders>
              <w:top w:val="single" w:sz="4" w:space="0" w:color="auto"/>
              <w:left w:val="single" w:sz="4" w:space="0" w:color="auto"/>
              <w:bottom w:val="single" w:sz="4" w:space="0" w:color="auto"/>
              <w:right w:val="single" w:sz="4" w:space="0" w:color="auto"/>
            </w:tcBorders>
            <w:hideMark/>
          </w:tcPr>
          <w:p w14:paraId="424615E8" w14:textId="77777777" w:rsidR="008337E8" w:rsidRPr="00283352" w:rsidRDefault="008337E8" w:rsidP="009A745A">
            <w:pPr>
              <w:keepNext/>
              <w:keepLines/>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=147; k=6</w:t>
            </w:r>
          </w:p>
          <w:p w14:paraId="15C347D1"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DBS=215; k=2</w:t>
            </w:r>
          </w:p>
        </w:tc>
        <w:tc>
          <w:tcPr>
            <w:tcW w:w="510" w:type="pct"/>
            <w:tcBorders>
              <w:top w:val="single" w:sz="4" w:space="0" w:color="auto"/>
              <w:left w:val="single" w:sz="4" w:space="0" w:color="auto"/>
              <w:bottom w:val="single" w:sz="4" w:space="0" w:color="auto"/>
              <w:right w:val="single" w:sz="4" w:space="0" w:color="auto"/>
            </w:tcBorders>
            <w:hideMark/>
          </w:tcPr>
          <w:p w14:paraId="7FA6CAEE" w14:textId="77777777" w:rsidR="008337E8" w:rsidRPr="00283352" w:rsidRDefault="008337E8" w:rsidP="009A745A">
            <w:pPr>
              <w:keepNext/>
              <w:keepLines/>
              <w:spacing w:before="40" w:after="40"/>
              <w:rPr>
                <w:rFonts w:ascii="Cambria Math" w:hAnsi="Cambria Math" w:cs="Tahoma"/>
                <w:color w:val="00B050"/>
                <w:sz w:val="20"/>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3CC3FA88"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56.5%</w:t>
            </w:r>
          </w:p>
        </w:tc>
        <w:tc>
          <w:tcPr>
            <w:tcW w:w="565" w:type="pct"/>
            <w:tcBorders>
              <w:top w:val="single" w:sz="4" w:space="0" w:color="auto"/>
              <w:left w:val="single" w:sz="4" w:space="0" w:color="auto"/>
              <w:bottom w:val="single" w:sz="4" w:space="0" w:color="auto"/>
              <w:right w:val="single" w:sz="4" w:space="0" w:color="auto"/>
            </w:tcBorders>
            <w:hideMark/>
          </w:tcPr>
          <w:p w14:paraId="456F06CD"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55.1%</w:t>
            </w:r>
          </w:p>
        </w:tc>
        <w:tc>
          <w:tcPr>
            <w:tcW w:w="776" w:type="pct"/>
            <w:tcBorders>
              <w:top w:val="single" w:sz="4" w:space="0" w:color="auto"/>
              <w:left w:val="single" w:sz="4" w:space="0" w:color="auto"/>
              <w:bottom w:val="single" w:sz="4" w:space="0" w:color="auto"/>
              <w:right w:val="single" w:sz="4" w:space="0" w:color="auto"/>
            </w:tcBorders>
            <w:hideMark/>
          </w:tcPr>
          <w:p w14:paraId="4F64C6AE" w14:textId="77777777" w:rsidR="008337E8" w:rsidRPr="00283352" w:rsidRDefault="008337E8" w:rsidP="009A745A">
            <w:pPr>
              <w:keepNext/>
              <w:keepLines/>
              <w:spacing w:before="40" w:after="40"/>
              <w:rPr>
                <w:rFonts w:ascii="Arial Narrow" w:hAnsi="Arial Narrow" w:cs="Tahoma"/>
                <w:b/>
                <w:bCs/>
                <w:sz w:val="20"/>
              </w:rPr>
            </w:pPr>
            <w:r w:rsidRPr="00283352">
              <w:rPr>
                <w:rFonts w:ascii="Arial Narrow" w:hAnsi="Arial Narrow" w:cs="Tahoma"/>
                <w:sz w:val="20"/>
              </w:rPr>
              <w:t>1.4%</w:t>
            </w:r>
          </w:p>
        </w:tc>
        <w:tc>
          <w:tcPr>
            <w:tcW w:w="770" w:type="pct"/>
            <w:tcBorders>
              <w:top w:val="single" w:sz="4" w:space="0" w:color="auto"/>
              <w:left w:val="single" w:sz="4" w:space="0" w:color="auto"/>
              <w:bottom w:val="single" w:sz="4" w:space="0" w:color="auto"/>
              <w:right w:val="single" w:sz="4" w:space="0" w:color="auto"/>
            </w:tcBorders>
            <w:hideMark/>
          </w:tcPr>
          <w:p w14:paraId="6826E3BD"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No significant difference</w:t>
            </w:r>
          </w:p>
        </w:tc>
      </w:tr>
      <w:tr w:rsidR="008337E8" w:rsidRPr="00283352" w14:paraId="21BE8916" w14:textId="77777777" w:rsidTr="009A745A">
        <w:tc>
          <w:tcPr>
            <w:tcW w:w="892" w:type="pct"/>
            <w:tcBorders>
              <w:top w:val="single" w:sz="4" w:space="0" w:color="auto"/>
              <w:left w:val="single" w:sz="4" w:space="0" w:color="auto"/>
              <w:bottom w:val="single" w:sz="4" w:space="0" w:color="auto"/>
              <w:right w:val="single" w:sz="4" w:space="0" w:color="auto"/>
            </w:tcBorders>
            <w:hideMark/>
          </w:tcPr>
          <w:p w14:paraId="73AA1E65"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 xml:space="preserve">CRST Part C, 12 months </w:t>
            </w:r>
          </w:p>
        </w:tc>
        <w:tc>
          <w:tcPr>
            <w:tcW w:w="922" w:type="pct"/>
            <w:tcBorders>
              <w:top w:val="single" w:sz="4" w:space="0" w:color="auto"/>
              <w:left w:val="single" w:sz="4" w:space="0" w:color="auto"/>
              <w:bottom w:val="single" w:sz="4" w:space="0" w:color="auto"/>
              <w:right w:val="single" w:sz="4" w:space="0" w:color="auto"/>
            </w:tcBorders>
            <w:hideMark/>
          </w:tcPr>
          <w:p w14:paraId="605D0260" w14:textId="77777777" w:rsidR="008337E8" w:rsidRPr="00283352" w:rsidRDefault="008337E8" w:rsidP="009A745A">
            <w:pPr>
              <w:keepNext/>
              <w:keepLines/>
              <w:spacing w:before="40" w:after="40"/>
              <w:rPr>
                <w:rFonts w:ascii="Arial Narrow" w:hAnsi="Arial Narrow" w:cs="Tahoma"/>
                <w:sz w:val="20"/>
              </w:rPr>
            </w:pPr>
            <w:proofErr w:type="spellStart"/>
            <w:r w:rsidRPr="00283352">
              <w:rPr>
                <w:rFonts w:ascii="Arial Narrow" w:hAnsi="Arial Narrow" w:cs="Tahoma"/>
                <w:sz w:val="20"/>
              </w:rPr>
              <w:t>MRgFUS</w:t>
            </w:r>
            <w:proofErr w:type="spellEnd"/>
            <w:r w:rsidRPr="00283352">
              <w:rPr>
                <w:rFonts w:ascii="Arial Narrow" w:hAnsi="Arial Narrow" w:cs="Tahoma"/>
                <w:sz w:val="20"/>
              </w:rPr>
              <w:t>=59; k=3</w:t>
            </w:r>
          </w:p>
          <w:p w14:paraId="6B30F61D"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DBS=97; k=1</w:t>
            </w:r>
          </w:p>
        </w:tc>
        <w:tc>
          <w:tcPr>
            <w:tcW w:w="510" w:type="pct"/>
            <w:tcBorders>
              <w:top w:val="single" w:sz="4" w:space="0" w:color="auto"/>
              <w:left w:val="single" w:sz="4" w:space="0" w:color="auto"/>
              <w:bottom w:val="single" w:sz="4" w:space="0" w:color="auto"/>
              <w:right w:val="single" w:sz="4" w:space="0" w:color="auto"/>
            </w:tcBorders>
            <w:hideMark/>
          </w:tcPr>
          <w:p w14:paraId="505E9D30" w14:textId="77777777" w:rsidR="008337E8" w:rsidRPr="00283352" w:rsidRDefault="008337E8" w:rsidP="009A745A">
            <w:pPr>
              <w:keepNext/>
              <w:keepLines/>
              <w:spacing w:before="40" w:after="40"/>
              <w:rPr>
                <w:rFonts w:ascii="Cambria Math" w:hAnsi="Cambria Math" w:cs="Tahoma"/>
                <w:color w:val="00B050"/>
                <w:sz w:val="20"/>
              </w:rPr>
            </w:pPr>
            <w:r w:rsidRPr="00283352">
              <w:rPr>
                <w:rFonts w:ascii="Cambria Math" w:hAnsi="Cambria Math" w:cs="Tahoma"/>
                <w:color w:val="00B050"/>
                <w:sz w:val="20"/>
              </w:rPr>
              <w:t>⨁</w:t>
            </w:r>
            <w:r w:rsidRPr="00283352">
              <w:rPr>
                <w:rFonts w:ascii="Cambria Math" w:hAnsi="Cambria Math" w:cs="Cambria Math"/>
                <w:color w:val="C00000"/>
                <w:sz w:val="20"/>
              </w:rPr>
              <w:t>⨀⨀⨀</w:t>
            </w:r>
          </w:p>
        </w:tc>
        <w:tc>
          <w:tcPr>
            <w:tcW w:w="565" w:type="pct"/>
            <w:tcBorders>
              <w:top w:val="single" w:sz="4" w:space="0" w:color="auto"/>
              <w:left w:val="single" w:sz="4" w:space="0" w:color="auto"/>
              <w:bottom w:val="single" w:sz="4" w:space="0" w:color="auto"/>
              <w:right w:val="single" w:sz="4" w:space="0" w:color="auto"/>
            </w:tcBorders>
            <w:hideMark/>
          </w:tcPr>
          <w:p w14:paraId="58C10E95"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68.2%</w:t>
            </w:r>
          </w:p>
        </w:tc>
        <w:tc>
          <w:tcPr>
            <w:tcW w:w="565" w:type="pct"/>
            <w:tcBorders>
              <w:top w:val="single" w:sz="4" w:space="0" w:color="auto"/>
              <w:left w:val="single" w:sz="4" w:space="0" w:color="auto"/>
              <w:bottom w:val="single" w:sz="4" w:space="0" w:color="auto"/>
              <w:right w:val="single" w:sz="4" w:space="0" w:color="auto"/>
            </w:tcBorders>
            <w:hideMark/>
          </w:tcPr>
          <w:p w14:paraId="0159434C"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71.4%</w:t>
            </w:r>
          </w:p>
        </w:tc>
        <w:tc>
          <w:tcPr>
            <w:tcW w:w="776" w:type="pct"/>
            <w:tcBorders>
              <w:top w:val="single" w:sz="4" w:space="0" w:color="auto"/>
              <w:left w:val="single" w:sz="4" w:space="0" w:color="auto"/>
              <w:bottom w:val="single" w:sz="4" w:space="0" w:color="auto"/>
              <w:right w:val="single" w:sz="4" w:space="0" w:color="auto"/>
            </w:tcBorders>
            <w:hideMark/>
          </w:tcPr>
          <w:p w14:paraId="587773EE"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3.2%</w:t>
            </w:r>
          </w:p>
        </w:tc>
        <w:tc>
          <w:tcPr>
            <w:tcW w:w="770" w:type="pct"/>
            <w:tcBorders>
              <w:top w:val="single" w:sz="4" w:space="0" w:color="auto"/>
              <w:left w:val="single" w:sz="4" w:space="0" w:color="auto"/>
              <w:bottom w:val="single" w:sz="4" w:space="0" w:color="auto"/>
              <w:right w:val="single" w:sz="4" w:space="0" w:color="auto"/>
            </w:tcBorders>
            <w:hideMark/>
          </w:tcPr>
          <w:p w14:paraId="79A74993" w14:textId="77777777" w:rsidR="008337E8" w:rsidRPr="00283352" w:rsidRDefault="008337E8" w:rsidP="009A745A">
            <w:pPr>
              <w:keepNext/>
              <w:keepLines/>
              <w:spacing w:before="40" w:after="40"/>
              <w:rPr>
                <w:rFonts w:ascii="Arial Narrow" w:hAnsi="Arial Narrow" w:cs="Tahoma"/>
                <w:sz w:val="20"/>
              </w:rPr>
            </w:pPr>
            <w:r w:rsidRPr="00283352">
              <w:rPr>
                <w:rFonts w:ascii="Arial Narrow" w:hAnsi="Arial Narrow" w:cs="Tahoma"/>
                <w:sz w:val="20"/>
              </w:rPr>
              <w:t>No significant difference</w:t>
            </w:r>
          </w:p>
        </w:tc>
      </w:tr>
    </w:tbl>
    <w:bookmarkEnd w:id="26"/>
    <w:bookmarkEnd w:id="27"/>
    <w:bookmarkEnd w:id="28"/>
    <w:p w14:paraId="259DCE10" w14:textId="77777777" w:rsidR="008337E8" w:rsidRDefault="008337E8" w:rsidP="008337E8">
      <w:pPr>
        <w:pStyle w:val="TableNote"/>
      </w:pPr>
      <w:r>
        <w:t>Source: Table 2, pp23-24 of the ADAR</w:t>
      </w:r>
    </w:p>
    <w:p w14:paraId="31F6F0B7" w14:textId="77777777" w:rsidR="008337E8" w:rsidRDefault="008337E8" w:rsidP="008337E8">
      <w:pPr>
        <w:pStyle w:val="TableNote"/>
      </w:pPr>
      <w:r>
        <w:t xml:space="preserve">Abbreviations:, k= study number; bDBS, bilateral DBS; CRST, clinical rating scale for tremor; DBS, deep brain stimulation; MAIC, </w:t>
      </w:r>
      <w:r w:rsidRPr="006A15F9">
        <w:t>Matching-Adjusted Indirect Comparisons</w:t>
      </w:r>
      <w:r>
        <w:t xml:space="preserve">; MRgFUS, magnetic resonance-guided focused ultrasound;NA, not applicable; QUEST, quality of life in essential tremor; STC, </w:t>
      </w:r>
      <w:r w:rsidRPr="006A15F9">
        <w:t>Simulated Treatment Comparison</w:t>
      </w:r>
      <w:r>
        <w:t xml:space="preserve">; uDBS, unilateral DBS; </w:t>
      </w:r>
    </w:p>
    <w:p w14:paraId="697D5918" w14:textId="77777777" w:rsidR="008337E8" w:rsidRDefault="008337E8" w:rsidP="008337E8">
      <w:pPr>
        <w:pStyle w:val="TableNote"/>
        <w:spacing w:after="240"/>
      </w:pPr>
      <w:r>
        <w:rPr>
          <w:vertAlign w:val="superscript"/>
        </w:rPr>
        <w:t xml:space="preserve">a </w:t>
      </w:r>
      <w:r>
        <w:t>GRADE Working Group grades of evidence (Guyatt et al., 2013)</w:t>
      </w:r>
      <w:r>
        <w:br/>
      </w:r>
      <w:r>
        <w:rPr>
          <w:rFonts w:ascii="Cambria Math" w:hAnsi="Cambria Math"/>
          <w:color w:val="00B050"/>
        </w:rPr>
        <w:t xml:space="preserve">⨁⨁⨁⨁ </w:t>
      </w:r>
      <w:r>
        <w:rPr>
          <w:b/>
          <w:bCs/>
        </w:rPr>
        <w:t>High quality:</w:t>
      </w:r>
      <w:r>
        <w:t xml:space="preserve"> We are very confident that the true effect lies close to that of the estimate of effect. </w:t>
      </w:r>
      <w:r>
        <w:rPr>
          <w:rFonts w:ascii="Cambria Math" w:hAnsi="Cambria Math"/>
          <w:color w:val="00B050"/>
        </w:rPr>
        <w:t>⨁⨁⨁</w:t>
      </w:r>
      <w:r>
        <w:rPr>
          <w:rFonts w:ascii="Cambria Math" w:hAnsi="Cambria Math" w:cs="Cambria Math"/>
          <w:color w:val="C00000"/>
        </w:rPr>
        <w:t xml:space="preserve">⨀ </w:t>
      </w:r>
      <w:r>
        <w:rPr>
          <w:b/>
          <w:bCs/>
        </w:rPr>
        <w:t>Moderate quality:</w:t>
      </w:r>
      <w:r>
        <w:t xml:space="preserve"> We are moderately confident in the effect estimate: The true effect is likely to be close to the estimate of the effect, but there is a possibility that it is substantially different. </w:t>
      </w:r>
      <w:r>
        <w:rPr>
          <w:rFonts w:ascii="Cambria Math" w:hAnsi="Cambria Math"/>
          <w:color w:val="00B050"/>
        </w:rPr>
        <w:t>⨁⨁</w:t>
      </w:r>
      <w:r>
        <w:rPr>
          <w:rFonts w:ascii="Cambria Math" w:hAnsi="Cambria Math" w:cs="Cambria Math"/>
          <w:color w:val="C00000"/>
        </w:rPr>
        <w:t xml:space="preserve">⨀⨀ </w:t>
      </w:r>
      <w:r>
        <w:rPr>
          <w:b/>
          <w:bCs/>
        </w:rPr>
        <w:t>Low quality:</w:t>
      </w:r>
      <w:r>
        <w:t xml:space="preserve"> Our confidence in the effect estimate is limited: The true effect may be substantially different from the estimate of the effect.</w:t>
      </w:r>
      <w:r>
        <w:rPr>
          <w:rFonts w:ascii="Cambria Math" w:hAnsi="Cambria Math"/>
          <w:color w:val="00B050"/>
        </w:rPr>
        <w:t>⨁</w:t>
      </w:r>
      <w:r>
        <w:rPr>
          <w:rFonts w:ascii="Cambria Math" w:hAnsi="Cambria Math" w:cs="Cambria Math"/>
          <w:color w:val="C00000"/>
        </w:rPr>
        <w:t xml:space="preserve">⨀⨀⨀ </w:t>
      </w:r>
      <w:r>
        <w:rPr>
          <w:b/>
          <w:bCs/>
        </w:rPr>
        <w:t>Very low quality:</w:t>
      </w:r>
      <w:r>
        <w:t xml:space="preserve"> We have very little confidence in the effect estimate: The true effect is likely to be substantially different from the estimate of effect.</w:t>
      </w:r>
    </w:p>
    <w:p w14:paraId="08CFEBE7" w14:textId="77777777" w:rsidR="008337E8" w:rsidRPr="009A745A" w:rsidRDefault="008337E8" w:rsidP="009A745A">
      <w:r>
        <w:t xml:space="preserve">The </w:t>
      </w:r>
      <w:r w:rsidRPr="00907CC6">
        <w:t xml:space="preserve">ADAR </w:t>
      </w:r>
      <w:r>
        <w:t xml:space="preserve">noted that </w:t>
      </w:r>
      <w:r w:rsidRPr="00907CC6">
        <w:t xml:space="preserve">no minimum clinically important difference (MCID) had been established for any of the tremor scales. </w:t>
      </w:r>
      <w:r>
        <w:t>In the pre-ESC response, the applicant highlighted that Elbe et al 2013</w:t>
      </w:r>
      <w:r>
        <w:rPr>
          <w:rStyle w:val="FootnoteReference"/>
        </w:rPr>
        <w:footnoteReference w:id="7"/>
      </w:r>
      <w:r>
        <w:t xml:space="preserve"> (cited in the </w:t>
      </w:r>
      <w:hyperlink r:id="rId12" w:history="1">
        <w:r w:rsidRPr="00E37D48">
          <w:rPr>
            <w:rStyle w:val="Hyperlink"/>
          </w:rPr>
          <w:t>Ratified PICO</w:t>
        </w:r>
      </w:hyperlink>
      <w:r>
        <w:t>,p12) was unable to specify a MCID. The applicant also considered that as MSAC  previously recommended reimbursement of DBS in ET (</w:t>
      </w:r>
      <w:hyperlink r:id="rId13" w:history="1">
        <w:r w:rsidRPr="00E84EA3">
          <w:rPr>
            <w:rStyle w:val="Hyperlink"/>
          </w:rPr>
          <w:t>Application 1109</w:t>
        </w:r>
      </w:hyperlink>
      <w:r>
        <w:t>) then it is already</w:t>
      </w:r>
      <w:r w:rsidRPr="00E84EA3">
        <w:t xml:space="preserve"> accepted that the differences before and after treatment with DBS</w:t>
      </w:r>
      <w:r>
        <w:t xml:space="preserve"> are clinically meaningful. Further, the applicant considered that the ITC</w:t>
      </w:r>
      <w:r w:rsidRPr="00E84EA3">
        <w:t xml:space="preserve"> </w:t>
      </w:r>
      <w:r w:rsidRPr="00E84EA3">
        <w:lastRenderedPageBreak/>
        <w:t>demonstrate</w:t>
      </w:r>
      <w:r>
        <w:t>d</w:t>
      </w:r>
      <w:r w:rsidRPr="00E84EA3">
        <w:t xml:space="preserve"> that </w:t>
      </w:r>
      <w:proofErr w:type="spellStart"/>
      <w:r w:rsidRPr="00E84EA3">
        <w:t>MRgFUS</w:t>
      </w:r>
      <w:proofErr w:type="spellEnd"/>
      <w:r w:rsidRPr="00E84EA3">
        <w:t xml:space="preserve"> has a similar level of effectiveness on tremor as DBS. It therefore follows </w:t>
      </w:r>
      <w:proofErr w:type="spellStart"/>
      <w:r w:rsidRPr="00E84EA3">
        <w:t>MRgFUS</w:t>
      </w:r>
      <w:proofErr w:type="spellEnd"/>
      <w:r w:rsidRPr="00E84EA3">
        <w:t xml:space="preserve"> is providing a clinically important benefit to patients.</w:t>
      </w:r>
    </w:p>
    <w:p w14:paraId="1B58C969" w14:textId="0AF52501" w:rsidR="009A745A" w:rsidRPr="009A745A" w:rsidRDefault="009A745A" w:rsidP="009A745A">
      <w:pPr>
        <w:pStyle w:val="Heading2"/>
      </w:pPr>
      <w:proofErr w:type="spellStart"/>
      <w:r w:rsidRPr="009A745A">
        <w:t>MRgFUS</w:t>
      </w:r>
      <w:proofErr w:type="spellEnd"/>
      <w:r w:rsidRPr="009A745A">
        <w:t xml:space="preserve"> vs. BSC</w:t>
      </w:r>
    </w:p>
    <w:p w14:paraId="38337A04" w14:textId="77777777" w:rsidR="009A745A" w:rsidRDefault="009A745A" w:rsidP="009A745A">
      <w:r>
        <w:t xml:space="preserve">A summary of the key outcomes reported in the pivotal sham-controlled trial is presented in Table 9. The ADAR considered that </w:t>
      </w:r>
      <w:proofErr w:type="spellStart"/>
      <w:r>
        <w:t>MRgFUS</w:t>
      </w:r>
      <w:proofErr w:type="spellEnd"/>
      <w:r>
        <w:t xml:space="preserve"> was shown to be statistically superior to sham across all outcomes in the pivotal RCT with significantly greater reductions observed in total CRST, upper limb tremor; tremor-related disability (CRST Part C) and quality of life (QUEST) with an incremental improvement of 44.8%, 47.0%, 60.0% and 45.7%, respectively (p&lt;0.001). </w:t>
      </w:r>
      <w:bookmarkStart w:id="29" w:name="_Hlk52458255"/>
      <w:r w:rsidRPr="00445818">
        <w:t xml:space="preserve">The treatment effects observed in the pivotal trial were shown to sustained over </w:t>
      </w:r>
      <w:r>
        <w:t>the long-term with a 52.7%, 54.3% and 44.8% improvement in hand tremor, disability and quality of life at the 3-year follow-up assessment.</w:t>
      </w:r>
      <w:bookmarkEnd w:id="29"/>
    </w:p>
    <w:p w14:paraId="22CE494F" w14:textId="1964E76D" w:rsidR="009A745A" w:rsidRDefault="009A745A" w:rsidP="0039787B">
      <w:pPr>
        <w:spacing w:before="240"/>
      </w:pPr>
      <w:r>
        <w:t>The ADAR considered that these data are supported by the non-comparative studies showing a consistent reduction in the same reported outcomes across all relevant studies included in the assessment with an overall reduction of 57.9% (range: 50.4% - 67.3%) in total CRST; 69.2% reduction in hand tremor (range: 42.4% - 80.5%); 69.0% reduction in CRST Part C (range: 55.1% - 85.0%) and a 63.0% improvement in tremor-related quality of life (range 55.2% - 67.6 %).</w:t>
      </w:r>
    </w:p>
    <w:p w14:paraId="5EDF1013" w14:textId="77777777" w:rsidR="009A745A" w:rsidRDefault="009A745A" w:rsidP="0039787B">
      <w:pPr>
        <w:pStyle w:val="Caption"/>
        <w:spacing w:before="240"/>
        <w:rPr>
          <w:snapToGrid w:val="0"/>
        </w:rPr>
      </w:pPr>
      <w:bookmarkStart w:id="30" w:name="_Ref52367817"/>
      <w:bookmarkStart w:id="31" w:name="_Toc52801224"/>
      <w:r>
        <w:t>Table</w:t>
      </w:r>
      <w:bookmarkEnd w:id="30"/>
      <w:r>
        <w:t xml:space="preserve"> 9</w:t>
      </w:r>
      <w:r>
        <w:tab/>
      </w:r>
      <w:r>
        <w:rPr>
          <w:snapToGrid w:val="0"/>
        </w:rPr>
        <w:t xml:space="preserve">Balance of clinical benefits and harms of </w:t>
      </w:r>
      <w:proofErr w:type="spellStart"/>
      <w:r>
        <w:rPr>
          <w:snapToGrid w:val="0"/>
        </w:rPr>
        <w:t>MRgFUS</w:t>
      </w:r>
      <w:proofErr w:type="spellEnd"/>
      <w:r>
        <w:rPr>
          <w:snapToGrid w:val="0"/>
        </w:rPr>
        <w:t xml:space="preserve">, relative to Sham, and as measured by the </w:t>
      </w:r>
      <w:r>
        <w:rPr>
          <w:snapToGrid w:val="0"/>
          <w:u w:val="single"/>
        </w:rPr>
        <w:t>critical</w:t>
      </w:r>
      <w:r>
        <w:rPr>
          <w:snapToGrid w:val="0"/>
        </w:rPr>
        <w:t xml:space="preserve"> patient-relevant outcomes in the </w:t>
      </w:r>
      <w:bookmarkEnd w:id="31"/>
      <w:r>
        <w:rPr>
          <w:snapToGrid w:val="0"/>
        </w:rPr>
        <w:t xml:space="preserve">randomised controlled trial </w:t>
      </w:r>
    </w:p>
    <w:tbl>
      <w:tblPr>
        <w:tblStyle w:val="TableGrid1"/>
        <w:tblW w:w="5000" w:type="pct"/>
        <w:tblLook w:val="04A0" w:firstRow="1" w:lastRow="0" w:firstColumn="1" w:lastColumn="0" w:noHBand="0" w:noVBand="1"/>
        <w:tblDescription w:val="Balance of clinical benefits and harms of MRgFUS, relative to Sham, and as measured by the critical patient-relevant outcomes in the randomised controlled trial "/>
      </w:tblPr>
      <w:tblGrid>
        <w:gridCol w:w="1851"/>
        <w:gridCol w:w="1644"/>
        <w:gridCol w:w="920"/>
        <w:gridCol w:w="1001"/>
        <w:gridCol w:w="1019"/>
        <w:gridCol w:w="1019"/>
        <w:gridCol w:w="1562"/>
      </w:tblGrid>
      <w:tr w:rsidR="009A745A" w14:paraId="05A8675F" w14:textId="77777777" w:rsidTr="00DA2C15">
        <w:trPr>
          <w:cnfStyle w:val="100000000000" w:firstRow="1" w:lastRow="0" w:firstColumn="0" w:lastColumn="0" w:oddVBand="0" w:evenVBand="0" w:oddHBand="0" w:evenHBand="0" w:firstRowFirstColumn="0" w:firstRowLastColumn="0" w:lastRowFirstColumn="0" w:lastRowLastColumn="0"/>
          <w:tblHeader/>
        </w:trPr>
        <w:tc>
          <w:tcPr>
            <w:tcW w:w="1027" w:type="pct"/>
            <w:hideMark/>
          </w:tcPr>
          <w:p w14:paraId="2E788178" w14:textId="77777777" w:rsidR="009A745A" w:rsidRDefault="009A745A" w:rsidP="009A745A">
            <w:pPr>
              <w:pStyle w:val="TableHeading"/>
              <w:ind w:left="0" w:firstLine="0"/>
            </w:pPr>
            <w:r>
              <w:t>Outcomes (units)</w:t>
            </w:r>
          </w:p>
          <w:p w14:paraId="600BA6E4" w14:textId="77777777" w:rsidR="009A745A" w:rsidRDefault="009A745A" w:rsidP="009A745A">
            <w:pPr>
              <w:pStyle w:val="TableHeading"/>
              <w:ind w:left="0" w:firstLine="0"/>
            </w:pPr>
            <w:r>
              <w:t>Follow-up</w:t>
            </w:r>
          </w:p>
        </w:tc>
        <w:tc>
          <w:tcPr>
            <w:tcW w:w="912" w:type="pct"/>
          </w:tcPr>
          <w:p w14:paraId="3A0E71EA" w14:textId="77777777" w:rsidR="009A745A" w:rsidRDefault="009A745A" w:rsidP="009A745A">
            <w:pPr>
              <w:pStyle w:val="TableHeading"/>
              <w:ind w:left="0" w:firstLine="0"/>
            </w:pPr>
            <w:r>
              <w:t>Participants (studies)</w:t>
            </w:r>
          </w:p>
          <w:p w14:paraId="5734E5DD" w14:textId="77777777" w:rsidR="009A745A" w:rsidRDefault="009A745A" w:rsidP="009A745A">
            <w:pPr>
              <w:pStyle w:val="TableHeading"/>
              <w:ind w:left="0" w:firstLine="0"/>
            </w:pPr>
          </w:p>
        </w:tc>
        <w:tc>
          <w:tcPr>
            <w:tcW w:w="510" w:type="pct"/>
            <w:hideMark/>
          </w:tcPr>
          <w:p w14:paraId="2363308B" w14:textId="77777777" w:rsidR="009A745A" w:rsidRDefault="009A745A" w:rsidP="009A745A">
            <w:pPr>
              <w:pStyle w:val="TableHeading"/>
              <w:ind w:left="0" w:firstLine="0"/>
            </w:pPr>
            <w:r>
              <w:t>Quality of evidence (GRADE)</w:t>
            </w:r>
          </w:p>
        </w:tc>
        <w:tc>
          <w:tcPr>
            <w:tcW w:w="555" w:type="pct"/>
            <w:hideMark/>
          </w:tcPr>
          <w:p w14:paraId="2F4A157F" w14:textId="77777777" w:rsidR="009A745A" w:rsidRDefault="009A745A" w:rsidP="009A745A">
            <w:pPr>
              <w:pStyle w:val="TableHeading"/>
              <w:ind w:left="0" w:firstLine="0"/>
            </w:pPr>
            <w:r>
              <w:t>Mean difference</w:t>
            </w:r>
          </w:p>
        </w:tc>
        <w:tc>
          <w:tcPr>
            <w:tcW w:w="565" w:type="pct"/>
            <w:hideMark/>
          </w:tcPr>
          <w:p w14:paraId="48276A2D" w14:textId="77777777" w:rsidR="009A745A" w:rsidRDefault="009A745A" w:rsidP="009A745A">
            <w:pPr>
              <w:pStyle w:val="TableHeading"/>
              <w:ind w:left="0" w:firstLine="0"/>
            </w:pPr>
            <w:r>
              <w:t>Reduction with MRgFUS</w:t>
            </w:r>
          </w:p>
        </w:tc>
        <w:tc>
          <w:tcPr>
            <w:tcW w:w="565" w:type="pct"/>
            <w:hideMark/>
          </w:tcPr>
          <w:p w14:paraId="2B210D4D" w14:textId="77777777" w:rsidR="009A745A" w:rsidRDefault="009A745A" w:rsidP="009A745A">
            <w:pPr>
              <w:pStyle w:val="TableHeading"/>
              <w:ind w:left="0" w:firstLine="0"/>
            </w:pPr>
            <w:r>
              <w:t>Reduction with Sham</w:t>
            </w:r>
          </w:p>
        </w:tc>
        <w:tc>
          <w:tcPr>
            <w:tcW w:w="866" w:type="pct"/>
            <w:hideMark/>
          </w:tcPr>
          <w:p w14:paraId="2E080B5B" w14:textId="77777777" w:rsidR="009A745A" w:rsidRDefault="009A745A" w:rsidP="009A745A">
            <w:pPr>
              <w:pStyle w:val="TableHeading"/>
              <w:ind w:left="0" w:firstLine="0"/>
            </w:pPr>
            <w:r>
              <w:t>Comments</w:t>
            </w:r>
          </w:p>
        </w:tc>
      </w:tr>
      <w:tr w:rsidR="009A745A" w14:paraId="07481B2F" w14:textId="77777777" w:rsidTr="00DA2C15">
        <w:trPr>
          <w:trHeight w:val="263"/>
        </w:trPr>
        <w:tc>
          <w:tcPr>
            <w:tcW w:w="1027" w:type="pct"/>
            <w:hideMark/>
          </w:tcPr>
          <w:p w14:paraId="28925BAA" w14:textId="77777777" w:rsidR="009A745A" w:rsidRDefault="009A745A" w:rsidP="009A745A">
            <w:pPr>
              <w:pStyle w:val="Tabletext0"/>
              <w:rPr>
                <w:rFonts w:cs="Arial"/>
                <w:sz w:val="18"/>
                <w:szCs w:val="18"/>
                <w:vertAlign w:val="superscript"/>
              </w:rPr>
            </w:pPr>
            <w:r>
              <w:t>Total CRST, 12 months</w:t>
            </w:r>
          </w:p>
        </w:tc>
        <w:tc>
          <w:tcPr>
            <w:tcW w:w="912" w:type="pct"/>
            <w:hideMark/>
          </w:tcPr>
          <w:p w14:paraId="11D34C6C" w14:textId="77777777" w:rsidR="009A745A" w:rsidRDefault="009A745A" w:rsidP="009A745A">
            <w:pPr>
              <w:pStyle w:val="Tabletext0"/>
            </w:pPr>
            <w:proofErr w:type="spellStart"/>
            <w:r>
              <w:t>MRgFUS</w:t>
            </w:r>
            <w:proofErr w:type="spellEnd"/>
            <w:r>
              <w:t xml:space="preserve"> = 56</w:t>
            </w:r>
          </w:p>
          <w:p w14:paraId="72277F88" w14:textId="77777777" w:rsidR="009A745A" w:rsidRDefault="009A745A" w:rsidP="009A745A">
            <w:pPr>
              <w:pStyle w:val="Tabletext0"/>
            </w:pPr>
            <w:r>
              <w:t>Sham = 20; k=1</w:t>
            </w:r>
          </w:p>
        </w:tc>
        <w:tc>
          <w:tcPr>
            <w:tcW w:w="510" w:type="pct"/>
            <w:hideMark/>
          </w:tcPr>
          <w:p w14:paraId="70547C5D" w14:textId="77777777" w:rsidR="009A745A" w:rsidRDefault="009A745A" w:rsidP="009A745A">
            <w:pPr>
              <w:pStyle w:val="Tabletext0"/>
              <w:rPr>
                <w:rFonts w:cs="Arial"/>
                <w:sz w:val="18"/>
                <w:szCs w:val="18"/>
                <w:vertAlign w:val="superscript"/>
              </w:rPr>
            </w:pPr>
            <w:r>
              <w:rPr>
                <w:rFonts w:ascii="Cambria Math" w:hAnsi="Cambria Math"/>
                <w:color w:val="00B050"/>
              </w:rPr>
              <w:t>⨁⨁⨁</w:t>
            </w:r>
            <w:r>
              <w:rPr>
                <w:rFonts w:ascii="Cambria Math" w:hAnsi="Cambria Math" w:cs="Cambria Math"/>
                <w:color w:val="C00000"/>
              </w:rPr>
              <w:t>⨀</w:t>
            </w:r>
          </w:p>
        </w:tc>
        <w:tc>
          <w:tcPr>
            <w:tcW w:w="555" w:type="pct"/>
            <w:hideMark/>
          </w:tcPr>
          <w:p w14:paraId="7433F4A4" w14:textId="77777777" w:rsidR="009A745A" w:rsidRDefault="009A745A" w:rsidP="009A745A">
            <w:pPr>
              <w:pStyle w:val="Tabletext0"/>
            </w:pPr>
            <w:r>
              <w:t xml:space="preserve">38.5% </w:t>
            </w:r>
          </w:p>
        </w:tc>
        <w:tc>
          <w:tcPr>
            <w:tcW w:w="565" w:type="pct"/>
            <w:hideMark/>
          </w:tcPr>
          <w:p w14:paraId="083D3756" w14:textId="77777777" w:rsidR="009A745A" w:rsidRDefault="009A745A" w:rsidP="009A745A">
            <w:pPr>
              <w:pStyle w:val="Tabletext0"/>
            </w:pPr>
            <w:r>
              <w:t>40.9%</w:t>
            </w:r>
          </w:p>
        </w:tc>
        <w:tc>
          <w:tcPr>
            <w:tcW w:w="565" w:type="pct"/>
            <w:hideMark/>
          </w:tcPr>
          <w:p w14:paraId="2F80862E" w14:textId="77777777" w:rsidR="009A745A" w:rsidRDefault="009A745A" w:rsidP="009A745A">
            <w:pPr>
              <w:pStyle w:val="Tabletext0"/>
            </w:pPr>
            <w:r>
              <w:t>2.4%</w:t>
            </w:r>
          </w:p>
        </w:tc>
        <w:tc>
          <w:tcPr>
            <w:tcW w:w="866" w:type="pct"/>
            <w:hideMark/>
          </w:tcPr>
          <w:p w14:paraId="70A8656E" w14:textId="77777777" w:rsidR="009A745A" w:rsidRDefault="009A745A" w:rsidP="009A745A">
            <w:pPr>
              <w:pStyle w:val="Tabletext0"/>
              <w:rPr>
                <w:rFonts w:cs="Arial"/>
                <w:sz w:val="18"/>
                <w:szCs w:val="18"/>
                <w:vertAlign w:val="superscript"/>
              </w:rPr>
            </w:pPr>
            <w:r>
              <w:t xml:space="preserve">Statistically favours </w:t>
            </w:r>
            <w:proofErr w:type="spellStart"/>
            <w:r>
              <w:t>MRgFUS</w:t>
            </w:r>
            <w:proofErr w:type="spellEnd"/>
            <w:r>
              <w:t xml:space="preserve"> (p&lt;0.0001)</w:t>
            </w:r>
          </w:p>
        </w:tc>
      </w:tr>
      <w:tr w:rsidR="009A745A" w14:paraId="689EB2FD" w14:textId="77777777" w:rsidTr="00DA2C15">
        <w:trPr>
          <w:trHeight w:val="25"/>
        </w:trPr>
        <w:tc>
          <w:tcPr>
            <w:tcW w:w="1027" w:type="pct"/>
            <w:hideMark/>
          </w:tcPr>
          <w:p w14:paraId="7447950A" w14:textId="77777777" w:rsidR="009A745A" w:rsidRDefault="009A745A" w:rsidP="009A745A">
            <w:pPr>
              <w:pStyle w:val="Tabletext0"/>
              <w:rPr>
                <w:rFonts w:cs="Arial"/>
                <w:sz w:val="18"/>
                <w:szCs w:val="18"/>
                <w:vertAlign w:val="superscript"/>
              </w:rPr>
            </w:pPr>
            <w:r>
              <w:t>Hand tremor, 12 months</w:t>
            </w:r>
          </w:p>
        </w:tc>
        <w:tc>
          <w:tcPr>
            <w:tcW w:w="912" w:type="pct"/>
            <w:hideMark/>
          </w:tcPr>
          <w:p w14:paraId="792D9EF5" w14:textId="77777777" w:rsidR="009A745A" w:rsidRDefault="009A745A" w:rsidP="009A745A">
            <w:pPr>
              <w:pStyle w:val="Tabletext0"/>
            </w:pPr>
            <w:proofErr w:type="spellStart"/>
            <w:r>
              <w:t>MRgFUS</w:t>
            </w:r>
            <w:proofErr w:type="spellEnd"/>
            <w:r>
              <w:t xml:space="preserve"> = 56</w:t>
            </w:r>
          </w:p>
          <w:p w14:paraId="663826CC" w14:textId="77777777" w:rsidR="009A745A" w:rsidRDefault="009A745A" w:rsidP="009A745A">
            <w:pPr>
              <w:pStyle w:val="Tabletext0"/>
              <w:rPr>
                <w:rFonts w:cs="Arial"/>
                <w:sz w:val="18"/>
                <w:szCs w:val="18"/>
                <w:vertAlign w:val="superscript"/>
              </w:rPr>
            </w:pPr>
            <w:r>
              <w:t>Sham = 20; k=1</w:t>
            </w:r>
          </w:p>
        </w:tc>
        <w:tc>
          <w:tcPr>
            <w:tcW w:w="510" w:type="pct"/>
            <w:hideMark/>
          </w:tcPr>
          <w:p w14:paraId="13353B73" w14:textId="77777777" w:rsidR="009A745A" w:rsidRDefault="009A745A" w:rsidP="009A745A">
            <w:pPr>
              <w:pStyle w:val="Tabletext0"/>
              <w:rPr>
                <w:rFonts w:cs="Arial"/>
                <w:sz w:val="18"/>
                <w:szCs w:val="18"/>
                <w:vertAlign w:val="superscript"/>
              </w:rPr>
            </w:pPr>
            <w:r>
              <w:rPr>
                <w:rFonts w:ascii="Cambria Math" w:hAnsi="Cambria Math"/>
                <w:color w:val="00B050"/>
              </w:rPr>
              <w:t>⨁⨁⨁</w:t>
            </w:r>
            <w:r>
              <w:rPr>
                <w:rFonts w:ascii="Cambria Math" w:hAnsi="Cambria Math" w:cs="Cambria Math"/>
                <w:color w:val="C00000"/>
              </w:rPr>
              <w:t>⨀</w:t>
            </w:r>
          </w:p>
        </w:tc>
        <w:tc>
          <w:tcPr>
            <w:tcW w:w="555" w:type="pct"/>
            <w:hideMark/>
          </w:tcPr>
          <w:p w14:paraId="7C366E5C" w14:textId="77777777" w:rsidR="009A745A" w:rsidRDefault="009A745A" w:rsidP="009A745A">
            <w:pPr>
              <w:pStyle w:val="Tabletext0"/>
              <w:rPr>
                <w:rFonts w:cs="Arial"/>
                <w:sz w:val="18"/>
                <w:szCs w:val="18"/>
                <w:vertAlign w:val="superscript"/>
              </w:rPr>
            </w:pPr>
            <w:r>
              <w:t>47.0%</w:t>
            </w:r>
          </w:p>
        </w:tc>
        <w:tc>
          <w:tcPr>
            <w:tcW w:w="565" w:type="pct"/>
            <w:hideMark/>
          </w:tcPr>
          <w:p w14:paraId="4F34B97B" w14:textId="77777777" w:rsidR="009A745A" w:rsidRDefault="009A745A" w:rsidP="009A745A">
            <w:pPr>
              <w:pStyle w:val="Tabletext0"/>
            </w:pPr>
            <w:r>
              <w:t>47.2%</w:t>
            </w:r>
          </w:p>
        </w:tc>
        <w:tc>
          <w:tcPr>
            <w:tcW w:w="565" w:type="pct"/>
            <w:hideMark/>
          </w:tcPr>
          <w:p w14:paraId="34BC797A" w14:textId="77777777" w:rsidR="009A745A" w:rsidRDefault="009A745A" w:rsidP="009A745A">
            <w:pPr>
              <w:pStyle w:val="Tabletext0"/>
            </w:pPr>
            <w:r>
              <w:t>0.16%</w:t>
            </w:r>
          </w:p>
        </w:tc>
        <w:tc>
          <w:tcPr>
            <w:tcW w:w="866" w:type="pct"/>
            <w:hideMark/>
          </w:tcPr>
          <w:p w14:paraId="3D8D1656" w14:textId="77777777" w:rsidR="009A745A" w:rsidRDefault="009A745A" w:rsidP="009A745A">
            <w:pPr>
              <w:pStyle w:val="Tabletext0"/>
              <w:rPr>
                <w:rFonts w:cs="Arial"/>
                <w:sz w:val="18"/>
                <w:szCs w:val="18"/>
                <w:vertAlign w:val="superscript"/>
              </w:rPr>
            </w:pPr>
            <w:r>
              <w:t xml:space="preserve">Statistically favours </w:t>
            </w:r>
            <w:proofErr w:type="spellStart"/>
            <w:r>
              <w:t>MRgFUS</w:t>
            </w:r>
            <w:proofErr w:type="spellEnd"/>
            <w:r>
              <w:t xml:space="preserve"> (p&lt;0.0001)</w:t>
            </w:r>
          </w:p>
        </w:tc>
      </w:tr>
      <w:tr w:rsidR="009A745A" w14:paraId="50B62BDB" w14:textId="77777777" w:rsidTr="00DA2C15">
        <w:tc>
          <w:tcPr>
            <w:tcW w:w="1027" w:type="pct"/>
            <w:hideMark/>
          </w:tcPr>
          <w:p w14:paraId="2B457445" w14:textId="77777777" w:rsidR="009A745A" w:rsidRDefault="009A745A" w:rsidP="009A745A">
            <w:pPr>
              <w:pStyle w:val="Tabletext0"/>
              <w:rPr>
                <w:rFonts w:cs="Arial"/>
                <w:sz w:val="18"/>
                <w:szCs w:val="18"/>
                <w:vertAlign w:val="superscript"/>
              </w:rPr>
            </w:pPr>
            <w:r>
              <w:t xml:space="preserve">CRST Part C, 12 months </w:t>
            </w:r>
          </w:p>
        </w:tc>
        <w:tc>
          <w:tcPr>
            <w:tcW w:w="912" w:type="pct"/>
            <w:hideMark/>
          </w:tcPr>
          <w:p w14:paraId="228A452C" w14:textId="77777777" w:rsidR="009A745A" w:rsidRDefault="009A745A" w:rsidP="009A745A">
            <w:pPr>
              <w:pStyle w:val="Tabletext0"/>
            </w:pPr>
            <w:proofErr w:type="spellStart"/>
            <w:r>
              <w:t>MRgFUS</w:t>
            </w:r>
            <w:proofErr w:type="spellEnd"/>
            <w:r>
              <w:t xml:space="preserve"> = 56</w:t>
            </w:r>
          </w:p>
          <w:p w14:paraId="2D8C751D" w14:textId="77777777" w:rsidR="009A745A" w:rsidRDefault="009A745A" w:rsidP="009A745A">
            <w:pPr>
              <w:pStyle w:val="Tabletext0"/>
              <w:rPr>
                <w:rFonts w:cs="Arial"/>
                <w:sz w:val="18"/>
                <w:szCs w:val="18"/>
                <w:vertAlign w:val="superscript"/>
              </w:rPr>
            </w:pPr>
            <w:r>
              <w:t>Sham = 20; k=1</w:t>
            </w:r>
          </w:p>
        </w:tc>
        <w:tc>
          <w:tcPr>
            <w:tcW w:w="510" w:type="pct"/>
            <w:hideMark/>
          </w:tcPr>
          <w:p w14:paraId="0075A1FF" w14:textId="77777777" w:rsidR="009A745A" w:rsidRDefault="009A745A" w:rsidP="009A745A">
            <w:pPr>
              <w:pStyle w:val="Tabletext0"/>
              <w:rPr>
                <w:rFonts w:cs="Arial"/>
                <w:sz w:val="18"/>
                <w:szCs w:val="18"/>
                <w:vertAlign w:val="superscript"/>
              </w:rPr>
            </w:pPr>
            <w:r>
              <w:rPr>
                <w:rFonts w:ascii="Cambria Math" w:hAnsi="Cambria Math"/>
                <w:color w:val="00B050"/>
              </w:rPr>
              <w:t>⨁⨁⨁</w:t>
            </w:r>
            <w:r>
              <w:rPr>
                <w:rFonts w:ascii="Cambria Math" w:hAnsi="Cambria Math" w:cs="Cambria Math"/>
                <w:color w:val="C00000"/>
              </w:rPr>
              <w:t>⨀</w:t>
            </w:r>
          </w:p>
        </w:tc>
        <w:tc>
          <w:tcPr>
            <w:tcW w:w="555" w:type="pct"/>
            <w:hideMark/>
          </w:tcPr>
          <w:p w14:paraId="3BD4598D" w14:textId="77777777" w:rsidR="009A745A" w:rsidRDefault="009A745A" w:rsidP="009A745A">
            <w:pPr>
              <w:pStyle w:val="Tabletext0"/>
              <w:rPr>
                <w:rFonts w:cs="Arial"/>
                <w:sz w:val="18"/>
                <w:szCs w:val="18"/>
                <w:vertAlign w:val="superscript"/>
              </w:rPr>
            </w:pPr>
            <w:r>
              <w:t xml:space="preserve">60.0% </w:t>
            </w:r>
          </w:p>
        </w:tc>
        <w:tc>
          <w:tcPr>
            <w:tcW w:w="565" w:type="pct"/>
            <w:hideMark/>
          </w:tcPr>
          <w:p w14:paraId="5C7C4C9D" w14:textId="77777777" w:rsidR="009A745A" w:rsidRDefault="009A745A" w:rsidP="009A745A">
            <w:pPr>
              <w:pStyle w:val="Tabletext0"/>
            </w:pPr>
            <w:r>
              <w:t>62.8%</w:t>
            </w:r>
          </w:p>
        </w:tc>
        <w:tc>
          <w:tcPr>
            <w:tcW w:w="565" w:type="pct"/>
            <w:hideMark/>
          </w:tcPr>
          <w:p w14:paraId="279418E6" w14:textId="77777777" w:rsidR="009A745A" w:rsidRDefault="009A745A" w:rsidP="009A745A">
            <w:pPr>
              <w:pStyle w:val="Tabletext0"/>
            </w:pPr>
            <w:r>
              <w:t>2.8%</w:t>
            </w:r>
          </w:p>
        </w:tc>
        <w:tc>
          <w:tcPr>
            <w:tcW w:w="866" w:type="pct"/>
            <w:hideMark/>
          </w:tcPr>
          <w:p w14:paraId="778BFEAD" w14:textId="77777777" w:rsidR="009A745A" w:rsidRDefault="009A745A" w:rsidP="009A745A">
            <w:pPr>
              <w:pStyle w:val="Tabletext0"/>
              <w:rPr>
                <w:rFonts w:cs="Arial"/>
                <w:sz w:val="18"/>
                <w:szCs w:val="18"/>
                <w:vertAlign w:val="superscript"/>
              </w:rPr>
            </w:pPr>
            <w:r>
              <w:t xml:space="preserve">Statistically favours </w:t>
            </w:r>
            <w:proofErr w:type="spellStart"/>
            <w:r>
              <w:t>MRgFUS</w:t>
            </w:r>
            <w:proofErr w:type="spellEnd"/>
            <w:r>
              <w:t xml:space="preserve"> (p&lt;0.0001)</w:t>
            </w:r>
          </w:p>
        </w:tc>
      </w:tr>
      <w:tr w:rsidR="009A745A" w14:paraId="451A02B2" w14:textId="77777777" w:rsidTr="00DA2C15">
        <w:tc>
          <w:tcPr>
            <w:tcW w:w="1027" w:type="pct"/>
            <w:hideMark/>
          </w:tcPr>
          <w:p w14:paraId="77BD57E2" w14:textId="77777777" w:rsidR="009A745A" w:rsidRDefault="009A745A" w:rsidP="009A745A">
            <w:pPr>
              <w:pStyle w:val="Tabletext0"/>
              <w:rPr>
                <w:rFonts w:cs="Arial"/>
                <w:sz w:val="18"/>
                <w:szCs w:val="18"/>
                <w:vertAlign w:val="superscript"/>
              </w:rPr>
            </w:pPr>
            <w:r>
              <w:t>QUEST, 12 months</w:t>
            </w:r>
          </w:p>
        </w:tc>
        <w:tc>
          <w:tcPr>
            <w:tcW w:w="912" w:type="pct"/>
            <w:hideMark/>
          </w:tcPr>
          <w:p w14:paraId="35E16573" w14:textId="77777777" w:rsidR="009A745A" w:rsidRDefault="009A745A" w:rsidP="009A745A">
            <w:pPr>
              <w:pStyle w:val="Tabletext0"/>
            </w:pPr>
            <w:proofErr w:type="spellStart"/>
            <w:r>
              <w:t>MRgFUS</w:t>
            </w:r>
            <w:proofErr w:type="spellEnd"/>
            <w:r>
              <w:t xml:space="preserve"> = 56</w:t>
            </w:r>
          </w:p>
          <w:p w14:paraId="22FDB96E" w14:textId="77777777" w:rsidR="009A745A" w:rsidRDefault="009A745A" w:rsidP="009A745A">
            <w:pPr>
              <w:pStyle w:val="Tabletext0"/>
              <w:rPr>
                <w:rFonts w:cs="Arial"/>
                <w:sz w:val="18"/>
                <w:szCs w:val="18"/>
                <w:vertAlign w:val="superscript"/>
              </w:rPr>
            </w:pPr>
            <w:r>
              <w:t>Sham = 20; k=1</w:t>
            </w:r>
          </w:p>
        </w:tc>
        <w:tc>
          <w:tcPr>
            <w:tcW w:w="510" w:type="pct"/>
            <w:hideMark/>
          </w:tcPr>
          <w:p w14:paraId="7ABF83D4" w14:textId="77777777" w:rsidR="009A745A" w:rsidRDefault="009A745A" w:rsidP="009A745A">
            <w:pPr>
              <w:pStyle w:val="Tabletext0"/>
              <w:rPr>
                <w:rFonts w:cs="Arial"/>
                <w:sz w:val="18"/>
                <w:szCs w:val="18"/>
                <w:vertAlign w:val="superscript"/>
              </w:rPr>
            </w:pPr>
            <w:r>
              <w:rPr>
                <w:rFonts w:ascii="Cambria Math" w:hAnsi="Cambria Math"/>
                <w:color w:val="00B050"/>
              </w:rPr>
              <w:t>⨁⨁⨁</w:t>
            </w:r>
            <w:r>
              <w:rPr>
                <w:rFonts w:ascii="Cambria Math" w:hAnsi="Cambria Math" w:cs="Cambria Math"/>
                <w:color w:val="C00000"/>
              </w:rPr>
              <w:t>⨀</w:t>
            </w:r>
          </w:p>
        </w:tc>
        <w:tc>
          <w:tcPr>
            <w:tcW w:w="555" w:type="pct"/>
            <w:hideMark/>
          </w:tcPr>
          <w:p w14:paraId="2031582D" w14:textId="77777777" w:rsidR="009A745A" w:rsidRDefault="009A745A" w:rsidP="009A745A">
            <w:pPr>
              <w:pStyle w:val="Tabletext0"/>
              <w:rPr>
                <w:rFonts w:cs="Arial"/>
                <w:sz w:val="18"/>
                <w:szCs w:val="18"/>
                <w:vertAlign w:val="superscript"/>
              </w:rPr>
            </w:pPr>
            <w:r>
              <w:t xml:space="preserve">42.5% </w:t>
            </w:r>
          </w:p>
        </w:tc>
        <w:tc>
          <w:tcPr>
            <w:tcW w:w="565" w:type="pct"/>
            <w:hideMark/>
          </w:tcPr>
          <w:p w14:paraId="20106914" w14:textId="77777777" w:rsidR="009A745A" w:rsidRDefault="009A745A" w:rsidP="009A745A">
            <w:pPr>
              <w:pStyle w:val="Tabletext0"/>
            </w:pPr>
            <w:r>
              <w:t>45.7%</w:t>
            </w:r>
          </w:p>
        </w:tc>
        <w:tc>
          <w:tcPr>
            <w:tcW w:w="565" w:type="pct"/>
            <w:hideMark/>
          </w:tcPr>
          <w:p w14:paraId="309BD69E" w14:textId="77777777" w:rsidR="009A745A" w:rsidRDefault="009A745A" w:rsidP="009A745A">
            <w:pPr>
              <w:pStyle w:val="Tabletext0"/>
            </w:pPr>
            <w:r>
              <w:t>3.2%</w:t>
            </w:r>
          </w:p>
        </w:tc>
        <w:tc>
          <w:tcPr>
            <w:tcW w:w="866" w:type="pct"/>
            <w:hideMark/>
          </w:tcPr>
          <w:p w14:paraId="658547A2" w14:textId="77777777" w:rsidR="009A745A" w:rsidRDefault="009A745A" w:rsidP="009A745A">
            <w:pPr>
              <w:pStyle w:val="Tabletext0"/>
              <w:rPr>
                <w:rFonts w:cs="Arial"/>
                <w:sz w:val="18"/>
                <w:szCs w:val="18"/>
                <w:vertAlign w:val="superscript"/>
              </w:rPr>
            </w:pPr>
            <w:r>
              <w:t xml:space="preserve">Statistically favours </w:t>
            </w:r>
            <w:proofErr w:type="spellStart"/>
            <w:r>
              <w:t>MRgFUS</w:t>
            </w:r>
            <w:proofErr w:type="spellEnd"/>
            <w:r>
              <w:t xml:space="preserve"> (p&lt;0.0001)</w:t>
            </w:r>
          </w:p>
        </w:tc>
      </w:tr>
    </w:tbl>
    <w:p w14:paraId="11E62F46" w14:textId="77777777" w:rsidR="009A745A" w:rsidRDefault="009A745A" w:rsidP="009A745A">
      <w:pPr>
        <w:pStyle w:val="TableNote"/>
      </w:pPr>
      <w:r>
        <w:t>Source: Table 3, p25 of the ADAR</w:t>
      </w:r>
    </w:p>
    <w:p w14:paraId="46B04448" w14:textId="77777777" w:rsidR="009A745A" w:rsidRDefault="009A745A" w:rsidP="009A745A">
      <w:pPr>
        <w:pStyle w:val="TableNote"/>
      </w:pPr>
      <w:r>
        <w:t xml:space="preserve">Abbreviations:, k= study number; </w:t>
      </w:r>
      <w:r w:rsidRPr="006A15F9">
        <w:t>CRST, clinical rating scale for tremor; MRgFUS, magnetic resonance-guided</w:t>
      </w:r>
      <w:r>
        <w:t xml:space="preserve"> focused</w:t>
      </w:r>
      <w:r w:rsidRPr="006A15F9">
        <w:t xml:space="preserve"> ultrasound; QUEST, </w:t>
      </w:r>
      <w:r>
        <w:t>q</w:t>
      </w:r>
      <w:r w:rsidRPr="006A15F9">
        <w:t xml:space="preserve">uality of </w:t>
      </w:r>
      <w:r>
        <w:t>l</w:t>
      </w:r>
      <w:r w:rsidRPr="006A15F9">
        <w:t xml:space="preserve">ife in </w:t>
      </w:r>
      <w:r>
        <w:t>e</w:t>
      </w:r>
      <w:r w:rsidRPr="006A15F9">
        <w:t xml:space="preserve">ssential </w:t>
      </w:r>
      <w:r>
        <w:t>t</w:t>
      </w:r>
      <w:r w:rsidRPr="006A15F9">
        <w:t xml:space="preserve">remor; </w:t>
      </w:r>
    </w:p>
    <w:p w14:paraId="73384C4E" w14:textId="77777777" w:rsidR="009A745A" w:rsidRPr="009A745A" w:rsidRDefault="009A745A" w:rsidP="009A745A">
      <w:pPr>
        <w:pStyle w:val="TableNote"/>
        <w:spacing w:after="240"/>
      </w:pPr>
      <w:r>
        <w:rPr>
          <w:vertAlign w:val="superscript"/>
        </w:rPr>
        <w:t xml:space="preserve">a </w:t>
      </w:r>
      <w:r>
        <w:t>GRADE Working Group grades of evidence (Guyatt et al., 2013)</w:t>
      </w:r>
      <w:r>
        <w:br/>
      </w:r>
      <w:r>
        <w:rPr>
          <w:rFonts w:ascii="Cambria Math" w:hAnsi="Cambria Math"/>
          <w:color w:val="00B050"/>
        </w:rPr>
        <w:t xml:space="preserve">⨁⨁⨁⨁ </w:t>
      </w:r>
      <w:r>
        <w:rPr>
          <w:b/>
          <w:bCs/>
        </w:rPr>
        <w:t>High quality:</w:t>
      </w:r>
      <w:r>
        <w:t xml:space="preserve"> We are very confident that the true effect lies close to that of the estimate of effect. </w:t>
      </w:r>
      <w:r>
        <w:rPr>
          <w:rFonts w:ascii="Cambria Math" w:hAnsi="Cambria Math"/>
          <w:color w:val="00B050"/>
        </w:rPr>
        <w:t>⨁⨁⨁</w:t>
      </w:r>
      <w:r>
        <w:rPr>
          <w:rFonts w:ascii="Cambria Math" w:hAnsi="Cambria Math" w:cs="Cambria Math"/>
          <w:color w:val="C00000"/>
        </w:rPr>
        <w:t xml:space="preserve">⨀ </w:t>
      </w:r>
      <w:r>
        <w:rPr>
          <w:b/>
          <w:bCs/>
        </w:rPr>
        <w:t>Moderate quality:</w:t>
      </w:r>
      <w:r>
        <w:t xml:space="preserve"> We are moderately confident in the effect estimate: The true effect is likely to be close to the estimate of the effect, but there is a possibility that it is substantially different. </w:t>
      </w:r>
      <w:r>
        <w:rPr>
          <w:rFonts w:ascii="Cambria Math" w:hAnsi="Cambria Math"/>
          <w:color w:val="00B050"/>
        </w:rPr>
        <w:t>⨁⨁</w:t>
      </w:r>
      <w:r>
        <w:rPr>
          <w:rFonts w:ascii="Cambria Math" w:hAnsi="Cambria Math" w:cs="Cambria Math"/>
          <w:color w:val="C00000"/>
        </w:rPr>
        <w:t xml:space="preserve">⨀⨀ </w:t>
      </w:r>
      <w:r>
        <w:rPr>
          <w:b/>
          <w:bCs/>
        </w:rPr>
        <w:t>Low quality:</w:t>
      </w:r>
      <w:r>
        <w:t xml:space="preserve"> Our confidence in the effect estimate is limited: The true effect may be substantially different from the estimate of the effect.</w:t>
      </w:r>
      <w:r>
        <w:rPr>
          <w:rFonts w:ascii="Cambria Math" w:hAnsi="Cambria Math"/>
          <w:color w:val="00B050"/>
        </w:rPr>
        <w:t>⨁</w:t>
      </w:r>
      <w:r>
        <w:rPr>
          <w:rFonts w:ascii="Cambria Math" w:hAnsi="Cambria Math" w:cs="Cambria Math"/>
          <w:color w:val="C00000"/>
        </w:rPr>
        <w:t xml:space="preserve">⨀⨀⨀ </w:t>
      </w:r>
      <w:r>
        <w:rPr>
          <w:b/>
          <w:bCs/>
        </w:rPr>
        <w:t>Very low quality:</w:t>
      </w:r>
      <w:r>
        <w:t xml:space="preserve"> We have very little confidence in the effect estimate: The true effect is likely to be substantially different from the estimate of effect.</w:t>
      </w:r>
    </w:p>
    <w:p w14:paraId="51D4377C" w14:textId="77777777" w:rsidR="00F37B9C" w:rsidRDefault="00C06B0B" w:rsidP="00C06B0B">
      <w:pPr>
        <w:tabs>
          <w:tab w:val="left" w:pos="720"/>
          <w:tab w:val="left" w:pos="1140"/>
        </w:tabs>
        <w:spacing w:after="120"/>
        <w:rPr>
          <w:b/>
          <w:szCs w:val="24"/>
        </w:rPr>
      </w:pPr>
      <w:r>
        <w:rPr>
          <w:b/>
          <w:szCs w:val="24"/>
        </w:rPr>
        <w:t>Clinical c</w:t>
      </w:r>
      <w:r w:rsidR="00F37B9C" w:rsidRPr="00F37B9C">
        <w:rPr>
          <w:b/>
          <w:szCs w:val="24"/>
        </w:rPr>
        <w:t>laim</w:t>
      </w:r>
    </w:p>
    <w:p w14:paraId="6167A998" w14:textId="77777777" w:rsidR="00563F17" w:rsidRDefault="00563F17" w:rsidP="00563F17">
      <w:pPr>
        <w:pStyle w:val="Heading2"/>
      </w:pPr>
      <w:proofErr w:type="spellStart"/>
      <w:r>
        <w:t>MRgFUS</w:t>
      </w:r>
      <w:proofErr w:type="spellEnd"/>
      <w:r>
        <w:t xml:space="preserve"> </w:t>
      </w:r>
      <w:r w:rsidRPr="005E3719">
        <w:t>vs.</w:t>
      </w:r>
      <w:r>
        <w:t xml:space="preserve"> DBS</w:t>
      </w:r>
    </w:p>
    <w:p w14:paraId="7852825D" w14:textId="6BD79B46" w:rsidR="00563F17" w:rsidRDefault="00563F17" w:rsidP="009A745A">
      <w:r w:rsidRPr="00800D9F">
        <w:t xml:space="preserve">The ADAR considered that on the basis of the benefits and harms reported in the evidence base (summarised above), it is suggested that, relative to DBS, </w:t>
      </w:r>
      <w:proofErr w:type="spellStart"/>
      <w:r w:rsidRPr="00800D9F">
        <w:t>MRgFUS</w:t>
      </w:r>
      <w:proofErr w:type="spellEnd"/>
      <w:r w:rsidRPr="00800D9F">
        <w:t xml:space="preserve"> has non-inferior safety and non-inferior effectiveness; relative to BSC, </w:t>
      </w:r>
      <w:proofErr w:type="spellStart"/>
      <w:r w:rsidRPr="00800D9F">
        <w:t>MRgFUS</w:t>
      </w:r>
      <w:proofErr w:type="spellEnd"/>
      <w:r w:rsidRPr="00800D9F">
        <w:t xml:space="preserve"> has inferior safety yet superior effectiveness. The commentary considered that the clinical claim for safety may need to be revised to uncertain.</w:t>
      </w:r>
    </w:p>
    <w:p w14:paraId="0687C83D" w14:textId="77777777" w:rsidR="00563F17" w:rsidRPr="009A745A" w:rsidRDefault="00563F17" w:rsidP="00563F17">
      <w:pPr>
        <w:pStyle w:val="Heading2"/>
      </w:pPr>
      <w:proofErr w:type="spellStart"/>
      <w:r w:rsidRPr="009A745A">
        <w:lastRenderedPageBreak/>
        <w:t>MRgFUS</w:t>
      </w:r>
      <w:proofErr w:type="spellEnd"/>
      <w:r w:rsidRPr="009A745A">
        <w:t xml:space="preserve"> vs. BSC</w:t>
      </w:r>
    </w:p>
    <w:p w14:paraId="13B80BB2" w14:textId="64C8320A" w:rsidR="009A745A" w:rsidRDefault="009A745A" w:rsidP="009A745A">
      <w:r w:rsidRPr="00C41B26">
        <w:t xml:space="preserve">The ADAR considered that </w:t>
      </w:r>
      <w:proofErr w:type="gramStart"/>
      <w:r w:rsidRPr="00C41B26">
        <w:t>on the basis of</w:t>
      </w:r>
      <w:proofErr w:type="gramEnd"/>
      <w:r w:rsidRPr="00C41B26">
        <w:t xml:space="preserve"> the benefits and harms reported in the evidence base (summarised above), it is suggested that, relative to BSC, </w:t>
      </w:r>
      <w:proofErr w:type="spellStart"/>
      <w:r w:rsidRPr="00C41B26">
        <w:t>MRgFUS</w:t>
      </w:r>
      <w:proofErr w:type="spellEnd"/>
      <w:r w:rsidRPr="00C41B26">
        <w:t xml:space="preserve"> has inferior safety and superior effectiveness. The commentary considered this was reasonable.</w:t>
      </w:r>
    </w:p>
    <w:p w14:paraId="16A5551A" w14:textId="77777777" w:rsidR="009A745A" w:rsidRDefault="009A745A" w:rsidP="009A745A">
      <w:pPr>
        <w:pStyle w:val="Heading2"/>
      </w:pPr>
      <w:r>
        <w:t>Translation issues</w:t>
      </w:r>
    </w:p>
    <w:p w14:paraId="5FBE8B14" w14:textId="77777777" w:rsidR="009A745A" w:rsidRDefault="009A745A" w:rsidP="009A745A">
      <w:r>
        <w:t>The translation issues as summarised by the commentary are shown in Table 10.</w:t>
      </w:r>
    </w:p>
    <w:p w14:paraId="2BEA66CB" w14:textId="77777777" w:rsidR="009A745A" w:rsidRDefault="009A745A" w:rsidP="00007EC5">
      <w:pPr>
        <w:pStyle w:val="Caption"/>
        <w:spacing w:before="240"/>
        <w:rPr>
          <w:rFonts w:eastAsia="Calibri" w:cs="Calibri"/>
        </w:rPr>
      </w:pPr>
      <w:bookmarkStart w:id="32" w:name="_Ref59206286"/>
      <w:bookmarkStart w:id="33" w:name="_Toc60942831"/>
      <w:r>
        <w:t>Table</w:t>
      </w:r>
      <w:bookmarkEnd w:id="32"/>
      <w:r>
        <w:t>10</w:t>
      </w:r>
      <w:r>
        <w:tab/>
      </w:r>
      <w:r>
        <w:tab/>
      </w:r>
      <w:bookmarkEnd w:id="33"/>
      <w:r>
        <w:t>Summary of translation issues</w:t>
      </w:r>
    </w:p>
    <w:tbl>
      <w:tblPr>
        <w:tblStyle w:val="TableGrid"/>
        <w:tblW w:w="5000" w:type="pct"/>
        <w:tblCellMar>
          <w:left w:w="28" w:type="dxa"/>
          <w:right w:w="28" w:type="dxa"/>
        </w:tblCellMar>
        <w:tblLook w:val="04A0" w:firstRow="1" w:lastRow="0" w:firstColumn="1" w:lastColumn="0" w:noHBand="0" w:noVBand="1"/>
        <w:tblCaption w:val="Table10  Translation issues discussed in Section C"/>
        <w:tblDescription w:val="Summary of translation issues"/>
      </w:tblPr>
      <w:tblGrid>
        <w:gridCol w:w="1414"/>
        <w:gridCol w:w="1558"/>
        <w:gridCol w:w="6044"/>
      </w:tblGrid>
      <w:tr w:rsidR="009A745A" w14:paraId="701DFE10" w14:textId="77777777" w:rsidTr="009A745A">
        <w:trPr>
          <w:cantSplit/>
          <w:tblHeader/>
        </w:trPr>
        <w:tc>
          <w:tcPr>
            <w:tcW w:w="784" w:type="pct"/>
          </w:tcPr>
          <w:p w14:paraId="5A763C22" w14:textId="77777777" w:rsidR="009A745A" w:rsidRPr="00411BC4" w:rsidRDefault="009A745A" w:rsidP="009A745A">
            <w:pPr>
              <w:keepNext/>
              <w:spacing w:before="40" w:after="40"/>
              <w:rPr>
                <w:rFonts w:ascii="Arial Narrow" w:hAnsi="Arial Narrow"/>
                <w:b/>
                <w:sz w:val="20"/>
              </w:rPr>
            </w:pPr>
            <w:r w:rsidRPr="00411BC4">
              <w:rPr>
                <w:rFonts w:ascii="Arial Narrow" w:hAnsi="Arial Narrow"/>
                <w:b/>
                <w:sz w:val="20"/>
              </w:rPr>
              <w:t>Translation type</w:t>
            </w:r>
          </w:p>
        </w:tc>
        <w:tc>
          <w:tcPr>
            <w:tcW w:w="864" w:type="pct"/>
          </w:tcPr>
          <w:p w14:paraId="04EDBBA6" w14:textId="77777777" w:rsidR="009A745A" w:rsidRPr="00411BC4" w:rsidRDefault="009A745A" w:rsidP="009A745A">
            <w:pPr>
              <w:keepNext/>
              <w:spacing w:before="40" w:after="40"/>
              <w:rPr>
                <w:rFonts w:ascii="Arial Narrow" w:hAnsi="Arial Narrow"/>
                <w:b/>
                <w:sz w:val="20"/>
              </w:rPr>
            </w:pPr>
            <w:r w:rsidRPr="00411BC4">
              <w:rPr>
                <w:rFonts w:ascii="Arial Narrow" w:hAnsi="Arial Narrow"/>
                <w:b/>
                <w:sz w:val="20"/>
              </w:rPr>
              <w:t>Translation issue</w:t>
            </w:r>
          </w:p>
        </w:tc>
        <w:tc>
          <w:tcPr>
            <w:tcW w:w="3352" w:type="pct"/>
          </w:tcPr>
          <w:p w14:paraId="2F4473DF" w14:textId="77777777" w:rsidR="009A745A" w:rsidRPr="00411BC4" w:rsidRDefault="009A745A" w:rsidP="009A745A">
            <w:pPr>
              <w:keepNext/>
              <w:spacing w:before="40" w:after="40"/>
              <w:rPr>
                <w:rFonts w:ascii="Arial Narrow" w:hAnsi="Arial Narrow"/>
                <w:b/>
                <w:sz w:val="20"/>
              </w:rPr>
            </w:pPr>
            <w:r w:rsidRPr="00411BC4">
              <w:rPr>
                <w:rFonts w:ascii="Arial Narrow" w:hAnsi="Arial Narrow"/>
                <w:b/>
                <w:sz w:val="20"/>
              </w:rPr>
              <w:t>Summary</w:t>
            </w:r>
          </w:p>
        </w:tc>
      </w:tr>
      <w:tr w:rsidR="009A745A" w14:paraId="03DBB03D" w14:textId="77777777" w:rsidTr="009A745A">
        <w:trPr>
          <w:cantSplit/>
        </w:trPr>
        <w:tc>
          <w:tcPr>
            <w:tcW w:w="784" w:type="pct"/>
          </w:tcPr>
          <w:p w14:paraId="49A893AA" w14:textId="77777777" w:rsidR="009A745A" w:rsidRPr="0080245F" w:rsidRDefault="009A745A" w:rsidP="009A745A">
            <w:pPr>
              <w:keepNext/>
              <w:spacing w:before="40" w:after="40"/>
              <w:rPr>
                <w:rFonts w:ascii="Arial Narrow" w:hAnsi="Arial Narrow"/>
                <w:sz w:val="20"/>
              </w:rPr>
            </w:pPr>
            <w:r w:rsidRPr="0080245F">
              <w:rPr>
                <w:rFonts w:ascii="Arial Narrow" w:hAnsi="Arial Narrow"/>
                <w:sz w:val="20"/>
              </w:rPr>
              <w:t>Transformation</w:t>
            </w:r>
          </w:p>
        </w:tc>
        <w:tc>
          <w:tcPr>
            <w:tcW w:w="864" w:type="pct"/>
          </w:tcPr>
          <w:p w14:paraId="6335B14E" w14:textId="77777777" w:rsidR="009A745A" w:rsidRPr="0080245F" w:rsidRDefault="009A745A" w:rsidP="009A745A">
            <w:pPr>
              <w:keepNext/>
              <w:spacing w:before="40" w:after="40"/>
              <w:rPr>
                <w:rFonts w:ascii="Arial Narrow" w:hAnsi="Arial Narrow"/>
                <w:sz w:val="20"/>
              </w:rPr>
            </w:pPr>
            <w:r w:rsidRPr="0080245F">
              <w:rPr>
                <w:rFonts w:ascii="Arial Narrow" w:hAnsi="Arial Narrow"/>
                <w:sz w:val="20"/>
              </w:rPr>
              <w:t>Adverse event profile transformed to QALYS</w:t>
            </w:r>
          </w:p>
        </w:tc>
        <w:tc>
          <w:tcPr>
            <w:tcW w:w="3352" w:type="pct"/>
          </w:tcPr>
          <w:p w14:paraId="1DDFE14B" w14:textId="77777777" w:rsidR="009A745A" w:rsidRPr="0080245F" w:rsidRDefault="009A745A" w:rsidP="009A745A">
            <w:pPr>
              <w:keepNext/>
              <w:spacing w:before="40" w:after="40"/>
              <w:rPr>
                <w:rFonts w:ascii="Arial Narrow" w:hAnsi="Arial Narrow"/>
                <w:sz w:val="20"/>
              </w:rPr>
            </w:pPr>
            <w:r w:rsidRPr="0080245F">
              <w:rPr>
                <w:rFonts w:ascii="Arial Narrow" w:hAnsi="Arial Narrow"/>
                <w:sz w:val="20"/>
              </w:rPr>
              <w:t xml:space="preserve">The ADAR provided the adverse event profile of </w:t>
            </w:r>
            <w:proofErr w:type="spellStart"/>
            <w:r w:rsidRPr="0080245F">
              <w:rPr>
                <w:rFonts w:ascii="Arial Narrow" w:hAnsi="Arial Narrow"/>
                <w:sz w:val="20"/>
              </w:rPr>
              <w:t>MRgFUS</w:t>
            </w:r>
            <w:proofErr w:type="spellEnd"/>
            <w:r w:rsidRPr="0080245F">
              <w:rPr>
                <w:rFonts w:ascii="Arial Narrow" w:hAnsi="Arial Narrow"/>
                <w:sz w:val="20"/>
              </w:rPr>
              <w:t xml:space="preserve"> and DBS from selected studies and concluded that:</w:t>
            </w:r>
          </w:p>
          <w:p w14:paraId="30D2B990" w14:textId="77777777" w:rsidR="009A745A" w:rsidRPr="0080245F" w:rsidRDefault="009A745A" w:rsidP="009A745A">
            <w:pPr>
              <w:pStyle w:val="ListParagraph"/>
              <w:keepNext/>
              <w:numPr>
                <w:ilvl w:val="0"/>
                <w:numId w:val="30"/>
              </w:numPr>
              <w:spacing w:before="40" w:after="40"/>
              <w:ind w:left="459"/>
              <w:contextualSpacing w:val="0"/>
              <w:rPr>
                <w:rFonts w:ascii="Arial Narrow" w:hAnsi="Arial Narrow"/>
                <w:sz w:val="20"/>
              </w:rPr>
            </w:pPr>
            <w:proofErr w:type="spellStart"/>
            <w:r w:rsidRPr="0080245F">
              <w:rPr>
                <w:rFonts w:ascii="Arial Narrow" w:hAnsi="Arial Narrow"/>
                <w:sz w:val="20"/>
              </w:rPr>
              <w:t>MRgFUS</w:t>
            </w:r>
            <w:proofErr w:type="spellEnd"/>
            <w:r w:rsidRPr="0080245F">
              <w:rPr>
                <w:rFonts w:ascii="Arial Narrow" w:hAnsi="Arial Narrow"/>
                <w:sz w:val="20"/>
              </w:rPr>
              <w:t xml:space="preserve"> is potentially associated with a higher risk of short-term and long-term paraesthesia than DBS. </w:t>
            </w:r>
          </w:p>
          <w:p w14:paraId="1F258F73" w14:textId="77777777" w:rsidR="009A745A" w:rsidRPr="0080245F" w:rsidRDefault="009A745A" w:rsidP="009A745A">
            <w:pPr>
              <w:pStyle w:val="ListParagraph"/>
              <w:keepNext/>
              <w:numPr>
                <w:ilvl w:val="0"/>
                <w:numId w:val="30"/>
              </w:numPr>
              <w:spacing w:before="40" w:after="40"/>
              <w:ind w:left="459"/>
              <w:contextualSpacing w:val="0"/>
              <w:rPr>
                <w:rFonts w:ascii="Arial Narrow" w:hAnsi="Arial Narrow"/>
                <w:sz w:val="20"/>
              </w:rPr>
            </w:pPr>
            <w:proofErr w:type="spellStart"/>
            <w:r w:rsidRPr="0080245F">
              <w:rPr>
                <w:rFonts w:ascii="Arial Narrow" w:hAnsi="Arial Narrow"/>
                <w:sz w:val="20"/>
              </w:rPr>
              <w:t>MRgFUS</w:t>
            </w:r>
            <w:proofErr w:type="spellEnd"/>
            <w:r w:rsidRPr="0080245F">
              <w:rPr>
                <w:rFonts w:ascii="Arial Narrow" w:hAnsi="Arial Narrow"/>
                <w:sz w:val="20"/>
              </w:rPr>
              <w:t>, but not DBS, is associated with a short-term intraprocedural risk of MRI burn, headache, lightheaded/dizziness, nausea/vomiting and flushed warmth.</w:t>
            </w:r>
          </w:p>
          <w:p w14:paraId="7EFCE2D9" w14:textId="77777777" w:rsidR="009A745A" w:rsidRPr="0080245F" w:rsidRDefault="009A745A" w:rsidP="009A745A">
            <w:pPr>
              <w:pStyle w:val="ListParagraph"/>
              <w:keepNext/>
              <w:numPr>
                <w:ilvl w:val="0"/>
                <w:numId w:val="30"/>
              </w:numPr>
              <w:spacing w:before="40" w:after="40"/>
              <w:ind w:left="459"/>
              <w:contextualSpacing w:val="0"/>
              <w:rPr>
                <w:rFonts w:ascii="Arial Narrow" w:hAnsi="Arial Narrow"/>
                <w:sz w:val="20"/>
              </w:rPr>
            </w:pPr>
            <w:r w:rsidRPr="0080245F">
              <w:rPr>
                <w:rFonts w:ascii="Arial Narrow" w:hAnsi="Arial Narrow"/>
                <w:sz w:val="20"/>
              </w:rPr>
              <w:t xml:space="preserve">DBS, but not </w:t>
            </w:r>
            <w:proofErr w:type="spellStart"/>
            <w:r w:rsidRPr="0080245F">
              <w:rPr>
                <w:rFonts w:ascii="Arial Narrow" w:hAnsi="Arial Narrow"/>
                <w:sz w:val="20"/>
              </w:rPr>
              <w:t>MRgFUS</w:t>
            </w:r>
            <w:proofErr w:type="spellEnd"/>
            <w:r w:rsidRPr="0080245F">
              <w:rPr>
                <w:rFonts w:ascii="Arial Narrow" w:hAnsi="Arial Narrow"/>
                <w:sz w:val="20"/>
              </w:rPr>
              <w:t>, is associated with a risk of infection, hardware complications (e.g. lead erosion) and haemorrhage.</w:t>
            </w:r>
          </w:p>
          <w:p w14:paraId="4697A840" w14:textId="77777777" w:rsidR="009A745A" w:rsidRDefault="009A745A" w:rsidP="009A745A">
            <w:pPr>
              <w:keepNext/>
              <w:spacing w:before="40" w:after="40"/>
              <w:rPr>
                <w:rFonts w:ascii="Arial Narrow" w:hAnsi="Arial Narrow"/>
                <w:sz w:val="20"/>
              </w:rPr>
            </w:pPr>
            <w:r>
              <w:rPr>
                <w:rFonts w:ascii="Arial Narrow" w:hAnsi="Arial Narrow"/>
                <w:sz w:val="20"/>
              </w:rPr>
              <w:t>O</w:t>
            </w:r>
            <w:r w:rsidRPr="0080245F">
              <w:rPr>
                <w:rFonts w:ascii="Arial Narrow" w:hAnsi="Arial Narrow"/>
                <w:sz w:val="20"/>
              </w:rPr>
              <w:t>verall</w:t>
            </w:r>
            <w:r>
              <w:rPr>
                <w:rFonts w:ascii="Arial Narrow" w:hAnsi="Arial Narrow"/>
                <w:sz w:val="20"/>
              </w:rPr>
              <w:t>, the ADAR concluded</w:t>
            </w:r>
            <w:r w:rsidRPr="0080245F">
              <w:rPr>
                <w:rFonts w:ascii="Arial Narrow" w:hAnsi="Arial Narrow"/>
                <w:sz w:val="20"/>
              </w:rPr>
              <w:t>: any QALY gains/losses for a given AE is expected to be offset by QALY losses/gains for another AE as demonstrated in the cost-effectiveness analysis reported in Ravikumar 2017</w:t>
            </w:r>
            <w:r>
              <w:rPr>
                <w:rFonts w:ascii="Arial Narrow" w:hAnsi="Arial Narrow"/>
                <w:sz w:val="20"/>
              </w:rPr>
              <w:t>, and this justified a cost-minimisation approach, rather than a cost-effectiveness, as recommended by PASC.</w:t>
            </w:r>
          </w:p>
          <w:p w14:paraId="431E7E2F" w14:textId="77777777" w:rsidR="009A745A" w:rsidRPr="00C41B26" w:rsidRDefault="009A745A" w:rsidP="009A745A">
            <w:pPr>
              <w:keepNext/>
              <w:spacing w:before="40" w:after="40"/>
              <w:rPr>
                <w:rFonts w:ascii="Arial Narrow" w:hAnsi="Arial Narrow"/>
                <w:iCs/>
                <w:sz w:val="20"/>
              </w:rPr>
            </w:pPr>
            <w:r w:rsidRPr="00C41B26">
              <w:rPr>
                <w:rFonts w:ascii="Arial Narrow" w:hAnsi="Arial Narrow"/>
                <w:iCs/>
                <w:sz w:val="20"/>
              </w:rPr>
              <w:t xml:space="preserve">The commentary considered that </w:t>
            </w:r>
            <w:r>
              <w:rPr>
                <w:rFonts w:ascii="Arial Narrow" w:hAnsi="Arial Narrow"/>
                <w:iCs/>
                <w:sz w:val="20"/>
              </w:rPr>
              <w:t>a</w:t>
            </w:r>
            <w:r w:rsidRPr="00C41B26">
              <w:rPr>
                <w:rFonts w:ascii="Arial Narrow" w:hAnsi="Arial Narrow"/>
                <w:iCs/>
                <w:sz w:val="20"/>
              </w:rPr>
              <w:t xml:space="preserve">s the utility instruments used by Ravikumar et al (2017) vary in sensitivity, and the incremental gain in benefit for </w:t>
            </w:r>
            <w:proofErr w:type="spellStart"/>
            <w:r w:rsidRPr="00C41B26">
              <w:rPr>
                <w:rFonts w:ascii="Arial Narrow" w:hAnsi="Arial Narrow"/>
                <w:iCs/>
                <w:sz w:val="20"/>
              </w:rPr>
              <w:t>MRgFUS</w:t>
            </w:r>
            <w:proofErr w:type="spellEnd"/>
            <w:r w:rsidRPr="00C41B26">
              <w:rPr>
                <w:rFonts w:ascii="Arial Narrow" w:hAnsi="Arial Narrow"/>
                <w:iCs/>
                <w:sz w:val="20"/>
              </w:rPr>
              <w:t xml:space="preserve"> is marginal (0.06), as reported by Ravikumar et al (2017), there is uncertainty in either direction of any incremental gains in benefit. However, any change in incremental benefit, for either intervention or comparator, is unlikely to change the overall output significantly.</w:t>
            </w:r>
          </w:p>
        </w:tc>
      </w:tr>
      <w:tr w:rsidR="009A745A" w14:paraId="6AA595FE" w14:textId="77777777" w:rsidTr="009A745A">
        <w:trPr>
          <w:cantSplit/>
        </w:trPr>
        <w:tc>
          <w:tcPr>
            <w:tcW w:w="784" w:type="pct"/>
          </w:tcPr>
          <w:p w14:paraId="1E04BB80" w14:textId="77777777" w:rsidR="009A745A" w:rsidRPr="0080245F" w:rsidRDefault="009A745A" w:rsidP="009A745A">
            <w:pPr>
              <w:spacing w:before="40" w:after="40"/>
              <w:rPr>
                <w:rFonts w:ascii="Arial Narrow" w:hAnsi="Arial Narrow"/>
                <w:sz w:val="20"/>
              </w:rPr>
            </w:pPr>
            <w:r w:rsidRPr="0080245F">
              <w:rPr>
                <w:rFonts w:ascii="Arial Narrow" w:hAnsi="Arial Narrow"/>
                <w:sz w:val="20"/>
              </w:rPr>
              <w:t>Extrapolation</w:t>
            </w:r>
          </w:p>
        </w:tc>
        <w:tc>
          <w:tcPr>
            <w:tcW w:w="864" w:type="pct"/>
          </w:tcPr>
          <w:p w14:paraId="3699DED7" w14:textId="77777777" w:rsidR="009A745A" w:rsidRPr="0080245F" w:rsidRDefault="009A745A" w:rsidP="009A745A">
            <w:pPr>
              <w:spacing w:before="40" w:after="40"/>
              <w:rPr>
                <w:rFonts w:ascii="Arial Narrow" w:hAnsi="Arial Narrow"/>
                <w:sz w:val="20"/>
              </w:rPr>
            </w:pPr>
            <w:r w:rsidRPr="0080245F">
              <w:rPr>
                <w:rFonts w:ascii="Arial Narrow" w:hAnsi="Arial Narrow"/>
                <w:sz w:val="20"/>
              </w:rPr>
              <w:t>Extrapolation of treatment effect</w:t>
            </w:r>
          </w:p>
        </w:tc>
        <w:tc>
          <w:tcPr>
            <w:tcW w:w="3352" w:type="pct"/>
          </w:tcPr>
          <w:p w14:paraId="4806A091" w14:textId="77777777" w:rsidR="009A745A" w:rsidRDefault="009A745A" w:rsidP="009A745A">
            <w:pPr>
              <w:spacing w:before="40" w:after="40"/>
              <w:rPr>
                <w:rFonts w:ascii="Arial Narrow" w:hAnsi="Arial Narrow"/>
                <w:sz w:val="20"/>
              </w:rPr>
            </w:pPr>
            <w:r>
              <w:rPr>
                <w:rFonts w:ascii="Arial Narrow" w:hAnsi="Arial Narrow"/>
                <w:sz w:val="20"/>
              </w:rPr>
              <w:t xml:space="preserve">The pivotal trial </w:t>
            </w:r>
            <w:r w:rsidRPr="0036142C">
              <w:rPr>
                <w:rFonts w:ascii="Arial Narrow" w:hAnsi="Arial Narrow"/>
                <w:sz w:val="20"/>
              </w:rPr>
              <w:t>(Elias et al., 2016)</w:t>
            </w:r>
            <w:r>
              <w:rPr>
                <w:rFonts w:ascii="Arial Narrow" w:hAnsi="Arial Narrow"/>
                <w:sz w:val="20"/>
              </w:rPr>
              <w:t xml:space="preserve"> shows treatment effect over 3 years. However, the economic model has a time horizon of 10 years. Therefore, it was necessary to demonstrate the adverse event profile at three years was </w:t>
            </w:r>
            <w:proofErr w:type="gramStart"/>
            <w:r>
              <w:rPr>
                <w:rFonts w:ascii="Arial Narrow" w:hAnsi="Arial Narrow"/>
                <w:sz w:val="20"/>
              </w:rPr>
              <w:t>similar to</w:t>
            </w:r>
            <w:proofErr w:type="gramEnd"/>
            <w:r>
              <w:rPr>
                <w:rFonts w:ascii="Arial Narrow" w:hAnsi="Arial Narrow"/>
                <w:sz w:val="20"/>
              </w:rPr>
              <w:t xml:space="preserve"> the adverse event profile at 10 years. The ADAR provided evidence to support treatment effect (and not adverse event profile) up to 5 years for </w:t>
            </w:r>
            <w:proofErr w:type="spellStart"/>
            <w:r>
              <w:rPr>
                <w:rFonts w:ascii="Arial Narrow" w:hAnsi="Arial Narrow"/>
                <w:sz w:val="20"/>
              </w:rPr>
              <w:t>MRgFUS</w:t>
            </w:r>
            <w:proofErr w:type="spellEnd"/>
            <w:r>
              <w:rPr>
                <w:rFonts w:ascii="Arial Narrow" w:hAnsi="Arial Narrow"/>
                <w:sz w:val="20"/>
              </w:rPr>
              <w:t xml:space="preserve"> and 6 years for DBS.</w:t>
            </w:r>
          </w:p>
          <w:p w14:paraId="414AB8F0" w14:textId="77777777" w:rsidR="009A745A" w:rsidRPr="00C41B26" w:rsidRDefault="009A745A" w:rsidP="009A745A">
            <w:pPr>
              <w:spacing w:before="40" w:after="40"/>
              <w:rPr>
                <w:rFonts w:ascii="Arial Narrow" w:hAnsi="Arial Narrow"/>
                <w:iCs/>
                <w:sz w:val="20"/>
              </w:rPr>
            </w:pPr>
            <w:r w:rsidRPr="00C41B26">
              <w:rPr>
                <w:rFonts w:ascii="Arial Narrow" w:hAnsi="Arial Narrow"/>
                <w:iCs/>
                <w:sz w:val="20"/>
              </w:rPr>
              <w:t xml:space="preserve">The commentary considered that </w:t>
            </w:r>
            <w:r>
              <w:rPr>
                <w:rFonts w:ascii="Arial Narrow" w:hAnsi="Arial Narrow"/>
                <w:iCs/>
                <w:sz w:val="20"/>
              </w:rPr>
              <w:t>w</w:t>
            </w:r>
            <w:r w:rsidRPr="00C41B26">
              <w:rPr>
                <w:rFonts w:ascii="Arial Narrow" w:hAnsi="Arial Narrow"/>
                <w:iCs/>
                <w:sz w:val="20"/>
              </w:rPr>
              <w:t xml:space="preserve">hile evidence was not available between 6 and 10 years for the treatment effect, the treatment effect profiles of both </w:t>
            </w:r>
            <w:proofErr w:type="spellStart"/>
            <w:r w:rsidRPr="00C41B26">
              <w:rPr>
                <w:rFonts w:ascii="Arial Narrow" w:hAnsi="Arial Narrow"/>
                <w:iCs/>
                <w:sz w:val="20"/>
              </w:rPr>
              <w:t>MRgFUS</w:t>
            </w:r>
            <w:proofErr w:type="spellEnd"/>
            <w:r w:rsidRPr="00C41B26">
              <w:rPr>
                <w:rFonts w:ascii="Arial Narrow" w:hAnsi="Arial Narrow"/>
                <w:iCs/>
                <w:sz w:val="20"/>
              </w:rPr>
              <w:t xml:space="preserve"> and DBS did not significantly increase over time. More importantly, the safety profile of </w:t>
            </w:r>
            <w:proofErr w:type="spellStart"/>
            <w:r w:rsidRPr="00C41B26">
              <w:rPr>
                <w:rFonts w:ascii="Arial Narrow" w:hAnsi="Arial Narrow"/>
                <w:iCs/>
                <w:sz w:val="20"/>
              </w:rPr>
              <w:t>MRgFUS</w:t>
            </w:r>
            <w:proofErr w:type="spellEnd"/>
            <w:r w:rsidRPr="00C41B26">
              <w:rPr>
                <w:rFonts w:ascii="Arial Narrow" w:hAnsi="Arial Narrow"/>
                <w:iCs/>
                <w:sz w:val="20"/>
              </w:rPr>
              <w:t xml:space="preserve"> and DBS appear to be transient and not persistent and therefore are expected to be not significant over the longer term. However, without further evidence, there still is some uncertainty in the extrapolation of safety effects.   </w:t>
            </w:r>
          </w:p>
        </w:tc>
      </w:tr>
    </w:tbl>
    <w:p w14:paraId="6D782410" w14:textId="77777777" w:rsidR="008337E8" w:rsidRPr="009A745A" w:rsidRDefault="009A745A" w:rsidP="00007EC5">
      <w:pPr>
        <w:pStyle w:val="TableNote"/>
        <w:spacing w:after="240"/>
      </w:pPr>
      <w:r>
        <w:t xml:space="preserve">Source: </w:t>
      </w:r>
      <w:r w:rsidRPr="00C41B26">
        <w:t>Table 9 of the Comemntary</w:t>
      </w:r>
    </w:p>
    <w:p w14:paraId="350C5E24" w14:textId="77777777" w:rsidR="00BC1364" w:rsidRPr="00F715D1" w:rsidRDefault="00BC1364" w:rsidP="00F715D1">
      <w:pPr>
        <w:pStyle w:val="Heading1"/>
      </w:pPr>
      <w:r w:rsidRPr="00F715D1">
        <w:t>Economic evaluation</w:t>
      </w:r>
    </w:p>
    <w:p w14:paraId="11624E90" w14:textId="63E04757" w:rsidR="009A745A" w:rsidRDefault="009A745A" w:rsidP="0039787B">
      <w:pPr>
        <w:tabs>
          <w:tab w:val="left" w:pos="720"/>
          <w:tab w:val="left" w:pos="1140"/>
        </w:tabs>
      </w:pPr>
      <w:r>
        <w:t xml:space="preserve">The ADAR </w:t>
      </w:r>
      <w:r w:rsidRPr="5E02B8C0">
        <w:t xml:space="preserve">presented a cost-minimisation </w:t>
      </w:r>
      <w:r>
        <w:t>analysis (CMA) [Table 11]</w:t>
      </w:r>
      <w:r w:rsidRPr="5E02B8C0">
        <w:t xml:space="preserve"> as most differences in safety profiles are transient events and it was not possible to quantify all adverse events with certainty.</w:t>
      </w:r>
      <w:r>
        <w:t xml:space="preserve"> The ADAR has used the cost-effectiveness study by </w:t>
      </w:r>
      <w:hyperlink w:anchor="_ENREF_44" w:tooltip="Ravikumar, 2017 #16" w:history="1">
        <w:r>
          <w:fldChar w:fldCharType="begin"/>
        </w:r>
        <w:r>
          <w:instrText xml:space="preserve"> ADDIN EN.CITE &lt;EndNote&gt;&lt;Cite AuthorYear="1"&gt;&lt;Author&gt;Ravikumar&lt;/Author&gt;&lt;Year&gt;2017&lt;/Year&gt;&lt;RecNum&gt;16&lt;/RecNum&gt;&lt;DisplayText&gt;Ravikumar et al. (2017)&lt;/DisplayText&gt;&lt;record&gt;&lt;rec-number&gt;16&lt;/rec-number&gt;&lt;foreign-keys&gt;&lt;key app="EN" db-id="wtze2vx54sp5w4efzxivv20fxr0fpdsf5wzz" timestamp="1606205255"&gt;16&lt;/key&gt;&lt;/foreign-keys&gt;&lt;ref-type name="Journal Article"&gt;17&lt;/ref-type&gt;&lt;contributors&gt;&lt;authors&gt;&lt;author&gt;Ravikumar, Vinod K&lt;/author&gt;&lt;author&gt;Parker, Jonathon J&lt;/author&gt;&lt;author&gt;Hornbeck, Traci S&lt;/author&gt;&lt;author&gt;Santini, Veronica E&lt;/author&gt;&lt;author&gt;Pauly, Kim Butts&lt;/author&gt;&lt;author&gt;Wintermark, Max&lt;/author&gt;&lt;author&gt;Ghanouni, Pejman&lt;/author&gt;&lt;author&gt;Stein, Sherman C&lt;/author&gt;&lt;author&gt;Halpern, Casey H&lt;/author&gt;&lt;/authors&gt;&lt;/contributors&gt;&lt;titles&gt;&lt;title&gt;Cost‐effectiveness of focused ultrasound, radiosurgery, and DBS for essential tremor&lt;/title&gt;&lt;secondary-title&gt;Movement Disorders&lt;/secondary-title&gt;&lt;/titles&gt;&lt;periodical&gt;&lt;full-title&gt;Movement Disorders&lt;/full-title&gt;&lt;/periodical&gt;&lt;pages&gt;1165-1173&lt;/pages&gt;&lt;volume&gt;32&lt;/volume&gt;&lt;number&gt;8&lt;/number&gt;&lt;dates&gt;&lt;year&gt;2017&lt;/year&gt;&lt;/dates&gt;&lt;isbn&gt;0885-3185&lt;/isbn&gt;&lt;urls&gt;&lt;/urls&gt;&lt;/record&gt;&lt;/Cite&gt;&lt;/EndNote&gt;</w:instrText>
        </w:r>
        <w:r>
          <w:fldChar w:fldCharType="separate"/>
        </w:r>
        <w:r>
          <w:rPr>
            <w:noProof/>
          </w:rPr>
          <w:t>Ravikumar et al. (2017)</w:t>
        </w:r>
        <w:r>
          <w:fldChar w:fldCharType="end"/>
        </w:r>
      </w:hyperlink>
      <w:r>
        <w:rPr>
          <w:rStyle w:val="FootnoteReference"/>
        </w:rPr>
        <w:footnoteReference w:id="8"/>
      </w:r>
      <w:r w:rsidRPr="5E02B8C0">
        <w:t xml:space="preserve">  </w:t>
      </w:r>
      <w:r>
        <w:t>as a proxy to quantify the difference between the two treatments when combing all relevant adverse events, as discussed above in Table 10.</w:t>
      </w:r>
    </w:p>
    <w:p w14:paraId="036C9C25" w14:textId="77777777" w:rsidR="009A745A" w:rsidRPr="00183E4D" w:rsidRDefault="009A745A" w:rsidP="0072078C">
      <w:pPr>
        <w:pStyle w:val="Caption"/>
      </w:pPr>
      <w:bookmarkStart w:id="34" w:name="_Ref404370956"/>
      <w:bookmarkStart w:id="35" w:name="_Ref394419656"/>
      <w:bookmarkStart w:id="36" w:name="_Toc399251123"/>
      <w:bookmarkStart w:id="37" w:name="_Toc60942832"/>
      <w:r>
        <w:lastRenderedPageBreak/>
        <w:t>Table</w:t>
      </w:r>
      <w:bookmarkEnd w:id="34"/>
      <w:r>
        <w:t xml:space="preserve"> 11</w:t>
      </w:r>
      <w:r>
        <w:tab/>
      </w:r>
      <w:r w:rsidRPr="00183E4D">
        <w:t>Summary of the economic evaluation</w:t>
      </w:r>
      <w:bookmarkEnd w:id="35"/>
      <w:bookmarkEnd w:id="36"/>
      <w:bookmarkEnd w:id="37"/>
      <w:r w:rsidRPr="00183E4D">
        <w:t xml:space="preserve"> </w:t>
      </w:r>
    </w:p>
    <w:tbl>
      <w:tblPr>
        <w:tblStyle w:val="TableGrid1"/>
        <w:tblW w:w="5000" w:type="pct"/>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3107"/>
        <w:gridCol w:w="5909"/>
      </w:tblGrid>
      <w:tr w:rsidR="009A745A" w:rsidRPr="00183E4D" w14:paraId="7F813C28" w14:textId="77777777" w:rsidTr="00DA2C15">
        <w:trPr>
          <w:cnfStyle w:val="100000000000" w:firstRow="1" w:lastRow="0" w:firstColumn="0" w:lastColumn="0" w:oddVBand="0" w:evenVBand="0" w:oddHBand="0" w:evenHBand="0" w:firstRowFirstColumn="0" w:firstRowLastColumn="0" w:lastRowFirstColumn="0" w:lastRowLastColumn="0"/>
          <w:trHeight w:val="20"/>
          <w:tblHeader/>
        </w:trPr>
        <w:tc>
          <w:tcPr>
            <w:tcW w:w="1723" w:type="pct"/>
          </w:tcPr>
          <w:p w14:paraId="78AEE2E6" w14:textId="77777777" w:rsidR="009A745A" w:rsidRPr="00183E4D" w:rsidRDefault="009A745A" w:rsidP="0072078C">
            <w:pPr>
              <w:pStyle w:val="Tabletext0"/>
              <w:keepNext/>
            </w:pPr>
            <w:r w:rsidRPr="00183E4D">
              <w:t>Perspective</w:t>
            </w:r>
          </w:p>
        </w:tc>
        <w:tc>
          <w:tcPr>
            <w:tcW w:w="3277" w:type="pct"/>
          </w:tcPr>
          <w:p w14:paraId="684378E1" w14:textId="77777777" w:rsidR="009A745A" w:rsidRPr="00183E4D" w:rsidRDefault="009A745A" w:rsidP="0072078C">
            <w:pPr>
              <w:pStyle w:val="Tabletext0"/>
              <w:keepNext/>
            </w:pPr>
            <w:r w:rsidRPr="6C6D64E9">
              <w:rPr>
                <w:rFonts w:eastAsia="Arial Narrow" w:cs="Arial Narrow"/>
              </w:rPr>
              <w:t>Health care system</w:t>
            </w:r>
          </w:p>
        </w:tc>
      </w:tr>
      <w:tr w:rsidR="009A745A" w:rsidRPr="00183E4D" w14:paraId="231E1D85" w14:textId="77777777" w:rsidTr="00DA2C15">
        <w:trPr>
          <w:trHeight w:val="20"/>
        </w:trPr>
        <w:tc>
          <w:tcPr>
            <w:tcW w:w="1723" w:type="pct"/>
          </w:tcPr>
          <w:p w14:paraId="1BEDC45E" w14:textId="77777777" w:rsidR="009A745A" w:rsidRPr="00183E4D" w:rsidRDefault="009A745A" w:rsidP="0072078C">
            <w:pPr>
              <w:pStyle w:val="Tabletext0"/>
              <w:keepNext/>
            </w:pPr>
            <w:r w:rsidRPr="00183E4D">
              <w:t>Comparator</w:t>
            </w:r>
          </w:p>
        </w:tc>
        <w:tc>
          <w:tcPr>
            <w:tcW w:w="3277" w:type="pct"/>
          </w:tcPr>
          <w:p w14:paraId="0B930B1D" w14:textId="77777777" w:rsidR="009A745A" w:rsidRPr="00183E4D" w:rsidRDefault="009A745A" w:rsidP="0072078C">
            <w:pPr>
              <w:pStyle w:val="Tabletext0"/>
              <w:keepNext/>
            </w:pPr>
            <w:r w:rsidRPr="17A4B291">
              <w:rPr>
                <w:rFonts w:eastAsia="Arial Narrow" w:cs="Arial Narrow"/>
              </w:rPr>
              <w:t>Deep brain stimulation</w:t>
            </w:r>
          </w:p>
        </w:tc>
      </w:tr>
      <w:tr w:rsidR="009A745A" w:rsidRPr="00183E4D" w14:paraId="64782CBD" w14:textId="77777777" w:rsidTr="00DA2C15">
        <w:trPr>
          <w:trHeight w:val="20"/>
        </w:trPr>
        <w:tc>
          <w:tcPr>
            <w:tcW w:w="1723" w:type="pct"/>
          </w:tcPr>
          <w:p w14:paraId="555F43D1" w14:textId="77777777" w:rsidR="009A745A" w:rsidRPr="00183E4D" w:rsidRDefault="009A745A" w:rsidP="0072078C">
            <w:pPr>
              <w:pStyle w:val="Tabletext0"/>
              <w:keepNext/>
            </w:pPr>
            <w:r w:rsidRPr="00183E4D">
              <w:t>Type of economic evaluation</w:t>
            </w:r>
          </w:p>
        </w:tc>
        <w:tc>
          <w:tcPr>
            <w:tcW w:w="3277" w:type="pct"/>
          </w:tcPr>
          <w:p w14:paraId="42B99439" w14:textId="77777777" w:rsidR="009A745A" w:rsidRPr="0035691E" w:rsidRDefault="009A745A" w:rsidP="0072078C">
            <w:pPr>
              <w:pStyle w:val="Tabletext0"/>
              <w:keepNext/>
            </w:pPr>
            <w:r w:rsidRPr="17A4B291">
              <w:rPr>
                <w:rFonts w:eastAsia="Arial Narrow" w:cs="Arial Narrow"/>
              </w:rPr>
              <w:t>Cost-minimisation analysis</w:t>
            </w:r>
          </w:p>
        </w:tc>
      </w:tr>
      <w:tr w:rsidR="009A745A" w:rsidRPr="00183E4D" w14:paraId="6048F1C3" w14:textId="77777777" w:rsidTr="00DA2C15">
        <w:trPr>
          <w:trHeight w:val="20"/>
        </w:trPr>
        <w:tc>
          <w:tcPr>
            <w:tcW w:w="1723" w:type="pct"/>
          </w:tcPr>
          <w:p w14:paraId="71594D49" w14:textId="77777777" w:rsidR="009A745A" w:rsidRPr="00183E4D" w:rsidRDefault="009A745A" w:rsidP="0072078C">
            <w:pPr>
              <w:pStyle w:val="Tabletext0"/>
              <w:keepNext/>
            </w:pPr>
            <w:r w:rsidRPr="00183E4D">
              <w:t>Sources of evidence</w:t>
            </w:r>
          </w:p>
        </w:tc>
        <w:tc>
          <w:tcPr>
            <w:tcW w:w="3277" w:type="pct"/>
          </w:tcPr>
          <w:p w14:paraId="09F6E8AD" w14:textId="77777777" w:rsidR="009A745A" w:rsidRPr="0035691E" w:rsidRDefault="009A745A" w:rsidP="0072078C">
            <w:pPr>
              <w:pStyle w:val="Tabletext0"/>
              <w:keepNext/>
              <w:rPr>
                <w:vanish/>
                <w:color w:val="C00000"/>
              </w:rPr>
            </w:pPr>
            <w:r w:rsidRPr="17A4B291">
              <w:rPr>
                <w:rFonts w:eastAsia="Arial Narrow" w:cs="Arial Narrow"/>
              </w:rPr>
              <w:t>Elias (2016), Huss (2015), Halpern (2019)</w:t>
            </w:r>
          </w:p>
        </w:tc>
      </w:tr>
      <w:tr w:rsidR="009A745A" w:rsidRPr="00183E4D" w14:paraId="2D1316C5" w14:textId="77777777" w:rsidTr="00DA2C15">
        <w:trPr>
          <w:trHeight w:val="20"/>
        </w:trPr>
        <w:tc>
          <w:tcPr>
            <w:tcW w:w="1723" w:type="pct"/>
            <w:hideMark/>
          </w:tcPr>
          <w:p w14:paraId="696FB987" w14:textId="77777777" w:rsidR="009A745A" w:rsidRPr="00183E4D" w:rsidRDefault="009A745A" w:rsidP="0072078C">
            <w:pPr>
              <w:pStyle w:val="Tabletext0"/>
              <w:keepNext/>
            </w:pPr>
            <w:r w:rsidRPr="00183E4D">
              <w:t>Time horizon</w:t>
            </w:r>
          </w:p>
        </w:tc>
        <w:tc>
          <w:tcPr>
            <w:tcW w:w="3277" w:type="pct"/>
            <w:hideMark/>
          </w:tcPr>
          <w:p w14:paraId="7E2D5B43" w14:textId="77777777" w:rsidR="009A745A" w:rsidRPr="0035691E" w:rsidRDefault="009A745A" w:rsidP="0072078C">
            <w:pPr>
              <w:pStyle w:val="Tabletext0"/>
              <w:keepNext/>
            </w:pPr>
            <w:r w:rsidRPr="17A4B291">
              <w:rPr>
                <w:rFonts w:eastAsia="Arial Narrow" w:cs="Arial Narrow"/>
              </w:rPr>
              <w:t>10 years</w:t>
            </w:r>
          </w:p>
        </w:tc>
      </w:tr>
      <w:tr w:rsidR="009A745A" w:rsidRPr="00183E4D" w14:paraId="17978F99" w14:textId="77777777" w:rsidTr="00DA2C15">
        <w:trPr>
          <w:trHeight w:val="20"/>
        </w:trPr>
        <w:tc>
          <w:tcPr>
            <w:tcW w:w="1723" w:type="pct"/>
            <w:hideMark/>
          </w:tcPr>
          <w:p w14:paraId="505D601A" w14:textId="77777777" w:rsidR="009A745A" w:rsidRPr="00183E4D" w:rsidRDefault="009A745A" w:rsidP="0072078C">
            <w:pPr>
              <w:pStyle w:val="Tabletext0"/>
              <w:keepNext/>
            </w:pPr>
            <w:r w:rsidRPr="00183E4D">
              <w:t>Outcomes</w:t>
            </w:r>
          </w:p>
        </w:tc>
        <w:tc>
          <w:tcPr>
            <w:tcW w:w="3277" w:type="pct"/>
          </w:tcPr>
          <w:p w14:paraId="293CABCD" w14:textId="77777777" w:rsidR="009A745A" w:rsidRPr="0035691E" w:rsidRDefault="009A745A" w:rsidP="0072078C">
            <w:pPr>
              <w:pStyle w:val="Tabletext0"/>
              <w:keepNext/>
            </w:pPr>
            <w:r w:rsidRPr="2A57B30F">
              <w:rPr>
                <w:rFonts w:eastAsia="Arial Narrow" w:cs="Arial Narrow"/>
              </w:rPr>
              <w:t>Markov model</w:t>
            </w:r>
          </w:p>
        </w:tc>
      </w:tr>
      <w:tr w:rsidR="009A745A" w:rsidRPr="00183E4D" w14:paraId="677536EA" w14:textId="77777777" w:rsidTr="00DA2C15">
        <w:trPr>
          <w:trHeight w:val="20"/>
        </w:trPr>
        <w:tc>
          <w:tcPr>
            <w:tcW w:w="1723" w:type="pct"/>
            <w:hideMark/>
          </w:tcPr>
          <w:p w14:paraId="2C6C95EF" w14:textId="77777777" w:rsidR="009A745A" w:rsidRPr="00183E4D" w:rsidRDefault="009A745A" w:rsidP="0072078C">
            <w:pPr>
              <w:pStyle w:val="Tabletext0"/>
              <w:keepNext/>
            </w:pPr>
            <w:r w:rsidRPr="00183E4D">
              <w:t>Health states</w:t>
            </w:r>
          </w:p>
        </w:tc>
        <w:tc>
          <w:tcPr>
            <w:tcW w:w="3277" w:type="pct"/>
          </w:tcPr>
          <w:p w14:paraId="5CC0B1E3" w14:textId="77777777" w:rsidR="009A745A" w:rsidRPr="0035691E" w:rsidRDefault="009A745A" w:rsidP="0072078C">
            <w:pPr>
              <w:pStyle w:val="Tabletext0"/>
              <w:keepNext/>
              <w:rPr>
                <w:vanish/>
                <w:color w:val="C00000"/>
              </w:rPr>
            </w:pPr>
            <w:r w:rsidRPr="00672010">
              <w:rPr>
                <w:rFonts w:eastAsia="Arial Narrow" w:cs="Arial Narrow"/>
              </w:rPr>
              <w:t>Alive and Dead</w:t>
            </w:r>
          </w:p>
        </w:tc>
      </w:tr>
      <w:tr w:rsidR="009A745A" w:rsidRPr="00183E4D" w14:paraId="3DCA938E" w14:textId="77777777" w:rsidTr="00DA2C15">
        <w:trPr>
          <w:trHeight w:val="20"/>
        </w:trPr>
        <w:tc>
          <w:tcPr>
            <w:tcW w:w="1723" w:type="pct"/>
          </w:tcPr>
          <w:p w14:paraId="16C8ACF7" w14:textId="77777777" w:rsidR="009A745A" w:rsidRPr="00183E4D" w:rsidRDefault="009A745A" w:rsidP="0072078C">
            <w:pPr>
              <w:pStyle w:val="Tabletext0"/>
              <w:keepNext/>
            </w:pPr>
            <w:r>
              <w:t>Cycle length</w:t>
            </w:r>
          </w:p>
        </w:tc>
        <w:tc>
          <w:tcPr>
            <w:tcW w:w="3277" w:type="pct"/>
          </w:tcPr>
          <w:p w14:paraId="2BA0402C" w14:textId="77777777" w:rsidR="009A745A" w:rsidRPr="0035691E" w:rsidRDefault="009A745A" w:rsidP="0072078C">
            <w:pPr>
              <w:pStyle w:val="Tabletext0"/>
              <w:keepNext/>
            </w:pPr>
            <w:r w:rsidRPr="2A57B30F">
              <w:rPr>
                <w:rFonts w:eastAsia="Arial Narrow" w:cs="Arial Narrow"/>
              </w:rPr>
              <w:t>Annual</w:t>
            </w:r>
          </w:p>
        </w:tc>
      </w:tr>
      <w:tr w:rsidR="009A745A" w:rsidRPr="00183E4D" w14:paraId="2689FACE" w14:textId="77777777" w:rsidTr="00DA2C15">
        <w:trPr>
          <w:trHeight w:val="20"/>
        </w:trPr>
        <w:tc>
          <w:tcPr>
            <w:tcW w:w="1723" w:type="pct"/>
            <w:hideMark/>
          </w:tcPr>
          <w:p w14:paraId="1F8B7193" w14:textId="77777777" w:rsidR="009A745A" w:rsidRPr="00183E4D" w:rsidRDefault="009A745A" w:rsidP="0072078C">
            <w:pPr>
              <w:pStyle w:val="Tabletext0"/>
              <w:keepNext/>
            </w:pPr>
            <w:r w:rsidRPr="00183E4D">
              <w:t>Discount rate</w:t>
            </w:r>
          </w:p>
        </w:tc>
        <w:tc>
          <w:tcPr>
            <w:tcW w:w="3277" w:type="pct"/>
          </w:tcPr>
          <w:p w14:paraId="4390D6B7" w14:textId="77777777" w:rsidR="009A745A" w:rsidRPr="0035691E" w:rsidRDefault="009A745A" w:rsidP="0072078C">
            <w:pPr>
              <w:pStyle w:val="Tabletext0"/>
              <w:keepNext/>
            </w:pPr>
            <w:r w:rsidRPr="2A57B30F">
              <w:t>5%</w:t>
            </w:r>
          </w:p>
        </w:tc>
      </w:tr>
      <w:tr w:rsidR="009A745A" w:rsidRPr="00183E4D" w14:paraId="2EF99774" w14:textId="77777777" w:rsidTr="00DA2C15">
        <w:trPr>
          <w:trHeight w:val="20"/>
        </w:trPr>
        <w:tc>
          <w:tcPr>
            <w:tcW w:w="1723" w:type="pct"/>
            <w:hideMark/>
          </w:tcPr>
          <w:p w14:paraId="16677FE3" w14:textId="77777777" w:rsidR="009A745A" w:rsidRPr="00183E4D" w:rsidRDefault="009A745A" w:rsidP="0072078C">
            <w:pPr>
              <w:pStyle w:val="Tabletext0"/>
              <w:keepNext/>
            </w:pPr>
            <w:r w:rsidRPr="00183E4D">
              <w:t>Software packages used</w:t>
            </w:r>
          </w:p>
        </w:tc>
        <w:tc>
          <w:tcPr>
            <w:tcW w:w="3277" w:type="pct"/>
          </w:tcPr>
          <w:p w14:paraId="1BA1F325" w14:textId="77777777" w:rsidR="009A745A" w:rsidRPr="00183E4D" w:rsidRDefault="009A745A" w:rsidP="0072078C">
            <w:pPr>
              <w:pStyle w:val="Tabletext0"/>
              <w:keepNext/>
            </w:pPr>
            <w:r>
              <w:t>Excel</w:t>
            </w:r>
          </w:p>
        </w:tc>
      </w:tr>
    </w:tbl>
    <w:p w14:paraId="3833FBC8" w14:textId="77777777" w:rsidR="009A745A" w:rsidRDefault="009A745A" w:rsidP="00007EC5">
      <w:pPr>
        <w:pStyle w:val="TableNote"/>
        <w:keepNext/>
        <w:keepLines w:val="0"/>
        <w:spacing w:after="240"/>
      </w:pPr>
      <w:r>
        <w:t>Source: Table 76, p 172 of the ADAR 1614</w:t>
      </w:r>
    </w:p>
    <w:p w14:paraId="3D4EFBCD" w14:textId="77777777" w:rsidR="009A745A" w:rsidRDefault="009A745A" w:rsidP="009A745A">
      <w:pPr>
        <w:rPr>
          <w:rFonts w:eastAsia="Calibri"/>
        </w:rPr>
      </w:pPr>
      <w:r w:rsidRPr="2A57B30F">
        <w:rPr>
          <w:rFonts w:eastAsia="Calibri"/>
        </w:rPr>
        <w:t xml:space="preserve">The ADAR claims the </w:t>
      </w:r>
      <w:r>
        <w:rPr>
          <w:rFonts w:eastAsia="Calibri"/>
        </w:rPr>
        <w:t>CMA</w:t>
      </w:r>
      <w:r w:rsidRPr="2A57B30F">
        <w:rPr>
          <w:rFonts w:eastAsia="Calibri"/>
        </w:rPr>
        <w:t xml:space="preserve"> are based on </w:t>
      </w:r>
      <w:proofErr w:type="gramStart"/>
      <w:r w:rsidRPr="2A57B30F">
        <w:rPr>
          <w:rFonts w:eastAsia="Calibri"/>
        </w:rPr>
        <w:t>a number of</w:t>
      </w:r>
      <w:proofErr w:type="gramEnd"/>
      <w:r w:rsidRPr="2A57B30F">
        <w:rPr>
          <w:rFonts w:eastAsia="Calibri"/>
        </w:rPr>
        <w:t xml:space="preserve"> cons</w:t>
      </w:r>
      <w:r>
        <w:rPr>
          <w:rFonts w:eastAsia="Calibri"/>
        </w:rPr>
        <w:t>ervative assumptions:</w:t>
      </w:r>
    </w:p>
    <w:p w14:paraId="1A1EC0A4" w14:textId="77777777" w:rsidR="009A745A" w:rsidRDefault="009A745A" w:rsidP="009A745A">
      <w:pPr>
        <w:pStyle w:val="ListParagraph"/>
        <w:numPr>
          <w:ilvl w:val="0"/>
          <w:numId w:val="31"/>
        </w:numPr>
        <w:rPr>
          <w:rFonts w:eastAsia="Calibri"/>
        </w:rPr>
      </w:pPr>
      <w:r w:rsidRPr="0055190E">
        <w:rPr>
          <w:rFonts w:eastAsia="Calibri"/>
        </w:rPr>
        <w:t xml:space="preserve">The AE profile of </w:t>
      </w:r>
      <w:proofErr w:type="spellStart"/>
      <w:r w:rsidRPr="0055190E">
        <w:rPr>
          <w:rFonts w:eastAsia="Calibri"/>
        </w:rPr>
        <w:t>MRgFUS</w:t>
      </w:r>
      <w:proofErr w:type="spellEnd"/>
      <w:r w:rsidRPr="0055190E">
        <w:rPr>
          <w:rFonts w:eastAsia="Calibri"/>
        </w:rPr>
        <w:t xml:space="preserve"> could translate to net QALY gains and have greater mortality advantages</w:t>
      </w:r>
      <w:r>
        <w:rPr>
          <w:rFonts w:eastAsia="Calibri"/>
        </w:rPr>
        <w:t xml:space="preserve"> [</w:t>
      </w:r>
      <w:r w:rsidRPr="0055190E">
        <w:rPr>
          <w:rFonts w:eastAsia="Calibri"/>
        </w:rPr>
        <w:t xml:space="preserve">based on </w:t>
      </w:r>
      <w:hyperlink w:anchor="_ENREF_44" w:tooltip="Ravikumar, 2017 #16" w:history="1">
        <w:r w:rsidRPr="0055190E">
          <w:rPr>
            <w:rFonts w:eastAsia="Calibri"/>
          </w:rPr>
          <w:fldChar w:fldCharType="begin"/>
        </w:r>
        <w:r w:rsidRPr="0055190E">
          <w:rPr>
            <w:rFonts w:eastAsia="Calibri"/>
          </w:rPr>
          <w:instrText xml:space="preserve"> ADDIN EN.CITE &lt;EndNote&gt;&lt;Cite AuthorYear="1"&gt;&lt;Author&gt;Ravikumar&lt;/Author&gt;&lt;Year&gt;2017&lt;/Year&gt;&lt;RecNum&gt;16&lt;/RecNum&gt;&lt;DisplayText&gt;Ravikumar et al. (2017)&lt;/DisplayText&gt;&lt;record&gt;&lt;rec-number&gt;16&lt;/rec-number&gt;&lt;foreign-keys&gt;&lt;key app="EN" db-id="wtze2vx54sp5w4efzxivv20fxr0fpdsf5wzz" timestamp="1606205255"&gt;16&lt;/key&gt;&lt;/foreign-keys&gt;&lt;ref-type name="Journal Article"&gt;17&lt;/ref-type&gt;&lt;contributors&gt;&lt;authors&gt;&lt;author&gt;Ravikumar, Vinod K&lt;/author&gt;&lt;author&gt;Parker, Jonathon J&lt;/author&gt;&lt;author&gt;Hornbeck, Traci S&lt;/author&gt;&lt;author&gt;Santini, Veronica E&lt;/author&gt;&lt;author&gt;Pauly, Kim Butts&lt;/author&gt;&lt;author&gt;Wintermark, Max&lt;/author&gt;&lt;author&gt;Ghanouni, Pejman&lt;/author&gt;&lt;author&gt;Stein, Sherman C&lt;/author&gt;&lt;author&gt;Halpern, Casey H&lt;/author&gt;&lt;/authors&gt;&lt;/contributors&gt;&lt;titles&gt;&lt;title&gt;Cost‐effectiveness of focused ultrasound, radiosurgery, and DBS for essential tremor&lt;/title&gt;&lt;secondary-title&gt;Movement Disorders&lt;/secondary-title&gt;&lt;/titles&gt;&lt;periodical&gt;&lt;full-title&gt;Movement Disorders&lt;/full-title&gt;&lt;/periodical&gt;&lt;pages&gt;1165-1173&lt;/pages&gt;&lt;volume&gt;32&lt;/volume&gt;&lt;number&gt;8&lt;/number&gt;&lt;dates&gt;&lt;year&gt;2017&lt;/year&gt;&lt;/dates&gt;&lt;isbn&gt;0885-3185&lt;/isbn&gt;&lt;urls&gt;&lt;/urls&gt;&lt;/record&gt;&lt;/Cite&gt;&lt;/EndNote&gt;</w:instrText>
        </w:r>
        <w:r w:rsidRPr="0055190E">
          <w:rPr>
            <w:rFonts w:eastAsia="Calibri"/>
          </w:rPr>
          <w:fldChar w:fldCharType="separate"/>
        </w:r>
        <w:r w:rsidRPr="0055190E">
          <w:rPr>
            <w:rFonts w:eastAsia="Calibri"/>
            <w:noProof/>
          </w:rPr>
          <w:t>Ravikumar et al. (2017)</w:t>
        </w:r>
        <w:r w:rsidRPr="0055190E">
          <w:rPr>
            <w:rFonts w:eastAsia="Calibri"/>
          </w:rPr>
          <w:fldChar w:fldCharType="end"/>
        </w:r>
      </w:hyperlink>
      <w:r>
        <w:rPr>
          <w:rFonts w:eastAsia="Calibri"/>
        </w:rPr>
        <w:t>]</w:t>
      </w:r>
    </w:p>
    <w:p w14:paraId="28D10CE6" w14:textId="77777777" w:rsidR="009A745A" w:rsidRDefault="009A745A" w:rsidP="009A745A">
      <w:pPr>
        <w:pStyle w:val="ListParagraph"/>
        <w:numPr>
          <w:ilvl w:val="0"/>
          <w:numId w:val="31"/>
        </w:numPr>
        <w:rPr>
          <w:rFonts w:eastAsia="Calibri"/>
        </w:rPr>
      </w:pPr>
      <w:r w:rsidRPr="0055190E">
        <w:rPr>
          <w:rFonts w:eastAsia="Calibri"/>
        </w:rPr>
        <w:t xml:space="preserve">Safety costs are excluded which may favour </w:t>
      </w:r>
      <w:proofErr w:type="spellStart"/>
      <w:r w:rsidRPr="0055190E">
        <w:rPr>
          <w:rFonts w:eastAsia="Calibri"/>
        </w:rPr>
        <w:t>MR</w:t>
      </w:r>
      <w:r>
        <w:rPr>
          <w:rFonts w:eastAsia="Calibri"/>
        </w:rPr>
        <w:t>gFUS</w:t>
      </w:r>
      <w:proofErr w:type="spellEnd"/>
    </w:p>
    <w:p w14:paraId="76E8ABAB" w14:textId="77777777" w:rsidR="009A745A" w:rsidRDefault="009A745A" w:rsidP="009A745A">
      <w:pPr>
        <w:pStyle w:val="ListParagraph"/>
        <w:numPr>
          <w:ilvl w:val="0"/>
          <w:numId w:val="31"/>
        </w:numPr>
        <w:rPr>
          <w:rFonts w:eastAsia="Calibri"/>
        </w:rPr>
      </w:pPr>
      <w:r w:rsidRPr="0055190E">
        <w:rPr>
          <w:rFonts w:eastAsia="Calibri"/>
        </w:rPr>
        <w:t>The estimate of battery life</w:t>
      </w:r>
      <w:r>
        <w:rPr>
          <w:rFonts w:eastAsia="Calibri"/>
        </w:rPr>
        <w:t xml:space="preserve"> for DBS may be underestimated</w:t>
      </w:r>
    </w:p>
    <w:p w14:paraId="570EB056" w14:textId="77777777" w:rsidR="009A745A" w:rsidRDefault="009A745A" w:rsidP="009A745A">
      <w:pPr>
        <w:pStyle w:val="ListParagraph"/>
        <w:numPr>
          <w:ilvl w:val="0"/>
          <w:numId w:val="31"/>
        </w:numPr>
        <w:rPr>
          <w:rFonts w:eastAsia="Calibri"/>
        </w:rPr>
      </w:pPr>
      <w:r w:rsidRPr="0055190E">
        <w:rPr>
          <w:rFonts w:eastAsia="Calibri"/>
        </w:rPr>
        <w:t xml:space="preserve">Recurrence in DBS patients were not included (in favour of </w:t>
      </w:r>
      <w:proofErr w:type="spellStart"/>
      <w:r w:rsidRPr="0055190E">
        <w:rPr>
          <w:rFonts w:eastAsia="Calibri"/>
        </w:rPr>
        <w:t>MRgFUS</w:t>
      </w:r>
      <w:proofErr w:type="spellEnd"/>
      <w:r w:rsidRPr="0055190E">
        <w:rPr>
          <w:rFonts w:eastAsia="Calibri"/>
        </w:rPr>
        <w:t>)</w:t>
      </w:r>
    </w:p>
    <w:p w14:paraId="698FBEC3" w14:textId="77777777" w:rsidR="009A745A" w:rsidRDefault="009A745A" w:rsidP="009A745A">
      <w:pPr>
        <w:pStyle w:val="ListParagraph"/>
        <w:numPr>
          <w:ilvl w:val="0"/>
          <w:numId w:val="31"/>
        </w:numPr>
        <w:rPr>
          <w:rFonts w:eastAsia="Calibri"/>
        </w:rPr>
      </w:pPr>
      <w:r w:rsidRPr="0055190E">
        <w:rPr>
          <w:rFonts w:eastAsia="Calibri"/>
        </w:rPr>
        <w:t xml:space="preserve">Capital costs may have been overestimated for </w:t>
      </w:r>
      <w:proofErr w:type="spellStart"/>
      <w:r w:rsidRPr="0055190E">
        <w:rPr>
          <w:rFonts w:eastAsia="Calibri"/>
        </w:rPr>
        <w:t>MRgFUS</w:t>
      </w:r>
      <w:proofErr w:type="spellEnd"/>
      <w:r w:rsidRPr="0055190E">
        <w:rPr>
          <w:rFonts w:eastAsia="Calibri"/>
        </w:rPr>
        <w:t xml:space="preserve"> due to conservative estimates of </w:t>
      </w:r>
      <w:r>
        <w:rPr>
          <w:rFonts w:eastAsia="Calibri"/>
        </w:rPr>
        <w:t>forecasting number of patients</w:t>
      </w:r>
    </w:p>
    <w:p w14:paraId="4A9631C8" w14:textId="77777777" w:rsidR="009A745A" w:rsidRDefault="009A745A" w:rsidP="009A745A">
      <w:pPr>
        <w:pStyle w:val="ListParagraph"/>
        <w:numPr>
          <w:ilvl w:val="0"/>
          <w:numId w:val="31"/>
        </w:numPr>
        <w:rPr>
          <w:rFonts w:eastAsia="Calibri"/>
        </w:rPr>
      </w:pPr>
      <w:r w:rsidRPr="0055190E">
        <w:rPr>
          <w:rFonts w:eastAsia="Calibri"/>
        </w:rPr>
        <w:t xml:space="preserve">Medical services associated with </w:t>
      </w:r>
      <w:proofErr w:type="spellStart"/>
      <w:r w:rsidRPr="0055190E">
        <w:rPr>
          <w:rFonts w:eastAsia="Calibri"/>
        </w:rPr>
        <w:t>MRgFUS</w:t>
      </w:r>
      <w:proofErr w:type="spellEnd"/>
      <w:r w:rsidRPr="0055190E">
        <w:rPr>
          <w:rFonts w:eastAsia="Calibri"/>
        </w:rPr>
        <w:t xml:space="preserve"> may have been overestimated, as it is likely that only two physicians would be required rather than the three physicians used in the costing.</w:t>
      </w:r>
    </w:p>
    <w:p w14:paraId="7F00918E" w14:textId="77777777" w:rsidR="009A745A" w:rsidRPr="0055190E" w:rsidRDefault="009A745A" w:rsidP="009A745A">
      <w:pPr>
        <w:pStyle w:val="ListParagraph"/>
        <w:numPr>
          <w:ilvl w:val="0"/>
          <w:numId w:val="31"/>
        </w:numPr>
        <w:rPr>
          <w:rFonts w:eastAsia="Calibri"/>
        </w:rPr>
      </w:pPr>
      <w:r w:rsidRPr="0055190E">
        <w:rPr>
          <w:rFonts w:eastAsia="Calibri"/>
        </w:rPr>
        <w:t xml:space="preserve">The total cost of DBS in this assessment was less than the total cost estimated in </w:t>
      </w:r>
      <w:hyperlink r:id="rId14" w:history="1">
        <w:r w:rsidRPr="0055190E">
          <w:rPr>
            <w:rStyle w:val="Hyperlink"/>
            <w:rFonts w:eastAsia="Calibri"/>
          </w:rPr>
          <w:t>MSAC 1109</w:t>
        </w:r>
      </w:hyperlink>
      <w:r w:rsidRPr="0055190E">
        <w:rPr>
          <w:rFonts w:eastAsia="Calibri"/>
        </w:rPr>
        <w:t>.</w:t>
      </w:r>
    </w:p>
    <w:p w14:paraId="5EAA9AEC" w14:textId="02D54F91" w:rsidR="009A745A" w:rsidRDefault="009A745A" w:rsidP="0039787B">
      <w:pPr>
        <w:spacing w:before="240"/>
        <w:rPr>
          <w:rFonts w:eastAsia="Calibri"/>
        </w:rPr>
      </w:pPr>
      <w:r w:rsidRPr="2A57B30F">
        <w:rPr>
          <w:rFonts w:eastAsia="Calibri"/>
          <w:color w:val="000000" w:themeColor="text1"/>
        </w:rPr>
        <w:t xml:space="preserve">The ADAR determined the total cost for unilateral DBS separately to the total cost for bilateral DBS. The ADAR determined that 95% of DBS surgeries would be bilateral DBS based on </w:t>
      </w:r>
      <w:proofErr w:type="spellStart"/>
      <w:r w:rsidRPr="2A57B30F">
        <w:rPr>
          <w:rFonts w:eastAsia="Calibri"/>
        </w:rPr>
        <w:t>medicare</w:t>
      </w:r>
      <w:proofErr w:type="spellEnd"/>
      <w:r w:rsidRPr="2A57B30F">
        <w:rPr>
          <w:rFonts w:eastAsia="Calibri"/>
        </w:rPr>
        <w:t xml:space="preserve"> statistics data (the comparison of MBS item 40850 – unilateral and MBS item 40851 - bilateral). The ADAR weighted the total cost of unilateral and bilateral DBS to compar</w:t>
      </w:r>
      <w:r>
        <w:rPr>
          <w:rFonts w:eastAsia="Calibri"/>
        </w:rPr>
        <w:t xml:space="preserve">e with the total cost of </w:t>
      </w:r>
      <w:proofErr w:type="spellStart"/>
      <w:r>
        <w:rPr>
          <w:rFonts w:eastAsia="Calibri"/>
        </w:rPr>
        <w:t>MGgFUS</w:t>
      </w:r>
      <w:proofErr w:type="spellEnd"/>
      <w:r>
        <w:rPr>
          <w:rFonts w:eastAsia="Calibri"/>
        </w:rPr>
        <w:t xml:space="preserve"> (Table 12).</w:t>
      </w:r>
    </w:p>
    <w:p w14:paraId="568623BF" w14:textId="224E75FC" w:rsidR="009A745A" w:rsidRPr="003A2B2F" w:rsidRDefault="009A745A" w:rsidP="0039787B">
      <w:pPr>
        <w:pStyle w:val="Caption"/>
        <w:spacing w:before="240"/>
      </w:pPr>
      <w:bookmarkStart w:id="38" w:name="_Ref59463354"/>
      <w:bookmarkStart w:id="39" w:name="_Toc60942834"/>
      <w:r>
        <w:t>Table</w:t>
      </w:r>
      <w:bookmarkEnd w:id="38"/>
      <w:r>
        <w:t xml:space="preserve"> 12</w:t>
      </w:r>
      <w:r w:rsidRPr="003A2B2F">
        <w:tab/>
        <w:t xml:space="preserve">Comparison of costs (discounted) associated with </w:t>
      </w:r>
      <w:proofErr w:type="spellStart"/>
      <w:r w:rsidRPr="003A2B2F">
        <w:t>MRgFUS</w:t>
      </w:r>
      <w:proofErr w:type="spellEnd"/>
      <w:r w:rsidRPr="003A2B2F">
        <w:t xml:space="preserve"> </w:t>
      </w:r>
      <w:r>
        <w:t>vs.</w:t>
      </w:r>
      <w:r w:rsidRPr="003A2B2F">
        <w:t xml:space="preserve"> DBS over a 10-year time horizon</w:t>
      </w:r>
      <w:bookmarkEnd w:id="39"/>
    </w:p>
    <w:tbl>
      <w:tblPr>
        <w:tblStyle w:val="TableGrid1"/>
        <w:tblW w:w="5000" w:type="pct"/>
        <w:tblLook w:val="04A0" w:firstRow="1" w:lastRow="0" w:firstColumn="1" w:lastColumn="0" w:noHBand="0" w:noVBand="1"/>
        <w:tblCaption w:val="Table 12 Comparison of costs (discounted) associated with MRgFUS versus DBS over a 10-year time horizon"/>
        <w:tblDescription w:val="Summary of costs in economic evaluation"/>
      </w:tblPr>
      <w:tblGrid>
        <w:gridCol w:w="2177"/>
        <w:gridCol w:w="1710"/>
        <w:gridCol w:w="1711"/>
        <w:gridCol w:w="1709"/>
        <w:gridCol w:w="1709"/>
      </w:tblGrid>
      <w:tr w:rsidR="009A745A" w14:paraId="0FAFFEFE" w14:textId="77777777" w:rsidTr="009A745A">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single" w:sz="4" w:space="0" w:color="auto"/>
              <w:left w:val="single" w:sz="4" w:space="0" w:color="auto"/>
              <w:bottom w:val="single" w:sz="4" w:space="0" w:color="auto"/>
              <w:right w:val="single" w:sz="4" w:space="0" w:color="auto"/>
            </w:tcBorders>
            <w:shd w:val="clear" w:color="auto" w:fill="auto"/>
          </w:tcPr>
          <w:p w14:paraId="731644FA" w14:textId="77777777" w:rsidR="009A745A" w:rsidRPr="003A2B2F" w:rsidRDefault="009A745A" w:rsidP="009A745A">
            <w:pPr>
              <w:pStyle w:val="Tabletext0"/>
              <w:rPr>
                <w:b/>
                <w:bCs/>
              </w:rPr>
            </w:pPr>
          </w:p>
        </w:tc>
        <w:tc>
          <w:tcPr>
            <w:tcW w:w="948" w:type="pct"/>
            <w:tcBorders>
              <w:top w:val="single" w:sz="4" w:space="0" w:color="auto"/>
              <w:left w:val="single" w:sz="4" w:space="0" w:color="auto"/>
              <w:bottom w:val="single" w:sz="4" w:space="0" w:color="auto"/>
              <w:right w:val="single" w:sz="4" w:space="0" w:color="auto"/>
            </w:tcBorders>
            <w:shd w:val="clear" w:color="auto" w:fill="auto"/>
            <w:hideMark/>
          </w:tcPr>
          <w:p w14:paraId="38612EEB" w14:textId="77777777" w:rsidR="009A745A" w:rsidRPr="003A2B2F" w:rsidRDefault="009A745A" w:rsidP="009A745A">
            <w:pPr>
              <w:pStyle w:val="Tabletext0"/>
              <w:jc w:val="center"/>
              <w:rPr>
                <w:b/>
                <w:bCs/>
              </w:rPr>
            </w:pPr>
            <w:proofErr w:type="spellStart"/>
            <w:r w:rsidRPr="003A2B2F">
              <w:rPr>
                <w:b/>
                <w:bCs/>
              </w:rPr>
              <w:t>MRgFUS</w:t>
            </w:r>
            <w:proofErr w:type="spellEnd"/>
          </w:p>
        </w:tc>
        <w:tc>
          <w:tcPr>
            <w:tcW w:w="949" w:type="pct"/>
            <w:tcBorders>
              <w:top w:val="single" w:sz="4" w:space="0" w:color="auto"/>
              <w:left w:val="single" w:sz="4" w:space="0" w:color="auto"/>
              <w:bottom w:val="single" w:sz="4" w:space="0" w:color="auto"/>
              <w:right w:val="single" w:sz="4" w:space="0" w:color="auto"/>
            </w:tcBorders>
            <w:shd w:val="clear" w:color="auto" w:fill="auto"/>
            <w:hideMark/>
          </w:tcPr>
          <w:p w14:paraId="0351D035" w14:textId="77777777" w:rsidR="009A745A" w:rsidRPr="003A2B2F" w:rsidRDefault="009A745A" w:rsidP="009A745A">
            <w:pPr>
              <w:pStyle w:val="Tabletext0"/>
              <w:jc w:val="center"/>
              <w:rPr>
                <w:b/>
                <w:bCs/>
              </w:rPr>
            </w:pPr>
            <w:r w:rsidRPr="003A2B2F">
              <w:rPr>
                <w:b/>
                <w:bCs/>
              </w:rPr>
              <w:t xml:space="preserve">Weighted DBS </w:t>
            </w:r>
            <w:r w:rsidRPr="003A2B2F">
              <w:rPr>
                <w:b/>
                <w:bCs/>
                <w:vertAlign w:val="superscript"/>
              </w:rPr>
              <w:t>a</w:t>
            </w:r>
          </w:p>
        </w:tc>
        <w:tc>
          <w:tcPr>
            <w:tcW w:w="948" w:type="pct"/>
            <w:tcBorders>
              <w:top w:val="single" w:sz="4" w:space="0" w:color="auto"/>
              <w:left w:val="single" w:sz="4" w:space="0" w:color="auto"/>
              <w:bottom w:val="single" w:sz="4" w:space="0" w:color="auto"/>
              <w:right w:val="single" w:sz="4" w:space="0" w:color="auto"/>
            </w:tcBorders>
            <w:shd w:val="clear" w:color="auto" w:fill="auto"/>
            <w:hideMark/>
          </w:tcPr>
          <w:p w14:paraId="74AD24C4" w14:textId="77777777" w:rsidR="009A745A" w:rsidRPr="003A2B2F" w:rsidRDefault="009A745A" w:rsidP="009A745A">
            <w:pPr>
              <w:pStyle w:val="Tabletext0"/>
              <w:jc w:val="center"/>
              <w:rPr>
                <w:b/>
                <w:bCs/>
              </w:rPr>
            </w:pPr>
            <w:r w:rsidRPr="003A2B2F">
              <w:rPr>
                <w:b/>
                <w:bCs/>
              </w:rPr>
              <w:t>Unilateral DBS</w:t>
            </w:r>
          </w:p>
        </w:tc>
        <w:tc>
          <w:tcPr>
            <w:tcW w:w="948" w:type="pct"/>
            <w:tcBorders>
              <w:top w:val="single" w:sz="4" w:space="0" w:color="auto"/>
              <w:left w:val="single" w:sz="4" w:space="0" w:color="auto"/>
              <w:bottom w:val="single" w:sz="4" w:space="0" w:color="auto"/>
              <w:right w:val="single" w:sz="4" w:space="0" w:color="auto"/>
            </w:tcBorders>
            <w:shd w:val="clear" w:color="auto" w:fill="auto"/>
            <w:hideMark/>
          </w:tcPr>
          <w:p w14:paraId="31687728" w14:textId="77777777" w:rsidR="009A745A" w:rsidRDefault="009A745A" w:rsidP="009A745A">
            <w:pPr>
              <w:pStyle w:val="Tabletext0"/>
              <w:jc w:val="center"/>
              <w:rPr>
                <w:b/>
                <w:bCs/>
              </w:rPr>
            </w:pPr>
            <w:r w:rsidRPr="003A2B2F">
              <w:rPr>
                <w:b/>
                <w:bCs/>
              </w:rPr>
              <w:t>Bilateral DBS</w:t>
            </w:r>
          </w:p>
        </w:tc>
      </w:tr>
      <w:tr w:rsidR="009A745A" w14:paraId="455D42B7" w14:textId="77777777" w:rsidTr="009A745A">
        <w:trPr>
          <w:cantSplit/>
        </w:trPr>
        <w:tc>
          <w:tcPr>
            <w:tcW w:w="1207" w:type="pct"/>
            <w:tcBorders>
              <w:top w:val="single" w:sz="4" w:space="0" w:color="auto"/>
              <w:left w:val="single" w:sz="4" w:space="0" w:color="auto"/>
              <w:bottom w:val="single" w:sz="4" w:space="0" w:color="auto"/>
              <w:right w:val="single" w:sz="4" w:space="0" w:color="auto"/>
            </w:tcBorders>
            <w:hideMark/>
          </w:tcPr>
          <w:p w14:paraId="6DD6185C" w14:textId="77777777" w:rsidR="009A745A" w:rsidRDefault="009A745A" w:rsidP="009A745A">
            <w:pPr>
              <w:pStyle w:val="Tabletext0"/>
            </w:pPr>
            <w:r>
              <w:t>Primary procedure</w:t>
            </w:r>
          </w:p>
        </w:tc>
        <w:tc>
          <w:tcPr>
            <w:tcW w:w="948" w:type="pct"/>
            <w:tcBorders>
              <w:top w:val="single" w:sz="4" w:space="0" w:color="auto"/>
              <w:left w:val="single" w:sz="4" w:space="0" w:color="auto"/>
              <w:bottom w:val="single" w:sz="4" w:space="0" w:color="auto"/>
              <w:right w:val="single" w:sz="4" w:space="0" w:color="auto"/>
            </w:tcBorders>
            <w:hideMark/>
          </w:tcPr>
          <w:p w14:paraId="49716334" w14:textId="77777777" w:rsidR="009A745A" w:rsidRDefault="009A745A" w:rsidP="009A745A">
            <w:pPr>
              <w:pStyle w:val="Tabletext0"/>
              <w:jc w:val="center"/>
            </w:pPr>
            <w:r w:rsidRPr="00B33EC7">
              <w:t>$43,142</w:t>
            </w:r>
          </w:p>
        </w:tc>
        <w:tc>
          <w:tcPr>
            <w:tcW w:w="949" w:type="pct"/>
            <w:tcBorders>
              <w:top w:val="single" w:sz="4" w:space="0" w:color="auto"/>
              <w:left w:val="single" w:sz="4" w:space="0" w:color="auto"/>
              <w:bottom w:val="single" w:sz="4" w:space="0" w:color="auto"/>
              <w:right w:val="single" w:sz="4" w:space="0" w:color="auto"/>
            </w:tcBorders>
            <w:hideMark/>
          </w:tcPr>
          <w:p w14:paraId="1DF79D61" w14:textId="77777777" w:rsidR="009A745A" w:rsidRDefault="009A745A" w:rsidP="009A745A">
            <w:pPr>
              <w:pStyle w:val="Tabletext0"/>
              <w:jc w:val="center"/>
            </w:pPr>
            <w:r w:rsidRPr="00B33EC7">
              <w:t>$59,028</w:t>
            </w:r>
          </w:p>
        </w:tc>
        <w:tc>
          <w:tcPr>
            <w:tcW w:w="948" w:type="pct"/>
            <w:tcBorders>
              <w:top w:val="single" w:sz="4" w:space="0" w:color="auto"/>
              <w:left w:val="single" w:sz="4" w:space="0" w:color="auto"/>
              <w:bottom w:val="single" w:sz="4" w:space="0" w:color="auto"/>
              <w:right w:val="single" w:sz="4" w:space="0" w:color="auto"/>
            </w:tcBorders>
            <w:hideMark/>
          </w:tcPr>
          <w:p w14:paraId="3F5D63C3" w14:textId="77777777" w:rsidR="009A745A" w:rsidRDefault="009A745A" w:rsidP="009A745A">
            <w:pPr>
              <w:pStyle w:val="Tabletext0"/>
              <w:jc w:val="center"/>
            </w:pPr>
            <w:r w:rsidRPr="00B33EC7">
              <w:t>$42,420</w:t>
            </w:r>
          </w:p>
        </w:tc>
        <w:tc>
          <w:tcPr>
            <w:tcW w:w="948" w:type="pct"/>
            <w:tcBorders>
              <w:top w:val="single" w:sz="4" w:space="0" w:color="auto"/>
              <w:left w:val="single" w:sz="4" w:space="0" w:color="auto"/>
              <w:bottom w:val="single" w:sz="4" w:space="0" w:color="auto"/>
              <w:right w:val="single" w:sz="4" w:space="0" w:color="auto"/>
            </w:tcBorders>
            <w:hideMark/>
          </w:tcPr>
          <w:p w14:paraId="7CC8FB4A" w14:textId="77777777" w:rsidR="009A745A" w:rsidRDefault="009A745A" w:rsidP="009A745A">
            <w:pPr>
              <w:pStyle w:val="Tabletext0"/>
              <w:jc w:val="center"/>
            </w:pPr>
            <w:r w:rsidRPr="00B33EC7">
              <w:t>$59,985</w:t>
            </w:r>
          </w:p>
        </w:tc>
      </w:tr>
      <w:tr w:rsidR="009A745A" w14:paraId="08BBE927" w14:textId="77777777" w:rsidTr="009A745A">
        <w:trPr>
          <w:cantSplit/>
        </w:trPr>
        <w:tc>
          <w:tcPr>
            <w:tcW w:w="1207" w:type="pct"/>
            <w:tcBorders>
              <w:top w:val="single" w:sz="4" w:space="0" w:color="auto"/>
              <w:left w:val="single" w:sz="4" w:space="0" w:color="auto"/>
              <w:bottom w:val="single" w:sz="4" w:space="0" w:color="auto"/>
              <w:right w:val="single" w:sz="4" w:space="0" w:color="auto"/>
            </w:tcBorders>
          </w:tcPr>
          <w:p w14:paraId="25D531A3" w14:textId="77777777" w:rsidR="009A745A" w:rsidRDefault="009A745A" w:rsidP="009A745A">
            <w:pPr>
              <w:pStyle w:val="Tabletext0"/>
              <w:ind w:left="164"/>
            </w:pPr>
            <w:r w:rsidRPr="00FE0FD3">
              <w:t>Prostheses/consumable costs</w:t>
            </w:r>
          </w:p>
        </w:tc>
        <w:tc>
          <w:tcPr>
            <w:tcW w:w="948" w:type="pct"/>
            <w:tcBorders>
              <w:top w:val="single" w:sz="4" w:space="0" w:color="auto"/>
              <w:left w:val="single" w:sz="4" w:space="0" w:color="auto"/>
              <w:bottom w:val="single" w:sz="4" w:space="0" w:color="auto"/>
              <w:right w:val="single" w:sz="4" w:space="0" w:color="auto"/>
            </w:tcBorders>
          </w:tcPr>
          <w:p w14:paraId="7EDDF4CE" w14:textId="1501B42C" w:rsidR="009A745A" w:rsidRPr="00270DF6" w:rsidRDefault="009A745A" w:rsidP="009A745A">
            <w:pPr>
              <w:pStyle w:val="Tabletext0"/>
              <w:jc w:val="center"/>
              <w:rPr>
                <w:b/>
              </w:rPr>
            </w:pPr>
            <w:r w:rsidRPr="00270DF6">
              <w:rPr>
                <w:b/>
              </w:rPr>
              <w:t>$</w:t>
            </w:r>
            <w:r w:rsidR="003F74DB" w:rsidRPr="00270DF6">
              <w:rPr>
                <w:b/>
              </w:rPr>
              <w:t>Redacted</w:t>
            </w:r>
          </w:p>
        </w:tc>
        <w:tc>
          <w:tcPr>
            <w:tcW w:w="949" w:type="pct"/>
            <w:tcBorders>
              <w:top w:val="single" w:sz="4" w:space="0" w:color="auto"/>
              <w:left w:val="single" w:sz="4" w:space="0" w:color="auto"/>
              <w:bottom w:val="single" w:sz="4" w:space="0" w:color="auto"/>
              <w:right w:val="single" w:sz="4" w:space="0" w:color="auto"/>
            </w:tcBorders>
          </w:tcPr>
          <w:p w14:paraId="240584B0" w14:textId="6551821B" w:rsidR="009A745A" w:rsidRPr="00B33EC7" w:rsidRDefault="009A745A" w:rsidP="009A745A">
            <w:pPr>
              <w:pStyle w:val="Tabletext0"/>
              <w:jc w:val="center"/>
            </w:pPr>
            <w:r w:rsidRPr="004539B4">
              <w:t>$16,427</w:t>
            </w:r>
          </w:p>
        </w:tc>
        <w:tc>
          <w:tcPr>
            <w:tcW w:w="948" w:type="pct"/>
            <w:tcBorders>
              <w:top w:val="single" w:sz="4" w:space="0" w:color="auto"/>
              <w:left w:val="single" w:sz="4" w:space="0" w:color="auto"/>
              <w:bottom w:val="single" w:sz="4" w:space="0" w:color="auto"/>
              <w:right w:val="single" w:sz="4" w:space="0" w:color="auto"/>
            </w:tcBorders>
          </w:tcPr>
          <w:p w14:paraId="02C0258A" w14:textId="606A33C9" w:rsidR="009A745A" w:rsidRPr="00B33EC7" w:rsidRDefault="009A745A" w:rsidP="009A745A">
            <w:pPr>
              <w:pStyle w:val="Tabletext0"/>
              <w:jc w:val="center"/>
            </w:pPr>
            <w:r w:rsidRPr="004539B4">
              <w:t>$31,583</w:t>
            </w:r>
          </w:p>
        </w:tc>
        <w:tc>
          <w:tcPr>
            <w:tcW w:w="948" w:type="pct"/>
            <w:tcBorders>
              <w:top w:val="single" w:sz="4" w:space="0" w:color="auto"/>
              <w:left w:val="single" w:sz="4" w:space="0" w:color="auto"/>
              <w:bottom w:val="single" w:sz="4" w:space="0" w:color="auto"/>
              <w:right w:val="single" w:sz="4" w:space="0" w:color="auto"/>
            </w:tcBorders>
          </w:tcPr>
          <w:p w14:paraId="206CCB31" w14:textId="1474D05D" w:rsidR="009A745A" w:rsidRPr="00B33EC7" w:rsidRDefault="009A745A" w:rsidP="009A745A">
            <w:pPr>
              <w:pStyle w:val="Tabletext0"/>
              <w:jc w:val="center"/>
            </w:pPr>
            <w:r w:rsidRPr="004539B4">
              <w:t>$12,000</w:t>
            </w:r>
          </w:p>
        </w:tc>
      </w:tr>
      <w:tr w:rsidR="009A745A" w14:paraId="2D6DF518" w14:textId="77777777" w:rsidTr="009A745A">
        <w:trPr>
          <w:cantSplit/>
        </w:trPr>
        <w:tc>
          <w:tcPr>
            <w:tcW w:w="1207" w:type="pct"/>
            <w:tcBorders>
              <w:top w:val="single" w:sz="4" w:space="0" w:color="auto"/>
              <w:left w:val="single" w:sz="4" w:space="0" w:color="auto"/>
              <w:bottom w:val="single" w:sz="4" w:space="0" w:color="auto"/>
              <w:right w:val="single" w:sz="4" w:space="0" w:color="auto"/>
            </w:tcBorders>
          </w:tcPr>
          <w:p w14:paraId="2BEC3930" w14:textId="77777777" w:rsidR="009A745A" w:rsidRDefault="009A745A" w:rsidP="009A745A">
            <w:pPr>
              <w:pStyle w:val="Tabletext0"/>
              <w:ind w:left="164"/>
            </w:pPr>
            <w:r w:rsidRPr="00FE0FD3">
              <w:t>Medical service costs</w:t>
            </w:r>
          </w:p>
        </w:tc>
        <w:tc>
          <w:tcPr>
            <w:tcW w:w="948" w:type="pct"/>
            <w:tcBorders>
              <w:top w:val="single" w:sz="4" w:space="0" w:color="auto"/>
              <w:left w:val="single" w:sz="4" w:space="0" w:color="auto"/>
              <w:bottom w:val="single" w:sz="4" w:space="0" w:color="auto"/>
              <w:right w:val="single" w:sz="4" w:space="0" w:color="auto"/>
            </w:tcBorders>
          </w:tcPr>
          <w:p w14:paraId="205AACDF" w14:textId="381AD4FF" w:rsidR="009A745A" w:rsidRPr="00270DF6" w:rsidRDefault="009A745A" w:rsidP="009A745A">
            <w:pPr>
              <w:pStyle w:val="Tabletext0"/>
              <w:jc w:val="center"/>
              <w:rPr>
                <w:b/>
              </w:rPr>
            </w:pPr>
            <w:r w:rsidRPr="00270DF6">
              <w:rPr>
                <w:b/>
              </w:rPr>
              <w:t>$</w:t>
            </w:r>
            <w:r w:rsidR="003F74DB" w:rsidRPr="00270DF6">
              <w:rPr>
                <w:b/>
              </w:rPr>
              <w:t>Redacted</w:t>
            </w:r>
          </w:p>
        </w:tc>
        <w:tc>
          <w:tcPr>
            <w:tcW w:w="949" w:type="pct"/>
            <w:tcBorders>
              <w:top w:val="single" w:sz="4" w:space="0" w:color="auto"/>
              <w:left w:val="single" w:sz="4" w:space="0" w:color="auto"/>
              <w:bottom w:val="single" w:sz="4" w:space="0" w:color="auto"/>
              <w:right w:val="single" w:sz="4" w:space="0" w:color="auto"/>
            </w:tcBorders>
          </w:tcPr>
          <w:p w14:paraId="51A6B6F6" w14:textId="0C788537" w:rsidR="009A745A" w:rsidRPr="00B33EC7" w:rsidRDefault="009A745A" w:rsidP="009A745A">
            <w:pPr>
              <w:pStyle w:val="Tabletext0"/>
              <w:jc w:val="center"/>
            </w:pPr>
            <w:r w:rsidRPr="004539B4">
              <w:t>$4,892</w:t>
            </w:r>
          </w:p>
        </w:tc>
        <w:tc>
          <w:tcPr>
            <w:tcW w:w="948" w:type="pct"/>
            <w:tcBorders>
              <w:top w:val="single" w:sz="4" w:space="0" w:color="auto"/>
              <w:left w:val="single" w:sz="4" w:space="0" w:color="auto"/>
              <w:bottom w:val="single" w:sz="4" w:space="0" w:color="auto"/>
              <w:right w:val="single" w:sz="4" w:space="0" w:color="auto"/>
            </w:tcBorders>
          </w:tcPr>
          <w:p w14:paraId="03C5CDF1" w14:textId="5142D880" w:rsidR="009A745A" w:rsidRPr="00B33EC7" w:rsidRDefault="009A745A" w:rsidP="009A745A">
            <w:pPr>
              <w:pStyle w:val="Tabletext0"/>
              <w:jc w:val="center"/>
            </w:pPr>
            <w:r w:rsidRPr="004539B4">
              <w:t>$7,301</w:t>
            </w:r>
          </w:p>
        </w:tc>
        <w:tc>
          <w:tcPr>
            <w:tcW w:w="948" w:type="pct"/>
            <w:tcBorders>
              <w:top w:val="single" w:sz="4" w:space="0" w:color="auto"/>
              <w:left w:val="single" w:sz="4" w:space="0" w:color="auto"/>
              <w:bottom w:val="single" w:sz="4" w:space="0" w:color="auto"/>
              <w:right w:val="single" w:sz="4" w:space="0" w:color="auto"/>
            </w:tcBorders>
          </w:tcPr>
          <w:p w14:paraId="567A5078" w14:textId="028F5F2C" w:rsidR="009A745A" w:rsidRPr="00B33EC7" w:rsidRDefault="009A745A" w:rsidP="009A745A">
            <w:pPr>
              <w:pStyle w:val="Tabletext0"/>
              <w:jc w:val="center"/>
            </w:pPr>
            <w:r w:rsidRPr="004539B4">
              <w:t>$8,082</w:t>
            </w:r>
          </w:p>
        </w:tc>
      </w:tr>
      <w:tr w:rsidR="009A745A" w14:paraId="0F2D20C7" w14:textId="77777777" w:rsidTr="009A745A">
        <w:trPr>
          <w:cantSplit/>
        </w:trPr>
        <w:tc>
          <w:tcPr>
            <w:tcW w:w="1207" w:type="pct"/>
            <w:tcBorders>
              <w:top w:val="single" w:sz="4" w:space="0" w:color="auto"/>
              <w:left w:val="single" w:sz="4" w:space="0" w:color="auto"/>
              <w:bottom w:val="single" w:sz="4" w:space="0" w:color="auto"/>
              <w:right w:val="single" w:sz="4" w:space="0" w:color="auto"/>
            </w:tcBorders>
          </w:tcPr>
          <w:p w14:paraId="6E6069F7" w14:textId="77777777" w:rsidR="009A745A" w:rsidRDefault="009A745A" w:rsidP="009A745A">
            <w:pPr>
              <w:pStyle w:val="Tabletext0"/>
              <w:ind w:left="164"/>
            </w:pPr>
            <w:r w:rsidRPr="00FE0FD3">
              <w:t>Hospitalisation costs</w:t>
            </w:r>
          </w:p>
        </w:tc>
        <w:tc>
          <w:tcPr>
            <w:tcW w:w="948" w:type="pct"/>
            <w:tcBorders>
              <w:top w:val="single" w:sz="4" w:space="0" w:color="auto"/>
              <w:left w:val="single" w:sz="4" w:space="0" w:color="auto"/>
              <w:bottom w:val="single" w:sz="4" w:space="0" w:color="auto"/>
              <w:right w:val="single" w:sz="4" w:space="0" w:color="auto"/>
            </w:tcBorders>
          </w:tcPr>
          <w:p w14:paraId="03CE172E" w14:textId="1904F978" w:rsidR="009A745A" w:rsidRPr="00270DF6" w:rsidRDefault="009A745A" w:rsidP="009A745A">
            <w:pPr>
              <w:pStyle w:val="Tabletext0"/>
              <w:jc w:val="center"/>
              <w:rPr>
                <w:b/>
              </w:rPr>
            </w:pPr>
            <w:r w:rsidRPr="00270DF6">
              <w:rPr>
                <w:b/>
              </w:rPr>
              <w:t>$</w:t>
            </w:r>
            <w:r w:rsidR="003F74DB" w:rsidRPr="00270DF6">
              <w:rPr>
                <w:b/>
              </w:rPr>
              <w:t>Redacted</w:t>
            </w:r>
          </w:p>
        </w:tc>
        <w:tc>
          <w:tcPr>
            <w:tcW w:w="949" w:type="pct"/>
            <w:tcBorders>
              <w:top w:val="single" w:sz="4" w:space="0" w:color="auto"/>
              <w:left w:val="single" w:sz="4" w:space="0" w:color="auto"/>
              <w:bottom w:val="single" w:sz="4" w:space="0" w:color="auto"/>
              <w:right w:val="single" w:sz="4" w:space="0" w:color="auto"/>
            </w:tcBorders>
          </w:tcPr>
          <w:p w14:paraId="145BE94D" w14:textId="4C12F3F5" w:rsidR="009A745A" w:rsidRPr="00B33EC7" w:rsidRDefault="009A745A" w:rsidP="009A745A">
            <w:pPr>
              <w:pStyle w:val="Tabletext0"/>
              <w:jc w:val="center"/>
            </w:pPr>
            <w:r w:rsidRPr="004539B4">
              <w:t>$21,101</w:t>
            </w:r>
          </w:p>
        </w:tc>
        <w:tc>
          <w:tcPr>
            <w:tcW w:w="948" w:type="pct"/>
            <w:tcBorders>
              <w:top w:val="single" w:sz="4" w:space="0" w:color="auto"/>
              <w:left w:val="single" w:sz="4" w:space="0" w:color="auto"/>
              <w:bottom w:val="single" w:sz="4" w:space="0" w:color="auto"/>
              <w:right w:val="single" w:sz="4" w:space="0" w:color="auto"/>
            </w:tcBorders>
          </w:tcPr>
          <w:p w14:paraId="2511DB2F" w14:textId="29520EEA" w:rsidR="009A745A" w:rsidRPr="00B33EC7" w:rsidRDefault="009A745A" w:rsidP="009A745A">
            <w:pPr>
              <w:pStyle w:val="Tabletext0"/>
              <w:jc w:val="center"/>
            </w:pPr>
            <w:r w:rsidRPr="004539B4">
              <w:t>$21,101</w:t>
            </w:r>
          </w:p>
        </w:tc>
        <w:tc>
          <w:tcPr>
            <w:tcW w:w="948" w:type="pct"/>
            <w:tcBorders>
              <w:top w:val="single" w:sz="4" w:space="0" w:color="auto"/>
              <w:left w:val="single" w:sz="4" w:space="0" w:color="auto"/>
              <w:bottom w:val="single" w:sz="4" w:space="0" w:color="auto"/>
              <w:right w:val="single" w:sz="4" w:space="0" w:color="auto"/>
            </w:tcBorders>
          </w:tcPr>
          <w:p w14:paraId="391253FF" w14:textId="0E6DE760" w:rsidR="009A745A" w:rsidRPr="00B33EC7" w:rsidRDefault="009A745A" w:rsidP="009A745A">
            <w:pPr>
              <w:pStyle w:val="Tabletext0"/>
              <w:jc w:val="center"/>
            </w:pPr>
            <w:r w:rsidRPr="004539B4">
              <w:t>$2,110</w:t>
            </w:r>
          </w:p>
        </w:tc>
      </w:tr>
      <w:tr w:rsidR="009A745A" w14:paraId="4123246F" w14:textId="77777777" w:rsidTr="009A745A">
        <w:trPr>
          <w:cantSplit/>
        </w:trPr>
        <w:tc>
          <w:tcPr>
            <w:tcW w:w="1207" w:type="pct"/>
            <w:tcBorders>
              <w:top w:val="single" w:sz="4" w:space="0" w:color="auto"/>
              <w:left w:val="single" w:sz="4" w:space="0" w:color="auto"/>
              <w:bottom w:val="single" w:sz="4" w:space="0" w:color="auto"/>
              <w:right w:val="single" w:sz="4" w:space="0" w:color="auto"/>
            </w:tcBorders>
          </w:tcPr>
          <w:p w14:paraId="514F1C2D" w14:textId="77777777" w:rsidR="009A745A" w:rsidRDefault="009A745A" w:rsidP="009A745A">
            <w:pPr>
              <w:pStyle w:val="Tabletext0"/>
              <w:ind w:left="164"/>
            </w:pPr>
            <w:r w:rsidRPr="00FE0FD3">
              <w:t>Capital costs</w:t>
            </w:r>
          </w:p>
        </w:tc>
        <w:tc>
          <w:tcPr>
            <w:tcW w:w="948" w:type="pct"/>
            <w:tcBorders>
              <w:top w:val="single" w:sz="4" w:space="0" w:color="auto"/>
              <w:left w:val="single" w:sz="4" w:space="0" w:color="auto"/>
              <w:bottom w:val="single" w:sz="4" w:space="0" w:color="auto"/>
              <w:right w:val="single" w:sz="4" w:space="0" w:color="auto"/>
            </w:tcBorders>
          </w:tcPr>
          <w:p w14:paraId="62F8D8CA" w14:textId="1C3EC8F4" w:rsidR="009A745A" w:rsidRPr="00270DF6" w:rsidRDefault="009A745A" w:rsidP="009A745A">
            <w:pPr>
              <w:pStyle w:val="Tabletext0"/>
              <w:jc w:val="center"/>
              <w:rPr>
                <w:b/>
              </w:rPr>
            </w:pPr>
            <w:r w:rsidRPr="00270DF6">
              <w:rPr>
                <w:b/>
              </w:rPr>
              <w:t>$</w:t>
            </w:r>
            <w:r w:rsidR="003F74DB" w:rsidRPr="00270DF6">
              <w:rPr>
                <w:b/>
              </w:rPr>
              <w:t>Redacted</w:t>
            </w:r>
          </w:p>
        </w:tc>
        <w:tc>
          <w:tcPr>
            <w:tcW w:w="949" w:type="pct"/>
            <w:tcBorders>
              <w:top w:val="single" w:sz="4" w:space="0" w:color="auto"/>
              <w:left w:val="single" w:sz="4" w:space="0" w:color="auto"/>
              <w:bottom w:val="single" w:sz="4" w:space="0" w:color="auto"/>
              <w:right w:val="single" w:sz="4" w:space="0" w:color="auto"/>
            </w:tcBorders>
          </w:tcPr>
          <w:p w14:paraId="7FA1B38B" w14:textId="4CBE9B64" w:rsidR="009A745A" w:rsidRPr="00B33EC7" w:rsidRDefault="009A745A" w:rsidP="009A745A">
            <w:pPr>
              <w:pStyle w:val="Tabletext0"/>
              <w:jc w:val="center"/>
            </w:pPr>
            <w:r w:rsidRPr="004539B4">
              <w:t>-</w:t>
            </w:r>
          </w:p>
        </w:tc>
        <w:tc>
          <w:tcPr>
            <w:tcW w:w="948" w:type="pct"/>
            <w:tcBorders>
              <w:top w:val="single" w:sz="4" w:space="0" w:color="auto"/>
              <w:left w:val="single" w:sz="4" w:space="0" w:color="auto"/>
              <w:bottom w:val="single" w:sz="4" w:space="0" w:color="auto"/>
              <w:right w:val="single" w:sz="4" w:space="0" w:color="auto"/>
            </w:tcBorders>
          </w:tcPr>
          <w:p w14:paraId="7971C67E" w14:textId="52CAE4F6" w:rsidR="009A745A" w:rsidRPr="00B33EC7" w:rsidRDefault="009A745A" w:rsidP="009A745A">
            <w:pPr>
              <w:pStyle w:val="Tabletext0"/>
              <w:jc w:val="center"/>
            </w:pPr>
            <w:r w:rsidRPr="004539B4">
              <w:t>-</w:t>
            </w:r>
          </w:p>
        </w:tc>
        <w:tc>
          <w:tcPr>
            <w:tcW w:w="948" w:type="pct"/>
            <w:tcBorders>
              <w:top w:val="single" w:sz="4" w:space="0" w:color="auto"/>
              <w:left w:val="single" w:sz="4" w:space="0" w:color="auto"/>
              <w:bottom w:val="single" w:sz="4" w:space="0" w:color="auto"/>
              <w:right w:val="single" w:sz="4" w:space="0" w:color="auto"/>
            </w:tcBorders>
          </w:tcPr>
          <w:p w14:paraId="1CD8B84D" w14:textId="5FF8470F" w:rsidR="009A745A" w:rsidRPr="00B33EC7" w:rsidRDefault="009A745A" w:rsidP="009A745A">
            <w:pPr>
              <w:pStyle w:val="Tabletext0"/>
              <w:jc w:val="center"/>
            </w:pPr>
            <w:r w:rsidRPr="004539B4">
              <w:t>$20,950</w:t>
            </w:r>
          </w:p>
        </w:tc>
      </w:tr>
      <w:tr w:rsidR="009A745A" w14:paraId="7DEEFF91" w14:textId="77777777" w:rsidTr="003F74DB">
        <w:trPr>
          <w:cantSplit/>
        </w:trPr>
        <w:tc>
          <w:tcPr>
            <w:tcW w:w="1207" w:type="pct"/>
            <w:tcBorders>
              <w:top w:val="single" w:sz="4" w:space="0" w:color="auto"/>
              <w:left w:val="single" w:sz="4" w:space="0" w:color="auto"/>
              <w:bottom w:val="single" w:sz="4" w:space="0" w:color="auto"/>
              <w:right w:val="single" w:sz="4" w:space="0" w:color="auto"/>
            </w:tcBorders>
            <w:hideMark/>
          </w:tcPr>
          <w:p w14:paraId="7C399495" w14:textId="77777777" w:rsidR="009A745A" w:rsidRDefault="009A745A" w:rsidP="009A745A">
            <w:pPr>
              <w:pStyle w:val="Tabletext0"/>
            </w:pPr>
            <w:r>
              <w:t>Retreatment</w:t>
            </w:r>
          </w:p>
        </w:tc>
        <w:tc>
          <w:tcPr>
            <w:tcW w:w="948" w:type="pct"/>
            <w:tcBorders>
              <w:top w:val="single" w:sz="4" w:space="0" w:color="auto"/>
              <w:left w:val="single" w:sz="4" w:space="0" w:color="auto"/>
              <w:bottom w:val="single" w:sz="4" w:space="0" w:color="auto"/>
              <w:right w:val="single" w:sz="4" w:space="0" w:color="auto"/>
            </w:tcBorders>
          </w:tcPr>
          <w:p w14:paraId="4806054D" w14:textId="014C34DE" w:rsidR="009A745A" w:rsidRDefault="009A745A" w:rsidP="009A745A">
            <w:pPr>
              <w:pStyle w:val="Tabletext0"/>
              <w:jc w:val="center"/>
            </w:pPr>
            <w:r w:rsidRPr="00B33EC7">
              <w:t>$2,058</w:t>
            </w:r>
          </w:p>
        </w:tc>
        <w:tc>
          <w:tcPr>
            <w:tcW w:w="949" w:type="pct"/>
            <w:tcBorders>
              <w:top w:val="single" w:sz="4" w:space="0" w:color="auto"/>
              <w:left w:val="single" w:sz="4" w:space="0" w:color="auto"/>
              <w:bottom w:val="single" w:sz="4" w:space="0" w:color="auto"/>
              <w:right w:val="single" w:sz="4" w:space="0" w:color="auto"/>
            </w:tcBorders>
          </w:tcPr>
          <w:p w14:paraId="2A06277A" w14:textId="02BBFFAD" w:rsidR="009A745A" w:rsidRDefault="009A745A" w:rsidP="009A745A">
            <w:pPr>
              <w:pStyle w:val="Tabletext0"/>
              <w:jc w:val="center"/>
            </w:pPr>
            <w:r w:rsidRPr="00B33EC7">
              <w:t>-</w:t>
            </w:r>
          </w:p>
        </w:tc>
        <w:tc>
          <w:tcPr>
            <w:tcW w:w="948" w:type="pct"/>
            <w:tcBorders>
              <w:top w:val="single" w:sz="4" w:space="0" w:color="auto"/>
              <w:left w:val="single" w:sz="4" w:space="0" w:color="auto"/>
              <w:bottom w:val="single" w:sz="4" w:space="0" w:color="auto"/>
              <w:right w:val="single" w:sz="4" w:space="0" w:color="auto"/>
            </w:tcBorders>
          </w:tcPr>
          <w:p w14:paraId="49253841" w14:textId="33BA076F" w:rsidR="009A745A" w:rsidRDefault="009A745A" w:rsidP="009A745A">
            <w:pPr>
              <w:pStyle w:val="Tabletext0"/>
              <w:jc w:val="center"/>
            </w:pPr>
            <w:r w:rsidRPr="00B33EC7">
              <w:t>-</w:t>
            </w:r>
          </w:p>
        </w:tc>
        <w:tc>
          <w:tcPr>
            <w:tcW w:w="948" w:type="pct"/>
            <w:tcBorders>
              <w:top w:val="single" w:sz="4" w:space="0" w:color="auto"/>
              <w:left w:val="single" w:sz="4" w:space="0" w:color="auto"/>
              <w:bottom w:val="single" w:sz="4" w:space="0" w:color="auto"/>
              <w:right w:val="single" w:sz="4" w:space="0" w:color="auto"/>
            </w:tcBorders>
          </w:tcPr>
          <w:p w14:paraId="33EBF3A6" w14:textId="352A52DF" w:rsidR="009A745A" w:rsidRDefault="009A745A" w:rsidP="009A745A">
            <w:pPr>
              <w:pStyle w:val="Tabletext0"/>
              <w:jc w:val="center"/>
            </w:pPr>
            <w:r w:rsidRPr="00B33EC7">
              <w:t>-</w:t>
            </w:r>
          </w:p>
        </w:tc>
      </w:tr>
      <w:tr w:rsidR="009A745A" w14:paraId="2B4128DB" w14:textId="77777777" w:rsidTr="009A745A">
        <w:trPr>
          <w:cantSplit/>
        </w:trPr>
        <w:tc>
          <w:tcPr>
            <w:tcW w:w="1207" w:type="pct"/>
            <w:tcBorders>
              <w:top w:val="single" w:sz="4" w:space="0" w:color="auto"/>
              <w:left w:val="single" w:sz="4" w:space="0" w:color="auto"/>
              <w:bottom w:val="single" w:sz="4" w:space="0" w:color="auto"/>
              <w:right w:val="single" w:sz="4" w:space="0" w:color="auto"/>
            </w:tcBorders>
            <w:hideMark/>
          </w:tcPr>
          <w:p w14:paraId="54CF5CD4" w14:textId="77777777" w:rsidR="009A745A" w:rsidRDefault="009A745A" w:rsidP="009A745A">
            <w:pPr>
              <w:pStyle w:val="Tabletext0"/>
            </w:pPr>
            <w:r>
              <w:t>Battery replacement</w:t>
            </w:r>
          </w:p>
        </w:tc>
        <w:tc>
          <w:tcPr>
            <w:tcW w:w="948" w:type="pct"/>
            <w:tcBorders>
              <w:top w:val="single" w:sz="4" w:space="0" w:color="auto"/>
              <w:left w:val="single" w:sz="4" w:space="0" w:color="auto"/>
              <w:bottom w:val="single" w:sz="4" w:space="0" w:color="auto"/>
              <w:right w:val="single" w:sz="4" w:space="0" w:color="auto"/>
            </w:tcBorders>
          </w:tcPr>
          <w:p w14:paraId="3229144C" w14:textId="77777777" w:rsidR="009A745A" w:rsidRDefault="009A745A" w:rsidP="009A745A">
            <w:pPr>
              <w:pStyle w:val="Tabletext0"/>
              <w:jc w:val="center"/>
            </w:pPr>
            <w:r w:rsidRPr="00B33EC7">
              <w:t>-</w:t>
            </w:r>
          </w:p>
        </w:tc>
        <w:tc>
          <w:tcPr>
            <w:tcW w:w="949" w:type="pct"/>
            <w:tcBorders>
              <w:top w:val="single" w:sz="4" w:space="0" w:color="auto"/>
              <w:left w:val="single" w:sz="4" w:space="0" w:color="auto"/>
              <w:bottom w:val="single" w:sz="4" w:space="0" w:color="auto"/>
              <w:right w:val="single" w:sz="4" w:space="0" w:color="auto"/>
            </w:tcBorders>
            <w:hideMark/>
          </w:tcPr>
          <w:p w14:paraId="6CFC74EF" w14:textId="77777777" w:rsidR="009A745A" w:rsidRDefault="009A745A" w:rsidP="009A745A">
            <w:pPr>
              <w:pStyle w:val="Tabletext0"/>
              <w:jc w:val="center"/>
            </w:pPr>
            <w:r w:rsidRPr="00B33EC7">
              <w:t>$12,007</w:t>
            </w:r>
          </w:p>
        </w:tc>
        <w:tc>
          <w:tcPr>
            <w:tcW w:w="948" w:type="pct"/>
            <w:tcBorders>
              <w:top w:val="single" w:sz="4" w:space="0" w:color="auto"/>
              <w:left w:val="single" w:sz="4" w:space="0" w:color="auto"/>
              <w:bottom w:val="single" w:sz="4" w:space="0" w:color="auto"/>
              <w:right w:val="single" w:sz="4" w:space="0" w:color="auto"/>
            </w:tcBorders>
            <w:hideMark/>
          </w:tcPr>
          <w:p w14:paraId="2C1EE00C" w14:textId="77777777" w:rsidR="009A745A" w:rsidRDefault="009A745A" w:rsidP="009A745A">
            <w:pPr>
              <w:pStyle w:val="Tabletext0"/>
              <w:jc w:val="center"/>
            </w:pPr>
            <w:r w:rsidRPr="00B33EC7">
              <w:t>$12,193</w:t>
            </w:r>
          </w:p>
        </w:tc>
        <w:tc>
          <w:tcPr>
            <w:tcW w:w="948" w:type="pct"/>
            <w:tcBorders>
              <w:top w:val="single" w:sz="4" w:space="0" w:color="auto"/>
              <w:left w:val="single" w:sz="4" w:space="0" w:color="auto"/>
              <w:bottom w:val="single" w:sz="4" w:space="0" w:color="auto"/>
              <w:right w:val="single" w:sz="4" w:space="0" w:color="auto"/>
            </w:tcBorders>
            <w:hideMark/>
          </w:tcPr>
          <w:p w14:paraId="37860380" w14:textId="77777777" w:rsidR="009A745A" w:rsidRDefault="009A745A" w:rsidP="009A745A">
            <w:pPr>
              <w:pStyle w:val="Tabletext0"/>
              <w:jc w:val="center"/>
            </w:pPr>
            <w:r w:rsidRPr="00B33EC7">
              <w:t>$11,997</w:t>
            </w:r>
          </w:p>
        </w:tc>
      </w:tr>
      <w:tr w:rsidR="009A745A" w14:paraId="7A241B5B" w14:textId="77777777" w:rsidTr="009A745A">
        <w:trPr>
          <w:cantSplit/>
        </w:trPr>
        <w:tc>
          <w:tcPr>
            <w:tcW w:w="1207" w:type="pct"/>
            <w:tcBorders>
              <w:top w:val="single" w:sz="4" w:space="0" w:color="auto"/>
              <w:left w:val="single" w:sz="4" w:space="0" w:color="auto"/>
              <w:bottom w:val="single" w:sz="4" w:space="0" w:color="auto"/>
              <w:right w:val="single" w:sz="4" w:space="0" w:color="auto"/>
            </w:tcBorders>
            <w:hideMark/>
          </w:tcPr>
          <w:p w14:paraId="7DC92DD9" w14:textId="77777777" w:rsidR="009A745A" w:rsidRDefault="009A745A" w:rsidP="009A745A">
            <w:pPr>
              <w:pStyle w:val="Tabletext0"/>
            </w:pPr>
            <w:r>
              <w:t>Device programming</w:t>
            </w:r>
          </w:p>
        </w:tc>
        <w:tc>
          <w:tcPr>
            <w:tcW w:w="948" w:type="pct"/>
            <w:tcBorders>
              <w:top w:val="single" w:sz="4" w:space="0" w:color="auto"/>
              <w:left w:val="single" w:sz="4" w:space="0" w:color="auto"/>
              <w:bottom w:val="single" w:sz="4" w:space="0" w:color="auto"/>
              <w:right w:val="single" w:sz="4" w:space="0" w:color="auto"/>
            </w:tcBorders>
          </w:tcPr>
          <w:p w14:paraId="29F0EB4C" w14:textId="77777777" w:rsidR="009A745A" w:rsidRDefault="009A745A" w:rsidP="009A745A">
            <w:pPr>
              <w:pStyle w:val="Tabletext0"/>
              <w:jc w:val="center"/>
            </w:pPr>
            <w:r w:rsidRPr="00B33EC7">
              <w:t>-</w:t>
            </w:r>
          </w:p>
        </w:tc>
        <w:tc>
          <w:tcPr>
            <w:tcW w:w="949" w:type="pct"/>
            <w:tcBorders>
              <w:top w:val="single" w:sz="4" w:space="0" w:color="auto"/>
              <w:left w:val="single" w:sz="4" w:space="0" w:color="auto"/>
              <w:bottom w:val="single" w:sz="4" w:space="0" w:color="auto"/>
              <w:right w:val="single" w:sz="4" w:space="0" w:color="auto"/>
            </w:tcBorders>
            <w:hideMark/>
          </w:tcPr>
          <w:p w14:paraId="1A7F9A0E" w14:textId="77777777" w:rsidR="009A745A" w:rsidRDefault="009A745A" w:rsidP="009A745A">
            <w:pPr>
              <w:pStyle w:val="Tabletext0"/>
              <w:jc w:val="center"/>
            </w:pPr>
            <w:r w:rsidRPr="00B33EC7">
              <w:t>$2,295</w:t>
            </w:r>
          </w:p>
        </w:tc>
        <w:tc>
          <w:tcPr>
            <w:tcW w:w="948" w:type="pct"/>
            <w:tcBorders>
              <w:top w:val="single" w:sz="4" w:space="0" w:color="auto"/>
              <w:left w:val="single" w:sz="4" w:space="0" w:color="auto"/>
              <w:bottom w:val="single" w:sz="4" w:space="0" w:color="auto"/>
              <w:right w:val="single" w:sz="4" w:space="0" w:color="auto"/>
            </w:tcBorders>
            <w:hideMark/>
          </w:tcPr>
          <w:p w14:paraId="2C45BD97" w14:textId="77777777" w:rsidR="009A745A" w:rsidRDefault="009A745A" w:rsidP="009A745A">
            <w:pPr>
              <w:pStyle w:val="Tabletext0"/>
              <w:jc w:val="center"/>
            </w:pPr>
            <w:r w:rsidRPr="00B33EC7">
              <w:t>$2,161</w:t>
            </w:r>
          </w:p>
        </w:tc>
        <w:tc>
          <w:tcPr>
            <w:tcW w:w="948" w:type="pct"/>
            <w:tcBorders>
              <w:top w:val="single" w:sz="4" w:space="0" w:color="auto"/>
              <w:left w:val="single" w:sz="4" w:space="0" w:color="auto"/>
              <w:bottom w:val="single" w:sz="4" w:space="0" w:color="auto"/>
              <w:right w:val="single" w:sz="4" w:space="0" w:color="auto"/>
            </w:tcBorders>
            <w:hideMark/>
          </w:tcPr>
          <w:p w14:paraId="0A870DAB" w14:textId="77777777" w:rsidR="009A745A" w:rsidRDefault="009A745A" w:rsidP="009A745A">
            <w:pPr>
              <w:pStyle w:val="Tabletext0"/>
              <w:jc w:val="center"/>
            </w:pPr>
            <w:r w:rsidRPr="00B33EC7">
              <w:t>$2,303</w:t>
            </w:r>
          </w:p>
        </w:tc>
      </w:tr>
      <w:tr w:rsidR="009A745A" w14:paraId="18AD28DB" w14:textId="77777777" w:rsidTr="009A745A">
        <w:trPr>
          <w:cantSplit/>
        </w:trPr>
        <w:tc>
          <w:tcPr>
            <w:tcW w:w="1207" w:type="pct"/>
            <w:tcBorders>
              <w:top w:val="single" w:sz="4" w:space="0" w:color="auto"/>
              <w:left w:val="single" w:sz="4" w:space="0" w:color="auto"/>
              <w:bottom w:val="single" w:sz="4" w:space="0" w:color="auto"/>
              <w:right w:val="single" w:sz="4" w:space="0" w:color="auto"/>
            </w:tcBorders>
            <w:hideMark/>
          </w:tcPr>
          <w:p w14:paraId="563A61C7" w14:textId="77777777" w:rsidR="009A745A" w:rsidRDefault="009A745A" w:rsidP="009A745A">
            <w:pPr>
              <w:pStyle w:val="Tabletext0"/>
            </w:pPr>
            <w:r>
              <w:t>Total cost</w:t>
            </w:r>
          </w:p>
        </w:tc>
        <w:tc>
          <w:tcPr>
            <w:tcW w:w="948" w:type="pct"/>
            <w:tcBorders>
              <w:top w:val="single" w:sz="4" w:space="0" w:color="auto"/>
              <w:left w:val="single" w:sz="4" w:space="0" w:color="auto"/>
              <w:bottom w:val="single" w:sz="4" w:space="0" w:color="auto"/>
              <w:right w:val="single" w:sz="4" w:space="0" w:color="auto"/>
            </w:tcBorders>
            <w:hideMark/>
          </w:tcPr>
          <w:p w14:paraId="18C5E28B" w14:textId="77777777" w:rsidR="009A745A" w:rsidRDefault="009A745A" w:rsidP="009A745A">
            <w:pPr>
              <w:pStyle w:val="Tabletext0"/>
              <w:jc w:val="center"/>
            </w:pPr>
            <w:r w:rsidRPr="00B33EC7">
              <w:t>$45,201</w:t>
            </w:r>
          </w:p>
        </w:tc>
        <w:tc>
          <w:tcPr>
            <w:tcW w:w="949" w:type="pct"/>
            <w:tcBorders>
              <w:top w:val="single" w:sz="4" w:space="0" w:color="auto"/>
              <w:left w:val="single" w:sz="4" w:space="0" w:color="auto"/>
              <w:bottom w:val="single" w:sz="4" w:space="0" w:color="auto"/>
              <w:right w:val="single" w:sz="4" w:space="0" w:color="auto"/>
            </w:tcBorders>
            <w:hideMark/>
          </w:tcPr>
          <w:p w14:paraId="7A909A67" w14:textId="77777777" w:rsidR="009A745A" w:rsidRDefault="009A745A" w:rsidP="009A745A">
            <w:pPr>
              <w:pStyle w:val="Tabletext0"/>
              <w:jc w:val="center"/>
            </w:pPr>
            <w:r w:rsidRPr="00B33EC7">
              <w:t>$73,330</w:t>
            </w:r>
          </w:p>
        </w:tc>
        <w:tc>
          <w:tcPr>
            <w:tcW w:w="948" w:type="pct"/>
            <w:tcBorders>
              <w:top w:val="single" w:sz="4" w:space="0" w:color="auto"/>
              <w:left w:val="single" w:sz="4" w:space="0" w:color="auto"/>
              <w:bottom w:val="single" w:sz="4" w:space="0" w:color="auto"/>
              <w:right w:val="single" w:sz="4" w:space="0" w:color="auto"/>
            </w:tcBorders>
            <w:hideMark/>
          </w:tcPr>
          <w:p w14:paraId="18804C32" w14:textId="77777777" w:rsidR="009A745A" w:rsidRDefault="009A745A" w:rsidP="009A745A">
            <w:pPr>
              <w:pStyle w:val="Tabletext0"/>
              <w:jc w:val="center"/>
            </w:pPr>
            <w:r w:rsidRPr="00B33EC7">
              <w:t>$56,774</w:t>
            </w:r>
          </w:p>
        </w:tc>
        <w:tc>
          <w:tcPr>
            <w:tcW w:w="948" w:type="pct"/>
            <w:tcBorders>
              <w:top w:val="single" w:sz="4" w:space="0" w:color="auto"/>
              <w:left w:val="single" w:sz="4" w:space="0" w:color="auto"/>
              <w:bottom w:val="single" w:sz="4" w:space="0" w:color="auto"/>
              <w:right w:val="single" w:sz="4" w:space="0" w:color="auto"/>
            </w:tcBorders>
            <w:hideMark/>
          </w:tcPr>
          <w:p w14:paraId="0CF7C780" w14:textId="77777777" w:rsidR="009A745A" w:rsidRDefault="009A745A" w:rsidP="009A745A">
            <w:pPr>
              <w:pStyle w:val="Tabletext0"/>
              <w:jc w:val="center"/>
            </w:pPr>
            <w:r w:rsidRPr="00B33EC7">
              <w:t>$74,284</w:t>
            </w:r>
          </w:p>
        </w:tc>
      </w:tr>
      <w:tr w:rsidR="009A745A" w:rsidRPr="00B0301A" w14:paraId="6DB44429" w14:textId="77777777" w:rsidTr="009A745A">
        <w:trPr>
          <w:cantSplit/>
        </w:trPr>
        <w:tc>
          <w:tcPr>
            <w:tcW w:w="1207" w:type="pct"/>
            <w:tcBorders>
              <w:top w:val="single" w:sz="4" w:space="0" w:color="auto"/>
              <w:left w:val="single" w:sz="4" w:space="0" w:color="auto"/>
              <w:bottom w:val="single" w:sz="4" w:space="0" w:color="auto"/>
              <w:right w:val="single" w:sz="4" w:space="0" w:color="auto"/>
            </w:tcBorders>
            <w:hideMark/>
          </w:tcPr>
          <w:p w14:paraId="46052B9B" w14:textId="77777777" w:rsidR="009A745A" w:rsidRDefault="009A745A" w:rsidP="009A745A">
            <w:pPr>
              <w:pStyle w:val="Tabletext0"/>
              <w:rPr>
                <w:b/>
                <w:bCs/>
              </w:rPr>
            </w:pPr>
            <w:r>
              <w:rPr>
                <w:b/>
                <w:bCs/>
              </w:rPr>
              <w:t>Incremental cost</w:t>
            </w:r>
            <w:r>
              <w:rPr>
                <w:b/>
                <w:bCs/>
              </w:rPr>
              <w:br/>
              <w:t xml:space="preserve">(relative to </w:t>
            </w:r>
            <w:proofErr w:type="spellStart"/>
            <w:r>
              <w:rPr>
                <w:b/>
                <w:bCs/>
              </w:rPr>
              <w:t>MRgFUS</w:t>
            </w:r>
            <w:proofErr w:type="spellEnd"/>
            <w:r>
              <w:rPr>
                <w:b/>
                <w:bCs/>
              </w:rPr>
              <w:t>)</w:t>
            </w:r>
          </w:p>
        </w:tc>
        <w:tc>
          <w:tcPr>
            <w:tcW w:w="948" w:type="pct"/>
            <w:tcBorders>
              <w:top w:val="single" w:sz="4" w:space="0" w:color="auto"/>
              <w:left w:val="single" w:sz="4" w:space="0" w:color="auto"/>
              <w:bottom w:val="single" w:sz="4" w:space="0" w:color="auto"/>
              <w:right w:val="single" w:sz="4" w:space="0" w:color="auto"/>
            </w:tcBorders>
            <w:hideMark/>
          </w:tcPr>
          <w:p w14:paraId="4F66AF2D" w14:textId="77777777" w:rsidR="009A745A" w:rsidRPr="00B0301A" w:rsidRDefault="009A745A" w:rsidP="009A745A">
            <w:pPr>
              <w:pStyle w:val="Tabletext0"/>
              <w:jc w:val="center"/>
              <w:rPr>
                <w:b/>
                <w:bCs/>
              </w:rPr>
            </w:pPr>
            <w:r w:rsidRPr="00B0301A">
              <w:rPr>
                <w:b/>
                <w:bCs/>
              </w:rPr>
              <w:t>-</w:t>
            </w:r>
          </w:p>
        </w:tc>
        <w:tc>
          <w:tcPr>
            <w:tcW w:w="949" w:type="pct"/>
            <w:tcBorders>
              <w:top w:val="single" w:sz="4" w:space="0" w:color="auto"/>
              <w:left w:val="single" w:sz="4" w:space="0" w:color="auto"/>
              <w:bottom w:val="single" w:sz="4" w:space="0" w:color="auto"/>
              <w:right w:val="single" w:sz="4" w:space="0" w:color="auto"/>
            </w:tcBorders>
            <w:hideMark/>
          </w:tcPr>
          <w:p w14:paraId="315B3155" w14:textId="77777777" w:rsidR="009A745A" w:rsidRPr="00B0301A" w:rsidRDefault="009A745A" w:rsidP="009A745A">
            <w:pPr>
              <w:pStyle w:val="Tabletext0"/>
              <w:jc w:val="center"/>
              <w:rPr>
                <w:b/>
                <w:bCs/>
              </w:rPr>
            </w:pPr>
            <w:r w:rsidRPr="00B0301A">
              <w:rPr>
                <w:b/>
                <w:bCs/>
              </w:rPr>
              <w:t>-$28,130</w:t>
            </w:r>
          </w:p>
        </w:tc>
        <w:tc>
          <w:tcPr>
            <w:tcW w:w="948" w:type="pct"/>
            <w:tcBorders>
              <w:top w:val="single" w:sz="4" w:space="0" w:color="auto"/>
              <w:left w:val="single" w:sz="4" w:space="0" w:color="auto"/>
              <w:bottom w:val="single" w:sz="4" w:space="0" w:color="auto"/>
              <w:right w:val="single" w:sz="4" w:space="0" w:color="auto"/>
            </w:tcBorders>
            <w:hideMark/>
          </w:tcPr>
          <w:p w14:paraId="12805782" w14:textId="77777777" w:rsidR="009A745A" w:rsidRPr="00B0301A" w:rsidRDefault="009A745A" w:rsidP="009A745A">
            <w:pPr>
              <w:pStyle w:val="Tabletext0"/>
              <w:jc w:val="center"/>
              <w:rPr>
                <w:b/>
                <w:bCs/>
              </w:rPr>
            </w:pPr>
            <w:r w:rsidRPr="00B0301A">
              <w:rPr>
                <w:b/>
                <w:bCs/>
              </w:rPr>
              <w:t>-$11,574</w:t>
            </w:r>
          </w:p>
        </w:tc>
        <w:tc>
          <w:tcPr>
            <w:tcW w:w="948" w:type="pct"/>
            <w:tcBorders>
              <w:top w:val="single" w:sz="4" w:space="0" w:color="auto"/>
              <w:left w:val="single" w:sz="4" w:space="0" w:color="auto"/>
              <w:bottom w:val="single" w:sz="4" w:space="0" w:color="auto"/>
              <w:right w:val="single" w:sz="4" w:space="0" w:color="auto"/>
            </w:tcBorders>
            <w:hideMark/>
          </w:tcPr>
          <w:p w14:paraId="60A9D098" w14:textId="77777777" w:rsidR="009A745A" w:rsidRPr="00B0301A" w:rsidRDefault="009A745A" w:rsidP="009A745A">
            <w:pPr>
              <w:pStyle w:val="Tabletext0"/>
              <w:jc w:val="center"/>
              <w:rPr>
                <w:b/>
                <w:bCs/>
              </w:rPr>
            </w:pPr>
            <w:r w:rsidRPr="00B0301A">
              <w:rPr>
                <w:b/>
                <w:bCs/>
              </w:rPr>
              <w:t>-$29,083</w:t>
            </w:r>
          </w:p>
        </w:tc>
      </w:tr>
    </w:tbl>
    <w:p w14:paraId="37A7DD25" w14:textId="77777777" w:rsidR="009A745A" w:rsidRDefault="009A745A" w:rsidP="009A745A">
      <w:pPr>
        <w:pStyle w:val="TableNote"/>
      </w:pPr>
      <w:r>
        <w:t>DBS, deep brain stimulation; MRgFUS, magnetic resonance-guided focused ultrasound</w:t>
      </w:r>
      <w:r>
        <w:br/>
        <w:t>Source: Table 12 of the Commentary</w:t>
      </w:r>
    </w:p>
    <w:p w14:paraId="3DDB9ED8" w14:textId="77777777" w:rsidR="009A745A" w:rsidRPr="0055190E" w:rsidRDefault="009A745A" w:rsidP="009A745A">
      <w:pPr>
        <w:jc w:val="both"/>
        <w:rPr>
          <w:rFonts w:eastAsia="Calibri" w:cs="Calibri"/>
        </w:rPr>
      </w:pPr>
      <w:r>
        <w:rPr>
          <w:rFonts w:eastAsia="Calibri" w:cs="Calibri"/>
        </w:rPr>
        <w:lastRenderedPageBreak/>
        <w:t xml:space="preserve">The model is most sensitive to DBS length of stay (shorter period favours DBS), time horizon (shorter period favours DBS) and </w:t>
      </w:r>
      <w:proofErr w:type="spellStart"/>
      <w:r>
        <w:rPr>
          <w:rFonts w:eastAsia="Calibri" w:cs="Calibri"/>
        </w:rPr>
        <w:t>MRgFUS</w:t>
      </w:r>
      <w:proofErr w:type="spellEnd"/>
      <w:r>
        <w:rPr>
          <w:rFonts w:eastAsia="Calibri" w:cs="Calibri"/>
        </w:rPr>
        <w:t xml:space="preserve"> utilisation (less utilisation favours DBS). The commentary considered that the </w:t>
      </w:r>
      <w:r w:rsidRPr="0055190E">
        <w:rPr>
          <w:rFonts w:eastAsia="Calibri" w:cs="Calibri"/>
        </w:rPr>
        <w:t xml:space="preserve">sensitivity analysis provided in the ADAR provides adequate justification and certainty that the total cost for </w:t>
      </w:r>
      <w:proofErr w:type="spellStart"/>
      <w:r w:rsidRPr="0055190E">
        <w:rPr>
          <w:rFonts w:eastAsia="Calibri" w:cs="Calibri"/>
        </w:rPr>
        <w:t>MRgFUS</w:t>
      </w:r>
      <w:proofErr w:type="spellEnd"/>
      <w:r w:rsidRPr="0055190E">
        <w:rPr>
          <w:rFonts w:eastAsia="Calibri" w:cs="Calibri"/>
        </w:rPr>
        <w:t xml:space="preserve"> would be less than DBS.</w:t>
      </w:r>
    </w:p>
    <w:p w14:paraId="2D69AC78" w14:textId="77777777" w:rsidR="00BC1364" w:rsidRPr="00F715D1" w:rsidRDefault="00BC1364" w:rsidP="00F715D1">
      <w:pPr>
        <w:pStyle w:val="Heading1"/>
      </w:pPr>
      <w:r w:rsidRPr="00F715D1">
        <w:t>Financial/budgetary impacts</w:t>
      </w:r>
    </w:p>
    <w:p w14:paraId="4A0A55EE" w14:textId="450EF81B" w:rsidR="009A745A" w:rsidRDefault="009A745A" w:rsidP="009A745A">
      <w:r>
        <w:t xml:space="preserve">The ADAR used a mixed-methods approach using multiple sources of data was to estimate MBS-funded </w:t>
      </w:r>
      <w:proofErr w:type="spellStart"/>
      <w:r>
        <w:t>MRgFUS</w:t>
      </w:r>
      <w:proofErr w:type="spellEnd"/>
      <w:r>
        <w:t xml:space="preserve"> patients.  This reflected MBS data limitations and the expected sources of patients from different hospital settings.  </w:t>
      </w:r>
      <w:r w:rsidRPr="006C66EF">
        <w:t xml:space="preserve">The financial implications to the MBS resulting from the proposed listing of </w:t>
      </w:r>
      <w:proofErr w:type="spellStart"/>
      <w:r>
        <w:t>MRgFUS</w:t>
      </w:r>
      <w:proofErr w:type="spellEnd"/>
      <w:r w:rsidRPr="006C66EF">
        <w:t xml:space="preserve"> are summarised in </w:t>
      </w:r>
      <w:r w:rsidRPr="006C66EF">
        <w:rPr>
          <w:highlight w:val="cyan"/>
        </w:rPr>
        <w:fldChar w:fldCharType="begin"/>
      </w:r>
      <w:r w:rsidRPr="006C66EF">
        <w:instrText xml:space="preserve"> REF _Ref404372077 \h </w:instrText>
      </w:r>
      <w:r>
        <w:rPr>
          <w:highlight w:val="cyan"/>
        </w:rPr>
        <w:instrText xml:space="preserve"> \* MERGEFORMAT </w:instrText>
      </w:r>
      <w:r w:rsidRPr="006C66EF">
        <w:rPr>
          <w:highlight w:val="cyan"/>
        </w:rPr>
      </w:r>
      <w:r w:rsidRPr="006C66EF">
        <w:rPr>
          <w:highlight w:val="cyan"/>
        </w:rPr>
        <w:fldChar w:fldCharType="separate"/>
      </w:r>
      <w:r>
        <w:t>Table</w:t>
      </w:r>
      <w:r w:rsidRPr="006C66EF">
        <w:rPr>
          <w:highlight w:val="cyan"/>
        </w:rPr>
        <w:fldChar w:fldCharType="end"/>
      </w:r>
      <w:r w:rsidRPr="006C66EF">
        <w:t>.</w:t>
      </w:r>
      <w:r>
        <w:t xml:space="preserve"> The commentary made several minor revisions (removal of re-treatment [i.e. primary procedures only included], changes to MBS schedule fees and reversion of proposed fee for one item reverted to amount agreed in the Ratified PICO) to the ADAR analysis had a moderate effect, decreasing the estimated 5-year MBS net financial impact from $1.45 million to $1.23</w:t>
      </w:r>
      <w:r w:rsidR="00007EC5">
        <w:t> </w:t>
      </w:r>
      <w:r>
        <w:t>million.</w:t>
      </w:r>
    </w:p>
    <w:p w14:paraId="5B5F4177" w14:textId="0D3D59CF" w:rsidR="009A745A" w:rsidRDefault="009A745A" w:rsidP="0039787B">
      <w:pPr>
        <w:pStyle w:val="Caption"/>
        <w:spacing w:before="240"/>
      </w:pPr>
      <w:bookmarkStart w:id="40" w:name="_Ref404372077"/>
      <w:bookmarkStart w:id="41" w:name="_Toc393197779"/>
      <w:bookmarkStart w:id="42" w:name="_Toc393378192"/>
      <w:bookmarkStart w:id="43" w:name="_Toc399251128"/>
      <w:bookmarkStart w:id="44" w:name="_Toc60942835"/>
      <w:r>
        <w:t>Table</w:t>
      </w:r>
      <w:bookmarkEnd w:id="40"/>
      <w:r>
        <w:t xml:space="preserve"> 13</w:t>
      </w:r>
      <w:r>
        <w:tab/>
      </w:r>
      <w:r w:rsidRPr="00183E4D">
        <w:t xml:space="preserve">Total costs to the MBS associated with </w:t>
      </w:r>
      <w:bookmarkEnd w:id="41"/>
      <w:bookmarkEnd w:id="42"/>
      <w:bookmarkEnd w:id="43"/>
      <w:proofErr w:type="spellStart"/>
      <w:r>
        <w:t>MRgFUS</w:t>
      </w:r>
      <w:bookmarkEnd w:id="4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601"/>
        <w:gridCol w:w="1269"/>
        <w:gridCol w:w="1275"/>
        <w:gridCol w:w="1271"/>
        <w:gridCol w:w="1273"/>
        <w:gridCol w:w="1327"/>
      </w:tblGrid>
      <w:tr w:rsidR="009A745A" w14:paraId="0A38978E" w14:textId="77777777" w:rsidTr="009A745A">
        <w:trPr>
          <w:trHeight w:val="300"/>
          <w:tblHeader/>
        </w:trPr>
        <w:tc>
          <w:tcPr>
            <w:tcW w:w="1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F56EE" w14:textId="77777777" w:rsidR="009A745A" w:rsidRDefault="009A745A" w:rsidP="009A745A">
            <w:pPr>
              <w:pStyle w:val="Tabletext0"/>
              <w:rPr>
                <w:b/>
                <w:bCs/>
              </w:rPr>
            </w:pP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6ED76" w14:textId="77777777" w:rsidR="009A745A" w:rsidRDefault="009A745A" w:rsidP="009A745A">
            <w:pPr>
              <w:pStyle w:val="Tabletext0"/>
              <w:rPr>
                <w:b/>
                <w:bCs/>
              </w:rPr>
            </w:pPr>
            <w:r>
              <w:rPr>
                <w:b/>
                <w:bCs/>
              </w:rPr>
              <w:t>Year 1</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08B39" w14:textId="77777777" w:rsidR="009A745A" w:rsidRDefault="009A745A" w:rsidP="009A745A">
            <w:pPr>
              <w:pStyle w:val="Tabletext0"/>
              <w:rPr>
                <w:b/>
                <w:bCs/>
              </w:rPr>
            </w:pPr>
            <w:r>
              <w:rPr>
                <w:b/>
                <w:bCs/>
              </w:rPr>
              <w:t>Year 2</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A1539" w14:textId="77777777" w:rsidR="009A745A" w:rsidRDefault="009A745A" w:rsidP="009A745A">
            <w:pPr>
              <w:pStyle w:val="Tabletext0"/>
              <w:rPr>
                <w:b/>
                <w:bCs/>
              </w:rPr>
            </w:pPr>
            <w:r>
              <w:rPr>
                <w:b/>
                <w:bCs/>
              </w:rPr>
              <w:t>Year 3</w:t>
            </w:r>
          </w:p>
        </w:tc>
        <w:tc>
          <w:tcPr>
            <w:tcW w:w="7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D0DF1" w14:textId="77777777" w:rsidR="009A745A" w:rsidRDefault="009A745A" w:rsidP="009A745A">
            <w:pPr>
              <w:pStyle w:val="Tabletext0"/>
              <w:rPr>
                <w:b/>
                <w:bCs/>
              </w:rPr>
            </w:pPr>
            <w:r>
              <w:rPr>
                <w:b/>
                <w:bCs/>
              </w:rPr>
              <w:t>Year 4</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C8F0C" w14:textId="77777777" w:rsidR="009A745A" w:rsidRDefault="009A745A" w:rsidP="009A745A">
            <w:pPr>
              <w:pStyle w:val="Tabletext0"/>
              <w:rPr>
                <w:b/>
                <w:bCs/>
              </w:rPr>
            </w:pPr>
            <w:r>
              <w:rPr>
                <w:b/>
                <w:bCs/>
              </w:rPr>
              <w:t>Year 5</w:t>
            </w:r>
          </w:p>
        </w:tc>
      </w:tr>
      <w:tr w:rsidR="009A745A" w14:paraId="7F9B3FAF"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381ACE0C" w14:textId="77777777" w:rsidR="009A745A" w:rsidRPr="007C2735" w:rsidRDefault="009A745A" w:rsidP="009A745A">
            <w:pPr>
              <w:pStyle w:val="Tabletext0"/>
              <w:rPr>
                <w:vertAlign w:val="superscript"/>
              </w:rPr>
            </w:pPr>
            <w:proofErr w:type="spellStart"/>
            <w:r>
              <w:t>MRgFUS</w:t>
            </w:r>
            <w:proofErr w:type="spellEnd"/>
            <w:r>
              <w:t xml:space="preserve"> </w:t>
            </w:r>
            <w:proofErr w:type="spellStart"/>
            <w:r>
              <w:t>procedures</w:t>
            </w:r>
            <w:r>
              <w:rPr>
                <w:vertAlign w:val="superscript"/>
              </w:rPr>
              <w:t>a</w:t>
            </w:r>
            <w:proofErr w:type="spellEnd"/>
          </w:p>
        </w:tc>
        <w:tc>
          <w:tcPr>
            <w:tcW w:w="704" w:type="pct"/>
            <w:tcBorders>
              <w:top w:val="single" w:sz="4" w:space="0" w:color="auto"/>
              <w:left w:val="single" w:sz="4" w:space="0" w:color="auto"/>
              <w:bottom w:val="single" w:sz="4" w:space="0" w:color="auto"/>
              <w:right w:val="single" w:sz="4" w:space="0" w:color="auto"/>
            </w:tcBorders>
            <w:hideMark/>
          </w:tcPr>
          <w:p w14:paraId="775F6352" w14:textId="77777777" w:rsidR="009A745A" w:rsidRDefault="009A745A" w:rsidP="009A745A">
            <w:pPr>
              <w:pStyle w:val="Tabletext0"/>
            </w:pPr>
            <w:r w:rsidRPr="00813F5A">
              <w:t>58</w:t>
            </w:r>
          </w:p>
        </w:tc>
        <w:tc>
          <w:tcPr>
            <w:tcW w:w="707" w:type="pct"/>
            <w:tcBorders>
              <w:top w:val="single" w:sz="4" w:space="0" w:color="auto"/>
              <w:left w:val="single" w:sz="4" w:space="0" w:color="auto"/>
              <w:bottom w:val="single" w:sz="4" w:space="0" w:color="auto"/>
              <w:right w:val="single" w:sz="4" w:space="0" w:color="auto"/>
            </w:tcBorders>
            <w:hideMark/>
          </w:tcPr>
          <w:p w14:paraId="21722D23" w14:textId="77777777" w:rsidR="009A745A" w:rsidRDefault="009A745A" w:rsidP="009A745A">
            <w:pPr>
              <w:pStyle w:val="Tabletext0"/>
            </w:pPr>
            <w:r w:rsidRPr="00813F5A">
              <w:t>59</w:t>
            </w:r>
          </w:p>
        </w:tc>
        <w:tc>
          <w:tcPr>
            <w:tcW w:w="705" w:type="pct"/>
            <w:tcBorders>
              <w:top w:val="single" w:sz="4" w:space="0" w:color="auto"/>
              <w:left w:val="single" w:sz="4" w:space="0" w:color="auto"/>
              <w:bottom w:val="single" w:sz="4" w:space="0" w:color="auto"/>
              <w:right w:val="single" w:sz="4" w:space="0" w:color="auto"/>
            </w:tcBorders>
            <w:hideMark/>
          </w:tcPr>
          <w:p w14:paraId="343A645E" w14:textId="77777777" w:rsidR="009A745A" w:rsidRDefault="009A745A" w:rsidP="009A745A">
            <w:pPr>
              <w:pStyle w:val="Tabletext0"/>
            </w:pPr>
            <w:r w:rsidRPr="00813F5A">
              <w:t>60</w:t>
            </w:r>
          </w:p>
        </w:tc>
        <w:tc>
          <w:tcPr>
            <w:tcW w:w="706" w:type="pct"/>
            <w:tcBorders>
              <w:top w:val="single" w:sz="4" w:space="0" w:color="auto"/>
              <w:left w:val="single" w:sz="4" w:space="0" w:color="auto"/>
              <w:bottom w:val="single" w:sz="4" w:space="0" w:color="auto"/>
              <w:right w:val="single" w:sz="4" w:space="0" w:color="auto"/>
            </w:tcBorders>
            <w:hideMark/>
          </w:tcPr>
          <w:p w14:paraId="3F293D05" w14:textId="77777777" w:rsidR="009A745A" w:rsidRDefault="009A745A" w:rsidP="009A745A">
            <w:pPr>
              <w:pStyle w:val="Tabletext0"/>
            </w:pPr>
            <w:r w:rsidRPr="00813F5A">
              <w:t>60</w:t>
            </w:r>
          </w:p>
        </w:tc>
        <w:tc>
          <w:tcPr>
            <w:tcW w:w="736" w:type="pct"/>
            <w:tcBorders>
              <w:top w:val="single" w:sz="4" w:space="0" w:color="auto"/>
              <w:left w:val="single" w:sz="4" w:space="0" w:color="auto"/>
              <w:bottom w:val="single" w:sz="4" w:space="0" w:color="auto"/>
              <w:right w:val="single" w:sz="4" w:space="0" w:color="auto"/>
            </w:tcBorders>
            <w:hideMark/>
          </w:tcPr>
          <w:p w14:paraId="2C16BE9C" w14:textId="77777777" w:rsidR="009A745A" w:rsidRDefault="009A745A" w:rsidP="009A745A">
            <w:pPr>
              <w:pStyle w:val="Tabletext0"/>
            </w:pPr>
            <w:r w:rsidRPr="00813F5A">
              <w:t>60</w:t>
            </w:r>
          </w:p>
        </w:tc>
      </w:tr>
      <w:tr w:rsidR="009A745A" w14:paraId="7A52E826"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01E714B0" w14:textId="77777777" w:rsidR="009A745A" w:rsidRDefault="009A745A" w:rsidP="009A745A">
            <w:pPr>
              <w:pStyle w:val="Tabletext0"/>
            </w:pPr>
            <w:r>
              <w:t>Substituted DBS procedures</w:t>
            </w:r>
          </w:p>
        </w:tc>
        <w:tc>
          <w:tcPr>
            <w:tcW w:w="704" w:type="pct"/>
            <w:tcBorders>
              <w:top w:val="single" w:sz="4" w:space="0" w:color="auto"/>
              <w:left w:val="single" w:sz="4" w:space="0" w:color="auto"/>
              <w:bottom w:val="single" w:sz="4" w:space="0" w:color="auto"/>
              <w:right w:val="single" w:sz="4" w:space="0" w:color="auto"/>
            </w:tcBorders>
            <w:hideMark/>
          </w:tcPr>
          <w:p w14:paraId="19115E02" w14:textId="77777777" w:rsidR="009A745A" w:rsidRDefault="009A745A" w:rsidP="009A745A">
            <w:pPr>
              <w:pStyle w:val="Tabletext0"/>
            </w:pPr>
            <w:r>
              <w:t>12</w:t>
            </w:r>
          </w:p>
        </w:tc>
        <w:tc>
          <w:tcPr>
            <w:tcW w:w="707" w:type="pct"/>
            <w:tcBorders>
              <w:top w:val="single" w:sz="4" w:space="0" w:color="auto"/>
              <w:left w:val="single" w:sz="4" w:space="0" w:color="auto"/>
              <w:bottom w:val="single" w:sz="4" w:space="0" w:color="auto"/>
              <w:right w:val="single" w:sz="4" w:space="0" w:color="auto"/>
            </w:tcBorders>
            <w:hideMark/>
          </w:tcPr>
          <w:p w14:paraId="4A5043CD" w14:textId="77777777" w:rsidR="009A745A" w:rsidRDefault="009A745A" w:rsidP="009A745A">
            <w:pPr>
              <w:pStyle w:val="Tabletext0"/>
            </w:pPr>
            <w:r>
              <w:t>12</w:t>
            </w:r>
          </w:p>
        </w:tc>
        <w:tc>
          <w:tcPr>
            <w:tcW w:w="705" w:type="pct"/>
            <w:tcBorders>
              <w:top w:val="single" w:sz="4" w:space="0" w:color="auto"/>
              <w:left w:val="single" w:sz="4" w:space="0" w:color="auto"/>
              <w:bottom w:val="single" w:sz="4" w:space="0" w:color="auto"/>
              <w:right w:val="single" w:sz="4" w:space="0" w:color="auto"/>
            </w:tcBorders>
            <w:hideMark/>
          </w:tcPr>
          <w:p w14:paraId="0445EE7C" w14:textId="77777777" w:rsidR="009A745A" w:rsidRDefault="009A745A" w:rsidP="009A745A">
            <w:pPr>
              <w:pStyle w:val="Tabletext0"/>
            </w:pPr>
            <w:r>
              <w:t>12</w:t>
            </w:r>
          </w:p>
        </w:tc>
        <w:tc>
          <w:tcPr>
            <w:tcW w:w="706" w:type="pct"/>
            <w:tcBorders>
              <w:top w:val="single" w:sz="4" w:space="0" w:color="auto"/>
              <w:left w:val="single" w:sz="4" w:space="0" w:color="auto"/>
              <w:bottom w:val="single" w:sz="4" w:space="0" w:color="auto"/>
              <w:right w:val="single" w:sz="4" w:space="0" w:color="auto"/>
            </w:tcBorders>
            <w:hideMark/>
          </w:tcPr>
          <w:p w14:paraId="09DACAD1" w14:textId="77777777" w:rsidR="009A745A" w:rsidRDefault="009A745A" w:rsidP="009A745A">
            <w:pPr>
              <w:pStyle w:val="Tabletext0"/>
            </w:pPr>
            <w:r>
              <w:t>12</w:t>
            </w:r>
          </w:p>
        </w:tc>
        <w:tc>
          <w:tcPr>
            <w:tcW w:w="736" w:type="pct"/>
            <w:tcBorders>
              <w:top w:val="single" w:sz="4" w:space="0" w:color="auto"/>
              <w:left w:val="single" w:sz="4" w:space="0" w:color="auto"/>
              <w:bottom w:val="single" w:sz="4" w:space="0" w:color="auto"/>
              <w:right w:val="single" w:sz="4" w:space="0" w:color="auto"/>
            </w:tcBorders>
            <w:hideMark/>
          </w:tcPr>
          <w:p w14:paraId="29A35725" w14:textId="77777777" w:rsidR="009A745A" w:rsidRDefault="009A745A" w:rsidP="009A745A">
            <w:pPr>
              <w:pStyle w:val="Tabletext0"/>
            </w:pPr>
            <w:r>
              <w:t>12</w:t>
            </w:r>
          </w:p>
        </w:tc>
      </w:tr>
      <w:tr w:rsidR="009A745A" w14:paraId="421DEA26" w14:textId="77777777" w:rsidTr="009A745A">
        <w:trPr>
          <w:trHeight w:val="300"/>
        </w:trPr>
        <w:tc>
          <w:tcPr>
            <w:tcW w:w="1442" w:type="pct"/>
            <w:tcBorders>
              <w:top w:val="single" w:sz="4" w:space="0" w:color="auto"/>
              <w:left w:val="single" w:sz="4" w:space="0" w:color="auto"/>
              <w:bottom w:val="single" w:sz="4" w:space="0" w:color="auto"/>
              <w:right w:val="nil"/>
            </w:tcBorders>
            <w:hideMark/>
          </w:tcPr>
          <w:p w14:paraId="59A10578" w14:textId="77777777" w:rsidR="009A745A" w:rsidRDefault="009A745A" w:rsidP="009A745A">
            <w:pPr>
              <w:pStyle w:val="Tabletext0"/>
              <w:rPr>
                <w:b/>
                <w:bCs/>
              </w:rPr>
            </w:pPr>
            <w:proofErr w:type="spellStart"/>
            <w:r>
              <w:rPr>
                <w:b/>
                <w:bCs/>
              </w:rPr>
              <w:t>MRgFUS</w:t>
            </w:r>
            <w:proofErr w:type="spellEnd"/>
            <w:r>
              <w:rPr>
                <w:b/>
                <w:bCs/>
              </w:rPr>
              <w:t xml:space="preserve"> services</w:t>
            </w:r>
          </w:p>
        </w:tc>
        <w:tc>
          <w:tcPr>
            <w:tcW w:w="704" w:type="pct"/>
            <w:tcBorders>
              <w:top w:val="single" w:sz="4" w:space="0" w:color="auto"/>
              <w:left w:val="nil"/>
              <w:bottom w:val="single" w:sz="4" w:space="0" w:color="auto"/>
              <w:right w:val="nil"/>
            </w:tcBorders>
            <w:hideMark/>
          </w:tcPr>
          <w:p w14:paraId="115BBC9D" w14:textId="77777777" w:rsidR="009A745A" w:rsidRDefault="009A745A" w:rsidP="009A745A">
            <w:pPr>
              <w:pStyle w:val="Tabletext0"/>
              <w:rPr>
                <w:b/>
                <w:bCs/>
              </w:rPr>
            </w:pPr>
            <w:r>
              <w:rPr>
                <w:b/>
                <w:bCs/>
              </w:rPr>
              <w:t>-</w:t>
            </w:r>
          </w:p>
        </w:tc>
        <w:tc>
          <w:tcPr>
            <w:tcW w:w="707" w:type="pct"/>
            <w:tcBorders>
              <w:top w:val="single" w:sz="4" w:space="0" w:color="auto"/>
              <w:left w:val="nil"/>
              <w:bottom w:val="single" w:sz="4" w:space="0" w:color="auto"/>
              <w:right w:val="nil"/>
            </w:tcBorders>
            <w:hideMark/>
          </w:tcPr>
          <w:p w14:paraId="075F9BB8" w14:textId="77777777" w:rsidR="009A745A" w:rsidRDefault="009A745A" w:rsidP="009A745A">
            <w:pPr>
              <w:pStyle w:val="Tabletext0"/>
              <w:rPr>
                <w:b/>
                <w:bCs/>
              </w:rPr>
            </w:pPr>
            <w:r>
              <w:rPr>
                <w:b/>
                <w:bCs/>
              </w:rPr>
              <w:t>-</w:t>
            </w:r>
          </w:p>
        </w:tc>
        <w:tc>
          <w:tcPr>
            <w:tcW w:w="705" w:type="pct"/>
            <w:tcBorders>
              <w:top w:val="single" w:sz="4" w:space="0" w:color="auto"/>
              <w:left w:val="nil"/>
              <w:bottom w:val="single" w:sz="4" w:space="0" w:color="auto"/>
              <w:right w:val="nil"/>
            </w:tcBorders>
            <w:hideMark/>
          </w:tcPr>
          <w:p w14:paraId="79E59CA9" w14:textId="77777777" w:rsidR="009A745A" w:rsidRDefault="009A745A" w:rsidP="009A745A">
            <w:pPr>
              <w:pStyle w:val="Tabletext0"/>
              <w:rPr>
                <w:b/>
                <w:bCs/>
              </w:rPr>
            </w:pPr>
            <w:r>
              <w:rPr>
                <w:b/>
                <w:bCs/>
              </w:rPr>
              <w:t>-</w:t>
            </w:r>
          </w:p>
        </w:tc>
        <w:tc>
          <w:tcPr>
            <w:tcW w:w="706" w:type="pct"/>
            <w:tcBorders>
              <w:top w:val="single" w:sz="4" w:space="0" w:color="auto"/>
              <w:left w:val="nil"/>
              <w:bottom w:val="single" w:sz="4" w:space="0" w:color="auto"/>
              <w:right w:val="nil"/>
            </w:tcBorders>
            <w:hideMark/>
          </w:tcPr>
          <w:p w14:paraId="78B7EFC9" w14:textId="77777777" w:rsidR="009A745A" w:rsidRDefault="009A745A" w:rsidP="009A745A">
            <w:pPr>
              <w:pStyle w:val="Tabletext0"/>
              <w:rPr>
                <w:b/>
                <w:bCs/>
              </w:rPr>
            </w:pPr>
            <w:r>
              <w:rPr>
                <w:b/>
                <w:bCs/>
              </w:rPr>
              <w:t>-</w:t>
            </w:r>
          </w:p>
        </w:tc>
        <w:tc>
          <w:tcPr>
            <w:tcW w:w="736" w:type="pct"/>
            <w:tcBorders>
              <w:top w:val="single" w:sz="4" w:space="0" w:color="auto"/>
              <w:left w:val="nil"/>
              <w:bottom w:val="single" w:sz="4" w:space="0" w:color="auto"/>
              <w:right w:val="single" w:sz="4" w:space="0" w:color="auto"/>
            </w:tcBorders>
            <w:hideMark/>
          </w:tcPr>
          <w:p w14:paraId="4376DD8B" w14:textId="77777777" w:rsidR="009A745A" w:rsidRDefault="009A745A" w:rsidP="009A745A">
            <w:pPr>
              <w:pStyle w:val="Tabletext0"/>
              <w:rPr>
                <w:b/>
                <w:bCs/>
              </w:rPr>
            </w:pPr>
            <w:r>
              <w:rPr>
                <w:b/>
                <w:bCs/>
              </w:rPr>
              <w:t>-</w:t>
            </w:r>
          </w:p>
        </w:tc>
      </w:tr>
      <w:tr w:rsidR="009A745A" w14:paraId="48DD4479"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vAlign w:val="center"/>
            <w:hideMark/>
          </w:tcPr>
          <w:p w14:paraId="10AC86AE" w14:textId="77777777" w:rsidR="009A745A" w:rsidRPr="007C2735" w:rsidRDefault="009A745A" w:rsidP="009A745A">
            <w:pPr>
              <w:pStyle w:val="Tabletext0"/>
            </w:pPr>
            <w:r w:rsidRPr="007C2735">
              <w:t>Total cost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B770A4" w14:textId="77777777" w:rsidR="009A745A" w:rsidRPr="00411BC4" w:rsidRDefault="009A745A" w:rsidP="009A745A">
            <w:pPr>
              <w:pStyle w:val="Tabletext0"/>
            </w:pPr>
            <w:r w:rsidRPr="00411BC4">
              <w:t>$456,525</w:t>
            </w:r>
          </w:p>
          <w:p w14:paraId="29691C98" w14:textId="77777777" w:rsidR="009A745A" w:rsidRPr="00411BC4" w:rsidRDefault="009A745A" w:rsidP="009A745A">
            <w:pPr>
              <w:pStyle w:val="Tabletext0"/>
            </w:pPr>
            <w:r w:rsidRPr="00411BC4">
              <w:rPr>
                <w:rStyle w:val="CommentChar"/>
                <w:rFonts w:ascii="Arial Narrow" w:hAnsi="Arial Narrow"/>
              </w:rPr>
              <w:t>$414,515</w:t>
            </w:r>
          </w:p>
        </w:tc>
        <w:tc>
          <w:tcPr>
            <w:tcW w:w="707" w:type="pct"/>
            <w:tcBorders>
              <w:top w:val="single" w:sz="4" w:space="0" w:color="auto"/>
              <w:left w:val="single" w:sz="4" w:space="0" w:color="auto"/>
              <w:bottom w:val="single" w:sz="4" w:space="0" w:color="auto"/>
              <w:right w:val="single" w:sz="4" w:space="0" w:color="auto"/>
            </w:tcBorders>
            <w:vAlign w:val="center"/>
            <w:hideMark/>
          </w:tcPr>
          <w:p w14:paraId="407AC4F7" w14:textId="77777777" w:rsidR="009A745A" w:rsidRPr="00411BC4" w:rsidRDefault="009A745A" w:rsidP="009A745A">
            <w:pPr>
              <w:pStyle w:val="Tabletext0"/>
            </w:pPr>
            <w:r w:rsidRPr="00411BC4">
              <w:t>$464,156</w:t>
            </w:r>
          </w:p>
          <w:p w14:paraId="40E31817" w14:textId="77777777" w:rsidR="009A745A" w:rsidRPr="00411BC4" w:rsidRDefault="009A745A" w:rsidP="009A745A">
            <w:pPr>
              <w:pStyle w:val="Tabletext0"/>
            </w:pPr>
            <w:r w:rsidRPr="00411BC4">
              <w:rPr>
                <w:rStyle w:val="CommentChar"/>
                <w:rFonts w:ascii="Arial Narrow" w:hAnsi="Arial Narrow"/>
              </w:rPr>
              <w:t>$414,515</w:t>
            </w:r>
          </w:p>
        </w:tc>
        <w:tc>
          <w:tcPr>
            <w:tcW w:w="705" w:type="pct"/>
            <w:tcBorders>
              <w:top w:val="single" w:sz="4" w:space="0" w:color="auto"/>
              <w:left w:val="single" w:sz="4" w:space="0" w:color="auto"/>
              <w:bottom w:val="single" w:sz="4" w:space="0" w:color="auto"/>
              <w:right w:val="single" w:sz="4" w:space="0" w:color="auto"/>
            </w:tcBorders>
            <w:vAlign w:val="center"/>
            <w:hideMark/>
          </w:tcPr>
          <w:p w14:paraId="631FF475" w14:textId="77777777" w:rsidR="009A745A" w:rsidRPr="00411BC4" w:rsidRDefault="009A745A" w:rsidP="009A745A">
            <w:pPr>
              <w:pStyle w:val="Tabletext0"/>
            </w:pPr>
            <w:r w:rsidRPr="00411BC4">
              <w:t>$471,787</w:t>
            </w:r>
          </w:p>
          <w:p w14:paraId="5BF21EFE" w14:textId="77777777" w:rsidR="009A745A" w:rsidRPr="00411BC4" w:rsidRDefault="009A745A" w:rsidP="009A745A">
            <w:pPr>
              <w:pStyle w:val="Tabletext0"/>
            </w:pPr>
            <w:r w:rsidRPr="00411BC4">
              <w:rPr>
                <w:rStyle w:val="CommentChar"/>
                <w:rFonts w:ascii="Arial Narrow" w:hAnsi="Arial Narrow"/>
              </w:rPr>
              <w:t>$414,515</w:t>
            </w:r>
          </w:p>
        </w:tc>
        <w:tc>
          <w:tcPr>
            <w:tcW w:w="706" w:type="pct"/>
            <w:tcBorders>
              <w:top w:val="single" w:sz="4" w:space="0" w:color="auto"/>
              <w:left w:val="single" w:sz="4" w:space="0" w:color="auto"/>
              <w:bottom w:val="single" w:sz="4" w:space="0" w:color="auto"/>
              <w:right w:val="single" w:sz="4" w:space="0" w:color="auto"/>
            </w:tcBorders>
            <w:vAlign w:val="center"/>
            <w:hideMark/>
          </w:tcPr>
          <w:p w14:paraId="729BE517" w14:textId="77777777" w:rsidR="009A745A" w:rsidRPr="00411BC4" w:rsidRDefault="009A745A" w:rsidP="009A745A">
            <w:pPr>
              <w:pStyle w:val="Tabletext0"/>
            </w:pPr>
            <w:r w:rsidRPr="00411BC4">
              <w:t>$471,787</w:t>
            </w:r>
          </w:p>
          <w:p w14:paraId="61B095FE" w14:textId="77777777" w:rsidR="009A745A" w:rsidRPr="00411BC4" w:rsidRDefault="009A745A" w:rsidP="009A745A">
            <w:pPr>
              <w:pStyle w:val="Tabletext0"/>
            </w:pPr>
            <w:r w:rsidRPr="00411BC4">
              <w:rPr>
                <w:rStyle w:val="CommentChar"/>
                <w:rFonts w:ascii="Arial Narrow" w:hAnsi="Arial Narrow"/>
              </w:rPr>
              <w:t>$414,515</w:t>
            </w:r>
          </w:p>
        </w:tc>
        <w:tc>
          <w:tcPr>
            <w:tcW w:w="736" w:type="pct"/>
            <w:tcBorders>
              <w:top w:val="single" w:sz="4" w:space="0" w:color="auto"/>
              <w:left w:val="single" w:sz="4" w:space="0" w:color="auto"/>
              <w:bottom w:val="single" w:sz="4" w:space="0" w:color="auto"/>
              <w:right w:val="single" w:sz="4" w:space="0" w:color="auto"/>
            </w:tcBorders>
            <w:vAlign w:val="center"/>
            <w:hideMark/>
          </w:tcPr>
          <w:p w14:paraId="4E772E2E" w14:textId="77777777" w:rsidR="009A745A" w:rsidRPr="00411BC4" w:rsidRDefault="009A745A" w:rsidP="009A745A">
            <w:pPr>
              <w:pStyle w:val="Tabletext0"/>
            </w:pPr>
            <w:r w:rsidRPr="00411BC4">
              <w:t>$471,787</w:t>
            </w:r>
          </w:p>
          <w:p w14:paraId="4D336CAF" w14:textId="77777777" w:rsidR="009A745A" w:rsidRPr="00411BC4" w:rsidRDefault="009A745A" w:rsidP="009A745A">
            <w:pPr>
              <w:pStyle w:val="Tabletext0"/>
            </w:pPr>
            <w:r w:rsidRPr="00411BC4">
              <w:rPr>
                <w:rStyle w:val="CommentChar"/>
                <w:rFonts w:ascii="Arial Narrow" w:hAnsi="Arial Narrow"/>
              </w:rPr>
              <w:t>$414,515</w:t>
            </w:r>
          </w:p>
        </w:tc>
      </w:tr>
      <w:tr w:rsidR="009A745A" w14:paraId="2BF6F0EF"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vAlign w:val="center"/>
            <w:hideMark/>
          </w:tcPr>
          <w:p w14:paraId="6B98BA0F" w14:textId="77777777" w:rsidR="009A745A" w:rsidRDefault="009A745A" w:rsidP="009A745A">
            <w:pPr>
              <w:pStyle w:val="Tabletext0"/>
            </w:pPr>
            <w:r w:rsidRPr="00382B89">
              <w:t>-to MBS</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26C510" w14:textId="77777777" w:rsidR="009A745A" w:rsidRPr="00411BC4" w:rsidRDefault="009A745A" w:rsidP="009A745A">
            <w:pPr>
              <w:pStyle w:val="Tabletext0"/>
            </w:pPr>
            <w:r w:rsidRPr="00411BC4">
              <w:t>$352,813</w:t>
            </w:r>
          </w:p>
          <w:p w14:paraId="3362DB24" w14:textId="77777777" w:rsidR="009A745A" w:rsidRPr="00411BC4" w:rsidRDefault="009A745A" w:rsidP="009A745A">
            <w:pPr>
              <w:pStyle w:val="Tabletext0"/>
            </w:pPr>
            <w:r w:rsidRPr="00411BC4">
              <w:rPr>
                <w:rStyle w:val="CommentChar"/>
                <w:rFonts w:ascii="Arial Narrow" w:hAnsi="Arial Narrow"/>
              </w:rPr>
              <w:t>$317,442</w:t>
            </w:r>
          </w:p>
        </w:tc>
        <w:tc>
          <w:tcPr>
            <w:tcW w:w="707" w:type="pct"/>
            <w:tcBorders>
              <w:top w:val="single" w:sz="4" w:space="0" w:color="auto"/>
              <w:left w:val="single" w:sz="4" w:space="0" w:color="auto"/>
              <w:bottom w:val="single" w:sz="4" w:space="0" w:color="auto"/>
              <w:right w:val="single" w:sz="4" w:space="0" w:color="auto"/>
            </w:tcBorders>
            <w:vAlign w:val="center"/>
            <w:hideMark/>
          </w:tcPr>
          <w:p w14:paraId="727DD63B" w14:textId="77777777" w:rsidR="009A745A" w:rsidRPr="00411BC4" w:rsidRDefault="009A745A" w:rsidP="009A745A">
            <w:pPr>
              <w:pStyle w:val="Tabletext0"/>
            </w:pPr>
            <w:r w:rsidRPr="00411BC4">
              <w:t>$358,711</w:t>
            </w:r>
          </w:p>
          <w:p w14:paraId="609093B0" w14:textId="77777777" w:rsidR="009A745A" w:rsidRPr="00411BC4" w:rsidRDefault="009A745A" w:rsidP="009A745A">
            <w:pPr>
              <w:pStyle w:val="Tabletext0"/>
            </w:pPr>
            <w:r w:rsidRPr="00411BC4">
              <w:rPr>
                <w:rStyle w:val="CommentChar"/>
                <w:rFonts w:ascii="Arial Narrow" w:hAnsi="Arial Narrow"/>
              </w:rPr>
              <w:t>$317,442</w:t>
            </w:r>
          </w:p>
        </w:tc>
        <w:tc>
          <w:tcPr>
            <w:tcW w:w="705" w:type="pct"/>
            <w:tcBorders>
              <w:top w:val="single" w:sz="4" w:space="0" w:color="auto"/>
              <w:left w:val="single" w:sz="4" w:space="0" w:color="auto"/>
              <w:bottom w:val="single" w:sz="4" w:space="0" w:color="auto"/>
              <w:right w:val="single" w:sz="4" w:space="0" w:color="auto"/>
            </w:tcBorders>
            <w:vAlign w:val="center"/>
            <w:hideMark/>
          </w:tcPr>
          <w:p w14:paraId="257EA353" w14:textId="77777777" w:rsidR="009A745A" w:rsidRPr="00411BC4" w:rsidRDefault="009A745A" w:rsidP="009A745A">
            <w:pPr>
              <w:pStyle w:val="Tabletext0"/>
            </w:pPr>
            <w:r w:rsidRPr="00411BC4">
              <w:t>$364,608</w:t>
            </w:r>
          </w:p>
          <w:p w14:paraId="064C7F92" w14:textId="77777777" w:rsidR="009A745A" w:rsidRPr="00411BC4" w:rsidRDefault="009A745A" w:rsidP="009A745A">
            <w:pPr>
              <w:pStyle w:val="Tabletext0"/>
            </w:pPr>
            <w:r w:rsidRPr="00411BC4">
              <w:rPr>
                <w:rStyle w:val="CommentChar"/>
                <w:rFonts w:ascii="Arial Narrow" w:hAnsi="Arial Narrow"/>
              </w:rPr>
              <w:t>$317,442</w:t>
            </w:r>
          </w:p>
        </w:tc>
        <w:tc>
          <w:tcPr>
            <w:tcW w:w="706" w:type="pct"/>
            <w:tcBorders>
              <w:top w:val="single" w:sz="4" w:space="0" w:color="auto"/>
              <w:left w:val="single" w:sz="4" w:space="0" w:color="auto"/>
              <w:bottom w:val="single" w:sz="4" w:space="0" w:color="auto"/>
              <w:right w:val="single" w:sz="4" w:space="0" w:color="auto"/>
            </w:tcBorders>
            <w:vAlign w:val="center"/>
            <w:hideMark/>
          </w:tcPr>
          <w:p w14:paraId="3FC6C467" w14:textId="77777777" w:rsidR="009A745A" w:rsidRPr="00411BC4" w:rsidRDefault="009A745A" w:rsidP="009A745A">
            <w:pPr>
              <w:pStyle w:val="Tabletext0"/>
            </w:pPr>
            <w:r w:rsidRPr="00411BC4">
              <w:t>$364,608</w:t>
            </w:r>
          </w:p>
          <w:p w14:paraId="47697E61" w14:textId="77777777" w:rsidR="009A745A" w:rsidRPr="00411BC4" w:rsidRDefault="009A745A" w:rsidP="009A745A">
            <w:pPr>
              <w:pStyle w:val="Tabletext0"/>
            </w:pPr>
            <w:r w:rsidRPr="00411BC4">
              <w:rPr>
                <w:rStyle w:val="CommentChar"/>
                <w:rFonts w:ascii="Arial Narrow" w:hAnsi="Arial Narrow"/>
              </w:rPr>
              <w:t>$317,442</w:t>
            </w:r>
          </w:p>
        </w:tc>
        <w:tc>
          <w:tcPr>
            <w:tcW w:w="736" w:type="pct"/>
            <w:tcBorders>
              <w:top w:val="single" w:sz="4" w:space="0" w:color="auto"/>
              <w:left w:val="single" w:sz="4" w:space="0" w:color="auto"/>
              <w:bottom w:val="single" w:sz="4" w:space="0" w:color="auto"/>
              <w:right w:val="single" w:sz="4" w:space="0" w:color="auto"/>
            </w:tcBorders>
            <w:vAlign w:val="center"/>
            <w:hideMark/>
          </w:tcPr>
          <w:p w14:paraId="35223CB6" w14:textId="77777777" w:rsidR="009A745A" w:rsidRPr="00411BC4" w:rsidRDefault="009A745A" w:rsidP="009A745A">
            <w:pPr>
              <w:pStyle w:val="Tabletext0"/>
            </w:pPr>
            <w:r w:rsidRPr="00411BC4">
              <w:t>$364,608</w:t>
            </w:r>
          </w:p>
          <w:p w14:paraId="7D7FD40D" w14:textId="77777777" w:rsidR="009A745A" w:rsidRPr="00411BC4" w:rsidRDefault="009A745A" w:rsidP="009A745A">
            <w:pPr>
              <w:pStyle w:val="Tabletext0"/>
            </w:pPr>
            <w:r w:rsidRPr="00411BC4">
              <w:rPr>
                <w:rStyle w:val="CommentChar"/>
                <w:rFonts w:ascii="Arial Narrow" w:hAnsi="Arial Narrow"/>
              </w:rPr>
              <w:t>$317,442</w:t>
            </w:r>
          </w:p>
        </w:tc>
      </w:tr>
      <w:tr w:rsidR="009A745A" w14:paraId="18B3B75D"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vAlign w:val="center"/>
            <w:hideMark/>
          </w:tcPr>
          <w:p w14:paraId="3B85BE31" w14:textId="77777777" w:rsidR="009A745A" w:rsidRDefault="009A745A" w:rsidP="009A745A">
            <w:pPr>
              <w:pStyle w:val="Tabletext0"/>
            </w:pPr>
            <w:r w:rsidRPr="00382B89">
              <w:t>-to patients</w:t>
            </w:r>
          </w:p>
        </w:tc>
        <w:tc>
          <w:tcPr>
            <w:tcW w:w="704" w:type="pct"/>
            <w:tcBorders>
              <w:top w:val="single" w:sz="4" w:space="0" w:color="auto"/>
              <w:left w:val="single" w:sz="4" w:space="0" w:color="auto"/>
              <w:bottom w:val="single" w:sz="4" w:space="0" w:color="auto"/>
              <w:right w:val="single" w:sz="4" w:space="0" w:color="auto"/>
            </w:tcBorders>
            <w:vAlign w:val="center"/>
            <w:hideMark/>
          </w:tcPr>
          <w:p w14:paraId="14DE2E94" w14:textId="77777777" w:rsidR="009A745A" w:rsidRPr="00411BC4" w:rsidRDefault="009A745A" w:rsidP="009A745A">
            <w:pPr>
              <w:pStyle w:val="Tabletext0"/>
            </w:pPr>
            <w:r w:rsidRPr="00411BC4">
              <w:t>$103,712</w:t>
            </w:r>
          </w:p>
          <w:p w14:paraId="2AAD8FE6" w14:textId="77777777" w:rsidR="009A745A" w:rsidRPr="00411BC4" w:rsidRDefault="009A745A" w:rsidP="009A745A">
            <w:pPr>
              <w:pStyle w:val="Tabletext0"/>
            </w:pPr>
            <w:r w:rsidRPr="00411BC4">
              <w:rPr>
                <w:rStyle w:val="CommentChar"/>
                <w:rFonts w:ascii="Arial Narrow" w:hAnsi="Arial Narrow"/>
              </w:rPr>
              <w:t>$97,074</w:t>
            </w:r>
          </w:p>
        </w:tc>
        <w:tc>
          <w:tcPr>
            <w:tcW w:w="707" w:type="pct"/>
            <w:tcBorders>
              <w:top w:val="single" w:sz="4" w:space="0" w:color="auto"/>
              <w:left w:val="single" w:sz="4" w:space="0" w:color="auto"/>
              <w:bottom w:val="single" w:sz="4" w:space="0" w:color="auto"/>
              <w:right w:val="single" w:sz="4" w:space="0" w:color="auto"/>
            </w:tcBorders>
            <w:vAlign w:val="center"/>
            <w:hideMark/>
          </w:tcPr>
          <w:p w14:paraId="5F7643DE" w14:textId="77777777" w:rsidR="009A745A" w:rsidRPr="00411BC4" w:rsidRDefault="009A745A" w:rsidP="009A745A">
            <w:pPr>
              <w:pStyle w:val="Tabletext0"/>
            </w:pPr>
            <w:r w:rsidRPr="00411BC4">
              <w:t>$105,446</w:t>
            </w:r>
          </w:p>
          <w:p w14:paraId="57168944" w14:textId="77777777" w:rsidR="009A745A" w:rsidRPr="00411BC4" w:rsidRDefault="009A745A" w:rsidP="009A745A">
            <w:pPr>
              <w:pStyle w:val="Tabletext0"/>
            </w:pPr>
            <w:r w:rsidRPr="00411BC4">
              <w:rPr>
                <w:rStyle w:val="CommentChar"/>
                <w:rFonts w:ascii="Arial Narrow" w:hAnsi="Arial Narrow"/>
              </w:rPr>
              <w:t>$97,074</w:t>
            </w:r>
          </w:p>
        </w:tc>
        <w:tc>
          <w:tcPr>
            <w:tcW w:w="705" w:type="pct"/>
            <w:tcBorders>
              <w:top w:val="single" w:sz="4" w:space="0" w:color="auto"/>
              <w:left w:val="single" w:sz="4" w:space="0" w:color="auto"/>
              <w:bottom w:val="single" w:sz="4" w:space="0" w:color="auto"/>
              <w:right w:val="single" w:sz="4" w:space="0" w:color="auto"/>
            </w:tcBorders>
            <w:vAlign w:val="center"/>
            <w:hideMark/>
          </w:tcPr>
          <w:p w14:paraId="169CEBF1" w14:textId="77777777" w:rsidR="009A745A" w:rsidRPr="00411BC4" w:rsidRDefault="009A745A" w:rsidP="009A745A">
            <w:pPr>
              <w:pStyle w:val="Tabletext0"/>
            </w:pPr>
            <w:r w:rsidRPr="00411BC4">
              <w:t>$107,179</w:t>
            </w:r>
          </w:p>
          <w:p w14:paraId="1D144828" w14:textId="77777777" w:rsidR="009A745A" w:rsidRPr="00411BC4" w:rsidRDefault="009A745A" w:rsidP="009A745A">
            <w:pPr>
              <w:pStyle w:val="Tabletext0"/>
            </w:pPr>
            <w:r w:rsidRPr="00411BC4">
              <w:rPr>
                <w:rStyle w:val="CommentChar"/>
                <w:rFonts w:ascii="Arial Narrow" w:hAnsi="Arial Narrow"/>
              </w:rPr>
              <w:t>$97,074</w:t>
            </w:r>
          </w:p>
        </w:tc>
        <w:tc>
          <w:tcPr>
            <w:tcW w:w="706" w:type="pct"/>
            <w:tcBorders>
              <w:top w:val="single" w:sz="4" w:space="0" w:color="auto"/>
              <w:left w:val="single" w:sz="4" w:space="0" w:color="auto"/>
              <w:bottom w:val="single" w:sz="4" w:space="0" w:color="auto"/>
              <w:right w:val="single" w:sz="4" w:space="0" w:color="auto"/>
            </w:tcBorders>
            <w:vAlign w:val="center"/>
            <w:hideMark/>
          </w:tcPr>
          <w:p w14:paraId="2E20E493" w14:textId="77777777" w:rsidR="009A745A" w:rsidRPr="00411BC4" w:rsidRDefault="009A745A" w:rsidP="009A745A">
            <w:pPr>
              <w:pStyle w:val="Tabletext0"/>
            </w:pPr>
            <w:r w:rsidRPr="00411BC4">
              <w:t>$107,179</w:t>
            </w:r>
          </w:p>
          <w:p w14:paraId="3EED9E2A" w14:textId="77777777" w:rsidR="009A745A" w:rsidRPr="00411BC4" w:rsidRDefault="009A745A" w:rsidP="009A745A">
            <w:pPr>
              <w:pStyle w:val="Tabletext0"/>
            </w:pPr>
            <w:r w:rsidRPr="00411BC4">
              <w:rPr>
                <w:rStyle w:val="CommentChar"/>
                <w:rFonts w:ascii="Arial Narrow" w:hAnsi="Arial Narrow"/>
              </w:rPr>
              <w:t>$97,074</w:t>
            </w:r>
          </w:p>
        </w:tc>
        <w:tc>
          <w:tcPr>
            <w:tcW w:w="736" w:type="pct"/>
            <w:tcBorders>
              <w:top w:val="single" w:sz="4" w:space="0" w:color="auto"/>
              <w:left w:val="single" w:sz="4" w:space="0" w:color="auto"/>
              <w:bottom w:val="single" w:sz="4" w:space="0" w:color="auto"/>
              <w:right w:val="single" w:sz="4" w:space="0" w:color="auto"/>
            </w:tcBorders>
            <w:vAlign w:val="center"/>
            <w:hideMark/>
          </w:tcPr>
          <w:p w14:paraId="3CD98507" w14:textId="77777777" w:rsidR="009A745A" w:rsidRPr="00411BC4" w:rsidRDefault="009A745A" w:rsidP="009A745A">
            <w:pPr>
              <w:pStyle w:val="Tabletext0"/>
            </w:pPr>
            <w:r w:rsidRPr="00411BC4">
              <w:t>$107,179</w:t>
            </w:r>
          </w:p>
          <w:p w14:paraId="7FD13A3A" w14:textId="77777777" w:rsidR="009A745A" w:rsidRPr="00411BC4" w:rsidRDefault="009A745A" w:rsidP="009A745A">
            <w:pPr>
              <w:pStyle w:val="Tabletext0"/>
            </w:pPr>
            <w:r w:rsidRPr="00411BC4">
              <w:rPr>
                <w:rStyle w:val="CommentChar"/>
                <w:rFonts w:ascii="Arial Narrow" w:hAnsi="Arial Narrow"/>
              </w:rPr>
              <w:t>$97,074</w:t>
            </w:r>
          </w:p>
        </w:tc>
      </w:tr>
      <w:tr w:rsidR="009A745A" w14:paraId="14356561" w14:textId="77777777" w:rsidTr="009A745A">
        <w:trPr>
          <w:trHeight w:val="300"/>
        </w:trPr>
        <w:tc>
          <w:tcPr>
            <w:tcW w:w="1442" w:type="pct"/>
            <w:tcBorders>
              <w:top w:val="single" w:sz="4" w:space="0" w:color="auto"/>
              <w:left w:val="single" w:sz="4" w:space="0" w:color="auto"/>
              <w:bottom w:val="single" w:sz="4" w:space="0" w:color="auto"/>
              <w:right w:val="nil"/>
            </w:tcBorders>
            <w:hideMark/>
          </w:tcPr>
          <w:p w14:paraId="418E1AAA" w14:textId="77777777" w:rsidR="009A745A" w:rsidRDefault="009A745A" w:rsidP="009A745A">
            <w:pPr>
              <w:pStyle w:val="Tabletext0"/>
              <w:rPr>
                <w:b/>
                <w:bCs/>
              </w:rPr>
            </w:pPr>
            <w:r>
              <w:rPr>
                <w:b/>
                <w:bCs/>
              </w:rPr>
              <w:t>Changes to other services</w:t>
            </w:r>
          </w:p>
        </w:tc>
        <w:tc>
          <w:tcPr>
            <w:tcW w:w="704" w:type="pct"/>
            <w:tcBorders>
              <w:top w:val="single" w:sz="4" w:space="0" w:color="auto"/>
              <w:left w:val="nil"/>
              <w:bottom w:val="single" w:sz="4" w:space="0" w:color="auto"/>
              <w:right w:val="nil"/>
            </w:tcBorders>
          </w:tcPr>
          <w:p w14:paraId="03A1C839" w14:textId="77777777" w:rsidR="009A745A" w:rsidRDefault="009A745A" w:rsidP="009A745A">
            <w:pPr>
              <w:pStyle w:val="Tabletext0"/>
              <w:rPr>
                <w:b/>
                <w:bCs/>
              </w:rPr>
            </w:pPr>
          </w:p>
        </w:tc>
        <w:tc>
          <w:tcPr>
            <w:tcW w:w="707" w:type="pct"/>
            <w:tcBorders>
              <w:top w:val="single" w:sz="4" w:space="0" w:color="auto"/>
              <w:left w:val="nil"/>
              <w:bottom w:val="single" w:sz="4" w:space="0" w:color="auto"/>
              <w:right w:val="nil"/>
            </w:tcBorders>
          </w:tcPr>
          <w:p w14:paraId="708AEBBA" w14:textId="77777777" w:rsidR="009A745A" w:rsidRDefault="009A745A" w:rsidP="009A745A">
            <w:pPr>
              <w:pStyle w:val="Tabletext0"/>
              <w:rPr>
                <w:b/>
                <w:bCs/>
              </w:rPr>
            </w:pPr>
          </w:p>
        </w:tc>
        <w:tc>
          <w:tcPr>
            <w:tcW w:w="705" w:type="pct"/>
            <w:tcBorders>
              <w:top w:val="single" w:sz="4" w:space="0" w:color="auto"/>
              <w:left w:val="nil"/>
              <w:bottom w:val="single" w:sz="4" w:space="0" w:color="auto"/>
              <w:right w:val="nil"/>
            </w:tcBorders>
          </w:tcPr>
          <w:p w14:paraId="1C82212E" w14:textId="77777777" w:rsidR="009A745A" w:rsidRDefault="009A745A" w:rsidP="009A745A">
            <w:pPr>
              <w:pStyle w:val="Tabletext0"/>
              <w:rPr>
                <w:b/>
                <w:bCs/>
              </w:rPr>
            </w:pPr>
          </w:p>
        </w:tc>
        <w:tc>
          <w:tcPr>
            <w:tcW w:w="706" w:type="pct"/>
            <w:tcBorders>
              <w:top w:val="single" w:sz="4" w:space="0" w:color="auto"/>
              <w:left w:val="nil"/>
              <w:bottom w:val="single" w:sz="4" w:space="0" w:color="auto"/>
              <w:right w:val="nil"/>
            </w:tcBorders>
          </w:tcPr>
          <w:p w14:paraId="473F96AF" w14:textId="77777777" w:rsidR="009A745A" w:rsidRDefault="009A745A" w:rsidP="009A745A">
            <w:pPr>
              <w:pStyle w:val="Tabletext0"/>
              <w:rPr>
                <w:b/>
                <w:bCs/>
              </w:rPr>
            </w:pPr>
          </w:p>
        </w:tc>
        <w:tc>
          <w:tcPr>
            <w:tcW w:w="736" w:type="pct"/>
            <w:tcBorders>
              <w:top w:val="single" w:sz="4" w:space="0" w:color="auto"/>
              <w:left w:val="nil"/>
              <w:bottom w:val="single" w:sz="4" w:space="0" w:color="auto"/>
              <w:right w:val="single" w:sz="4" w:space="0" w:color="auto"/>
            </w:tcBorders>
          </w:tcPr>
          <w:p w14:paraId="6D84A185" w14:textId="77777777" w:rsidR="009A745A" w:rsidRDefault="009A745A" w:rsidP="009A745A">
            <w:pPr>
              <w:pStyle w:val="Tabletext0"/>
              <w:rPr>
                <w:b/>
                <w:bCs/>
              </w:rPr>
            </w:pPr>
          </w:p>
        </w:tc>
      </w:tr>
      <w:tr w:rsidR="009A745A" w14:paraId="6CB64D12"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5F7EE9AB" w14:textId="77777777" w:rsidR="009A745A" w:rsidRDefault="009A745A" w:rsidP="009A745A">
            <w:pPr>
              <w:pStyle w:val="Tabletext0"/>
            </w:pPr>
            <w:r>
              <w:t>Total costs offsets</w:t>
            </w:r>
          </w:p>
        </w:tc>
        <w:tc>
          <w:tcPr>
            <w:tcW w:w="704" w:type="pct"/>
            <w:tcBorders>
              <w:top w:val="single" w:sz="4" w:space="0" w:color="auto"/>
              <w:left w:val="single" w:sz="4" w:space="0" w:color="auto"/>
              <w:bottom w:val="single" w:sz="4" w:space="0" w:color="auto"/>
              <w:right w:val="single" w:sz="4" w:space="0" w:color="auto"/>
            </w:tcBorders>
            <w:vAlign w:val="center"/>
            <w:hideMark/>
          </w:tcPr>
          <w:p w14:paraId="22D71E23" w14:textId="77777777" w:rsidR="009A745A" w:rsidRPr="00411BC4" w:rsidRDefault="009A745A" w:rsidP="009A745A">
            <w:pPr>
              <w:pStyle w:val="Tabletext0"/>
            </w:pPr>
            <w:r w:rsidRPr="00411BC4">
              <w:t>-$88,201</w:t>
            </w:r>
          </w:p>
          <w:p w14:paraId="31ABF676" w14:textId="77777777" w:rsidR="009A745A" w:rsidRPr="00411BC4" w:rsidRDefault="009A745A" w:rsidP="009A745A">
            <w:pPr>
              <w:pStyle w:val="Tabletext0"/>
            </w:pPr>
            <w:r w:rsidRPr="00411BC4">
              <w:rPr>
                <w:rStyle w:val="CommentChar"/>
                <w:rFonts w:ascii="Arial Narrow" w:hAnsi="Arial Narrow"/>
              </w:rPr>
              <w:t>-$88,448</w:t>
            </w:r>
          </w:p>
        </w:tc>
        <w:tc>
          <w:tcPr>
            <w:tcW w:w="707" w:type="pct"/>
            <w:tcBorders>
              <w:top w:val="single" w:sz="4" w:space="0" w:color="auto"/>
              <w:left w:val="single" w:sz="4" w:space="0" w:color="auto"/>
              <w:bottom w:val="single" w:sz="4" w:space="0" w:color="auto"/>
              <w:right w:val="single" w:sz="4" w:space="0" w:color="auto"/>
            </w:tcBorders>
            <w:vAlign w:val="center"/>
            <w:hideMark/>
          </w:tcPr>
          <w:p w14:paraId="2D1AED3A" w14:textId="77777777" w:rsidR="009A745A" w:rsidRPr="00411BC4" w:rsidRDefault="009A745A" w:rsidP="009A745A">
            <w:pPr>
              <w:pStyle w:val="Tabletext0"/>
            </w:pPr>
            <w:r w:rsidRPr="00411BC4">
              <w:t>-$90,369</w:t>
            </w:r>
          </w:p>
          <w:p w14:paraId="7D0B942C" w14:textId="77777777" w:rsidR="009A745A" w:rsidRPr="00411BC4" w:rsidRDefault="009A745A" w:rsidP="009A745A">
            <w:pPr>
              <w:pStyle w:val="Tabletext0"/>
            </w:pPr>
            <w:r w:rsidRPr="00411BC4">
              <w:rPr>
                <w:rStyle w:val="CommentChar"/>
                <w:rFonts w:ascii="Arial Narrow" w:hAnsi="Arial Narrow"/>
              </w:rPr>
              <w:t>-$90,864</w:t>
            </w:r>
          </w:p>
        </w:tc>
        <w:tc>
          <w:tcPr>
            <w:tcW w:w="705" w:type="pct"/>
            <w:tcBorders>
              <w:top w:val="single" w:sz="4" w:space="0" w:color="auto"/>
              <w:left w:val="single" w:sz="4" w:space="0" w:color="auto"/>
              <w:bottom w:val="single" w:sz="4" w:space="0" w:color="auto"/>
              <w:right w:val="single" w:sz="4" w:space="0" w:color="auto"/>
            </w:tcBorders>
            <w:vAlign w:val="center"/>
            <w:hideMark/>
          </w:tcPr>
          <w:p w14:paraId="40404E7A" w14:textId="77777777" w:rsidR="009A745A" w:rsidRPr="00411BC4" w:rsidRDefault="009A745A" w:rsidP="009A745A">
            <w:pPr>
              <w:pStyle w:val="Tabletext0"/>
            </w:pPr>
            <w:r w:rsidRPr="00411BC4">
              <w:t>-$92,537</w:t>
            </w:r>
          </w:p>
          <w:p w14:paraId="7E0F66C6" w14:textId="77777777" w:rsidR="009A745A" w:rsidRPr="00411BC4" w:rsidRDefault="009A745A" w:rsidP="009A745A">
            <w:pPr>
              <w:pStyle w:val="Tabletext0"/>
            </w:pPr>
            <w:r w:rsidRPr="00411BC4">
              <w:rPr>
                <w:rStyle w:val="CommentChar"/>
                <w:rFonts w:ascii="Arial Narrow" w:hAnsi="Arial Narrow"/>
              </w:rPr>
              <w:t>-$93,279</w:t>
            </w:r>
          </w:p>
        </w:tc>
        <w:tc>
          <w:tcPr>
            <w:tcW w:w="706" w:type="pct"/>
            <w:tcBorders>
              <w:top w:val="single" w:sz="4" w:space="0" w:color="auto"/>
              <w:left w:val="single" w:sz="4" w:space="0" w:color="auto"/>
              <w:bottom w:val="single" w:sz="4" w:space="0" w:color="auto"/>
              <w:right w:val="single" w:sz="4" w:space="0" w:color="auto"/>
            </w:tcBorders>
            <w:vAlign w:val="center"/>
            <w:hideMark/>
          </w:tcPr>
          <w:p w14:paraId="2FE6AC92" w14:textId="77777777" w:rsidR="009A745A" w:rsidRPr="00411BC4" w:rsidRDefault="009A745A" w:rsidP="009A745A">
            <w:pPr>
              <w:pStyle w:val="Tabletext0"/>
            </w:pPr>
            <w:r w:rsidRPr="00411BC4">
              <w:t>-$96,490</w:t>
            </w:r>
          </w:p>
          <w:p w14:paraId="3F773395" w14:textId="77777777" w:rsidR="009A745A" w:rsidRPr="00411BC4" w:rsidRDefault="009A745A" w:rsidP="009A745A">
            <w:pPr>
              <w:pStyle w:val="Tabletext0"/>
            </w:pPr>
            <w:r w:rsidRPr="00411BC4">
              <w:rPr>
                <w:rStyle w:val="CommentChar"/>
                <w:rFonts w:ascii="Arial Narrow" w:hAnsi="Arial Narrow"/>
              </w:rPr>
              <w:t>-$97,232</w:t>
            </w:r>
          </w:p>
        </w:tc>
        <w:tc>
          <w:tcPr>
            <w:tcW w:w="736" w:type="pct"/>
            <w:tcBorders>
              <w:top w:val="single" w:sz="4" w:space="0" w:color="auto"/>
              <w:left w:val="single" w:sz="4" w:space="0" w:color="auto"/>
              <w:bottom w:val="single" w:sz="4" w:space="0" w:color="auto"/>
              <w:right w:val="single" w:sz="4" w:space="0" w:color="auto"/>
            </w:tcBorders>
            <w:vAlign w:val="center"/>
            <w:hideMark/>
          </w:tcPr>
          <w:p w14:paraId="5B02AD19" w14:textId="77777777" w:rsidR="009A745A" w:rsidRPr="00411BC4" w:rsidRDefault="009A745A" w:rsidP="009A745A">
            <w:pPr>
              <w:pStyle w:val="Tabletext0"/>
            </w:pPr>
            <w:r w:rsidRPr="00411BC4">
              <w:t>-$98,905</w:t>
            </w:r>
          </w:p>
          <w:p w14:paraId="10B78D59" w14:textId="77777777" w:rsidR="009A745A" w:rsidRPr="00411BC4" w:rsidRDefault="009A745A" w:rsidP="009A745A">
            <w:pPr>
              <w:pStyle w:val="Tabletext0"/>
            </w:pPr>
            <w:r w:rsidRPr="00411BC4">
              <w:rPr>
                <w:rStyle w:val="CommentChar"/>
                <w:rFonts w:ascii="Arial Narrow" w:hAnsi="Arial Narrow"/>
              </w:rPr>
              <w:t>-$99,647</w:t>
            </w:r>
          </w:p>
        </w:tc>
      </w:tr>
      <w:tr w:rsidR="009A745A" w14:paraId="6A338A41"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28B79F28" w14:textId="77777777" w:rsidR="009A745A" w:rsidRDefault="009A745A" w:rsidP="009A745A">
            <w:pPr>
              <w:pStyle w:val="Tabletext0"/>
            </w:pPr>
            <w:r>
              <w:t>-to MBS</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617F80" w14:textId="77777777" w:rsidR="009A745A" w:rsidRPr="00411BC4" w:rsidRDefault="009A745A" w:rsidP="009A745A">
            <w:pPr>
              <w:pStyle w:val="Tabletext0"/>
            </w:pPr>
            <w:r w:rsidRPr="00411BC4">
              <w:t>-$67,165</w:t>
            </w:r>
          </w:p>
          <w:p w14:paraId="62650D4A" w14:textId="77777777" w:rsidR="009A745A" w:rsidRPr="00411BC4" w:rsidRDefault="009A745A" w:rsidP="009A745A">
            <w:pPr>
              <w:pStyle w:val="Tabletext0"/>
              <w:rPr>
                <w:i/>
              </w:rPr>
            </w:pPr>
            <w:r w:rsidRPr="00411BC4">
              <w:rPr>
                <w:i/>
              </w:rPr>
              <w:t>-$67,375</w:t>
            </w:r>
          </w:p>
        </w:tc>
        <w:tc>
          <w:tcPr>
            <w:tcW w:w="707" w:type="pct"/>
            <w:tcBorders>
              <w:top w:val="single" w:sz="4" w:space="0" w:color="auto"/>
              <w:left w:val="single" w:sz="4" w:space="0" w:color="auto"/>
              <w:bottom w:val="single" w:sz="4" w:space="0" w:color="auto"/>
              <w:right w:val="single" w:sz="4" w:space="0" w:color="auto"/>
            </w:tcBorders>
            <w:vAlign w:val="center"/>
            <w:hideMark/>
          </w:tcPr>
          <w:p w14:paraId="59BBCE23" w14:textId="77777777" w:rsidR="009A745A" w:rsidRPr="00411BC4" w:rsidRDefault="009A745A" w:rsidP="009A745A">
            <w:pPr>
              <w:pStyle w:val="Tabletext0"/>
            </w:pPr>
            <w:r w:rsidRPr="00411BC4">
              <w:t>-$69,008</w:t>
            </w:r>
          </w:p>
          <w:p w14:paraId="14DFF108" w14:textId="77777777" w:rsidR="009A745A" w:rsidRPr="00411BC4" w:rsidRDefault="009A745A" w:rsidP="009A745A">
            <w:pPr>
              <w:pStyle w:val="Tabletext0"/>
              <w:rPr>
                <w:i/>
              </w:rPr>
            </w:pPr>
            <w:r w:rsidRPr="00411BC4">
              <w:rPr>
                <w:i/>
              </w:rPr>
              <w:t>-$69,428</w:t>
            </w:r>
          </w:p>
        </w:tc>
        <w:tc>
          <w:tcPr>
            <w:tcW w:w="705" w:type="pct"/>
            <w:tcBorders>
              <w:top w:val="single" w:sz="4" w:space="0" w:color="auto"/>
              <w:left w:val="single" w:sz="4" w:space="0" w:color="auto"/>
              <w:bottom w:val="single" w:sz="4" w:space="0" w:color="auto"/>
              <w:right w:val="single" w:sz="4" w:space="0" w:color="auto"/>
            </w:tcBorders>
            <w:vAlign w:val="center"/>
            <w:hideMark/>
          </w:tcPr>
          <w:p w14:paraId="6E2E6AFD" w14:textId="77777777" w:rsidR="009A745A" w:rsidRPr="00411BC4" w:rsidRDefault="009A745A" w:rsidP="009A745A">
            <w:pPr>
              <w:pStyle w:val="Tabletext0"/>
            </w:pPr>
            <w:r w:rsidRPr="00411BC4">
              <w:t>-$70,851</w:t>
            </w:r>
          </w:p>
          <w:p w14:paraId="05CB56C3" w14:textId="77777777" w:rsidR="009A745A" w:rsidRPr="00411BC4" w:rsidRDefault="009A745A" w:rsidP="009A745A">
            <w:pPr>
              <w:pStyle w:val="Tabletext0"/>
              <w:rPr>
                <w:i/>
              </w:rPr>
            </w:pPr>
            <w:r w:rsidRPr="00411BC4">
              <w:rPr>
                <w:i/>
              </w:rPr>
              <w:t>-$71,482</w:t>
            </w:r>
          </w:p>
        </w:tc>
        <w:tc>
          <w:tcPr>
            <w:tcW w:w="706" w:type="pct"/>
            <w:tcBorders>
              <w:top w:val="single" w:sz="4" w:space="0" w:color="auto"/>
              <w:left w:val="single" w:sz="4" w:space="0" w:color="auto"/>
              <w:bottom w:val="single" w:sz="4" w:space="0" w:color="auto"/>
              <w:right w:val="single" w:sz="4" w:space="0" w:color="auto"/>
            </w:tcBorders>
            <w:vAlign w:val="center"/>
            <w:hideMark/>
          </w:tcPr>
          <w:p w14:paraId="64CC2B36" w14:textId="77777777" w:rsidR="009A745A" w:rsidRPr="00411BC4" w:rsidRDefault="009A745A" w:rsidP="009A745A">
            <w:pPr>
              <w:pStyle w:val="Tabletext0"/>
            </w:pPr>
            <w:r w:rsidRPr="00411BC4">
              <w:t>-$74,058</w:t>
            </w:r>
          </w:p>
          <w:p w14:paraId="07A2B58D" w14:textId="77777777" w:rsidR="009A745A" w:rsidRPr="00411BC4" w:rsidRDefault="009A745A" w:rsidP="009A745A">
            <w:pPr>
              <w:pStyle w:val="Tabletext0"/>
              <w:rPr>
                <w:i/>
              </w:rPr>
            </w:pPr>
            <w:r w:rsidRPr="00411BC4">
              <w:rPr>
                <w:i/>
              </w:rPr>
              <w:t>-$74,689</w:t>
            </w:r>
          </w:p>
        </w:tc>
        <w:tc>
          <w:tcPr>
            <w:tcW w:w="736" w:type="pct"/>
            <w:tcBorders>
              <w:top w:val="single" w:sz="4" w:space="0" w:color="auto"/>
              <w:left w:val="single" w:sz="4" w:space="0" w:color="auto"/>
              <w:bottom w:val="single" w:sz="4" w:space="0" w:color="auto"/>
              <w:right w:val="single" w:sz="4" w:space="0" w:color="auto"/>
            </w:tcBorders>
            <w:vAlign w:val="center"/>
            <w:hideMark/>
          </w:tcPr>
          <w:p w14:paraId="081B8A2A" w14:textId="77777777" w:rsidR="009A745A" w:rsidRPr="00411BC4" w:rsidRDefault="009A745A" w:rsidP="009A745A">
            <w:pPr>
              <w:pStyle w:val="Tabletext0"/>
            </w:pPr>
            <w:r w:rsidRPr="00411BC4">
              <w:t>-$76,112</w:t>
            </w:r>
          </w:p>
          <w:p w14:paraId="2390199E" w14:textId="77777777" w:rsidR="009A745A" w:rsidRPr="00411BC4" w:rsidRDefault="009A745A" w:rsidP="009A745A">
            <w:pPr>
              <w:pStyle w:val="Tabletext0"/>
              <w:rPr>
                <w:i/>
              </w:rPr>
            </w:pPr>
            <w:r w:rsidRPr="00411BC4">
              <w:rPr>
                <w:i/>
              </w:rPr>
              <w:t>-$76,743</w:t>
            </w:r>
          </w:p>
        </w:tc>
      </w:tr>
      <w:tr w:rsidR="009A745A" w14:paraId="2E612BF6"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564BC0DF" w14:textId="77777777" w:rsidR="009A745A" w:rsidRDefault="009A745A" w:rsidP="009A745A">
            <w:pPr>
              <w:pStyle w:val="Tabletext0"/>
            </w:pPr>
            <w:r>
              <w:t>-to patients</w:t>
            </w:r>
          </w:p>
        </w:tc>
        <w:tc>
          <w:tcPr>
            <w:tcW w:w="704" w:type="pct"/>
            <w:tcBorders>
              <w:top w:val="single" w:sz="4" w:space="0" w:color="auto"/>
              <w:left w:val="single" w:sz="4" w:space="0" w:color="auto"/>
              <w:bottom w:val="single" w:sz="4" w:space="0" w:color="auto"/>
              <w:right w:val="single" w:sz="4" w:space="0" w:color="auto"/>
            </w:tcBorders>
            <w:vAlign w:val="center"/>
            <w:hideMark/>
          </w:tcPr>
          <w:p w14:paraId="3332FC03" w14:textId="77777777" w:rsidR="009A745A" w:rsidRPr="00411BC4" w:rsidRDefault="009A745A" w:rsidP="009A745A">
            <w:pPr>
              <w:pStyle w:val="Tabletext0"/>
            </w:pPr>
            <w:r w:rsidRPr="00411BC4">
              <w:t>-$21,036</w:t>
            </w:r>
          </w:p>
          <w:p w14:paraId="45FAC021" w14:textId="77777777" w:rsidR="009A745A" w:rsidRPr="00411BC4" w:rsidRDefault="009A745A" w:rsidP="009A745A">
            <w:pPr>
              <w:pStyle w:val="Tabletext0"/>
              <w:rPr>
                <w:i/>
              </w:rPr>
            </w:pPr>
            <w:r w:rsidRPr="00411BC4">
              <w:rPr>
                <w:i/>
              </w:rPr>
              <w:t>-$21,073</w:t>
            </w:r>
          </w:p>
        </w:tc>
        <w:tc>
          <w:tcPr>
            <w:tcW w:w="707" w:type="pct"/>
            <w:tcBorders>
              <w:top w:val="single" w:sz="4" w:space="0" w:color="auto"/>
              <w:left w:val="single" w:sz="4" w:space="0" w:color="auto"/>
              <w:bottom w:val="single" w:sz="4" w:space="0" w:color="auto"/>
              <w:right w:val="single" w:sz="4" w:space="0" w:color="auto"/>
            </w:tcBorders>
            <w:vAlign w:val="center"/>
            <w:hideMark/>
          </w:tcPr>
          <w:p w14:paraId="3FA97EF1" w14:textId="77777777" w:rsidR="009A745A" w:rsidRPr="00411BC4" w:rsidRDefault="009A745A" w:rsidP="009A745A">
            <w:pPr>
              <w:pStyle w:val="Tabletext0"/>
            </w:pPr>
            <w:r w:rsidRPr="00411BC4">
              <w:t>-$21,361</w:t>
            </w:r>
          </w:p>
          <w:p w14:paraId="6477ABEE" w14:textId="77777777" w:rsidR="009A745A" w:rsidRPr="00411BC4" w:rsidRDefault="009A745A" w:rsidP="009A745A">
            <w:pPr>
              <w:pStyle w:val="Tabletext0"/>
              <w:rPr>
                <w:i/>
              </w:rPr>
            </w:pPr>
            <w:r w:rsidRPr="00411BC4">
              <w:rPr>
                <w:i/>
              </w:rPr>
              <w:t>-$21,435</w:t>
            </w:r>
          </w:p>
        </w:tc>
        <w:tc>
          <w:tcPr>
            <w:tcW w:w="705" w:type="pct"/>
            <w:tcBorders>
              <w:top w:val="single" w:sz="4" w:space="0" w:color="auto"/>
              <w:left w:val="single" w:sz="4" w:space="0" w:color="auto"/>
              <w:bottom w:val="single" w:sz="4" w:space="0" w:color="auto"/>
              <w:right w:val="single" w:sz="4" w:space="0" w:color="auto"/>
            </w:tcBorders>
            <w:vAlign w:val="center"/>
            <w:hideMark/>
          </w:tcPr>
          <w:p w14:paraId="5E0BB522" w14:textId="77777777" w:rsidR="009A745A" w:rsidRPr="00411BC4" w:rsidRDefault="009A745A" w:rsidP="009A745A">
            <w:pPr>
              <w:pStyle w:val="Tabletext0"/>
            </w:pPr>
            <w:r w:rsidRPr="00411BC4">
              <w:t>-$21,685</w:t>
            </w:r>
          </w:p>
          <w:p w14:paraId="0230B3DE" w14:textId="77777777" w:rsidR="009A745A" w:rsidRPr="00411BC4" w:rsidRDefault="009A745A" w:rsidP="009A745A">
            <w:pPr>
              <w:pStyle w:val="Tabletext0"/>
              <w:rPr>
                <w:i/>
              </w:rPr>
            </w:pPr>
            <w:r w:rsidRPr="00411BC4">
              <w:rPr>
                <w:i/>
              </w:rPr>
              <w:t>-$21,797</w:t>
            </w:r>
          </w:p>
        </w:tc>
        <w:tc>
          <w:tcPr>
            <w:tcW w:w="706" w:type="pct"/>
            <w:tcBorders>
              <w:top w:val="single" w:sz="4" w:space="0" w:color="auto"/>
              <w:left w:val="single" w:sz="4" w:space="0" w:color="auto"/>
              <w:bottom w:val="single" w:sz="4" w:space="0" w:color="auto"/>
              <w:right w:val="single" w:sz="4" w:space="0" w:color="auto"/>
            </w:tcBorders>
            <w:vAlign w:val="center"/>
            <w:hideMark/>
          </w:tcPr>
          <w:p w14:paraId="21710F50" w14:textId="77777777" w:rsidR="009A745A" w:rsidRPr="00411BC4" w:rsidRDefault="009A745A" w:rsidP="009A745A">
            <w:pPr>
              <w:pStyle w:val="Tabletext0"/>
            </w:pPr>
            <w:r w:rsidRPr="00411BC4">
              <w:t>-$22,431</w:t>
            </w:r>
          </w:p>
          <w:p w14:paraId="0965245E" w14:textId="77777777" w:rsidR="009A745A" w:rsidRPr="00411BC4" w:rsidRDefault="009A745A" w:rsidP="009A745A">
            <w:pPr>
              <w:pStyle w:val="Tabletext0"/>
              <w:rPr>
                <w:i/>
              </w:rPr>
            </w:pPr>
            <w:r w:rsidRPr="00411BC4">
              <w:rPr>
                <w:i/>
              </w:rPr>
              <w:t>-$22,543</w:t>
            </w:r>
          </w:p>
        </w:tc>
        <w:tc>
          <w:tcPr>
            <w:tcW w:w="736" w:type="pct"/>
            <w:tcBorders>
              <w:top w:val="single" w:sz="4" w:space="0" w:color="auto"/>
              <w:left w:val="single" w:sz="4" w:space="0" w:color="auto"/>
              <w:bottom w:val="single" w:sz="4" w:space="0" w:color="auto"/>
              <w:right w:val="single" w:sz="4" w:space="0" w:color="auto"/>
            </w:tcBorders>
            <w:vAlign w:val="center"/>
            <w:hideMark/>
          </w:tcPr>
          <w:p w14:paraId="0830EC64" w14:textId="77777777" w:rsidR="009A745A" w:rsidRPr="00411BC4" w:rsidRDefault="009A745A" w:rsidP="009A745A">
            <w:pPr>
              <w:pStyle w:val="Tabletext0"/>
            </w:pPr>
            <w:r w:rsidRPr="00411BC4">
              <w:t>-$22,793</w:t>
            </w:r>
          </w:p>
          <w:p w14:paraId="57E95B52" w14:textId="77777777" w:rsidR="009A745A" w:rsidRPr="00411BC4" w:rsidRDefault="009A745A" w:rsidP="009A745A">
            <w:pPr>
              <w:pStyle w:val="Tabletext0"/>
              <w:rPr>
                <w:i/>
              </w:rPr>
            </w:pPr>
            <w:r w:rsidRPr="00411BC4">
              <w:rPr>
                <w:i/>
              </w:rPr>
              <w:t>-$22,904</w:t>
            </w:r>
          </w:p>
        </w:tc>
      </w:tr>
      <w:tr w:rsidR="009A745A" w14:paraId="2795E575" w14:textId="77777777" w:rsidTr="009A745A">
        <w:trPr>
          <w:trHeight w:val="300"/>
        </w:trPr>
        <w:tc>
          <w:tcPr>
            <w:tcW w:w="1442" w:type="pct"/>
            <w:tcBorders>
              <w:top w:val="single" w:sz="4" w:space="0" w:color="auto"/>
              <w:left w:val="single" w:sz="4" w:space="0" w:color="auto"/>
              <w:bottom w:val="single" w:sz="4" w:space="0" w:color="auto"/>
              <w:right w:val="nil"/>
            </w:tcBorders>
            <w:hideMark/>
          </w:tcPr>
          <w:p w14:paraId="60E047AB" w14:textId="77777777" w:rsidR="009A745A" w:rsidRDefault="009A745A" w:rsidP="009A745A">
            <w:pPr>
              <w:pStyle w:val="Tabletext0"/>
              <w:rPr>
                <w:b/>
                <w:bCs/>
              </w:rPr>
            </w:pPr>
            <w:r>
              <w:rPr>
                <w:b/>
                <w:bCs/>
              </w:rPr>
              <w:t>Net financial impact</w:t>
            </w:r>
          </w:p>
        </w:tc>
        <w:tc>
          <w:tcPr>
            <w:tcW w:w="704" w:type="pct"/>
            <w:tcBorders>
              <w:top w:val="single" w:sz="4" w:space="0" w:color="auto"/>
              <w:left w:val="nil"/>
              <w:bottom w:val="single" w:sz="4" w:space="0" w:color="auto"/>
              <w:right w:val="nil"/>
            </w:tcBorders>
          </w:tcPr>
          <w:p w14:paraId="172A5A05" w14:textId="77777777" w:rsidR="009A745A" w:rsidRDefault="009A745A" w:rsidP="009A745A">
            <w:pPr>
              <w:pStyle w:val="Tabletext0"/>
              <w:rPr>
                <w:b/>
                <w:bCs/>
              </w:rPr>
            </w:pPr>
          </w:p>
        </w:tc>
        <w:tc>
          <w:tcPr>
            <w:tcW w:w="707" w:type="pct"/>
            <w:tcBorders>
              <w:top w:val="single" w:sz="4" w:space="0" w:color="auto"/>
              <w:left w:val="nil"/>
              <w:bottom w:val="single" w:sz="4" w:space="0" w:color="auto"/>
              <w:right w:val="nil"/>
            </w:tcBorders>
          </w:tcPr>
          <w:p w14:paraId="4ECC1EB3" w14:textId="77777777" w:rsidR="009A745A" w:rsidRDefault="009A745A" w:rsidP="009A745A">
            <w:pPr>
              <w:pStyle w:val="Tabletext0"/>
              <w:rPr>
                <w:b/>
                <w:bCs/>
              </w:rPr>
            </w:pPr>
          </w:p>
        </w:tc>
        <w:tc>
          <w:tcPr>
            <w:tcW w:w="705" w:type="pct"/>
            <w:tcBorders>
              <w:top w:val="single" w:sz="4" w:space="0" w:color="auto"/>
              <w:left w:val="nil"/>
              <w:bottom w:val="single" w:sz="4" w:space="0" w:color="auto"/>
              <w:right w:val="nil"/>
            </w:tcBorders>
          </w:tcPr>
          <w:p w14:paraId="07C28B4D" w14:textId="77777777" w:rsidR="009A745A" w:rsidRDefault="009A745A" w:rsidP="009A745A">
            <w:pPr>
              <w:pStyle w:val="Tabletext0"/>
              <w:rPr>
                <w:b/>
                <w:bCs/>
              </w:rPr>
            </w:pPr>
          </w:p>
        </w:tc>
        <w:tc>
          <w:tcPr>
            <w:tcW w:w="706" w:type="pct"/>
            <w:tcBorders>
              <w:top w:val="single" w:sz="4" w:space="0" w:color="auto"/>
              <w:left w:val="nil"/>
              <w:bottom w:val="single" w:sz="4" w:space="0" w:color="auto"/>
              <w:right w:val="nil"/>
            </w:tcBorders>
          </w:tcPr>
          <w:p w14:paraId="4D66CD62" w14:textId="77777777" w:rsidR="009A745A" w:rsidRDefault="009A745A" w:rsidP="009A745A">
            <w:pPr>
              <w:pStyle w:val="Tabletext0"/>
              <w:rPr>
                <w:b/>
                <w:bCs/>
              </w:rPr>
            </w:pPr>
          </w:p>
        </w:tc>
        <w:tc>
          <w:tcPr>
            <w:tcW w:w="736" w:type="pct"/>
            <w:tcBorders>
              <w:top w:val="single" w:sz="4" w:space="0" w:color="auto"/>
              <w:left w:val="nil"/>
              <w:bottom w:val="single" w:sz="4" w:space="0" w:color="auto"/>
              <w:right w:val="single" w:sz="4" w:space="0" w:color="auto"/>
            </w:tcBorders>
          </w:tcPr>
          <w:p w14:paraId="7BE1FC38" w14:textId="77777777" w:rsidR="009A745A" w:rsidRDefault="009A745A" w:rsidP="009A745A">
            <w:pPr>
              <w:pStyle w:val="Tabletext0"/>
              <w:rPr>
                <w:b/>
                <w:bCs/>
              </w:rPr>
            </w:pPr>
          </w:p>
        </w:tc>
      </w:tr>
      <w:tr w:rsidR="009A745A" w14:paraId="06D3A800"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3C908FBF" w14:textId="77777777" w:rsidR="009A745A" w:rsidRDefault="009A745A" w:rsidP="009A745A">
            <w:pPr>
              <w:pStyle w:val="Tabletext0"/>
            </w:pPr>
            <w:r>
              <w:t>Total costs</w:t>
            </w:r>
          </w:p>
        </w:tc>
        <w:tc>
          <w:tcPr>
            <w:tcW w:w="704" w:type="pct"/>
            <w:tcBorders>
              <w:top w:val="single" w:sz="4" w:space="0" w:color="auto"/>
              <w:left w:val="single" w:sz="4" w:space="0" w:color="auto"/>
              <w:bottom w:val="single" w:sz="4" w:space="0" w:color="auto"/>
              <w:right w:val="single" w:sz="4" w:space="0" w:color="auto"/>
            </w:tcBorders>
            <w:vAlign w:val="bottom"/>
            <w:hideMark/>
          </w:tcPr>
          <w:p w14:paraId="10E76EDA" w14:textId="77777777" w:rsidR="009A745A" w:rsidRPr="00FD4412" w:rsidRDefault="009A745A" w:rsidP="009A745A">
            <w:pPr>
              <w:pStyle w:val="Tabletext0"/>
            </w:pPr>
            <w:r w:rsidRPr="00FD4412">
              <w:t>$368,324</w:t>
            </w:r>
          </w:p>
          <w:p w14:paraId="19945A38" w14:textId="77777777" w:rsidR="009A745A" w:rsidRPr="007C2735" w:rsidRDefault="009A745A" w:rsidP="009A745A">
            <w:pPr>
              <w:pStyle w:val="Tabletext0"/>
              <w:rPr>
                <w:i/>
              </w:rPr>
            </w:pPr>
            <w:r w:rsidRPr="007C2735">
              <w:rPr>
                <w:i/>
              </w:rPr>
              <w:t>$326,067</w:t>
            </w:r>
          </w:p>
        </w:tc>
        <w:tc>
          <w:tcPr>
            <w:tcW w:w="707" w:type="pct"/>
            <w:tcBorders>
              <w:top w:val="single" w:sz="4" w:space="0" w:color="auto"/>
              <w:left w:val="single" w:sz="4" w:space="0" w:color="auto"/>
              <w:bottom w:val="single" w:sz="4" w:space="0" w:color="auto"/>
              <w:right w:val="single" w:sz="4" w:space="0" w:color="auto"/>
            </w:tcBorders>
            <w:vAlign w:val="bottom"/>
            <w:hideMark/>
          </w:tcPr>
          <w:p w14:paraId="6B55D295" w14:textId="77777777" w:rsidR="009A745A" w:rsidRPr="00FD4412" w:rsidRDefault="009A745A" w:rsidP="009A745A">
            <w:pPr>
              <w:pStyle w:val="Tabletext0"/>
            </w:pPr>
            <w:r w:rsidRPr="00FD4412">
              <w:t>$373,787</w:t>
            </w:r>
          </w:p>
          <w:p w14:paraId="567C9FD4" w14:textId="77777777" w:rsidR="009A745A" w:rsidRPr="007C2735" w:rsidRDefault="009A745A" w:rsidP="009A745A">
            <w:pPr>
              <w:pStyle w:val="Tabletext0"/>
              <w:rPr>
                <w:i/>
              </w:rPr>
            </w:pPr>
            <w:r w:rsidRPr="007C2735">
              <w:rPr>
                <w:i/>
                <w:iCs/>
              </w:rPr>
              <w:t>$323,652</w:t>
            </w:r>
          </w:p>
        </w:tc>
        <w:tc>
          <w:tcPr>
            <w:tcW w:w="705" w:type="pct"/>
            <w:tcBorders>
              <w:top w:val="single" w:sz="4" w:space="0" w:color="auto"/>
              <w:left w:val="single" w:sz="4" w:space="0" w:color="auto"/>
              <w:bottom w:val="single" w:sz="4" w:space="0" w:color="auto"/>
              <w:right w:val="single" w:sz="4" w:space="0" w:color="auto"/>
            </w:tcBorders>
            <w:vAlign w:val="bottom"/>
            <w:hideMark/>
          </w:tcPr>
          <w:p w14:paraId="060C720B" w14:textId="77777777" w:rsidR="009A745A" w:rsidRPr="00FD4412" w:rsidRDefault="009A745A" w:rsidP="009A745A">
            <w:pPr>
              <w:pStyle w:val="Tabletext0"/>
            </w:pPr>
            <w:r w:rsidRPr="00FD4412">
              <w:t>$379,251</w:t>
            </w:r>
          </w:p>
          <w:p w14:paraId="267FC44C" w14:textId="77777777" w:rsidR="009A745A" w:rsidRPr="007C2735" w:rsidRDefault="009A745A" w:rsidP="009A745A">
            <w:pPr>
              <w:pStyle w:val="Tabletext0"/>
              <w:rPr>
                <w:i/>
              </w:rPr>
            </w:pPr>
            <w:r w:rsidRPr="007C2735">
              <w:rPr>
                <w:i/>
                <w:iCs/>
              </w:rPr>
              <w:t>$321,237</w:t>
            </w:r>
          </w:p>
        </w:tc>
        <w:tc>
          <w:tcPr>
            <w:tcW w:w="706" w:type="pct"/>
            <w:tcBorders>
              <w:top w:val="single" w:sz="4" w:space="0" w:color="auto"/>
              <w:left w:val="single" w:sz="4" w:space="0" w:color="auto"/>
              <w:bottom w:val="single" w:sz="4" w:space="0" w:color="auto"/>
              <w:right w:val="single" w:sz="4" w:space="0" w:color="auto"/>
            </w:tcBorders>
            <w:vAlign w:val="bottom"/>
            <w:hideMark/>
          </w:tcPr>
          <w:p w14:paraId="0E9A6936" w14:textId="77777777" w:rsidR="009A745A" w:rsidRPr="00FD4412" w:rsidRDefault="009A745A" w:rsidP="009A745A">
            <w:pPr>
              <w:pStyle w:val="Tabletext0"/>
            </w:pPr>
            <w:r w:rsidRPr="00FD4412">
              <w:t>$375,298</w:t>
            </w:r>
          </w:p>
          <w:p w14:paraId="54C2E8AD" w14:textId="77777777" w:rsidR="009A745A" w:rsidRPr="007C2735" w:rsidRDefault="009A745A" w:rsidP="009A745A">
            <w:pPr>
              <w:pStyle w:val="Tabletext0"/>
              <w:rPr>
                <w:i/>
              </w:rPr>
            </w:pPr>
            <w:r w:rsidRPr="007C2735">
              <w:rPr>
                <w:i/>
                <w:iCs/>
              </w:rPr>
              <w:t>$317,284</w:t>
            </w:r>
          </w:p>
        </w:tc>
        <w:tc>
          <w:tcPr>
            <w:tcW w:w="736" w:type="pct"/>
            <w:tcBorders>
              <w:top w:val="single" w:sz="4" w:space="0" w:color="auto"/>
              <w:left w:val="single" w:sz="4" w:space="0" w:color="auto"/>
              <w:bottom w:val="single" w:sz="4" w:space="0" w:color="auto"/>
              <w:right w:val="single" w:sz="4" w:space="0" w:color="auto"/>
            </w:tcBorders>
            <w:hideMark/>
          </w:tcPr>
          <w:p w14:paraId="54650731" w14:textId="77777777" w:rsidR="009A745A" w:rsidRDefault="009A745A" w:rsidP="009A745A">
            <w:pPr>
              <w:pStyle w:val="Tabletext0"/>
            </w:pPr>
            <w:r w:rsidRPr="00295BBE">
              <w:t>$372,883</w:t>
            </w:r>
          </w:p>
          <w:p w14:paraId="42D1D48B" w14:textId="77777777" w:rsidR="009A745A" w:rsidRPr="007C2735" w:rsidRDefault="009A745A" w:rsidP="009A745A">
            <w:pPr>
              <w:pStyle w:val="Tabletext0"/>
              <w:rPr>
                <w:i/>
              </w:rPr>
            </w:pPr>
            <w:r w:rsidRPr="007C2735">
              <w:rPr>
                <w:i/>
                <w:iCs/>
                <w:szCs w:val="20"/>
              </w:rPr>
              <w:t>$314,868</w:t>
            </w:r>
          </w:p>
        </w:tc>
      </w:tr>
      <w:tr w:rsidR="009A745A" w14:paraId="68BD84AE"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00E0B0C4" w14:textId="77777777" w:rsidR="009A745A" w:rsidRDefault="009A745A" w:rsidP="009A745A">
            <w:pPr>
              <w:pStyle w:val="Tabletext0"/>
            </w:pPr>
            <w:r>
              <w:t>-to MBS</w:t>
            </w:r>
          </w:p>
        </w:tc>
        <w:tc>
          <w:tcPr>
            <w:tcW w:w="704" w:type="pct"/>
            <w:tcBorders>
              <w:top w:val="single" w:sz="4" w:space="0" w:color="auto"/>
              <w:left w:val="single" w:sz="4" w:space="0" w:color="auto"/>
              <w:bottom w:val="single" w:sz="4" w:space="0" w:color="auto"/>
              <w:right w:val="single" w:sz="4" w:space="0" w:color="auto"/>
            </w:tcBorders>
            <w:vAlign w:val="bottom"/>
            <w:hideMark/>
          </w:tcPr>
          <w:p w14:paraId="46E9FB7C" w14:textId="77777777" w:rsidR="009A745A" w:rsidRPr="00FD4412" w:rsidRDefault="009A745A" w:rsidP="009A745A">
            <w:pPr>
              <w:pStyle w:val="Tabletext0"/>
            </w:pPr>
            <w:r w:rsidRPr="00FD4412">
              <w:t>$285,648</w:t>
            </w:r>
          </w:p>
          <w:p w14:paraId="1961AB4D" w14:textId="77777777" w:rsidR="009A745A" w:rsidRPr="007C2735" w:rsidRDefault="009A745A" w:rsidP="009A745A">
            <w:pPr>
              <w:pStyle w:val="Tabletext0"/>
              <w:rPr>
                <w:i/>
              </w:rPr>
            </w:pPr>
            <w:r w:rsidRPr="007C2735">
              <w:rPr>
                <w:i/>
              </w:rPr>
              <w:t>$250,067</w:t>
            </w:r>
          </w:p>
        </w:tc>
        <w:tc>
          <w:tcPr>
            <w:tcW w:w="707" w:type="pct"/>
            <w:tcBorders>
              <w:top w:val="single" w:sz="4" w:space="0" w:color="auto"/>
              <w:left w:val="single" w:sz="4" w:space="0" w:color="auto"/>
              <w:bottom w:val="single" w:sz="4" w:space="0" w:color="auto"/>
              <w:right w:val="single" w:sz="4" w:space="0" w:color="auto"/>
            </w:tcBorders>
            <w:vAlign w:val="bottom"/>
            <w:hideMark/>
          </w:tcPr>
          <w:p w14:paraId="52F57373" w14:textId="77777777" w:rsidR="009A745A" w:rsidRPr="00FD4412" w:rsidRDefault="009A745A" w:rsidP="009A745A">
            <w:pPr>
              <w:pStyle w:val="Tabletext0"/>
            </w:pPr>
            <w:r w:rsidRPr="00FD4412">
              <w:t>$289,703</w:t>
            </w:r>
          </w:p>
          <w:p w14:paraId="2D5AF1BF" w14:textId="77777777" w:rsidR="009A745A" w:rsidRPr="007C2735" w:rsidRDefault="009A745A" w:rsidP="009A745A">
            <w:pPr>
              <w:pStyle w:val="Tabletext0"/>
              <w:rPr>
                <w:i/>
              </w:rPr>
            </w:pPr>
            <w:r w:rsidRPr="007C2735">
              <w:rPr>
                <w:i/>
                <w:iCs/>
              </w:rPr>
              <w:t>$248,013</w:t>
            </w:r>
          </w:p>
        </w:tc>
        <w:tc>
          <w:tcPr>
            <w:tcW w:w="705" w:type="pct"/>
            <w:tcBorders>
              <w:top w:val="single" w:sz="4" w:space="0" w:color="auto"/>
              <w:left w:val="single" w:sz="4" w:space="0" w:color="auto"/>
              <w:bottom w:val="single" w:sz="4" w:space="0" w:color="auto"/>
              <w:right w:val="single" w:sz="4" w:space="0" w:color="auto"/>
            </w:tcBorders>
            <w:vAlign w:val="bottom"/>
            <w:hideMark/>
          </w:tcPr>
          <w:p w14:paraId="14F9069A" w14:textId="77777777" w:rsidR="009A745A" w:rsidRPr="00FD4412" w:rsidRDefault="009A745A" w:rsidP="009A745A">
            <w:pPr>
              <w:pStyle w:val="Tabletext0"/>
            </w:pPr>
            <w:r w:rsidRPr="00FD4412">
              <w:t>$293,757</w:t>
            </w:r>
          </w:p>
          <w:p w14:paraId="307F1019" w14:textId="77777777" w:rsidR="009A745A" w:rsidRPr="007C2735" w:rsidRDefault="009A745A" w:rsidP="009A745A">
            <w:pPr>
              <w:pStyle w:val="Tabletext0"/>
              <w:rPr>
                <w:i/>
              </w:rPr>
            </w:pPr>
            <w:r w:rsidRPr="007C2735">
              <w:rPr>
                <w:i/>
                <w:iCs/>
              </w:rPr>
              <w:t>$245,960</w:t>
            </w:r>
          </w:p>
        </w:tc>
        <w:tc>
          <w:tcPr>
            <w:tcW w:w="706" w:type="pct"/>
            <w:tcBorders>
              <w:top w:val="single" w:sz="4" w:space="0" w:color="auto"/>
              <w:left w:val="single" w:sz="4" w:space="0" w:color="auto"/>
              <w:bottom w:val="single" w:sz="4" w:space="0" w:color="auto"/>
              <w:right w:val="single" w:sz="4" w:space="0" w:color="auto"/>
            </w:tcBorders>
            <w:vAlign w:val="bottom"/>
            <w:hideMark/>
          </w:tcPr>
          <w:p w14:paraId="159953DE" w14:textId="77777777" w:rsidR="009A745A" w:rsidRPr="00FD4412" w:rsidRDefault="009A745A" w:rsidP="009A745A">
            <w:pPr>
              <w:pStyle w:val="Tabletext0"/>
            </w:pPr>
            <w:r w:rsidRPr="00FD4412">
              <w:t>$290,550</w:t>
            </w:r>
          </w:p>
          <w:p w14:paraId="36333BBF" w14:textId="77777777" w:rsidR="009A745A" w:rsidRPr="007C2735" w:rsidRDefault="009A745A" w:rsidP="009A745A">
            <w:pPr>
              <w:pStyle w:val="Tabletext0"/>
              <w:rPr>
                <w:i/>
              </w:rPr>
            </w:pPr>
            <w:r w:rsidRPr="007C2735">
              <w:rPr>
                <w:i/>
                <w:iCs/>
              </w:rPr>
              <w:t>$242,753</w:t>
            </w:r>
          </w:p>
        </w:tc>
        <w:tc>
          <w:tcPr>
            <w:tcW w:w="736" w:type="pct"/>
            <w:tcBorders>
              <w:top w:val="single" w:sz="4" w:space="0" w:color="auto"/>
              <w:left w:val="single" w:sz="4" w:space="0" w:color="auto"/>
              <w:bottom w:val="single" w:sz="4" w:space="0" w:color="auto"/>
              <w:right w:val="single" w:sz="4" w:space="0" w:color="auto"/>
            </w:tcBorders>
            <w:hideMark/>
          </w:tcPr>
          <w:p w14:paraId="6687EEE4" w14:textId="77777777" w:rsidR="009A745A" w:rsidRDefault="009A745A" w:rsidP="009A745A">
            <w:pPr>
              <w:pStyle w:val="Tabletext0"/>
            </w:pPr>
            <w:r w:rsidRPr="00295BBE">
              <w:t>$288,496</w:t>
            </w:r>
          </w:p>
          <w:p w14:paraId="07E49F3C" w14:textId="77777777" w:rsidR="009A745A" w:rsidRPr="007C2735" w:rsidRDefault="009A745A" w:rsidP="009A745A">
            <w:pPr>
              <w:pStyle w:val="Tabletext0"/>
              <w:rPr>
                <w:i/>
              </w:rPr>
            </w:pPr>
            <w:r w:rsidRPr="007C2735">
              <w:rPr>
                <w:i/>
                <w:iCs/>
                <w:szCs w:val="20"/>
              </w:rPr>
              <w:t>$240,699</w:t>
            </w:r>
          </w:p>
        </w:tc>
      </w:tr>
      <w:tr w:rsidR="009A745A" w14:paraId="4CB2BFA4" w14:textId="77777777" w:rsidTr="009A745A">
        <w:trPr>
          <w:trHeight w:val="300"/>
        </w:trPr>
        <w:tc>
          <w:tcPr>
            <w:tcW w:w="1442" w:type="pct"/>
            <w:tcBorders>
              <w:top w:val="single" w:sz="4" w:space="0" w:color="auto"/>
              <w:left w:val="single" w:sz="4" w:space="0" w:color="auto"/>
              <w:bottom w:val="single" w:sz="4" w:space="0" w:color="auto"/>
              <w:right w:val="single" w:sz="4" w:space="0" w:color="auto"/>
            </w:tcBorders>
            <w:hideMark/>
          </w:tcPr>
          <w:p w14:paraId="4997F6C7" w14:textId="77777777" w:rsidR="009A745A" w:rsidRDefault="009A745A" w:rsidP="009A745A">
            <w:pPr>
              <w:pStyle w:val="Tabletext0"/>
            </w:pPr>
            <w:r>
              <w:t>-to patients</w:t>
            </w:r>
          </w:p>
        </w:tc>
        <w:tc>
          <w:tcPr>
            <w:tcW w:w="704" w:type="pct"/>
            <w:tcBorders>
              <w:top w:val="single" w:sz="4" w:space="0" w:color="auto"/>
              <w:left w:val="single" w:sz="4" w:space="0" w:color="auto"/>
              <w:bottom w:val="single" w:sz="4" w:space="0" w:color="auto"/>
              <w:right w:val="single" w:sz="4" w:space="0" w:color="auto"/>
            </w:tcBorders>
            <w:vAlign w:val="bottom"/>
            <w:hideMark/>
          </w:tcPr>
          <w:p w14:paraId="65E31BE3" w14:textId="77777777" w:rsidR="009A745A" w:rsidRPr="00FD4412" w:rsidRDefault="009A745A" w:rsidP="009A745A">
            <w:pPr>
              <w:pStyle w:val="Tabletext0"/>
            </w:pPr>
            <w:r w:rsidRPr="00FD4412">
              <w:t>$82,676</w:t>
            </w:r>
          </w:p>
          <w:p w14:paraId="54B1CD5F" w14:textId="77777777" w:rsidR="009A745A" w:rsidRPr="007C2735" w:rsidRDefault="009A745A" w:rsidP="009A745A">
            <w:pPr>
              <w:pStyle w:val="Tabletext0"/>
              <w:rPr>
                <w:i/>
              </w:rPr>
            </w:pPr>
            <w:r w:rsidRPr="007C2735">
              <w:rPr>
                <w:i/>
              </w:rPr>
              <w:t>$76,000</w:t>
            </w:r>
          </w:p>
        </w:tc>
        <w:tc>
          <w:tcPr>
            <w:tcW w:w="707" w:type="pct"/>
            <w:tcBorders>
              <w:top w:val="single" w:sz="4" w:space="0" w:color="auto"/>
              <w:left w:val="single" w:sz="4" w:space="0" w:color="auto"/>
              <w:bottom w:val="single" w:sz="4" w:space="0" w:color="auto"/>
              <w:right w:val="single" w:sz="4" w:space="0" w:color="auto"/>
            </w:tcBorders>
            <w:vAlign w:val="bottom"/>
            <w:hideMark/>
          </w:tcPr>
          <w:p w14:paraId="4420A3A8" w14:textId="77777777" w:rsidR="009A745A" w:rsidRPr="00FD4412" w:rsidRDefault="009A745A" w:rsidP="009A745A">
            <w:pPr>
              <w:pStyle w:val="Tabletext0"/>
            </w:pPr>
            <w:r w:rsidRPr="00FD4412">
              <w:t>$84,085</w:t>
            </w:r>
          </w:p>
          <w:p w14:paraId="33333E52" w14:textId="77777777" w:rsidR="009A745A" w:rsidRPr="007C2735" w:rsidRDefault="009A745A" w:rsidP="009A745A">
            <w:pPr>
              <w:pStyle w:val="Tabletext0"/>
              <w:rPr>
                <w:i/>
              </w:rPr>
            </w:pPr>
            <w:r w:rsidRPr="007C2735">
              <w:rPr>
                <w:i/>
                <w:iCs/>
              </w:rPr>
              <w:t>$75,639</w:t>
            </w:r>
          </w:p>
        </w:tc>
        <w:tc>
          <w:tcPr>
            <w:tcW w:w="705" w:type="pct"/>
            <w:tcBorders>
              <w:top w:val="single" w:sz="4" w:space="0" w:color="auto"/>
              <w:left w:val="single" w:sz="4" w:space="0" w:color="auto"/>
              <w:bottom w:val="single" w:sz="4" w:space="0" w:color="auto"/>
              <w:right w:val="single" w:sz="4" w:space="0" w:color="auto"/>
            </w:tcBorders>
            <w:vAlign w:val="bottom"/>
            <w:hideMark/>
          </w:tcPr>
          <w:p w14:paraId="4FEAA4E8" w14:textId="77777777" w:rsidR="009A745A" w:rsidRPr="00FD4412" w:rsidRDefault="009A745A" w:rsidP="009A745A">
            <w:pPr>
              <w:pStyle w:val="Tabletext0"/>
            </w:pPr>
            <w:r w:rsidRPr="00FD4412">
              <w:t>$85,494</w:t>
            </w:r>
          </w:p>
          <w:p w14:paraId="77C53F4E" w14:textId="77777777" w:rsidR="009A745A" w:rsidRPr="007C2735" w:rsidRDefault="009A745A" w:rsidP="009A745A">
            <w:pPr>
              <w:pStyle w:val="Tabletext0"/>
              <w:rPr>
                <w:i/>
              </w:rPr>
            </w:pPr>
            <w:r w:rsidRPr="007C2735">
              <w:rPr>
                <w:i/>
                <w:iCs/>
              </w:rPr>
              <w:t>$75,277</w:t>
            </w:r>
          </w:p>
        </w:tc>
        <w:tc>
          <w:tcPr>
            <w:tcW w:w="706" w:type="pct"/>
            <w:tcBorders>
              <w:top w:val="single" w:sz="4" w:space="0" w:color="auto"/>
              <w:left w:val="single" w:sz="4" w:space="0" w:color="auto"/>
              <w:bottom w:val="single" w:sz="4" w:space="0" w:color="auto"/>
              <w:right w:val="single" w:sz="4" w:space="0" w:color="auto"/>
            </w:tcBorders>
            <w:vAlign w:val="bottom"/>
            <w:hideMark/>
          </w:tcPr>
          <w:p w14:paraId="651A8A2C" w14:textId="77777777" w:rsidR="009A745A" w:rsidRPr="00FD4412" w:rsidRDefault="009A745A" w:rsidP="009A745A">
            <w:pPr>
              <w:pStyle w:val="Tabletext0"/>
            </w:pPr>
            <w:r w:rsidRPr="00FD4412">
              <w:t>$84,748</w:t>
            </w:r>
          </w:p>
          <w:p w14:paraId="4633971F" w14:textId="77777777" w:rsidR="009A745A" w:rsidRPr="007C2735" w:rsidRDefault="009A745A" w:rsidP="009A745A">
            <w:pPr>
              <w:pStyle w:val="Tabletext0"/>
              <w:rPr>
                <w:i/>
              </w:rPr>
            </w:pPr>
            <w:r w:rsidRPr="007C2735">
              <w:rPr>
                <w:i/>
                <w:iCs/>
              </w:rPr>
              <w:t>$74,531</w:t>
            </w:r>
          </w:p>
        </w:tc>
        <w:tc>
          <w:tcPr>
            <w:tcW w:w="736" w:type="pct"/>
            <w:tcBorders>
              <w:top w:val="single" w:sz="4" w:space="0" w:color="auto"/>
              <w:left w:val="single" w:sz="4" w:space="0" w:color="auto"/>
              <w:bottom w:val="single" w:sz="4" w:space="0" w:color="auto"/>
              <w:right w:val="single" w:sz="4" w:space="0" w:color="auto"/>
            </w:tcBorders>
            <w:hideMark/>
          </w:tcPr>
          <w:p w14:paraId="443951A2" w14:textId="77777777" w:rsidR="009A745A" w:rsidRDefault="009A745A" w:rsidP="009A745A">
            <w:pPr>
              <w:pStyle w:val="Tabletext0"/>
            </w:pPr>
            <w:r w:rsidRPr="00295BBE">
              <w:t>$84,386</w:t>
            </w:r>
          </w:p>
          <w:p w14:paraId="65FD97BB" w14:textId="77777777" w:rsidR="009A745A" w:rsidRPr="007C2735" w:rsidRDefault="009A745A" w:rsidP="009A745A">
            <w:pPr>
              <w:pStyle w:val="Tabletext0"/>
              <w:rPr>
                <w:i/>
              </w:rPr>
            </w:pPr>
            <w:r w:rsidRPr="007C2735">
              <w:rPr>
                <w:i/>
                <w:iCs/>
                <w:szCs w:val="20"/>
              </w:rPr>
              <w:t>$74,169</w:t>
            </w:r>
          </w:p>
        </w:tc>
      </w:tr>
    </w:tbl>
    <w:p w14:paraId="006EE733" w14:textId="77777777" w:rsidR="009A745A" w:rsidRDefault="009A745A" w:rsidP="009A745A">
      <w:pPr>
        <w:pStyle w:val="TableNote"/>
      </w:pPr>
      <w:r>
        <w:t>Source: Compiled from Table 6, p28 of ADAR and Table 13 of the Commentary</w:t>
      </w:r>
    </w:p>
    <w:p w14:paraId="39A8433B" w14:textId="77777777" w:rsidR="009A745A" w:rsidRDefault="009A745A" w:rsidP="009A745A">
      <w:pPr>
        <w:pStyle w:val="TableNote"/>
      </w:pPr>
      <w:r>
        <w:t>Abbreviations: DBS, deep brain stimulation; MBS, Medicare Benefits Schedule; MRgFUS, magnetic resonance-guided focused ultrasound</w:t>
      </w:r>
    </w:p>
    <w:p w14:paraId="0727EEA7" w14:textId="77777777" w:rsidR="009A745A" w:rsidRDefault="009A745A" w:rsidP="009A745A">
      <w:pPr>
        <w:pStyle w:val="TableNote"/>
      </w:pPr>
      <w:r>
        <w:rPr>
          <w:vertAlign w:val="superscript"/>
        </w:rPr>
        <w:t xml:space="preserve">a </w:t>
      </w:r>
      <w:r>
        <w:t xml:space="preserve">57 primary procedures performed per year </w:t>
      </w:r>
    </w:p>
    <w:p w14:paraId="21FB2ECC" w14:textId="77777777" w:rsidR="009A745A" w:rsidRPr="00EB44BC" w:rsidRDefault="009A745A" w:rsidP="00007EC5">
      <w:pPr>
        <w:pStyle w:val="TableNote"/>
        <w:spacing w:after="240"/>
        <w:rPr>
          <w:rFonts w:ascii="Calibri" w:hAnsi="Calibri" w:cs="Tahoma"/>
          <w:i/>
          <w:sz w:val="22"/>
          <w:szCs w:val="22"/>
          <w:lang w:eastAsia="en-AU"/>
        </w:rPr>
      </w:pPr>
      <w:r w:rsidRPr="00EB44BC">
        <w:rPr>
          <w:i/>
        </w:rPr>
        <w:t>Note, the Commentary</w:t>
      </w:r>
      <w:r>
        <w:rPr>
          <w:i/>
        </w:rPr>
        <w:t>’s estimates in italics assumed</w:t>
      </w:r>
      <w:r w:rsidRPr="00EB44BC">
        <w:rPr>
          <w:i/>
        </w:rPr>
        <w:t xml:space="preserve"> primary procedures only, the cost of the proposed item for MRI and stereotactic anatomic localisation is as per the Ratified PICO, not the revised cost used in the ADAR (i.e., $336.00 instead $994.60) and updated MBS Schedule fees as at November 2020.</w:t>
      </w:r>
    </w:p>
    <w:p w14:paraId="3C3F0F71" w14:textId="449747C2" w:rsidR="009A745A" w:rsidRDefault="009A745A" w:rsidP="009A745A">
      <w:r>
        <w:t xml:space="preserve">The ADAR estimated 57 </w:t>
      </w:r>
      <w:proofErr w:type="spellStart"/>
      <w:r>
        <w:t>MRgFUS</w:t>
      </w:r>
      <w:proofErr w:type="spellEnd"/>
      <w:r>
        <w:t xml:space="preserve"> patients per annum in the first five years, with 12 of these switching from DBS treatment and 45 from otherwise privately funded </w:t>
      </w:r>
      <w:proofErr w:type="spellStart"/>
      <w:r>
        <w:t>MRgFUS</w:t>
      </w:r>
      <w:proofErr w:type="spellEnd"/>
      <w:r>
        <w:t xml:space="preserve"> treatment. The commentary considered there was uncertainty in this estimate, with the potential number of patients potentially underestimated as a result of uncertainty regarding:</w:t>
      </w:r>
    </w:p>
    <w:p w14:paraId="5A4038E4" w14:textId="77777777" w:rsidR="009A745A" w:rsidRPr="00181BA2" w:rsidRDefault="009A745A" w:rsidP="009A745A">
      <w:pPr>
        <w:pStyle w:val="ListParagraph"/>
        <w:numPr>
          <w:ilvl w:val="0"/>
          <w:numId w:val="32"/>
        </w:numPr>
        <w:rPr>
          <w:bCs/>
        </w:rPr>
      </w:pPr>
      <w:r>
        <w:t>the proportion of ET patients treated in an ‘MBS setting’</w:t>
      </w:r>
    </w:p>
    <w:p w14:paraId="6CD370AC" w14:textId="77777777" w:rsidR="009A745A" w:rsidRPr="00181BA2" w:rsidRDefault="009A745A" w:rsidP="009A745A">
      <w:pPr>
        <w:pStyle w:val="ListParagraph"/>
        <w:numPr>
          <w:ilvl w:val="0"/>
          <w:numId w:val="32"/>
        </w:numPr>
        <w:rPr>
          <w:bCs/>
        </w:rPr>
      </w:pPr>
      <w:r>
        <w:t>switching rates of DBS patients</w:t>
      </w:r>
    </w:p>
    <w:p w14:paraId="06965B44" w14:textId="77777777" w:rsidR="009A745A" w:rsidRPr="00181BA2" w:rsidRDefault="009A745A" w:rsidP="009A745A">
      <w:pPr>
        <w:pStyle w:val="ListParagraph"/>
        <w:numPr>
          <w:ilvl w:val="0"/>
          <w:numId w:val="32"/>
        </w:numPr>
        <w:rPr>
          <w:bCs/>
        </w:rPr>
      </w:pPr>
      <w:r>
        <w:t xml:space="preserve">the likely eligible patient population of patients with severe, </w:t>
      </w:r>
      <w:proofErr w:type="gramStart"/>
      <w:r>
        <w:t>medically-refractive</w:t>
      </w:r>
      <w:proofErr w:type="gramEnd"/>
      <w:r>
        <w:t xml:space="preserve"> ET, including those currently on BSC or sub-optimal pharmacotherapy, and the potential for MBS listing to ‘bring forward the market’ for active second-line treatment</w:t>
      </w:r>
    </w:p>
    <w:p w14:paraId="5137FF04" w14:textId="77777777" w:rsidR="009A745A" w:rsidRPr="00181BA2" w:rsidRDefault="009A745A" w:rsidP="009A745A">
      <w:pPr>
        <w:pStyle w:val="ListParagraph"/>
        <w:numPr>
          <w:ilvl w:val="0"/>
          <w:numId w:val="32"/>
        </w:numPr>
        <w:rPr>
          <w:bCs/>
        </w:rPr>
      </w:pPr>
      <w:r>
        <w:t xml:space="preserve">The likely number of </w:t>
      </w:r>
      <w:proofErr w:type="gramStart"/>
      <w:r>
        <w:t>privately-funded</w:t>
      </w:r>
      <w:proofErr w:type="gramEnd"/>
      <w:r>
        <w:t xml:space="preserve"> </w:t>
      </w:r>
      <w:proofErr w:type="spellStart"/>
      <w:r>
        <w:t>MRgFUS</w:t>
      </w:r>
      <w:proofErr w:type="spellEnd"/>
      <w:r>
        <w:t xml:space="preserve"> patients otherwise being treated.</w:t>
      </w:r>
    </w:p>
    <w:p w14:paraId="4E12CCB7" w14:textId="037E4A79" w:rsidR="009A745A" w:rsidRDefault="009A745A" w:rsidP="0039787B">
      <w:pPr>
        <w:spacing w:before="240"/>
      </w:pPr>
      <w:r>
        <w:t>The commentary also noted that DBS utilisation on the MBS has not grown since 2010 (Figure 31 of the ADAR p 203), however the ADAR estimates that 25% of DBS patients are treated for ET, based on the assumption that the proportion of patients treated with DBS in the private healthcare system is equivalent to the proportion of patients treated in the public healthcare system. However, the commentary considered it is likely that DBS surgery has a higher prevalence in the private system than the public system.</w:t>
      </w:r>
    </w:p>
    <w:p w14:paraId="55E1256C" w14:textId="30481E04" w:rsidR="009A745A" w:rsidRDefault="009A745A" w:rsidP="0039787B">
      <w:pPr>
        <w:spacing w:before="240"/>
      </w:pPr>
      <w:r>
        <w:t xml:space="preserve">Furthermore, the commentary considered that the MBS listing of </w:t>
      </w:r>
      <w:proofErr w:type="spellStart"/>
      <w:r>
        <w:t>MRgFUS</w:t>
      </w:r>
      <w:proofErr w:type="spellEnd"/>
      <w:r>
        <w:t xml:space="preserve"> has the potential to ‘grow the market’ for ET treatment, with potential financial implications for the MBS Additional analysis should be undertaken, in particular to consider the likely eligible patient population and </w:t>
      </w:r>
      <w:proofErr w:type="spellStart"/>
      <w:r>
        <w:t>MRgFUS</w:t>
      </w:r>
      <w:proofErr w:type="spellEnd"/>
      <w:r>
        <w:t xml:space="preserve"> treatment uptake.</w:t>
      </w:r>
    </w:p>
    <w:p w14:paraId="08E01059" w14:textId="10D3925E" w:rsidR="009A745A" w:rsidRDefault="009A745A" w:rsidP="0039787B">
      <w:pPr>
        <w:spacing w:before="240"/>
      </w:pPr>
      <w:r w:rsidRPr="00EB44BC">
        <w:t>In the pre-ESC response, the applicant high</w:t>
      </w:r>
      <w:r>
        <w:t xml:space="preserve">lighted that its budget impact included </w:t>
      </w:r>
      <w:r w:rsidRPr="00EB44BC">
        <w:t xml:space="preserve">growth of the MBS market as a result of </w:t>
      </w:r>
      <w:proofErr w:type="spellStart"/>
      <w:r w:rsidRPr="00EB44BC">
        <w:t>MRgFUS</w:t>
      </w:r>
      <w:proofErr w:type="spellEnd"/>
      <w:r w:rsidRPr="00EB44BC">
        <w:t xml:space="preserve"> listing. Specifically, it is estimated 90% of current </w:t>
      </w:r>
      <w:proofErr w:type="spellStart"/>
      <w:r w:rsidRPr="00EB44BC">
        <w:t>MRgFUS</w:t>
      </w:r>
      <w:proofErr w:type="spellEnd"/>
      <w:r w:rsidRPr="00EB44BC">
        <w:t xml:space="preserve"> use across the two Australian institutions which it is available (St Vincent’s Hospital Sydney and Future Medical Imaging Group Centre Melbourne) will shift to an MBS treatment setting, resulting in the MBS funding an additional 45 procedures for </w:t>
      </w:r>
      <w:r>
        <w:t xml:space="preserve">ET </w:t>
      </w:r>
      <w:r w:rsidRPr="00EB44BC">
        <w:t>annually.</w:t>
      </w:r>
    </w:p>
    <w:p w14:paraId="26239B52" w14:textId="13C3C8F8" w:rsidR="009A745A" w:rsidRDefault="009A745A" w:rsidP="009A745A">
      <w:pPr>
        <w:pStyle w:val="Heading2"/>
      </w:pPr>
      <w:r>
        <w:t>Private Health Insurers</w:t>
      </w:r>
    </w:p>
    <w:p w14:paraId="0A7B4E9A" w14:textId="7AA8B4FD" w:rsidR="009A745A" w:rsidRDefault="009A745A" w:rsidP="009A745A">
      <w:pPr>
        <w:jc w:val="both"/>
      </w:pPr>
      <w:r>
        <w:t xml:space="preserve">The ADAR estimated the financial impact of the </w:t>
      </w:r>
      <w:proofErr w:type="spellStart"/>
      <w:r>
        <w:t>MRgFUS</w:t>
      </w:r>
      <w:proofErr w:type="spellEnd"/>
      <w:r>
        <w:t xml:space="preserve"> single-use kit being reimbursed on the Prostheses List at the proposed amount, </w:t>
      </w:r>
      <w:r w:rsidRPr="00270DF6">
        <w:rPr>
          <w:b/>
        </w:rPr>
        <w:t>$</w:t>
      </w:r>
      <w:proofErr w:type="gramStart"/>
      <w:r w:rsidR="003F74DB" w:rsidRPr="00270DF6">
        <w:rPr>
          <w:b/>
        </w:rPr>
        <w:t>Redacted</w:t>
      </w:r>
      <w:r w:rsidR="003F74DB" w:rsidDel="003F74DB">
        <w:t xml:space="preserve"> </w:t>
      </w:r>
      <w:r>
        <w:t>.</w:t>
      </w:r>
      <w:proofErr w:type="gramEnd"/>
      <w:r>
        <w:t xml:space="preserve"> The same prostheses costs associated with DBS procedures in the economic evaluation were applied in estimating the financial impact to private health insurers of substituting DBS procedures. The Commentary revised the estimates to exclude re-treated patients and reflect reduced DBS treatment numbers reducing the financial impact to private health insurers (see italicised values below in Table 14).</w:t>
      </w:r>
    </w:p>
    <w:p w14:paraId="378318ED" w14:textId="77777777" w:rsidR="009A745A" w:rsidRPr="00931016" w:rsidRDefault="009A745A" w:rsidP="009A745A">
      <w:pPr>
        <w:pStyle w:val="Caption"/>
        <w:spacing w:after="0"/>
      </w:pPr>
      <w:bookmarkStart w:id="45" w:name="_Ref57724056"/>
      <w:bookmarkStart w:id="46" w:name="_Toc60942881"/>
      <w:r>
        <w:lastRenderedPageBreak/>
        <w:t>Table</w:t>
      </w:r>
      <w:bookmarkEnd w:id="45"/>
      <w:r>
        <w:t xml:space="preserve"> 14</w:t>
      </w:r>
      <w:r>
        <w:tab/>
        <w:t xml:space="preserve">Financial impact to private health insurers of listing the </w:t>
      </w:r>
      <w:proofErr w:type="spellStart"/>
      <w:r>
        <w:t>MRgFUS</w:t>
      </w:r>
      <w:proofErr w:type="spellEnd"/>
      <w:r>
        <w:t xml:space="preserve"> kit on the Prostheses List</w:t>
      </w:r>
      <w:bookmarkEnd w:id="46"/>
    </w:p>
    <w:tbl>
      <w:tblPr>
        <w:tblStyle w:val="TableGrid1"/>
        <w:tblW w:w="5000" w:type="pct"/>
        <w:tblLayout w:type="fixed"/>
        <w:tblCellMar>
          <w:left w:w="28" w:type="dxa"/>
          <w:right w:w="28" w:type="dxa"/>
        </w:tblCellMar>
        <w:tblLook w:val="04A0" w:firstRow="1" w:lastRow="0" w:firstColumn="1" w:lastColumn="0" w:noHBand="0" w:noVBand="1"/>
        <w:tblCaption w:val="Table 13 Financial impact to private health insurers of listing the MRgFUS kit on the Prostheses List"/>
        <w:tblDescription w:val="Summary of financial impact"/>
      </w:tblPr>
      <w:tblGrid>
        <w:gridCol w:w="657"/>
        <w:gridCol w:w="2176"/>
        <w:gridCol w:w="1048"/>
        <w:gridCol w:w="1048"/>
        <w:gridCol w:w="1049"/>
        <w:gridCol w:w="1048"/>
        <w:gridCol w:w="1049"/>
        <w:gridCol w:w="941"/>
      </w:tblGrid>
      <w:tr w:rsidR="009A745A" w:rsidRPr="00F00E0C" w14:paraId="0A024FC8" w14:textId="77777777" w:rsidTr="009A745A">
        <w:trPr>
          <w:cnfStyle w:val="100000000000" w:firstRow="1" w:lastRow="0" w:firstColumn="0" w:lastColumn="0" w:oddVBand="0" w:evenVBand="0" w:oddHBand="0" w:evenHBand="0" w:firstRowFirstColumn="0" w:firstRowLastColumn="0" w:lastRowFirstColumn="0" w:lastRowLastColumn="0"/>
          <w:cantSplit/>
          <w:trHeight w:val="290"/>
          <w:tblHeader/>
        </w:trPr>
        <w:tc>
          <w:tcPr>
            <w:tcW w:w="364" w:type="pct"/>
            <w:tcBorders>
              <w:bottom w:val="single" w:sz="4" w:space="0" w:color="auto"/>
            </w:tcBorders>
            <w:vAlign w:val="center"/>
          </w:tcPr>
          <w:p w14:paraId="3B6011AB" w14:textId="77777777" w:rsidR="009A745A" w:rsidRPr="00F00E0C" w:rsidRDefault="009A745A" w:rsidP="009A745A">
            <w:pPr>
              <w:pStyle w:val="Tabletext0"/>
              <w:widowControl w:val="0"/>
              <w:jc w:val="both"/>
              <w:rPr>
                <w:b/>
                <w:bCs/>
                <w:szCs w:val="20"/>
              </w:rPr>
            </w:pPr>
            <w:r w:rsidRPr="00F00E0C">
              <w:rPr>
                <w:b/>
                <w:bCs/>
                <w:szCs w:val="20"/>
              </w:rPr>
              <w:t>Row</w:t>
            </w:r>
          </w:p>
        </w:tc>
        <w:tc>
          <w:tcPr>
            <w:tcW w:w="1207" w:type="pct"/>
            <w:tcBorders>
              <w:bottom w:val="single" w:sz="4" w:space="0" w:color="auto"/>
            </w:tcBorders>
            <w:noWrap/>
            <w:vAlign w:val="center"/>
            <w:hideMark/>
          </w:tcPr>
          <w:p w14:paraId="6F92913A" w14:textId="77777777" w:rsidR="009A745A" w:rsidRPr="00F00E0C" w:rsidRDefault="009A745A" w:rsidP="009A745A">
            <w:pPr>
              <w:pStyle w:val="Tabletext0"/>
              <w:widowControl w:val="0"/>
              <w:jc w:val="both"/>
              <w:rPr>
                <w:b/>
                <w:bCs/>
                <w:szCs w:val="20"/>
              </w:rPr>
            </w:pPr>
          </w:p>
        </w:tc>
        <w:tc>
          <w:tcPr>
            <w:tcW w:w="581" w:type="pct"/>
            <w:tcBorders>
              <w:bottom w:val="single" w:sz="4" w:space="0" w:color="auto"/>
            </w:tcBorders>
            <w:noWrap/>
            <w:vAlign w:val="center"/>
            <w:hideMark/>
          </w:tcPr>
          <w:p w14:paraId="64DA628B" w14:textId="77777777" w:rsidR="009A745A" w:rsidRPr="00F00E0C" w:rsidRDefault="009A745A" w:rsidP="009A745A">
            <w:pPr>
              <w:pStyle w:val="Tabletext0"/>
              <w:widowControl w:val="0"/>
              <w:jc w:val="center"/>
              <w:rPr>
                <w:b/>
                <w:bCs/>
                <w:szCs w:val="20"/>
              </w:rPr>
            </w:pPr>
            <w:r w:rsidRPr="00F00E0C">
              <w:rPr>
                <w:b/>
                <w:bCs/>
                <w:szCs w:val="20"/>
              </w:rPr>
              <w:t>Year 1</w:t>
            </w:r>
          </w:p>
        </w:tc>
        <w:tc>
          <w:tcPr>
            <w:tcW w:w="581" w:type="pct"/>
            <w:tcBorders>
              <w:bottom w:val="single" w:sz="4" w:space="0" w:color="auto"/>
            </w:tcBorders>
            <w:noWrap/>
            <w:vAlign w:val="center"/>
            <w:hideMark/>
          </w:tcPr>
          <w:p w14:paraId="29034DBB" w14:textId="77777777" w:rsidR="009A745A" w:rsidRPr="00F00E0C" w:rsidRDefault="009A745A" w:rsidP="009A745A">
            <w:pPr>
              <w:pStyle w:val="Tabletext0"/>
              <w:widowControl w:val="0"/>
              <w:jc w:val="center"/>
              <w:rPr>
                <w:b/>
                <w:bCs/>
                <w:szCs w:val="20"/>
              </w:rPr>
            </w:pPr>
            <w:r w:rsidRPr="00F00E0C">
              <w:rPr>
                <w:b/>
                <w:bCs/>
                <w:szCs w:val="20"/>
              </w:rPr>
              <w:t>Year 2</w:t>
            </w:r>
          </w:p>
        </w:tc>
        <w:tc>
          <w:tcPr>
            <w:tcW w:w="582" w:type="pct"/>
            <w:tcBorders>
              <w:bottom w:val="single" w:sz="4" w:space="0" w:color="auto"/>
            </w:tcBorders>
            <w:noWrap/>
            <w:vAlign w:val="center"/>
            <w:hideMark/>
          </w:tcPr>
          <w:p w14:paraId="7EC9D399" w14:textId="77777777" w:rsidR="009A745A" w:rsidRPr="00F00E0C" w:rsidRDefault="009A745A" w:rsidP="009A745A">
            <w:pPr>
              <w:pStyle w:val="Tabletext0"/>
              <w:widowControl w:val="0"/>
              <w:jc w:val="center"/>
              <w:rPr>
                <w:b/>
                <w:bCs/>
                <w:szCs w:val="20"/>
              </w:rPr>
            </w:pPr>
            <w:r w:rsidRPr="00F00E0C">
              <w:rPr>
                <w:b/>
                <w:bCs/>
                <w:szCs w:val="20"/>
              </w:rPr>
              <w:t>Year 3</w:t>
            </w:r>
          </w:p>
        </w:tc>
        <w:tc>
          <w:tcPr>
            <w:tcW w:w="581" w:type="pct"/>
            <w:tcBorders>
              <w:bottom w:val="single" w:sz="4" w:space="0" w:color="auto"/>
            </w:tcBorders>
            <w:noWrap/>
            <w:vAlign w:val="center"/>
            <w:hideMark/>
          </w:tcPr>
          <w:p w14:paraId="1FC79E87" w14:textId="77777777" w:rsidR="009A745A" w:rsidRPr="00F00E0C" w:rsidRDefault="009A745A" w:rsidP="009A745A">
            <w:pPr>
              <w:pStyle w:val="Tabletext0"/>
              <w:widowControl w:val="0"/>
              <w:jc w:val="center"/>
              <w:rPr>
                <w:b/>
                <w:bCs/>
                <w:szCs w:val="20"/>
              </w:rPr>
            </w:pPr>
            <w:r w:rsidRPr="00F00E0C">
              <w:rPr>
                <w:b/>
                <w:bCs/>
                <w:szCs w:val="20"/>
              </w:rPr>
              <w:t>Year 4</w:t>
            </w:r>
          </w:p>
        </w:tc>
        <w:tc>
          <w:tcPr>
            <w:tcW w:w="582" w:type="pct"/>
            <w:tcBorders>
              <w:bottom w:val="single" w:sz="4" w:space="0" w:color="auto"/>
            </w:tcBorders>
            <w:noWrap/>
            <w:vAlign w:val="center"/>
            <w:hideMark/>
          </w:tcPr>
          <w:p w14:paraId="481963F4" w14:textId="77777777" w:rsidR="009A745A" w:rsidRPr="00F00E0C" w:rsidRDefault="009A745A" w:rsidP="009A745A">
            <w:pPr>
              <w:pStyle w:val="Tabletext0"/>
              <w:widowControl w:val="0"/>
              <w:jc w:val="center"/>
              <w:rPr>
                <w:b/>
                <w:bCs/>
                <w:szCs w:val="20"/>
              </w:rPr>
            </w:pPr>
            <w:r w:rsidRPr="00F00E0C">
              <w:rPr>
                <w:b/>
                <w:bCs/>
                <w:szCs w:val="20"/>
              </w:rPr>
              <w:t>Year 5</w:t>
            </w:r>
          </w:p>
        </w:tc>
        <w:tc>
          <w:tcPr>
            <w:tcW w:w="522" w:type="pct"/>
            <w:tcBorders>
              <w:bottom w:val="single" w:sz="4" w:space="0" w:color="auto"/>
            </w:tcBorders>
            <w:noWrap/>
            <w:vAlign w:val="center"/>
          </w:tcPr>
          <w:p w14:paraId="111C695A" w14:textId="77777777" w:rsidR="009A745A" w:rsidRPr="00F00E0C" w:rsidRDefault="009A745A" w:rsidP="009A745A">
            <w:pPr>
              <w:pStyle w:val="Tabletext0"/>
              <w:widowControl w:val="0"/>
              <w:jc w:val="center"/>
              <w:rPr>
                <w:b/>
                <w:bCs/>
                <w:szCs w:val="20"/>
              </w:rPr>
            </w:pPr>
            <w:r w:rsidRPr="00F00E0C">
              <w:rPr>
                <w:b/>
                <w:bCs/>
                <w:szCs w:val="20"/>
              </w:rPr>
              <w:t>Source / calculation</w:t>
            </w:r>
          </w:p>
        </w:tc>
      </w:tr>
      <w:tr w:rsidR="009A745A" w:rsidRPr="00F00E0C" w14:paraId="33E688EF" w14:textId="77777777" w:rsidTr="009A745A">
        <w:trPr>
          <w:cnfStyle w:val="100000000000" w:firstRow="1" w:lastRow="0" w:firstColumn="0" w:lastColumn="0" w:oddVBand="0" w:evenVBand="0" w:oddHBand="0" w:evenHBand="0" w:firstRowFirstColumn="0" w:firstRowLastColumn="0" w:lastRowFirstColumn="0" w:lastRowLastColumn="0"/>
          <w:cantSplit/>
          <w:trHeight w:val="290"/>
          <w:tblHeader/>
        </w:trPr>
        <w:tc>
          <w:tcPr>
            <w:tcW w:w="364" w:type="pct"/>
            <w:tcBorders>
              <w:top w:val="single" w:sz="4" w:space="0" w:color="auto"/>
              <w:left w:val="single" w:sz="4" w:space="0" w:color="auto"/>
              <w:bottom w:val="single" w:sz="4" w:space="0" w:color="auto"/>
              <w:right w:val="nil"/>
            </w:tcBorders>
            <w:vAlign w:val="center"/>
          </w:tcPr>
          <w:p w14:paraId="15BB53F8" w14:textId="77777777" w:rsidR="009A745A" w:rsidRPr="00F00E0C" w:rsidRDefault="009A745A" w:rsidP="009A745A">
            <w:pPr>
              <w:pStyle w:val="Tabletext0"/>
              <w:widowControl w:val="0"/>
              <w:jc w:val="center"/>
              <w:rPr>
                <w:szCs w:val="20"/>
              </w:rPr>
            </w:pPr>
          </w:p>
        </w:tc>
        <w:tc>
          <w:tcPr>
            <w:tcW w:w="1207" w:type="pct"/>
            <w:tcBorders>
              <w:top w:val="single" w:sz="4" w:space="0" w:color="auto"/>
              <w:left w:val="nil"/>
              <w:bottom w:val="single" w:sz="4" w:space="0" w:color="auto"/>
              <w:right w:val="nil"/>
            </w:tcBorders>
            <w:noWrap/>
            <w:vAlign w:val="center"/>
          </w:tcPr>
          <w:p w14:paraId="4E91204B" w14:textId="77777777" w:rsidR="009A745A" w:rsidRPr="00F00E0C" w:rsidRDefault="009A745A" w:rsidP="009A745A">
            <w:pPr>
              <w:pStyle w:val="Tabletext0"/>
              <w:widowControl w:val="0"/>
              <w:rPr>
                <w:szCs w:val="20"/>
              </w:rPr>
            </w:pPr>
            <w:proofErr w:type="spellStart"/>
            <w:r w:rsidRPr="00F00E0C">
              <w:rPr>
                <w:b/>
                <w:bCs/>
                <w:szCs w:val="20"/>
              </w:rPr>
              <w:t>MRgFUS</w:t>
            </w:r>
            <w:proofErr w:type="spellEnd"/>
          </w:p>
        </w:tc>
        <w:tc>
          <w:tcPr>
            <w:tcW w:w="581" w:type="pct"/>
            <w:tcBorders>
              <w:top w:val="single" w:sz="4" w:space="0" w:color="auto"/>
              <w:left w:val="nil"/>
              <w:bottom w:val="single" w:sz="4" w:space="0" w:color="auto"/>
              <w:right w:val="nil"/>
            </w:tcBorders>
            <w:noWrap/>
            <w:vAlign w:val="center"/>
          </w:tcPr>
          <w:p w14:paraId="3090B6DD" w14:textId="77777777" w:rsidR="009A745A" w:rsidRPr="00F00E0C" w:rsidRDefault="009A745A" w:rsidP="009A745A">
            <w:pPr>
              <w:pStyle w:val="Tabletext0"/>
              <w:widowControl w:val="0"/>
              <w:jc w:val="center"/>
              <w:rPr>
                <w:szCs w:val="20"/>
              </w:rPr>
            </w:pPr>
          </w:p>
        </w:tc>
        <w:tc>
          <w:tcPr>
            <w:tcW w:w="581" w:type="pct"/>
            <w:tcBorders>
              <w:top w:val="single" w:sz="4" w:space="0" w:color="auto"/>
              <w:left w:val="nil"/>
              <w:bottom w:val="single" w:sz="4" w:space="0" w:color="auto"/>
              <w:right w:val="nil"/>
            </w:tcBorders>
            <w:noWrap/>
            <w:vAlign w:val="center"/>
          </w:tcPr>
          <w:p w14:paraId="3AC3F90D" w14:textId="77777777" w:rsidR="009A745A" w:rsidRPr="00F00E0C" w:rsidRDefault="009A745A" w:rsidP="009A745A">
            <w:pPr>
              <w:pStyle w:val="Tabletext0"/>
              <w:widowControl w:val="0"/>
              <w:jc w:val="center"/>
              <w:rPr>
                <w:szCs w:val="20"/>
              </w:rPr>
            </w:pPr>
          </w:p>
        </w:tc>
        <w:tc>
          <w:tcPr>
            <w:tcW w:w="582" w:type="pct"/>
            <w:tcBorders>
              <w:top w:val="single" w:sz="4" w:space="0" w:color="auto"/>
              <w:left w:val="nil"/>
              <w:bottom w:val="single" w:sz="4" w:space="0" w:color="auto"/>
              <w:right w:val="nil"/>
            </w:tcBorders>
            <w:noWrap/>
            <w:vAlign w:val="center"/>
          </w:tcPr>
          <w:p w14:paraId="0B364D7B" w14:textId="77777777" w:rsidR="009A745A" w:rsidRPr="00F00E0C" w:rsidRDefault="009A745A" w:rsidP="009A745A">
            <w:pPr>
              <w:pStyle w:val="Tabletext0"/>
              <w:widowControl w:val="0"/>
              <w:jc w:val="center"/>
              <w:rPr>
                <w:szCs w:val="20"/>
              </w:rPr>
            </w:pPr>
          </w:p>
        </w:tc>
        <w:tc>
          <w:tcPr>
            <w:tcW w:w="581" w:type="pct"/>
            <w:tcBorders>
              <w:top w:val="single" w:sz="4" w:space="0" w:color="auto"/>
              <w:left w:val="nil"/>
              <w:bottom w:val="single" w:sz="4" w:space="0" w:color="auto"/>
              <w:right w:val="nil"/>
            </w:tcBorders>
            <w:noWrap/>
            <w:vAlign w:val="center"/>
          </w:tcPr>
          <w:p w14:paraId="3D470E6C" w14:textId="77777777" w:rsidR="009A745A" w:rsidRPr="00F00E0C" w:rsidRDefault="009A745A" w:rsidP="009A745A">
            <w:pPr>
              <w:pStyle w:val="Tabletext0"/>
              <w:widowControl w:val="0"/>
              <w:jc w:val="center"/>
              <w:rPr>
                <w:szCs w:val="20"/>
              </w:rPr>
            </w:pPr>
          </w:p>
        </w:tc>
        <w:tc>
          <w:tcPr>
            <w:tcW w:w="582" w:type="pct"/>
            <w:tcBorders>
              <w:top w:val="single" w:sz="4" w:space="0" w:color="auto"/>
              <w:left w:val="nil"/>
              <w:bottom w:val="single" w:sz="4" w:space="0" w:color="auto"/>
              <w:right w:val="nil"/>
            </w:tcBorders>
            <w:noWrap/>
            <w:vAlign w:val="center"/>
          </w:tcPr>
          <w:p w14:paraId="6A011B8D" w14:textId="77777777" w:rsidR="009A745A" w:rsidRPr="00F00E0C" w:rsidRDefault="009A745A" w:rsidP="009A745A">
            <w:pPr>
              <w:pStyle w:val="Tabletext0"/>
              <w:widowControl w:val="0"/>
              <w:jc w:val="center"/>
              <w:rPr>
                <w:szCs w:val="20"/>
              </w:rPr>
            </w:pPr>
          </w:p>
        </w:tc>
        <w:tc>
          <w:tcPr>
            <w:tcW w:w="522" w:type="pct"/>
            <w:tcBorders>
              <w:top w:val="single" w:sz="4" w:space="0" w:color="auto"/>
              <w:left w:val="nil"/>
              <w:bottom w:val="single" w:sz="4" w:space="0" w:color="auto"/>
              <w:right w:val="single" w:sz="4" w:space="0" w:color="auto"/>
            </w:tcBorders>
            <w:noWrap/>
            <w:vAlign w:val="center"/>
          </w:tcPr>
          <w:p w14:paraId="478AD3A7" w14:textId="77777777" w:rsidR="009A745A" w:rsidRPr="00F00E0C" w:rsidRDefault="009A745A" w:rsidP="009A745A">
            <w:pPr>
              <w:pStyle w:val="Tabletext0"/>
              <w:widowControl w:val="0"/>
              <w:jc w:val="center"/>
              <w:rPr>
                <w:szCs w:val="20"/>
              </w:rPr>
            </w:pPr>
          </w:p>
        </w:tc>
      </w:tr>
      <w:tr w:rsidR="009A745A" w:rsidRPr="00F00E0C" w14:paraId="2A120FC4" w14:textId="77777777" w:rsidTr="009A745A">
        <w:trPr>
          <w:cnfStyle w:val="100000000000" w:firstRow="1" w:lastRow="0" w:firstColumn="0" w:lastColumn="0" w:oddVBand="0" w:evenVBand="0" w:oddHBand="0" w:evenHBand="0" w:firstRowFirstColumn="0" w:firstRowLastColumn="0" w:lastRowFirstColumn="0" w:lastRowLastColumn="0"/>
          <w:cantSplit/>
          <w:trHeight w:val="290"/>
          <w:tblHeader/>
        </w:trPr>
        <w:tc>
          <w:tcPr>
            <w:tcW w:w="364" w:type="pct"/>
            <w:tcBorders>
              <w:top w:val="single" w:sz="4" w:space="0" w:color="auto"/>
            </w:tcBorders>
            <w:vAlign w:val="center"/>
          </w:tcPr>
          <w:p w14:paraId="2E1FF571" w14:textId="77777777" w:rsidR="009A745A" w:rsidRPr="00F00E0C" w:rsidRDefault="009A745A" w:rsidP="009A745A">
            <w:pPr>
              <w:pStyle w:val="Tabletext0"/>
              <w:widowControl w:val="0"/>
              <w:jc w:val="center"/>
              <w:rPr>
                <w:szCs w:val="20"/>
              </w:rPr>
            </w:pPr>
            <w:r w:rsidRPr="00F00E0C">
              <w:rPr>
                <w:szCs w:val="20"/>
              </w:rPr>
              <w:t>A</w:t>
            </w:r>
          </w:p>
        </w:tc>
        <w:tc>
          <w:tcPr>
            <w:tcW w:w="1207" w:type="pct"/>
            <w:tcBorders>
              <w:top w:val="single" w:sz="4" w:space="0" w:color="auto"/>
            </w:tcBorders>
            <w:noWrap/>
            <w:vAlign w:val="center"/>
            <w:hideMark/>
          </w:tcPr>
          <w:p w14:paraId="1B17C7DF" w14:textId="77777777" w:rsidR="009A745A" w:rsidRPr="00F00E0C" w:rsidRDefault="009A745A" w:rsidP="009A745A">
            <w:pPr>
              <w:pStyle w:val="Tabletext0"/>
              <w:widowControl w:val="0"/>
              <w:rPr>
                <w:szCs w:val="20"/>
              </w:rPr>
            </w:pPr>
            <w:proofErr w:type="spellStart"/>
            <w:r w:rsidRPr="00F00E0C">
              <w:rPr>
                <w:szCs w:val="20"/>
              </w:rPr>
              <w:t>MRgFUS</w:t>
            </w:r>
            <w:proofErr w:type="spellEnd"/>
            <w:r w:rsidRPr="00F00E0C">
              <w:rPr>
                <w:szCs w:val="20"/>
              </w:rPr>
              <w:t xml:space="preserve"> procedures</w:t>
            </w:r>
          </w:p>
        </w:tc>
        <w:tc>
          <w:tcPr>
            <w:tcW w:w="581" w:type="pct"/>
            <w:tcBorders>
              <w:top w:val="single" w:sz="4" w:space="0" w:color="auto"/>
            </w:tcBorders>
            <w:noWrap/>
            <w:vAlign w:val="center"/>
            <w:hideMark/>
          </w:tcPr>
          <w:p w14:paraId="7A5B64FD" w14:textId="77777777" w:rsidR="009A745A" w:rsidRPr="00F00E0C" w:rsidRDefault="009A745A" w:rsidP="009A745A">
            <w:pPr>
              <w:pStyle w:val="Tabletext0"/>
              <w:widowControl w:val="0"/>
              <w:jc w:val="center"/>
              <w:rPr>
                <w:szCs w:val="20"/>
              </w:rPr>
            </w:pPr>
            <w:r w:rsidRPr="00F00E0C">
              <w:rPr>
                <w:szCs w:val="20"/>
              </w:rPr>
              <w:t>58</w:t>
            </w:r>
          </w:p>
          <w:p w14:paraId="1F3E39D8" w14:textId="77777777" w:rsidR="009A745A" w:rsidRPr="00F00E0C" w:rsidRDefault="009A745A" w:rsidP="009A745A">
            <w:pPr>
              <w:pStyle w:val="Comment"/>
              <w:widowControl w:val="0"/>
              <w:spacing w:before="40" w:after="40" w:line="240" w:lineRule="auto"/>
              <w:jc w:val="center"/>
              <w:rPr>
                <w:rFonts w:ascii="Arial Narrow" w:hAnsi="Arial Narrow"/>
                <w:sz w:val="20"/>
                <w:szCs w:val="20"/>
              </w:rPr>
            </w:pPr>
            <w:r w:rsidRPr="00F00E0C">
              <w:rPr>
                <w:rFonts w:ascii="Arial Narrow" w:hAnsi="Arial Narrow"/>
                <w:sz w:val="20"/>
                <w:szCs w:val="20"/>
              </w:rPr>
              <w:t>57</w:t>
            </w:r>
          </w:p>
        </w:tc>
        <w:tc>
          <w:tcPr>
            <w:tcW w:w="581" w:type="pct"/>
            <w:tcBorders>
              <w:top w:val="single" w:sz="4" w:space="0" w:color="auto"/>
            </w:tcBorders>
            <w:noWrap/>
            <w:vAlign w:val="center"/>
            <w:hideMark/>
          </w:tcPr>
          <w:p w14:paraId="313DD7BB" w14:textId="77777777" w:rsidR="009A745A" w:rsidRPr="00F00E0C" w:rsidRDefault="009A745A" w:rsidP="009A745A">
            <w:pPr>
              <w:pStyle w:val="Tabletext0"/>
              <w:widowControl w:val="0"/>
              <w:jc w:val="center"/>
              <w:rPr>
                <w:szCs w:val="20"/>
              </w:rPr>
            </w:pPr>
            <w:r w:rsidRPr="00F00E0C">
              <w:rPr>
                <w:szCs w:val="20"/>
              </w:rPr>
              <w:t>59</w:t>
            </w:r>
          </w:p>
          <w:p w14:paraId="2C89E69E" w14:textId="77777777" w:rsidR="009A745A" w:rsidRPr="00F00E0C" w:rsidRDefault="009A745A" w:rsidP="009A745A">
            <w:pPr>
              <w:pStyle w:val="Comment"/>
              <w:widowControl w:val="0"/>
              <w:spacing w:before="40" w:after="40" w:line="240" w:lineRule="auto"/>
              <w:jc w:val="center"/>
              <w:rPr>
                <w:rFonts w:ascii="Arial Narrow" w:hAnsi="Arial Narrow"/>
                <w:sz w:val="20"/>
                <w:szCs w:val="20"/>
              </w:rPr>
            </w:pPr>
            <w:r w:rsidRPr="00F00E0C">
              <w:rPr>
                <w:rFonts w:ascii="Arial Narrow" w:hAnsi="Arial Narrow"/>
                <w:sz w:val="20"/>
                <w:szCs w:val="20"/>
              </w:rPr>
              <w:t>57</w:t>
            </w:r>
          </w:p>
        </w:tc>
        <w:tc>
          <w:tcPr>
            <w:tcW w:w="582" w:type="pct"/>
            <w:tcBorders>
              <w:top w:val="single" w:sz="4" w:space="0" w:color="auto"/>
            </w:tcBorders>
            <w:noWrap/>
            <w:vAlign w:val="center"/>
            <w:hideMark/>
          </w:tcPr>
          <w:p w14:paraId="41611264" w14:textId="77777777" w:rsidR="009A745A" w:rsidRPr="00F00E0C" w:rsidRDefault="009A745A" w:rsidP="009A745A">
            <w:pPr>
              <w:pStyle w:val="Tabletext0"/>
              <w:widowControl w:val="0"/>
              <w:jc w:val="center"/>
              <w:rPr>
                <w:szCs w:val="20"/>
              </w:rPr>
            </w:pPr>
            <w:r w:rsidRPr="00F00E0C">
              <w:rPr>
                <w:szCs w:val="20"/>
              </w:rPr>
              <w:t>60</w:t>
            </w:r>
          </w:p>
          <w:p w14:paraId="440B5BBF" w14:textId="77777777" w:rsidR="009A745A" w:rsidRPr="00F00E0C" w:rsidRDefault="009A745A" w:rsidP="009A745A">
            <w:pPr>
              <w:pStyle w:val="Comment"/>
              <w:widowControl w:val="0"/>
              <w:spacing w:before="40" w:after="40" w:line="240" w:lineRule="auto"/>
              <w:jc w:val="center"/>
              <w:rPr>
                <w:rFonts w:ascii="Arial Narrow" w:hAnsi="Arial Narrow"/>
                <w:sz w:val="20"/>
                <w:szCs w:val="20"/>
              </w:rPr>
            </w:pPr>
            <w:r w:rsidRPr="00F00E0C">
              <w:rPr>
                <w:rFonts w:ascii="Arial Narrow" w:hAnsi="Arial Narrow"/>
                <w:sz w:val="20"/>
                <w:szCs w:val="20"/>
              </w:rPr>
              <w:t>57</w:t>
            </w:r>
          </w:p>
        </w:tc>
        <w:tc>
          <w:tcPr>
            <w:tcW w:w="581" w:type="pct"/>
            <w:tcBorders>
              <w:top w:val="single" w:sz="4" w:space="0" w:color="auto"/>
            </w:tcBorders>
            <w:noWrap/>
            <w:vAlign w:val="center"/>
            <w:hideMark/>
          </w:tcPr>
          <w:p w14:paraId="02CB8AED" w14:textId="77777777" w:rsidR="009A745A" w:rsidRPr="00F00E0C" w:rsidRDefault="009A745A" w:rsidP="009A745A">
            <w:pPr>
              <w:pStyle w:val="Tabletext0"/>
              <w:widowControl w:val="0"/>
              <w:jc w:val="center"/>
              <w:rPr>
                <w:szCs w:val="20"/>
              </w:rPr>
            </w:pPr>
            <w:r w:rsidRPr="00F00E0C">
              <w:rPr>
                <w:szCs w:val="20"/>
              </w:rPr>
              <w:t>60</w:t>
            </w:r>
          </w:p>
          <w:p w14:paraId="559D6616" w14:textId="77777777" w:rsidR="009A745A" w:rsidRPr="00F00E0C" w:rsidRDefault="009A745A" w:rsidP="009A745A">
            <w:pPr>
              <w:pStyle w:val="Comment"/>
              <w:widowControl w:val="0"/>
              <w:spacing w:before="40" w:after="40" w:line="240" w:lineRule="auto"/>
              <w:jc w:val="center"/>
              <w:rPr>
                <w:rFonts w:ascii="Arial Narrow" w:hAnsi="Arial Narrow"/>
                <w:sz w:val="20"/>
                <w:szCs w:val="20"/>
              </w:rPr>
            </w:pPr>
            <w:r w:rsidRPr="00F00E0C">
              <w:rPr>
                <w:rFonts w:ascii="Arial Narrow" w:hAnsi="Arial Narrow"/>
                <w:sz w:val="20"/>
                <w:szCs w:val="20"/>
              </w:rPr>
              <w:t>57</w:t>
            </w:r>
          </w:p>
        </w:tc>
        <w:tc>
          <w:tcPr>
            <w:tcW w:w="582" w:type="pct"/>
            <w:tcBorders>
              <w:top w:val="single" w:sz="4" w:space="0" w:color="auto"/>
            </w:tcBorders>
            <w:noWrap/>
            <w:vAlign w:val="center"/>
            <w:hideMark/>
          </w:tcPr>
          <w:p w14:paraId="1262387B" w14:textId="77777777" w:rsidR="009A745A" w:rsidRPr="00F00E0C" w:rsidRDefault="009A745A" w:rsidP="009A745A">
            <w:pPr>
              <w:pStyle w:val="Tabletext0"/>
              <w:widowControl w:val="0"/>
              <w:jc w:val="center"/>
              <w:rPr>
                <w:szCs w:val="20"/>
              </w:rPr>
            </w:pPr>
            <w:r w:rsidRPr="00F00E0C">
              <w:rPr>
                <w:szCs w:val="20"/>
              </w:rPr>
              <w:t>60</w:t>
            </w:r>
          </w:p>
          <w:p w14:paraId="5D1D9309" w14:textId="77777777" w:rsidR="009A745A" w:rsidRPr="00F00E0C" w:rsidRDefault="009A745A" w:rsidP="009A745A">
            <w:pPr>
              <w:pStyle w:val="Comment"/>
              <w:widowControl w:val="0"/>
              <w:spacing w:before="40" w:after="40" w:line="240" w:lineRule="auto"/>
              <w:jc w:val="center"/>
              <w:rPr>
                <w:rFonts w:ascii="Arial Narrow" w:hAnsi="Arial Narrow"/>
                <w:sz w:val="20"/>
                <w:szCs w:val="20"/>
              </w:rPr>
            </w:pPr>
            <w:r w:rsidRPr="00F00E0C">
              <w:rPr>
                <w:rFonts w:ascii="Arial Narrow" w:hAnsi="Arial Narrow"/>
                <w:sz w:val="20"/>
                <w:szCs w:val="20"/>
              </w:rPr>
              <w:t>57</w:t>
            </w:r>
          </w:p>
        </w:tc>
        <w:tc>
          <w:tcPr>
            <w:tcW w:w="522" w:type="pct"/>
            <w:tcBorders>
              <w:top w:val="single" w:sz="4" w:space="0" w:color="auto"/>
            </w:tcBorders>
            <w:noWrap/>
            <w:vAlign w:val="center"/>
          </w:tcPr>
          <w:p w14:paraId="529E9DA1" w14:textId="77777777" w:rsidR="009A745A" w:rsidRPr="00F00E0C" w:rsidRDefault="009A745A" w:rsidP="009A745A">
            <w:pPr>
              <w:pStyle w:val="Tabletext0"/>
              <w:widowControl w:val="0"/>
              <w:jc w:val="center"/>
              <w:rPr>
                <w:szCs w:val="20"/>
              </w:rPr>
            </w:pPr>
            <w:r w:rsidRPr="00F00E0C">
              <w:rPr>
                <w:szCs w:val="20"/>
              </w:rPr>
              <w:t>Table 98</w:t>
            </w:r>
          </w:p>
        </w:tc>
      </w:tr>
      <w:tr w:rsidR="009A745A" w:rsidRPr="00F00E0C" w14:paraId="03066B9D" w14:textId="77777777" w:rsidTr="003F74DB">
        <w:trPr>
          <w:cnfStyle w:val="100000000000" w:firstRow="1" w:lastRow="0" w:firstColumn="0" w:lastColumn="0" w:oddVBand="0" w:evenVBand="0" w:oddHBand="0" w:evenHBand="0" w:firstRowFirstColumn="0" w:firstRowLastColumn="0" w:lastRowFirstColumn="0" w:lastRowLastColumn="0"/>
          <w:cantSplit/>
          <w:trHeight w:val="290"/>
          <w:tblHeader/>
        </w:trPr>
        <w:tc>
          <w:tcPr>
            <w:tcW w:w="364" w:type="pct"/>
            <w:vAlign w:val="center"/>
          </w:tcPr>
          <w:p w14:paraId="11F3A9B9" w14:textId="77777777" w:rsidR="009A745A" w:rsidRPr="00F00E0C" w:rsidRDefault="009A745A" w:rsidP="009A745A">
            <w:pPr>
              <w:pStyle w:val="Tabletext0"/>
              <w:widowControl w:val="0"/>
              <w:jc w:val="center"/>
              <w:rPr>
                <w:szCs w:val="20"/>
              </w:rPr>
            </w:pPr>
            <w:r w:rsidRPr="00F00E0C">
              <w:rPr>
                <w:szCs w:val="20"/>
              </w:rPr>
              <w:t>B</w:t>
            </w:r>
          </w:p>
        </w:tc>
        <w:tc>
          <w:tcPr>
            <w:tcW w:w="1207" w:type="pct"/>
            <w:noWrap/>
            <w:vAlign w:val="center"/>
            <w:hideMark/>
          </w:tcPr>
          <w:p w14:paraId="4BC2D7AD" w14:textId="77777777" w:rsidR="009A745A" w:rsidRPr="00F00E0C" w:rsidRDefault="009A745A" w:rsidP="009A745A">
            <w:pPr>
              <w:pStyle w:val="Tabletext0"/>
              <w:widowControl w:val="0"/>
              <w:rPr>
                <w:szCs w:val="20"/>
              </w:rPr>
            </w:pPr>
            <w:r w:rsidRPr="00F00E0C">
              <w:rPr>
                <w:szCs w:val="20"/>
              </w:rPr>
              <w:t xml:space="preserve">Cost per </w:t>
            </w:r>
            <w:proofErr w:type="spellStart"/>
            <w:r w:rsidRPr="00F00E0C">
              <w:rPr>
                <w:szCs w:val="20"/>
              </w:rPr>
              <w:t>MRgFUS</w:t>
            </w:r>
            <w:proofErr w:type="spellEnd"/>
            <w:r w:rsidRPr="00F00E0C">
              <w:rPr>
                <w:szCs w:val="20"/>
              </w:rPr>
              <w:t xml:space="preserve"> kit</w:t>
            </w:r>
          </w:p>
        </w:tc>
        <w:tc>
          <w:tcPr>
            <w:tcW w:w="581" w:type="pct"/>
            <w:noWrap/>
            <w:vAlign w:val="center"/>
          </w:tcPr>
          <w:p w14:paraId="0CD8EDE7" w14:textId="498068A1" w:rsidR="009A745A" w:rsidRPr="00270DF6" w:rsidRDefault="003F74DB" w:rsidP="009A745A">
            <w:pPr>
              <w:pStyle w:val="Tabletext0"/>
              <w:widowControl w:val="0"/>
              <w:jc w:val="center"/>
              <w:rPr>
                <w:b/>
                <w:szCs w:val="20"/>
              </w:rPr>
            </w:pPr>
            <w:r w:rsidRPr="00270DF6">
              <w:rPr>
                <w:b/>
                <w:szCs w:val="20"/>
              </w:rPr>
              <w:t>$Redacted</w:t>
            </w:r>
          </w:p>
        </w:tc>
        <w:tc>
          <w:tcPr>
            <w:tcW w:w="581" w:type="pct"/>
            <w:noWrap/>
            <w:vAlign w:val="center"/>
          </w:tcPr>
          <w:p w14:paraId="792B7987" w14:textId="5E3AC03A" w:rsidR="009A745A" w:rsidRPr="00270DF6" w:rsidRDefault="003F74DB" w:rsidP="009A745A">
            <w:pPr>
              <w:pStyle w:val="Tabletext0"/>
              <w:widowControl w:val="0"/>
              <w:jc w:val="center"/>
              <w:rPr>
                <w:b/>
                <w:szCs w:val="20"/>
              </w:rPr>
            </w:pPr>
            <w:r w:rsidRPr="00270DF6">
              <w:rPr>
                <w:b/>
                <w:szCs w:val="20"/>
              </w:rPr>
              <w:t>$Redacted</w:t>
            </w:r>
          </w:p>
        </w:tc>
        <w:tc>
          <w:tcPr>
            <w:tcW w:w="582" w:type="pct"/>
            <w:noWrap/>
            <w:vAlign w:val="center"/>
          </w:tcPr>
          <w:p w14:paraId="13E21C3E" w14:textId="0EED65D0" w:rsidR="009A745A" w:rsidRPr="00270DF6" w:rsidRDefault="003F74DB" w:rsidP="009A745A">
            <w:pPr>
              <w:pStyle w:val="Tabletext0"/>
              <w:widowControl w:val="0"/>
              <w:jc w:val="center"/>
              <w:rPr>
                <w:b/>
                <w:szCs w:val="20"/>
              </w:rPr>
            </w:pPr>
            <w:r w:rsidRPr="00270DF6">
              <w:rPr>
                <w:b/>
                <w:szCs w:val="20"/>
              </w:rPr>
              <w:t>$Redacted</w:t>
            </w:r>
          </w:p>
        </w:tc>
        <w:tc>
          <w:tcPr>
            <w:tcW w:w="581" w:type="pct"/>
            <w:noWrap/>
            <w:vAlign w:val="center"/>
          </w:tcPr>
          <w:p w14:paraId="64623516" w14:textId="44678FE3" w:rsidR="009A745A" w:rsidRPr="00270DF6" w:rsidRDefault="003F74DB" w:rsidP="009A745A">
            <w:pPr>
              <w:pStyle w:val="Tabletext0"/>
              <w:widowControl w:val="0"/>
              <w:jc w:val="center"/>
              <w:rPr>
                <w:b/>
                <w:szCs w:val="20"/>
              </w:rPr>
            </w:pPr>
            <w:r w:rsidRPr="00270DF6">
              <w:rPr>
                <w:b/>
                <w:szCs w:val="20"/>
              </w:rPr>
              <w:t>$Redacted</w:t>
            </w:r>
          </w:p>
        </w:tc>
        <w:tc>
          <w:tcPr>
            <w:tcW w:w="582" w:type="pct"/>
            <w:noWrap/>
            <w:vAlign w:val="center"/>
          </w:tcPr>
          <w:p w14:paraId="269B8089" w14:textId="5407E190" w:rsidR="009A745A" w:rsidRPr="00270DF6" w:rsidRDefault="003F74DB" w:rsidP="009A745A">
            <w:pPr>
              <w:pStyle w:val="Tabletext0"/>
              <w:widowControl w:val="0"/>
              <w:jc w:val="center"/>
              <w:rPr>
                <w:b/>
                <w:szCs w:val="20"/>
              </w:rPr>
            </w:pPr>
            <w:r w:rsidRPr="00270DF6">
              <w:rPr>
                <w:b/>
                <w:szCs w:val="20"/>
              </w:rPr>
              <w:t>$Redacted</w:t>
            </w:r>
          </w:p>
        </w:tc>
        <w:tc>
          <w:tcPr>
            <w:tcW w:w="522" w:type="pct"/>
            <w:noWrap/>
            <w:vAlign w:val="center"/>
          </w:tcPr>
          <w:p w14:paraId="369EBEB1" w14:textId="77777777" w:rsidR="009A745A" w:rsidRPr="00F00E0C" w:rsidRDefault="009A745A" w:rsidP="009A745A">
            <w:pPr>
              <w:pStyle w:val="Tabletext0"/>
              <w:widowControl w:val="0"/>
              <w:jc w:val="center"/>
              <w:rPr>
                <w:szCs w:val="20"/>
              </w:rPr>
            </w:pPr>
            <w:r w:rsidRPr="00F00E0C">
              <w:rPr>
                <w:szCs w:val="20"/>
              </w:rPr>
              <w:t>Table 83</w:t>
            </w:r>
          </w:p>
        </w:tc>
      </w:tr>
      <w:tr w:rsidR="009A745A" w:rsidRPr="00F00E0C" w14:paraId="7E29641B" w14:textId="77777777" w:rsidTr="003F74DB">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bottom w:val="single" w:sz="4" w:space="0" w:color="auto"/>
            </w:tcBorders>
            <w:vAlign w:val="center"/>
          </w:tcPr>
          <w:p w14:paraId="285B1B50" w14:textId="77777777" w:rsidR="009A745A" w:rsidRPr="00F00E0C" w:rsidRDefault="009A745A" w:rsidP="009A745A">
            <w:pPr>
              <w:pStyle w:val="Tabletext0"/>
              <w:widowControl w:val="0"/>
              <w:jc w:val="center"/>
              <w:rPr>
                <w:szCs w:val="20"/>
              </w:rPr>
            </w:pPr>
            <w:r w:rsidRPr="00F00E0C">
              <w:rPr>
                <w:szCs w:val="20"/>
              </w:rPr>
              <w:t>C</w:t>
            </w:r>
          </w:p>
        </w:tc>
        <w:tc>
          <w:tcPr>
            <w:tcW w:w="1207" w:type="pct"/>
            <w:tcBorders>
              <w:bottom w:val="single" w:sz="4" w:space="0" w:color="auto"/>
            </w:tcBorders>
            <w:noWrap/>
            <w:vAlign w:val="center"/>
            <w:hideMark/>
          </w:tcPr>
          <w:p w14:paraId="4A338529" w14:textId="77777777" w:rsidR="009A745A" w:rsidRPr="00F00E0C" w:rsidRDefault="009A745A" w:rsidP="009A745A">
            <w:pPr>
              <w:pStyle w:val="Tabletext0"/>
              <w:widowControl w:val="0"/>
              <w:rPr>
                <w:szCs w:val="20"/>
              </w:rPr>
            </w:pPr>
            <w:r w:rsidRPr="00F00E0C">
              <w:rPr>
                <w:szCs w:val="20"/>
              </w:rPr>
              <w:t>Total cost to private health insurers</w:t>
            </w:r>
          </w:p>
        </w:tc>
        <w:tc>
          <w:tcPr>
            <w:tcW w:w="581" w:type="pct"/>
            <w:tcBorders>
              <w:bottom w:val="single" w:sz="4" w:space="0" w:color="auto"/>
            </w:tcBorders>
            <w:noWrap/>
            <w:vAlign w:val="center"/>
          </w:tcPr>
          <w:p w14:paraId="66B7464D" w14:textId="4D6532F2" w:rsidR="002A0509" w:rsidRPr="00270DF6" w:rsidRDefault="002A0509" w:rsidP="009A745A">
            <w:pPr>
              <w:pStyle w:val="Tabletext0"/>
              <w:widowControl w:val="0"/>
              <w:jc w:val="center"/>
              <w:rPr>
                <w:b/>
                <w:szCs w:val="20"/>
              </w:rPr>
            </w:pPr>
            <w:r w:rsidRPr="00270DF6">
              <w:rPr>
                <w:b/>
                <w:szCs w:val="20"/>
              </w:rPr>
              <w:t>$</w:t>
            </w:r>
            <w:r w:rsidR="003F74DB" w:rsidRPr="00270DF6">
              <w:rPr>
                <w:b/>
                <w:szCs w:val="20"/>
              </w:rPr>
              <w:t>Redacted</w:t>
            </w:r>
          </w:p>
          <w:p w14:paraId="49761052" w14:textId="3534541C" w:rsidR="009A745A" w:rsidRPr="00270DF6" w:rsidRDefault="003F74DB" w:rsidP="00007EC5">
            <w:pPr>
              <w:pStyle w:val="Tabletext0"/>
              <w:widowControl w:val="0"/>
              <w:jc w:val="center"/>
              <w:rPr>
                <w:b/>
                <w:szCs w:val="20"/>
              </w:rPr>
            </w:pPr>
            <w:r w:rsidRPr="00270DF6">
              <w:rPr>
                <w:b/>
                <w:i/>
                <w:szCs w:val="20"/>
              </w:rPr>
              <w:t>$</w:t>
            </w:r>
            <w:r w:rsidRPr="00270DF6">
              <w:rPr>
                <w:b/>
                <w:i/>
                <w:iCs/>
                <w:szCs w:val="20"/>
              </w:rPr>
              <w:t>Redacted</w:t>
            </w:r>
          </w:p>
        </w:tc>
        <w:tc>
          <w:tcPr>
            <w:tcW w:w="581" w:type="pct"/>
            <w:tcBorders>
              <w:bottom w:val="single" w:sz="4" w:space="0" w:color="auto"/>
            </w:tcBorders>
            <w:noWrap/>
            <w:vAlign w:val="center"/>
          </w:tcPr>
          <w:p w14:paraId="05C047B6" w14:textId="5FF684C7" w:rsidR="003F74DB" w:rsidRPr="00270DF6" w:rsidRDefault="003F74DB" w:rsidP="003F74DB">
            <w:pPr>
              <w:pStyle w:val="Tabletext0"/>
              <w:widowControl w:val="0"/>
              <w:jc w:val="center"/>
              <w:rPr>
                <w:b/>
                <w:szCs w:val="20"/>
              </w:rPr>
            </w:pPr>
            <w:r w:rsidRPr="00270DF6">
              <w:rPr>
                <w:b/>
                <w:szCs w:val="20"/>
              </w:rPr>
              <w:t>$Redacted</w:t>
            </w:r>
          </w:p>
          <w:p w14:paraId="78933B48" w14:textId="338B75F0" w:rsidR="009A745A" w:rsidRPr="00270DF6" w:rsidRDefault="003F74DB" w:rsidP="00007EC5">
            <w:pPr>
              <w:pStyle w:val="Tabletext0"/>
              <w:widowControl w:val="0"/>
              <w:jc w:val="center"/>
              <w:rPr>
                <w:b/>
                <w:szCs w:val="20"/>
              </w:rPr>
            </w:pPr>
            <w:r w:rsidRPr="00270DF6">
              <w:rPr>
                <w:b/>
                <w:i/>
                <w:szCs w:val="20"/>
              </w:rPr>
              <w:t>$</w:t>
            </w:r>
            <w:r w:rsidRPr="00270DF6">
              <w:rPr>
                <w:b/>
                <w:i/>
                <w:iCs/>
                <w:szCs w:val="20"/>
              </w:rPr>
              <w:t>Redacted</w:t>
            </w:r>
          </w:p>
        </w:tc>
        <w:tc>
          <w:tcPr>
            <w:tcW w:w="582" w:type="pct"/>
            <w:tcBorders>
              <w:bottom w:val="single" w:sz="4" w:space="0" w:color="auto"/>
            </w:tcBorders>
            <w:noWrap/>
            <w:vAlign w:val="center"/>
          </w:tcPr>
          <w:p w14:paraId="57E81990" w14:textId="0F50B8A3" w:rsidR="003F74DB" w:rsidRPr="00270DF6" w:rsidRDefault="003F74DB" w:rsidP="003F74DB">
            <w:pPr>
              <w:pStyle w:val="Tabletext0"/>
              <w:widowControl w:val="0"/>
              <w:jc w:val="center"/>
              <w:rPr>
                <w:b/>
                <w:szCs w:val="20"/>
              </w:rPr>
            </w:pPr>
            <w:r w:rsidRPr="00270DF6">
              <w:rPr>
                <w:b/>
                <w:szCs w:val="20"/>
              </w:rPr>
              <w:t>$Redacted</w:t>
            </w:r>
          </w:p>
          <w:p w14:paraId="5EE32495" w14:textId="083841C5" w:rsidR="009A745A" w:rsidRPr="00270DF6" w:rsidRDefault="003F74DB" w:rsidP="00007EC5">
            <w:pPr>
              <w:pStyle w:val="Tabletext0"/>
              <w:widowControl w:val="0"/>
              <w:jc w:val="center"/>
              <w:rPr>
                <w:b/>
                <w:szCs w:val="20"/>
              </w:rPr>
            </w:pPr>
            <w:r w:rsidRPr="00270DF6">
              <w:rPr>
                <w:b/>
                <w:i/>
                <w:szCs w:val="20"/>
              </w:rPr>
              <w:t>$</w:t>
            </w:r>
            <w:r w:rsidRPr="00270DF6">
              <w:rPr>
                <w:b/>
                <w:i/>
                <w:iCs/>
                <w:szCs w:val="20"/>
              </w:rPr>
              <w:t>Redacted</w:t>
            </w:r>
          </w:p>
        </w:tc>
        <w:tc>
          <w:tcPr>
            <w:tcW w:w="581" w:type="pct"/>
            <w:tcBorders>
              <w:bottom w:val="single" w:sz="4" w:space="0" w:color="auto"/>
            </w:tcBorders>
            <w:noWrap/>
            <w:vAlign w:val="center"/>
          </w:tcPr>
          <w:p w14:paraId="4E47D21E" w14:textId="77777777" w:rsidR="003F74DB" w:rsidRPr="00270DF6" w:rsidRDefault="003F74DB" w:rsidP="003F74DB">
            <w:pPr>
              <w:pStyle w:val="Tabletext0"/>
              <w:widowControl w:val="0"/>
              <w:jc w:val="center"/>
              <w:rPr>
                <w:b/>
                <w:szCs w:val="20"/>
              </w:rPr>
            </w:pPr>
            <w:r w:rsidRPr="00270DF6">
              <w:rPr>
                <w:b/>
                <w:szCs w:val="20"/>
              </w:rPr>
              <w:t>$Redacted</w:t>
            </w:r>
          </w:p>
          <w:p w14:paraId="40081C72" w14:textId="713FE447" w:rsidR="009A745A" w:rsidRPr="00270DF6" w:rsidRDefault="003F74DB" w:rsidP="00007EC5">
            <w:pPr>
              <w:pStyle w:val="Tabletext0"/>
              <w:widowControl w:val="0"/>
              <w:jc w:val="center"/>
              <w:rPr>
                <w:b/>
                <w:szCs w:val="20"/>
              </w:rPr>
            </w:pPr>
            <w:r w:rsidRPr="00270DF6">
              <w:rPr>
                <w:b/>
                <w:i/>
                <w:szCs w:val="20"/>
              </w:rPr>
              <w:t>$</w:t>
            </w:r>
            <w:r w:rsidRPr="00270DF6">
              <w:rPr>
                <w:b/>
                <w:i/>
                <w:iCs/>
                <w:szCs w:val="20"/>
              </w:rPr>
              <w:t>Redacted</w:t>
            </w:r>
          </w:p>
        </w:tc>
        <w:tc>
          <w:tcPr>
            <w:tcW w:w="582" w:type="pct"/>
            <w:tcBorders>
              <w:bottom w:val="single" w:sz="4" w:space="0" w:color="auto"/>
            </w:tcBorders>
            <w:noWrap/>
            <w:vAlign w:val="center"/>
          </w:tcPr>
          <w:p w14:paraId="2DF9BE13" w14:textId="77777777" w:rsidR="003F74DB" w:rsidRPr="00270DF6" w:rsidRDefault="003F74DB" w:rsidP="003F74DB">
            <w:pPr>
              <w:pStyle w:val="Tabletext0"/>
              <w:widowControl w:val="0"/>
              <w:jc w:val="center"/>
              <w:rPr>
                <w:b/>
                <w:szCs w:val="20"/>
              </w:rPr>
            </w:pPr>
            <w:r w:rsidRPr="00270DF6">
              <w:rPr>
                <w:b/>
                <w:szCs w:val="20"/>
              </w:rPr>
              <w:t>$Redacted</w:t>
            </w:r>
          </w:p>
          <w:p w14:paraId="0A63E1DA" w14:textId="3B255D19" w:rsidR="009A745A" w:rsidRPr="00270DF6" w:rsidRDefault="003F74DB" w:rsidP="00007EC5">
            <w:pPr>
              <w:pStyle w:val="Tabletext0"/>
              <w:widowControl w:val="0"/>
              <w:jc w:val="center"/>
              <w:rPr>
                <w:b/>
                <w:szCs w:val="20"/>
              </w:rPr>
            </w:pPr>
            <w:r w:rsidRPr="00270DF6">
              <w:rPr>
                <w:b/>
                <w:i/>
                <w:szCs w:val="20"/>
              </w:rPr>
              <w:t>$</w:t>
            </w:r>
            <w:r w:rsidRPr="00270DF6">
              <w:rPr>
                <w:b/>
                <w:i/>
                <w:iCs/>
                <w:szCs w:val="20"/>
              </w:rPr>
              <w:t>Redacted</w:t>
            </w:r>
          </w:p>
        </w:tc>
        <w:tc>
          <w:tcPr>
            <w:tcW w:w="522" w:type="pct"/>
            <w:tcBorders>
              <w:bottom w:val="single" w:sz="4" w:space="0" w:color="auto"/>
            </w:tcBorders>
            <w:noWrap/>
            <w:vAlign w:val="center"/>
          </w:tcPr>
          <w:p w14:paraId="34DC2FFA" w14:textId="77777777" w:rsidR="009A745A" w:rsidRPr="00F00E0C" w:rsidRDefault="009A745A" w:rsidP="009A745A">
            <w:pPr>
              <w:pStyle w:val="Tabletext0"/>
              <w:widowControl w:val="0"/>
              <w:jc w:val="center"/>
              <w:rPr>
                <w:szCs w:val="20"/>
              </w:rPr>
            </w:pPr>
            <w:r w:rsidRPr="00F00E0C">
              <w:rPr>
                <w:szCs w:val="20"/>
              </w:rPr>
              <w:t>A*B</w:t>
            </w:r>
          </w:p>
        </w:tc>
      </w:tr>
      <w:tr w:rsidR="009A745A" w:rsidRPr="00F00E0C" w14:paraId="5AAFE0CA"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top w:val="single" w:sz="4" w:space="0" w:color="auto"/>
              <w:left w:val="single" w:sz="4" w:space="0" w:color="auto"/>
              <w:bottom w:val="single" w:sz="4" w:space="0" w:color="auto"/>
              <w:right w:val="nil"/>
            </w:tcBorders>
            <w:vAlign w:val="center"/>
          </w:tcPr>
          <w:p w14:paraId="14F25B4B" w14:textId="77777777" w:rsidR="009A745A" w:rsidRPr="00F00E0C" w:rsidRDefault="009A745A" w:rsidP="009A745A">
            <w:pPr>
              <w:pStyle w:val="Tabletext0"/>
              <w:widowControl w:val="0"/>
              <w:jc w:val="center"/>
              <w:rPr>
                <w:szCs w:val="20"/>
              </w:rPr>
            </w:pPr>
          </w:p>
        </w:tc>
        <w:tc>
          <w:tcPr>
            <w:tcW w:w="1207" w:type="pct"/>
            <w:tcBorders>
              <w:top w:val="single" w:sz="4" w:space="0" w:color="auto"/>
              <w:left w:val="nil"/>
              <w:bottom w:val="single" w:sz="4" w:space="0" w:color="auto"/>
              <w:right w:val="nil"/>
            </w:tcBorders>
            <w:noWrap/>
            <w:vAlign w:val="center"/>
          </w:tcPr>
          <w:p w14:paraId="30A50CE9" w14:textId="77777777" w:rsidR="009A745A" w:rsidRPr="00F00E0C" w:rsidRDefault="009A745A" w:rsidP="009A745A">
            <w:pPr>
              <w:pStyle w:val="Tabletext0"/>
              <w:widowControl w:val="0"/>
              <w:rPr>
                <w:szCs w:val="20"/>
              </w:rPr>
            </w:pPr>
            <w:r w:rsidRPr="00F00E0C">
              <w:rPr>
                <w:b/>
                <w:bCs/>
                <w:szCs w:val="20"/>
              </w:rPr>
              <w:t>DBS</w:t>
            </w:r>
          </w:p>
        </w:tc>
        <w:tc>
          <w:tcPr>
            <w:tcW w:w="581" w:type="pct"/>
            <w:tcBorders>
              <w:top w:val="single" w:sz="4" w:space="0" w:color="auto"/>
              <w:left w:val="nil"/>
              <w:bottom w:val="single" w:sz="4" w:space="0" w:color="auto"/>
              <w:right w:val="nil"/>
            </w:tcBorders>
            <w:noWrap/>
            <w:vAlign w:val="center"/>
          </w:tcPr>
          <w:p w14:paraId="46ED171E" w14:textId="77777777" w:rsidR="009A745A" w:rsidRPr="00F00E0C" w:rsidRDefault="009A745A" w:rsidP="009A745A">
            <w:pPr>
              <w:pStyle w:val="Tabletext0"/>
              <w:widowControl w:val="0"/>
              <w:jc w:val="center"/>
              <w:rPr>
                <w:szCs w:val="20"/>
              </w:rPr>
            </w:pPr>
          </w:p>
        </w:tc>
        <w:tc>
          <w:tcPr>
            <w:tcW w:w="581" w:type="pct"/>
            <w:tcBorders>
              <w:top w:val="single" w:sz="4" w:space="0" w:color="auto"/>
              <w:left w:val="nil"/>
              <w:bottom w:val="single" w:sz="4" w:space="0" w:color="auto"/>
              <w:right w:val="nil"/>
            </w:tcBorders>
            <w:noWrap/>
            <w:vAlign w:val="center"/>
          </w:tcPr>
          <w:p w14:paraId="109CB6E3" w14:textId="77777777" w:rsidR="009A745A" w:rsidRPr="00F00E0C" w:rsidRDefault="009A745A" w:rsidP="009A745A">
            <w:pPr>
              <w:pStyle w:val="Tabletext0"/>
              <w:widowControl w:val="0"/>
              <w:jc w:val="center"/>
              <w:rPr>
                <w:szCs w:val="20"/>
              </w:rPr>
            </w:pPr>
          </w:p>
        </w:tc>
        <w:tc>
          <w:tcPr>
            <w:tcW w:w="582" w:type="pct"/>
            <w:tcBorders>
              <w:top w:val="single" w:sz="4" w:space="0" w:color="auto"/>
              <w:left w:val="nil"/>
              <w:bottom w:val="single" w:sz="4" w:space="0" w:color="auto"/>
              <w:right w:val="nil"/>
            </w:tcBorders>
            <w:noWrap/>
            <w:vAlign w:val="center"/>
          </w:tcPr>
          <w:p w14:paraId="6720E5E6" w14:textId="77777777" w:rsidR="009A745A" w:rsidRPr="00F00E0C" w:rsidRDefault="009A745A" w:rsidP="009A745A">
            <w:pPr>
              <w:pStyle w:val="Tabletext0"/>
              <w:widowControl w:val="0"/>
              <w:jc w:val="center"/>
              <w:rPr>
                <w:szCs w:val="20"/>
              </w:rPr>
            </w:pPr>
          </w:p>
        </w:tc>
        <w:tc>
          <w:tcPr>
            <w:tcW w:w="581" w:type="pct"/>
            <w:tcBorders>
              <w:top w:val="single" w:sz="4" w:space="0" w:color="auto"/>
              <w:left w:val="nil"/>
              <w:bottom w:val="single" w:sz="4" w:space="0" w:color="auto"/>
              <w:right w:val="nil"/>
            </w:tcBorders>
            <w:noWrap/>
            <w:vAlign w:val="center"/>
          </w:tcPr>
          <w:p w14:paraId="742094AC" w14:textId="77777777" w:rsidR="009A745A" w:rsidRPr="00F00E0C" w:rsidRDefault="009A745A" w:rsidP="009A745A">
            <w:pPr>
              <w:pStyle w:val="Tabletext0"/>
              <w:widowControl w:val="0"/>
              <w:jc w:val="center"/>
              <w:rPr>
                <w:szCs w:val="20"/>
              </w:rPr>
            </w:pPr>
          </w:p>
        </w:tc>
        <w:tc>
          <w:tcPr>
            <w:tcW w:w="582" w:type="pct"/>
            <w:tcBorders>
              <w:top w:val="single" w:sz="4" w:space="0" w:color="auto"/>
              <w:left w:val="nil"/>
              <w:bottom w:val="single" w:sz="4" w:space="0" w:color="auto"/>
              <w:right w:val="nil"/>
            </w:tcBorders>
            <w:noWrap/>
            <w:vAlign w:val="center"/>
          </w:tcPr>
          <w:p w14:paraId="20F48ECF" w14:textId="77777777" w:rsidR="009A745A" w:rsidRPr="00F00E0C" w:rsidRDefault="009A745A" w:rsidP="009A745A">
            <w:pPr>
              <w:pStyle w:val="Tabletext0"/>
              <w:widowControl w:val="0"/>
              <w:jc w:val="center"/>
              <w:rPr>
                <w:szCs w:val="20"/>
              </w:rPr>
            </w:pPr>
          </w:p>
        </w:tc>
        <w:tc>
          <w:tcPr>
            <w:tcW w:w="522" w:type="pct"/>
            <w:tcBorders>
              <w:top w:val="single" w:sz="4" w:space="0" w:color="auto"/>
              <w:left w:val="nil"/>
              <w:bottom w:val="single" w:sz="4" w:space="0" w:color="auto"/>
              <w:right w:val="single" w:sz="4" w:space="0" w:color="auto"/>
            </w:tcBorders>
            <w:noWrap/>
            <w:vAlign w:val="center"/>
          </w:tcPr>
          <w:p w14:paraId="61176CA5" w14:textId="77777777" w:rsidR="009A745A" w:rsidRPr="00F00E0C" w:rsidRDefault="009A745A" w:rsidP="009A745A">
            <w:pPr>
              <w:pStyle w:val="Tabletext0"/>
              <w:widowControl w:val="0"/>
              <w:jc w:val="center"/>
              <w:rPr>
                <w:szCs w:val="20"/>
              </w:rPr>
            </w:pPr>
          </w:p>
        </w:tc>
      </w:tr>
      <w:tr w:rsidR="009A745A" w:rsidRPr="00F00E0C" w14:paraId="70D3D93F"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top w:val="single" w:sz="4" w:space="0" w:color="auto"/>
            </w:tcBorders>
            <w:vAlign w:val="center"/>
          </w:tcPr>
          <w:p w14:paraId="284F7FF9" w14:textId="77777777" w:rsidR="009A745A" w:rsidRPr="00F00E0C" w:rsidRDefault="009A745A" w:rsidP="009A745A">
            <w:pPr>
              <w:pStyle w:val="Tabletext0"/>
              <w:widowControl w:val="0"/>
              <w:jc w:val="center"/>
              <w:rPr>
                <w:szCs w:val="20"/>
              </w:rPr>
            </w:pPr>
            <w:r w:rsidRPr="00F00E0C">
              <w:rPr>
                <w:szCs w:val="20"/>
              </w:rPr>
              <w:t>D</w:t>
            </w:r>
          </w:p>
        </w:tc>
        <w:tc>
          <w:tcPr>
            <w:tcW w:w="1207" w:type="pct"/>
            <w:tcBorders>
              <w:top w:val="single" w:sz="4" w:space="0" w:color="auto"/>
            </w:tcBorders>
            <w:noWrap/>
            <w:vAlign w:val="center"/>
          </w:tcPr>
          <w:p w14:paraId="0CED3E17" w14:textId="77777777" w:rsidR="009A745A" w:rsidRPr="00F00E0C" w:rsidRDefault="009A745A" w:rsidP="009A745A">
            <w:pPr>
              <w:pStyle w:val="Tabletext0"/>
              <w:widowControl w:val="0"/>
              <w:rPr>
                <w:szCs w:val="20"/>
              </w:rPr>
            </w:pPr>
            <w:r w:rsidRPr="00F00E0C">
              <w:rPr>
                <w:szCs w:val="20"/>
              </w:rPr>
              <w:t>Substituted bilateral DBS procedures</w:t>
            </w:r>
          </w:p>
        </w:tc>
        <w:tc>
          <w:tcPr>
            <w:tcW w:w="581" w:type="pct"/>
            <w:tcBorders>
              <w:top w:val="single" w:sz="4" w:space="0" w:color="auto"/>
            </w:tcBorders>
            <w:noWrap/>
            <w:vAlign w:val="center"/>
          </w:tcPr>
          <w:p w14:paraId="0473A88A" w14:textId="77777777" w:rsidR="009A745A" w:rsidRPr="00F00E0C" w:rsidRDefault="009A745A" w:rsidP="009A745A">
            <w:pPr>
              <w:pStyle w:val="Tabletext0"/>
              <w:widowControl w:val="0"/>
              <w:jc w:val="center"/>
              <w:rPr>
                <w:szCs w:val="20"/>
              </w:rPr>
            </w:pPr>
            <w:r w:rsidRPr="00F00E0C">
              <w:rPr>
                <w:szCs w:val="20"/>
              </w:rPr>
              <w:t>12</w:t>
            </w:r>
          </w:p>
        </w:tc>
        <w:tc>
          <w:tcPr>
            <w:tcW w:w="581" w:type="pct"/>
            <w:tcBorders>
              <w:top w:val="single" w:sz="4" w:space="0" w:color="auto"/>
            </w:tcBorders>
            <w:noWrap/>
            <w:vAlign w:val="center"/>
          </w:tcPr>
          <w:p w14:paraId="641561BD" w14:textId="77777777" w:rsidR="009A745A" w:rsidRPr="00F00E0C" w:rsidRDefault="009A745A" w:rsidP="009A745A">
            <w:pPr>
              <w:pStyle w:val="Tabletext0"/>
              <w:widowControl w:val="0"/>
              <w:jc w:val="center"/>
              <w:rPr>
                <w:szCs w:val="20"/>
              </w:rPr>
            </w:pPr>
            <w:r w:rsidRPr="00F00E0C">
              <w:rPr>
                <w:szCs w:val="20"/>
              </w:rPr>
              <w:t>12</w:t>
            </w:r>
          </w:p>
        </w:tc>
        <w:tc>
          <w:tcPr>
            <w:tcW w:w="582" w:type="pct"/>
            <w:tcBorders>
              <w:top w:val="single" w:sz="4" w:space="0" w:color="auto"/>
            </w:tcBorders>
            <w:noWrap/>
            <w:vAlign w:val="center"/>
          </w:tcPr>
          <w:p w14:paraId="235384ED" w14:textId="77777777" w:rsidR="009A745A" w:rsidRPr="00F00E0C" w:rsidRDefault="009A745A" w:rsidP="009A745A">
            <w:pPr>
              <w:pStyle w:val="Tabletext0"/>
              <w:widowControl w:val="0"/>
              <w:jc w:val="center"/>
              <w:rPr>
                <w:szCs w:val="20"/>
              </w:rPr>
            </w:pPr>
            <w:r w:rsidRPr="00F00E0C">
              <w:rPr>
                <w:szCs w:val="20"/>
              </w:rPr>
              <w:t>12</w:t>
            </w:r>
          </w:p>
        </w:tc>
        <w:tc>
          <w:tcPr>
            <w:tcW w:w="581" w:type="pct"/>
            <w:tcBorders>
              <w:top w:val="single" w:sz="4" w:space="0" w:color="auto"/>
            </w:tcBorders>
            <w:noWrap/>
            <w:vAlign w:val="center"/>
          </w:tcPr>
          <w:p w14:paraId="561F35D6" w14:textId="77777777" w:rsidR="009A745A" w:rsidRPr="00F00E0C" w:rsidRDefault="009A745A" w:rsidP="009A745A">
            <w:pPr>
              <w:pStyle w:val="Tabletext0"/>
              <w:widowControl w:val="0"/>
              <w:jc w:val="center"/>
              <w:rPr>
                <w:szCs w:val="20"/>
              </w:rPr>
            </w:pPr>
            <w:r w:rsidRPr="00F00E0C">
              <w:rPr>
                <w:szCs w:val="20"/>
              </w:rPr>
              <w:t>12</w:t>
            </w:r>
          </w:p>
        </w:tc>
        <w:tc>
          <w:tcPr>
            <w:tcW w:w="582" w:type="pct"/>
            <w:tcBorders>
              <w:top w:val="single" w:sz="4" w:space="0" w:color="auto"/>
            </w:tcBorders>
            <w:noWrap/>
            <w:vAlign w:val="center"/>
          </w:tcPr>
          <w:p w14:paraId="0661465C" w14:textId="77777777" w:rsidR="009A745A" w:rsidRPr="00F00E0C" w:rsidRDefault="009A745A" w:rsidP="009A745A">
            <w:pPr>
              <w:pStyle w:val="Tabletext0"/>
              <w:widowControl w:val="0"/>
              <w:jc w:val="center"/>
              <w:rPr>
                <w:szCs w:val="20"/>
              </w:rPr>
            </w:pPr>
            <w:r w:rsidRPr="00F00E0C">
              <w:rPr>
                <w:szCs w:val="20"/>
              </w:rPr>
              <w:t>12</w:t>
            </w:r>
          </w:p>
        </w:tc>
        <w:tc>
          <w:tcPr>
            <w:tcW w:w="522" w:type="pct"/>
            <w:tcBorders>
              <w:top w:val="single" w:sz="4" w:space="0" w:color="auto"/>
            </w:tcBorders>
            <w:noWrap/>
            <w:vAlign w:val="center"/>
          </w:tcPr>
          <w:p w14:paraId="5CD4F550" w14:textId="77777777" w:rsidR="009A745A" w:rsidRPr="00F00E0C" w:rsidRDefault="009A745A" w:rsidP="009A745A">
            <w:pPr>
              <w:pStyle w:val="Tabletext0"/>
              <w:widowControl w:val="0"/>
              <w:jc w:val="center"/>
              <w:rPr>
                <w:szCs w:val="20"/>
              </w:rPr>
            </w:pPr>
            <w:r w:rsidRPr="00F00E0C">
              <w:rPr>
                <w:szCs w:val="20"/>
              </w:rPr>
              <w:t>Table 103</w:t>
            </w:r>
          </w:p>
        </w:tc>
      </w:tr>
      <w:tr w:rsidR="009A745A" w:rsidRPr="00F00E0C" w14:paraId="36614907"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vAlign w:val="center"/>
          </w:tcPr>
          <w:p w14:paraId="0A424844" w14:textId="77777777" w:rsidR="009A745A" w:rsidRPr="00F00E0C" w:rsidRDefault="009A745A" w:rsidP="009A745A">
            <w:pPr>
              <w:pStyle w:val="Tabletext0"/>
              <w:widowControl w:val="0"/>
              <w:jc w:val="center"/>
              <w:rPr>
                <w:szCs w:val="20"/>
              </w:rPr>
            </w:pPr>
            <w:r w:rsidRPr="00F00E0C">
              <w:rPr>
                <w:szCs w:val="20"/>
              </w:rPr>
              <w:t>E</w:t>
            </w:r>
          </w:p>
        </w:tc>
        <w:tc>
          <w:tcPr>
            <w:tcW w:w="1207" w:type="pct"/>
            <w:noWrap/>
            <w:vAlign w:val="center"/>
          </w:tcPr>
          <w:p w14:paraId="2BDB0E47" w14:textId="77777777" w:rsidR="009A745A" w:rsidRPr="00F00E0C" w:rsidRDefault="009A745A" w:rsidP="009A745A">
            <w:pPr>
              <w:pStyle w:val="Tabletext0"/>
              <w:widowControl w:val="0"/>
              <w:rPr>
                <w:szCs w:val="20"/>
              </w:rPr>
            </w:pPr>
            <w:r w:rsidRPr="00F00E0C">
              <w:rPr>
                <w:szCs w:val="20"/>
              </w:rPr>
              <w:t>Prostheses cost per bilateral DBS</w:t>
            </w:r>
          </w:p>
        </w:tc>
        <w:tc>
          <w:tcPr>
            <w:tcW w:w="581" w:type="pct"/>
            <w:noWrap/>
            <w:vAlign w:val="center"/>
          </w:tcPr>
          <w:p w14:paraId="0DBF8EC4" w14:textId="77777777" w:rsidR="009A745A" w:rsidRPr="00F00E0C" w:rsidRDefault="009A745A" w:rsidP="009A745A">
            <w:pPr>
              <w:pStyle w:val="Tabletext0"/>
              <w:widowControl w:val="0"/>
              <w:jc w:val="center"/>
              <w:rPr>
                <w:szCs w:val="20"/>
              </w:rPr>
            </w:pPr>
            <w:r w:rsidRPr="00F00E0C">
              <w:rPr>
                <w:szCs w:val="20"/>
              </w:rPr>
              <w:t>$31,583</w:t>
            </w:r>
          </w:p>
        </w:tc>
        <w:tc>
          <w:tcPr>
            <w:tcW w:w="581" w:type="pct"/>
            <w:noWrap/>
            <w:vAlign w:val="center"/>
          </w:tcPr>
          <w:p w14:paraId="08D4A7EF" w14:textId="77777777" w:rsidR="009A745A" w:rsidRPr="00F00E0C" w:rsidRDefault="009A745A" w:rsidP="009A745A">
            <w:pPr>
              <w:pStyle w:val="Tabletext0"/>
              <w:widowControl w:val="0"/>
              <w:jc w:val="center"/>
              <w:rPr>
                <w:szCs w:val="20"/>
              </w:rPr>
            </w:pPr>
            <w:r w:rsidRPr="00F00E0C">
              <w:rPr>
                <w:szCs w:val="20"/>
              </w:rPr>
              <w:t>$31,583</w:t>
            </w:r>
          </w:p>
        </w:tc>
        <w:tc>
          <w:tcPr>
            <w:tcW w:w="582" w:type="pct"/>
            <w:noWrap/>
            <w:vAlign w:val="center"/>
          </w:tcPr>
          <w:p w14:paraId="613B2E2D" w14:textId="77777777" w:rsidR="009A745A" w:rsidRPr="00F00E0C" w:rsidRDefault="009A745A" w:rsidP="009A745A">
            <w:pPr>
              <w:pStyle w:val="Tabletext0"/>
              <w:widowControl w:val="0"/>
              <w:jc w:val="center"/>
              <w:rPr>
                <w:szCs w:val="20"/>
              </w:rPr>
            </w:pPr>
            <w:r w:rsidRPr="00F00E0C">
              <w:rPr>
                <w:szCs w:val="20"/>
              </w:rPr>
              <w:t>$31,583</w:t>
            </w:r>
          </w:p>
        </w:tc>
        <w:tc>
          <w:tcPr>
            <w:tcW w:w="581" w:type="pct"/>
            <w:noWrap/>
            <w:vAlign w:val="center"/>
          </w:tcPr>
          <w:p w14:paraId="36675096" w14:textId="77777777" w:rsidR="009A745A" w:rsidRPr="00F00E0C" w:rsidRDefault="009A745A" w:rsidP="009A745A">
            <w:pPr>
              <w:pStyle w:val="Tabletext0"/>
              <w:widowControl w:val="0"/>
              <w:jc w:val="center"/>
              <w:rPr>
                <w:szCs w:val="20"/>
              </w:rPr>
            </w:pPr>
            <w:r w:rsidRPr="00F00E0C">
              <w:rPr>
                <w:szCs w:val="20"/>
              </w:rPr>
              <w:t>$31,583</w:t>
            </w:r>
          </w:p>
        </w:tc>
        <w:tc>
          <w:tcPr>
            <w:tcW w:w="582" w:type="pct"/>
            <w:noWrap/>
            <w:vAlign w:val="center"/>
          </w:tcPr>
          <w:p w14:paraId="348B54F9" w14:textId="77777777" w:rsidR="009A745A" w:rsidRPr="00F00E0C" w:rsidRDefault="009A745A" w:rsidP="009A745A">
            <w:pPr>
              <w:pStyle w:val="Tabletext0"/>
              <w:widowControl w:val="0"/>
              <w:jc w:val="center"/>
              <w:rPr>
                <w:szCs w:val="20"/>
              </w:rPr>
            </w:pPr>
            <w:r w:rsidRPr="00F00E0C">
              <w:rPr>
                <w:szCs w:val="20"/>
              </w:rPr>
              <w:t>$31,583</w:t>
            </w:r>
          </w:p>
        </w:tc>
        <w:tc>
          <w:tcPr>
            <w:tcW w:w="522" w:type="pct"/>
            <w:noWrap/>
            <w:vAlign w:val="center"/>
          </w:tcPr>
          <w:p w14:paraId="60479D10" w14:textId="77777777" w:rsidR="009A745A" w:rsidRPr="00F00E0C" w:rsidRDefault="009A745A" w:rsidP="009A745A">
            <w:pPr>
              <w:pStyle w:val="Tabletext0"/>
              <w:widowControl w:val="0"/>
              <w:jc w:val="center"/>
              <w:rPr>
                <w:szCs w:val="20"/>
              </w:rPr>
            </w:pPr>
            <w:r w:rsidRPr="00F00E0C">
              <w:rPr>
                <w:szCs w:val="20"/>
              </w:rPr>
              <w:t>Table 85</w:t>
            </w:r>
          </w:p>
        </w:tc>
      </w:tr>
      <w:tr w:rsidR="009A745A" w:rsidRPr="00F00E0C" w14:paraId="45E03781"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vAlign w:val="center"/>
          </w:tcPr>
          <w:p w14:paraId="4D3B5FB1" w14:textId="77777777" w:rsidR="009A745A" w:rsidRPr="00F00E0C" w:rsidRDefault="009A745A" w:rsidP="009A745A">
            <w:pPr>
              <w:pStyle w:val="Tabletext0"/>
              <w:widowControl w:val="0"/>
              <w:jc w:val="center"/>
              <w:rPr>
                <w:szCs w:val="20"/>
              </w:rPr>
            </w:pPr>
            <w:r w:rsidRPr="00F00E0C">
              <w:rPr>
                <w:szCs w:val="20"/>
              </w:rPr>
              <w:t>F</w:t>
            </w:r>
          </w:p>
        </w:tc>
        <w:tc>
          <w:tcPr>
            <w:tcW w:w="1207" w:type="pct"/>
            <w:noWrap/>
            <w:vAlign w:val="center"/>
          </w:tcPr>
          <w:p w14:paraId="79D2F472" w14:textId="77777777" w:rsidR="009A745A" w:rsidRPr="00F00E0C" w:rsidRDefault="009A745A" w:rsidP="009A745A">
            <w:pPr>
              <w:pStyle w:val="Tabletext0"/>
              <w:widowControl w:val="0"/>
              <w:rPr>
                <w:szCs w:val="20"/>
              </w:rPr>
            </w:pPr>
            <w:r w:rsidRPr="00F00E0C">
              <w:rPr>
                <w:szCs w:val="20"/>
              </w:rPr>
              <w:t>Substituted unilateral DBS procedures</w:t>
            </w:r>
          </w:p>
        </w:tc>
        <w:tc>
          <w:tcPr>
            <w:tcW w:w="581" w:type="pct"/>
            <w:noWrap/>
            <w:vAlign w:val="center"/>
          </w:tcPr>
          <w:p w14:paraId="2CF8AFE1" w14:textId="77777777" w:rsidR="009A745A" w:rsidRPr="00F00E0C" w:rsidRDefault="009A745A" w:rsidP="009A745A">
            <w:pPr>
              <w:pStyle w:val="Tabletext0"/>
              <w:widowControl w:val="0"/>
              <w:jc w:val="center"/>
              <w:rPr>
                <w:szCs w:val="20"/>
              </w:rPr>
            </w:pPr>
            <w:r w:rsidRPr="00F00E0C">
              <w:rPr>
                <w:szCs w:val="20"/>
              </w:rPr>
              <w:t>1</w:t>
            </w:r>
          </w:p>
        </w:tc>
        <w:tc>
          <w:tcPr>
            <w:tcW w:w="581" w:type="pct"/>
            <w:noWrap/>
            <w:vAlign w:val="center"/>
          </w:tcPr>
          <w:p w14:paraId="5B8004F5" w14:textId="77777777" w:rsidR="009A745A" w:rsidRPr="00F00E0C" w:rsidRDefault="009A745A" w:rsidP="009A745A">
            <w:pPr>
              <w:pStyle w:val="Tabletext0"/>
              <w:widowControl w:val="0"/>
              <w:jc w:val="center"/>
              <w:rPr>
                <w:szCs w:val="20"/>
              </w:rPr>
            </w:pPr>
            <w:r w:rsidRPr="00F00E0C">
              <w:rPr>
                <w:szCs w:val="20"/>
              </w:rPr>
              <w:t>1</w:t>
            </w:r>
          </w:p>
        </w:tc>
        <w:tc>
          <w:tcPr>
            <w:tcW w:w="582" w:type="pct"/>
            <w:noWrap/>
            <w:vAlign w:val="center"/>
          </w:tcPr>
          <w:p w14:paraId="594B0A03" w14:textId="77777777" w:rsidR="009A745A" w:rsidRPr="00F00E0C" w:rsidRDefault="009A745A" w:rsidP="009A745A">
            <w:pPr>
              <w:pStyle w:val="Tabletext0"/>
              <w:widowControl w:val="0"/>
              <w:jc w:val="center"/>
              <w:rPr>
                <w:szCs w:val="20"/>
              </w:rPr>
            </w:pPr>
            <w:r w:rsidRPr="00F00E0C">
              <w:rPr>
                <w:szCs w:val="20"/>
              </w:rPr>
              <w:t>1</w:t>
            </w:r>
          </w:p>
        </w:tc>
        <w:tc>
          <w:tcPr>
            <w:tcW w:w="581" w:type="pct"/>
            <w:noWrap/>
            <w:vAlign w:val="center"/>
          </w:tcPr>
          <w:p w14:paraId="2ECBFB38" w14:textId="77777777" w:rsidR="009A745A" w:rsidRPr="00F00E0C" w:rsidRDefault="009A745A" w:rsidP="009A745A">
            <w:pPr>
              <w:pStyle w:val="Tabletext0"/>
              <w:widowControl w:val="0"/>
              <w:jc w:val="center"/>
              <w:rPr>
                <w:szCs w:val="20"/>
              </w:rPr>
            </w:pPr>
            <w:r w:rsidRPr="00F00E0C">
              <w:rPr>
                <w:szCs w:val="20"/>
              </w:rPr>
              <w:t>1</w:t>
            </w:r>
          </w:p>
        </w:tc>
        <w:tc>
          <w:tcPr>
            <w:tcW w:w="582" w:type="pct"/>
            <w:noWrap/>
            <w:vAlign w:val="center"/>
          </w:tcPr>
          <w:p w14:paraId="62715CEC" w14:textId="77777777" w:rsidR="009A745A" w:rsidRPr="00F00E0C" w:rsidRDefault="009A745A" w:rsidP="009A745A">
            <w:pPr>
              <w:pStyle w:val="Tabletext0"/>
              <w:widowControl w:val="0"/>
              <w:jc w:val="center"/>
              <w:rPr>
                <w:szCs w:val="20"/>
              </w:rPr>
            </w:pPr>
            <w:r w:rsidRPr="00F00E0C">
              <w:rPr>
                <w:szCs w:val="20"/>
              </w:rPr>
              <w:t>1</w:t>
            </w:r>
          </w:p>
        </w:tc>
        <w:tc>
          <w:tcPr>
            <w:tcW w:w="522" w:type="pct"/>
            <w:noWrap/>
            <w:vAlign w:val="center"/>
          </w:tcPr>
          <w:p w14:paraId="3206B1D0" w14:textId="77777777" w:rsidR="009A745A" w:rsidRPr="00F00E0C" w:rsidRDefault="009A745A" w:rsidP="009A745A">
            <w:pPr>
              <w:pStyle w:val="Tabletext0"/>
              <w:widowControl w:val="0"/>
              <w:jc w:val="center"/>
              <w:rPr>
                <w:szCs w:val="20"/>
              </w:rPr>
            </w:pPr>
            <w:r w:rsidRPr="00F00E0C">
              <w:rPr>
                <w:szCs w:val="20"/>
              </w:rPr>
              <w:t>Table 103</w:t>
            </w:r>
          </w:p>
        </w:tc>
      </w:tr>
      <w:tr w:rsidR="009A745A" w:rsidRPr="00F00E0C" w14:paraId="5791CE14"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vAlign w:val="center"/>
          </w:tcPr>
          <w:p w14:paraId="45BE1985" w14:textId="77777777" w:rsidR="009A745A" w:rsidRPr="00F00E0C" w:rsidRDefault="009A745A" w:rsidP="009A745A">
            <w:pPr>
              <w:pStyle w:val="Tabletext0"/>
              <w:widowControl w:val="0"/>
              <w:jc w:val="center"/>
              <w:rPr>
                <w:szCs w:val="20"/>
              </w:rPr>
            </w:pPr>
            <w:r w:rsidRPr="00F00E0C">
              <w:rPr>
                <w:szCs w:val="20"/>
              </w:rPr>
              <w:t>G</w:t>
            </w:r>
          </w:p>
        </w:tc>
        <w:tc>
          <w:tcPr>
            <w:tcW w:w="1207" w:type="pct"/>
            <w:noWrap/>
            <w:vAlign w:val="center"/>
          </w:tcPr>
          <w:p w14:paraId="28E5CC00" w14:textId="77777777" w:rsidR="009A745A" w:rsidRPr="00F00E0C" w:rsidRDefault="009A745A" w:rsidP="009A745A">
            <w:pPr>
              <w:pStyle w:val="Tabletext0"/>
              <w:widowControl w:val="0"/>
              <w:rPr>
                <w:szCs w:val="20"/>
              </w:rPr>
            </w:pPr>
            <w:r w:rsidRPr="00F00E0C">
              <w:rPr>
                <w:szCs w:val="20"/>
              </w:rPr>
              <w:t>Prostheses cost per unilateral DBS</w:t>
            </w:r>
          </w:p>
        </w:tc>
        <w:tc>
          <w:tcPr>
            <w:tcW w:w="581" w:type="pct"/>
            <w:noWrap/>
            <w:vAlign w:val="center"/>
          </w:tcPr>
          <w:p w14:paraId="12CFD6D2" w14:textId="77777777" w:rsidR="009A745A" w:rsidRPr="00F00E0C" w:rsidRDefault="009A745A" w:rsidP="009A745A">
            <w:pPr>
              <w:pStyle w:val="Tabletext0"/>
              <w:widowControl w:val="0"/>
              <w:jc w:val="center"/>
              <w:rPr>
                <w:szCs w:val="20"/>
              </w:rPr>
            </w:pPr>
            <w:r w:rsidRPr="00F00E0C">
              <w:rPr>
                <w:szCs w:val="20"/>
              </w:rPr>
              <w:t>$16,427</w:t>
            </w:r>
          </w:p>
        </w:tc>
        <w:tc>
          <w:tcPr>
            <w:tcW w:w="581" w:type="pct"/>
            <w:noWrap/>
            <w:vAlign w:val="center"/>
          </w:tcPr>
          <w:p w14:paraId="4A710051" w14:textId="77777777" w:rsidR="009A745A" w:rsidRPr="00F00E0C" w:rsidRDefault="009A745A" w:rsidP="009A745A">
            <w:pPr>
              <w:pStyle w:val="Tabletext0"/>
              <w:widowControl w:val="0"/>
              <w:jc w:val="center"/>
              <w:rPr>
                <w:szCs w:val="20"/>
              </w:rPr>
            </w:pPr>
            <w:r w:rsidRPr="00F00E0C">
              <w:rPr>
                <w:szCs w:val="20"/>
              </w:rPr>
              <w:t>$16,427</w:t>
            </w:r>
          </w:p>
        </w:tc>
        <w:tc>
          <w:tcPr>
            <w:tcW w:w="582" w:type="pct"/>
            <w:noWrap/>
            <w:vAlign w:val="center"/>
          </w:tcPr>
          <w:p w14:paraId="6C260EF2" w14:textId="77777777" w:rsidR="009A745A" w:rsidRPr="00F00E0C" w:rsidRDefault="009A745A" w:rsidP="009A745A">
            <w:pPr>
              <w:pStyle w:val="Tabletext0"/>
              <w:widowControl w:val="0"/>
              <w:jc w:val="center"/>
              <w:rPr>
                <w:szCs w:val="20"/>
              </w:rPr>
            </w:pPr>
            <w:r w:rsidRPr="00F00E0C">
              <w:rPr>
                <w:szCs w:val="20"/>
              </w:rPr>
              <w:t>$16,427</w:t>
            </w:r>
          </w:p>
        </w:tc>
        <w:tc>
          <w:tcPr>
            <w:tcW w:w="581" w:type="pct"/>
            <w:noWrap/>
            <w:vAlign w:val="center"/>
          </w:tcPr>
          <w:p w14:paraId="0B184CDC" w14:textId="77777777" w:rsidR="009A745A" w:rsidRPr="00F00E0C" w:rsidRDefault="009A745A" w:rsidP="009A745A">
            <w:pPr>
              <w:pStyle w:val="Tabletext0"/>
              <w:widowControl w:val="0"/>
              <w:jc w:val="center"/>
              <w:rPr>
                <w:szCs w:val="20"/>
              </w:rPr>
            </w:pPr>
            <w:r w:rsidRPr="00F00E0C">
              <w:rPr>
                <w:szCs w:val="20"/>
              </w:rPr>
              <w:t>$16,427</w:t>
            </w:r>
          </w:p>
        </w:tc>
        <w:tc>
          <w:tcPr>
            <w:tcW w:w="582" w:type="pct"/>
            <w:noWrap/>
            <w:vAlign w:val="center"/>
          </w:tcPr>
          <w:p w14:paraId="3E49399C" w14:textId="77777777" w:rsidR="009A745A" w:rsidRPr="00F00E0C" w:rsidRDefault="009A745A" w:rsidP="009A745A">
            <w:pPr>
              <w:pStyle w:val="Tabletext0"/>
              <w:widowControl w:val="0"/>
              <w:jc w:val="center"/>
              <w:rPr>
                <w:szCs w:val="20"/>
              </w:rPr>
            </w:pPr>
            <w:r w:rsidRPr="00F00E0C">
              <w:rPr>
                <w:szCs w:val="20"/>
              </w:rPr>
              <w:t>$16,427</w:t>
            </w:r>
          </w:p>
        </w:tc>
        <w:tc>
          <w:tcPr>
            <w:tcW w:w="522" w:type="pct"/>
            <w:noWrap/>
            <w:vAlign w:val="center"/>
          </w:tcPr>
          <w:p w14:paraId="1A33FD86" w14:textId="77777777" w:rsidR="009A745A" w:rsidRPr="00F00E0C" w:rsidRDefault="009A745A" w:rsidP="009A745A">
            <w:pPr>
              <w:pStyle w:val="Tabletext0"/>
              <w:widowControl w:val="0"/>
              <w:jc w:val="center"/>
              <w:rPr>
                <w:szCs w:val="20"/>
              </w:rPr>
            </w:pPr>
            <w:r w:rsidRPr="00F00E0C">
              <w:rPr>
                <w:szCs w:val="20"/>
              </w:rPr>
              <w:t>Table 85</w:t>
            </w:r>
          </w:p>
        </w:tc>
      </w:tr>
      <w:tr w:rsidR="009A745A" w:rsidRPr="00F00E0C" w14:paraId="6593E4B7"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bottom w:val="single" w:sz="4" w:space="0" w:color="auto"/>
            </w:tcBorders>
            <w:vAlign w:val="center"/>
          </w:tcPr>
          <w:p w14:paraId="0F9BAB49" w14:textId="77777777" w:rsidR="009A745A" w:rsidRPr="00F00E0C" w:rsidRDefault="009A745A" w:rsidP="009A745A">
            <w:pPr>
              <w:pStyle w:val="Tabletext0"/>
              <w:widowControl w:val="0"/>
              <w:jc w:val="center"/>
              <w:rPr>
                <w:szCs w:val="20"/>
              </w:rPr>
            </w:pPr>
            <w:r w:rsidRPr="00F00E0C">
              <w:rPr>
                <w:szCs w:val="20"/>
              </w:rPr>
              <w:t>H</w:t>
            </w:r>
          </w:p>
        </w:tc>
        <w:tc>
          <w:tcPr>
            <w:tcW w:w="1207" w:type="pct"/>
            <w:tcBorders>
              <w:bottom w:val="single" w:sz="4" w:space="0" w:color="auto"/>
            </w:tcBorders>
            <w:noWrap/>
            <w:vAlign w:val="center"/>
          </w:tcPr>
          <w:p w14:paraId="6206D713" w14:textId="77777777" w:rsidR="009A745A" w:rsidRPr="00F00E0C" w:rsidRDefault="009A745A" w:rsidP="009A745A">
            <w:pPr>
              <w:pStyle w:val="Tabletext0"/>
              <w:widowControl w:val="0"/>
              <w:rPr>
                <w:szCs w:val="20"/>
              </w:rPr>
            </w:pPr>
            <w:r w:rsidRPr="00F00E0C">
              <w:rPr>
                <w:szCs w:val="20"/>
              </w:rPr>
              <w:t>Substituted bilateral battery replacements</w:t>
            </w:r>
          </w:p>
        </w:tc>
        <w:tc>
          <w:tcPr>
            <w:tcW w:w="581" w:type="pct"/>
            <w:tcBorders>
              <w:bottom w:val="single" w:sz="4" w:space="0" w:color="auto"/>
            </w:tcBorders>
            <w:noWrap/>
            <w:vAlign w:val="center"/>
          </w:tcPr>
          <w:p w14:paraId="3B75DFA6" w14:textId="77777777" w:rsidR="009A745A" w:rsidRPr="00F00E0C" w:rsidRDefault="009A745A" w:rsidP="009A745A">
            <w:pPr>
              <w:pStyle w:val="Tabletext0"/>
              <w:widowControl w:val="0"/>
              <w:jc w:val="center"/>
              <w:rPr>
                <w:szCs w:val="20"/>
              </w:rPr>
            </w:pPr>
            <w:r w:rsidRPr="00F00E0C">
              <w:rPr>
                <w:szCs w:val="20"/>
              </w:rPr>
              <w:t>-</w:t>
            </w:r>
          </w:p>
        </w:tc>
        <w:tc>
          <w:tcPr>
            <w:tcW w:w="581" w:type="pct"/>
            <w:tcBorders>
              <w:bottom w:val="single" w:sz="4" w:space="0" w:color="auto"/>
            </w:tcBorders>
            <w:noWrap/>
            <w:vAlign w:val="center"/>
          </w:tcPr>
          <w:p w14:paraId="3411C4CA" w14:textId="77777777" w:rsidR="009A745A" w:rsidRPr="00F00E0C" w:rsidRDefault="009A745A" w:rsidP="009A745A">
            <w:pPr>
              <w:pStyle w:val="Tabletext0"/>
              <w:widowControl w:val="0"/>
              <w:jc w:val="center"/>
              <w:rPr>
                <w:szCs w:val="20"/>
              </w:rPr>
            </w:pPr>
            <w:r w:rsidRPr="00F00E0C">
              <w:rPr>
                <w:szCs w:val="20"/>
              </w:rPr>
              <w:t>-</w:t>
            </w:r>
          </w:p>
        </w:tc>
        <w:tc>
          <w:tcPr>
            <w:tcW w:w="582" w:type="pct"/>
            <w:tcBorders>
              <w:bottom w:val="single" w:sz="4" w:space="0" w:color="auto"/>
            </w:tcBorders>
            <w:noWrap/>
            <w:vAlign w:val="center"/>
          </w:tcPr>
          <w:p w14:paraId="28B738EC" w14:textId="77777777" w:rsidR="009A745A" w:rsidRPr="00F00E0C" w:rsidRDefault="009A745A" w:rsidP="009A745A">
            <w:pPr>
              <w:pStyle w:val="Tabletext0"/>
              <w:widowControl w:val="0"/>
              <w:jc w:val="center"/>
              <w:rPr>
                <w:szCs w:val="20"/>
              </w:rPr>
            </w:pPr>
            <w:r w:rsidRPr="00F00E0C">
              <w:rPr>
                <w:szCs w:val="20"/>
              </w:rPr>
              <w:t>-</w:t>
            </w:r>
          </w:p>
        </w:tc>
        <w:tc>
          <w:tcPr>
            <w:tcW w:w="581" w:type="pct"/>
            <w:tcBorders>
              <w:bottom w:val="single" w:sz="4" w:space="0" w:color="auto"/>
            </w:tcBorders>
            <w:noWrap/>
            <w:vAlign w:val="center"/>
          </w:tcPr>
          <w:p w14:paraId="180F90C6" w14:textId="77777777" w:rsidR="009A745A" w:rsidRPr="00F00E0C" w:rsidRDefault="009A745A" w:rsidP="009A745A">
            <w:pPr>
              <w:pStyle w:val="Tabletext0"/>
              <w:widowControl w:val="0"/>
              <w:jc w:val="center"/>
              <w:rPr>
                <w:szCs w:val="20"/>
              </w:rPr>
            </w:pPr>
            <w:r w:rsidRPr="00F00E0C">
              <w:rPr>
                <w:szCs w:val="20"/>
              </w:rPr>
              <w:t>6</w:t>
            </w:r>
          </w:p>
        </w:tc>
        <w:tc>
          <w:tcPr>
            <w:tcW w:w="582" w:type="pct"/>
            <w:tcBorders>
              <w:bottom w:val="single" w:sz="4" w:space="0" w:color="auto"/>
            </w:tcBorders>
            <w:noWrap/>
            <w:vAlign w:val="center"/>
          </w:tcPr>
          <w:p w14:paraId="2831CA02" w14:textId="77777777" w:rsidR="009A745A" w:rsidRPr="00F00E0C" w:rsidRDefault="009A745A" w:rsidP="009A745A">
            <w:pPr>
              <w:pStyle w:val="Tabletext0"/>
              <w:widowControl w:val="0"/>
              <w:jc w:val="center"/>
              <w:rPr>
                <w:szCs w:val="20"/>
              </w:rPr>
            </w:pPr>
            <w:r w:rsidRPr="00F00E0C">
              <w:rPr>
                <w:szCs w:val="20"/>
              </w:rPr>
              <w:t>6</w:t>
            </w:r>
          </w:p>
        </w:tc>
        <w:tc>
          <w:tcPr>
            <w:tcW w:w="522" w:type="pct"/>
            <w:tcBorders>
              <w:bottom w:val="single" w:sz="4" w:space="0" w:color="auto"/>
            </w:tcBorders>
            <w:noWrap/>
            <w:vAlign w:val="center"/>
          </w:tcPr>
          <w:p w14:paraId="191F6C8C" w14:textId="77777777" w:rsidR="009A745A" w:rsidRPr="00F00E0C" w:rsidRDefault="009A745A" w:rsidP="009A745A">
            <w:pPr>
              <w:pStyle w:val="Tabletext0"/>
              <w:widowControl w:val="0"/>
              <w:jc w:val="center"/>
              <w:rPr>
                <w:szCs w:val="20"/>
              </w:rPr>
            </w:pPr>
            <w:r w:rsidRPr="00F00E0C">
              <w:rPr>
                <w:szCs w:val="20"/>
              </w:rPr>
              <w:t xml:space="preserve">D*0.5 </w:t>
            </w:r>
            <w:r w:rsidRPr="00F00E0C">
              <w:rPr>
                <w:szCs w:val="20"/>
                <w:vertAlign w:val="superscript"/>
              </w:rPr>
              <w:t>a</w:t>
            </w:r>
          </w:p>
        </w:tc>
      </w:tr>
      <w:tr w:rsidR="009A745A" w:rsidRPr="00F00E0C" w14:paraId="49BF5797"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bottom w:val="single" w:sz="4" w:space="0" w:color="auto"/>
            </w:tcBorders>
            <w:vAlign w:val="center"/>
          </w:tcPr>
          <w:p w14:paraId="75BA209C" w14:textId="77777777" w:rsidR="009A745A" w:rsidRPr="00F00E0C" w:rsidRDefault="009A745A" w:rsidP="009A745A">
            <w:pPr>
              <w:pStyle w:val="Tabletext0"/>
              <w:widowControl w:val="0"/>
              <w:jc w:val="center"/>
              <w:rPr>
                <w:szCs w:val="20"/>
              </w:rPr>
            </w:pPr>
            <w:r w:rsidRPr="00F00E0C">
              <w:rPr>
                <w:szCs w:val="20"/>
              </w:rPr>
              <w:t>I</w:t>
            </w:r>
          </w:p>
        </w:tc>
        <w:tc>
          <w:tcPr>
            <w:tcW w:w="1207" w:type="pct"/>
            <w:tcBorders>
              <w:bottom w:val="single" w:sz="4" w:space="0" w:color="auto"/>
            </w:tcBorders>
            <w:noWrap/>
            <w:vAlign w:val="center"/>
          </w:tcPr>
          <w:p w14:paraId="0082029A" w14:textId="77777777" w:rsidR="009A745A" w:rsidRPr="00F00E0C" w:rsidRDefault="009A745A" w:rsidP="009A745A">
            <w:pPr>
              <w:pStyle w:val="Tabletext0"/>
              <w:widowControl w:val="0"/>
              <w:rPr>
                <w:szCs w:val="20"/>
              </w:rPr>
            </w:pPr>
            <w:r w:rsidRPr="00F00E0C">
              <w:rPr>
                <w:szCs w:val="20"/>
              </w:rPr>
              <w:t>Prostheses cost per bilateral battery replacement</w:t>
            </w:r>
          </w:p>
        </w:tc>
        <w:tc>
          <w:tcPr>
            <w:tcW w:w="581" w:type="pct"/>
            <w:tcBorders>
              <w:bottom w:val="single" w:sz="4" w:space="0" w:color="auto"/>
            </w:tcBorders>
            <w:noWrap/>
            <w:vAlign w:val="center"/>
          </w:tcPr>
          <w:p w14:paraId="16AA803A" w14:textId="77777777" w:rsidR="009A745A" w:rsidRPr="00F00E0C" w:rsidRDefault="009A745A" w:rsidP="009A745A">
            <w:pPr>
              <w:pStyle w:val="Tabletext0"/>
              <w:widowControl w:val="0"/>
              <w:jc w:val="center"/>
              <w:rPr>
                <w:szCs w:val="20"/>
              </w:rPr>
            </w:pPr>
            <w:r w:rsidRPr="00F00E0C">
              <w:rPr>
                <w:szCs w:val="20"/>
              </w:rPr>
              <w:t>$16,329</w:t>
            </w:r>
          </w:p>
        </w:tc>
        <w:tc>
          <w:tcPr>
            <w:tcW w:w="581" w:type="pct"/>
            <w:tcBorders>
              <w:bottom w:val="single" w:sz="4" w:space="0" w:color="auto"/>
            </w:tcBorders>
            <w:noWrap/>
            <w:vAlign w:val="center"/>
          </w:tcPr>
          <w:p w14:paraId="2605DFFA" w14:textId="77777777" w:rsidR="009A745A" w:rsidRPr="00F00E0C" w:rsidRDefault="009A745A" w:rsidP="009A745A">
            <w:pPr>
              <w:pStyle w:val="Tabletext0"/>
              <w:widowControl w:val="0"/>
              <w:jc w:val="center"/>
              <w:rPr>
                <w:szCs w:val="20"/>
              </w:rPr>
            </w:pPr>
            <w:r w:rsidRPr="00F00E0C">
              <w:rPr>
                <w:szCs w:val="20"/>
              </w:rPr>
              <w:t>$16,329</w:t>
            </w:r>
          </w:p>
        </w:tc>
        <w:tc>
          <w:tcPr>
            <w:tcW w:w="582" w:type="pct"/>
            <w:tcBorders>
              <w:bottom w:val="single" w:sz="4" w:space="0" w:color="auto"/>
            </w:tcBorders>
            <w:noWrap/>
            <w:vAlign w:val="center"/>
          </w:tcPr>
          <w:p w14:paraId="4A6E53EC" w14:textId="77777777" w:rsidR="009A745A" w:rsidRPr="00F00E0C" w:rsidRDefault="009A745A" w:rsidP="009A745A">
            <w:pPr>
              <w:pStyle w:val="Tabletext0"/>
              <w:widowControl w:val="0"/>
              <w:jc w:val="center"/>
              <w:rPr>
                <w:szCs w:val="20"/>
              </w:rPr>
            </w:pPr>
            <w:r w:rsidRPr="00F00E0C">
              <w:rPr>
                <w:szCs w:val="20"/>
              </w:rPr>
              <w:t>$16,329</w:t>
            </w:r>
          </w:p>
        </w:tc>
        <w:tc>
          <w:tcPr>
            <w:tcW w:w="581" w:type="pct"/>
            <w:tcBorders>
              <w:bottom w:val="single" w:sz="4" w:space="0" w:color="auto"/>
            </w:tcBorders>
            <w:noWrap/>
            <w:vAlign w:val="center"/>
          </w:tcPr>
          <w:p w14:paraId="05965B9E" w14:textId="77777777" w:rsidR="009A745A" w:rsidRPr="00F00E0C" w:rsidRDefault="009A745A" w:rsidP="009A745A">
            <w:pPr>
              <w:pStyle w:val="Tabletext0"/>
              <w:widowControl w:val="0"/>
              <w:jc w:val="center"/>
              <w:rPr>
                <w:szCs w:val="20"/>
              </w:rPr>
            </w:pPr>
            <w:r w:rsidRPr="00F00E0C">
              <w:rPr>
                <w:szCs w:val="20"/>
              </w:rPr>
              <w:t>$16,329</w:t>
            </w:r>
          </w:p>
        </w:tc>
        <w:tc>
          <w:tcPr>
            <w:tcW w:w="582" w:type="pct"/>
            <w:tcBorders>
              <w:bottom w:val="single" w:sz="4" w:space="0" w:color="auto"/>
            </w:tcBorders>
            <w:noWrap/>
            <w:vAlign w:val="center"/>
          </w:tcPr>
          <w:p w14:paraId="74457424" w14:textId="77777777" w:rsidR="009A745A" w:rsidRPr="00F00E0C" w:rsidRDefault="009A745A" w:rsidP="009A745A">
            <w:pPr>
              <w:pStyle w:val="Tabletext0"/>
              <w:widowControl w:val="0"/>
              <w:jc w:val="center"/>
              <w:rPr>
                <w:szCs w:val="20"/>
              </w:rPr>
            </w:pPr>
            <w:r w:rsidRPr="00F00E0C">
              <w:rPr>
                <w:szCs w:val="20"/>
              </w:rPr>
              <w:t>$16,329</w:t>
            </w:r>
          </w:p>
        </w:tc>
        <w:tc>
          <w:tcPr>
            <w:tcW w:w="522" w:type="pct"/>
            <w:tcBorders>
              <w:bottom w:val="single" w:sz="4" w:space="0" w:color="auto"/>
            </w:tcBorders>
            <w:noWrap/>
            <w:vAlign w:val="center"/>
          </w:tcPr>
          <w:p w14:paraId="27858EAD" w14:textId="77777777" w:rsidR="009A745A" w:rsidRPr="00F00E0C" w:rsidRDefault="009A745A" w:rsidP="009A745A">
            <w:pPr>
              <w:pStyle w:val="Tabletext0"/>
              <w:widowControl w:val="0"/>
              <w:jc w:val="center"/>
              <w:rPr>
                <w:szCs w:val="20"/>
              </w:rPr>
            </w:pPr>
            <w:r w:rsidRPr="00F00E0C">
              <w:rPr>
                <w:szCs w:val="20"/>
              </w:rPr>
              <w:t>Table 86</w:t>
            </w:r>
          </w:p>
        </w:tc>
      </w:tr>
      <w:tr w:rsidR="009A745A" w:rsidRPr="00F00E0C" w14:paraId="7F5D66B0"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bottom w:val="single" w:sz="4" w:space="0" w:color="auto"/>
            </w:tcBorders>
            <w:vAlign w:val="center"/>
          </w:tcPr>
          <w:p w14:paraId="4C902667" w14:textId="77777777" w:rsidR="009A745A" w:rsidRPr="00F00E0C" w:rsidRDefault="009A745A" w:rsidP="009A745A">
            <w:pPr>
              <w:pStyle w:val="Tabletext0"/>
              <w:widowControl w:val="0"/>
              <w:jc w:val="center"/>
              <w:rPr>
                <w:szCs w:val="20"/>
              </w:rPr>
            </w:pPr>
            <w:r w:rsidRPr="00F00E0C">
              <w:rPr>
                <w:szCs w:val="20"/>
              </w:rPr>
              <w:t>J</w:t>
            </w:r>
          </w:p>
        </w:tc>
        <w:tc>
          <w:tcPr>
            <w:tcW w:w="1207" w:type="pct"/>
            <w:tcBorders>
              <w:bottom w:val="single" w:sz="4" w:space="0" w:color="auto"/>
            </w:tcBorders>
            <w:noWrap/>
            <w:vAlign w:val="center"/>
          </w:tcPr>
          <w:p w14:paraId="511E227F" w14:textId="77777777" w:rsidR="009A745A" w:rsidRPr="00F00E0C" w:rsidRDefault="009A745A" w:rsidP="009A745A">
            <w:pPr>
              <w:pStyle w:val="Tabletext0"/>
              <w:widowControl w:val="0"/>
              <w:rPr>
                <w:szCs w:val="20"/>
              </w:rPr>
            </w:pPr>
            <w:r w:rsidRPr="00F00E0C">
              <w:rPr>
                <w:szCs w:val="20"/>
              </w:rPr>
              <w:t>Substituted unilateral battery replacements</w:t>
            </w:r>
          </w:p>
        </w:tc>
        <w:tc>
          <w:tcPr>
            <w:tcW w:w="581" w:type="pct"/>
            <w:tcBorders>
              <w:bottom w:val="single" w:sz="4" w:space="0" w:color="auto"/>
            </w:tcBorders>
            <w:noWrap/>
            <w:vAlign w:val="center"/>
          </w:tcPr>
          <w:p w14:paraId="0C1E3D41" w14:textId="77777777" w:rsidR="009A745A" w:rsidRPr="00F00E0C" w:rsidRDefault="009A745A" w:rsidP="009A745A">
            <w:pPr>
              <w:pStyle w:val="Tabletext0"/>
              <w:widowControl w:val="0"/>
              <w:jc w:val="center"/>
              <w:rPr>
                <w:szCs w:val="20"/>
              </w:rPr>
            </w:pPr>
            <w:r w:rsidRPr="00F00E0C">
              <w:rPr>
                <w:szCs w:val="20"/>
              </w:rPr>
              <w:t>-</w:t>
            </w:r>
          </w:p>
        </w:tc>
        <w:tc>
          <w:tcPr>
            <w:tcW w:w="581" w:type="pct"/>
            <w:tcBorders>
              <w:bottom w:val="single" w:sz="4" w:space="0" w:color="auto"/>
            </w:tcBorders>
            <w:noWrap/>
            <w:vAlign w:val="center"/>
          </w:tcPr>
          <w:p w14:paraId="7F20954A" w14:textId="77777777" w:rsidR="009A745A" w:rsidRPr="00F00E0C" w:rsidRDefault="009A745A" w:rsidP="009A745A">
            <w:pPr>
              <w:pStyle w:val="Tabletext0"/>
              <w:widowControl w:val="0"/>
              <w:jc w:val="center"/>
              <w:rPr>
                <w:szCs w:val="20"/>
              </w:rPr>
            </w:pPr>
            <w:r w:rsidRPr="00F00E0C">
              <w:rPr>
                <w:szCs w:val="20"/>
              </w:rPr>
              <w:t>-</w:t>
            </w:r>
          </w:p>
        </w:tc>
        <w:tc>
          <w:tcPr>
            <w:tcW w:w="582" w:type="pct"/>
            <w:tcBorders>
              <w:bottom w:val="single" w:sz="4" w:space="0" w:color="auto"/>
            </w:tcBorders>
            <w:noWrap/>
            <w:vAlign w:val="center"/>
          </w:tcPr>
          <w:p w14:paraId="200C3E4E" w14:textId="77777777" w:rsidR="009A745A" w:rsidRPr="00F00E0C" w:rsidRDefault="009A745A" w:rsidP="009A745A">
            <w:pPr>
              <w:pStyle w:val="Tabletext0"/>
              <w:widowControl w:val="0"/>
              <w:jc w:val="center"/>
              <w:rPr>
                <w:szCs w:val="20"/>
              </w:rPr>
            </w:pPr>
            <w:r w:rsidRPr="00F00E0C">
              <w:rPr>
                <w:szCs w:val="20"/>
              </w:rPr>
              <w:t>-</w:t>
            </w:r>
          </w:p>
        </w:tc>
        <w:tc>
          <w:tcPr>
            <w:tcW w:w="581" w:type="pct"/>
            <w:tcBorders>
              <w:bottom w:val="single" w:sz="4" w:space="0" w:color="auto"/>
            </w:tcBorders>
            <w:noWrap/>
            <w:vAlign w:val="center"/>
          </w:tcPr>
          <w:p w14:paraId="10BF0B15" w14:textId="77777777" w:rsidR="009A745A" w:rsidRPr="00F00E0C" w:rsidRDefault="009A745A" w:rsidP="009A745A">
            <w:pPr>
              <w:pStyle w:val="Tabletext0"/>
              <w:widowControl w:val="0"/>
              <w:jc w:val="center"/>
              <w:rPr>
                <w:szCs w:val="20"/>
              </w:rPr>
            </w:pPr>
            <w:r w:rsidRPr="00F00E0C">
              <w:rPr>
                <w:szCs w:val="20"/>
              </w:rPr>
              <w:t>1</w:t>
            </w:r>
          </w:p>
        </w:tc>
        <w:tc>
          <w:tcPr>
            <w:tcW w:w="582" w:type="pct"/>
            <w:tcBorders>
              <w:bottom w:val="single" w:sz="4" w:space="0" w:color="auto"/>
            </w:tcBorders>
            <w:noWrap/>
            <w:vAlign w:val="center"/>
          </w:tcPr>
          <w:p w14:paraId="0C18E8D1" w14:textId="77777777" w:rsidR="009A745A" w:rsidRPr="00F00E0C" w:rsidRDefault="009A745A" w:rsidP="009A745A">
            <w:pPr>
              <w:pStyle w:val="Tabletext0"/>
              <w:widowControl w:val="0"/>
              <w:jc w:val="center"/>
              <w:rPr>
                <w:szCs w:val="20"/>
              </w:rPr>
            </w:pPr>
            <w:r w:rsidRPr="00F00E0C">
              <w:rPr>
                <w:szCs w:val="20"/>
              </w:rPr>
              <w:t>1</w:t>
            </w:r>
          </w:p>
        </w:tc>
        <w:tc>
          <w:tcPr>
            <w:tcW w:w="522" w:type="pct"/>
            <w:tcBorders>
              <w:bottom w:val="single" w:sz="4" w:space="0" w:color="auto"/>
            </w:tcBorders>
            <w:noWrap/>
            <w:vAlign w:val="center"/>
          </w:tcPr>
          <w:p w14:paraId="32A858A4" w14:textId="77777777" w:rsidR="009A745A" w:rsidRPr="00F00E0C" w:rsidRDefault="009A745A" w:rsidP="009A745A">
            <w:pPr>
              <w:pStyle w:val="Tabletext0"/>
              <w:widowControl w:val="0"/>
              <w:jc w:val="center"/>
              <w:rPr>
                <w:szCs w:val="20"/>
              </w:rPr>
            </w:pPr>
            <w:r w:rsidRPr="00F00E0C">
              <w:rPr>
                <w:szCs w:val="20"/>
              </w:rPr>
              <w:t xml:space="preserve">F*1 </w:t>
            </w:r>
            <w:r w:rsidRPr="00F00E0C">
              <w:rPr>
                <w:szCs w:val="20"/>
                <w:vertAlign w:val="superscript"/>
              </w:rPr>
              <w:t>a</w:t>
            </w:r>
          </w:p>
        </w:tc>
      </w:tr>
      <w:tr w:rsidR="009A745A" w:rsidRPr="00F00E0C" w14:paraId="3E71A2ED"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bottom w:val="single" w:sz="4" w:space="0" w:color="auto"/>
            </w:tcBorders>
            <w:vAlign w:val="center"/>
          </w:tcPr>
          <w:p w14:paraId="3D396958" w14:textId="77777777" w:rsidR="009A745A" w:rsidRPr="00F00E0C" w:rsidRDefault="009A745A" w:rsidP="009A745A">
            <w:pPr>
              <w:pStyle w:val="Tabletext0"/>
              <w:widowControl w:val="0"/>
              <w:jc w:val="center"/>
              <w:rPr>
                <w:szCs w:val="20"/>
              </w:rPr>
            </w:pPr>
            <w:r w:rsidRPr="00F00E0C">
              <w:rPr>
                <w:szCs w:val="20"/>
              </w:rPr>
              <w:t>K</w:t>
            </w:r>
          </w:p>
        </w:tc>
        <w:tc>
          <w:tcPr>
            <w:tcW w:w="1207" w:type="pct"/>
            <w:tcBorders>
              <w:bottom w:val="single" w:sz="4" w:space="0" w:color="auto"/>
            </w:tcBorders>
            <w:noWrap/>
            <w:vAlign w:val="center"/>
          </w:tcPr>
          <w:p w14:paraId="5E8B351A" w14:textId="77777777" w:rsidR="009A745A" w:rsidRPr="00F00E0C" w:rsidRDefault="009A745A" w:rsidP="009A745A">
            <w:pPr>
              <w:pStyle w:val="Tabletext0"/>
              <w:widowControl w:val="0"/>
              <w:rPr>
                <w:szCs w:val="20"/>
              </w:rPr>
            </w:pPr>
            <w:r w:rsidRPr="00F00E0C">
              <w:rPr>
                <w:szCs w:val="20"/>
              </w:rPr>
              <w:t>Prostheses cost per unilateral battery replacement</w:t>
            </w:r>
          </w:p>
        </w:tc>
        <w:tc>
          <w:tcPr>
            <w:tcW w:w="581" w:type="pct"/>
            <w:tcBorders>
              <w:bottom w:val="single" w:sz="4" w:space="0" w:color="auto"/>
            </w:tcBorders>
            <w:noWrap/>
            <w:vAlign w:val="center"/>
          </w:tcPr>
          <w:p w14:paraId="1D810203" w14:textId="77777777" w:rsidR="009A745A" w:rsidRPr="00F00E0C" w:rsidRDefault="009A745A" w:rsidP="009A745A">
            <w:pPr>
              <w:pStyle w:val="Tabletext0"/>
              <w:widowControl w:val="0"/>
              <w:jc w:val="center"/>
              <w:rPr>
                <w:szCs w:val="20"/>
              </w:rPr>
            </w:pPr>
            <w:r w:rsidRPr="00F00E0C">
              <w:rPr>
                <w:szCs w:val="20"/>
              </w:rPr>
              <w:t>$8,168</w:t>
            </w:r>
          </w:p>
        </w:tc>
        <w:tc>
          <w:tcPr>
            <w:tcW w:w="581" w:type="pct"/>
            <w:tcBorders>
              <w:bottom w:val="single" w:sz="4" w:space="0" w:color="auto"/>
            </w:tcBorders>
            <w:noWrap/>
            <w:vAlign w:val="center"/>
          </w:tcPr>
          <w:p w14:paraId="7936DF37" w14:textId="77777777" w:rsidR="009A745A" w:rsidRPr="00F00E0C" w:rsidRDefault="009A745A" w:rsidP="009A745A">
            <w:pPr>
              <w:pStyle w:val="Tabletext0"/>
              <w:widowControl w:val="0"/>
              <w:jc w:val="center"/>
              <w:rPr>
                <w:szCs w:val="20"/>
              </w:rPr>
            </w:pPr>
            <w:r w:rsidRPr="00F00E0C">
              <w:rPr>
                <w:szCs w:val="20"/>
              </w:rPr>
              <w:t>$8,168</w:t>
            </w:r>
          </w:p>
        </w:tc>
        <w:tc>
          <w:tcPr>
            <w:tcW w:w="582" w:type="pct"/>
            <w:tcBorders>
              <w:bottom w:val="single" w:sz="4" w:space="0" w:color="auto"/>
            </w:tcBorders>
            <w:noWrap/>
            <w:vAlign w:val="center"/>
          </w:tcPr>
          <w:p w14:paraId="491E2EAD" w14:textId="77777777" w:rsidR="009A745A" w:rsidRPr="00F00E0C" w:rsidRDefault="009A745A" w:rsidP="009A745A">
            <w:pPr>
              <w:pStyle w:val="Tabletext0"/>
              <w:widowControl w:val="0"/>
              <w:jc w:val="center"/>
              <w:rPr>
                <w:szCs w:val="20"/>
              </w:rPr>
            </w:pPr>
            <w:r w:rsidRPr="00F00E0C">
              <w:rPr>
                <w:szCs w:val="20"/>
              </w:rPr>
              <w:t>$8,168</w:t>
            </w:r>
          </w:p>
        </w:tc>
        <w:tc>
          <w:tcPr>
            <w:tcW w:w="581" w:type="pct"/>
            <w:tcBorders>
              <w:bottom w:val="single" w:sz="4" w:space="0" w:color="auto"/>
            </w:tcBorders>
            <w:noWrap/>
            <w:vAlign w:val="center"/>
          </w:tcPr>
          <w:p w14:paraId="25F179B1" w14:textId="77777777" w:rsidR="009A745A" w:rsidRPr="00F00E0C" w:rsidRDefault="009A745A" w:rsidP="009A745A">
            <w:pPr>
              <w:pStyle w:val="Tabletext0"/>
              <w:widowControl w:val="0"/>
              <w:jc w:val="center"/>
              <w:rPr>
                <w:szCs w:val="20"/>
              </w:rPr>
            </w:pPr>
            <w:r w:rsidRPr="00F00E0C">
              <w:rPr>
                <w:szCs w:val="20"/>
              </w:rPr>
              <w:t>$8,168</w:t>
            </w:r>
          </w:p>
        </w:tc>
        <w:tc>
          <w:tcPr>
            <w:tcW w:w="582" w:type="pct"/>
            <w:tcBorders>
              <w:bottom w:val="single" w:sz="4" w:space="0" w:color="auto"/>
            </w:tcBorders>
            <w:noWrap/>
            <w:vAlign w:val="center"/>
          </w:tcPr>
          <w:p w14:paraId="3BD642C8" w14:textId="77777777" w:rsidR="009A745A" w:rsidRPr="00F00E0C" w:rsidRDefault="009A745A" w:rsidP="009A745A">
            <w:pPr>
              <w:pStyle w:val="Tabletext0"/>
              <w:widowControl w:val="0"/>
              <w:jc w:val="center"/>
              <w:rPr>
                <w:szCs w:val="20"/>
              </w:rPr>
            </w:pPr>
            <w:r w:rsidRPr="00F00E0C">
              <w:rPr>
                <w:szCs w:val="20"/>
              </w:rPr>
              <w:t>$8,168</w:t>
            </w:r>
          </w:p>
        </w:tc>
        <w:tc>
          <w:tcPr>
            <w:tcW w:w="522" w:type="pct"/>
            <w:tcBorders>
              <w:bottom w:val="single" w:sz="4" w:space="0" w:color="auto"/>
            </w:tcBorders>
            <w:noWrap/>
            <w:vAlign w:val="center"/>
          </w:tcPr>
          <w:p w14:paraId="25CCD770" w14:textId="77777777" w:rsidR="009A745A" w:rsidRPr="00F00E0C" w:rsidRDefault="009A745A" w:rsidP="009A745A">
            <w:pPr>
              <w:pStyle w:val="Tabletext0"/>
              <w:widowControl w:val="0"/>
              <w:jc w:val="center"/>
              <w:rPr>
                <w:szCs w:val="20"/>
              </w:rPr>
            </w:pPr>
            <w:r w:rsidRPr="00F00E0C">
              <w:rPr>
                <w:szCs w:val="20"/>
              </w:rPr>
              <w:t>Table 86</w:t>
            </w:r>
          </w:p>
        </w:tc>
      </w:tr>
      <w:tr w:rsidR="009A745A" w:rsidRPr="00F00E0C" w14:paraId="1BDC7D79" w14:textId="77777777" w:rsidTr="009A745A">
        <w:trPr>
          <w:cnfStyle w:val="100000000000" w:firstRow="1" w:lastRow="0" w:firstColumn="0" w:lastColumn="0" w:oddVBand="0" w:evenVBand="0" w:oddHBand="0" w:evenHBand="0" w:firstRowFirstColumn="0" w:firstRowLastColumn="0" w:lastRowFirstColumn="0" w:lastRowLastColumn="0"/>
          <w:cantSplit/>
          <w:trHeight w:val="300"/>
          <w:tblHeader/>
        </w:trPr>
        <w:tc>
          <w:tcPr>
            <w:tcW w:w="364" w:type="pct"/>
            <w:tcBorders>
              <w:bottom w:val="single" w:sz="4" w:space="0" w:color="auto"/>
            </w:tcBorders>
            <w:vAlign w:val="center"/>
          </w:tcPr>
          <w:p w14:paraId="288443A1" w14:textId="77777777" w:rsidR="009A745A" w:rsidRPr="00F00E0C" w:rsidRDefault="009A745A" w:rsidP="009A745A">
            <w:pPr>
              <w:pStyle w:val="Tabletext0"/>
              <w:widowControl w:val="0"/>
              <w:jc w:val="center"/>
              <w:rPr>
                <w:szCs w:val="20"/>
              </w:rPr>
            </w:pPr>
            <w:r w:rsidRPr="00F00E0C">
              <w:rPr>
                <w:szCs w:val="20"/>
              </w:rPr>
              <w:t>L</w:t>
            </w:r>
          </w:p>
        </w:tc>
        <w:tc>
          <w:tcPr>
            <w:tcW w:w="1207" w:type="pct"/>
            <w:tcBorders>
              <w:bottom w:val="single" w:sz="4" w:space="0" w:color="auto"/>
            </w:tcBorders>
            <w:noWrap/>
            <w:vAlign w:val="center"/>
          </w:tcPr>
          <w:p w14:paraId="75232FAE" w14:textId="77777777" w:rsidR="009A745A" w:rsidRPr="00F00E0C" w:rsidRDefault="009A745A" w:rsidP="009A745A">
            <w:pPr>
              <w:pStyle w:val="Tabletext0"/>
              <w:widowControl w:val="0"/>
              <w:rPr>
                <w:szCs w:val="20"/>
              </w:rPr>
            </w:pPr>
            <w:r w:rsidRPr="00F00E0C">
              <w:rPr>
                <w:szCs w:val="20"/>
              </w:rPr>
              <w:t>Total substituted prostheses costs</w:t>
            </w:r>
          </w:p>
        </w:tc>
        <w:tc>
          <w:tcPr>
            <w:tcW w:w="581" w:type="pct"/>
            <w:tcBorders>
              <w:bottom w:val="single" w:sz="4" w:space="0" w:color="auto"/>
            </w:tcBorders>
            <w:noWrap/>
            <w:vAlign w:val="center"/>
          </w:tcPr>
          <w:p w14:paraId="61E92F41" w14:textId="77777777" w:rsidR="009A745A" w:rsidRPr="00F00E0C" w:rsidRDefault="009A745A" w:rsidP="009A745A">
            <w:pPr>
              <w:pStyle w:val="Tabletext0"/>
              <w:widowControl w:val="0"/>
              <w:jc w:val="center"/>
              <w:rPr>
                <w:szCs w:val="20"/>
              </w:rPr>
            </w:pPr>
            <w:r w:rsidRPr="00F00E0C">
              <w:rPr>
                <w:szCs w:val="20"/>
              </w:rPr>
              <w:t>$379,694</w:t>
            </w:r>
          </w:p>
        </w:tc>
        <w:tc>
          <w:tcPr>
            <w:tcW w:w="581" w:type="pct"/>
            <w:tcBorders>
              <w:bottom w:val="single" w:sz="4" w:space="0" w:color="auto"/>
            </w:tcBorders>
            <w:noWrap/>
            <w:vAlign w:val="center"/>
          </w:tcPr>
          <w:p w14:paraId="49C6B2FE" w14:textId="77777777" w:rsidR="009A745A" w:rsidRPr="00F00E0C" w:rsidRDefault="009A745A" w:rsidP="009A745A">
            <w:pPr>
              <w:pStyle w:val="Tabletext0"/>
              <w:widowControl w:val="0"/>
              <w:jc w:val="center"/>
              <w:rPr>
                <w:szCs w:val="20"/>
              </w:rPr>
            </w:pPr>
            <w:r w:rsidRPr="00F00E0C">
              <w:rPr>
                <w:szCs w:val="20"/>
              </w:rPr>
              <w:t>$379,694</w:t>
            </w:r>
          </w:p>
        </w:tc>
        <w:tc>
          <w:tcPr>
            <w:tcW w:w="582" w:type="pct"/>
            <w:tcBorders>
              <w:bottom w:val="single" w:sz="4" w:space="0" w:color="auto"/>
            </w:tcBorders>
            <w:noWrap/>
            <w:vAlign w:val="center"/>
          </w:tcPr>
          <w:p w14:paraId="66CDA711" w14:textId="77777777" w:rsidR="009A745A" w:rsidRPr="00F00E0C" w:rsidRDefault="009A745A" w:rsidP="009A745A">
            <w:pPr>
              <w:pStyle w:val="Tabletext0"/>
              <w:widowControl w:val="0"/>
              <w:jc w:val="center"/>
              <w:rPr>
                <w:szCs w:val="20"/>
              </w:rPr>
            </w:pPr>
            <w:r w:rsidRPr="00F00E0C">
              <w:rPr>
                <w:szCs w:val="20"/>
              </w:rPr>
              <w:t>$379,694</w:t>
            </w:r>
          </w:p>
        </w:tc>
        <w:tc>
          <w:tcPr>
            <w:tcW w:w="581" w:type="pct"/>
            <w:tcBorders>
              <w:bottom w:val="single" w:sz="4" w:space="0" w:color="auto"/>
            </w:tcBorders>
            <w:noWrap/>
            <w:vAlign w:val="center"/>
          </w:tcPr>
          <w:p w14:paraId="7A8F2D7C" w14:textId="77777777" w:rsidR="009A745A" w:rsidRPr="00F00E0C" w:rsidRDefault="009A745A" w:rsidP="009A745A">
            <w:pPr>
              <w:pStyle w:val="Tabletext0"/>
              <w:widowControl w:val="0"/>
              <w:jc w:val="center"/>
              <w:rPr>
                <w:szCs w:val="20"/>
              </w:rPr>
            </w:pPr>
            <w:r w:rsidRPr="00F00E0C">
              <w:rPr>
                <w:szCs w:val="20"/>
              </w:rPr>
              <w:t>$480,484</w:t>
            </w:r>
          </w:p>
        </w:tc>
        <w:tc>
          <w:tcPr>
            <w:tcW w:w="582" w:type="pct"/>
            <w:tcBorders>
              <w:bottom w:val="single" w:sz="4" w:space="0" w:color="auto"/>
            </w:tcBorders>
            <w:noWrap/>
            <w:vAlign w:val="center"/>
          </w:tcPr>
          <w:p w14:paraId="61D0E6FB" w14:textId="77777777" w:rsidR="009A745A" w:rsidRPr="00F00E0C" w:rsidRDefault="009A745A" w:rsidP="009A745A">
            <w:pPr>
              <w:pStyle w:val="Tabletext0"/>
              <w:widowControl w:val="0"/>
              <w:jc w:val="center"/>
              <w:rPr>
                <w:szCs w:val="20"/>
              </w:rPr>
            </w:pPr>
            <w:r w:rsidRPr="00F00E0C">
              <w:rPr>
                <w:szCs w:val="20"/>
              </w:rPr>
              <w:t>$480,484</w:t>
            </w:r>
          </w:p>
        </w:tc>
        <w:tc>
          <w:tcPr>
            <w:tcW w:w="522" w:type="pct"/>
            <w:tcBorders>
              <w:bottom w:val="single" w:sz="4" w:space="0" w:color="auto"/>
            </w:tcBorders>
            <w:noWrap/>
            <w:vAlign w:val="center"/>
          </w:tcPr>
          <w:p w14:paraId="263A0B9E" w14:textId="77777777" w:rsidR="009A745A" w:rsidRPr="00F00E0C" w:rsidRDefault="009A745A" w:rsidP="009A745A">
            <w:pPr>
              <w:pStyle w:val="Tabletext0"/>
              <w:widowControl w:val="0"/>
              <w:jc w:val="center"/>
              <w:rPr>
                <w:szCs w:val="20"/>
              </w:rPr>
            </w:pPr>
            <w:r w:rsidRPr="00F00E0C">
              <w:rPr>
                <w:szCs w:val="20"/>
              </w:rPr>
              <w:t>D*E+F*G+H*I+J*K</w:t>
            </w:r>
          </w:p>
        </w:tc>
      </w:tr>
      <w:tr w:rsidR="009A745A" w:rsidRPr="00F00E0C" w14:paraId="24D0E7BF" w14:textId="77777777" w:rsidTr="009A745A">
        <w:trPr>
          <w:cnfStyle w:val="100000000000" w:firstRow="1" w:lastRow="0" w:firstColumn="0" w:lastColumn="0" w:oddVBand="0" w:evenVBand="0" w:oddHBand="0" w:evenHBand="0" w:firstRowFirstColumn="0" w:firstRowLastColumn="0" w:lastRowFirstColumn="0" w:lastRowLastColumn="0"/>
          <w:cantSplit/>
          <w:trHeight w:val="126"/>
          <w:tblHeader/>
        </w:trPr>
        <w:tc>
          <w:tcPr>
            <w:tcW w:w="364" w:type="pct"/>
            <w:tcBorders>
              <w:top w:val="single" w:sz="4" w:space="0" w:color="auto"/>
              <w:left w:val="single" w:sz="4" w:space="0" w:color="auto"/>
              <w:bottom w:val="single" w:sz="4" w:space="0" w:color="auto"/>
              <w:right w:val="nil"/>
            </w:tcBorders>
            <w:vAlign w:val="center"/>
          </w:tcPr>
          <w:p w14:paraId="74C652F6" w14:textId="77777777" w:rsidR="009A745A" w:rsidRPr="00F00E0C" w:rsidRDefault="009A745A" w:rsidP="009A745A">
            <w:pPr>
              <w:pStyle w:val="Tabletext0"/>
              <w:widowControl w:val="0"/>
              <w:jc w:val="center"/>
              <w:rPr>
                <w:szCs w:val="20"/>
              </w:rPr>
            </w:pPr>
          </w:p>
        </w:tc>
        <w:tc>
          <w:tcPr>
            <w:tcW w:w="1207" w:type="pct"/>
            <w:tcBorders>
              <w:top w:val="single" w:sz="4" w:space="0" w:color="auto"/>
              <w:left w:val="nil"/>
              <w:bottom w:val="single" w:sz="4" w:space="0" w:color="auto"/>
              <w:right w:val="nil"/>
            </w:tcBorders>
            <w:noWrap/>
            <w:vAlign w:val="center"/>
          </w:tcPr>
          <w:p w14:paraId="7769968F" w14:textId="77777777" w:rsidR="009A745A" w:rsidRPr="00F00E0C" w:rsidRDefault="009A745A" w:rsidP="009A745A">
            <w:pPr>
              <w:pStyle w:val="Tabletext0"/>
              <w:widowControl w:val="0"/>
              <w:jc w:val="both"/>
              <w:rPr>
                <w:szCs w:val="20"/>
              </w:rPr>
            </w:pPr>
            <w:r w:rsidRPr="00F00E0C">
              <w:rPr>
                <w:b/>
                <w:bCs/>
                <w:szCs w:val="20"/>
              </w:rPr>
              <w:t>Net impact</w:t>
            </w:r>
          </w:p>
        </w:tc>
        <w:tc>
          <w:tcPr>
            <w:tcW w:w="581" w:type="pct"/>
            <w:tcBorders>
              <w:top w:val="single" w:sz="4" w:space="0" w:color="auto"/>
              <w:left w:val="nil"/>
              <w:bottom w:val="single" w:sz="4" w:space="0" w:color="auto"/>
              <w:right w:val="nil"/>
            </w:tcBorders>
            <w:noWrap/>
            <w:vAlign w:val="center"/>
          </w:tcPr>
          <w:p w14:paraId="28C1DB12" w14:textId="77777777" w:rsidR="009A745A" w:rsidRPr="00F00E0C" w:rsidRDefault="009A745A" w:rsidP="009A745A">
            <w:pPr>
              <w:pStyle w:val="Tabletext0"/>
              <w:widowControl w:val="0"/>
              <w:jc w:val="center"/>
              <w:rPr>
                <w:szCs w:val="20"/>
              </w:rPr>
            </w:pPr>
          </w:p>
        </w:tc>
        <w:tc>
          <w:tcPr>
            <w:tcW w:w="581" w:type="pct"/>
            <w:tcBorders>
              <w:top w:val="single" w:sz="4" w:space="0" w:color="auto"/>
              <w:left w:val="nil"/>
              <w:bottom w:val="single" w:sz="4" w:space="0" w:color="auto"/>
              <w:right w:val="nil"/>
            </w:tcBorders>
            <w:noWrap/>
            <w:vAlign w:val="center"/>
          </w:tcPr>
          <w:p w14:paraId="2FFE0367" w14:textId="77777777" w:rsidR="009A745A" w:rsidRPr="00F00E0C" w:rsidRDefault="009A745A" w:rsidP="009A745A">
            <w:pPr>
              <w:pStyle w:val="Tabletext0"/>
              <w:widowControl w:val="0"/>
              <w:jc w:val="center"/>
              <w:rPr>
                <w:szCs w:val="20"/>
              </w:rPr>
            </w:pPr>
          </w:p>
        </w:tc>
        <w:tc>
          <w:tcPr>
            <w:tcW w:w="582" w:type="pct"/>
            <w:tcBorders>
              <w:top w:val="single" w:sz="4" w:space="0" w:color="auto"/>
              <w:left w:val="nil"/>
              <w:bottom w:val="single" w:sz="4" w:space="0" w:color="auto"/>
              <w:right w:val="nil"/>
            </w:tcBorders>
            <w:noWrap/>
            <w:vAlign w:val="center"/>
          </w:tcPr>
          <w:p w14:paraId="3ED5534B" w14:textId="77777777" w:rsidR="009A745A" w:rsidRPr="00F00E0C" w:rsidRDefault="009A745A" w:rsidP="009A745A">
            <w:pPr>
              <w:pStyle w:val="Tabletext0"/>
              <w:widowControl w:val="0"/>
              <w:jc w:val="center"/>
              <w:rPr>
                <w:szCs w:val="20"/>
              </w:rPr>
            </w:pPr>
          </w:p>
        </w:tc>
        <w:tc>
          <w:tcPr>
            <w:tcW w:w="581" w:type="pct"/>
            <w:tcBorders>
              <w:top w:val="single" w:sz="4" w:space="0" w:color="auto"/>
              <w:left w:val="nil"/>
              <w:bottom w:val="single" w:sz="4" w:space="0" w:color="auto"/>
              <w:right w:val="nil"/>
            </w:tcBorders>
            <w:noWrap/>
            <w:vAlign w:val="center"/>
          </w:tcPr>
          <w:p w14:paraId="18E94C06" w14:textId="77777777" w:rsidR="009A745A" w:rsidRPr="00F00E0C" w:rsidRDefault="009A745A" w:rsidP="009A745A">
            <w:pPr>
              <w:pStyle w:val="Tabletext0"/>
              <w:widowControl w:val="0"/>
              <w:jc w:val="center"/>
              <w:rPr>
                <w:szCs w:val="20"/>
              </w:rPr>
            </w:pPr>
          </w:p>
        </w:tc>
        <w:tc>
          <w:tcPr>
            <w:tcW w:w="582" w:type="pct"/>
            <w:tcBorders>
              <w:top w:val="single" w:sz="4" w:space="0" w:color="auto"/>
              <w:left w:val="nil"/>
              <w:bottom w:val="single" w:sz="4" w:space="0" w:color="auto"/>
              <w:right w:val="nil"/>
            </w:tcBorders>
            <w:noWrap/>
            <w:vAlign w:val="center"/>
          </w:tcPr>
          <w:p w14:paraId="49164B9C" w14:textId="77777777" w:rsidR="009A745A" w:rsidRPr="00F00E0C" w:rsidRDefault="009A745A" w:rsidP="009A745A">
            <w:pPr>
              <w:pStyle w:val="Tabletext0"/>
              <w:widowControl w:val="0"/>
              <w:jc w:val="center"/>
              <w:rPr>
                <w:szCs w:val="20"/>
              </w:rPr>
            </w:pPr>
          </w:p>
        </w:tc>
        <w:tc>
          <w:tcPr>
            <w:tcW w:w="522" w:type="pct"/>
            <w:tcBorders>
              <w:top w:val="single" w:sz="4" w:space="0" w:color="auto"/>
              <w:left w:val="nil"/>
              <w:bottom w:val="single" w:sz="4" w:space="0" w:color="auto"/>
              <w:right w:val="single" w:sz="4" w:space="0" w:color="auto"/>
            </w:tcBorders>
            <w:noWrap/>
            <w:vAlign w:val="center"/>
          </w:tcPr>
          <w:p w14:paraId="775F79CF" w14:textId="77777777" w:rsidR="009A745A" w:rsidRPr="00F00E0C" w:rsidRDefault="009A745A" w:rsidP="009A745A">
            <w:pPr>
              <w:pStyle w:val="Tabletext0"/>
              <w:widowControl w:val="0"/>
              <w:jc w:val="both"/>
              <w:rPr>
                <w:szCs w:val="20"/>
              </w:rPr>
            </w:pPr>
          </w:p>
        </w:tc>
      </w:tr>
      <w:tr w:rsidR="009A745A" w:rsidRPr="00F00E0C" w14:paraId="6AD829E1" w14:textId="77777777" w:rsidTr="009A745A">
        <w:trPr>
          <w:cnfStyle w:val="100000000000" w:firstRow="1" w:lastRow="0" w:firstColumn="0" w:lastColumn="0" w:oddVBand="0" w:evenVBand="0" w:oddHBand="0" w:evenHBand="0" w:firstRowFirstColumn="0" w:firstRowLastColumn="0" w:lastRowFirstColumn="0" w:lastRowLastColumn="0"/>
          <w:cantSplit/>
          <w:trHeight w:val="862"/>
          <w:tblHeader/>
        </w:trPr>
        <w:tc>
          <w:tcPr>
            <w:tcW w:w="364" w:type="pct"/>
            <w:tcBorders>
              <w:top w:val="single" w:sz="4" w:space="0" w:color="auto"/>
            </w:tcBorders>
            <w:vAlign w:val="center"/>
          </w:tcPr>
          <w:p w14:paraId="7D575370" w14:textId="77777777" w:rsidR="009A745A" w:rsidRPr="00F00E0C" w:rsidRDefault="009A745A" w:rsidP="009A745A">
            <w:pPr>
              <w:pStyle w:val="Tabletext0"/>
              <w:widowControl w:val="0"/>
              <w:jc w:val="center"/>
              <w:rPr>
                <w:szCs w:val="20"/>
              </w:rPr>
            </w:pPr>
            <w:r w:rsidRPr="00F00E0C">
              <w:rPr>
                <w:szCs w:val="20"/>
              </w:rPr>
              <w:t>M</w:t>
            </w:r>
          </w:p>
        </w:tc>
        <w:tc>
          <w:tcPr>
            <w:tcW w:w="1207" w:type="pct"/>
            <w:tcBorders>
              <w:top w:val="single" w:sz="4" w:space="0" w:color="auto"/>
            </w:tcBorders>
            <w:noWrap/>
            <w:vAlign w:val="center"/>
          </w:tcPr>
          <w:p w14:paraId="1A28F3B7" w14:textId="77777777" w:rsidR="009A745A" w:rsidRPr="00F00E0C" w:rsidRDefault="009A745A" w:rsidP="009A745A">
            <w:pPr>
              <w:pStyle w:val="Tabletext0"/>
              <w:widowControl w:val="0"/>
              <w:jc w:val="both"/>
              <w:rPr>
                <w:szCs w:val="20"/>
              </w:rPr>
            </w:pPr>
            <w:r w:rsidRPr="00F00E0C">
              <w:rPr>
                <w:szCs w:val="20"/>
              </w:rPr>
              <w:t>Net impact to private health insurers</w:t>
            </w:r>
          </w:p>
        </w:tc>
        <w:tc>
          <w:tcPr>
            <w:tcW w:w="581" w:type="pct"/>
            <w:tcBorders>
              <w:top w:val="single" w:sz="4" w:space="0" w:color="auto"/>
            </w:tcBorders>
            <w:noWrap/>
            <w:vAlign w:val="center"/>
          </w:tcPr>
          <w:p w14:paraId="4A58645B" w14:textId="77777777" w:rsidR="00B4557E" w:rsidRPr="00270DF6" w:rsidRDefault="00B4557E" w:rsidP="009A745A">
            <w:pPr>
              <w:pStyle w:val="Tabletext0"/>
              <w:widowControl w:val="0"/>
              <w:jc w:val="center"/>
              <w:rPr>
                <w:b/>
                <w:szCs w:val="20"/>
              </w:rPr>
            </w:pPr>
            <w:r w:rsidRPr="00270DF6">
              <w:rPr>
                <w:b/>
                <w:szCs w:val="20"/>
              </w:rPr>
              <w:t>$Redacted</w:t>
            </w:r>
          </w:p>
          <w:p w14:paraId="003D130F" w14:textId="237151BD" w:rsidR="009A745A" w:rsidRPr="00007EC5" w:rsidRDefault="00B4557E" w:rsidP="00007EC5">
            <w:pPr>
              <w:pStyle w:val="Tabletext0"/>
              <w:widowControl w:val="0"/>
              <w:jc w:val="center"/>
              <w:rPr>
                <w:b/>
                <w:i/>
                <w:iCs/>
                <w:szCs w:val="20"/>
              </w:rPr>
            </w:pPr>
            <w:r w:rsidRPr="00270DF6">
              <w:rPr>
                <w:b/>
                <w:i/>
                <w:iCs/>
                <w:szCs w:val="20"/>
              </w:rPr>
              <w:t>$Redacted</w:t>
            </w:r>
          </w:p>
        </w:tc>
        <w:tc>
          <w:tcPr>
            <w:tcW w:w="581" w:type="pct"/>
            <w:tcBorders>
              <w:top w:val="single" w:sz="4" w:space="0" w:color="auto"/>
            </w:tcBorders>
            <w:noWrap/>
            <w:vAlign w:val="center"/>
          </w:tcPr>
          <w:p w14:paraId="5C751369" w14:textId="77777777" w:rsidR="00B4557E" w:rsidRPr="00270DF6" w:rsidRDefault="00B4557E" w:rsidP="00B4557E">
            <w:pPr>
              <w:pStyle w:val="Tabletext0"/>
              <w:widowControl w:val="0"/>
              <w:jc w:val="center"/>
              <w:rPr>
                <w:b/>
                <w:szCs w:val="20"/>
              </w:rPr>
            </w:pPr>
            <w:r w:rsidRPr="00270DF6">
              <w:rPr>
                <w:b/>
                <w:szCs w:val="20"/>
              </w:rPr>
              <w:t>$Redacted</w:t>
            </w:r>
          </w:p>
          <w:p w14:paraId="1B686C11" w14:textId="4D598857" w:rsidR="009A745A" w:rsidRPr="00007EC5" w:rsidRDefault="00B4557E" w:rsidP="00007EC5">
            <w:pPr>
              <w:pStyle w:val="Tabletext0"/>
              <w:widowControl w:val="0"/>
              <w:jc w:val="center"/>
              <w:rPr>
                <w:b/>
                <w:i/>
                <w:iCs/>
                <w:szCs w:val="20"/>
              </w:rPr>
            </w:pPr>
            <w:r w:rsidRPr="00270DF6">
              <w:rPr>
                <w:b/>
                <w:i/>
                <w:iCs/>
                <w:szCs w:val="20"/>
              </w:rPr>
              <w:t>$Redacted</w:t>
            </w:r>
          </w:p>
        </w:tc>
        <w:tc>
          <w:tcPr>
            <w:tcW w:w="582" w:type="pct"/>
            <w:tcBorders>
              <w:top w:val="single" w:sz="4" w:space="0" w:color="auto"/>
            </w:tcBorders>
            <w:noWrap/>
            <w:vAlign w:val="center"/>
          </w:tcPr>
          <w:p w14:paraId="692F43FD" w14:textId="77777777" w:rsidR="00B4557E" w:rsidRPr="00270DF6" w:rsidRDefault="00B4557E" w:rsidP="00B4557E">
            <w:pPr>
              <w:pStyle w:val="Tabletext0"/>
              <w:widowControl w:val="0"/>
              <w:jc w:val="center"/>
              <w:rPr>
                <w:b/>
                <w:szCs w:val="20"/>
              </w:rPr>
            </w:pPr>
            <w:r w:rsidRPr="00270DF6">
              <w:rPr>
                <w:b/>
                <w:szCs w:val="20"/>
              </w:rPr>
              <w:t>$Redacted</w:t>
            </w:r>
          </w:p>
          <w:p w14:paraId="66466A5E" w14:textId="7ED052C9" w:rsidR="009A745A" w:rsidRPr="00007EC5" w:rsidRDefault="00B4557E" w:rsidP="00007EC5">
            <w:pPr>
              <w:pStyle w:val="Tabletext0"/>
              <w:widowControl w:val="0"/>
              <w:jc w:val="center"/>
              <w:rPr>
                <w:b/>
                <w:i/>
                <w:iCs/>
                <w:szCs w:val="20"/>
              </w:rPr>
            </w:pPr>
            <w:r w:rsidRPr="00270DF6">
              <w:rPr>
                <w:b/>
                <w:i/>
                <w:iCs/>
                <w:szCs w:val="20"/>
              </w:rPr>
              <w:t>$Redacted</w:t>
            </w:r>
          </w:p>
        </w:tc>
        <w:tc>
          <w:tcPr>
            <w:tcW w:w="581" w:type="pct"/>
            <w:tcBorders>
              <w:top w:val="single" w:sz="4" w:space="0" w:color="auto"/>
            </w:tcBorders>
            <w:noWrap/>
            <w:vAlign w:val="center"/>
          </w:tcPr>
          <w:p w14:paraId="262FAB4E" w14:textId="77777777" w:rsidR="00B4557E" w:rsidRPr="00270DF6" w:rsidRDefault="00B4557E" w:rsidP="00B4557E">
            <w:pPr>
              <w:pStyle w:val="Tabletext0"/>
              <w:widowControl w:val="0"/>
              <w:jc w:val="center"/>
              <w:rPr>
                <w:b/>
                <w:szCs w:val="20"/>
              </w:rPr>
            </w:pPr>
            <w:r w:rsidRPr="00270DF6">
              <w:rPr>
                <w:b/>
                <w:szCs w:val="20"/>
              </w:rPr>
              <w:t>$Redacted</w:t>
            </w:r>
          </w:p>
          <w:p w14:paraId="58534B48" w14:textId="1904D96A" w:rsidR="009A745A" w:rsidRPr="00007EC5" w:rsidRDefault="00B4557E" w:rsidP="00007EC5">
            <w:pPr>
              <w:pStyle w:val="Tabletext0"/>
              <w:widowControl w:val="0"/>
              <w:jc w:val="center"/>
              <w:rPr>
                <w:b/>
                <w:i/>
                <w:iCs/>
                <w:szCs w:val="20"/>
              </w:rPr>
            </w:pPr>
            <w:r w:rsidRPr="00270DF6">
              <w:rPr>
                <w:b/>
                <w:i/>
                <w:iCs/>
                <w:szCs w:val="20"/>
              </w:rPr>
              <w:t>$Redacted</w:t>
            </w:r>
          </w:p>
        </w:tc>
        <w:tc>
          <w:tcPr>
            <w:tcW w:w="582" w:type="pct"/>
            <w:tcBorders>
              <w:top w:val="single" w:sz="4" w:space="0" w:color="auto"/>
            </w:tcBorders>
            <w:noWrap/>
            <w:vAlign w:val="center"/>
          </w:tcPr>
          <w:p w14:paraId="53FE9061" w14:textId="77777777" w:rsidR="00B4557E" w:rsidRPr="00270DF6" w:rsidRDefault="00B4557E" w:rsidP="00B4557E">
            <w:pPr>
              <w:pStyle w:val="Tabletext0"/>
              <w:widowControl w:val="0"/>
              <w:jc w:val="center"/>
              <w:rPr>
                <w:b/>
                <w:szCs w:val="20"/>
              </w:rPr>
            </w:pPr>
            <w:r w:rsidRPr="00270DF6">
              <w:rPr>
                <w:b/>
                <w:szCs w:val="20"/>
              </w:rPr>
              <w:t>$Redacted</w:t>
            </w:r>
          </w:p>
          <w:p w14:paraId="42279DA7" w14:textId="6A157CAA" w:rsidR="009A745A" w:rsidRPr="00007EC5" w:rsidRDefault="00B4557E" w:rsidP="00007EC5">
            <w:pPr>
              <w:pStyle w:val="Tabletext0"/>
              <w:widowControl w:val="0"/>
              <w:jc w:val="center"/>
              <w:rPr>
                <w:b/>
                <w:i/>
                <w:iCs/>
                <w:szCs w:val="20"/>
              </w:rPr>
            </w:pPr>
            <w:r w:rsidRPr="00270DF6">
              <w:rPr>
                <w:b/>
                <w:i/>
                <w:iCs/>
                <w:szCs w:val="20"/>
              </w:rPr>
              <w:t>$Redacted</w:t>
            </w:r>
          </w:p>
        </w:tc>
        <w:tc>
          <w:tcPr>
            <w:tcW w:w="522" w:type="pct"/>
            <w:tcBorders>
              <w:top w:val="single" w:sz="4" w:space="0" w:color="auto"/>
            </w:tcBorders>
            <w:noWrap/>
            <w:vAlign w:val="center"/>
          </w:tcPr>
          <w:p w14:paraId="04D7EE28" w14:textId="77777777" w:rsidR="009A745A" w:rsidRPr="00F00E0C" w:rsidRDefault="009A745A" w:rsidP="009A745A">
            <w:pPr>
              <w:pStyle w:val="Tabletext0"/>
              <w:widowControl w:val="0"/>
              <w:jc w:val="both"/>
              <w:rPr>
                <w:szCs w:val="20"/>
              </w:rPr>
            </w:pPr>
            <w:r w:rsidRPr="00F00E0C">
              <w:rPr>
                <w:szCs w:val="20"/>
              </w:rPr>
              <w:t>C-L</w:t>
            </w:r>
          </w:p>
        </w:tc>
      </w:tr>
    </w:tbl>
    <w:p w14:paraId="01CB832B" w14:textId="77777777" w:rsidR="009A745A" w:rsidRPr="008C43EA" w:rsidRDefault="009A745A" w:rsidP="009A745A">
      <w:pPr>
        <w:pStyle w:val="TableNote"/>
      </w:pPr>
      <w:r w:rsidRPr="008C43EA">
        <w:t xml:space="preserve">Source: Table </w:t>
      </w:r>
      <w:r>
        <w:t>59 of the Commentary</w:t>
      </w:r>
    </w:p>
    <w:p w14:paraId="7773C7C8" w14:textId="77777777" w:rsidR="009A745A" w:rsidRPr="008C43EA" w:rsidRDefault="009A745A" w:rsidP="009A745A">
      <w:pPr>
        <w:pStyle w:val="TableNote"/>
      </w:pPr>
      <w:r w:rsidRPr="008C43EA">
        <w:t>Note: Table references refer to the original ADAR.</w:t>
      </w:r>
    </w:p>
    <w:p w14:paraId="2FC44895" w14:textId="77777777" w:rsidR="009A745A" w:rsidRPr="008C43EA" w:rsidRDefault="009A745A" w:rsidP="009A745A">
      <w:pPr>
        <w:pStyle w:val="TableNote"/>
      </w:pPr>
      <w:r w:rsidRPr="008C43EA">
        <w:t xml:space="preserve">Rounding errors may apply. See spreadsheet “Section E_MRgFUS”.xlsx for complete calculations. </w:t>
      </w:r>
    </w:p>
    <w:p w14:paraId="18214F87" w14:textId="77777777" w:rsidR="009A745A" w:rsidRPr="008C43EA" w:rsidRDefault="009A745A" w:rsidP="009A745A">
      <w:pPr>
        <w:pStyle w:val="TableNote"/>
      </w:pPr>
      <w:r w:rsidRPr="008C43EA">
        <w:t>a Patients are attrbitured a battery replacement four years after the initial procedure, as detailed in Section D.</w:t>
      </w:r>
    </w:p>
    <w:p w14:paraId="54D991FF" w14:textId="142190F8" w:rsidR="009A745A" w:rsidRDefault="009A745A" w:rsidP="0039787B">
      <w:pPr>
        <w:pStyle w:val="TableNote"/>
      </w:pPr>
      <w:r w:rsidRPr="008C43EA">
        <w:t>Abbreviations: ‘DBS’=deep brain stimulation, MRgFUS=magnetic reso</w:t>
      </w:r>
      <w:r>
        <w:t>nance-guided focused ultrasound</w:t>
      </w:r>
    </w:p>
    <w:p w14:paraId="39C2B802"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to MSAC"/>
        <w:tblDescription w:val="Summary of ESC issues to MSAC"/>
      </w:tblPr>
      <w:tblGrid>
        <w:gridCol w:w="2802"/>
        <w:gridCol w:w="6214"/>
      </w:tblGrid>
      <w:tr w:rsidR="00E47F08" w:rsidRPr="00595C99" w14:paraId="0DCD602F" w14:textId="77777777" w:rsidTr="009A745A">
        <w:trPr>
          <w:tblHeader/>
        </w:trPr>
        <w:tc>
          <w:tcPr>
            <w:tcW w:w="2802" w:type="dxa"/>
          </w:tcPr>
          <w:p w14:paraId="7E19EC6E" w14:textId="77777777" w:rsidR="00E47F08" w:rsidRPr="00595C99" w:rsidRDefault="00E47F08" w:rsidP="009A745A">
            <w:pPr>
              <w:pStyle w:val="TableHeading"/>
              <w:rPr>
                <w:rFonts w:ascii="Times New Roman" w:hAnsi="Times New Roman" w:cs="Times New Roman"/>
              </w:rPr>
            </w:pPr>
            <w:r w:rsidRPr="00595C99">
              <w:rPr>
                <w:rFonts w:ascii="Times New Roman" w:hAnsi="Times New Roman" w:cs="Times New Roman"/>
              </w:rPr>
              <w:t>ESC key issue</w:t>
            </w:r>
          </w:p>
        </w:tc>
        <w:tc>
          <w:tcPr>
            <w:tcW w:w="6214" w:type="dxa"/>
          </w:tcPr>
          <w:p w14:paraId="439031A5" w14:textId="77777777" w:rsidR="00E47F08" w:rsidRPr="00595C99" w:rsidRDefault="00E47F08" w:rsidP="009A745A">
            <w:pPr>
              <w:pStyle w:val="TableHeading"/>
              <w:rPr>
                <w:rFonts w:ascii="Times New Roman" w:hAnsi="Times New Roman" w:cs="Times New Roman"/>
              </w:rPr>
            </w:pPr>
            <w:r w:rsidRPr="00595C99">
              <w:rPr>
                <w:rFonts w:ascii="Times New Roman" w:hAnsi="Times New Roman" w:cs="Times New Roman"/>
              </w:rPr>
              <w:t>ESC advice to MSAC</w:t>
            </w:r>
          </w:p>
        </w:tc>
      </w:tr>
      <w:tr w:rsidR="00E47F08" w:rsidRPr="00595C99" w14:paraId="1941DDE3" w14:textId="77777777" w:rsidTr="009A745A">
        <w:trPr>
          <w:trHeight w:val="109"/>
        </w:trPr>
        <w:tc>
          <w:tcPr>
            <w:tcW w:w="2802" w:type="dxa"/>
            <w:hideMark/>
          </w:tcPr>
          <w:p w14:paraId="1AEFAB5E" w14:textId="77777777" w:rsidR="00E47F08" w:rsidRPr="00595C99" w:rsidRDefault="00E47F08" w:rsidP="009A745A">
            <w:pPr>
              <w:pStyle w:val="TableText"/>
            </w:pPr>
            <w:r w:rsidRPr="00595C99">
              <w:t>Item descriptor – once per lifetime and unilateral treatment</w:t>
            </w:r>
          </w:p>
        </w:tc>
        <w:tc>
          <w:tcPr>
            <w:tcW w:w="6214" w:type="dxa"/>
            <w:hideMark/>
          </w:tcPr>
          <w:p w14:paraId="778DE2C7" w14:textId="77777777" w:rsidR="00E47F08" w:rsidRPr="00595C99" w:rsidRDefault="00E47F08" w:rsidP="009A745A">
            <w:pPr>
              <w:pStyle w:val="TableText"/>
            </w:pPr>
            <w:r w:rsidRPr="00595C99">
              <w:t>Reinstate once per lifetime</w:t>
            </w:r>
            <w:r>
              <w:t xml:space="preserve"> restriction</w:t>
            </w:r>
            <w:r w:rsidRPr="00595C99">
              <w:t xml:space="preserve">, given that there is limited clinical evidence to support effectiveness and safety of retreatment and contralateral/bilateral </w:t>
            </w:r>
            <w:proofErr w:type="spellStart"/>
            <w:r w:rsidRPr="00595C99">
              <w:t>MRgFUS</w:t>
            </w:r>
            <w:proofErr w:type="spellEnd"/>
            <w:r w:rsidRPr="00595C99">
              <w:t>.</w:t>
            </w:r>
          </w:p>
        </w:tc>
      </w:tr>
      <w:tr w:rsidR="00E47F08" w:rsidRPr="00595C99" w14:paraId="32C5FA8B" w14:textId="77777777" w:rsidTr="009A745A">
        <w:trPr>
          <w:trHeight w:val="109"/>
        </w:trPr>
        <w:tc>
          <w:tcPr>
            <w:tcW w:w="2802" w:type="dxa"/>
          </w:tcPr>
          <w:p w14:paraId="0EEA0F08" w14:textId="77777777" w:rsidR="00E47F08" w:rsidRPr="00595C99" w:rsidRDefault="00E47F08" w:rsidP="009A745A">
            <w:pPr>
              <w:pStyle w:val="TableText"/>
            </w:pPr>
            <w:r w:rsidRPr="00595C99">
              <w:t xml:space="preserve">Comparative evidence is limited for </w:t>
            </w:r>
            <w:proofErr w:type="spellStart"/>
            <w:r w:rsidRPr="00595C99">
              <w:t>MRgFUS</w:t>
            </w:r>
            <w:proofErr w:type="spellEnd"/>
            <w:r w:rsidRPr="00595C99">
              <w:t xml:space="preserve"> </w:t>
            </w:r>
            <w:r w:rsidRPr="00C678C5">
              <w:rPr>
                <w:i/>
              </w:rPr>
              <w:t>vs.</w:t>
            </w:r>
            <w:r w:rsidRPr="00595C99">
              <w:t xml:space="preserve"> DBS</w:t>
            </w:r>
          </w:p>
        </w:tc>
        <w:tc>
          <w:tcPr>
            <w:tcW w:w="6214" w:type="dxa"/>
          </w:tcPr>
          <w:p w14:paraId="444F56E9" w14:textId="77777777" w:rsidR="00E47F08" w:rsidRPr="00595C99" w:rsidRDefault="00E47F08" w:rsidP="009A745A">
            <w:pPr>
              <w:pStyle w:val="TableText"/>
            </w:pPr>
            <w:r w:rsidRPr="00595C99">
              <w:t xml:space="preserve">Note that there </w:t>
            </w:r>
            <w:r>
              <w:t>are</w:t>
            </w:r>
            <w:r w:rsidRPr="00595C99">
              <w:t xml:space="preserve"> no RCT</w:t>
            </w:r>
            <w:r>
              <w:t>-based data</w:t>
            </w:r>
            <w:r w:rsidRPr="00595C99">
              <w:t>, limit</w:t>
            </w:r>
            <w:r>
              <w:t>ed</w:t>
            </w:r>
            <w:r w:rsidRPr="00595C99">
              <w:t xml:space="preserve"> data with small numbers</w:t>
            </w:r>
            <w:r>
              <w:t xml:space="preserve"> of patients</w:t>
            </w:r>
            <w:r w:rsidRPr="00595C99">
              <w:t xml:space="preserve">, </w:t>
            </w:r>
            <w:r>
              <w:t xml:space="preserve">incorporating </w:t>
            </w:r>
            <w:r w:rsidRPr="00595C99">
              <w:t xml:space="preserve">different assessments of tremor and limited long-term follow-up of </w:t>
            </w:r>
            <w:proofErr w:type="spellStart"/>
            <w:r w:rsidRPr="00595C99">
              <w:t>MRgFUS</w:t>
            </w:r>
            <w:proofErr w:type="spellEnd"/>
            <w:r w:rsidRPr="00595C99">
              <w:t>.</w:t>
            </w:r>
          </w:p>
        </w:tc>
      </w:tr>
      <w:tr w:rsidR="00E47F08" w:rsidRPr="00595C99" w14:paraId="0496F29C" w14:textId="77777777" w:rsidTr="009A745A">
        <w:trPr>
          <w:trHeight w:val="50"/>
        </w:trPr>
        <w:tc>
          <w:tcPr>
            <w:tcW w:w="2802" w:type="dxa"/>
            <w:hideMark/>
          </w:tcPr>
          <w:p w14:paraId="70296E6D" w14:textId="77777777" w:rsidR="00E47F08" w:rsidRPr="00595C99" w:rsidRDefault="00E47F08" w:rsidP="009A745A">
            <w:pPr>
              <w:pStyle w:val="TableText"/>
            </w:pPr>
            <w:r w:rsidRPr="00595C99">
              <w:t>Item number rewording on eligibility criteria</w:t>
            </w:r>
          </w:p>
        </w:tc>
        <w:tc>
          <w:tcPr>
            <w:tcW w:w="6214" w:type="dxa"/>
            <w:hideMark/>
          </w:tcPr>
          <w:p w14:paraId="007E33D4" w14:textId="77777777" w:rsidR="00E47F08" w:rsidRPr="00595C99" w:rsidRDefault="00E47F08" w:rsidP="009A745A">
            <w:pPr>
              <w:pStyle w:val="TableText"/>
            </w:pPr>
            <w:r>
              <w:t>Consider revising the</w:t>
            </w:r>
            <w:r w:rsidRPr="00595C99">
              <w:t xml:space="preserve"> eligibility and ineligibility criteria so</w:t>
            </w:r>
            <w:r>
              <w:t xml:space="preserve"> that </w:t>
            </w:r>
            <w:r w:rsidRPr="00595C99">
              <w:t xml:space="preserve">#2, #3, #5, #6 are </w:t>
            </w:r>
            <w:proofErr w:type="gramStart"/>
            <w:r w:rsidRPr="00595C99">
              <w:t>similar to</w:t>
            </w:r>
            <w:proofErr w:type="gramEnd"/>
            <w:r w:rsidRPr="00595C99">
              <w:t xml:space="preserve"> #1 and #4.</w:t>
            </w:r>
          </w:p>
        </w:tc>
      </w:tr>
      <w:tr w:rsidR="00E47F08" w:rsidRPr="00595C99" w14:paraId="2C07D454" w14:textId="77777777" w:rsidTr="009A745A">
        <w:trPr>
          <w:trHeight w:val="50"/>
        </w:trPr>
        <w:tc>
          <w:tcPr>
            <w:tcW w:w="2802" w:type="dxa"/>
            <w:hideMark/>
          </w:tcPr>
          <w:p w14:paraId="2DE5ECB1" w14:textId="77777777" w:rsidR="00E47F08" w:rsidRPr="00595C99" w:rsidRDefault="00E47F08" w:rsidP="009A745A">
            <w:pPr>
              <w:pStyle w:val="TableText"/>
            </w:pPr>
            <w:r w:rsidRPr="00595C99">
              <w:t>Item descriptor and multiple operation rule</w:t>
            </w:r>
          </w:p>
        </w:tc>
        <w:tc>
          <w:tcPr>
            <w:tcW w:w="6214" w:type="dxa"/>
            <w:hideMark/>
          </w:tcPr>
          <w:p w14:paraId="68B6131B" w14:textId="77777777" w:rsidR="00E47F08" w:rsidRPr="00595C99" w:rsidRDefault="00E47F08" w:rsidP="009A745A">
            <w:pPr>
              <w:pStyle w:val="TableText"/>
            </w:pPr>
            <w:r w:rsidRPr="00595C99">
              <w:t>Seek clarification from the Department as to how this will work</w:t>
            </w:r>
            <w:r>
              <w:t xml:space="preserve"> in practice</w:t>
            </w:r>
            <w:r w:rsidRPr="00595C99">
              <w:t xml:space="preserve"> with three specialists claiming.</w:t>
            </w:r>
          </w:p>
        </w:tc>
      </w:tr>
      <w:tr w:rsidR="00E47F08" w:rsidRPr="00595C99" w14:paraId="13893F72" w14:textId="77777777" w:rsidTr="009A745A">
        <w:trPr>
          <w:trHeight w:val="50"/>
        </w:trPr>
        <w:tc>
          <w:tcPr>
            <w:tcW w:w="2802" w:type="dxa"/>
            <w:hideMark/>
          </w:tcPr>
          <w:p w14:paraId="436970AF" w14:textId="77777777" w:rsidR="00E47F08" w:rsidRPr="00595C99" w:rsidRDefault="00E47F08" w:rsidP="009A745A">
            <w:pPr>
              <w:pStyle w:val="TableText"/>
            </w:pPr>
            <w:r w:rsidRPr="00595C99">
              <w:t>Fees</w:t>
            </w:r>
          </w:p>
        </w:tc>
        <w:tc>
          <w:tcPr>
            <w:tcW w:w="6214" w:type="dxa"/>
            <w:hideMark/>
          </w:tcPr>
          <w:p w14:paraId="3F14BF11" w14:textId="77777777" w:rsidR="00E47F08" w:rsidRDefault="00E47F08" w:rsidP="009A745A">
            <w:pPr>
              <w:pStyle w:val="TableText"/>
            </w:pPr>
            <w:r w:rsidRPr="00595C99">
              <w:t xml:space="preserve">Examine the proposed fee for </w:t>
            </w:r>
            <w:r>
              <w:t>#2</w:t>
            </w:r>
            <w:r w:rsidRPr="00595C99">
              <w:t xml:space="preserve"> (planning).</w:t>
            </w:r>
          </w:p>
          <w:p w14:paraId="19F2D2AF" w14:textId="77777777" w:rsidR="00E47F08" w:rsidRPr="00595C99" w:rsidRDefault="00E47F08" w:rsidP="009A745A">
            <w:pPr>
              <w:pStyle w:val="TableText"/>
            </w:pPr>
            <w:r>
              <w:t xml:space="preserve">The clinician fee for the </w:t>
            </w:r>
            <w:proofErr w:type="spellStart"/>
            <w:r>
              <w:t>MRgFUS</w:t>
            </w:r>
            <w:proofErr w:type="spellEnd"/>
            <w:r>
              <w:t xml:space="preserve"> procedure is high compared with the more invasive DBS procedure.</w:t>
            </w:r>
          </w:p>
        </w:tc>
      </w:tr>
      <w:tr w:rsidR="00E47F08" w:rsidRPr="00595C99" w14:paraId="57F78D90" w14:textId="77777777" w:rsidTr="009A745A">
        <w:tc>
          <w:tcPr>
            <w:tcW w:w="2802" w:type="dxa"/>
          </w:tcPr>
          <w:p w14:paraId="1353B0EA" w14:textId="77777777" w:rsidR="00E47F08" w:rsidRPr="00595C99" w:rsidRDefault="00E47F08" w:rsidP="009A745A">
            <w:pPr>
              <w:pStyle w:val="TableText"/>
            </w:pPr>
            <w:r w:rsidRPr="00595C99">
              <w:t>Appropriateness of economic model</w:t>
            </w:r>
          </w:p>
        </w:tc>
        <w:tc>
          <w:tcPr>
            <w:tcW w:w="6214" w:type="dxa"/>
          </w:tcPr>
          <w:p w14:paraId="0CB6B2D7" w14:textId="77777777" w:rsidR="00E47F08" w:rsidRPr="00595C99" w:rsidRDefault="00E47F08" w:rsidP="009A745A">
            <w:pPr>
              <w:pStyle w:val="TableText"/>
            </w:pPr>
            <w:r w:rsidRPr="00595C99">
              <w:t>Note that the claim to inform the type of economic evaluation is based on limited and uncertain comparative evidence</w:t>
            </w:r>
            <w:r>
              <w:t xml:space="preserve">, </w:t>
            </w:r>
            <w:proofErr w:type="gramStart"/>
            <w:r>
              <w:t>in particular the</w:t>
            </w:r>
            <w:proofErr w:type="gramEnd"/>
            <w:r>
              <w:t xml:space="preserve"> very different safety profile may justify a CUA (as PASC advised). Furthermore, there were some concerns with the CUA by Ravikumar 2017 resulting in a </w:t>
            </w:r>
            <w:r w:rsidRPr="009D6955">
              <w:t xml:space="preserve">high level of uncertainty in the transformation of </w:t>
            </w:r>
            <w:r>
              <w:t xml:space="preserve">adverse events </w:t>
            </w:r>
            <w:r w:rsidRPr="009D6955">
              <w:t xml:space="preserve">to </w:t>
            </w:r>
            <w:r>
              <w:t>quality-adjusted life years (</w:t>
            </w:r>
            <w:r w:rsidRPr="009D6955">
              <w:t>QALYs</w:t>
            </w:r>
            <w:r>
              <w:t>) used to validate the ADARs CMA approach.</w:t>
            </w:r>
          </w:p>
        </w:tc>
      </w:tr>
    </w:tbl>
    <w:p w14:paraId="1C64BD90" w14:textId="77777777" w:rsidR="00E47F08" w:rsidRPr="00595C99" w:rsidRDefault="00E47F08" w:rsidP="00007EC5">
      <w:pPr>
        <w:pStyle w:val="Heading2"/>
        <w:spacing w:after="120"/>
        <w:rPr>
          <w:b/>
          <w:i w:val="0"/>
        </w:rPr>
      </w:pPr>
      <w:r w:rsidRPr="00595C99">
        <w:rPr>
          <w:b/>
          <w:i w:val="0"/>
        </w:rPr>
        <w:t>ESC discussion</w:t>
      </w:r>
    </w:p>
    <w:p w14:paraId="5FC909D0" w14:textId="77777777" w:rsidR="00E47F08" w:rsidRDefault="00E47F08" w:rsidP="00E47F08">
      <w:bookmarkStart w:id="47" w:name="_Hlk64541390"/>
      <w:r>
        <w:t xml:space="preserve">ESC noted that this application was for a Medicare Benefits Schedule (MBS) listing of </w:t>
      </w:r>
      <w:r w:rsidRPr="00B93A57">
        <w:t>MRI</w:t>
      </w:r>
      <w:r>
        <w:t>-</w:t>
      </w:r>
      <w:r w:rsidRPr="00B93A57">
        <w:t>guided focused ultrasound (</w:t>
      </w:r>
      <w:proofErr w:type="spellStart"/>
      <w:r w:rsidRPr="00B93A57">
        <w:t>MRgFUS</w:t>
      </w:r>
      <w:proofErr w:type="spellEnd"/>
      <w:r w:rsidRPr="00B93A57">
        <w:t>) in treatment of medically refractory essential tremor (ET)</w:t>
      </w:r>
      <w:r>
        <w:t>. ESC noted that the a</w:t>
      </w:r>
      <w:r w:rsidRPr="00B93A57">
        <w:t xml:space="preserve">pplicant </w:t>
      </w:r>
      <w:r>
        <w:t>intends to lodge a</w:t>
      </w:r>
      <w:r w:rsidRPr="00B93A57">
        <w:t xml:space="preserve"> </w:t>
      </w:r>
      <w:r>
        <w:t>Prostheses List Advisory Committee (</w:t>
      </w:r>
      <w:r w:rsidRPr="00B93A57">
        <w:t>PLAC</w:t>
      </w:r>
      <w:r>
        <w:t>) application</w:t>
      </w:r>
      <w:r w:rsidRPr="00B93A57">
        <w:t xml:space="preserve"> </w:t>
      </w:r>
      <w:r>
        <w:t>for reimbursement of the</w:t>
      </w:r>
      <w:r w:rsidRPr="00B93A57">
        <w:t xml:space="preserve"> </w:t>
      </w:r>
      <w:proofErr w:type="spellStart"/>
      <w:r>
        <w:t>MRgFUS</w:t>
      </w:r>
      <w:proofErr w:type="spellEnd"/>
      <w:r>
        <w:t xml:space="preserve"> </w:t>
      </w:r>
      <w:r w:rsidRPr="00B93A57">
        <w:t xml:space="preserve">kit on </w:t>
      </w:r>
      <w:r>
        <w:t>the P</w:t>
      </w:r>
      <w:r w:rsidRPr="00B93A57">
        <w:t>rosthes</w:t>
      </w:r>
      <w:r>
        <w:t>e</w:t>
      </w:r>
      <w:r w:rsidRPr="00B93A57">
        <w:t xml:space="preserve">s </w:t>
      </w:r>
      <w:r>
        <w:t>L</w:t>
      </w:r>
      <w:r w:rsidRPr="00B93A57">
        <w:t>ist</w:t>
      </w:r>
      <w:r>
        <w:t>.</w:t>
      </w:r>
    </w:p>
    <w:bookmarkEnd w:id="47"/>
    <w:p w14:paraId="5CF2E4F5" w14:textId="23BA532D" w:rsidR="00E47F08" w:rsidRDefault="00E47F08" w:rsidP="0039787B">
      <w:pPr>
        <w:spacing w:before="240"/>
      </w:pPr>
      <w:r>
        <w:t xml:space="preserve">ESC noted </w:t>
      </w:r>
      <w:proofErr w:type="spellStart"/>
      <w:r>
        <w:t>MRgFUS</w:t>
      </w:r>
      <w:proofErr w:type="spellEnd"/>
      <w:r>
        <w:t xml:space="preserve"> creates an irreversible thalamic lesion, unlike the main comparator, deep brain stimulation (DBS), which is </w:t>
      </w:r>
      <w:proofErr w:type="gramStart"/>
      <w:r>
        <w:t>fully-reversible</w:t>
      </w:r>
      <w:proofErr w:type="gramEnd"/>
      <w:r>
        <w:t xml:space="preserve">. ESC noted the secondary comparator was best supportive care (BSC), given in a </w:t>
      </w:r>
      <w:r w:rsidRPr="00EE224B">
        <w:t>in a subgroup of the proposed population contraindicated or not suitable for surgery.</w:t>
      </w:r>
    </w:p>
    <w:p w14:paraId="405B26DB" w14:textId="76613271" w:rsidR="00E47F08" w:rsidRDefault="00E47F08" w:rsidP="0039787B">
      <w:pPr>
        <w:spacing w:before="240"/>
      </w:pPr>
      <w:r>
        <w:t>ESC noted that there was no consumer feedback for this application. ESC noted consumer issues relating to there being no consensus on the definition of medically refractory ET which may result in inconsistent interpretation, concerns regarding patient safety, in particular no evidence for retreatment and salvage treatment, and that some patients have prolonged recovery which may affect patient after care.</w:t>
      </w:r>
    </w:p>
    <w:p w14:paraId="701E3F6E" w14:textId="4404F5F8" w:rsidR="00E47F08" w:rsidRDefault="00E47F08" w:rsidP="0039787B">
      <w:pPr>
        <w:spacing w:before="240"/>
      </w:pPr>
      <w:r>
        <w:t>ESC noted</w:t>
      </w:r>
      <w:r w:rsidRPr="00786D99">
        <w:t xml:space="preserve"> that </w:t>
      </w:r>
      <w:r>
        <w:t xml:space="preserve">there are </w:t>
      </w:r>
      <w:r w:rsidRPr="00786D99">
        <w:t xml:space="preserve">only </w:t>
      </w:r>
      <w:r>
        <w:t xml:space="preserve">two </w:t>
      </w:r>
      <w:r w:rsidRPr="00786D99">
        <w:t xml:space="preserve">centres in Australia </w:t>
      </w:r>
      <w:r>
        <w:t xml:space="preserve">that </w:t>
      </w:r>
      <w:r w:rsidRPr="00786D99">
        <w:t>offer this treatment (</w:t>
      </w:r>
      <w:r>
        <w:t xml:space="preserve">in </w:t>
      </w:r>
      <w:r w:rsidRPr="00786D99">
        <w:t>Sydney and Melbourne)</w:t>
      </w:r>
      <w:r>
        <w:t>, which raises concerns around equity of access.</w:t>
      </w:r>
    </w:p>
    <w:p w14:paraId="2F4EC438" w14:textId="5B4FC914" w:rsidR="00E47F08" w:rsidRDefault="00E47F08" w:rsidP="0039787B">
      <w:pPr>
        <w:pStyle w:val="NormalBeforeBullet"/>
        <w:spacing w:before="240"/>
      </w:pPr>
      <w:r>
        <w:t>ESC noted that there are six item descriptors:</w:t>
      </w:r>
    </w:p>
    <w:p w14:paraId="7BCA5555" w14:textId="77777777" w:rsidR="00E47F08" w:rsidRDefault="00E47F08" w:rsidP="0039787B">
      <w:pPr>
        <w:pStyle w:val="Bullet"/>
        <w:spacing w:after="0"/>
        <w:ind w:left="714" w:hanging="357"/>
      </w:pPr>
      <w:r>
        <w:t>#1 – MRI for pre-surgical suitability (Table 2)</w:t>
      </w:r>
    </w:p>
    <w:p w14:paraId="1C38988A" w14:textId="77777777" w:rsidR="00E47F08" w:rsidRDefault="00E47F08" w:rsidP="0039787B">
      <w:pPr>
        <w:pStyle w:val="Bullet"/>
        <w:spacing w:after="0"/>
        <w:ind w:left="714" w:hanging="357"/>
      </w:pPr>
      <w:r>
        <w:t>#2 – MRI for pre-surgical planning (Table 3)</w:t>
      </w:r>
    </w:p>
    <w:p w14:paraId="4240A6F2" w14:textId="77777777" w:rsidR="00E47F08" w:rsidRDefault="00E47F08" w:rsidP="0039787B">
      <w:pPr>
        <w:pStyle w:val="Bullet"/>
        <w:spacing w:after="0"/>
        <w:ind w:left="714" w:hanging="357"/>
      </w:pPr>
      <w:r>
        <w:t>#3 – Treatment/intraoperative procedure by the neurologist (Table 4)</w:t>
      </w:r>
    </w:p>
    <w:p w14:paraId="45517053" w14:textId="77777777" w:rsidR="00E47F08" w:rsidRDefault="00E47F08" w:rsidP="0039787B">
      <w:pPr>
        <w:pStyle w:val="Bullet"/>
        <w:spacing w:after="0"/>
        <w:ind w:left="714" w:hanging="357"/>
      </w:pPr>
      <w:r>
        <w:t>#4 – Treatment/intraoperative procedure by the neurosurgeon (Table 5)</w:t>
      </w:r>
    </w:p>
    <w:p w14:paraId="604EF4E5" w14:textId="77777777" w:rsidR="00E47F08" w:rsidRDefault="00E47F08" w:rsidP="0039787B">
      <w:pPr>
        <w:pStyle w:val="Bullet"/>
        <w:spacing w:after="0"/>
        <w:ind w:left="714" w:hanging="357"/>
      </w:pPr>
      <w:r>
        <w:t>#5 – Treatment/intraoperative procedure by the interventional radiologist (Table 6)</w:t>
      </w:r>
    </w:p>
    <w:p w14:paraId="5015DFBD" w14:textId="77777777" w:rsidR="00E47F08" w:rsidRDefault="00E47F08" w:rsidP="0039787B">
      <w:pPr>
        <w:pStyle w:val="BulletLast"/>
        <w:spacing w:after="0"/>
        <w:ind w:left="714" w:hanging="357"/>
      </w:pPr>
      <w:r>
        <w:t>#6 – MRI for post-surgical assessment (Table 7).</w:t>
      </w:r>
    </w:p>
    <w:p w14:paraId="72353ABC" w14:textId="77777777" w:rsidR="00E47F08" w:rsidRDefault="00E47F08" w:rsidP="00E47F08">
      <w:r>
        <w:lastRenderedPageBreak/>
        <w:t>ESC noted that the a</w:t>
      </w:r>
      <w:r w:rsidRPr="00786D99">
        <w:t>pplicant removed</w:t>
      </w:r>
      <w:r>
        <w:t xml:space="preserve"> the</w:t>
      </w:r>
      <w:r w:rsidRPr="00786D99">
        <w:t xml:space="preserve"> </w:t>
      </w:r>
      <w:r>
        <w:t>“</w:t>
      </w:r>
      <w:r w:rsidRPr="00786D99">
        <w:t>claimable once per</w:t>
      </w:r>
      <w:r>
        <w:t xml:space="preserve"> patient per</w:t>
      </w:r>
      <w:r w:rsidRPr="00786D99">
        <w:t xml:space="preserve"> lifetime</w:t>
      </w:r>
      <w:r>
        <w:t xml:space="preserve">” </w:t>
      </w:r>
      <w:r w:rsidRPr="00786D99">
        <w:t xml:space="preserve">from </w:t>
      </w:r>
      <w:r>
        <w:t xml:space="preserve">the </w:t>
      </w:r>
      <w:r w:rsidRPr="00786D99">
        <w:t>item descriptor</w:t>
      </w:r>
      <w:r>
        <w:t xml:space="preserve">s for the intraoperative procedure (#3, #4, #5) as per the Ratified PICO, </w:t>
      </w:r>
      <w:proofErr w:type="gramStart"/>
      <w:r>
        <w:t>so as to</w:t>
      </w:r>
      <w:proofErr w:type="gramEnd"/>
      <w:r>
        <w:t xml:space="preserve"> allow retreatment and contralateral treatment. ESC also noted the </w:t>
      </w:r>
      <w:r w:rsidRPr="007E5B77">
        <w:t>applicant-developed assessment report</w:t>
      </w:r>
      <w:r>
        <w:t xml:space="preserve"> (ADAR) included in tremor recurrence to allow for retreatment in the algorithm. ESC considered the advice in the pre-ESC response from a clinical expert (1 neurosurgeon) supporting retreatment on the basis that the clinician would be judicious in retreatment, the clinician loses autonomy if no retreatment option, technical failure can very occasionally occur, the safety profile is unlikely to be altered in a retreatment population, excluding retreatment is unlikely to provide any substantial savings, and patients may need to seek alternative options, most likely DBS. However, ESC noted that the applicant </w:t>
      </w:r>
      <w:r w:rsidRPr="00EA76F4">
        <w:t xml:space="preserve">acknowledges that </w:t>
      </w:r>
      <w:r>
        <w:t>“</w:t>
      </w:r>
      <w:r w:rsidRPr="00EA76F4">
        <w:t>none of these studies report clinical outcomes in patients receiving retreatment, and that there is very little evidence for the efficacy/safety of retreatment</w:t>
      </w:r>
      <w:r>
        <w:t>” (pre-ESC response, p1)</w:t>
      </w:r>
      <w:r w:rsidRPr="00EA76F4">
        <w:t>.</w:t>
      </w:r>
      <w:r>
        <w:t xml:space="preserve"> ESC also noted that the a</w:t>
      </w:r>
      <w:r w:rsidRPr="00786D99">
        <w:t xml:space="preserve">pplicant acknowledges </w:t>
      </w:r>
      <w:r>
        <w:t xml:space="preserve">that treatment of the contralateral side is currently investigational and that there is currently </w:t>
      </w:r>
      <w:r w:rsidRPr="00786D99">
        <w:t xml:space="preserve">no data on contralateral treatment, although trials </w:t>
      </w:r>
      <w:r>
        <w:t xml:space="preserve">are </w:t>
      </w:r>
      <w:r w:rsidRPr="00786D99">
        <w:t xml:space="preserve">underway. </w:t>
      </w:r>
      <w:r>
        <w:t>Thus, ESC considered that the item descriptor should be restricted to unilateral, once-only treatment.</w:t>
      </w:r>
    </w:p>
    <w:p w14:paraId="536A63F9" w14:textId="32CDDAF2" w:rsidR="00E47F08" w:rsidRDefault="00E47F08" w:rsidP="0039787B">
      <w:pPr>
        <w:spacing w:before="240"/>
      </w:pPr>
      <w:r>
        <w:t>ESC noted that the p</w:t>
      </w:r>
      <w:r w:rsidRPr="006F2DC0">
        <w:t>roposed MBS items for pre-surgical suitability assessment</w:t>
      </w:r>
      <w:r>
        <w:t xml:space="preserve"> (#1)</w:t>
      </w:r>
      <w:r w:rsidRPr="006F2DC0">
        <w:t xml:space="preserve"> and for the neurosurgical services</w:t>
      </w:r>
      <w:r>
        <w:t xml:space="preserve"> (#4)</w:t>
      </w:r>
      <w:r w:rsidRPr="006F2DC0">
        <w:t xml:space="preserve"> are restricted to patients who do not have a primary diagnosis of Parkinson’s disease, with the exception of patients with a primary diagnosis of ET with parkinsonian features consistent with the definition of ET plus. </w:t>
      </w:r>
      <w:r>
        <w:t>ESC considered i</w:t>
      </w:r>
      <w:r w:rsidRPr="006F2DC0">
        <w:t>t is unclear why the other proposed MBS items (pre-surgical planning, neurology services and radiology services) do not include this restriction.</w:t>
      </w:r>
      <w:r>
        <w:t xml:space="preserve"> ESC considered that this inconsistency in the eligibility criteria between the six items should be addressed.</w:t>
      </w:r>
    </w:p>
    <w:p w14:paraId="561DA76B" w14:textId="086DA835" w:rsidR="00E47F08" w:rsidRDefault="00E47F08" w:rsidP="0039787B">
      <w:pPr>
        <w:spacing w:before="240"/>
      </w:pPr>
      <w:r>
        <w:t>ESC noted that the r</w:t>
      </w:r>
      <w:r w:rsidRPr="004D6D34">
        <w:t xml:space="preserve">atified PICO implies </w:t>
      </w:r>
      <w:r>
        <w:t xml:space="preserve">that </w:t>
      </w:r>
      <w:r w:rsidRPr="004D6D34">
        <w:t xml:space="preserve">neurosurgeons </w:t>
      </w:r>
      <w:r>
        <w:t xml:space="preserve">are the </w:t>
      </w:r>
      <w:r w:rsidRPr="004D6D34">
        <w:t>only specialist</w:t>
      </w:r>
      <w:r>
        <w:t>s</w:t>
      </w:r>
      <w:r w:rsidRPr="004D6D34">
        <w:t xml:space="preserve"> delivering the procedure component</w:t>
      </w:r>
      <w:r>
        <w:t>,</w:t>
      </w:r>
      <w:r w:rsidRPr="004D6D34">
        <w:t xml:space="preserve"> but </w:t>
      </w:r>
      <w:r>
        <w:t xml:space="preserve">that </w:t>
      </w:r>
      <w:r w:rsidRPr="004D6D34">
        <w:t>this is not clear in the algorithm given interventional radiologists can also provide this procedure alongside neurosurgeon</w:t>
      </w:r>
      <w:r>
        <w:t xml:space="preserve">s. ESC also noted that the multiple </w:t>
      </w:r>
      <w:r w:rsidRPr="004D6D34">
        <w:t>operation rule applies to Group T8</w:t>
      </w:r>
      <w:r>
        <w:t xml:space="preserve">, </w:t>
      </w:r>
      <w:r w:rsidRPr="004D6D34">
        <w:t xml:space="preserve">which </w:t>
      </w:r>
      <w:r>
        <w:t xml:space="preserve">– </w:t>
      </w:r>
      <w:r w:rsidRPr="004D6D34">
        <w:t xml:space="preserve">in this case </w:t>
      </w:r>
      <w:r>
        <w:t xml:space="preserve">– </w:t>
      </w:r>
      <w:r w:rsidRPr="004D6D34">
        <w:t>is the neurosurgeon only</w:t>
      </w:r>
      <w:r>
        <w:t>.</w:t>
      </w:r>
      <w:r w:rsidRPr="004D6D34">
        <w:t xml:space="preserve"> </w:t>
      </w:r>
      <w:r>
        <w:t>ESC recommended seeking</w:t>
      </w:r>
      <w:r w:rsidRPr="004D6D34">
        <w:t xml:space="preserve"> </w:t>
      </w:r>
      <w:r>
        <w:t>c</w:t>
      </w:r>
      <w:r w:rsidRPr="00551867">
        <w:t xml:space="preserve">larification from </w:t>
      </w:r>
      <w:r>
        <w:t xml:space="preserve">the Department as </w:t>
      </w:r>
      <w:r w:rsidRPr="00551867">
        <w:t xml:space="preserve">how </w:t>
      </w:r>
      <w:r>
        <w:t>the item</w:t>
      </w:r>
      <w:r w:rsidRPr="00551867">
        <w:t xml:space="preserve"> will work </w:t>
      </w:r>
      <w:r>
        <w:t>if there are</w:t>
      </w:r>
      <w:r w:rsidRPr="00551867">
        <w:t xml:space="preserve"> </w:t>
      </w:r>
      <w:r>
        <w:t>three</w:t>
      </w:r>
      <w:r w:rsidRPr="00551867">
        <w:t xml:space="preserve"> specialists claiming</w:t>
      </w:r>
      <w:r>
        <w:t>.</w:t>
      </w:r>
    </w:p>
    <w:p w14:paraId="5891931E" w14:textId="1462F2E5" w:rsidR="00E47F08" w:rsidRDefault="00E47F08" w:rsidP="0039787B">
      <w:pPr>
        <w:spacing w:before="240"/>
      </w:pPr>
      <w:r>
        <w:t xml:space="preserve">ESC queried the fee for #2 ($994.60), which is higher than the estimate in the Ratified PICO ($336). ESC noted the pre-ESC response that the fee includes a </w:t>
      </w:r>
      <w:r w:rsidRPr="002B2743">
        <w:t>component derived from MBS item 40800 which is $658 – stereotactic anatomical localization required for target verification –</w:t>
      </w:r>
      <w:r>
        <w:t xml:space="preserve"> but that</w:t>
      </w:r>
      <w:r w:rsidRPr="002B2743">
        <w:t xml:space="preserve"> </w:t>
      </w:r>
      <w:r>
        <w:t>t</w:t>
      </w:r>
      <w:r w:rsidRPr="002B2743">
        <w:t>his item number has been discontinued.</w:t>
      </w:r>
      <w:r>
        <w:t xml:space="preserve"> ESC also queried the fee justification for the procedure based on DBS, as </w:t>
      </w:r>
      <w:proofErr w:type="spellStart"/>
      <w:r>
        <w:t>MRgFUS</w:t>
      </w:r>
      <w:proofErr w:type="spellEnd"/>
      <w:r>
        <w:t xml:space="preserve"> is less invasive procedure than DBS.</w:t>
      </w:r>
    </w:p>
    <w:p w14:paraId="33E68C82" w14:textId="66EEBF7B" w:rsidR="00E47F08" w:rsidRPr="00EE224B" w:rsidRDefault="00E47F08" w:rsidP="0039787B">
      <w:pPr>
        <w:spacing w:before="240"/>
      </w:pPr>
      <w:r>
        <w:t xml:space="preserve">ESC noted that the clinical data </w:t>
      </w:r>
      <w:r w:rsidRPr="00253BDC">
        <w:t xml:space="preserve">for </w:t>
      </w:r>
      <w:proofErr w:type="spellStart"/>
      <w:r w:rsidRPr="00253BDC">
        <w:t>MRgFUS</w:t>
      </w:r>
      <w:proofErr w:type="spellEnd"/>
      <w:r w:rsidRPr="00253BDC">
        <w:t xml:space="preserve"> </w:t>
      </w:r>
      <w:r w:rsidRPr="00CC197A">
        <w:rPr>
          <w:i/>
        </w:rPr>
        <w:t>vs.</w:t>
      </w:r>
      <w:r w:rsidRPr="00253BDC">
        <w:t xml:space="preserve"> DBS consist</w:t>
      </w:r>
      <w:r>
        <w:t>ed</w:t>
      </w:r>
      <w:r w:rsidRPr="00253BDC">
        <w:t xml:space="preserve"> of two retrospective comparative studies, an indirect treatment comparison and a naïve comparison of non-comparative </w:t>
      </w:r>
      <w:proofErr w:type="spellStart"/>
      <w:r w:rsidRPr="00253BDC">
        <w:t>MRgFUS</w:t>
      </w:r>
      <w:proofErr w:type="spellEnd"/>
      <w:r w:rsidRPr="00253BDC">
        <w:t xml:space="preserve"> and DBS studies</w:t>
      </w:r>
      <w:r>
        <w:t>, with</w:t>
      </w:r>
      <w:r w:rsidRPr="00253BDC">
        <w:t xml:space="preserve"> no direct head-to-head randomised controlled studies (RCTs)</w:t>
      </w:r>
      <w:r>
        <w:t xml:space="preserve">. For </w:t>
      </w:r>
      <w:proofErr w:type="spellStart"/>
      <w:r w:rsidRPr="00253BDC">
        <w:t>MRgFUS</w:t>
      </w:r>
      <w:proofErr w:type="spellEnd"/>
      <w:r w:rsidRPr="00253BDC">
        <w:t xml:space="preserve"> </w:t>
      </w:r>
      <w:r w:rsidRPr="00C678C5">
        <w:rPr>
          <w:i/>
        </w:rPr>
        <w:t>vs.</w:t>
      </w:r>
      <w:r>
        <w:rPr>
          <w:i/>
        </w:rPr>
        <w:t xml:space="preserve"> </w:t>
      </w:r>
      <w:r>
        <w:t>BSC, ESC noted the pivotal evidence was a sham controlled RCT (Elias et al. 2016).</w:t>
      </w:r>
    </w:p>
    <w:p w14:paraId="27B01A2F" w14:textId="78FD4866" w:rsidR="00E47F08" w:rsidRDefault="00E47F08" w:rsidP="0039787B">
      <w:pPr>
        <w:spacing w:before="240"/>
      </w:pPr>
      <w:r>
        <w:t xml:space="preserve">In terms of comparative safety of </w:t>
      </w:r>
      <w:proofErr w:type="spellStart"/>
      <w:r>
        <w:t>MRgFUS</w:t>
      </w:r>
      <w:proofErr w:type="spellEnd"/>
      <w:r>
        <w:t xml:space="preserve"> </w:t>
      </w:r>
      <w:r w:rsidRPr="00CC197A">
        <w:rPr>
          <w:i/>
        </w:rPr>
        <w:t>vs.</w:t>
      </w:r>
      <w:r>
        <w:t xml:space="preserve"> DBS, ESC noted that intra-procedural adverse events (AEs) were only relevant for </w:t>
      </w:r>
      <w:proofErr w:type="spellStart"/>
      <w:r>
        <w:t>MRgFUS</w:t>
      </w:r>
      <w:proofErr w:type="spellEnd"/>
      <w:r>
        <w:t xml:space="preserve"> with the most common including dizziness, headache, nausea and vomiting and that </w:t>
      </w:r>
      <w:proofErr w:type="gramStart"/>
      <w:r>
        <w:t>these resolve</w:t>
      </w:r>
      <w:proofErr w:type="gramEnd"/>
      <w:r>
        <w:t xml:space="preserve">. ESC also noted AEs related to the stereotactic frame were reported. ESC noted for </w:t>
      </w:r>
      <w:proofErr w:type="spellStart"/>
      <w:r>
        <w:t>MRgFUS</w:t>
      </w:r>
      <w:proofErr w:type="spellEnd"/>
      <w:r>
        <w:t xml:space="preserve"> post-procedural AEs included </w:t>
      </w:r>
      <w:r w:rsidRPr="00640196">
        <w:t>paraesthesia and gait disturbance</w:t>
      </w:r>
      <w:r>
        <w:t>,</w:t>
      </w:r>
      <w:r w:rsidRPr="00640196">
        <w:t xml:space="preserve"> </w:t>
      </w:r>
      <w:r>
        <w:t>but these</w:t>
      </w:r>
      <w:r w:rsidRPr="00640196">
        <w:t xml:space="preserve"> tended to be either transient or improve </w:t>
      </w:r>
      <w:r>
        <w:t>within 12 months</w:t>
      </w:r>
      <w:r w:rsidRPr="00640196">
        <w:t>.</w:t>
      </w:r>
      <w:r>
        <w:t xml:space="preserve"> ESC noted DBS has a different safety profile with AEs including </w:t>
      </w:r>
      <w:r w:rsidRPr="00640196">
        <w:t xml:space="preserve">balance or gait difficulties and speech disturbance, </w:t>
      </w:r>
      <w:r>
        <w:t xml:space="preserve">with </w:t>
      </w:r>
      <w:r w:rsidRPr="00640196">
        <w:t>some resolving after hardware programming</w:t>
      </w:r>
      <w:r>
        <w:t xml:space="preserve">. ESC </w:t>
      </w:r>
      <w:r>
        <w:lastRenderedPageBreak/>
        <w:t xml:space="preserve">also noted that </w:t>
      </w:r>
      <w:r w:rsidRPr="00640196">
        <w:t>wound infections at the implant site and other complications related to the DBS hardware were reported, some requiring hardware replacement over time</w:t>
      </w:r>
      <w:r>
        <w:t>.  ESC noted that the ADAR claimed that there is a different yet non-inferior safety profile. However, ESC agreed with the commentary who considered that there is an uncertain safety profile, and that meaningful comparison is difficult due to the different safety profile.</w:t>
      </w:r>
    </w:p>
    <w:p w14:paraId="73B8CEB8" w14:textId="20296157" w:rsidR="00E47F08" w:rsidRDefault="00E47F08" w:rsidP="0039787B">
      <w:pPr>
        <w:spacing w:before="240"/>
      </w:pPr>
      <w:r w:rsidRPr="00AA12FE">
        <w:t xml:space="preserve">In terms of comparative effectiveness of </w:t>
      </w:r>
      <w:proofErr w:type="spellStart"/>
      <w:r w:rsidRPr="00AA12FE">
        <w:t>MRgFUS</w:t>
      </w:r>
      <w:proofErr w:type="spellEnd"/>
      <w:r w:rsidRPr="00AA12FE">
        <w:t xml:space="preserve"> </w:t>
      </w:r>
      <w:r w:rsidRPr="00AA12FE">
        <w:rPr>
          <w:i/>
        </w:rPr>
        <w:t>vs.</w:t>
      </w:r>
      <w:r w:rsidRPr="00AA12FE">
        <w:t xml:space="preserve"> DBS, ESC agreed with the commentary who considered that both procedures appear to be effective at significantly reducing tremor (total and hand tremor), tremor-related disability and improving quality of life, at least in short to medium term (up to 4 years of follow-up for </w:t>
      </w:r>
      <w:proofErr w:type="spellStart"/>
      <w:r w:rsidRPr="00AA12FE">
        <w:t>MRgFUS</w:t>
      </w:r>
      <w:proofErr w:type="spellEnd"/>
      <w:r w:rsidRPr="00AA12FE">
        <w:t xml:space="preserve">). ESC considered that the ADARs clinical claim of non-inferior effectiveness may be appropriate. ESC noted there is consistency across the whole body of evidence; however, this is based on limited and low-quality comparative evidence (no direct RCT), small patient numbers, different methods of assessment of tremor severity, limited long-term follow-up of </w:t>
      </w:r>
      <w:proofErr w:type="spellStart"/>
      <w:r w:rsidRPr="00AA12FE">
        <w:t>MRgFUS</w:t>
      </w:r>
      <w:proofErr w:type="spellEnd"/>
      <w:r w:rsidRPr="00AA12FE">
        <w:t xml:space="preserve"> and no minimum clinically important difference (MCID) has been established and validated for ET.</w:t>
      </w:r>
    </w:p>
    <w:p w14:paraId="7861360F" w14:textId="7D4B7F34" w:rsidR="00E47F08" w:rsidRDefault="00E47F08" w:rsidP="0039787B">
      <w:pPr>
        <w:spacing w:before="240"/>
      </w:pPr>
      <w:r>
        <w:t xml:space="preserve">ESC considered the secondary comparison of </w:t>
      </w:r>
      <w:proofErr w:type="spellStart"/>
      <w:r>
        <w:t>MRgFUS</w:t>
      </w:r>
      <w:proofErr w:type="spellEnd"/>
      <w:r>
        <w:t xml:space="preserve"> </w:t>
      </w:r>
      <w:r w:rsidRPr="00CC197A">
        <w:rPr>
          <w:i/>
        </w:rPr>
        <w:t>vs.</w:t>
      </w:r>
      <w:r>
        <w:t xml:space="preserve"> BSC noting that the ADARs claim was inferior safety and superior effectiveness. ESC agreed with the commentary who considered this was reasonable.</w:t>
      </w:r>
    </w:p>
    <w:p w14:paraId="4352A2D6" w14:textId="0A123CBA" w:rsidR="00E47F08" w:rsidRDefault="00E47F08" w:rsidP="0039787B">
      <w:pPr>
        <w:spacing w:before="240"/>
      </w:pPr>
      <w:r>
        <w:t xml:space="preserve">ESC noted that only an economic evaluation was presented of </w:t>
      </w:r>
      <w:proofErr w:type="spellStart"/>
      <w:r>
        <w:t>MRgFUS</w:t>
      </w:r>
      <w:proofErr w:type="spellEnd"/>
      <w:r>
        <w:t xml:space="preserve"> </w:t>
      </w:r>
      <w:r w:rsidRPr="00CC197A">
        <w:rPr>
          <w:i/>
        </w:rPr>
        <w:t>vs.</w:t>
      </w:r>
      <w:r>
        <w:t xml:space="preserve"> DBS, which was appropriate. ESC noted that the applicant used a cost-minimisation analysis (CMA) approach based on the clinical claim of non-inferiority. However, ESC questioned whether that claim is justified, especially regarding safety, noting that each intervention has a different safety profile. Thus, ESC considered a cost-utility analysis (</w:t>
      </w:r>
      <w:r w:rsidRPr="0010656E">
        <w:t>CUA</w:t>
      </w:r>
      <w:r>
        <w:t>)</w:t>
      </w:r>
      <w:r w:rsidRPr="0010656E">
        <w:t xml:space="preserve"> might </w:t>
      </w:r>
      <w:r>
        <w:t>be</w:t>
      </w:r>
      <w:r w:rsidRPr="0010656E">
        <w:t xml:space="preserve"> more appropriate</w:t>
      </w:r>
      <w:r>
        <w:t xml:space="preserve">, as requested by PASC. Furthermore, ESC noted that the applicant justifies the CMA approach based on the outcomes of a </w:t>
      </w:r>
      <w:proofErr w:type="gramStart"/>
      <w:r>
        <w:t>model-based</w:t>
      </w:r>
      <w:proofErr w:type="gramEnd"/>
      <w:r>
        <w:t xml:space="preserve"> CUA by Ravikumar 2017, but there are some concerns with this study:</w:t>
      </w:r>
    </w:p>
    <w:p w14:paraId="543DBE50" w14:textId="77777777" w:rsidR="00E47F08" w:rsidRDefault="00E47F08" w:rsidP="00E47F08">
      <w:pPr>
        <w:pStyle w:val="ListParagraph"/>
        <w:numPr>
          <w:ilvl w:val="0"/>
          <w:numId w:val="27"/>
        </w:numPr>
      </w:pPr>
      <w:r>
        <w:t>The model was a decision tree using aggregated health states (representing major and minor complications) which can impact precision of modelled outputs</w:t>
      </w:r>
    </w:p>
    <w:p w14:paraId="5FBAE358" w14:textId="77777777" w:rsidR="00E47F08" w:rsidRDefault="00E47F08" w:rsidP="00E47F08">
      <w:pPr>
        <w:pStyle w:val="ListParagraph"/>
        <w:numPr>
          <w:ilvl w:val="0"/>
          <w:numId w:val="27"/>
        </w:numPr>
      </w:pPr>
      <w:r>
        <w:t>The model inputs were informed from (simple) pooled data reporting treatment-related complications</w:t>
      </w:r>
    </w:p>
    <w:p w14:paraId="1FB09078" w14:textId="77777777" w:rsidR="00E47F08" w:rsidRDefault="00E47F08" w:rsidP="00E47F08">
      <w:pPr>
        <w:pStyle w:val="ListParagraph"/>
        <w:numPr>
          <w:ilvl w:val="0"/>
          <w:numId w:val="27"/>
        </w:numPr>
      </w:pPr>
      <w:r>
        <w:t>Of note, the utility values associated with complications were derived from different instruments and thus it is difficult to conclude if the utilities used in the model-based evaluation are valid</w:t>
      </w:r>
      <w:r w:rsidRPr="00462FB5">
        <w:t xml:space="preserve"> </w:t>
      </w:r>
      <w:r>
        <w:t>and</w:t>
      </w:r>
      <w:r w:rsidRPr="00462FB5">
        <w:t xml:space="preserve"> </w:t>
      </w:r>
      <w:r>
        <w:t>generalisable.</w:t>
      </w:r>
    </w:p>
    <w:p w14:paraId="53A31BD7" w14:textId="77777777" w:rsidR="00E47F08" w:rsidRDefault="00E47F08" w:rsidP="002B6112">
      <w:pPr>
        <w:spacing w:before="240"/>
      </w:pPr>
      <w:r>
        <w:t xml:space="preserve">Overall, ESC considered that the transformation of AEs to QALYs was uncertain, and thus the claim of negligible incremental QALYs to support the CMA approach adopted by the ADAR. ESC also noted the results of small (0.06) net QALY gain from Ravikumar 2017 was inconsistent to a published Ontario health technology assessment reporting that in the base-case model </w:t>
      </w:r>
      <w:proofErr w:type="spellStart"/>
      <w:r>
        <w:t>MRgFUS</w:t>
      </w:r>
      <w:proofErr w:type="spellEnd"/>
      <w:r>
        <w:t xml:space="preserve"> was less effective (QALY loss of 0.25  over 5 years) but cost saving, and thus would be in the south-west quadrant of the  cost-effectiveness plane.</w:t>
      </w:r>
    </w:p>
    <w:p w14:paraId="692BF205" w14:textId="187D91DD" w:rsidR="00E47F08" w:rsidRDefault="00E47F08" w:rsidP="002B6112">
      <w:pPr>
        <w:spacing w:before="240"/>
      </w:pPr>
      <w:r>
        <w:t xml:space="preserve">ESC considered the ADARs CMA using a Markov model to estimate the long-term (10 year) health care resource utilisation between </w:t>
      </w:r>
      <w:proofErr w:type="spellStart"/>
      <w:r>
        <w:t>MRgFUS</w:t>
      </w:r>
      <w:proofErr w:type="spellEnd"/>
      <w:r>
        <w:t xml:space="preserve"> and DBS. ESC considered that the level of details and cost items included in the costing model are appropriate, including the assumptions which were mainly conservative (in favour of DBS). ESC also considered that the sensitivity analyses provide adequate certainty that the total cost for </w:t>
      </w:r>
      <w:proofErr w:type="spellStart"/>
      <w:r>
        <w:t>MRgFUS</w:t>
      </w:r>
      <w:proofErr w:type="spellEnd"/>
      <w:r>
        <w:t xml:space="preserve"> would be less than DBS. Thus, ESC considered that the estimated cost savings appear to be reasonable, if the clinical claim of non-inferiority is supported by MSAC. However, ESC noted that there is some uncertainty regarding sustained benefits, given that there is limited long-term data. </w:t>
      </w:r>
      <w:r>
        <w:lastRenderedPageBreak/>
        <w:t>ESC also noted that a published CMA (Igarashi et al. 2019) excluding safety costs (</w:t>
      </w:r>
      <w:proofErr w:type="gramStart"/>
      <w:r>
        <w:t>similar to</w:t>
      </w:r>
      <w:proofErr w:type="gramEnd"/>
      <w:r>
        <w:t xml:space="preserve"> ADAR) reported cost savings with </w:t>
      </w:r>
      <w:proofErr w:type="spellStart"/>
      <w:r>
        <w:t>MRgFUS</w:t>
      </w:r>
      <w:proofErr w:type="spellEnd"/>
      <w:r>
        <w:t xml:space="preserve"> compared with unilateral DBS.</w:t>
      </w:r>
    </w:p>
    <w:p w14:paraId="0989D817" w14:textId="5CD3E713" w:rsidR="00E47F08" w:rsidRDefault="00E47F08" w:rsidP="002B6112">
      <w:pPr>
        <w:spacing w:before="240"/>
      </w:pPr>
      <w:r>
        <w:t>ESC noted that in the ADARs financial model i</w:t>
      </w:r>
      <w:r w:rsidRPr="009E1476">
        <w:t xml:space="preserve">ncluding retreatment, </w:t>
      </w:r>
      <w:r>
        <w:t xml:space="preserve">the </w:t>
      </w:r>
      <w:r w:rsidRPr="009E1476">
        <w:t xml:space="preserve">net cost to MBS </w:t>
      </w:r>
      <w:r>
        <w:t>for</w:t>
      </w:r>
      <w:r w:rsidRPr="009E1476">
        <w:t xml:space="preserve"> </w:t>
      </w:r>
      <w:proofErr w:type="spellStart"/>
      <w:r w:rsidRPr="009E1476">
        <w:t>MRgFUS</w:t>
      </w:r>
      <w:proofErr w:type="spellEnd"/>
      <w:r w:rsidRPr="009E1476">
        <w:t xml:space="preserve"> is expected to be ~$285,000 in </w:t>
      </w:r>
      <w:r>
        <w:t>year 1</w:t>
      </w:r>
      <w:r w:rsidRPr="009E1476">
        <w:t xml:space="preserve"> and $288,000 in </w:t>
      </w:r>
      <w:r>
        <w:t xml:space="preserve">year </w:t>
      </w:r>
      <w:r w:rsidRPr="009E1476">
        <w:t>5.</w:t>
      </w:r>
      <w:r>
        <w:t xml:space="preserve"> However, ESC noted some concerns with how </w:t>
      </w:r>
      <w:proofErr w:type="spellStart"/>
      <w:r>
        <w:t>MRgFUS</w:t>
      </w:r>
      <w:proofErr w:type="spellEnd"/>
      <w:r>
        <w:t xml:space="preserve"> use was estimated from </w:t>
      </w:r>
      <w:proofErr w:type="gramStart"/>
      <w:r>
        <w:t>a number of</w:t>
      </w:r>
      <w:proofErr w:type="gramEnd"/>
      <w:r>
        <w:t xml:space="preserve"> assumptions:</w:t>
      </w:r>
    </w:p>
    <w:p w14:paraId="0833ACBF" w14:textId="77777777" w:rsidR="00E47F08" w:rsidRDefault="00E47F08" w:rsidP="00E47F08">
      <w:pPr>
        <w:pStyle w:val="ListParagraph"/>
        <w:numPr>
          <w:ilvl w:val="0"/>
          <w:numId w:val="28"/>
        </w:numPr>
      </w:pPr>
      <w:r>
        <w:t>The ADAR assumed only 20% of existing DBS-treated patients would annually switch to MBS (underestimate)</w:t>
      </w:r>
    </w:p>
    <w:p w14:paraId="4176CC51" w14:textId="77777777" w:rsidR="00E47F08" w:rsidRDefault="00E47F08" w:rsidP="00E47F08">
      <w:pPr>
        <w:pStyle w:val="ListParagraph"/>
        <w:numPr>
          <w:ilvl w:val="0"/>
          <w:numId w:val="28"/>
        </w:numPr>
      </w:pPr>
      <w:r>
        <w:t xml:space="preserve">The ADAR assumed 90% of current privately funded </w:t>
      </w:r>
      <w:proofErr w:type="spellStart"/>
      <w:r>
        <w:t>MRgFUS</w:t>
      </w:r>
      <w:proofErr w:type="spellEnd"/>
      <w:r>
        <w:t xml:space="preserve"> would switch to MBS (underestimate)</w:t>
      </w:r>
    </w:p>
    <w:p w14:paraId="05890A5C" w14:textId="77777777" w:rsidR="00E47F08" w:rsidRDefault="00E47F08" w:rsidP="00E47F08">
      <w:pPr>
        <w:pStyle w:val="ListParagraph"/>
        <w:numPr>
          <w:ilvl w:val="0"/>
          <w:numId w:val="28"/>
        </w:numPr>
      </w:pPr>
      <w:r>
        <w:t>The ADAR assumed 1.7% annual rate for retreatment.</w:t>
      </w:r>
    </w:p>
    <w:p w14:paraId="755F111C" w14:textId="77777777" w:rsidR="00E47F08" w:rsidRDefault="00E47F08" w:rsidP="00E47F08">
      <w:r>
        <w:t xml:space="preserve">However, ESC also noted that the commentary’s revised financial estimates removing retreatment and updating MBS costs only had a small impact. ESC also considered that it was </w:t>
      </w:r>
      <w:r w:rsidRPr="00786D99">
        <w:t xml:space="preserve">unclear how many ET patients would choose a non-invasive, irreversible </w:t>
      </w:r>
      <w:proofErr w:type="spellStart"/>
      <w:r w:rsidRPr="00786D99">
        <w:t>MRgFUS</w:t>
      </w:r>
      <w:proofErr w:type="spellEnd"/>
      <w:r w:rsidRPr="00786D99">
        <w:t xml:space="preserve"> procedure</w:t>
      </w:r>
      <w:r>
        <w:t>,</w:t>
      </w:r>
      <w:r w:rsidRPr="00786D99">
        <w:t xml:space="preserve"> </w:t>
      </w:r>
      <w:r>
        <w:t>especially those for</w:t>
      </w:r>
      <w:r w:rsidRPr="00786D99">
        <w:t xml:space="preserve"> whom </w:t>
      </w:r>
      <w:r>
        <w:t xml:space="preserve">surgery was </w:t>
      </w:r>
      <w:r w:rsidRPr="00786D99">
        <w:t>previous</w:t>
      </w:r>
      <w:r>
        <w:t>ly</w:t>
      </w:r>
      <w:r w:rsidRPr="00786D99">
        <w:t xml:space="preserve"> decline</w:t>
      </w:r>
      <w:r>
        <w:t>d</w:t>
      </w:r>
      <w:r w:rsidRPr="00786D99">
        <w:t>.</w:t>
      </w:r>
      <w:r>
        <w:t xml:space="preserve"> Overall, ESC considered the methods and data sources were appropriate, but the ADAR underestimated the budget impact, with some uncertainty remaining whether the MBS funding of </w:t>
      </w:r>
      <w:proofErr w:type="spellStart"/>
      <w:r>
        <w:t>MRgFUS</w:t>
      </w:r>
      <w:proofErr w:type="spellEnd"/>
      <w:r>
        <w:t xml:space="preserve"> will</w:t>
      </w:r>
      <w:r w:rsidRPr="00786D99">
        <w:t xml:space="preserve"> </w:t>
      </w:r>
      <w:r>
        <w:t>“</w:t>
      </w:r>
      <w:r w:rsidRPr="00786D99">
        <w:t>grow the market</w:t>
      </w:r>
      <w:r>
        <w:t>”.</w:t>
      </w:r>
    </w:p>
    <w:p w14:paraId="005181BB" w14:textId="75318643" w:rsidR="00E47F08" w:rsidRDefault="00E47F08" w:rsidP="002B6112">
      <w:pPr>
        <w:spacing w:before="240"/>
      </w:pPr>
      <w:r>
        <w:t>ESC also noted the commentary removed retreatment and reduced DBS treatment numbers to estimate the financial impacts of the prostheses (</w:t>
      </w:r>
      <w:proofErr w:type="spellStart"/>
      <w:r>
        <w:t>MRgFUS</w:t>
      </w:r>
      <w:proofErr w:type="spellEnd"/>
      <w:r>
        <w:t xml:space="preserve"> kit) to private health insurers.</w:t>
      </w:r>
    </w:p>
    <w:p w14:paraId="311D1A5C" w14:textId="259B2FBB" w:rsidR="00E47F08" w:rsidRDefault="00E47F08" w:rsidP="002B6112">
      <w:pPr>
        <w:spacing w:before="240"/>
      </w:pPr>
      <w:r>
        <w:t>ESC queried whether</w:t>
      </w:r>
      <w:r w:rsidRPr="003B19B7">
        <w:t xml:space="preserve"> robust evidence on clinical benefits and cost-effectiveness</w:t>
      </w:r>
      <w:r>
        <w:t xml:space="preserve"> is</w:t>
      </w:r>
      <w:r w:rsidRPr="003B19B7">
        <w:t xml:space="preserve"> likely to emerge</w:t>
      </w:r>
      <w:r>
        <w:t>, and noted that there is a</w:t>
      </w:r>
      <w:r w:rsidRPr="003B19B7">
        <w:t xml:space="preserve"> </w:t>
      </w:r>
      <w:r>
        <w:t>m</w:t>
      </w:r>
      <w:r w:rsidRPr="003B19B7">
        <w:t>ulti-centr</w:t>
      </w:r>
      <w:r>
        <w:t>e</w:t>
      </w:r>
      <w:r w:rsidRPr="003B19B7">
        <w:t xml:space="preserve">, international observational registry to assess the effectiveness of </w:t>
      </w:r>
      <w:proofErr w:type="spellStart"/>
      <w:r w:rsidRPr="003B19B7">
        <w:t>MRgFUS</w:t>
      </w:r>
      <w:proofErr w:type="spellEnd"/>
      <w:r w:rsidRPr="003B19B7">
        <w:t xml:space="preserve"> neurosurgery in people with </w:t>
      </w:r>
      <w:r>
        <w:t xml:space="preserve">various neurologic disorders such as </w:t>
      </w:r>
      <w:r w:rsidRPr="003B19B7">
        <w:t xml:space="preserve">ET and </w:t>
      </w:r>
      <w:r w:rsidRPr="00440380">
        <w:t xml:space="preserve">Parkinson's </w:t>
      </w:r>
      <w:r>
        <w:t xml:space="preserve">movement disorders, </w:t>
      </w:r>
      <w:r w:rsidRPr="003B19B7">
        <w:t xml:space="preserve"> or neuropathic pain (</w:t>
      </w:r>
      <w:hyperlink r:id="rId15" w:history="1">
        <w:r w:rsidRPr="00500C1D">
          <w:rPr>
            <w:rStyle w:val="Hyperlink"/>
          </w:rPr>
          <w:t>NCT03100474</w:t>
        </w:r>
      </w:hyperlink>
      <w:r>
        <w:t>; estimated enrolment = 500 participants. The primary outcome is the CRST, target follow-up duration is 5 years, and the estimated study</w:t>
      </w:r>
      <w:r w:rsidRPr="003B19B7">
        <w:t xml:space="preserve"> completion </w:t>
      </w:r>
      <w:r>
        <w:t xml:space="preserve">in </w:t>
      </w:r>
      <w:r w:rsidRPr="003B19B7">
        <w:t>2024</w:t>
      </w:r>
      <w:r>
        <w:t xml:space="preserve"> (primary completion date: January 2021).</w:t>
      </w:r>
    </w:p>
    <w:p w14:paraId="44890FF1" w14:textId="77777777" w:rsidR="00D90A38" w:rsidRPr="00F715D1" w:rsidRDefault="00BC1364" w:rsidP="00F715D1">
      <w:pPr>
        <w:pStyle w:val="Heading1"/>
      </w:pPr>
      <w:r w:rsidRPr="00F715D1">
        <w:t>Other significant factors</w:t>
      </w:r>
    </w:p>
    <w:p w14:paraId="59356631" w14:textId="77777777" w:rsidR="00BC1364" w:rsidRPr="005A4362" w:rsidRDefault="00C7416C" w:rsidP="00C7416C">
      <w:r>
        <w:t>Nil.</w:t>
      </w:r>
    </w:p>
    <w:p w14:paraId="709E573D"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553E31AB" w14:textId="76371974" w:rsidR="003F74DB" w:rsidRPr="00270DF6" w:rsidRDefault="000F6E42" w:rsidP="000F6E42">
      <w:pPr>
        <w:spacing w:after="240"/>
        <w:rPr>
          <w:szCs w:val="24"/>
        </w:rPr>
      </w:pPr>
      <w:bookmarkStart w:id="48" w:name="_Hlk74121913"/>
      <w:r w:rsidRPr="00270DF6">
        <w:rPr>
          <w:szCs w:val="24"/>
        </w:rPr>
        <w:t xml:space="preserve">The applicant is clearly disappointed with MSAC’s recommendation. </w:t>
      </w:r>
      <w:proofErr w:type="gramStart"/>
      <w:r w:rsidRPr="00270DF6">
        <w:rPr>
          <w:szCs w:val="24"/>
        </w:rPr>
        <w:t>In particular, we</w:t>
      </w:r>
      <w:proofErr w:type="gramEnd"/>
      <w:r w:rsidRPr="00270DF6">
        <w:rPr>
          <w:szCs w:val="24"/>
        </w:rPr>
        <w:t xml:space="preserve"> believe the conclusion “evidence is very poor for </w:t>
      </w:r>
      <w:proofErr w:type="spellStart"/>
      <w:r w:rsidRPr="00270DF6">
        <w:rPr>
          <w:szCs w:val="24"/>
        </w:rPr>
        <w:t>MRgFUS</w:t>
      </w:r>
      <w:proofErr w:type="spellEnd"/>
      <w:r w:rsidRPr="00270DF6">
        <w:rPr>
          <w:szCs w:val="24"/>
        </w:rPr>
        <w:t xml:space="preserve">” is not necessarily a fair reflection of the </w:t>
      </w:r>
      <w:proofErr w:type="spellStart"/>
      <w:r w:rsidRPr="00270DF6">
        <w:rPr>
          <w:szCs w:val="24"/>
        </w:rPr>
        <w:t>MRgFUS</w:t>
      </w:r>
      <w:proofErr w:type="spellEnd"/>
      <w:r w:rsidRPr="00270DF6">
        <w:rPr>
          <w:szCs w:val="24"/>
        </w:rPr>
        <w:t xml:space="preserve"> clinical trial program relative to DBS. The evidence for </w:t>
      </w:r>
      <w:proofErr w:type="spellStart"/>
      <w:r w:rsidRPr="00270DF6">
        <w:rPr>
          <w:szCs w:val="24"/>
        </w:rPr>
        <w:t>MRgFUS</w:t>
      </w:r>
      <w:proofErr w:type="spellEnd"/>
      <w:r w:rsidRPr="00270DF6">
        <w:rPr>
          <w:szCs w:val="24"/>
        </w:rPr>
        <w:t xml:space="preserve"> includes a well conducted, multi-centre, double-blind randomised controlled trial (Elias et al. 2016) whereas the evidence for DBS includes no such comparative studies. The safety of </w:t>
      </w:r>
      <w:proofErr w:type="spellStart"/>
      <w:r w:rsidRPr="00270DF6">
        <w:rPr>
          <w:szCs w:val="24"/>
        </w:rPr>
        <w:t>MRgFUS</w:t>
      </w:r>
      <w:proofErr w:type="spellEnd"/>
      <w:r w:rsidRPr="00270DF6">
        <w:rPr>
          <w:szCs w:val="24"/>
        </w:rPr>
        <w:t xml:space="preserve"> is well established (Fishman et al. 2018) whilst the safety of the invasive DBS procedure and ongoing risk of device related failures does not appear to have been given similarly critical consideration. </w:t>
      </w:r>
      <w:proofErr w:type="spellStart"/>
      <w:r w:rsidRPr="00270DF6">
        <w:rPr>
          <w:szCs w:val="24"/>
        </w:rPr>
        <w:t>MRgFUS</w:t>
      </w:r>
      <w:proofErr w:type="spellEnd"/>
      <w:r w:rsidRPr="00270DF6">
        <w:rPr>
          <w:szCs w:val="24"/>
        </w:rPr>
        <w:t xml:space="preserve"> has been recommended for reimbursement in healthcare systems around the world including Israel, UK, Germany, Switzerland, Italy and Japan. The applicant is disappointed what MSAC’s decision means for patients without private health insurance who do not have access to DBS without substantial out of pocket expenses. </w:t>
      </w:r>
      <w:proofErr w:type="gramStart"/>
      <w:r w:rsidRPr="00270DF6">
        <w:rPr>
          <w:szCs w:val="24"/>
        </w:rPr>
        <w:t xml:space="preserve">With this in mind, </w:t>
      </w:r>
      <w:proofErr w:type="spellStart"/>
      <w:r w:rsidRPr="00270DF6">
        <w:rPr>
          <w:szCs w:val="24"/>
        </w:rPr>
        <w:t>Insightec</w:t>
      </w:r>
      <w:proofErr w:type="spellEnd"/>
      <w:proofErr w:type="gramEnd"/>
      <w:r w:rsidRPr="00270DF6">
        <w:rPr>
          <w:szCs w:val="24"/>
        </w:rPr>
        <w:t xml:space="preserve"> will continue to work with the Department of Health and MSAC to address their concerns and secure reimbursement of this important treatment option for patients with medically refractory essential tremor.</w:t>
      </w:r>
    </w:p>
    <w:p w14:paraId="3AD86596" w14:textId="7DC3637E" w:rsidR="000F6E42" w:rsidRDefault="000F6E42" w:rsidP="000F6E42">
      <w:pPr>
        <w:spacing w:after="240"/>
        <w:rPr>
          <w:color w:val="00B0F0"/>
          <w:szCs w:val="24"/>
        </w:rPr>
      </w:pPr>
    </w:p>
    <w:bookmarkEnd w:id="48"/>
    <w:p w14:paraId="7710E445" w14:textId="77777777" w:rsidR="00BC1364" w:rsidRPr="00F715D1" w:rsidRDefault="00271F18" w:rsidP="00F715D1">
      <w:pPr>
        <w:pStyle w:val="Heading1"/>
      </w:pPr>
      <w:r w:rsidRPr="00F715D1">
        <w:lastRenderedPageBreak/>
        <w:t>Further information on MSAC</w:t>
      </w:r>
    </w:p>
    <w:p w14:paraId="5E12298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04B04" w14:textId="77777777" w:rsidR="006C7205" w:rsidRDefault="006C7205" w:rsidP="00065623">
      <w:r>
        <w:separator/>
      </w:r>
    </w:p>
  </w:endnote>
  <w:endnote w:type="continuationSeparator" w:id="0">
    <w:p w14:paraId="08A5A64E" w14:textId="77777777" w:rsidR="006C7205" w:rsidRDefault="006C720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EE8E" w14:textId="77777777" w:rsidR="00AD23FF" w:rsidRDefault="00AD2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247AFB2A" w14:textId="7F835663" w:rsidR="0039787B" w:rsidRDefault="0039787B">
        <w:pPr>
          <w:pStyle w:val="Footer"/>
          <w:jc w:val="right"/>
        </w:pPr>
        <w:r>
          <w:fldChar w:fldCharType="begin"/>
        </w:r>
        <w:r>
          <w:instrText xml:space="preserve"> PAGE   \* MERGEFORMAT </w:instrText>
        </w:r>
        <w:r>
          <w:fldChar w:fldCharType="separate"/>
        </w:r>
        <w:r w:rsidR="002A0509">
          <w:rPr>
            <w:noProof/>
          </w:rPr>
          <w:t>24</w:t>
        </w:r>
        <w:r>
          <w:rPr>
            <w:noProof/>
          </w:rPr>
          <w:fldChar w:fldCharType="end"/>
        </w:r>
      </w:p>
    </w:sdtContent>
  </w:sdt>
  <w:p w14:paraId="1D023B13" w14:textId="77777777" w:rsidR="0039787B" w:rsidRDefault="00397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7F83" w14:textId="77777777" w:rsidR="00AD23FF" w:rsidRDefault="00AD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D1DF" w14:textId="77777777" w:rsidR="006C7205" w:rsidRDefault="006C7205" w:rsidP="00065623">
      <w:r>
        <w:separator/>
      </w:r>
    </w:p>
  </w:footnote>
  <w:footnote w:type="continuationSeparator" w:id="0">
    <w:p w14:paraId="69F1EE98" w14:textId="77777777" w:rsidR="006C7205" w:rsidRDefault="006C7205" w:rsidP="00065623">
      <w:r>
        <w:continuationSeparator/>
      </w:r>
    </w:p>
  </w:footnote>
  <w:footnote w:id="1">
    <w:p w14:paraId="67F6C470" w14:textId="77777777" w:rsidR="0039787B" w:rsidRDefault="0039787B" w:rsidP="00D36E24">
      <w:pPr>
        <w:pStyle w:val="FootnoteText"/>
      </w:pPr>
      <w:r>
        <w:rPr>
          <w:rStyle w:val="FootnoteReference"/>
        </w:rPr>
        <w:footnoteRef/>
      </w:r>
      <w:r>
        <w:t xml:space="preserve"> </w:t>
      </w:r>
      <w:proofErr w:type="spellStart"/>
      <w:r w:rsidRPr="00D77C46">
        <w:t>Zaaroor</w:t>
      </w:r>
      <w:proofErr w:type="spellEnd"/>
      <w:r w:rsidRPr="00D77C46">
        <w:t xml:space="preserve"> M, Sinai A, </w:t>
      </w:r>
      <w:proofErr w:type="spellStart"/>
      <w:r w:rsidRPr="00D77C46">
        <w:t>Goldsher</w:t>
      </w:r>
      <w:proofErr w:type="spellEnd"/>
      <w:r w:rsidRPr="00D77C46">
        <w:t xml:space="preserve"> D, Eran A, Nassar M, Schlesinger I. Magnetic resonance-guided focused ultrasound thalamotomy for tremor: a report of 30 Parkinson's disease and essential tremor cases. J </w:t>
      </w:r>
      <w:proofErr w:type="spellStart"/>
      <w:r w:rsidRPr="00D77C46">
        <w:t>Neurosurg</w:t>
      </w:r>
      <w:proofErr w:type="spellEnd"/>
      <w:r w:rsidRPr="00D77C46">
        <w:t xml:space="preserve">. 2018 Jan;128(1):202-210. </w:t>
      </w:r>
      <w:proofErr w:type="spellStart"/>
      <w:r w:rsidRPr="00D77C46">
        <w:t>doi</w:t>
      </w:r>
      <w:proofErr w:type="spellEnd"/>
      <w:r w:rsidRPr="00D77C46">
        <w:t>: 10.3171/20</w:t>
      </w:r>
    </w:p>
  </w:footnote>
  <w:footnote w:id="2">
    <w:p w14:paraId="00DAE8BD" w14:textId="77777777" w:rsidR="0039787B" w:rsidRDefault="0039787B" w:rsidP="008337E8">
      <w:pPr>
        <w:pStyle w:val="FootnoteText"/>
      </w:pPr>
      <w:r>
        <w:rPr>
          <w:rStyle w:val="FootnoteReference"/>
        </w:rPr>
        <w:footnoteRef/>
      </w:r>
      <w:r>
        <w:t xml:space="preserve"> </w:t>
      </w:r>
      <w:r w:rsidRPr="006220DF">
        <w:t>Huss, D. S., et al. (2015). "Functional assessment and quality of life in essential tremor with bilateral or unilateral DBS and focused ultrasound thalamotomy." Movement Disorders 30(14): 1937-1943.</w:t>
      </w:r>
    </w:p>
  </w:footnote>
  <w:footnote w:id="3">
    <w:p w14:paraId="691F4B49" w14:textId="77777777" w:rsidR="0039787B" w:rsidRDefault="0039787B" w:rsidP="008337E8">
      <w:pPr>
        <w:pStyle w:val="FootnoteText"/>
      </w:pPr>
      <w:r>
        <w:rPr>
          <w:rStyle w:val="FootnoteReference"/>
        </w:rPr>
        <w:footnoteRef/>
      </w:r>
      <w:r>
        <w:t xml:space="preserve"> </w:t>
      </w:r>
      <w:r w:rsidRPr="006220DF">
        <w:t>Kim, M., et al. (2017). "Comparative Evaluation of Magnetic Resonance-Guided Focused Ultrasound Surgery for Essential Tremor." Stereotactic and Functional Neurosurgery 95(4): 279-286.</w:t>
      </w:r>
    </w:p>
  </w:footnote>
  <w:footnote w:id="4">
    <w:p w14:paraId="70982B4D" w14:textId="77777777" w:rsidR="0039787B" w:rsidRDefault="0039787B" w:rsidP="008337E8">
      <w:pPr>
        <w:pStyle w:val="FootnoteText"/>
      </w:pPr>
      <w:r>
        <w:rPr>
          <w:rStyle w:val="FootnoteReference"/>
        </w:rPr>
        <w:footnoteRef/>
      </w:r>
      <w:r>
        <w:t xml:space="preserve"> </w:t>
      </w:r>
      <w:r w:rsidRPr="006220DF">
        <w:t>Langford, B. E., et al. (2018). "Focused Ultrasound Thalamotomy and Other Interventions for Medication-Refractory Essential Tremor: An Indirect Comparison of Short-Term Impact on Health-Related Quality of Life." Value in Health 21(10): 1168-1175.</w:t>
      </w:r>
    </w:p>
  </w:footnote>
  <w:footnote w:id="5">
    <w:p w14:paraId="18C210FA" w14:textId="77777777" w:rsidR="0039787B" w:rsidRDefault="0039787B" w:rsidP="008337E8">
      <w:pPr>
        <w:pStyle w:val="FootnoteText"/>
      </w:pPr>
      <w:r>
        <w:rPr>
          <w:rStyle w:val="FootnoteReference"/>
        </w:rPr>
        <w:footnoteRef/>
      </w:r>
      <w:r>
        <w:t xml:space="preserve"> </w:t>
      </w:r>
      <w:r w:rsidRPr="00457F5B">
        <w:t>Elias, W. J., et al. (2016). "A randomized trial of focused ultrasound thalamotomy for essential tremor." New England Journal of Medicine 375(8): 730-739</w:t>
      </w:r>
    </w:p>
  </w:footnote>
  <w:footnote w:id="6">
    <w:p w14:paraId="6811FECA" w14:textId="77777777" w:rsidR="0039787B" w:rsidRDefault="0039787B" w:rsidP="008337E8">
      <w:pPr>
        <w:pStyle w:val="FootnoteText"/>
      </w:pPr>
      <w:r>
        <w:rPr>
          <w:rStyle w:val="FootnoteReference"/>
        </w:rPr>
        <w:footnoteRef/>
      </w:r>
      <w:r>
        <w:t xml:space="preserve"> </w:t>
      </w:r>
      <w:proofErr w:type="spellStart"/>
      <w:r w:rsidRPr="005E3719">
        <w:t>Wharen</w:t>
      </w:r>
      <w:proofErr w:type="spellEnd"/>
      <w:r w:rsidRPr="005E3719">
        <w:t xml:space="preserve">, R. E., Jr., et al. (2017). "Thalamic DBS with a constant-current device in essential tremor: A controlled clinical trial." Parkinsonism </w:t>
      </w:r>
      <w:proofErr w:type="spellStart"/>
      <w:r w:rsidRPr="005E3719">
        <w:t>Relat</w:t>
      </w:r>
      <w:proofErr w:type="spellEnd"/>
      <w:r w:rsidRPr="005E3719">
        <w:t xml:space="preserve"> </w:t>
      </w:r>
      <w:proofErr w:type="spellStart"/>
      <w:r w:rsidRPr="005E3719">
        <w:t>Disord</w:t>
      </w:r>
      <w:proofErr w:type="spellEnd"/>
      <w:r w:rsidRPr="005E3719">
        <w:t xml:space="preserve"> 40: 18-26.</w:t>
      </w:r>
    </w:p>
  </w:footnote>
  <w:footnote w:id="7">
    <w:p w14:paraId="15687F86" w14:textId="77777777" w:rsidR="0039787B" w:rsidRDefault="0039787B" w:rsidP="008337E8">
      <w:pPr>
        <w:pStyle w:val="FootnoteText"/>
      </w:pPr>
      <w:r>
        <w:rPr>
          <w:rStyle w:val="FootnoteReference"/>
        </w:rPr>
        <w:footnoteRef/>
      </w:r>
      <w:r>
        <w:t xml:space="preserve"> </w:t>
      </w:r>
      <w:proofErr w:type="spellStart"/>
      <w:r w:rsidRPr="00E37D48">
        <w:t>Elble</w:t>
      </w:r>
      <w:proofErr w:type="spellEnd"/>
      <w:r w:rsidRPr="00E37D48">
        <w:t xml:space="preserve"> R, Bain P, João </w:t>
      </w:r>
      <w:proofErr w:type="spellStart"/>
      <w:r w:rsidRPr="00E37D48">
        <w:t>Forjaz</w:t>
      </w:r>
      <w:proofErr w:type="spellEnd"/>
      <w:r w:rsidRPr="00E37D48">
        <w:t xml:space="preserve"> M, </w:t>
      </w:r>
      <w:proofErr w:type="spellStart"/>
      <w:r w:rsidRPr="00E37D48">
        <w:t>Haubenberger</w:t>
      </w:r>
      <w:proofErr w:type="spellEnd"/>
      <w:r w:rsidRPr="00E37D48">
        <w:t xml:space="preserve"> D, Testa C, Goetz CG, </w:t>
      </w:r>
      <w:proofErr w:type="spellStart"/>
      <w:r w:rsidRPr="00E37D48">
        <w:t>Leentjens</w:t>
      </w:r>
      <w:proofErr w:type="spellEnd"/>
      <w:r w:rsidRPr="00E37D48">
        <w:t xml:space="preserve"> AF, Martinez‐Martin P, </w:t>
      </w:r>
      <w:proofErr w:type="spellStart"/>
      <w:r w:rsidRPr="00E37D48">
        <w:t>Pavy</w:t>
      </w:r>
      <w:proofErr w:type="spellEnd"/>
      <w:r w:rsidRPr="00E37D48">
        <w:t xml:space="preserve">‐Le </w:t>
      </w:r>
      <w:proofErr w:type="spellStart"/>
      <w:r w:rsidRPr="00E37D48">
        <w:t>Traon</w:t>
      </w:r>
      <w:proofErr w:type="spellEnd"/>
      <w:r w:rsidRPr="00E37D48">
        <w:t xml:space="preserve"> A, Post B, Sampaio C. Task force report: scales for screening and evaluating tremor: critique and recommendations. Movement Disorders. 2013 Nov;28(13):1793-800</w:t>
      </w:r>
    </w:p>
  </w:footnote>
  <w:footnote w:id="8">
    <w:p w14:paraId="64F0FFFC" w14:textId="77777777" w:rsidR="0039787B" w:rsidRDefault="0039787B" w:rsidP="009A745A">
      <w:pPr>
        <w:pStyle w:val="FootnoteText"/>
      </w:pPr>
      <w:r>
        <w:rPr>
          <w:rStyle w:val="FootnoteReference"/>
        </w:rPr>
        <w:footnoteRef/>
      </w:r>
      <w:r>
        <w:t xml:space="preserve"> </w:t>
      </w:r>
      <w:r w:rsidRPr="00110F2C">
        <w:t xml:space="preserve">Ravikumar VK, Parker JJ, Hornbeck TS, Santini VE, Pauly KB, </w:t>
      </w:r>
      <w:proofErr w:type="spellStart"/>
      <w:r w:rsidRPr="00110F2C">
        <w:t>Wintermark</w:t>
      </w:r>
      <w:proofErr w:type="spellEnd"/>
      <w:r w:rsidRPr="00110F2C">
        <w:t xml:space="preserve"> M, </w:t>
      </w:r>
      <w:proofErr w:type="spellStart"/>
      <w:r w:rsidRPr="00110F2C">
        <w:t>Ghanouni</w:t>
      </w:r>
      <w:proofErr w:type="spellEnd"/>
      <w:r w:rsidRPr="00110F2C">
        <w:t xml:space="preserve"> P, Stein SC, Halpern CH. Cost-effectiveness of focused ultrasound, radiosurgery, and DBS for essential tremor. Mov </w:t>
      </w:r>
      <w:proofErr w:type="spellStart"/>
      <w:r w:rsidRPr="00110F2C">
        <w:t>Disord</w:t>
      </w:r>
      <w:proofErr w:type="spellEnd"/>
      <w:r w:rsidRPr="00110F2C">
        <w:t>. 2017 Aug;32(8):1165-1173.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BCFA" w14:textId="77777777" w:rsidR="00AD23FF" w:rsidRDefault="00AD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169D" w14:textId="77777777" w:rsidR="00AD23FF" w:rsidRDefault="00AD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3B2C" w14:textId="77777777" w:rsidR="00AD23FF" w:rsidRDefault="00AD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894A53"/>
    <w:multiLevelType w:val="hybridMultilevel"/>
    <w:tmpl w:val="1B90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7097B3B"/>
    <w:multiLevelType w:val="hybridMultilevel"/>
    <w:tmpl w:val="CC44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D6479"/>
    <w:multiLevelType w:val="hybridMultilevel"/>
    <w:tmpl w:val="6D0AA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5B12556"/>
    <w:multiLevelType w:val="hybridMultilevel"/>
    <w:tmpl w:val="FB86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D2854"/>
    <w:multiLevelType w:val="hybridMultilevel"/>
    <w:tmpl w:val="AF06ED70"/>
    <w:lvl w:ilvl="0" w:tplc="9CD89E9E">
      <w:start w:val="1"/>
      <w:numFmt w:val="bullet"/>
      <w:lvlText w:val=""/>
      <w:lvlJc w:val="left"/>
      <w:pPr>
        <w:tabs>
          <w:tab w:val="num" w:pos="720"/>
        </w:tabs>
        <w:ind w:left="720" w:hanging="360"/>
      </w:pPr>
      <w:rPr>
        <w:rFonts w:ascii="Wingdings" w:hAnsi="Wingdings" w:hint="default"/>
      </w:rPr>
    </w:lvl>
    <w:lvl w:ilvl="1" w:tplc="888012B8" w:tentative="1">
      <w:start w:val="1"/>
      <w:numFmt w:val="bullet"/>
      <w:lvlText w:val=""/>
      <w:lvlJc w:val="left"/>
      <w:pPr>
        <w:tabs>
          <w:tab w:val="num" w:pos="1440"/>
        </w:tabs>
        <w:ind w:left="1440" w:hanging="360"/>
      </w:pPr>
      <w:rPr>
        <w:rFonts w:ascii="Wingdings" w:hAnsi="Wingdings" w:hint="default"/>
      </w:rPr>
    </w:lvl>
    <w:lvl w:ilvl="2" w:tplc="7818B12A" w:tentative="1">
      <w:start w:val="1"/>
      <w:numFmt w:val="bullet"/>
      <w:lvlText w:val=""/>
      <w:lvlJc w:val="left"/>
      <w:pPr>
        <w:tabs>
          <w:tab w:val="num" w:pos="2160"/>
        </w:tabs>
        <w:ind w:left="2160" w:hanging="360"/>
      </w:pPr>
      <w:rPr>
        <w:rFonts w:ascii="Wingdings" w:hAnsi="Wingdings" w:hint="default"/>
      </w:rPr>
    </w:lvl>
    <w:lvl w:ilvl="3" w:tplc="3E3002B2" w:tentative="1">
      <w:start w:val="1"/>
      <w:numFmt w:val="bullet"/>
      <w:lvlText w:val=""/>
      <w:lvlJc w:val="left"/>
      <w:pPr>
        <w:tabs>
          <w:tab w:val="num" w:pos="2880"/>
        </w:tabs>
        <w:ind w:left="2880" w:hanging="360"/>
      </w:pPr>
      <w:rPr>
        <w:rFonts w:ascii="Wingdings" w:hAnsi="Wingdings" w:hint="default"/>
      </w:rPr>
    </w:lvl>
    <w:lvl w:ilvl="4" w:tplc="CBF03D54" w:tentative="1">
      <w:start w:val="1"/>
      <w:numFmt w:val="bullet"/>
      <w:lvlText w:val=""/>
      <w:lvlJc w:val="left"/>
      <w:pPr>
        <w:tabs>
          <w:tab w:val="num" w:pos="3600"/>
        </w:tabs>
        <w:ind w:left="3600" w:hanging="360"/>
      </w:pPr>
      <w:rPr>
        <w:rFonts w:ascii="Wingdings" w:hAnsi="Wingdings" w:hint="default"/>
      </w:rPr>
    </w:lvl>
    <w:lvl w:ilvl="5" w:tplc="10DC27DC" w:tentative="1">
      <w:start w:val="1"/>
      <w:numFmt w:val="bullet"/>
      <w:lvlText w:val=""/>
      <w:lvlJc w:val="left"/>
      <w:pPr>
        <w:tabs>
          <w:tab w:val="num" w:pos="4320"/>
        </w:tabs>
        <w:ind w:left="4320" w:hanging="360"/>
      </w:pPr>
      <w:rPr>
        <w:rFonts w:ascii="Wingdings" w:hAnsi="Wingdings" w:hint="default"/>
      </w:rPr>
    </w:lvl>
    <w:lvl w:ilvl="6" w:tplc="9C3ACE52" w:tentative="1">
      <w:start w:val="1"/>
      <w:numFmt w:val="bullet"/>
      <w:lvlText w:val=""/>
      <w:lvlJc w:val="left"/>
      <w:pPr>
        <w:tabs>
          <w:tab w:val="num" w:pos="5040"/>
        </w:tabs>
        <w:ind w:left="5040" w:hanging="360"/>
      </w:pPr>
      <w:rPr>
        <w:rFonts w:ascii="Wingdings" w:hAnsi="Wingdings" w:hint="default"/>
      </w:rPr>
    </w:lvl>
    <w:lvl w:ilvl="7" w:tplc="DDB61F20" w:tentative="1">
      <w:start w:val="1"/>
      <w:numFmt w:val="bullet"/>
      <w:lvlText w:val=""/>
      <w:lvlJc w:val="left"/>
      <w:pPr>
        <w:tabs>
          <w:tab w:val="num" w:pos="5760"/>
        </w:tabs>
        <w:ind w:left="5760" w:hanging="360"/>
      </w:pPr>
      <w:rPr>
        <w:rFonts w:ascii="Wingdings" w:hAnsi="Wingdings" w:hint="default"/>
      </w:rPr>
    </w:lvl>
    <w:lvl w:ilvl="8" w:tplc="6450D5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0341A"/>
    <w:multiLevelType w:val="hybridMultilevel"/>
    <w:tmpl w:val="11F2E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D57AE0"/>
    <w:multiLevelType w:val="hybridMultilevel"/>
    <w:tmpl w:val="91D4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9003DB"/>
    <w:multiLevelType w:val="hybridMultilevel"/>
    <w:tmpl w:val="0F242E1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3E27FDF"/>
    <w:multiLevelType w:val="hybridMultilevel"/>
    <w:tmpl w:val="A374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A03EE"/>
    <w:multiLevelType w:val="hybridMultilevel"/>
    <w:tmpl w:val="FB6AA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
  </w:num>
  <w:num w:numId="4">
    <w:abstractNumId w:val="20"/>
  </w:num>
  <w:num w:numId="5">
    <w:abstractNumId w:val="11"/>
  </w:num>
  <w:num w:numId="6">
    <w:abstractNumId w:val="18"/>
  </w:num>
  <w:num w:numId="7">
    <w:abstractNumId w:val="25"/>
  </w:num>
  <w:num w:numId="8">
    <w:abstractNumId w:val="13"/>
  </w:num>
  <w:num w:numId="9">
    <w:abstractNumId w:val="35"/>
  </w:num>
  <w:num w:numId="10">
    <w:abstractNumId w:val="0"/>
  </w:num>
  <w:num w:numId="11">
    <w:abstractNumId w:val="23"/>
  </w:num>
  <w:num w:numId="12">
    <w:abstractNumId w:val="26"/>
  </w:num>
  <w:num w:numId="13">
    <w:abstractNumId w:val="6"/>
  </w:num>
  <w:num w:numId="14">
    <w:abstractNumId w:val="31"/>
  </w:num>
  <w:num w:numId="15">
    <w:abstractNumId w:val="22"/>
  </w:num>
  <w:num w:numId="16">
    <w:abstractNumId w:val="28"/>
  </w:num>
  <w:num w:numId="17">
    <w:abstractNumId w:val="14"/>
  </w:num>
  <w:num w:numId="18">
    <w:abstractNumId w:val="15"/>
  </w:num>
  <w:num w:numId="19">
    <w:abstractNumId w:val="30"/>
  </w:num>
  <w:num w:numId="20">
    <w:abstractNumId w:val="29"/>
  </w:num>
  <w:num w:numId="21">
    <w:abstractNumId w:val="4"/>
  </w:num>
  <w:num w:numId="22">
    <w:abstractNumId w:val="10"/>
  </w:num>
  <w:num w:numId="23">
    <w:abstractNumId w:val="3"/>
  </w:num>
  <w:num w:numId="24">
    <w:abstractNumId w:val="9"/>
  </w:num>
  <w:num w:numId="25">
    <w:abstractNumId w:val="7"/>
  </w:num>
  <w:num w:numId="26">
    <w:abstractNumId w:val="34"/>
  </w:num>
  <w:num w:numId="27">
    <w:abstractNumId w:val="17"/>
  </w:num>
  <w:num w:numId="28">
    <w:abstractNumId w:val="21"/>
  </w:num>
  <w:num w:numId="29">
    <w:abstractNumId w:val="27"/>
  </w:num>
  <w:num w:numId="30">
    <w:abstractNumId w:val="2"/>
  </w:num>
  <w:num w:numId="31">
    <w:abstractNumId w:val="5"/>
  </w:num>
  <w:num w:numId="32">
    <w:abstractNumId w:val="24"/>
  </w:num>
  <w:num w:numId="33">
    <w:abstractNumId w:val="32"/>
  </w:num>
  <w:num w:numId="34">
    <w:abstractNumId w:val="33"/>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7312"/>
    <w:rsid w:val="00007EC5"/>
    <w:rsid w:val="00011A36"/>
    <w:rsid w:val="0001311B"/>
    <w:rsid w:val="000136BA"/>
    <w:rsid w:val="000317F2"/>
    <w:rsid w:val="00047606"/>
    <w:rsid w:val="00065623"/>
    <w:rsid w:val="000663AA"/>
    <w:rsid w:val="000756B9"/>
    <w:rsid w:val="000772B1"/>
    <w:rsid w:val="00096B67"/>
    <w:rsid w:val="00096DAF"/>
    <w:rsid w:val="000A6657"/>
    <w:rsid w:val="000C2F47"/>
    <w:rsid w:val="000D2B9A"/>
    <w:rsid w:val="000D6C00"/>
    <w:rsid w:val="000E4E04"/>
    <w:rsid w:val="000F14B4"/>
    <w:rsid w:val="000F6E42"/>
    <w:rsid w:val="000F75DF"/>
    <w:rsid w:val="00102396"/>
    <w:rsid w:val="001023DC"/>
    <w:rsid w:val="001328FA"/>
    <w:rsid w:val="00147AAF"/>
    <w:rsid w:val="001552C0"/>
    <w:rsid w:val="001640B1"/>
    <w:rsid w:val="0018435E"/>
    <w:rsid w:val="001D28DC"/>
    <w:rsid w:val="001D31D5"/>
    <w:rsid w:val="002041A1"/>
    <w:rsid w:val="002054F0"/>
    <w:rsid w:val="00207A19"/>
    <w:rsid w:val="0022043C"/>
    <w:rsid w:val="00230D6B"/>
    <w:rsid w:val="00232068"/>
    <w:rsid w:val="002330F2"/>
    <w:rsid w:val="00243D9E"/>
    <w:rsid w:val="00253B66"/>
    <w:rsid w:val="00256C21"/>
    <w:rsid w:val="00261DF1"/>
    <w:rsid w:val="00262777"/>
    <w:rsid w:val="002704CB"/>
    <w:rsid w:val="00270BB2"/>
    <w:rsid w:val="00270DF6"/>
    <w:rsid w:val="00270F2B"/>
    <w:rsid w:val="00271F18"/>
    <w:rsid w:val="00282779"/>
    <w:rsid w:val="0028334D"/>
    <w:rsid w:val="002A0509"/>
    <w:rsid w:val="002B6112"/>
    <w:rsid w:val="002B7FFA"/>
    <w:rsid w:val="002C2BCF"/>
    <w:rsid w:val="002F279D"/>
    <w:rsid w:val="002F43B8"/>
    <w:rsid w:val="00302F4B"/>
    <w:rsid w:val="00336856"/>
    <w:rsid w:val="0034554D"/>
    <w:rsid w:val="00352224"/>
    <w:rsid w:val="003671E6"/>
    <w:rsid w:val="00384272"/>
    <w:rsid w:val="00386D67"/>
    <w:rsid w:val="00393F21"/>
    <w:rsid w:val="003945B8"/>
    <w:rsid w:val="0039787B"/>
    <w:rsid w:val="003A1976"/>
    <w:rsid w:val="003B0467"/>
    <w:rsid w:val="003C2DE3"/>
    <w:rsid w:val="003D630E"/>
    <w:rsid w:val="003D7F29"/>
    <w:rsid w:val="003F36FB"/>
    <w:rsid w:val="003F74DB"/>
    <w:rsid w:val="00405A6B"/>
    <w:rsid w:val="00407B1F"/>
    <w:rsid w:val="0041184F"/>
    <w:rsid w:val="00411BC4"/>
    <w:rsid w:val="00414C57"/>
    <w:rsid w:val="0041758C"/>
    <w:rsid w:val="004539DE"/>
    <w:rsid w:val="0048220D"/>
    <w:rsid w:val="004967B0"/>
    <w:rsid w:val="004A2CF1"/>
    <w:rsid w:val="004A4CC2"/>
    <w:rsid w:val="004A4D40"/>
    <w:rsid w:val="004A798A"/>
    <w:rsid w:val="004C3035"/>
    <w:rsid w:val="004C307F"/>
    <w:rsid w:val="004D3F7D"/>
    <w:rsid w:val="004E4BA8"/>
    <w:rsid w:val="004F340F"/>
    <w:rsid w:val="004F7B7C"/>
    <w:rsid w:val="0052243D"/>
    <w:rsid w:val="00526846"/>
    <w:rsid w:val="00532435"/>
    <w:rsid w:val="00545612"/>
    <w:rsid w:val="00546A2C"/>
    <w:rsid w:val="00550354"/>
    <w:rsid w:val="00561F67"/>
    <w:rsid w:val="00563F17"/>
    <w:rsid w:val="00571236"/>
    <w:rsid w:val="005953A1"/>
    <w:rsid w:val="005A4362"/>
    <w:rsid w:val="005B5434"/>
    <w:rsid w:val="005C17B5"/>
    <w:rsid w:val="005D0332"/>
    <w:rsid w:val="005D0D8C"/>
    <w:rsid w:val="005D3DE6"/>
    <w:rsid w:val="005E280E"/>
    <w:rsid w:val="00622523"/>
    <w:rsid w:val="006554CA"/>
    <w:rsid w:val="0066712B"/>
    <w:rsid w:val="006776AE"/>
    <w:rsid w:val="006A0D97"/>
    <w:rsid w:val="006B037D"/>
    <w:rsid w:val="006B1F86"/>
    <w:rsid w:val="006C0A91"/>
    <w:rsid w:val="006C7205"/>
    <w:rsid w:val="006D59C7"/>
    <w:rsid w:val="007012A6"/>
    <w:rsid w:val="007054BB"/>
    <w:rsid w:val="00707064"/>
    <w:rsid w:val="0072078C"/>
    <w:rsid w:val="0072334C"/>
    <w:rsid w:val="00730683"/>
    <w:rsid w:val="0075261F"/>
    <w:rsid w:val="0075468E"/>
    <w:rsid w:val="007665D8"/>
    <w:rsid w:val="00766E36"/>
    <w:rsid w:val="007765F4"/>
    <w:rsid w:val="00776633"/>
    <w:rsid w:val="00784D53"/>
    <w:rsid w:val="00793D2C"/>
    <w:rsid w:val="00797797"/>
    <w:rsid w:val="007A63C9"/>
    <w:rsid w:val="007B32D1"/>
    <w:rsid w:val="007B7095"/>
    <w:rsid w:val="007D24E1"/>
    <w:rsid w:val="007D6288"/>
    <w:rsid w:val="007D63F2"/>
    <w:rsid w:val="007F09AA"/>
    <w:rsid w:val="007F4CE9"/>
    <w:rsid w:val="007F4E20"/>
    <w:rsid w:val="00822C7E"/>
    <w:rsid w:val="008300AE"/>
    <w:rsid w:val="00831EE1"/>
    <w:rsid w:val="008337E8"/>
    <w:rsid w:val="00844DA4"/>
    <w:rsid w:val="0084573B"/>
    <w:rsid w:val="00847060"/>
    <w:rsid w:val="008472C1"/>
    <w:rsid w:val="00847A36"/>
    <w:rsid w:val="00856A33"/>
    <w:rsid w:val="00892620"/>
    <w:rsid w:val="008B6980"/>
    <w:rsid w:val="008C252D"/>
    <w:rsid w:val="008C778E"/>
    <w:rsid w:val="008C7D37"/>
    <w:rsid w:val="008D1722"/>
    <w:rsid w:val="008D2935"/>
    <w:rsid w:val="008D5885"/>
    <w:rsid w:val="0091558F"/>
    <w:rsid w:val="00923FA2"/>
    <w:rsid w:val="00941CF0"/>
    <w:rsid w:val="0096060D"/>
    <w:rsid w:val="00974A50"/>
    <w:rsid w:val="0097585A"/>
    <w:rsid w:val="009924B0"/>
    <w:rsid w:val="009942C9"/>
    <w:rsid w:val="009A745A"/>
    <w:rsid w:val="009B35C4"/>
    <w:rsid w:val="009C2A72"/>
    <w:rsid w:val="009C630A"/>
    <w:rsid w:val="009D448C"/>
    <w:rsid w:val="009E0D98"/>
    <w:rsid w:val="00A068A1"/>
    <w:rsid w:val="00A1207D"/>
    <w:rsid w:val="00A12FD8"/>
    <w:rsid w:val="00A346FC"/>
    <w:rsid w:val="00A46D77"/>
    <w:rsid w:val="00A6376C"/>
    <w:rsid w:val="00A7574E"/>
    <w:rsid w:val="00A846F2"/>
    <w:rsid w:val="00A84F93"/>
    <w:rsid w:val="00AA12FE"/>
    <w:rsid w:val="00AB1AC5"/>
    <w:rsid w:val="00AB3BFC"/>
    <w:rsid w:val="00AC2265"/>
    <w:rsid w:val="00AC4E01"/>
    <w:rsid w:val="00AC4F2E"/>
    <w:rsid w:val="00AD0C37"/>
    <w:rsid w:val="00AD23FF"/>
    <w:rsid w:val="00AD385F"/>
    <w:rsid w:val="00AE3A99"/>
    <w:rsid w:val="00AE6E2A"/>
    <w:rsid w:val="00AF78D5"/>
    <w:rsid w:val="00B03EAB"/>
    <w:rsid w:val="00B31E9C"/>
    <w:rsid w:val="00B35595"/>
    <w:rsid w:val="00B4557E"/>
    <w:rsid w:val="00B51C6D"/>
    <w:rsid w:val="00B57167"/>
    <w:rsid w:val="00B62DF8"/>
    <w:rsid w:val="00B83DD2"/>
    <w:rsid w:val="00B86D64"/>
    <w:rsid w:val="00BA4AC5"/>
    <w:rsid w:val="00BC0CFC"/>
    <w:rsid w:val="00BC1364"/>
    <w:rsid w:val="00BC2667"/>
    <w:rsid w:val="00BC7DE9"/>
    <w:rsid w:val="00BF479B"/>
    <w:rsid w:val="00BF7763"/>
    <w:rsid w:val="00C02577"/>
    <w:rsid w:val="00C06B0B"/>
    <w:rsid w:val="00C204FB"/>
    <w:rsid w:val="00C20BEE"/>
    <w:rsid w:val="00C2158D"/>
    <w:rsid w:val="00C67DD2"/>
    <w:rsid w:val="00C725CB"/>
    <w:rsid w:val="00C7416C"/>
    <w:rsid w:val="00C76F5C"/>
    <w:rsid w:val="00C96BAD"/>
    <w:rsid w:val="00C97DC4"/>
    <w:rsid w:val="00CA6944"/>
    <w:rsid w:val="00CA7818"/>
    <w:rsid w:val="00CB0F8E"/>
    <w:rsid w:val="00CB2E4F"/>
    <w:rsid w:val="00CB7E7D"/>
    <w:rsid w:val="00CC0C86"/>
    <w:rsid w:val="00CC2911"/>
    <w:rsid w:val="00CF0C6D"/>
    <w:rsid w:val="00CF4E81"/>
    <w:rsid w:val="00CF7307"/>
    <w:rsid w:val="00CF7C68"/>
    <w:rsid w:val="00D067F8"/>
    <w:rsid w:val="00D124FA"/>
    <w:rsid w:val="00D340DE"/>
    <w:rsid w:val="00D36E24"/>
    <w:rsid w:val="00D55723"/>
    <w:rsid w:val="00D62FAD"/>
    <w:rsid w:val="00D64355"/>
    <w:rsid w:val="00D65D7A"/>
    <w:rsid w:val="00D70450"/>
    <w:rsid w:val="00D77CAC"/>
    <w:rsid w:val="00D83BFD"/>
    <w:rsid w:val="00D90A38"/>
    <w:rsid w:val="00D926E2"/>
    <w:rsid w:val="00D95739"/>
    <w:rsid w:val="00DA0515"/>
    <w:rsid w:val="00DA171E"/>
    <w:rsid w:val="00DA2C15"/>
    <w:rsid w:val="00DA56AA"/>
    <w:rsid w:val="00DB5833"/>
    <w:rsid w:val="00DB5A1E"/>
    <w:rsid w:val="00DD2858"/>
    <w:rsid w:val="00DF489D"/>
    <w:rsid w:val="00E03E33"/>
    <w:rsid w:val="00E059E0"/>
    <w:rsid w:val="00E26D57"/>
    <w:rsid w:val="00E32B03"/>
    <w:rsid w:val="00E3642A"/>
    <w:rsid w:val="00E415C4"/>
    <w:rsid w:val="00E467C4"/>
    <w:rsid w:val="00E46DAF"/>
    <w:rsid w:val="00E47F08"/>
    <w:rsid w:val="00E50016"/>
    <w:rsid w:val="00E50EAA"/>
    <w:rsid w:val="00E656D6"/>
    <w:rsid w:val="00E977EE"/>
    <w:rsid w:val="00EA2F24"/>
    <w:rsid w:val="00EA45DD"/>
    <w:rsid w:val="00EA5C0E"/>
    <w:rsid w:val="00EA67A2"/>
    <w:rsid w:val="00EB3C50"/>
    <w:rsid w:val="00EB630F"/>
    <w:rsid w:val="00EB6B6F"/>
    <w:rsid w:val="00EC4F98"/>
    <w:rsid w:val="00F12F02"/>
    <w:rsid w:val="00F32DB7"/>
    <w:rsid w:val="00F32E0D"/>
    <w:rsid w:val="00F35134"/>
    <w:rsid w:val="00F37B9C"/>
    <w:rsid w:val="00F41812"/>
    <w:rsid w:val="00F511DD"/>
    <w:rsid w:val="00F56D7F"/>
    <w:rsid w:val="00F715D1"/>
    <w:rsid w:val="00F72715"/>
    <w:rsid w:val="00F73333"/>
    <w:rsid w:val="00F95D8F"/>
    <w:rsid w:val="00FB350A"/>
    <w:rsid w:val="00FB4C5D"/>
    <w:rsid w:val="00FD33D4"/>
    <w:rsid w:val="00FE1C3F"/>
    <w:rsid w:val="00FE731D"/>
    <w:rsid w:val="00FE7F3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6E6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8337E8"/>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8337E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337E8"/>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Table Gridbeth,Summary box,ASD Table"/>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E47F0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47F08"/>
    <w:rPr>
      <w:rFonts w:ascii="Arial Narrow" w:eastAsia="Times New Roman" w:hAnsi="Arial Narrow" w:cs="Tahoma"/>
      <w:b/>
      <w:noProof/>
      <w:sz w:val="20"/>
      <w:szCs w:val="20"/>
    </w:rPr>
  </w:style>
  <w:style w:type="character" w:customStyle="1" w:styleId="ListParagraphChar">
    <w:name w:val="List Paragraph Char"/>
    <w:aliases w:val="Styl moj Char,Akapit z listą1 Char,Akapit z listą11 Char"/>
    <w:link w:val="ListParagraph"/>
    <w:uiPriority w:val="34"/>
    <w:rsid w:val="00E47F08"/>
    <w:rPr>
      <w:rFonts w:eastAsia="Times New Roman"/>
      <w:sz w:val="24"/>
      <w:szCs w:val="20"/>
    </w:rPr>
  </w:style>
  <w:style w:type="paragraph" w:customStyle="1" w:styleId="TableText">
    <w:name w:val="TableText"/>
    <w:basedOn w:val="Normal"/>
    <w:rsid w:val="00E47F08"/>
    <w:pPr>
      <w:keepNext/>
      <w:spacing w:before="60" w:after="60"/>
    </w:pPr>
    <w:rPr>
      <w:color w:val="000000"/>
      <w:sz w:val="21"/>
      <w:szCs w:val="21"/>
    </w:rPr>
  </w:style>
  <w:style w:type="paragraph" w:customStyle="1" w:styleId="BulletBeforeDash">
    <w:name w:val="BulletBeforeDash"/>
    <w:basedOn w:val="Normal"/>
    <w:rsid w:val="00E47F08"/>
    <w:pPr>
      <w:numPr>
        <w:numId w:val="26"/>
      </w:numPr>
      <w:ind w:left="720"/>
    </w:pPr>
    <w:rPr>
      <w:color w:val="000000"/>
    </w:rPr>
  </w:style>
  <w:style w:type="paragraph" w:customStyle="1" w:styleId="Bullet">
    <w:name w:val="Bullet"/>
    <w:basedOn w:val="BulletBeforeDash"/>
    <w:qFormat/>
    <w:rsid w:val="00E47F08"/>
    <w:pPr>
      <w:spacing w:after="120"/>
    </w:pPr>
  </w:style>
  <w:style w:type="paragraph" w:customStyle="1" w:styleId="BulletLast">
    <w:name w:val="BulletLast"/>
    <w:basedOn w:val="Bullet"/>
    <w:qFormat/>
    <w:rsid w:val="00E47F08"/>
    <w:pPr>
      <w:spacing w:after="240"/>
    </w:pPr>
  </w:style>
  <w:style w:type="paragraph" w:customStyle="1" w:styleId="NormalBeforeBullet">
    <w:name w:val="NormalBeforeBullet"/>
    <w:basedOn w:val="Normal"/>
    <w:qFormat/>
    <w:rsid w:val="00E47F08"/>
    <w:pPr>
      <w:keepNext/>
      <w:spacing w:after="120"/>
    </w:pPr>
    <w:rPr>
      <w:color w:val="000000"/>
    </w:rPr>
  </w:style>
  <w:style w:type="paragraph" w:styleId="BodyText">
    <w:name w:val="Body Text"/>
    <w:basedOn w:val="Normal"/>
    <w:link w:val="BodyTextChar"/>
    <w:uiPriority w:val="99"/>
    <w:qFormat/>
    <w:rsid w:val="00E47F08"/>
    <w:pPr>
      <w:spacing w:after="200"/>
      <w:jc w:val="both"/>
    </w:pPr>
    <w:rPr>
      <w:rFonts w:asciiTheme="minorHAnsi" w:eastAsia="Calibri" w:hAnsiTheme="minorHAnsi" w:cstheme="minorHAnsi"/>
      <w:sz w:val="22"/>
      <w:szCs w:val="22"/>
    </w:rPr>
  </w:style>
  <w:style w:type="character" w:customStyle="1" w:styleId="BodyTextChar">
    <w:name w:val="Body Text Char"/>
    <w:basedOn w:val="DefaultParagraphFont"/>
    <w:link w:val="BodyText"/>
    <w:uiPriority w:val="99"/>
    <w:rsid w:val="00E47F08"/>
    <w:rPr>
      <w:rFonts w:asciiTheme="minorHAnsi" w:hAnsiTheme="minorHAnsi" w:cstheme="minorHAnsi"/>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D36E24"/>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D36E24"/>
    <w:rPr>
      <w:rFonts w:ascii="Arial Narrow" w:eastAsia="Times New Roman" w:hAnsi="Arial Narrow" w:cs="Arial"/>
      <w:b/>
      <w:bCs/>
      <w:iCs/>
      <w:sz w:val="20"/>
      <w:szCs w:val="20"/>
      <w:lang w:eastAsia="en-US"/>
    </w:rPr>
  </w:style>
  <w:style w:type="paragraph" w:customStyle="1" w:styleId="TableNote">
    <w:name w:val="Table Note"/>
    <w:basedOn w:val="Normal"/>
    <w:qFormat/>
    <w:rsid w:val="00D36E24"/>
    <w:pPr>
      <w:keepLines/>
      <w:spacing w:before="40" w:after="360"/>
      <w:contextualSpacing/>
    </w:pPr>
    <w:rPr>
      <w:rFonts w:ascii="Arial Narrow" w:eastAsiaTheme="minorHAnsi" w:hAnsi="Arial Narrow"/>
      <w:noProof/>
      <w:sz w:val="18"/>
      <w:szCs w:val="18"/>
      <w:lang w:eastAsia="en-US"/>
    </w:rPr>
  </w:style>
  <w:style w:type="paragraph" w:customStyle="1" w:styleId="Tabletext0">
    <w:name w:val="Table text"/>
    <w:basedOn w:val="Normal"/>
    <w:link w:val="TabletextChar"/>
    <w:qFormat/>
    <w:rsid w:val="00D36E24"/>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D36E24"/>
    <w:rPr>
      <w:rFonts w:ascii="Arial Narrow" w:eastAsia="Times New Roman" w:hAnsi="Arial Narrow"/>
      <w:sz w:val="20"/>
      <w:szCs w:val="24"/>
      <w:lang w:eastAsia="en-US"/>
    </w:rPr>
  </w:style>
  <w:style w:type="paragraph" w:customStyle="1" w:styleId="Tabletextright">
    <w:name w:val="Table text right"/>
    <w:basedOn w:val="Normal"/>
    <w:link w:val="TabletextrightChar"/>
    <w:rsid w:val="00D36E24"/>
    <w:pPr>
      <w:keepNext/>
      <w:spacing w:before="240"/>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D36E24"/>
    <w:rPr>
      <w:rFonts w:ascii="Arial Narrow" w:eastAsia="Times New Roman" w:hAnsi="Arial Narrow" w:cs="Arial"/>
      <w:sz w:val="20"/>
      <w:szCs w:val="20"/>
      <w:lang w:eastAsia="en-US"/>
    </w:rPr>
  </w:style>
  <w:style w:type="character" w:customStyle="1" w:styleId="normaltextrun">
    <w:name w:val="normaltextrun"/>
    <w:basedOn w:val="DefaultParagraphFont"/>
    <w:rsid w:val="00D36E24"/>
  </w:style>
  <w:style w:type="character" w:customStyle="1" w:styleId="Heading3Char">
    <w:name w:val="Heading 3 Char"/>
    <w:basedOn w:val="DefaultParagraphFont"/>
    <w:link w:val="Heading3"/>
    <w:semiHidden/>
    <w:rsid w:val="008337E8"/>
    <w:rPr>
      <w:rFonts w:asciiTheme="majorHAnsi" w:eastAsiaTheme="majorEastAsia" w:hAnsiTheme="majorHAnsi" w:cstheme="majorBidi"/>
      <w:color w:val="243F60" w:themeColor="accent1" w:themeShade="7F"/>
      <w:sz w:val="24"/>
      <w:szCs w:val="24"/>
    </w:rPr>
  </w:style>
  <w:style w:type="character" w:customStyle="1" w:styleId="EStextChar">
    <w:name w:val="ES text Char"/>
    <w:basedOn w:val="DefaultParagraphFont"/>
    <w:link w:val="EStext"/>
    <w:locked/>
    <w:rsid w:val="008337E8"/>
    <w:rPr>
      <w:rFonts w:ascii="Calibri" w:hAnsi="Calibri" w:cs="Tahoma"/>
    </w:rPr>
  </w:style>
  <w:style w:type="paragraph" w:customStyle="1" w:styleId="EStext">
    <w:name w:val="ES text"/>
    <w:basedOn w:val="Normal"/>
    <w:link w:val="EStextChar"/>
    <w:qFormat/>
    <w:rsid w:val="008337E8"/>
    <w:pPr>
      <w:spacing w:after="120"/>
      <w:jc w:val="both"/>
    </w:pPr>
    <w:rPr>
      <w:rFonts w:ascii="Calibri" w:eastAsia="Calibri" w:hAnsi="Calibri" w:cs="Tahoma"/>
      <w:sz w:val="22"/>
      <w:szCs w:val="22"/>
    </w:rPr>
  </w:style>
  <w:style w:type="table" w:customStyle="1" w:styleId="TableGrid1">
    <w:name w:val="Table Grid1"/>
    <w:basedOn w:val="TableNormal"/>
    <w:next w:val="TableGrid"/>
    <w:rsid w:val="009A745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boto" w:hAnsi="Roboto"/>
        <w:b w:val="0"/>
        <w:sz w:val="20"/>
      </w:rPr>
    </w:tblStylePr>
  </w:style>
  <w:style w:type="paragraph" w:customStyle="1" w:styleId="Comment">
    <w:name w:val="Comment"/>
    <w:basedOn w:val="Normal"/>
    <w:link w:val="CommentChar"/>
    <w:qFormat/>
    <w:rsid w:val="009A745A"/>
    <w:pPr>
      <w:tabs>
        <w:tab w:val="num" w:pos="720"/>
      </w:tabs>
      <w:spacing w:before="240"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9A745A"/>
    <w:rPr>
      <w:rFonts w:ascii="Calibri" w:eastAsia="Times New Roman" w:hAnsi="Calibri" w:cs="Tahoma"/>
      <w:i/>
    </w:rPr>
  </w:style>
  <w:style w:type="character" w:styleId="IntenseReference">
    <w:name w:val="Intense Reference"/>
    <w:basedOn w:val="DefaultParagraphFont"/>
    <w:uiPriority w:val="32"/>
    <w:qFormat/>
    <w:rsid w:val="009A745A"/>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05374">
      <w:bodyDiv w:val="1"/>
      <w:marLeft w:val="0"/>
      <w:marRight w:val="0"/>
      <w:marTop w:val="0"/>
      <w:marBottom w:val="0"/>
      <w:divBdr>
        <w:top w:val="none" w:sz="0" w:space="0" w:color="auto"/>
        <w:left w:val="none" w:sz="0" w:space="0" w:color="auto"/>
        <w:bottom w:val="none" w:sz="0" w:space="0" w:color="auto"/>
        <w:right w:val="none" w:sz="0" w:space="0" w:color="auto"/>
      </w:divBdr>
      <w:divsChild>
        <w:div w:id="124279114">
          <w:marLeft w:val="547"/>
          <w:marRight w:val="0"/>
          <w:marTop w:val="96"/>
          <w:marBottom w:val="0"/>
          <w:divBdr>
            <w:top w:val="none" w:sz="0" w:space="0" w:color="auto"/>
            <w:left w:val="none" w:sz="0" w:space="0" w:color="auto"/>
            <w:bottom w:val="none" w:sz="0" w:space="0" w:color="auto"/>
            <w:right w:val="none" w:sz="0" w:space="0" w:color="auto"/>
          </w:divBdr>
        </w:div>
      </w:divsChild>
    </w:div>
    <w:div w:id="79039448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29C44FD0455B10B4CA25801000123B5C/$File/1109-One-Page-Summary-Accessible.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msac.gov.au/internet/msac/publishing.nsf/Content/17E39DC9F1DE6FB4CA25850B00045325/$File/1614%20Ratified%20PICO.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linicaltrials.gov/ct2/show/study/NCT03100474?term=NCT03100474&amp;draw=2&amp;rank=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sac.gov.au/internet/msac/publishing.nsf/Content/17E39DC9F1DE6FB4CA25850B00045325/$File/1614%20Ratified%20PICO.docx" TargetMode="External"/><Relationship Id="rId14" Type="http://schemas.openxmlformats.org/officeDocument/2006/relationships/hyperlink" Target="http://www.msac.gov.au/internet/msac/publishing.nsf/Content/29C44FD0455B10B4CA25801000123B5C/$File/1109-Assessment-Report.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10307</Words>
  <Characters>63508</Characters>
  <Application>Microsoft Office Word</Application>
  <DocSecurity>0</DocSecurity>
  <Lines>529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2021-06-15T02:15:00Z</dcterms:created>
  <dcterms:modified xsi:type="dcterms:W3CDTF">2021-06-15T05:50:00Z</dcterms:modified>
</cp:coreProperties>
</file>