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34A9A" w14:textId="77777777" w:rsidR="00E44B80" w:rsidRPr="00F637B3" w:rsidRDefault="00E44B80" w:rsidP="00E44B80">
      <w:pPr>
        <w:jc w:val="center"/>
        <w:rPr>
          <w:b/>
          <w:szCs w:val="20"/>
        </w:rPr>
      </w:pPr>
      <w:r w:rsidRPr="00F637B3">
        <w:rPr>
          <w:b/>
          <w:noProof/>
          <w:szCs w:val="20"/>
          <w:lang w:eastAsia="en-AU"/>
        </w:rPr>
        <w:drawing>
          <wp:inline distT="0" distB="0" distL="0" distR="0" wp14:anchorId="568D9D40" wp14:editId="11D673F3">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981E524" w14:textId="77777777" w:rsidR="008B2610" w:rsidRDefault="008B2610" w:rsidP="00F971CC">
      <w:pPr>
        <w:pStyle w:val="Title"/>
        <w:spacing w:before="2600"/>
      </w:pPr>
      <w:r w:rsidRPr="001906CD">
        <w:t>Application Form</w:t>
      </w:r>
    </w:p>
    <w:p w14:paraId="77405ED5" w14:textId="77777777" w:rsidR="0056015F" w:rsidRDefault="0056015F" w:rsidP="0056015F"/>
    <w:p w14:paraId="71425F9D" w14:textId="11F3DC48" w:rsidR="00AF5D68" w:rsidRPr="006E67F9" w:rsidRDefault="006E67F9" w:rsidP="00D73646">
      <w:pPr>
        <w:pStyle w:val="Title"/>
        <w:spacing w:before="240"/>
        <w:rPr>
          <w:color w:val="548DD4" w:themeColor="text2" w:themeTint="99"/>
          <w:sz w:val="48"/>
          <w:szCs w:val="48"/>
        </w:rPr>
      </w:pPr>
      <w:r w:rsidRPr="006E67F9">
        <w:rPr>
          <w:color w:val="548DD4" w:themeColor="text2" w:themeTint="99"/>
          <w:sz w:val="48"/>
          <w:szCs w:val="48"/>
        </w:rPr>
        <w:t>Magnetic Resonance-Guided Focused Ultrasound (</w:t>
      </w:r>
      <w:proofErr w:type="spellStart"/>
      <w:r w:rsidR="00AF5D68" w:rsidRPr="006E67F9">
        <w:rPr>
          <w:color w:val="548DD4" w:themeColor="text2" w:themeTint="99"/>
          <w:sz w:val="48"/>
          <w:szCs w:val="48"/>
        </w:rPr>
        <w:t>MRgFUS</w:t>
      </w:r>
      <w:proofErr w:type="spellEnd"/>
      <w:r w:rsidRPr="006E67F9">
        <w:rPr>
          <w:color w:val="548DD4" w:themeColor="text2" w:themeTint="99"/>
          <w:sz w:val="48"/>
          <w:szCs w:val="48"/>
        </w:rPr>
        <w:t>)</w:t>
      </w:r>
      <w:r w:rsidR="00AF5D68" w:rsidRPr="006E67F9">
        <w:rPr>
          <w:color w:val="548DD4" w:themeColor="text2" w:themeTint="99"/>
          <w:sz w:val="48"/>
          <w:szCs w:val="48"/>
        </w:rPr>
        <w:t xml:space="preserve"> for the </w:t>
      </w:r>
      <w:r w:rsidRPr="006E67F9">
        <w:rPr>
          <w:color w:val="548DD4" w:themeColor="text2" w:themeTint="99"/>
          <w:sz w:val="48"/>
          <w:szCs w:val="48"/>
        </w:rPr>
        <w:t>T</w:t>
      </w:r>
      <w:r w:rsidR="00AF5D68" w:rsidRPr="006E67F9">
        <w:rPr>
          <w:color w:val="548DD4" w:themeColor="text2" w:themeTint="99"/>
          <w:sz w:val="48"/>
          <w:szCs w:val="48"/>
        </w:rPr>
        <w:t>reatment of Medically Refractory Essential Tremor</w:t>
      </w:r>
      <w:r w:rsidR="004923DC">
        <w:rPr>
          <w:color w:val="548DD4" w:themeColor="text2" w:themeTint="99"/>
          <w:sz w:val="48"/>
          <w:szCs w:val="48"/>
        </w:rPr>
        <w:t xml:space="preserve"> (ET)</w:t>
      </w:r>
    </w:p>
    <w:p w14:paraId="549E54C6" w14:textId="31C4368F" w:rsidR="00E44B80" w:rsidRPr="00D73646" w:rsidRDefault="00E44B80" w:rsidP="00D73646">
      <w:pPr>
        <w:pStyle w:val="Title"/>
        <w:spacing w:before="240"/>
        <w:rPr>
          <w:sz w:val="28"/>
          <w:szCs w:val="28"/>
        </w:rPr>
      </w:pPr>
      <w:r w:rsidRPr="00D73646">
        <w:rPr>
          <w:sz w:val="28"/>
          <w:szCs w:val="28"/>
        </w:rPr>
        <w:t>(</w:t>
      </w:r>
      <w:r w:rsidR="001906CD" w:rsidRPr="00D73646">
        <w:rPr>
          <w:sz w:val="28"/>
          <w:szCs w:val="28"/>
        </w:rPr>
        <w:t xml:space="preserve">New </w:t>
      </w:r>
      <w:r w:rsidR="00554E7A">
        <w:rPr>
          <w:sz w:val="28"/>
          <w:szCs w:val="28"/>
        </w:rPr>
        <w:t>Request</w:t>
      </w:r>
      <w:r w:rsidR="003433D1" w:rsidRPr="00D73646">
        <w:rPr>
          <w:sz w:val="28"/>
          <w:szCs w:val="28"/>
        </w:rPr>
        <w:t xml:space="preserve"> for Public Funding</w:t>
      </w:r>
      <w:r w:rsidR="008B2610" w:rsidRPr="00D73646">
        <w:rPr>
          <w:sz w:val="28"/>
          <w:szCs w:val="28"/>
        </w:rPr>
        <w:t>)</w:t>
      </w:r>
    </w:p>
    <w:p w14:paraId="1B3FD3BB"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7AAA649A"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5E26692" w14:textId="308B6A5E"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192E03">
        <w:t>Not applicable</w:t>
      </w:r>
    </w:p>
    <w:p w14:paraId="0985EE59" w14:textId="641938BA" w:rsidR="00C171FB" w:rsidRPr="00AF7AAC" w:rsidRDefault="00C171FB" w:rsidP="00C171FB">
      <w:pPr>
        <w:pBdr>
          <w:top w:val="single" w:sz="4" w:space="1" w:color="auto"/>
          <w:left w:val="single" w:sz="4" w:space="4" w:color="auto"/>
          <w:bottom w:val="single" w:sz="4" w:space="1" w:color="auto"/>
          <w:right w:val="single" w:sz="4" w:space="4" w:color="auto"/>
        </w:pBdr>
        <w:rPr>
          <w:color w:val="0070C0"/>
        </w:rPr>
      </w:pPr>
      <w:r>
        <w:t xml:space="preserve">Corporation name: </w:t>
      </w:r>
      <w:proofErr w:type="spellStart"/>
      <w:r w:rsidR="00AF5D68" w:rsidRPr="00AF7AAC">
        <w:rPr>
          <w:color w:val="0070C0"/>
        </w:rPr>
        <w:t>Insightec</w:t>
      </w:r>
      <w:proofErr w:type="spellEnd"/>
      <w:r w:rsidR="00AF5D68" w:rsidRPr="00AF7AAC">
        <w:rPr>
          <w:color w:val="0070C0"/>
        </w:rPr>
        <w:t xml:space="preserve"> Ltd</w:t>
      </w:r>
    </w:p>
    <w:p w14:paraId="721570D2" w14:textId="77DD8CEA" w:rsidR="00C171FB" w:rsidRPr="00AF7AAC" w:rsidRDefault="00C171FB" w:rsidP="00C171FB">
      <w:pPr>
        <w:pBdr>
          <w:top w:val="single" w:sz="4" w:space="1" w:color="auto"/>
          <w:left w:val="single" w:sz="4" w:space="4" w:color="auto"/>
          <w:bottom w:val="single" w:sz="4" w:space="1" w:color="auto"/>
          <w:right w:val="single" w:sz="4" w:space="4" w:color="auto"/>
        </w:pBdr>
        <w:rPr>
          <w:color w:val="0070C0"/>
        </w:rPr>
      </w:pPr>
      <w:r>
        <w:t xml:space="preserve">ABN: </w:t>
      </w:r>
      <w:r w:rsidR="00AF5D68" w:rsidRPr="00AF7AAC">
        <w:rPr>
          <w:color w:val="0070C0"/>
        </w:rPr>
        <w:t>N/A</w:t>
      </w:r>
    </w:p>
    <w:p w14:paraId="3B9613BD" w14:textId="75E55CB1" w:rsidR="00C171FB" w:rsidRPr="0041089F" w:rsidRDefault="00C171FB" w:rsidP="00C171FB">
      <w:pPr>
        <w:pBdr>
          <w:top w:val="single" w:sz="4" w:space="1" w:color="auto"/>
          <w:left w:val="single" w:sz="4" w:space="4" w:color="auto"/>
          <w:bottom w:val="single" w:sz="4" w:space="1" w:color="auto"/>
          <w:right w:val="single" w:sz="4" w:space="4" w:color="auto"/>
        </w:pBdr>
        <w:rPr>
          <w:color w:val="0070C0"/>
        </w:rPr>
      </w:pPr>
      <w:r w:rsidRPr="0041089F">
        <w:t xml:space="preserve">Business trading name: </w:t>
      </w:r>
      <w:proofErr w:type="spellStart"/>
      <w:r w:rsidR="00AF5D68" w:rsidRPr="0041089F">
        <w:rPr>
          <w:color w:val="0070C0"/>
        </w:rPr>
        <w:t>Insightec</w:t>
      </w:r>
      <w:proofErr w:type="spellEnd"/>
      <w:r w:rsidR="00192E03" w:rsidRPr="0041089F">
        <w:rPr>
          <w:color w:val="0070C0"/>
        </w:rPr>
        <w:t xml:space="preserve"> Ltd</w:t>
      </w:r>
    </w:p>
    <w:p w14:paraId="077FFF6C" w14:textId="77777777" w:rsidR="00C171FB" w:rsidRPr="0041089F" w:rsidRDefault="00C171FB" w:rsidP="00C171FB"/>
    <w:p w14:paraId="547689D5" w14:textId="4F01B78A" w:rsidR="00C171FB" w:rsidRPr="0041089F" w:rsidRDefault="00C171FB" w:rsidP="00C171FB">
      <w:pPr>
        <w:rPr>
          <w:b/>
        </w:rPr>
      </w:pPr>
      <w:r w:rsidRPr="0041089F">
        <w:rPr>
          <w:b/>
        </w:rPr>
        <w:t xml:space="preserve">Primary contact name: </w:t>
      </w:r>
      <w:r w:rsidR="0041089F" w:rsidRPr="0041089F">
        <w:t>REDACTED</w:t>
      </w:r>
    </w:p>
    <w:p w14:paraId="629281AD" w14:textId="77777777" w:rsidR="00C171FB" w:rsidRPr="0041089F" w:rsidRDefault="00C171FB" w:rsidP="00C171FB">
      <w:pPr>
        <w:pBdr>
          <w:top w:val="single" w:sz="4" w:space="1" w:color="auto"/>
          <w:left w:val="single" w:sz="4" w:space="4" w:color="auto"/>
          <w:bottom w:val="single" w:sz="4" w:space="1" w:color="auto"/>
          <w:right w:val="single" w:sz="4" w:space="4" w:color="auto"/>
        </w:pBdr>
      </w:pPr>
      <w:r w:rsidRPr="0041089F">
        <w:t>Primary contact numbers</w:t>
      </w:r>
    </w:p>
    <w:p w14:paraId="2985A6C3" w14:textId="5DE8D784" w:rsidR="00C171FB" w:rsidRPr="0041089F" w:rsidRDefault="00C171FB" w:rsidP="00C171FB">
      <w:pPr>
        <w:pBdr>
          <w:top w:val="single" w:sz="4" w:space="1" w:color="auto"/>
          <w:left w:val="single" w:sz="4" w:space="4" w:color="auto"/>
          <w:bottom w:val="single" w:sz="4" w:space="1" w:color="auto"/>
          <w:right w:val="single" w:sz="4" w:space="4" w:color="auto"/>
        </w:pBdr>
      </w:pPr>
      <w:r w:rsidRPr="0041089F">
        <w:t xml:space="preserve">Business: </w:t>
      </w:r>
      <w:r w:rsidR="0041089F" w:rsidRPr="0041089F">
        <w:t>REDACTED</w:t>
      </w:r>
      <w:r w:rsidR="00CE2C0E" w:rsidRPr="0041089F">
        <w:t xml:space="preserve"> </w:t>
      </w:r>
    </w:p>
    <w:p w14:paraId="075B4350" w14:textId="2AC57475" w:rsidR="00C171FB" w:rsidRPr="0041089F" w:rsidRDefault="00C171FB" w:rsidP="00C171FB">
      <w:pPr>
        <w:pBdr>
          <w:top w:val="single" w:sz="4" w:space="1" w:color="auto"/>
          <w:left w:val="single" w:sz="4" w:space="4" w:color="auto"/>
          <w:bottom w:val="single" w:sz="4" w:space="1" w:color="auto"/>
          <w:right w:val="single" w:sz="4" w:space="4" w:color="auto"/>
        </w:pBdr>
      </w:pPr>
      <w:r w:rsidRPr="0041089F">
        <w:t>Mobile:</w:t>
      </w:r>
      <w:r w:rsidR="00AF7AAC" w:rsidRPr="0041089F">
        <w:t xml:space="preserve"> </w:t>
      </w:r>
      <w:r w:rsidR="0041089F" w:rsidRPr="0041089F">
        <w:t>REDACTED</w:t>
      </w:r>
    </w:p>
    <w:p w14:paraId="5331F794" w14:textId="4940C01C" w:rsidR="00C171FB" w:rsidRPr="0041089F" w:rsidRDefault="00C171FB" w:rsidP="00C171FB">
      <w:pPr>
        <w:pBdr>
          <w:top w:val="single" w:sz="4" w:space="1" w:color="auto"/>
          <w:left w:val="single" w:sz="4" w:space="4" w:color="auto"/>
          <w:bottom w:val="single" w:sz="4" w:space="1" w:color="auto"/>
          <w:right w:val="single" w:sz="4" w:space="4" w:color="auto"/>
        </w:pBdr>
      </w:pPr>
      <w:r w:rsidRPr="0041089F">
        <w:t xml:space="preserve">Email: </w:t>
      </w:r>
      <w:r w:rsidR="0041089F" w:rsidRPr="0041089F">
        <w:t>REDACTED</w:t>
      </w:r>
    </w:p>
    <w:p w14:paraId="3EF3C65A" w14:textId="77777777" w:rsidR="00C171FB" w:rsidRPr="0041089F" w:rsidRDefault="00C171FB" w:rsidP="00C171FB">
      <w:pPr>
        <w:rPr>
          <w:b/>
        </w:rPr>
      </w:pPr>
    </w:p>
    <w:p w14:paraId="290D3F84" w14:textId="0363C77B" w:rsidR="00C171FB" w:rsidRPr="0041089F" w:rsidRDefault="00C171FB" w:rsidP="00C171FB">
      <w:pPr>
        <w:rPr>
          <w:b/>
        </w:rPr>
      </w:pPr>
      <w:r w:rsidRPr="0041089F">
        <w:rPr>
          <w:b/>
        </w:rPr>
        <w:t xml:space="preserve">Alternative contact name: </w:t>
      </w:r>
      <w:r w:rsidR="0041089F" w:rsidRPr="0041089F">
        <w:t>REDACTED</w:t>
      </w:r>
    </w:p>
    <w:p w14:paraId="7C4A761A" w14:textId="77777777" w:rsidR="00C171FB" w:rsidRPr="0041089F" w:rsidRDefault="00C171FB" w:rsidP="0041089F">
      <w:pPr>
        <w:pBdr>
          <w:top w:val="single" w:sz="4" w:space="1" w:color="auto"/>
          <w:left w:val="single" w:sz="4" w:space="4" w:color="auto"/>
          <w:bottom w:val="single" w:sz="4" w:space="0" w:color="auto"/>
          <w:right w:val="single" w:sz="4" w:space="4" w:color="auto"/>
        </w:pBdr>
      </w:pPr>
      <w:r w:rsidRPr="0041089F">
        <w:t>Alternative contact numbers</w:t>
      </w:r>
      <w:r w:rsidRPr="0041089F">
        <w:tab/>
      </w:r>
    </w:p>
    <w:p w14:paraId="14E1ADBC" w14:textId="7A0FC5DE" w:rsidR="00192E03" w:rsidRPr="0041089F" w:rsidRDefault="00C171FB" w:rsidP="0041089F">
      <w:pPr>
        <w:pBdr>
          <w:top w:val="single" w:sz="4" w:space="1" w:color="auto"/>
          <w:left w:val="single" w:sz="4" w:space="4" w:color="auto"/>
          <w:bottom w:val="single" w:sz="4" w:space="0" w:color="auto"/>
          <w:right w:val="single" w:sz="4" w:space="4" w:color="auto"/>
        </w:pBdr>
      </w:pPr>
      <w:r w:rsidRPr="0041089F">
        <w:t xml:space="preserve">Business: </w:t>
      </w:r>
      <w:r w:rsidR="0041089F" w:rsidRPr="0041089F">
        <w:t>REDACTED</w:t>
      </w:r>
    </w:p>
    <w:p w14:paraId="30D2B2B4" w14:textId="1ABC17EB" w:rsidR="00192E03" w:rsidRPr="0041089F" w:rsidRDefault="00192E03" w:rsidP="0041089F">
      <w:pPr>
        <w:pBdr>
          <w:top w:val="single" w:sz="4" w:space="1" w:color="auto"/>
          <w:left w:val="single" w:sz="4" w:space="4" w:color="auto"/>
          <w:bottom w:val="single" w:sz="4" w:space="0" w:color="auto"/>
          <w:right w:val="single" w:sz="4" w:space="4" w:color="auto"/>
        </w:pBdr>
      </w:pPr>
      <w:r w:rsidRPr="0041089F">
        <w:t xml:space="preserve">Mobile: </w:t>
      </w:r>
      <w:r w:rsidR="0041089F" w:rsidRPr="0041089F">
        <w:t>REDACTED</w:t>
      </w:r>
    </w:p>
    <w:p w14:paraId="7EEF6A5C" w14:textId="0E815F5E" w:rsidR="00915735" w:rsidRPr="00AF7AAC" w:rsidRDefault="00192E03" w:rsidP="0041089F">
      <w:pPr>
        <w:pBdr>
          <w:top w:val="single" w:sz="4" w:space="1" w:color="auto"/>
          <w:left w:val="single" w:sz="4" w:space="4" w:color="auto"/>
          <w:bottom w:val="single" w:sz="4" w:space="0" w:color="auto"/>
          <w:right w:val="single" w:sz="4" w:space="4" w:color="auto"/>
        </w:pBdr>
        <w:rPr>
          <w:color w:val="0070C0"/>
        </w:rPr>
      </w:pPr>
      <w:r w:rsidRPr="0041089F">
        <w:t xml:space="preserve">Email: </w:t>
      </w:r>
      <w:r w:rsidR="0041089F" w:rsidRPr="0041089F">
        <w:t>REDACTED</w:t>
      </w:r>
    </w:p>
    <w:p w14:paraId="64E054E2" w14:textId="77777777" w:rsidR="00C171FB" w:rsidRPr="00C171FB" w:rsidRDefault="00C171FB" w:rsidP="00C171FB"/>
    <w:p w14:paraId="0D255FC2" w14:textId="77777777" w:rsidR="00534C5F" w:rsidRPr="00154B00" w:rsidRDefault="00494011" w:rsidP="004A0BF4">
      <w:pPr>
        <w:pStyle w:val="Heading2"/>
      </w:pPr>
      <w:r>
        <w:t xml:space="preserve">(a) </w:t>
      </w:r>
      <w:r w:rsidR="00534C5F">
        <w:t>Are you a lobbyist acting on behalf of an Applicant?</w:t>
      </w:r>
    </w:p>
    <w:p w14:paraId="6DD76067" w14:textId="0B351F18" w:rsidR="00A6491A" w:rsidRDefault="00B037DE"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A6491A">
        <w:rPr>
          <w:szCs w:val="20"/>
        </w:rPr>
        <w:t xml:space="preserve"> Yes</w:t>
      </w:r>
      <w:r w:rsidR="00F47297">
        <w:rPr>
          <w:szCs w:val="20"/>
        </w:rPr>
        <w:t xml:space="preserve"> (REDACTED)</w:t>
      </w:r>
    </w:p>
    <w:p w14:paraId="7A9A41D5" w14:textId="72307935" w:rsidR="00A6491A" w:rsidRPr="00753C44" w:rsidRDefault="00B037DE" w:rsidP="00A6491A">
      <w:pPr>
        <w:spacing w:before="0" w:after="0"/>
        <w:ind w:left="426"/>
        <w:rPr>
          <w:szCs w:val="20"/>
        </w:rPr>
      </w:pPr>
      <w:r>
        <w:rPr>
          <w:szCs w:val="20"/>
        </w:rPr>
        <w:fldChar w:fldCharType="begin">
          <w:ffData>
            <w:name w:val="Check2"/>
            <w:enabled/>
            <w:calcOnExit w:val="0"/>
            <w:checkBox>
              <w:sizeAuto/>
              <w:default w:val="0"/>
            </w:checkBox>
          </w:ffData>
        </w:fldChar>
      </w:r>
      <w:r>
        <w:rPr>
          <w:szCs w:val="20"/>
        </w:rPr>
        <w:instrText xml:space="preserve"> </w:instrText>
      </w:r>
      <w:bookmarkStart w:id="1" w:name="Check2"/>
      <w:r>
        <w:rPr>
          <w:szCs w:val="20"/>
        </w:rPr>
        <w:instrText xml:space="preserve">FORMCHECKBOX </w:instrText>
      </w:r>
      <w:r w:rsidR="00505853">
        <w:rPr>
          <w:szCs w:val="20"/>
        </w:rPr>
      </w:r>
      <w:r w:rsidR="00505853">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0ADC704F" w14:textId="4C862F21" w:rsidR="00534C5F" w:rsidRDefault="00534C5F" w:rsidP="00580219">
      <w:pPr>
        <w:pStyle w:val="Heading2"/>
        <w:numPr>
          <w:ilvl w:val="0"/>
          <w:numId w:val="2"/>
        </w:numPr>
      </w:pPr>
      <w:r w:rsidRPr="00154B00">
        <w:t xml:space="preserve">If yes, </w:t>
      </w:r>
      <w:r>
        <w:t xml:space="preserve">are </w:t>
      </w:r>
      <w:r w:rsidRPr="00FE33A6">
        <w:t>you</w:t>
      </w:r>
      <w:r>
        <w:t xml:space="preserve"> listed on the Register of Lobbyists?</w:t>
      </w:r>
    </w:p>
    <w:p w14:paraId="45CD37C7" w14:textId="1249CA5F" w:rsidR="00A6491A" w:rsidRDefault="00915735"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A6491A">
        <w:rPr>
          <w:szCs w:val="20"/>
        </w:rPr>
        <w:t xml:space="preserve"> Yes</w:t>
      </w:r>
    </w:p>
    <w:p w14:paraId="6CE1A628"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5853">
        <w:rPr>
          <w:szCs w:val="20"/>
        </w:rPr>
      </w:r>
      <w:r w:rsidR="00505853">
        <w:rPr>
          <w:szCs w:val="20"/>
        </w:rPr>
        <w:fldChar w:fldCharType="separate"/>
      </w:r>
      <w:r w:rsidRPr="00753C44">
        <w:rPr>
          <w:szCs w:val="20"/>
        </w:rPr>
        <w:fldChar w:fldCharType="end"/>
      </w:r>
      <w:r>
        <w:rPr>
          <w:szCs w:val="20"/>
        </w:rPr>
        <w:t xml:space="preserve"> No</w:t>
      </w:r>
      <w:r w:rsidRPr="00753C44">
        <w:rPr>
          <w:szCs w:val="20"/>
        </w:rPr>
        <w:t xml:space="preserve">  </w:t>
      </w:r>
    </w:p>
    <w:p w14:paraId="27B036B5" w14:textId="77777777" w:rsidR="00E04FB3" w:rsidRDefault="00E04FB3" w:rsidP="005C333E">
      <w:pPr>
        <w:spacing w:before="0" w:after="0"/>
        <w:ind w:left="426"/>
        <w:rPr>
          <w:b/>
          <w:szCs w:val="20"/>
        </w:rPr>
      </w:pPr>
      <w:r w:rsidRPr="00154B00">
        <w:rPr>
          <w:b/>
          <w:szCs w:val="20"/>
        </w:rPr>
        <w:br w:type="page"/>
      </w:r>
    </w:p>
    <w:p w14:paraId="2E2F8011"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6F50DC7F" w14:textId="77777777" w:rsidR="000B3CD0" w:rsidRDefault="000B3CD0" w:rsidP="00730C04">
      <w:pPr>
        <w:pStyle w:val="Heading2"/>
      </w:pPr>
      <w:r w:rsidRPr="00154B00">
        <w:t>Application title</w:t>
      </w:r>
      <w:r w:rsidR="00A8732C">
        <w:t xml:space="preserve"> </w:t>
      </w:r>
    </w:p>
    <w:p w14:paraId="5B6BCB5A" w14:textId="5B2D35B3" w:rsidR="00CE2C0E" w:rsidRPr="00CE2C0E" w:rsidRDefault="006E67F9" w:rsidP="004923DC">
      <w:pPr>
        <w:ind w:left="284"/>
        <w:rPr>
          <w:color w:val="0070C0"/>
        </w:rPr>
      </w:pPr>
      <w:r>
        <w:rPr>
          <w:color w:val="0070C0"/>
        </w:rPr>
        <w:t>Magnetic Resonance-Guided Focussed Ultrasound (</w:t>
      </w:r>
      <w:proofErr w:type="spellStart"/>
      <w:r w:rsidR="00CE2C0E" w:rsidRPr="00CE2C0E">
        <w:rPr>
          <w:color w:val="0070C0"/>
        </w:rPr>
        <w:t>MRgFUS</w:t>
      </w:r>
      <w:proofErr w:type="spellEnd"/>
      <w:r>
        <w:rPr>
          <w:color w:val="0070C0"/>
        </w:rPr>
        <w:t>)</w:t>
      </w:r>
      <w:r w:rsidR="00CE2C0E" w:rsidRPr="00CE2C0E">
        <w:rPr>
          <w:color w:val="0070C0"/>
        </w:rPr>
        <w:t xml:space="preserve"> for the treatment of Medically Refractory Essential Tremor</w:t>
      </w:r>
      <w:r w:rsidR="004923DC">
        <w:rPr>
          <w:color w:val="0070C0"/>
        </w:rPr>
        <w:t xml:space="preserve"> (ET)</w:t>
      </w:r>
    </w:p>
    <w:p w14:paraId="723791F9"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3E5D77F" w14:textId="67A302D8" w:rsidR="0070388B" w:rsidRDefault="0070388B" w:rsidP="0070388B">
      <w:pPr>
        <w:ind w:left="284"/>
        <w:rPr>
          <w:color w:val="0070C0"/>
        </w:rPr>
      </w:pPr>
      <w:r>
        <w:rPr>
          <w:color w:val="0070C0"/>
        </w:rPr>
        <w:t>ET</w:t>
      </w:r>
      <w:r w:rsidRPr="0070388B">
        <w:rPr>
          <w:color w:val="0070C0"/>
        </w:rPr>
        <w:t xml:space="preserve"> is a chronic, progressive </w:t>
      </w:r>
      <w:r>
        <w:rPr>
          <w:color w:val="0070C0"/>
        </w:rPr>
        <w:t>neurological con</w:t>
      </w:r>
      <w:r w:rsidRPr="0070388B">
        <w:rPr>
          <w:color w:val="0070C0"/>
        </w:rPr>
        <w:t xml:space="preserve">dition </w:t>
      </w:r>
      <w:r>
        <w:rPr>
          <w:color w:val="0070C0"/>
        </w:rPr>
        <w:t>characterised by rhythmic and oscillatory tremors of the upper extremities, not attributable to another cause (e.g. Parkinson’s disease).</w:t>
      </w:r>
      <w:r w:rsidRPr="0070388B">
        <w:rPr>
          <w:color w:val="0070C0"/>
        </w:rPr>
        <w:t xml:space="preserve"> </w:t>
      </w:r>
      <w:r>
        <w:rPr>
          <w:color w:val="0070C0"/>
        </w:rPr>
        <w:t xml:space="preserve">With </w:t>
      </w:r>
      <w:r w:rsidR="00C57643">
        <w:rPr>
          <w:color w:val="0070C0"/>
        </w:rPr>
        <w:t>a</w:t>
      </w:r>
      <w:r>
        <w:rPr>
          <w:color w:val="0070C0"/>
        </w:rPr>
        <w:t xml:space="preserve"> prevalence of </w:t>
      </w:r>
      <w:r w:rsidR="00C57643">
        <w:rPr>
          <w:color w:val="0070C0"/>
        </w:rPr>
        <w:t>~</w:t>
      </w:r>
      <w:r w:rsidRPr="00D562BE">
        <w:rPr>
          <w:color w:val="0070C0"/>
        </w:rPr>
        <w:t xml:space="preserve">4% in </w:t>
      </w:r>
      <w:proofErr w:type="gramStart"/>
      <w:r w:rsidRPr="00D562BE">
        <w:rPr>
          <w:color w:val="0070C0"/>
        </w:rPr>
        <w:t>adults</w:t>
      </w:r>
      <w:proofErr w:type="gramEnd"/>
      <w:r>
        <w:rPr>
          <w:color w:val="0070C0"/>
        </w:rPr>
        <w:t xml:space="preserve"> </w:t>
      </w:r>
      <w:r>
        <w:rPr>
          <w:rFonts w:cstheme="minorHAnsi"/>
          <w:color w:val="0070C0"/>
        </w:rPr>
        <w:t>≥</w:t>
      </w:r>
      <w:r w:rsidRPr="00D562BE">
        <w:rPr>
          <w:color w:val="0070C0"/>
        </w:rPr>
        <w:t xml:space="preserve"> 40</w:t>
      </w:r>
      <w:r>
        <w:rPr>
          <w:color w:val="0070C0"/>
        </w:rPr>
        <w:t xml:space="preserve"> years </w:t>
      </w:r>
      <w:r w:rsidRPr="00D562BE">
        <w:rPr>
          <w:color w:val="0070C0"/>
        </w:rPr>
        <w:t>(</w:t>
      </w:r>
      <w:r>
        <w:rPr>
          <w:color w:val="0070C0"/>
        </w:rPr>
        <w:t>Louis 2010</w:t>
      </w:r>
      <w:r w:rsidRPr="00D562BE">
        <w:rPr>
          <w:color w:val="0070C0"/>
        </w:rPr>
        <w:t>)</w:t>
      </w:r>
      <w:r>
        <w:rPr>
          <w:color w:val="0070C0"/>
        </w:rPr>
        <w:t xml:space="preserve">, ET is </w:t>
      </w:r>
      <w:r w:rsidRPr="00D562BE">
        <w:rPr>
          <w:color w:val="0070C0"/>
        </w:rPr>
        <w:t>one of the most common neurological disorders among adults</w:t>
      </w:r>
      <w:r>
        <w:rPr>
          <w:color w:val="0070C0"/>
        </w:rPr>
        <w:t xml:space="preserve">. </w:t>
      </w:r>
      <w:r w:rsidR="00C57643">
        <w:rPr>
          <w:color w:val="0070C0"/>
        </w:rPr>
        <w:t xml:space="preserve">With a poorly understood </w:t>
      </w:r>
      <w:r w:rsidR="00E21945">
        <w:rPr>
          <w:color w:val="0070C0"/>
        </w:rPr>
        <w:t>pathophysio</w:t>
      </w:r>
      <w:r w:rsidR="00C57643">
        <w:rPr>
          <w:color w:val="0070C0"/>
        </w:rPr>
        <w:t>logy, ET is</w:t>
      </w:r>
      <w:r w:rsidR="00D87375">
        <w:rPr>
          <w:color w:val="0070C0"/>
        </w:rPr>
        <w:t xml:space="preserve"> </w:t>
      </w:r>
      <w:r>
        <w:rPr>
          <w:color w:val="0070C0"/>
        </w:rPr>
        <w:t>heterogeneous</w:t>
      </w:r>
      <w:r w:rsidR="00D87375">
        <w:rPr>
          <w:color w:val="0070C0"/>
        </w:rPr>
        <w:t xml:space="preserve"> in </w:t>
      </w:r>
      <w:r w:rsidR="00DE6259">
        <w:rPr>
          <w:color w:val="0070C0"/>
        </w:rPr>
        <w:t>its</w:t>
      </w:r>
      <w:r w:rsidR="00D87375">
        <w:rPr>
          <w:color w:val="0070C0"/>
        </w:rPr>
        <w:t xml:space="preserve"> clinical presentation, pharmacological response profile and disease progression</w:t>
      </w:r>
      <w:r w:rsidR="007A54A9">
        <w:rPr>
          <w:color w:val="0070C0"/>
        </w:rPr>
        <w:t xml:space="preserve"> (Louis 2014)</w:t>
      </w:r>
      <w:r w:rsidR="00D87375">
        <w:rPr>
          <w:color w:val="0070C0"/>
        </w:rPr>
        <w:t xml:space="preserve">. </w:t>
      </w:r>
    </w:p>
    <w:p w14:paraId="08B22D18" w14:textId="21005F28" w:rsidR="00CE2C0E" w:rsidRPr="00D71E5E" w:rsidRDefault="00C57643" w:rsidP="00073FD9">
      <w:pPr>
        <w:ind w:left="284"/>
        <w:rPr>
          <w:color w:val="0070C0"/>
        </w:rPr>
      </w:pPr>
      <w:r>
        <w:rPr>
          <w:color w:val="0070C0"/>
        </w:rPr>
        <w:t>Depending on disease severity, ET can lead to significant functional and social impairment.</w:t>
      </w:r>
      <w:r w:rsidR="0070388B" w:rsidRPr="00D71E5E">
        <w:rPr>
          <w:color w:val="0070C0"/>
        </w:rPr>
        <w:t xml:space="preserve"> </w:t>
      </w:r>
      <w:r w:rsidR="00D71E5E" w:rsidRPr="00D71E5E">
        <w:rPr>
          <w:color w:val="0070C0"/>
        </w:rPr>
        <w:t xml:space="preserve">For </w:t>
      </w:r>
      <w:r w:rsidR="00D87375">
        <w:rPr>
          <w:color w:val="0070C0"/>
        </w:rPr>
        <w:t>moderate to severe ET</w:t>
      </w:r>
      <w:r w:rsidR="00D71E5E" w:rsidRPr="00D71E5E">
        <w:rPr>
          <w:color w:val="0070C0"/>
        </w:rPr>
        <w:t>, pharmacological intervention</w:t>
      </w:r>
      <w:r w:rsidR="00D87375">
        <w:rPr>
          <w:color w:val="0070C0"/>
        </w:rPr>
        <w:t>s may</w:t>
      </w:r>
      <w:r w:rsidR="00D71E5E" w:rsidRPr="00D71E5E">
        <w:rPr>
          <w:color w:val="0070C0"/>
        </w:rPr>
        <w:t xml:space="preserve"> provide </w:t>
      </w:r>
      <w:r w:rsidR="005155DE">
        <w:rPr>
          <w:color w:val="0070C0"/>
        </w:rPr>
        <w:t>symptomatic relief, although complete tremor-control is rare (</w:t>
      </w:r>
      <w:proofErr w:type="spellStart"/>
      <w:r w:rsidR="005155DE">
        <w:rPr>
          <w:color w:val="0070C0"/>
        </w:rPr>
        <w:t>Hedera</w:t>
      </w:r>
      <w:proofErr w:type="spellEnd"/>
      <w:r w:rsidR="005155DE">
        <w:rPr>
          <w:color w:val="0070C0"/>
        </w:rPr>
        <w:t xml:space="preserve"> 2013)</w:t>
      </w:r>
      <w:r w:rsidR="007A54A9">
        <w:rPr>
          <w:color w:val="0070C0"/>
        </w:rPr>
        <w:t>.</w:t>
      </w:r>
      <w:r w:rsidR="00073FD9">
        <w:rPr>
          <w:color w:val="0070C0"/>
        </w:rPr>
        <w:t xml:space="preserve"> It is </w:t>
      </w:r>
      <w:r w:rsidR="00D71E5E" w:rsidRPr="00D71E5E">
        <w:rPr>
          <w:color w:val="0070C0"/>
        </w:rPr>
        <w:t xml:space="preserve">estimated </w:t>
      </w:r>
      <w:r w:rsidR="00073FD9">
        <w:rPr>
          <w:color w:val="0070C0"/>
        </w:rPr>
        <w:t xml:space="preserve">that </w:t>
      </w:r>
      <w:r w:rsidR="00D71E5E" w:rsidRPr="00D71E5E">
        <w:rPr>
          <w:color w:val="0070C0"/>
        </w:rPr>
        <w:t xml:space="preserve">30-50% </w:t>
      </w:r>
      <w:r w:rsidR="00DE6259">
        <w:rPr>
          <w:color w:val="0070C0"/>
        </w:rPr>
        <w:t>of patients are completely resistant to</w:t>
      </w:r>
      <w:r w:rsidR="00D71E5E" w:rsidRPr="00D71E5E">
        <w:rPr>
          <w:color w:val="0070C0"/>
        </w:rPr>
        <w:t xml:space="preserve"> first line pharmacological therapy,</w:t>
      </w:r>
      <w:r w:rsidR="00EE5778">
        <w:rPr>
          <w:color w:val="0070C0"/>
        </w:rPr>
        <w:t xml:space="preserve"> </w:t>
      </w:r>
      <w:r w:rsidR="00EE5778" w:rsidRPr="00EE5778">
        <w:rPr>
          <w:color w:val="0070C0"/>
        </w:rPr>
        <w:t>with drug tolerance occurring in a further 13% of patients after chronic treatment (</w:t>
      </w:r>
      <w:proofErr w:type="spellStart"/>
      <w:r w:rsidR="00EE5778" w:rsidRPr="00EE5778">
        <w:rPr>
          <w:color w:val="0070C0"/>
        </w:rPr>
        <w:t>Koller</w:t>
      </w:r>
      <w:proofErr w:type="spellEnd"/>
      <w:r w:rsidR="00EE5778" w:rsidRPr="00EE5778">
        <w:rPr>
          <w:color w:val="0070C0"/>
        </w:rPr>
        <w:t xml:space="preserve"> 1989; </w:t>
      </w:r>
      <w:proofErr w:type="spellStart"/>
      <w:r w:rsidR="00EE5778" w:rsidRPr="00EE5778">
        <w:rPr>
          <w:color w:val="0070C0"/>
        </w:rPr>
        <w:t>Zesiewicz</w:t>
      </w:r>
      <w:proofErr w:type="spellEnd"/>
      <w:r w:rsidR="00EE5778" w:rsidRPr="00EE5778">
        <w:rPr>
          <w:color w:val="0070C0"/>
        </w:rPr>
        <w:t xml:space="preserve"> 2011</w:t>
      </w:r>
      <w:r w:rsidR="00073FD9">
        <w:rPr>
          <w:color w:val="0070C0"/>
        </w:rPr>
        <w:t xml:space="preserve">). </w:t>
      </w:r>
      <w:r w:rsidR="00DE6259">
        <w:rPr>
          <w:color w:val="0070C0"/>
        </w:rPr>
        <w:t xml:space="preserve">For these medically refractory patients, surgical interventions </w:t>
      </w:r>
      <w:r>
        <w:rPr>
          <w:color w:val="0070C0"/>
        </w:rPr>
        <w:t>e.g.</w:t>
      </w:r>
      <w:r w:rsidR="00DE6259">
        <w:rPr>
          <w:color w:val="0070C0"/>
        </w:rPr>
        <w:t xml:space="preserve"> deep brain stimulation (DBS) are currently the only effective treatment options. </w:t>
      </w:r>
    </w:p>
    <w:p w14:paraId="4B2D1A71" w14:textId="77777777" w:rsidR="00CE2C0E" w:rsidRPr="009056C5" w:rsidRDefault="00CE2C0E" w:rsidP="00A6491A">
      <w:pPr>
        <w:ind w:left="284"/>
      </w:pPr>
    </w:p>
    <w:p w14:paraId="54E74624"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77AB589" w14:textId="60B8C19D" w:rsidR="00CB12EC" w:rsidRDefault="000E6416" w:rsidP="00A6491A">
      <w:pPr>
        <w:ind w:left="284"/>
        <w:rPr>
          <w:color w:val="0070C0"/>
        </w:rPr>
      </w:pPr>
      <w:proofErr w:type="spellStart"/>
      <w:r>
        <w:rPr>
          <w:color w:val="0070C0"/>
        </w:rPr>
        <w:t>MRgFUS</w:t>
      </w:r>
      <w:proofErr w:type="spellEnd"/>
      <w:r w:rsidR="00D71E5E" w:rsidRPr="00D71E5E">
        <w:rPr>
          <w:color w:val="0070C0"/>
        </w:rPr>
        <w:t xml:space="preserve"> is a non-invasive, one-step method of targeted tissue thermal ablation </w:t>
      </w:r>
      <w:r w:rsidR="007540DD">
        <w:rPr>
          <w:color w:val="0070C0"/>
        </w:rPr>
        <w:t xml:space="preserve">used to treat medically </w:t>
      </w:r>
      <w:r w:rsidR="00D71E5E" w:rsidRPr="00D71E5E">
        <w:rPr>
          <w:color w:val="0070C0"/>
        </w:rPr>
        <w:t xml:space="preserve">refractory ET. The procedure combines focused ultrasound (FUS) and magnetic resonance imaging (MRI) to ablate the </w:t>
      </w:r>
      <w:proofErr w:type="spellStart"/>
      <w:r w:rsidRPr="000E6416">
        <w:rPr>
          <w:color w:val="0070C0"/>
        </w:rPr>
        <w:t>ventralis</w:t>
      </w:r>
      <w:proofErr w:type="spellEnd"/>
      <w:r w:rsidRPr="000E6416">
        <w:rPr>
          <w:color w:val="0070C0"/>
        </w:rPr>
        <w:t xml:space="preserve"> intermediate nucleus (V</w:t>
      </w:r>
      <w:r w:rsidR="00206AB3">
        <w:rPr>
          <w:color w:val="0070C0"/>
        </w:rPr>
        <w:t>IM</w:t>
      </w:r>
      <w:r w:rsidRPr="000E6416">
        <w:rPr>
          <w:color w:val="0070C0"/>
        </w:rPr>
        <w:t>) of the thalamus</w:t>
      </w:r>
      <w:r w:rsidR="00D71E5E" w:rsidRPr="00D71E5E">
        <w:rPr>
          <w:color w:val="0070C0"/>
        </w:rPr>
        <w:t xml:space="preserve">. </w:t>
      </w:r>
      <w:r w:rsidR="0036034A" w:rsidRPr="0036034A">
        <w:rPr>
          <w:color w:val="0070C0"/>
        </w:rPr>
        <w:t xml:space="preserve">The heat from </w:t>
      </w:r>
      <w:proofErr w:type="spellStart"/>
      <w:r w:rsidR="00EF68B9" w:rsidRPr="00EF68B9">
        <w:rPr>
          <w:color w:val="0070C0"/>
        </w:rPr>
        <w:t>MRgFUS</w:t>
      </w:r>
      <w:proofErr w:type="spellEnd"/>
      <w:r w:rsidR="00EF68B9" w:rsidRPr="00EF68B9" w:rsidDel="00EF68B9">
        <w:rPr>
          <w:color w:val="0070C0"/>
        </w:rPr>
        <w:t xml:space="preserve"> </w:t>
      </w:r>
      <w:r w:rsidR="0036034A" w:rsidRPr="0036034A">
        <w:rPr>
          <w:color w:val="0070C0"/>
        </w:rPr>
        <w:t xml:space="preserve">causes a </w:t>
      </w:r>
      <w:r w:rsidR="0036034A">
        <w:rPr>
          <w:color w:val="0070C0"/>
        </w:rPr>
        <w:t xml:space="preserve">small </w:t>
      </w:r>
      <w:r w:rsidR="0036034A" w:rsidRPr="0036034A">
        <w:rPr>
          <w:color w:val="0070C0"/>
        </w:rPr>
        <w:t>lesion on the targeted spot on the thalamus</w:t>
      </w:r>
      <w:r w:rsidR="0036034A">
        <w:rPr>
          <w:color w:val="0070C0"/>
        </w:rPr>
        <w:t xml:space="preserve">, </w:t>
      </w:r>
      <w:r w:rsidR="0036034A" w:rsidRPr="0036034A">
        <w:rPr>
          <w:color w:val="0070C0"/>
        </w:rPr>
        <w:t>interrupt</w:t>
      </w:r>
      <w:r w:rsidR="0036034A">
        <w:rPr>
          <w:color w:val="0070C0"/>
        </w:rPr>
        <w:t>ing</w:t>
      </w:r>
      <w:r w:rsidR="0036034A" w:rsidRPr="0036034A">
        <w:rPr>
          <w:color w:val="0070C0"/>
        </w:rPr>
        <w:t xml:space="preserve"> </w:t>
      </w:r>
      <w:r w:rsidR="0036034A">
        <w:rPr>
          <w:color w:val="0070C0"/>
        </w:rPr>
        <w:t xml:space="preserve">the </w:t>
      </w:r>
      <w:r w:rsidR="0036034A" w:rsidRPr="0036034A">
        <w:rPr>
          <w:color w:val="0070C0"/>
        </w:rPr>
        <w:t>abnormal activity</w:t>
      </w:r>
      <w:r w:rsidR="0036034A">
        <w:rPr>
          <w:color w:val="0070C0"/>
        </w:rPr>
        <w:t xml:space="preserve"> associated with </w:t>
      </w:r>
      <w:r w:rsidR="00EF68B9">
        <w:rPr>
          <w:color w:val="0070C0"/>
        </w:rPr>
        <w:t>ET</w:t>
      </w:r>
      <w:r w:rsidR="0036034A" w:rsidRPr="0036034A">
        <w:rPr>
          <w:color w:val="0070C0"/>
        </w:rPr>
        <w:t>.</w:t>
      </w:r>
      <w:r w:rsidR="0036034A">
        <w:rPr>
          <w:color w:val="0070C0"/>
        </w:rPr>
        <w:t xml:space="preserve"> </w:t>
      </w:r>
      <w:r w:rsidR="00D71E5E" w:rsidRPr="00D71E5E">
        <w:rPr>
          <w:color w:val="0070C0"/>
        </w:rPr>
        <w:t>The use of MRI permits</w:t>
      </w:r>
      <w:r w:rsidR="00155DAD">
        <w:rPr>
          <w:color w:val="0070C0"/>
        </w:rPr>
        <w:t xml:space="preserve"> precise</w:t>
      </w:r>
      <w:r w:rsidR="00D71E5E" w:rsidRPr="00D71E5E">
        <w:rPr>
          <w:color w:val="0070C0"/>
        </w:rPr>
        <w:t xml:space="preserve"> localisation, ablation, and</w:t>
      </w:r>
      <w:r w:rsidR="00155DAD">
        <w:rPr>
          <w:color w:val="0070C0"/>
        </w:rPr>
        <w:t xml:space="preserve"> real-time</w:t>
      </w:r>
      <w:r w:rsidR="00D71E5E" w:rsidRPr="00D71E5E">
        <w:rPr>
          <w:color w:val="0070C0"/>
        </w:rPr>
        <w:t xml:space="preserve"> monitoring of the targeted tissue </w:t>
      </w:r>
      <w:r w:rsidR="00155DAD">
        <w:rPr>
          <w:color w:val="0070C0"/>
        </w:rPr>
        <w:t xml:space="preserve">to prevent </w:t>
      </w:r>
      <w:r w:rsidR="00D71E5E" w:rsidRPr="00D71E5E">
        <w:rPr>
          <w:color w:val="0070C0"/>
        </w:rPr>
        <w:t>collateral damage to adjacent healthy tissue (</w:t>
      </w:r>
      <w:proofErr w:type="spellStart"/>
      <w:r w:rsidR="00D71E5E" w:rsidRPr="00D71E5E">
        <w:rPr>
          <w:color w:val="0070C0"/>
        </w:rPr>
        <w:t>Quadri</w:t>
      </w:r>
      <w:proofErr w:type="spellEnd"/>
      <w:r w:rsidR="00D71E5E" w:rsidRPr="00D71E5E">
        <w:rPr>
          <w:color w:val="0070C0"/>
        </w:rPr>
        <w:t xml:space="preserve"> et al., 2018; Abe &amp; </w:t>
      </w:r>
      <w:proofErr w:type="spellStart"/>
      <w:r w:rsidR="00D71E5E" w:rsidRPr="00D71E5E">
        <w:rPr>
          <w:color w:val="0070C0"/>
        </w:rPr>
        <w:t>Taira</w:t>
      </w:r>
      <w:proofErr w:type="spellEnd"/>
      <w:r w:rsidR="00D71E5E" w:rsidRPr="00D71E5E">
        <w:rPr>
          <w:color w:val="0070C0"/>
        </w:rPr>
        <w:t>, 2017). The delivery of the thermal ablation is done through an intact skull without the need for incision or craniotomy.</w:t>
      </w:r>
    </w:p>
    <w:p w14:paraId="4FAC1093" w14:textId="3C895EFF" w:rsidR="00D71E5E" w:rsidRPr="00D71E5E" w:rsidRDefault="00D71E5E" w:rsidP="00A6491A">
      <w:pPr>
        <w:ind w:left="284"/>
        <w:rPr>
          <w:color w:val="0070C0"/>
        </w:rPr>
      </w:pPr>
      <w:r w:rsidRPr="00D71E5E">
        <w:rPr>
          <w:color w:val="0070C0"/>
        </w:rPr>
        <w:t xml:space="preserve">The creation of highly accurate and controllable lesions through </w:t>
      </w:r>
      <w:proofErr w:type="spellStart"/>
      <w:r w:rsidRPr="00D71E5E">
        <w:rPr>
          <w:color w:val="0070C0"/>
        </w:rPr>
        <w:t>MRgFUS</w:t>
      </w:r>
      <w:proofErr w:type="spellEnd"/>
      <w:r w:rsidRPr="00D71E5E">
        <w:rPr>
          <w:color w:val="0070C0"/>
        </w:rPr>
        <w:t xml:space="preserve"> leads to immediate clinical results. </w:t>
      </w:r>
      <w:r>
        <w:rPr>
          <w:color w:val="0070C0"/>
        </w:rPr>
        <w:t>T</w:t>
      </w:r>
      <w:r w:rsidRPr="00D71E5E">
        <w:rPr>
          <w:color w:val="0070C0"/>
        </w:rPr>
        <w:t>he lack of requirement for</w:t>
      </w:r>
      <w:r>
        <w:rPr>
          <w:color w:val="0070C0"/>
        </w:rPr>
        <w:t xml:space="preserve"> insertion of</w:t>
      </w:r>
      <w:r w:rsidRPr="00D71E5E">
        <w:rPr>
          <w:color w:val="0070C0"/>
        </w:rPr>
        <w:t xml:space="preserve"> invasive probes means there is a minimal risk of bleeding and no risk of infection (</w:t>
      </w:r>
      <w:r w:rsidR="008C5BAA">
        <w:rPr>
          <w:color w:val="0070C0"/>
        </w:rPr>
        <w:t>Fishman 2018</w:t>
      </w:r>
      <w:r w:rsidRPr="00D71E5E">
        <w:rPr>
          <w:color w:val="0070C0"/>
        </w:rPr>
        <w:t>).</w:t>
      </w:r>
    </w:p>
    <w:p w14:paraId="4993162C"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AC661D0" w14:textId="308DE804" w:rsidR="00753C44" w:rsidRDefault="00D71E5E"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505853">
        <w:rPr>
          <w:szCs w:val="20"/>
        </w:rPr>
      </w:r>
      <w:r w:rsidR="00505853">
        <w:rPr>
          <w:szCs w:val="20"/>
        </w:rPr>
        <w:fldChar w:fldCharType="separate"/>
      </w:r>
      <w:r>
        <w:rPr>
          <w:szCs w:val="20"/>
        </w:rPr>
        <w:fldChar w:fldCharType="end"/>
      </w:r>
      <w:bookmarkEnd w:id="2"/>
      <w:r w:rsidR="006B6390">
        <w:rPr>
          <w:szCs w:val="20"/>
        </w:rPr>
        <w:t xml:space="preserve"> Yes</w:t>
      </w:r>
    </w:p>
    <w:p w14:paraId="17A33B83"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5853">
        <w:rPr>
          <w:szCs w:val="20"/>
        </w:rPr>
      </w:r>
      <w:r w:rsidR="00505853">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C2EC6FC" w14:textId="77777777" w:rsidR="000B3CD0" w:rsidRPr="0011036E" w:rsidRDefault="000B3CD0" w:rsidP="0058021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994ACCD"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5853">
        <w:rPr>
          <w:szCs w:val="20"/>
        </w:rPr>
      </w:r>
      <w:r w:rsidR="00505853">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37B62D08" w14:textId="6B7B89D6" w:rsidR="00753C44" w:rsidRDefault="00D71E5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106B6D91" w14:textId="25549944" w:rsidR="00E2038C" w:rsidRDefault="00E2038C" w:rsidP="00E2038C">
      <w:pPr>
        <w:ind w:left="284"/>
        <w:rPr>
          <w:color w:val="0070C0"/>
        </w:rPr>
      </w:pPr>
      <w:r>
        <w:rPr>
          <w:color w:val="0070C0"/>
        </w:rPr>
        <w:t xml:space="preserve">This MSAC application is seeking new MBS items so that </w:t>
      </w:r>
      <w:proofErr w:type="spellStart"/>
      <w:r>
        <w:rPr>
          <w:color w:val="0070C0"/>
        </w:rPr>
        <w:t>MRgFUS</w:t>
      </w:r>
      <w:proofErr w:type="spellEnd"/>
      <w:r>
        <w:rPr>
          <w:color w:val="0070C0"/>
        </w:rPr>
        <w:t xml:space="preserve"> is reimbursed for medically refractory </w:t>
      </w:r>
      <w:r w:rsidR="005476BB">
        <w:rPr>
          <w:color w:val="0070C0"/>
        </w:rPr>
        <w:t>ET</w:t>
      </w:r>
      <w:r>
        <w:rPr>
          <w:color w:val="0070C0"/>
        </w:rPr>
        <w:t>. However, it should be noted that item(s) already existing on the MBS could be used or amended to accommodate this procedure.</w:t>
      </w:r>
    </w:p>
    <w:p w14:paraId="045703A2" w14:textId="3D86A4EE" w:rsidR="00E2038C" w:rsidRDefault="00E2038C" w:rsidP="00E2038C">
      <w:pPr>
        <w:ind w:left="284"/>
        <w:rPr>
          <w:color w:val="0070C0"/>
        </w:rPr>
      </w:pPr>
      <w:r>
        <w:rPr>
          <w:color w:val="0070C0"/>
        </w:rPr>
        <w:t xml:space="preserve">In particular, Recommendation 23 of the Draft Report from the Neurosurgery and Neurology Clinical Committee (2018) for the MBS Review Taskforce recommended MBS item 40801 be sufficiently broad so as to “ensure the MBS remains fit for purpose as technological approaches to deep brain </w:t>
      </w:r>
      <w:proofErr w:type="spellStart"/>
      <w:r>
        <w:rPr>
          <w:color w:val="0070C0"/>
        </w:rPr>
        <w:t>lesioning</w:t>
      </w:r>
      <w:proofErr w:type="spellEnd"/>
      <w:r>
        <w:rPr>
          <w:color w:val="0070C0"/>
        </w:rPr>
        <w:t xml:space="preserve"> progress”. The Committee made particular note of focused ultrasound in tremor and noted item 40801 “would cover </w:t>
      </w:r>
      <w:r>
        <w:rPr>
          <w:color w:val="0070C0"/>
        </w:rPr>
        <w:lastRenderedPageBreak/>
        <w:t xml:space="preserve">use in tremors in most cases”. </w:t>
      </w:r>
      <w:hyperlink r:id="rId9" w:history="1">
        <w:r>
          <w:rPr>
            <w:rStyle w:val="Hyperlink"/>
            <w:color w:val="0070C0"/>
          </w:rPr>
          <w:t>https://www1.health.gov.au/internet/main/publishing.nsf/Content/mbs-review-2018-taskforce-reports-cp/$File/Neurosurgery-and-Neurology-Clinical-Committee.docx</w:t>
        </w:r>
      </w:hyperlink>
    </w:p>
    <w:p w14:paraId="19331AEC" w14:textId="153348C5" w:rsidR="00E2038C" w:rsidRDefault="00E2038C" w:rsidP="00E2038C">
      <w:pPr>
        <w:ind w:left="284"/>
        <w:rPr>
          <w:color w:val="0070C0"/>
        </w:rPr>
      </w:pPr>
      <w:r>
        <w:rPr>
          <w:color w:val="0070C0"/>
        </w:rPr>
        <w:t xml:space="preserve">Should Recommendation 23 be implemented, then there may not be a need for a complete MSAC Assessment of </w:t>
      </w:r>
      <w:proofErr w:type="spellStart"/>
      <w:r>
        <w:rPr>
          <w:color w:val="0070C0"/>
        </w:rPr>
        <w:t>MRgFUS</w:t>
      </w:r>
      <w:proofErr w:type="spellEnd"/>
      <w:r>
        <w:rPr>
          <w:color w:val="0070C0"/>
        </w:rPr>
        <w:t xml:space="preserve">. However, should this application progress to a full MSAC assessment (and </w:t>
      </w:r>
      <w:proofErr w:type="spellStart"/>
      <w:r>
        <w:rPr>
          <w:color w:val="0070C0"/>
        </w:rPr>
        <w:t>MRgFUS</w:t>
      </w:r>
      <w:proofErr w:type="spellEnd"/>
      <w:r>
        <w:rPr>
          <w:color w:val="0070C0"/>
        </w:rPr>
        <w:t xml:space="preserve"> is recommended for funding) then implementation of funding could potentially be accommodated by amending 40801, </w:t>
      </w:r>
      <w:r w:rsidR="005476BB">
        <w:rPr>
          <w:color w:val="0070C0"/>
        </w:rPr>
        <w:t xml:space="preserve">based on </w:t>
      </w:r>
      <w:r>
        <w:rPr>
          <w:color w:val="0070C0"/>
        </w:rPr>
        <w:t xml:space="preserve">clear advice that 40801 is appropriate for </w:t>
      </w:r>
      <w:proofErr w:type="spellStart"/>
      <w:r>
        <w:rPr>
          <w:color w:val="0070C0"/>
        </w:rPr>
        <w:t>MRgFUS</w:t>
      </w:r>
      <w:proofErr w:type="spellEnd"/>
      <w:r>
        <w:rPr>
          <w:color w:val="0070C0"/>
        </w:rPr>
        <w:t xml:space="preserve"> without any amendments or by addition of a new item to the MBS.</w:t>
      </w:r>
    </w:p>
    <w:p w14:paraId="589C84A2" w14:textId="77777777" w:rsidR="00E2038C" w:rsidRDefault="00E2038C" w:rsidP="00E2038C">
      <w:pPr>
        <w:ind w:left="284"/>
        <w:rPr>
          <w:color w:val="0070C0"/>
        </w:rPr>
      </w:pPr>
      <w:r>
        <w:rPr>
          <w:color w:val="0070C0"/>
        </w:rPr>
        <w:t>New MBS items for the neurology and radiology components of the service will likely be required. See PART 8 for more information.</w:t>
      </w:r>
    </w:p>
    <w:p w14:paraId="7D63C914" w14:textId="77777777" w:rsidR="00E2038C" w:rsidRPr="00753C44" w:rsidRDefault="00E2038C" w:rsidP="00E2038C">
      <w:pPr>
        <w:spacing w:before="0" w:after="0"/>
        <w:rPr>
          <w:szCs w:val="20"/>
        </w:rPr>
      </w:pPr>
    </w:p>
    <w:p w14:paraId="62EA6FB5" w14:textId="77777777" w:rsidR="000B3CD0" w:rsidRPr="0011036E" w:rsidRDefault="000B3CD0" w:rsidP="0058021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6CC70DB" w14:textId="599CE71C" w:rsidR="003D795C" w:rsidRPr="00023903" w:rsidRDefault="00023903" w:rsidP="00A6491A">
      <w:pPr>
        <w:ind w:left="284"/>
        <w:rPr>
          <w:color w:val="4F81BD" w:themeColor="accent1"/>
        </w:rPr>
      </w:pPr>
      <w:r w:rsidRPr="00023903">
        <w:rPr>
          <w:color w:val="4F81BD" w:themeColor="accent1"/>
        </w:rPr>
        <w:t>N/A</w:t>
      </w:r>
    </w:p>
    <w:p w14:paraId="7C12764B" w14:textId="77777777" w:rsidR="006C0843" w:rsidRPr="0011036E" w:rsidRDefault="006C0843" w:rsidP="0058021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6B511B4C" w14:textId="77777777" w:rsidR="002A270B" w:rsidRPr="004A263B" w:rsidRDefault="002A270B" w:rsidP="0058021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5853">
        <w:rPr>
          <w:b/>
          <w:szCs w:val="20"/>
        </w:rPr>
      </w:r>
      <w:r w:rsidR="0050585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21911CC9" w14:textId="77777777" w:rsidR="002A270B" w:rsidRPr="004A263B" w:rsidRDefault="002A270B" w:rsidP="0058021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5853">
        <w:rPr>
          <w:b/>
          <w:szCs w:val="20"/>
        </w:rPr>
      </w:r>
      <w:r w:rsidR="0050585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570A0D54" w14:textId="77777777" w:rsidR="002A270B" w:rsidRPr="004A263B" w:rsidRDefault="002A270B" w:rsidP="0058021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5853">
        <w:rPr>
          <w:b/>
          <w:szCs w:val="20"/>
        </w:rPr>
      </w:r>
      <w:r w:rsidR="0050585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37AE4634" w14:textId="77777777" w:rsidR="002A270B" w:rsidRPr="004A263B" w:rsidRDefault="002A270B" w:rsidP="0058021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5853">
        <w:rPr>
          <w:b/>
          <w:szCs w:val="20"/>
        </w:rPr>
      </w:r>
      <w:r w:rsidR="0050585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33C807F1" w14:textId="77777777" w:rsidR="002A270B" w:rsidRPr="004A263B" w:rsidRDefault="002A270B" w:rsidP="0058021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5853">
        <w:rPr>
          <w:b/>
          <w:szCs w:val="20"/>
        </w:rPr>
      </w:r>
      <w:r w:rsidR="00505853">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1BE5743B" w14:textId="77777777" w:rsidR="002A270B" w:rsidRPr="004A263B" w:rsidRDefault="002A270B" w:rsidP="0058021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5853">
        <w:rPr>
          <w:b/>
          <w:szCs w:val="20"/>
        </w:rPr>
      </w:r>
      <w:r w:rsidR="00505853">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4CA8C071" w14:textId="77777777" w:rsidR="002A270B" w:rsidRPr="004A263B" w:rsidRDefault="002A270B" w:rsidP="0058021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5853">
        <w:rPr>
          <w:b/>
          <w:szCs w:val="20"/>
        </w:rPr>
      </w:r>
      <w:r w:rsidR="0050585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00EB940F" w14:textId="77777777" w:rsidR="002A270B" w:rsidRPr="004A263B" w:rsidRDefault="002A270B" w:rsidP="00580219">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5853">
        <w:rPr>
          <w:b/>
          <w:szCs w:val="20"/>
        </w:rPr>
      </w:r>
      <w:r w:rsidR="0050585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89BB13A" w14:textId="77777777" w:rsidR="002A270B" w:rsidRDefault="004A263B" w:rsidP="00580219">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05853">
        <w:rPr>
          <w:b/>
          <w:szCs w:val="20"/>
        </w:rPr>
      </w:r>
      <w:r w:rsidR="00505853">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37EAFD9A" w14:textId="0219C5F8" w:rsidR="002A270B" w:rsidRPr="00023903" w:rsidRDefault="00023903" w:rsidP="00A6491A">
      <w:pPr>
        <w:ind w:left="284"/>
        <w:rPr>
          <w:color w:val="4F81BD" w:themeColor="accent1"/>
        </w:rPr>
      </w:pPr>
      <w:r w:rsidRPr="00023903">
        <w:rPr>
          <w:color w:val="4F81BD" w:themeColor="accent1"/>
        </w:rPr>
        <w:t>N/A</w:t>
      </w:r>
    </w:p>
    <w:p w14:paraId="4D0FC1BB" w14:textId="77777777" w:rsidR="00534C5F" w:rsidRPr="007E39E4" w:rsidRDefault="000770BA" w:rsidP="0058021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087F308" w14:textId="77777777" w:rsidR="006B6390" w:rsidRPr="00AA2CFE" w:rsidRDefault="006B6390" w:rsidP="00580219">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05853">
        <w:rPr>
          <w:b/>
          <w:szCs w:val="20"/>
        </w:rPr>
      </w:r>
      <w:r w:rsidR="00505853">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2A835A6A" w14:textId="6F62EBC9" w:rsidR="006B6390" w:rsidRPr="00AA2CFE" w:rsidRDefault="00D71E5E" w:rsidP="00580219">
      <w:pPr>
        <w:pStyle w:val="ListParagraph"/>
        <w:numPr>
          <w:ilvl w:val="0"/>
          <w:numId w:val="1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505853">
        <w:rPr>
          <w:b/>
          <w:szCs w:val="20"/>
        </w:rPr>
      </w:r>
      <w:r w:rsidR="00505853">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0C306C8D" w14:textId="77777777" w:rsidR="006B6390" w:rsidRPr="00AA2CFE" w:rsidRDefault="006B6390" w:rsidP="00580219">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05853">
        <w:rPr>
          <w:b/>
          <w:szCs w:val="20"/>
        </w:rPr>
      </w:r>
      <w:r w:rsidR="0050585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8C1211C" w14:textId="77777777" w:rsidR="006B6390" w:rsidRPr="00AA2CFE" w:rsidRDefault="006B6390" w:rsidP="00580219">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05853">
        <w:rPr>
          <w:b/>
          <w:szCs w:val="20"/>
        </w:rPr>
      </w:r>
      <w:r w:rsidR="0050585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641FF860" w14:textId="77777777" w:rsidR="003027BB" w:rsidRPr="007E39E4" w:rsidRDefault="00F30C22" w:rsidP="0058021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9886679" w14:textId="4EE9E451" w:rsidR="000A5B32" w:rsidRDefault="00D71E5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0A5B32" w:rsidRPr="000A5B32">
        <w:rPr>
          <w:szCs w:val="20"/>
        </w:rPr>
        <w:t xml:space="preserve"> Yes</w:t>
      </w:r>
    </w:p>
    <w:p w14:paraId="40D00381" w14:textId="77777777" w:rsidR="00626365" w:rsidRDefault="000A5B32" w:rsidP="00626365">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sidRPr="000A5B32">
        <w:rPr>
          <w:szCs w:val="20"/>
        </w:rPr>
        <w:t xml:space="preserve"> No</w:t>
      </w:r>
    </w:p>
    <w:p w14:paraId="0A19AFF6" w14:textId="77777777" w:rsidR="00023903" w:rsidRDefault="00023903" w:rsidP="00626365">
      <w:pPr>
        <w:spacing w:before="0" w:after="0"/>
        <w:ind w:left="284"/>
        <w:rPr>
          <w:szCs w:val="20"/>
        </w:rPr>
      </w:pPr>
    </w:p>
    <w:p w14:paraId="4AA46165" w14:textId="77777777" w:rsidR="00023903" w:rsidRDefault="00023903" w:rsidP="00626365">
      <w:pPr>
        <w:spacing w:before="0" w:after="0"/>
        <w:ind w:left="284"/>
        <w:rPr>
          <w:szCs w:val="20"/>
        </w:rPr>
      </w:pPr>
    </w:p>
    <w:p w14:paraId="072333A6" w14:textId="168014A3" w:rsidR="00626365" w:rsidRDefault="00626365" w:rsidP="00626365">
      <w:pPr>
        <w:spacing w:before="0" w:after="0"/>
        <w:ind w:left="284"/>
        <w:rPr>
          <w:szCs w:val="20"/>
        </w:rPr>
      </w:pPr>
      <w:r>
        <w:rPr>
          <w:szCs w:val="20"/>
        </w:rPr>
        <w:br w:type="page"/>
      </w:r>
    </w:p>
    <w:p w14:paraId="6C811B3A"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2FFE7B8E" w14:textId="62088F52" w:rsidR="003027BB" w:rsidRDefault="003027BB" w:rsidP="0058021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7D6F2982" w14:textId="0E2CE04F" w:rsidR="001A0335" w:rsidRPr="001A0335" w:rsidRDefault="001A0335" w:rsidP="001A0335">
      <w:pPr>
        <w:ind w:left="360"/>
        <w:rPr>
          <w:color w:val="0070C0"/>
        </w:rPr>
      </w:pPr>
      <w:r w:rsidRPr="001A0335">
        <w:rPr>
          <w:color w:val="0070C0"/>
        </w:rPr>
        <w:t>N/A</w:t>
      </w:r>
    </w:p>
    <w:p w14:paraId="5840E2B9" w14:textId="77777777" w:rsidR="000B3CD0" w:rsidRDefault="000B3CD0" w:rsidP="00730C04">
      <w:pPr>
        <w:pStyle w:val="Heading2"/>
      </w:pPr>
      <w:r w:rsidRPr="00154B00">
        <w:t xml:space="preserve">What is the type of </w:t>
      </w:r>
      <w:proofErr w:type="gramStart"/>
      <w:r w:rsidRPr="00154B00">
        <w:t>service:</w:t>
      </w:r>
      <w:proofErr w:type="gramEnd"/>
    </w:p>
    <w:p w14:paraId="4C46B031" w14:textId="62F51BE1" w:rsidR="00A6594E" w:rsidRDefault="00837081"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05853">
        <w:rPr>
          <w:b/>
          <w:szCs w:val="20"/>
        </w:rPr>
      </w:r>
      <w:r w:rsidR="00505853">
        <w:rPr>
          <w:b/>
          <w:szCs w:val="20"/>
        </w:rPr>
        <w:fldChar w:fldCharType="separate"/>
      </w:r>
      <w:r>
        <w:rPr>
          <w:b/>
          <w:szCs w:val="20"/>
        </w:rPr>
        <w:fldChar w:fldCharType="end"/>
      </w:r>
      <w:r w:rsidR="00A6594E" w:rsidRPr="0027105F">
        <w:rPr>
          <w:b/>
          <w:szCs w:val="20"/>
        </w:rPr>
        <w:t xml:space="preserve"> </w:t>
      </w:r>
      <w:r w:rsidR="00A6594E">
        <w:t>Therapeutic medical service</w:t>
      </w:r>
    </w:p>
    <w:p w14:paraId="4EE2319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5853">
        <w:rPr>
          <w:b/>
          <w:szCs w:val="20"/>
        </w:rPr>
      </w:r>
      <w:r w:rsidR="00505853">
        <w:rPr>
          <w:b/>
          <w:szCs w:val="20"/>
        </w:rPr>
        <w:fldChar w:fldCharType="separate"/>
      </w:r>
      <w:r w:rsidRPr="0027105F">
        <w:rPr>
          <w:b/>
          <w:szCs w:val="20"/>
        </w:rPr>
        <w:fldChar w:fldCharType="end"/>
      </w:r>
      <w:r w:rsidRPr="0027105F">
        <w:rPr>
          <w:b/>
          <w:szCs w:val="20"/>
        </w:rPr>
        <w:t xml:space="preserve"> </w:t>
      </w:r>
      <w:r>
        <w:t>Investigative medical service</w:t>
      </w:r>
    </w:p>
    <w:p w14:paraId="5695A6B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5853">
        <w:rPr>
          <w:b/>
          <w:szCs w:val="20"/>
        </w:rPr>
      </w:r>
      <w:r w:rsidR="00505853">
        <w:rPr>
          <w:b/>
          <w:szCs w:val="20"/>
        </w:rPr>
        <w:fldChar w:fldCharType="separate"/>
      </w:r>
      <w:r w:rsidRPr="0027105F">
        <w:rPr>
          <w:b/>
          <w:szCs w:val="20"/>
        </w:rPr>
        <w:fldChar w:fldCharType="end"/>
      </w:r>
      <w:r w:rsidRPr="0027105F">
        <w:rPr>
          <w:b/>
          <w:szCs w:val="20"/>
        </w:rPr>
        <w:t xml:space="preserve"> </w:t>
      </w:r>
      <w:r>
        <w:t>Single consultation medical service</w:t>
      </w:r>
    </w:p>
    <w:p w14:paraId="4629255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5853">
        <w:rPr>
          <w:b/>
          <w:szCs w:val="20"/>
        </w:rPr>
      </w:r>
      <w:r w:rsidR="00505853">
        <w:rPr>
          <w:b/>
          <w:szCs w:val="20"/>
        </w:rPr>
        <w:fldChar w:fldCharType="separate"/>
      </w:r>
      <w:r w:rsidRPr="0027105F">
        <w:rPr>
          <w:b/>
          <w:szCs w:val="20"/>
        </w:rPr>
        <w:fldChar w:fldCharType="end"/>
      </w:r>
      <w:r w:rsidRPr="0027105F">
        <w:rPr>
          <w:b/>
          <w:szCs w:val="20"/>
        </w:rPr>
        <w:t xml:space="preserve"> </w:t>
      </w:r>
      <w:r>
        <w:t>Global consultation medical service</w:t>
      </w:r>
    </w:p>
    <w:p w14:paraId="338ABEF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5853">
        <w:rPr>
          <w:b/>
          <w:szCs w:val="20"/>
        </w:rPr>
      </w:r>
      <w:r w:rsidR="00505853">
        <w:rPr>
          <w:b/>
          <w:szCs w:val="20"/>
        </w:rPr>
        <w:fldChar w:fldCharType="separate"/>
      </w:r>
      <w:r w:rsidRPr="0027105F">
        <w:rPr>
          <w:b/>
          <w:szCs w:val="20"/>
        </w:rPr>
        <w:fldChar w:fldCharType="end"/>
      </w:r>
      <w:r w:rsidRPr="0027105F">
        <w:rPr>
          <w:b/>
          <w:szCs w:val="20"/>
        </w:rPr>
        <w:t xml:space="preserve"> </w:t>
      </w:r>
      <w:r>
        <w:t>Allied health service</w:t>
      </w:r>
    </w:p>
    <w:p w14:paraId="6CCDF32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5853">
        <w:rPr>
          <w:b/>
          <w:szCs w:val="20"/>
        </w:rPr>
      </w:r>
      <w:r w:rsidR="00505853">
        <w:rPr>
          <w:b/>
          <w:szCs w:val="20"/>
        </w:rPr>
        <w:fldChar w:fldCharType="separate"/>
      </w:r>
      <w:r w:rsidRPr="0027105F">
        <w:rPr>
          <w:b/>
          <w:szCs w:val="20"/>
        </w:rPr>
        <w:fldChar w:fldCharType="end"/>
      </w:r>
      <w:r w:rsidRPr="0027105F">
        <w:rPr>
          <w:b/>
          <w:szCs w:val="20"/>
        </w:rPr>
        <w:t xml:space="preserve"> </w:t>
      </w:r>
      <w:r>
        <w:t>Co-dependent technology</w:t>
      </w:r>
    </w:p>
    <w:p w14:paraId="33F734E8"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5853">
        <w:rPr>
          <w:b/>
          <w:szCs w:val="20"/>
        </w:rPr>
      </w:r>
      <w:r w:rsidR="00505853">
        <w:rPr>
          <w:b/>
          <w:szCs w:val="20"/>
        </w:rPr>
        <w:fldChar w:fldCharType="separate"/>
      </w:r>
      <w:r w:rsidRPr="0027105F">
        <w:rPr>
          <w:b/>
          <w:szCs w:val="20"/>
        </w:rPr>
        <w:fldChar w:fldCharType="end"/>
      </w:r>
      <w:r w:rsidRPr="0027105F">
        <w:rPr>
          <w:b/>
          <w:szCs w:val="20"/>
        </w:rPr>
        <w:t xml:space="preserve"> </w:t>
      </w:r>
      <w:r>
        <w:t>Hybrid health technology</w:t>
      </w:r>
    </w:p>
    <w:p w14:paraId="2DB5723D" w14:textId="1B50387E"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F9404ED" w14:textId="33639DAB" w:rsidR="00C34BB5" w:rsidRPr="00C34BB5" w:rsidRDefault="00C34BB5" w:rsidP="00C34BB5">
      <w:pPr>
        <w:ind w:firstLine="360"/>
        <w:rPr>
          <w:color w:val="0070C0"/>
        </w:rPr>
      </w:pPr>
      <w:r w:rsidRPr="00C34BB5">
        <w:rPr>
          <w:color w:val="0070C0"/>
        </w:rPr>
        <w:t>N/A</w:t>
      </w:r>
    </w:p>
    <w:p w14:paraId="24EC4C5A" w14:textId="77777777" w:rsidR="00A6594E" w:rsidRDefault="00A6594E" w:rsidP="00580219">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05853">
        <w:rPr>
          <w:b/>
          <w:szCs w:val="20"/>
        </w:rPr>
      </w:r>
      <w:r w:rsidR="00505853">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1839E965" w14:textId="77777777" w:rsidR="00A6594E" w:rsidRDefault="00A6594E" w:rsidP="00580219">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05853">
        <w:rPr>
          <w:b/>
          <w:szCs w:val="20"/>
        </w:rPr>
      </w:r>
      <w:r w:rsidR="00505853">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00BB9339" w14:textId="77777777" w:rsidR="00A6594E" w:rsidRDefault="00A6594E" w:rsidP="00580219">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05853">
        <w:rPr>
          <w:b/>
          <w:szCs w:val="20"/>
        </w:rPr>
      </w:r>
      <w:r w:rsidR="00505853">
        <w:rPr>
          <w:b/>
          <w:szCs w:val="20"/>
        </w:rPr>
        <w:fldChar w:fldCharType="separate"/>
      </w:r>
      <w:r w:rsidRPr="00AF4466">
        <w:rPr>
          <w:b/>
          <w:szCs w:val="20"/>
        </w:rPr>
        <w:fldChar w:fldCharType="end"/>
      </w:r>
      <w:r w:rsidRPr="00AF4466">
        <w:rPr>
          <w:b/>
          <w:szCs w:val="20"/>
        </w:rPr>
        <w:t xml:space="preserve"> </w:t>
      </w:r>
      <w:r>
        <w:t>Provides information about prognosis</w:t>
      </w:r>
    </w:p>
    <w:p w14:paraId="370BA8C8" w14:textId="77777777" w:rsidR="00A6594E" w:rsidRDefault="00A6594E" w:rsidP="00580219">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05853">
        <w:rPr>
          <w:b/>
          <w:szCs w:val="20"/>
        </w:rPr>
      </w:r>
      <w:r w:rsidR="00505853">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5556C78A" w14:textId="77777777" w:rsidR="00A6594E" w:rsidRPr="00A6594E" w:rsidRDefault="00A6594E" w:rsidP="00580219">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05853">
        <w:rPr>
          <w:b/>
          <w:szCs w:val="20"/>
        </w:rPr>
      </w:r>
      <w:r w:rsidR="00505853">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7D31D7FD"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C380376"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05853">
        <w:rPr>
          <w:b/>
          <w:szCs w:val="20"/>
        </w:rPr>
      </w:r>
      <w:r w:rsidR="00505853">
        <w:rPr>
          <w:b/>
          <w:szCs w:val="20"/>
        </w:rPr>
        <w:fldChar w:fldCharType="separate"/>
      </w:r>
      <w:r w:rsidRPr="0027105F">
        <w:rPr>
          <w:b/>
          <w:szCs w:val="20"/>
        </w:rPr>
        <w:fldChar w:fldCharType="end"/>
      </w:r>
      <w:r w:rsidRPr="0027105F">
        <w:rPr>
          <w:b/>
          <w:szCs w:val="20"/>
        </w:rPr>
        <w:t xml:space="preserve"> </w:t>
      </w:r>
      <w:r>
        <w:t>Pharmaceutical / Biological</w:t>
      </w:r>
    </w:p>
    <w:p w14:paraId="0BE9BE21" w14:textId="5438F905" w:rsidR="00FE16C1" w:rsidRDefault="00E803E6"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05853">
        <w:rPr>
          <w:b/>
          <w:szCs w:val="20"/>
        </w:rPr>
      </w:r>
      <w:r w:rsidR="00505853">
        <w:rPr>
          <w:b/>
          <w:szCs w:val="20"/>
        </w:rPr>
        <w:fldChar w:fldCharType="separate"/>
      </w:r>
      <w:r>
        <w:rPr>
          <w:b/>
          <w:szCs w:val="20"/>
        </w:rPr>
        <w:fldChar w:fldCharType="end"/>
      </w:r>
      <w:r w:rsidR="00FE16C1" w:rsidRPr="0027105F">
        <w:rPr>
          <w:b/>
          <w:szCs w:val="20"/>
        </w:rPr>
        <w:t xml:space="preserve"> </w:t>
      </w:r>
      <w:r w:rsidR="00FE16C1">
        <w:t xml:space="preserve">Prosthesis or </w:t>
      </w:r>
      <w:r w:rsidR="00FE16C1" w:rsidRPr="00E803E6">
        <w:rPr>
          <w:b/>
          <w:bCs/>
        </w:rPr>
        <w:t>device</w:t>
      </w:r>
    </w:p>
    <w:p w14:paraId="212FBFFF" w14:textId="41FB61B7" w:rsidR="00FE16C1" w:rsidRDefault="00E803E6"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505853">
        <w:rPr>
          <w:b/>
          <w:szCs w:val="20"/>
        </w:rPr>
      </w:r>
      <w:r w:rsidR="00505853">
        <w:rPr>
          <w:b/>
          <w:szCs w:val="20"/>
        </w:rPr>
        <w:fldChar w:fldCharType="separate"/>
      </w:r>
      <w:r>
        <w:rPr>
          <w:b/>
          <w:szCs w:val="20"/>
        </w:rPr>
        <w:fldChar w:fldCharType="end"/>
      </w:r>
      <w:r w:rsidR="00FE16C1" w:rsidRPr="0027105F">
        <w:rPr>
          <w:b/>
          <w:szCs w:val="20"/>
        </w:rPr>
        <w:t xml:space="preserve"> </w:t>
      </w:r>
      <w:r w:rsidR="00FE16C1">
        <w:t>No</w:t>
      </w:r>
    </w:p>
    <w:p w14:paraId="63E0839E" w14:textId="372631F2" w:rsidR="00E803E6" w:rsidRDefault="00E803E6" w:rsidP="00A6491A">
      <w:pPr>
        <w:spacing w:before="0" w:after="0"/>
        <w:ind w:left="284"/>
      </w:pPr>
    </w:p>
    <w:p w14:paraId="672D6CB6" w14:textId="053C05CA" w:rsidR="00E803E6" w:rsidRDefault="00E803E6" w:rsidP="00F363B3">
      <w:pPr>
        <w:ind w:left="284"/>
        <w:rPr>
          <w:color w:val="0070C0"/>
        </w:rPr>
      </w:pPr>
      <w:r w:rsidRPr="00E803E6">
        <w:rPr>
          <w:color w:val="0070C0"/>
        </w:rPr>
        <w:t xml:space="preserve">A disposable patient kit </w:t>
      </w:r>
      <w:r>
        <w:rPr>
          <w:color w:val="0070C0"/>
        </w:rPr>
        <w:t xml:space="preserve">(described in question 12) is required for </w:t>
      </w:r>
      <w:proofErr w:type="spellStart"/>
      <w:r>
        <w:rPr>
          <w:color w:val="0070C0"/>
        </w:rPr>
        <w:t>MRgFUS</w:t>
      </w:r>
      <w:proofErr w:type="spellEnd"/>
      <w:r>
        <w:rPr>
          <w:color w:val="0070C0"/>
        </w:rPr>
        <w:t xml:space="preserve"> to achieve its intended effect. Whilst this kit is disposable and not a prosthesis as such. It will require a funding stream and could potentially be included in Part C of the prosthesis list</w:t>
      </w:r>
      <w:r w:rsidRPr="00956793">
        <w:rPr>
          <w:color w:val="0070C0"/>
        </w:rPr>
        <w:t>.</w:t>
      </w:r>
    </w:p>
    <w:p w14:paraId="5D38E01E" w14:textId="69FACB8B" w:rsidR="00E803E6" w:rsidRDefault="00E803E6" w:rsidP="00A6491A">
      <w:pPr>
        <w:spacing w:before="0" w:after="0"/>
        <w:ind w:left="284"/>
      </w:pPr>
    </w:p>
    <w:p w14:paraId="555F7BDF" w14:textId="77777777" w:rsidR="00E803E6" w:rsidRPr="00FE16C1" w:rsidRDefault="00E803E6" w:rsidP="00A6491A">
      <w:pPr>
        <w:spacing w:before="0" w:after="0"/>
        <w:ind w:left="284"/>
      </w:pPr>
    </w:p>
    <w:p w14:paraId="3FE56278" w14:textId="0BA189E5" w:rsidR="000E5439"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4F33C2A0" w14:textId="5DA950E1" w:rsidR="00837081" w:rsidRPr="00837081" w:rsidRDefault="00837081" w:rsidP="00837081">
      <w:pPr>
        <w:ind w:firstLine="284"/>
        <w:rPr>
          <w:color w:val="0070C0"/>
        </w:rPr>
      </w:pPr>
      <w:r w:rsidRPr="00837081">
        <w:rPr>
          <w:color w:val="0070C0"/>
        </w:rPr>
        <w:t>N/A</w:t>
      </w:r>
    </w:p>
    <w:p w14:paraId="5DFF5E59"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sidRPr="000A5B32">
        <w:rPr>
          <w:szCs w:val="20"/>
        </w:rPr>
        <w:t xml:space="preserve"> Yes</w:t>
      </w:r>
    </w:p>
    <w:p w14:paraId="28D3647C"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No  </w:t>
      </w:r>
    </w:p>
    <w:p w14:paraId="50C2AEF4" w14:textId="4390AB9E" w:rsidR="00EC127A" w:rsidRDefault="000E5439" w:rsidP="00580219">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014AB1C" w14:textId="1ADA07F8" w:rsidR="00837081" w:rsidRPr="00837081" w:rsidRDefault="00837081" w:rsidP="00837081">
      <w:pPr>
        <w:ind w:left="360"/>
      </w:pPr>
      <w:r w:rsidRPr="00837081">
        <w:rPr>
          <w:color w:val="0070C0"/>
        </w:rPr>
        <w:t>N/A</w:t>
      </w:r>
    </w:p>
    <w:p w14:paraId="49D42130" w14:textId="39706366" w:rsidR="00411735" w:rsidRDefault="00411735" w:rsidP="00580219">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7A223A3" w14:textId="6D544F45" w:rsidR="00837081" w:rsidRPr="00837081" w:rsidRDefault="00837081" w:rsidP="00837081">
      <w:pPr>
        <w:ind w:left="360"/>
        <w:rPr>
          <w:color w:val="0070C0"/>
        </w:rPr>
      </w:pPr>
      <w:r w:rsidRPr="00837081">
        <w:rPr>
          <w:color w:val="0070C0"/>
        </w:rPr>
        <w:t>N/A</w:t>
      </w:r>
    </w:p>
    <w:p w14:paraId="6A0A0C18"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1E7EF6DF"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sidR="001E6919">
        <w:rPr>
          <w:szCs w:val="20"/>
        </w:rPr>
        <w:t xml:space="preserve"> No</w:t>
      </w:r>
    </w:p>
    <w:p w14:paraId="0D8FD755" w14:textId="5671FECE" w:rsidR="000E5439" w:rsidRDefault="000E5439" w:rsidP="00580219">
      <w:pPr>
        <w:pStyle w:val="Heading2"/>
        <w:numPr>
          <w:ilvl w:val="0"/>
          <w:numId w:val="4"/>
        </w:numPr>
      </w:pPr>
      <w:r w:rsidRPr="007E39E4">
        <w:t>If you are seeking both MBS and PBS listing</w:t>
      </w:r>
      <w:r w:rsidR="00B75965" w:rsidRPr="007E39E4">
        <w:t>, what is the trade name and generic name of the pharmaceutical?</w:t>
      </w:r>
    </w:p>
    <w:p w14:paraId="6E48FEAC" w14:textId="63F6F51B" w:rsidR="00837081" w:rsidRPr="00837081" w:rsidRDefault="00837081" w:rsidP="00837081">
      <w:pPr>
        <w:ind w:left="360"/>
        <w:rPr>
          <w:color w:val="0070C0"/>
        </w:rPr>
      </w:pPr>
      <w:r w:rsidRPr="00837081">
        <w:rPr>
          <w:color w:val="0070C0"/>
        </w:rPr>
        <w:t>N/A</w:t>
      </w:r>
    </w:p>
    <w:p w14:paraId="138CCF0F" w14:textId="0FA46C56" w:rsidR="00B75965" w:rsidRDefault="00837081" w:rsidP="00530204">
      <w:pPr>
        <w:pStyle w:val="Heading2"/>
      </w:pPr>
      <w:r>
        <w:lastRenderedPageBreak/>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1BF03750"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sidRPr="000A5B32">
        <w:rPr>
          <w:szCs w:val="20"/>
        </w:rPr>
        <w:t xml:space="preserve"> Yes</w:t>
      </w:r>
    </w:p>
    <w:p w14:paraId="036AC974" w14:textId="539A55F7" w:rsidR="00E803E6" w:rsidRDefault="00AA08E5" w:rsidP="00D041D4">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D041D4">
        <w:rPr>
          <w:szCs w:val="20"/>
        </w:rPr>
        <w:t xml:space="preserve"> No</w:t>
      </w:r>
    </w:p>
    <w:p w14:paraId="66114C3A" w14:textId="1CF081B7" w:rsidR="00E803E6" w:rsidRPr="00AA08E5" w:rsidRDefault="00AA08E5" w:rsidP="00AA08E5">
      <w:pPr>
        <w:ind w:left="360"/>
        <w:rPr>
          <w:color w:val="0070C0"/>
        </w:rPr>
      </w:pPr>
      <w:r w:rsidRPr="00AA08E5">
        <w:rPr>
          <w:color w:val="0070C0"/>
        </w:rPr>
        <w:t>An application for the disposable patient kit to be included on the P</w:t>
      </w:r>
      <w:r>
        <w:rPr>
          <w:color w:val="0070C0"/>
        </w:rPr>
        <w:t xml:space="preserve">rosthesis List (Part C) </w:t>
      </w:r>
      <w:r w:rsidRPr="00AA08E5">
        <w:rPr>
          <w:color w:val="0070C0"/>
        </w:rPr>
        <w:t>will be made as this assessment progresses through the MSAC process.</w:t>
      </w:r>
    </w:p>
    <w:p w14:paraId="4454661B" w14:textId="77777777" w:rsidR="00E803E6" w:rsidRDefault="00E803E6" w:rsidP="00A6491A">
      <w:pPr>
        <w:spacing w:before="0" w:after="0"/>
        <w:ind w:left="284"/>
        <w:rPr>
          <w:szCs w:val="20"/>
        </w:rPr>
      </w:pPr>
    </w:p>
    <w:p w14:paraId="6E054396" w14:textId="40A63BE4" w:rsidR="001E6919" w:rsidRDefault="001E6919" w:rsidP="00A6491A">
      <w:pPr>
        <w:spacing w:before="0" w:after="0"/>
        <w:ind w:left="284"/>
        <w:rPr>
          <w:szCs w:val="20"/>
        </w:rPr>
      </w:pPr>
      <w:r>
        <w:rPr>
          <w:szCs w:val="20"/>
        </w:rPr>
        <w:br w:type="page"/>
      </w:r>
    </w:p>
    <w:p w14:paraId="5AFED045" w14:textId="77777777" w:rsidR="001E6919" w:rsidRPr="001E6958" w:rsidRDefault="001E6919" w:rsidP="00A6491A">
      <w:pPr>
        <w:spacing w:before="0" w:after="0"/>
        <w:ind w:left="284"/>
        <w:rPr>
          <w:szCs w:val="20"/>
        </w:rPr>
      </w:pPr>
    </w:p>
    <w:p w14:paraId="7C88CDCA" w14:textId="77777777" w:rsidR="00B75965" w:rsidRDefault="00B75965" w:rsidP="00580219">
      <w:pPr>
        <w:pStyle w:val="Heading2"/>
        <w:numPr>
          <w:ilvl w:val="0"/>
          <w:numId w:val="5"/>
        </w:numPr>
      </w:pPr>
      <w:r w:rsidRPr="001E6958">
        <w:t xml:space="preserve">If yes, </w:t>
      </w:r>
      <w:r w:rsidR="00C73B62" w:rsidRPr="001E6958">
        <w:t xml:space="preserve">please provide the following information (where relevant): </w:t>
      </w:r>
    </w:p>
    <w:p w14:paraId="274BBFB6" w14:textId="3DDC5905"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5213D6">
        <w:rPr>
          <w:noProof/>
        </w:rPr>
        <w:t>Insert billing code(s) here</w:t>
      </w:r>
      <w:r w:rsidR="009939DC">
        <w:fldChar w:fldCharType="end"/>
      </w:r>
    </w:p>
    <w:p w14:paraId="20067060" w14:textId="1AB73261"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5213D6">
        <w:rPr>
          <w:noProof/>
        </w:rPr>
        <w:t>Insert trade name here</w:t>
      </w:r>
      <w:r w:rsidR="009939DC">
        <w:fldChar w:fldCharType="end"/>
      </w:r>
    </w:p>
    <w:p w14:paraId="3211E2C0" w14:textId="0705C889"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5213D6">
        <w:rPr>
          <w:noProof/>
        </w:rPr>
        <w:t>Insert clinical name here</w:t>
      </w:r>
      <w:r w:rsidR="009939DC">
        <w:fldChar w:fldCharType="end"/>
      </w:r>
    </w:p>
    <w:p w14:paraId="7334AB5A" w14:textId="6500065A"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5213D6">
        <w:rPr>
          <w:noProof/>
        </w:rPr>
        <w:t>Insert description of device components here</w:t>
      </w:r>
      <w:r w:rsidR="009939DC">
        <w:fldChar w:fldCharType="end"/>
      </w:r>
    </w:p>
    <w:p w14:paraId="469E8019" w14:textId="77777777" w:rsidR="009939DC" w:rsidRDefault="009939DC" w:rsidP="009939DC"/>
    <w:p w14:paraId="49A52835" w14:textId="77777777" w:rsidR="00411735" w:rsidRDefault="00411735" w:rsidP="00580219">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60044D06"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sidRPr="000A5B32">
        <w:rPr>
          <w:szCs w:val="20"/>
        </w:rPr>
        <w:t xml:space="preserve"> Yes</w:t>
      </w:r>
    </w:p>
    <w:p w14:paraId="200BBBDE" w14:textId="1CB62183" w:rsidR="001E6958" w:rsidRPr="009939DC" w:rsidRDefault="0083708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9939DC">
        <w:rPr>
          <w:szCs w:val="20"/>
        </w:rPr>
        <w:t xml:space="preserve"> No  </w:t>
      </w:r>
    </w:p>
    <w:p w14:paraId="7D330192" w14:textId="77777777" w:rsidR="00016B6E" w:rsidRPr="009939DC" w:rsidRDefault="00016B6E" w:rsidP="00580219">
      <w:pPr>
        <w:pStyle w:val="Heading2"/>
        <w:numPr>
          <w:ilvl w:val="0"/>
          <w:numId w:val="5"/>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28D03AA6"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sidRPr="000A5B32">
        <w:rPr>
          <w:szCs w:val="20"/>
        </w:rPr>
        <w:t xml:space="preserve"> Yes</w:t>
      </w:r>
    </w:p>
    <w:p w14:paraId="5766A87A" w14:textId="6AB40491" w:rsidR="009939DC" w:rsidRPr="001E6958" w:rsidRDefault="0083708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9939DC">
        <w:rPr>
          <w:szCs w:val="20"/>
        </w:rPr>
        <w:t xml:space="preserve"> No  </w:t>
      </w:r>
    </w:p>
    <w:p w14:paraId="185A36AD" w14:textId="77777777" w:rsidR="009939DC" w:rsidRDefault="00016B6E" w:rsidP="00580219">
      <w:pPr>
        <w:pStyle w:val="Heading2"/>
        <w:numPr>
          <w:ilvl w:val="0"/>
          <w:numId w:val="5"/>
        </w:numPr>
      </w:pPr>
      <w:r w:rsidRPr="009939DC">
        <w:t>If yes, please provide the name(s) of the spon</w:t>
      </w:r>
      <w:r w:rsidR="009939DC">
        <w:t>sor(s) and / or manufacturer(s):</w:t>
      </w:r>
    </w:p>
    <w:p w14:paraId="57F042F8" w14:textId="2A77400F"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005213D6">
        <w:rPr>
          <w:noProof/>
        </w:rPr>
        <w:t>Insert sponsor and/or manufacturer name(s) here</w:t>
      </w:r>
      <w:r w:rsidRPr="009939DC">
        <w:fldChar w:fldCharType="end"/>
      </w:r>
    </w:p>
    <w:p w14:paraId="3745FFCF"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635B6820" w14:textId="79CD4887" w:rsidR="00975DA0" w:rsidRDefault="009939DC" w:rsidP="00A6491A">
      <w:pPr>
        <w:spacing w:before="0" w:after="0"/>
        <w:ind w:left="284"/>
      </w:pPr>
      <w:r>
        <w:t xml:space="preserve">Single use consumables: </w:t>
      </w:r>
    </w:p>
    <w:p w14:paraId="7F133612" w14:textId="43AA5111" w:rsidR="00975DA0" w:rsidRPr="00975DA0" w:rsidRDefault="00975DA0" w:rsidP="00975DA0">
      <w:pPr>
        <w:spacing w:before="0" w:after="0"/>
        <w:ind w:left="284"/>
        <w:rPr>
          <w:color w:val="0070C0"/>
        </w:rPr>
      </w:pPr>
      <w:r w:rsidRPr="00975DA0">
        <w:rPr>
          <w:color w:val="0070C0"/>
        </w:rPr>
        <w:t xml:space="preserve">Critical to the procedure is a disposable patient </w:t>
      </w:r>
      <w:r>
        <w:rPr>
          <w:color w:val="0070C0"/>
        </w:rPr>
        <w:t>kit comprising:</w:t>
      </w:r>
    </w:p>
    <w:p w14:paraId="1F0E48E0" w14:textId="19F495B7" w:rsidR="00975DA0" w:rsidRPr="00975DA0" w:rsidRDefault="00975DA0" w:rsidP="00580219">
      <w:pPr>
        <w:pStyle w:val="ListParagraph"/>
        <w:numPr>
          <w:ilvl w:val="1"/>
          <w:numId w:val="5"/>
        </w:numPr>
        <w:spacing w:before="0" w:after="0"/>
        <w:ind w:left="1004" w:hanging="437"/>
        <w:rPr>
          <w:color w:val="0070C0"/>
        </w:rPr>
      </w:pPr>
      <w:r w:rsidRPr="00975DA0">
        <w:rPr>
          <w:color w:val="0070C0"/>
        </w:rPr>
        <w:t>DQA gel: Tissue mimicking phantom gel used for Daily Quality Assurance (DQA).</w:t>
      </w:r>
    </w:p>
    <w:p w14:paraId="020E886E" w14:textId="3B6E65CD" w:rsidR="00975DA0" w:rsidRPr="00975DA0" w:rsidRDefault="00975DA0" w:rsidP="00580219">
      <w:pPr>
        <w:pStyle w:val="ListParagraph"/>
        <w:numPr>
          <w:ilvl w:val="1"/>
          <w:numId w:val="5"/>
        </w:numPr>
        <w:spacing w:before="0" w:after="0"/>
        <w:ind w:left="1004" w:hanging="437"/>
        <w:rPr>
          <w:color w:val="0070C0"/>
        </w:rPr>
      </w:pPr>
      <w:r w:rsidRPr="00975DA0">
        <w:rPr>
          <w:color w:val="0070C0"/>
        </w:rPr>
        <w:t>Helmet sealing tube: Water-tight coupling to the transducer.</w:t>
      </w:r>
    </w:p>
    <w:p w14:paraId="02948948" w14:textId="1D035F17" w:rsidR="00975DA0" w:rsidRPr="00975DA0" w:rsidRDefault="00975DA0" w:rsidP="00580219">
      <w:pPr>
        <w:pStyle w:val="ListParagraph"/>
        <w:numPr>
          <w:ilvl w:val="1"/>
          <w:numId w:val="5"/>
        </w:numPr>
        <w:spacing w:before="0" w:after="0"/>
        <w:ind w:left="1004" w:hanging="437"/>
        <w:rPr>
          <w:color w:val="0070C0"/>
        </w:rPr>
      </w:pPr>
      <w:r w:rsidRPr="00975DA0">
        <w:rPr>
          <w:color w:val="0070C0"/>
        </w:rPr>
        <w:t>Cleaning kits: Set of products used for cleaning the system after each treatment.</w:t>
      </w:r>
    </w:p>
    <w:p w14:paraId="17632DCF" w14:textId="5E9774DC" w:rsidR="00975DA0" w:rsidRPr="00975DA0" w:rsidRDefault="00975DA0" w:rsidP="00580219">
      <w:pPr>
        <w:pStyle w:val="ListParagraph"/>
        <w:numPr>
          <w:ilvl w:val="1"/>
          <w:numId w:val="5"/>
        </w:numPr>
        <w:spacing w:before="0" w:after="0"/>
        <w:ind w:left="1004" w:hanging="437"/>
        <w:rPr>
          <w:color w:val="0070C0"/>
        </w:rPr>
      </w:pPr>
      <w:r w:rsidRPr="00975DA0">
        <w:rPr>
          <w:color w:val="0070C0"/>
        </w:rPr>
        <w:t xml:space="preserve">Protective frame pin caps: Silicone protective caps used to cover the frame pins for membrane protection. </w:t>
      </w:r>
    </w:p>
    <w:p w14:paraId="52E10D79" w14:textId="777C0D35" w:rsidR="00975DA0" w:rsidRPr="00975DA0" w:rsidRDefault="00975DA0" w:rsidP="00580219">
      <w:pPr>
        <w:pStyle w:val="ListParagraph"/>
        <w:numPr>
          <w:ilvl w:val="1"/>
          <w:numId w:val="5"/>
        </w:numPr>
        <w:spacing w:before="0" w:after="0"/>
        <w:ind w:left="1004" w:hanging="437"/>
        <w:rPr>
          <w:color w:val="0070C0"/>
        </w:rPr>
      </w:pPr>
      <w:r w:rsidRPr="00975DA0">
        <w:rPr>
          <w:color w:val="0070C0"/>
        </w:rPr>
        <w:t>Stereotactic frame pins: Used for stereotactic frame fixation</w:t>
      </w:r>
    </w:p>
    <w:p w14:paraId="53645A2E" w14:textId="64D2809D" w:rsidR="00975DA0" w:rsidRPr="00975DA0" w:rsidRDefault="00975DA0" w:rsidP="00580219">
      <w:pPr>
        <w:pStyle w:val="ListParagraph"/>
        <w:numPr>
          <w:ilvl w:val="1"/>
          <w:numId w:val="5"/>
        </w:numPr>
        <w:spacing w:before="0" w:after="0"/>
        <w:ind w:left="1004" w:hanging="437"/>
        <w:rPr>
          <w:color w:val="0070C0"/>
        </w:rPr>
      </w:pPr>
      <w:r w:rsidRPr="00975DA0">
        <w:rPr>
          <w:color w:val="0070C0"/>
        </w:rPr>
        <w:t>Silicone membranes: For coupling of patient head to focussed ultrasound helmet</w:t>
      </w:r>
      <w:r w:rsidR="00B73674">
        <w:rPr>
          <w:color w:val="0070C0"/>
        </w:rPr>
        <w:t xml:space="preserve"> with/without an imaging enhancement coil</w:t>
      </w:r>
    </w:p>
    <w:p w14:paraId="266C278C" w14:textId="77777777" w:rsidR="00837081" w:rsidRDefault="00837081" w:rsidP="00A6491A">
      <w:pPr>
        <w:spacing w:before="0" w:after="0"/>
        <w:ind w:left="284"/>
      </w:pPr>
    </w:p>
    <w:p w14:paraId="4D73B7CB" w14:textId="4F08FA03" w:rsidR="00F301F1" w:rsidRPr="00855944" w:rsidRDefault="00F301F1" w:rsidP="00A6491A">
      <w:pPr>
        <w:spacing w:before="0" w:after="0"/>
        <w:ind w:left="284"/>
      </w:pPr>
      <w:r w:rsidRPr="00855944">
        <w:br w:type="page"/>
      </w:r>
    </w:p>
    <w:p w14:paraId="6B5EBE56"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2CB8D00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491217ED" w14:textId="743485B0" w:rsidR="00A26343" w:rsidRPr="006B6369" w:rsidRDefault="00A26343" w:rsidP="00A6491A">
      <w:pPr>
        <w:spacing w:before="0" w:after="0"/>
        <w:ind w:left="284"/>
        <w:rPr>
          <w:color w:val="0070C0"/>
        </w:rPr>
      </w:pPr>
      <w:r w:rsidRPr="00A26343">
        <w:rPr>
          <w:szCs w:val="20"/>
        </w:rPr>
        <w:t>Type of therapeutic good</w:t>
      </w:r>
      <w:r>
        <w:rPr>
          <w:szCs w:val="20"/>
        </w:rPr>
        <w:t xml:space="preserve">: </w:t>
      </w:r>
      <w:r w:rsidR="006B6369" w:rsidRPr="006B6369">
        <w:rPr>
          <w:color w:val="0070C0"/>
        </w:rPr>
        <w:t>Hyperthermia system, ultrasound</w:t>
      </w:r>
    </w:p>
    <w:p w14:paraId="562CC872" w14:textId="289D8991" w:rsidR="00A26343" w:rsidRPr="00975DA0" w:rsidRDefault="00A26343" w:rsidP="00A6491A">
      <w:pPr>
        <w:spacing w:before="0" w:after="0"/>
        <w:ind w:left="284"/>
        <w:rPr>
          <w:color w:val="0070C0"/>
          <w:szCs w:val="20"/>
        </w:rPr>
      </w:pPr>
      <w:r w:rsidRPr="00A26343">
        <w:rPr>
          <w:szCs w:val="20"/>
        </w:rPr>
        <w:t>Manufacturer’s name</w:t>
      </w:r>
      <w:r>
        <w:rPr>
          <w:szCs w:val="20"/>
        </w:rPr>
        <w:t xml:space="preserve">: </w:t>
      </w:r>
      <w:proofErr w:type="spellStart"/>
      <w:r w:rsidR="00975DA0" w:rsidRPr="00975DA0">
        <w:rPr>
          <w:color w:val="0070C0"/>
        </w:rPr>
        <w:t>Insightec</w:t>
      </w:r>
      <w:proofErr w:type="spellEnd"/>
      <w:r w:rsidR="00975DA0" w:rsidRPr="00975DA0">
        <w:rPr>
          <w:color w:val="0070C0"/>
        </w:rPr>
        <w:t xml:space="preserve"> Ltd</w:t>
      </w:r>
    </w:p>
    <w:p w14:paraId="0F12A618" w14:textId="4D534F03" w:rsidR="00A26343" w:rsidRPr="00975DA0" w:rsidRDefault="00A26343" w:rsidP="00A6491A">
      <w:pPr>
        <w:spacing w:before="0" w:after="0"/>
        <w:ind w:left="284"/>
        <w:rPr>
          <w:color w:val="0070C0"/>
          <w:szCs w:val="20"/>
        </w:rPr>
      </w:pPr>
      <w:r w:rsidRPr="00A26343">
        <w:rPr>
          <w:szCs w:val="20"/>
        </w:rPr>
        <w:t>Sponsor’s name</w:t>
      </w:r>
      <w:r>
        <w:rPr>
          <w:szCs w:val="20"/>
        </w:rPr>
        <w:t xml:space="preserve">: </w:t>
      </w:r>
      <w:proofErr w:type="spellStart"/>
      <w:r w:rsidR="00975DA0" w:rsidRPr="00975DA0">
        <w:rPr>
          <w:color w:val="0070C0"/>
        </w:rPr>
        <w:t>Insightec</w:t>
      </w:r>
      <w:proofErr w:type="spellEnd"/>
      <w:r w:rsidR="00975DA0" w:rsidRPr="00975DA0">
        <w:rPr>
          <w:color w:val="0070C0"/>
        </w:rPr>
        <w:t xml:space="preserve"> Ltd</w:t>
      </w:r>
    </w:p>
    <w:p w14:paraId="597A90AD" w14:textId="77777777" w:rsidR="005E2CE3" w:rsidRPr="00154B00" w:rsidRDefault="005E2CE3" w:rsidP="00580219">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4E0D3242"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sidRPr="000A5B32">
        <w:rPr>
          <w:szCs w:val="20"/>
        </w:rPr>
        <w:t xml:space="preserve"> </w:t>
      </w:r>
      <w:r w:rsidRPr="00615F42">
        <w:rPr>
          <w:szCs w:val="20"/>
        </w:rPr>
        <w:t>Class III</w:t>
      </w:r>
    </w:p>
    <w:p w14:paraId="6B4E0004"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sidRPr="000A5B32">
        <w:rPr>
          <w:szCs w:val="20"/>
        </w:rPr>
        <w:t xml:space="preserve"> </w:t>
      </w:r>
      <w:r w:rsidRPr="00615F42">
        <w:rPr>
          <w:szCs w:val="20"/>
        </w:rPr>
        <w:t>AIMD</w:t>
      </w:r>
    </w:p>
    <w:p w14:paraId="2A6384D4" w14:textId="056685C0" w:rsidR="005E2CE3" w:rsidRPr="00154B00" w:rsidRDefault="00324290"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615F42" w:rsidRPr="000A5B32">
        <w:rPr>
          <w:szCs w:val="20"/>
        </w:rPr>
        <w:t xml:space="preserve"> </w:t>
      </w:r>
      <w:r w:rsidR="00615F42" w:rsidRPr="006B6369">
        <w:rPr>
          <w:szCs w:val="20"/>
        </w:rPr>
        <w:t>N</w:t>
      </w:r>
      <w:r w:rsidRPr="006B6369">
        <w:rPr>
          <w:szCs w:val="20"/>
        </w:rPr>
        <w:t>o</w:t>
      </w:r>
    </w:p>
    <w:p w14:paraId="46EB77BB"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25D1C0C"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909CD67" w14:textId="1D31C995" w:rsidR="003421AE" w:rsidRPr="00615F42" w:rsidRDefault="00324290"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615F42">
        <w:rPr>
          <w:szCs w:val="20"/>
        </w:rPr>
        <w:t xml:space="preserve"> No</w:t>
      </w:r>
    </w:p>
    <w:p w14:paraId="6819C879" w14:textId="77777777" w:rsidR="00D85676" w:rsidRDefault="00D85676" w:rsidP="00580219">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402CC4EA" w14:textId="2E8797C8" w:rsidR="0043654D" w:rsidRDefault="00324290"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43654D">
        <w:rPr>
          <w:szCs w:val="20"/>
        </w:rPr>
        <w:t xml:space="preserve"> Yes (if yes, please provide details below)</w:t>
      </w:r>
    </w:p>
    <w:p w14:paraId="108B219F"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No</w:t>
      </w:r>
    </w:p>
    <w:p w14:paraId="449597B8" w14:textId="77777777" w:rsidR="0043654D" w:rsidRPr="00615F42" w:rsidRDefault="0043654D" w:rsidP="0043654D">
      <w:pPr>
        <w:spacing w:before="0" w:after="0"/>
        <w:ind w:left="284"/>
        <w:rPr>
          <w:b/>
          <w:szCs w:val="20"/>
        </w:rPr>
      </w:pPr>
    </w:p>
    <w:p w14:paraId="0B57FD0F" w14:textId="56025AC5" w:rsidR="001A0335" w:rsidRDefault="0043654D" w:rsidP="0043654D">
      <w:pPr>
        <w:spacing w:before="0" w:after="0"/>
        <w:ind w:left="284"/>
        <w:rPr>
          <w:noProof/>
        </w:rPr>
      </w:pPr>
      <w:r w:rsidRPr="0043654D">
        <w:rPr>
          <w:szCs w:val="20"/>
        </w:rPr>
        <w:t>ARTG listing, registration or inclusion number:</w:t>
      </w:r>
      <w:r>
        <w:rPr>
          <w:szCs w:val="20"/>
        </w:rPr>
        <w:t xml:space="preserve">  </w:t>
      </w:r>
      <w:r w:rsidR="006B796D" w:rsidRPr="006B796D">
        <w:rPr>
          <w:color w:val="0070C0"/>
        </w:rPr>
        <w:t xml:space="preserve">ARTG: </w:t>
      </w:r>
      <w:r w:rsidR="001A0335" w:rsidRPr="001A0335">
        <w:rPr>
          <w:color w:val="0070C0"/>
        </w:rPr>
        <w:t xml:space="preserve">260438 </w:t>
      </w:r>
      <w:r w:rsidR="001A0335">
        <w:rPr>
          <w:color w:val="0070C0"/>
        </w:rPr>
        <w:t xml:space="preserve">and </w:t>
      </w:r>
      <w:r w:rsidR="001A0335" w:rsidRPr="001A0335">
        <w:rPr>
          <w:color w:val="0070C0"/>
        </w:rPr>
        <w:t xml:space="preserve">128137 </w:t>
      </w:r>
      <w:r w:rsidR="001A0335">
        <w:rPr>
          <w:noProof/>
        </w:rPr>
        <w:t xml:space="preserve"> </w:t>
      </w:r>
    </w:p>
    <w:p w14:paraId="6BE0F557" w14:textId="39DA6B6D"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324290">
        <w:rPr>
          <w:color w:val="0070C0"/>
        </w:rPr>
        <w:t>M</w:t>
      </w:r>
      <w:r w:rsidR="00324290" w:rsidRPr="00324290">
        <w:rPr>
          <w:color w:val="0070C0"/>
        </w:rPr>
        <w:t>alignant or benign tumours, or other disease conditions</w:t>
      </w:r>
    </w:p>
    <w:p w14:paraId="3030ED83" w14:textId="6F3206D9" w:rsidR="00F301F1" w:rsidRPr="00324290" w:rsidRDefault="0043654D" w:rsidP="00324290">
      <w:pPr>
        <w:spacing w:before="0" w:after="0"/>
        <w:ind w:left="284"/>
        <w:rPr>
          <w:color w:val="0070C0"/>
          <w:szCs w:val="20"/>
        </w:rPr>
      </w:pPr>
      <w:r w:rsidRPr="0043654D">
        <w:rPr>
          <w:szCs w:val="20"/>
        </w:rPr>
        <w:t>TGA approved purpose(s), if applicable:</w:t>
      </w:r>
      <w:r>
        <w:rPr>
          <w:szCs w:val="20"/>
        </w:rPr>
        <w:t xml:space="preserve"> </w:t>
      </w:r>
      <w:r w:rsidR="00324290" w:rsidRPr="00324290">
        <w:rPr>
          <w:color w:val="0070C0"/>
          <w:szCs w:val="20"/>
        </w:rPr>
        <w:t>T</w:t>
      </w:r>
      <w:r w:rsidR="00324290" w:rsidRPr="00324290">
        <w:rPr>
          <w:color w:val="0070C0"/>
        </w:rPr>
        <w:t>o produce and control the delivery of high heat, i.e. temperatures greater than 43 degrees Celsius, to the body for the treatment of malignant or benign tumours, or other disease conditions. It is capable of producing whole body or localized heating effects within tissue or organs using an ultrasonic energy source.</w:t>
      </w:r>
    </w:p>
    <w:p w14:paraId="60148B70" w14:textId="2A322F60" w:rsidR="00C0796F" w:rsidRDefault="00C0796F" w:rsidP="00530204">
      <w:pPr>
        <w:pStyle w:val="Heading2"/>
      </w:pPr>
      <w:r w:rsidRPr="0043654D">
        <w:t>If the therapeutic good has not been listed, registered or included in the ARTG, is the therapeutic good in the process of being considered for inclusion by the TGA?</w:t>
      </w:r>
    </w:p>
    <w:p w14:paraId="6250418D" w14:textId="58838BDA" w:rsidR="00324290" w:rsidRPr="00324290" w:rsidRDefault="00324290" w:rsidP="00324290">
      <w:pPr>
        <w:ind w:firstLine="284"/>
        <w:rPr>
          <w:color w:val="0070C0"/>
        </w:rPr>
      </w:pPr>
      <w:r w:rsidRPr="00324290">
        <w:rPr>
          <w:color w:val="0070C0"/>
        </w:rPr>
        <w:t>N/A</w:t>
      </w:r>
    </w:p>
    <w:p w14:paraId="0F362128"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Yes (please provide details below)</w:t>
      </w:r>
    </w:p>
    <w:p w14:paraId="2AA2AA5D"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No</w:t>
      </w:r>
    </w:p>
    <w:p w14:paraId="3D6E796B" w14:textId="77777777" w:rsidR="0047581D" w:rsidRDefault="0047581D" w:rsidP="0047581D">
      <w:pPr>
        <w:spacing w:before="0" w:after="0"/>
        <w:rPr>
          <w:b/>
          <w:szCs w:val="20"/>
        </w:rPr>
      </w:pPr>
    </w:p>
    <w:p w14:paraId="327E4557" w14:textId="54770DD0"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6F797E17" w14:textId="77777777" w:rsidR="00324290" w:rsidRPr="00324290" w:rsidRDefault="00324290" w:rsidP="00324290">
      <w:pPr>
        <w:ind w:firstLine="284"/>
        <w:rPr>
          <w:color w:val="0070C0"/>
        </w:rPr>
      </w:pPr>
      <w:r w:rsidRPr="00324290">
        <w:rPr>
          <w:color w:val="0070C0"/>
        </w:rPr>
        <w:t>N/A</w:t>
      </w:r>
    </w:p>
    <w:p w14:paraId="3136DD38"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Yes (please provide details below)</w:t>
      </w:r>
    </w:p>
    <w:p w14:paraId="20D1732E"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No</w:t>
      </w:r>
    </w:p>
    <w:p w14:paraId="1E3C6A47" w14:textId="77777777" w:rsidR="000A110D" w:rsidRDefault="000A110D" w:rsidP="00971EDB">
      <w:pPr>
        <w:spacing w:before="0" w:after="0"/>
        <w:rPr>
          <w:szCs w:val="20"/>
        </w:rPr>
      </w:pPr>
    </w:p>
    <w:p w14:paraId="6CE6D77F" w14:textId="77777777" w:rsidR="00F83A9D" w:rsidRPr="00154B00" w:rsidRDefault="00F83A9D" w:rsidP="00F83A9D">
      <w:pPr>
        <w:rPr>
          <w:szCs w:val="20"/>
        </w:rPr>
      </w:pPr>
    </w:p>
    <w:p w14:paraId="6EE60298" w14:textId="77777777" w:rsidR="00DD308E" w:rsidRDefault="00DD308E">
      <w:pPr>
        <w:rPr>
          <w:b/>
          <w:sz w:val="32"/>
          <w:szCs w:val="32"/>
        </w:rPr>
        <w:sectPr w:rsidR="00DD308E" w:rsidSect="00991EE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08FE6AF2"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1AE1C09B" w14:textId="77777777" w:rsidR="00D64012" w:rsidRPr="00832B31" w:rsidRDefault="00D64012" w:rsidP="00D64012">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528"/>
        <w:gridCol w:w="2025"/>
        <w:gridCol w:w="2628"/>
        <w:gridCol w:w="4170"/>
        <w:gridCol w:w="2739"/>
        <w:gridCol w:w="1858"/>
      </w:tblGrid>
      <w:tr w:rsidR="00D64012" w14:paraId="27426C44" w14:textId="77777777" w:rsidTr="00D64012">
        <w:trPr>
          <w:cantSplit/>
          <w:tblHeader/>
        </w:trPr>
        <w:tc>
          <w:tcPr>
            <w:tcW w:w="189" w:type="pct"/>
          </w:tcPr>
          <w:p w14:paraId="61A6BB32" w14:textId="77777777" w:rsidR="00D64012" w:rsidRDefault="00D64012" w:rsidP="00D64012">
            <w:pPr>
              <w:pStyle w:val="TableHEADER"/>
            </w:pPr>
          </w:p>
        </w:tc>
        <w:tc>
          <w:tcPr>
            <w:tcW w:w="726" w:type="pct"/>
          </w:tcPr>
          <w:p w14:paraId="5468528B" w14:textId="77777777" w:rsidR="00D64012" w:rsidRDefault="00D64012" w:rsidP="00D64012">
            <w:pPr>
              <w:pStyle w:val="TableHEADER"/>
            </w:pPr>
            <w:r>
              <w:t>Type of study design*</w:t>
            </w:r>
          </w:p>
        </w:tc>
        <w:tc>
          <w:tcPr>
            <w:tcW w:w="942" w:type="pct"/>
          </w:tcPr>
          <w:p w14:paraId="41336F1F" w14:textId="77777777" w:rsidR="00D64012" w:rsidRDefault="00D64012" w:rsidP="00D64012">
            <w:pPr>
              <w:pStyle w:val="TableHEADER"/>
            </w:pPr>
            <w:r>
              <w:t>Title of journal article  or research project (including any trial identifier or study lead if relevant)</w:t>
            </w:r>
          </w:p>
        </w:tc>
        <w:tc>
          <w:tcPr>
            <w:tcW w:w="1495" w:type="pct"/>
          </w:tcPr>
          <w:p w14:paraId="6D3ABCD2" w14:textId="77777777" w:rsidR="00D64012" w:rsidRDefault="00D64012" w:rsidP="00D64012">
            <w:pPr>
              <w:pStyle w:val="TableHEADER"/>
            </w:pPr>
            <w:r>
              <w:t>Short description of research  (max 50 words)**</w:t>
            </w:r>
          </w:p>
        </w:tc>
        <w:tc>
          <w:tcPr>
            <w:tcW w:w="982" w:type="pct"/>
          </w:tcPr>
          <w:p w14:paraId="016AA5DA" w14:textId="77777777" w:rsidR="00D64012" w:rsidRDefault="00D64012" w:rsidP="00D64012">
            <w:pPr>
              <w:pStyle w:val="TableHEADER"/>
            </w:pPr>
            <w:r w:rsidRPr="00E82F54">
              <w:t xml:space="preserve">Website link to </w:t>
            </w:r>
            <w:r>
              <w:t>journal article or research (if available)</w:t>
            </w:r>
          </w:p>
        </w:tc>
        <w:tc>
          <w:tcPr>
            <w:tcW w:w="666" w:type="pct"/>
          </w:tcPr>
          <w:p w14:paraId="73693C7D" w14:textId="77777777" w:rsidR="00D64012" w:rsidRDefault="00D64012" w:rsidP="00D64012">
            <w:pPr>
              <w:pStyle w:val="TableHEADER"/>
            </w:pPr>
            <w:r w:rsidRPr="00E82F54">
              <w:t>Date</w:t>
            </w:r>
            <w:r>
              <w:t xml:space="preserve"> of publication</w:t>
            </w:r>
            <w:r w:rsidRPr="00E82F54">
              <w:t>*</w:t>
            </w:r>
            <w:r>
              <w:t>**</w:t>
            </w:r>
          </w:p>
        </w:tc>
      </w:tr>
      <w:tr w:rsidR="00D64012" w14:paraId="4DA8A222" w14:textId="77777777" w:rsidTr="00D64012">
        <w:trPr>
          <w:cantSplit/>
        </w:trPr>
        <w:tc>
          <w:tcPr>
            <w:tcW w:w="5000" w:type="pct"/>
            <w:gridSpan w:val="6"/>
          </w:tcPr>
          <w:p w14:paraId="3A403E73" w14:textId="77777777" w:rsidR="00D64012" w:rsidRPr="00E82F54" w:rsidRDefault="00D64012" w:rsidP="00D64012">
            <w:pPr>
              <w:pStyle w:val="TableHEADER"/>
            </w:pPr>
            <w:r>
              <w:t>Randomised controlled trial and OLE</w:t>
            </w:r>
          </w:p>
        </w:tc>
      </w:tr>
      <w:tr w:rsidR="00D64012" w14:paraId="67DA1854" w14:textId="77777777" w:rsidTr="00D64012">
        <w:trPr>
          <w:cantSplit/>
        </w:trPr>
        <w:tc>
          <w:tcPr>
            <w:tcW w:w="189" w:type="pct"/>
            <w:tcBorders>
              <w:bottom w:val="nil"/>
            </w:tcBorders>
          </w:tcPr>
          <w:p w14:paraId="5960E2D1" w14:textId="77777777" w:rsidR="00D64012" w:rsidRPr="00965B6B" w:rsidRDefault="00D64012" w:rsidP="00D64012">
            <w:pPr>
              <w:rPr>
                <w:szCs w:val="20"/>
              </w:rPr>
            </w:pPr>
            <w:r w:rsidRPr="00965B6B">
              <w:rPr>
                <w:szCs w:val="20"/>
              </w:rPr>
              <w:t>1</w:t>
            </w:r>
            <w:r>
              <w:rPr>
                <w:szCs w:val="20"/>
              </w:rPr>
              <w:t>.</w:t>
            </w:r>
          </w:p>
        </w:tc>
        <w:tc>
          <w:tcPr>
            <w:tcW w:w="726" w:type="pct"/>
            <w:tcBorders>
              <w:bottom w:val="nil"/>
            </w:tcBorders>
          </w:tcPr>
          <w:p w14:paraId="74EA5E6A" w14:textId="77777777" w:rsidR="00D64012" w:rsidRDefault="00D64012" w:rsidP="00D64012">
            <w:pPr>
              <w:rPr>
                <w:b/>
                <w:szCs w:val="20"/>
              </w:rPr>
            </w:pPr>
            <w:r>
              <w:t>I</w:t>
            </w:r>
            <w:r w:rsidRPr="0079176C">
              <w:t>nternational, multicentre, RCT</w:t>
            </w:r>
            <w:r>
              <w:t xml:space="preserve"> of </w:t>
            </w:r>
            <w:proofErr w:type="spellStart"/>
            <w:r>
              <w:t>MRgFUS</w:t>
            </w:r>
            <w:proofErr w:type="spellEnd"/>
            <w:r>
              <w:t xml:space="preserve"> vs Sham control</w:t>
            </w:r>
          </w:p>
        </w:tc>
        <w:tc>
          <w:tcPr>
            <w:tcW w:w="942" w:type="pct"/>
          </w:tcPr>
          <w:p w14:paraId="5E34F753" w14:textId="77777777" w:rsidR="00D64012" w:rsidRDefault="00D64012" w:rsidP="00D64012">
            <w:r>
              <w:t xml:space="preserve">A Randomized Trial of Focused Ultrasound </w:t>
            </w:r>
            <w:proofErr w:type="spellStart"/>
            <w:r>
              <w:t>Thalamotomy</w:t>
            </w:r>
            <w:proofErr w:type="spellEnd"/>
            <w:r>
              <w:t xml:space="preserve"> for Essential Tremor</w:t>
            </w:r>
          </w:p>
          <w:p w14:paraId="31011DDE" w14:textId="77777777" w:rsidR="00D64012" w:rsidRDefault="00D64012" w:rsidP="00D64012">
            <w:r>
              <w:t xml:space="preserve">Elias 2016. </w:t>
            </w:r>
          </w:p>
          <w:p w14:paraId="12E3AB03" w14:textId="77777777" w:rsidR="00D64012" w:rsidRPr="0015648A" w:rsidRDefault="00D64012" w:rsidP="00D64012">
            <w:r>
              <w:t xml:space="preserve">ET-002; </w:t>
            </w:r>
            <w:r w:rsidRPr="0079176C">
              <w:t>NCT01827904</w:t>
            </w:r>
          </w:p>
        </w:tc>
        <w:tc>
          <w:tcPr>
            <w:tcW w:w="1495" w:type="pct"/>
          </w:tcPr>
          <w:p w14:paraId="43245201" w14:textId="77777777" w:rsidR="00D64012" w:rsidRDefault="00D64012" w:rsidP="00D64012">
            <w:pPr>
              <w:rPr>
                <w:bCs/>
                <w:szCs w:val="20"/>
              </w:rPr>
            </w:pPr>
            <w:r w:rsidRPr="0015648A">
              <w:rPr>
                <w:bCs/>
                <w:szCs w:val="20"/>
              </w:rPr>
              <w:t xml:space="preserve">Patients diagnosed with medically refractory ET were randomised to receive </w:t>
            </w:r>
            <w:proofErr w:type="spellStart"/>
            <w:r w:rsidRPr="0015648A">
              <w:rPr>
                <w:bCs/>
                <w:szCs w:val="20"/>
              </w:rPr>
              <w:t>MRgFUS</w:t>
            </w:r>
            <w:proofErr w:type="spellEnd"/>
            <w:r w:rsidRPr="0015648A">
              <w:rPr>
                <w:bCs/>
                <w:szCs w:val="20"/>
              </w:rPr>
              <w:t xml:space="preserve"> (N=56) or Sham procedure (N=20) and followed over a 12-month period</w:t>
            </w:r>
            <w:r>
              <w:rPr>
                <w:bCs/>
                <w:szCs w:val="20"/>
              </w:rPr>
              <w:t>.</w:t>
            </w:r>
          </w:p>
          <w:p w14:paraId="636AC7E1" w14:textId="77777777" w:rsidR="00D64012" w:rsidRPr="0015648A" w:rsidRDefault="00D64012" w:rsidP="00D64012">
            <w:pPr>
              <w:rPr>
                <w:bCs/>
                <w:szCs w:val="20"/>
              </w:rPr>
            </w:pPr>
            <w:r>
              <w:rPr>
                <w:bCs/>
                <w:szCs w:val="20"/>
              </w:rPr>
              <w:t xml:space="preserve">Significant reduction in tremor scores (CRST) and disability (CRST part C) as well as significant improvements in </w:t>
            </w:r>
            <w:proofErr w:type="spellStart"/>
            <w:r>
              <w:rPr>
                <w:bCs/>
                <w:szCs w:val="20"/>
              </w:rPr>
              <w:t>HRQoL</w:t>
            </w:r>
            <w:proofErr w:type="spellEnd"/>
            <w:r>
              <w:rPr>
                <w:bCs/>
                <w:szCs w:val="20"/>
              </w:rPr>
              <w:t xml:space="preserve"> and ADL (QUEST) were observed with </w:t>
            </w:r>
            <w:proofErr w:type="spellStart"/>
            <w:r>
              <w:rPr>
                <w:bCs/>
                <w:szCs w:val="20"/>
              </w:rPr>
              <w:t>MRgFUS</w:t>
            </w:r>
            <w:proofErr w:type="spellEnd"/>
            <w:r>
              <w:rPr>
                <w:bCs/>
                <w:szCs w:val="20"/>
              </w:rPr>
              <w:t xml:space="preserve"> compared with no change among patients receiving sham.</w:t>
            </w:r>
          </w:p>
        </w:tc>
        <w:tc>
          <w:tcPr>
            <w:tcW w:w="982" w:type="pct"/>
          </w:tcPr>
          <w:p w14:paraId="1282E293" w14:textId="4D1A555A" w:rsidR="00D64012" w:rsidRPr="00E82F54" w:rsidRDefault="00505853" w:rsidP="00D64012">
            <w:pPr>
              <w:rPr>
                <w:b/>
                <w:szCs w:val="20"/>
              </w:rPr>
            </w:pPr>
            <w:hyperlink r:id="rId16" w:history="1">
              <w:r w:rsidR="00D64012">
                <w:rPr>
                  <w:rStyle w:val="Hyperlink"/>
                </w:rPr>
                <w:t>https://www.nejm.org/doi/full/10.1056/NEJMoa1600159</w:t>
              </w:r>
            </w:hyperlink>
          </w:p>
        </w:tc>
        <w:tc>
          <w:tcPr>
            <w:tcW w:w="666" w:type="pct"/>
          </w:tcPr>
          <w:p w14:paraId="423AE117" w14:textId="77777777" w:rsidR="00D64012" w:rsidRPr="00E82F54" w:rsidRDefault="00D64012" w:rsidP="00D64012">
            <w:pPr>
              <w:rPr>
                <w:b/>
                <w:szCs w:val="20"/>
              </w:rPr>
            </w:pPr>
            <w:r>
              <w:t>August 25, 2016</w:t>
            </w:r>
          </w:p>
        </w:tc>
      </w:tr>
      <w:tr w:rsidR="00D64012" w14:paraId="0E02A176" w14:textId="77777777" w:rsidTr="00D64012">
        <w:trPr>
          <w:cantSplit/>
        </w:trPr>
        <w:tc>
          <w:tcPr>
            <w:tcW w:w="189" w:type="pct"/>
            <w:tcBorders>
              <w:top w:val="nil"/>
              <w:bottom w:val="nil"/>
            </w:tcBorders>
          </w:tcPr>
          <w:p w14:paraId="34E43AB7" w14:textId="77777777" w:rsidR="00D64012" w:rsidRPr="00965B6B" w:rsidRDefault="00D64012" w:rsidP="00D64012">
            <w:pPr>
              <w:rPr>
                <w:szCs w:val="20"/>
              </w:rPr>
            </w:pPr>
          </w:p>
        </w:tc>
        <w:tc>
          <w:tcPr>
            <w:tcW w:w="726" w:type="pct"/>
            <w:tcBorders>
              <w:top w:val="nil"/>
              <w:bottom w:val="nil"/>
            </w:tcBorders>
          </w:tcPr>
          <w:p w14:paraId="32AD3D0C" w14:textId="77777777" w:rsidR="00D64012" w:rsidRDefault="00D64012" w:rsidP="00D64012">
            <w:pPr>
              <w:rPr>
                <w:b/>
                <w:szCs w:val="20"/>
              </w:rPr>
            </w:pPr>
          </w:p>
        </w:tc>
        <w:tc>
          <w:tcPr>
            <w:tcW w:w="942" w:type="pct"/>
          </w:tcPr>
          <w:p w14:paraId="3B0BC289" w14:textId="77777777" w:rsidR="00D64012" w:rsidRDefault="00D64012" w:rsidP="00D64012">
            <w:r>
              <w:t xml:space="preserve">A Prospective Trial of Magnetic Resonance–Guided Focused Ultrasound </w:t>
            </w:r>
            <w:proofErr w:type="spellStart"/>
            <w:r>
              <w:t>Thalamotomy</w:t>
            </w:r>
            <w:proofErr w:type="spellEnd"/>
            <w:r>
              <w:t xml:space="preserve"> for Essential Tremor: Results at the 2-Year Follow-up.</w:t>
            </w:r>
          </w:p>
          <w:p w14:paraId="4D32DF0E" w14:textId="77777777" w:rsidR="00D64012" w:rsidRDefault="00D64012" w:rsidP="00D64012">
            <w:r>
              <w:t>Chang 2018</w:t>
            </w:r>
          </w:p>
          <w:p w14:paraId="33A3FB65" w14:textId="77777777" w:rsidR="00D64012" w:rsidRPr="005775C3" w:rsidRDefault="00D64012" w:rsidP="00D64012">
            <w:r>
              <w:t xml:space="preserve">ET-002; </w:t>
            </w:r>
            <w:r w:rsidRPr="0079176C">
              <w:t>NCT01827904</w:t>
            </w:r>
          </w:p>
        </w:tc>
        <w:tc>
          <w:tcPr>
            <w:tcW w:w="1495" w:type="pct"/>
          </w:tcPr>
          <w:p w14:paraId="34F02D54" w14:textId="77777777" w:rsidR="00D64012" w:rsidRPr="00C12322" w:rsidRDefault="00D64012" w:rsidP="00D64012">
            <w:r>
              <w:t>Two years follow up of RCT E</w:t>
            </w:r>
            <w:r w:rsidRPr="00C12322">
              <w:t>T-002 (Elias 2016).</w:t>
            </w:r>
          </w:p>
          <w:p w14:paraId="7D07CEF9" w14:textId="77777777" w:rsidR="00D64012" w:rsidRDefault="00D64012" w:rsidP="00D64012">
            <w:pPr>
              <w:rPr>
                <w:b/>
                <w:szCs w:val="20"/>
              </w:rPr>
            </w:pPr>
            <w:r w:rsidRPr="00C12322">
              <w:rPr>
                <w:szCs w:val="20"/>
              </w:rPr>
              <w:t xml:space="preserve">Significant improvements in tremor and disability scores were observed from baseline at 6 months post procedure and maintained at one and two year follow up. </w:t>
            </w:r>
          </w:p>
        </w:tc>
        <w:tc>
          <w:tcPr>
            <w:tcW w:w="982" w:type="pct"/>
          </w:tcPr>
          <w:p w14:paraId="2F9C1008" w14:textId="06492E19" w:rsidR="00D64012" w:rsidRPr="00E82F54" w:rsidRDefault="00505853" w:rsidP="00D64012">
            <w:pPr>
              <w:rPr>
                <w:b/>
                <w:szCs w:val="20"/>
              </w:rPr>
            </w:pPr>
            <w:hyperlink r:id="rId17" w:history="1">
              <w:r w:rsidR="00D64012">
                <w:rPr>
                  <w:rStyle w:val="Hyperlink"/>
                </w:rPr>
                <w:t>https://onlinelibrary.wiley.com/doi/abs/10.1002/ana.25126</w:t>
              </w:r>
            </w:hyperlink>
          </w:p>
        </w:tc>
        <w:tc>
          <w:tcPr>
            <w:tcW w:w="666" w:type="pct"/>
          </w:tcPr>
          <w:p w14:paraId="111FDA33" w14:textId="77777777" w:rsidR="00D64012" w:rsidRPr="00E82F54" w:rsidRDefault="00D64012" w:rsidP="00D64012">
            <w:pPr>
              <w:rPr>
                <w:b/>
                <w:szCs w:val="20"/>
              </w:rPr>
            </w:pPr>
            <w:r>
              <w:t>December 19, 2017</w:t>
            </w:r>
          </w:p>
        </w:tc>
      </w:tr>
      <w:tr w:rsidR="00D64012" w14:paraId="1A0CAB2C" w14:textId="77777777" w:rsidTr="00D64012">
        <w:trPr>
          <w:cantSplit/>
        </w:trPr>
        <w:tc>
          <w:tcPr>
            <w:tcW w:w="189" w:type="pct"/>
            <w:tcBorders>
              <w:top w:val="nil"/>
              <w:bottom w:val="single" w:sz="4" w:space="0" w:color="auto"/>
            </w:tcBorders>
          </w:tcPr>
          <w:p w14:paraId="15F8D18F" w14:textId="77777777" w:rsidR="00D64012" w:rsidRPr="00965B6B" w:rsidRDefault="00D64012" w:rsidP="00D64012">
            <w:pPr>
              <w:rPr>
                <w:szCs w:val="20"/>
              </w:rPr>
            </w:pPr>
          </w:p>
        </w:tc>
        <w:tc>
          <w:tcPr>
            <w:tcW w:w="726" w:type="pct"/>
            <w:tcBorders>
              <w:top w:val="nil"/>
              <w:bottom w:val="single" w:sz="4" w:space="0" w:color="auto"/>
            </w:tcBorders>
          </w:tcPr>
          <w:p w14:paraId="058C1C71" w14:textId="77777777" w:rsidR="00D64012" w:rsidRDefault="00D64012" w:rsidP="00D64012">
            <w:pPr>
              <w:rPr>
                <w:b/>
                <w:szCs w:val="20"/>
              </w:rPr>
            </w:pPr>
          </w:p>
        </w:tc>
        <w:tc>
          <w:tcPr>
            <w:tcW w:w="942" w:type="pct"/>
            <w:tcBorders>
              <w:bottom w:val="single" w:sz="4" w:space="0" w:color="auto"/>
            </w:tcBorders>
          </w:tcPr>
          <w:p w14:paraId="6B2BC515" w14:textId="77777777" w:rsidR="00D64012" w:rsidRDefault="00D64012" w:rsidP="00D64012">
            <w:r>
              <w:t xml:space="preserve">Four-Year Follow-Up Results of Magnetic Resonance-Guided Focused Ultrasound </w:t>
            </w:r>
            <w:proofErr w:type="spellStart"/>
            <w:r>
              <w:t>Thalamotomy</w:t>
            </w:r>
            <w:proofErr w:type="spellEnd"/>
            <w:r>
              <w:t xml:space="preserve"> for Essential Tremor</w:t>
            </w:r>
          </w:p>
          <w:p w14:paraId="0934B303" w14:textId="77777777" w:rsidR="00D64012" w:rsidRDefault="00D64012" w:rsidP="00D64012">
            <w:r>
              <w:t>Park et al., 2019</w:t>
            </w:r>
          </w:p>
          <w:p w14:paraId="45C441A5" w14:textId="77777777" w:rsidR="00D64012" w:rsidRDefault="00D64012" w:rsidP="00D64012">
            <w:pPr>
              <w:rPr>
                <w:b/>
                <w:szCs w:val="20"/>
              </w:rPr>
            </w:pPr>
            <w:r>
              <w:t xml:space="preserve">ET-002; </w:t>
            </w:r>
            <w:r w:rsidRPr="0079176C">
              <w:t>NCT01827904</w:t>
            </w:r>
          </w:p>
        </w:tc>
        <w:tc>
          <w:tcPr>
            <w:tcW w:w="1495" w:type="pct"/>
            <w:tcBorders>
              <w:bottom w:val="single" w:sz="4" w:space="0" w:color="auto"/>
            </w:tcBorders>
          </w:tcPr>
          <w:p w14:paraId="151742B1" w14:textId="77777777" w:rsidR="00D64012" w:rsidRDefault="00D64012" w:rsidP="00D64012">
            <w:r>
              <w:t xml:space="preserve">Subgroup of RCT patients (N=15) treated with </w:t>
            </w:r>
            <w:proofErr w:type="spellStart"/>
            <w:r>
              <w:t>MRgFUS</w:t>
            </w:r>
            <w:proofErr w:type="spellEnd"/>
            <w:r>
              <w:t xml:space="preserve"> at the investigation site in Korea with follow up data at 4 years.</w:t>
            </w:r>
          </w:p>
          <w:p w14:paraId="38663B6C" w14:textId="77777777" w:rsidR="00D64012" w:rsidRPr="005775C3" w:rsidRDefault="00D64012" w:rsidP="00D64012">
            <w:pPr>
              <w:rPr>
                <w:bCs/>
                <w:szCs w:val="20"/>
              </w:rPr>
            </w:pPr>
            <w:r w:rsidRPr="005775C3">
              <w:rPr>
                <w:bCs/>
                <w:szCs w:val="20"/>
              </w:rPr>
              <w:t>T</w:t>
            </w:r>
            <w:r>
              <w:rPr>
                <w:bCs/>
                <w:szCs w:val="20"/>
              </w:rPr>
              <w:t>he study demonstrates sustained improvements in tremor and disability scores over 4 years. No permanent adverse events were observed and no newly developed events occurred during 4 years of follow up.</w:t>
            </w:r>
          </w:p>
        </w:tc>
        <w:tc>
          <w:tcPr>
            <w:tcW w:w="982" w:type="pct"/>
            <w:tcBorders>
              <w:bottom w:val="single" w:sz="4" w:space="0" w:color="auto"/>
            </w:tcBorders>
          </w:tcPr>
          <w:p w14:paraId="45025DC6" w14:textId="407A24BD" w:rsidR="00D64012" w:rsidRPr="00950CBE" w:rsidRDefault="00505853" w:rsidP="00D64012">
            <w:pPr>
              <w:rPr>
                <w:b/>
                <w:bCs/>
                <w:szCs w:val="20"/>
              </w:rPr>
            </w:pPr>
            <w:hyperlink r:id="rId18" w:history="1">
              <w:r w:rsidR="00D64012">
                <w:rPr>
                  <w:rStyle w:val="Hyperlink"/>
                </w:rPr>
                <w:t>https://onlinelibrary.wiley.com/doi/abs/10.1002/mds.27637</w:t>
              </w:r>
            </w:hyperlink>
          </w:p>
        </w:tc>
        <w:tc>
          <w:tcPr>
            <w:tcW w:w="666" w:type="pct"/>
            <w:tcBorders>
              <w:bottom w:val="single" w:sz="4" w:space="0" w:color="auto"/>
            </w:tcBorders>
          </w:tcPr>
          <w:p w14:paraId="06D44FF9" w14:textId="77777777" w:rsidR="00D64012" w:rsidRPr="00E82F54" w:rsidRDefault="00D64012" w:rsidP="00D64012">
            <w:pPr>
              <w:rPr>
                <w:b/>
                <w:szCs w:val="20"/>
              </w:rPr>
            </w:pPr>
            <w:r>
              <w:t>February 13, 2019</w:t>
            </w:r>
          </w:p>
        </w:tc>
      </w:tr>
      <w:tr w:rsidR="00D64012" w14:paraId="3300B0B1" w14:textId="77777777" w:rsidTr="00D64012">
        <w:trPr>
          <w:cantSplit/>
        </w:trPr>
        <w:tc>
          <w:tcPr>
            <w:tcW w:w="5000" w:type="pct"/>
            <w:gridSpan w:val="6"/>
            <w:tcBorders>
              <w:top w:val="nil"/>
              <w:bottom w:val="single" w:sz="4" w:space="0" w:color="auto"/>
            </w:tcBorders>
          </w:tcPr>
          <w:p w14:paraId="730F74CC" w14:textId="77777777" w:rsidR="00D64012" w:rsidRPr="00FD6E3D" w:rsidRDefault="00D64012" w:rsidP="00D64012">
            <w:pPr>
              <w:rPr>
                <w:b/>
                <w:bCs/>
              </w:rPr>
            </w:pPr>
            <w:r>
              <w:rPr>
                <w:b/>
                <w:bCs/>
              </w:rPr>
              <w:t>Prospective s</w:t>
            </w:r>
            <w:r w:rsidRPr="00FD6E3D">
              <w:rPr>
                <w:b/>
                <w:bCs/>
              </w:rPr>
              <w:t>ingle arm studies</w:t>
            </w:r>
          </w:p>
        </w:tc>
      </w:tr>
      <w:tr w:rsidR="00D64012" w14:paraId="09E999E7" w14:textId="77777777" w:rsidTr="00D64012">
        <w:trPr>
          <w:cantSplit/>
        </w:trPr>
        <w:tc>
          <w:tcPr>
            <w:tcW w:w="189" w:type="pct"/>
            <w:tcBorders>
              <w:top w:val="nil"/>
              <w:bottom w:val="single" w:sz="4" w:space="0" w:color="auto"/>
            </w:tcBorders>
          </w:tcPr>
          <w:p w14:paraId="3C87566F" w14:textId="77777777" w:rsidR="00D64012" w:rsidRPr="00965B6B" w:rsidRDefault="00D64012" w:rsidP="00D64012">
            <w:pPr>
              <w:rPr>
                <w:szCs w:val="20"/>
              </w:rPr>
            </w:pPr>
          </w:p>
        </w:tc>
        <w:tc>
          <w:tcPr>
            <w:tcW w:w="726" w:type="pct"/>
            <w:tcBorders>
              <w:top w:val="nil"/>
              <w:bottom w:val="single" w:sz="4" w:space="0" w:color="auto"/>
            </w:tcBorders>
          </w:tcPr>
          <w:p w14:paraId="2F0BBBE3" w14:textId="77777777" w:rsidR="00D64012" w:rsidRPr="00FD6E3D" w:rsidRDefault="00D64012" w:rsidP="00D64012">
            <w:pPr>
              <w:rPr>
                <w:bCs/>
                <w:szCs w:val="20"/>
              </w:rPr>
            </w:pPr>
            <w:r>
              <w:rPr>
                <w:bCs/>
                <w:szCs w:val="20"/>
              </w:rPr>
              <w:t>Prospective, s</w:t>
            </w:r>
            <w:r w:rsidRPr="00FD6E3D">
              <w:rPr>
                <w:bCs/>
                <w:szCs w:val="20"/>
              </w:rPr>
              <w:t>ingle arm</w:t>
            </w:r>
            <w:r>
              <w:rPr>
                <w:bCs/>
                <w:szCs w:val="20"/>
              </w:rPr>
              <w:t>, single centre</w:t>
            </w:r>
            <w:r w:rsidRPr="00FD6E3D">
              <w:rPr>
                <w:bCs/>
                <w:szCs w:val="20"/>
              </w:rPr>
              <w:t xml:space="preserve"> study</w:t>
            </w:r>
            <w:r>
              <w:rPr>
                <w:bCs/>
                <w:szCs w:val="20"/>
              </w:rPr>
              <w:t xml:space="preserve"> over 5 years</w:t>
            </w:r>
          </w:p>
        </w:tc>
        <w:tc>
          <w:tcPr>
            <w:tcW w:w="942" w:type="pct"/>
            <w:tcBorders>
              <w:bottom w:val="single" w:sz="4" w:space="0" w:color="auto"/>
            </w:tcBorders>
          </w:tcPr>
          <w:p w14:paraId="7033CBF4" w14:textId="77777777" w:rsidR="00D64012" w:rsidRDefault="00D64012" w:rsidP="00D64012">
            <w:r>
              <w:t xml:space="preserve">Magnetic resonance–guided focused ultrasound </w:t>
            </w:r>
            <w:proofErr w:type="spellStart"/>
            <w:r>
              <w:t>thalamotomy</w:t>
            </w:r>
            <w:proofErr w:type="spellEnd"/>
            <w:r>
              <w:t xml:space="preserve"> for essential tremor: a 5-year single-</w:t>
            </w:r>
            <w:proofErr w:type="spellStart"/>
            <w:r>
              <w:t>center</w:t>
            </w:r>
            <w:proofErr w:type="spellEnd"/>
            <w:r>
              <w:t xml:space="preserve"> experience</w:t>
            </w:r>
          </w:p>
          <w:p w14:paraId="0E243D57" w14:textId="77777777" w:rsidR="00D64012" w:rsidRDefault="00D64012" w:rsidP="00D64012">
            <w:r>
              <w:t>Sinai 2019</w:t>
            </w:r>
          </w:p>
        </w:tc>
        <w:tc>
          <w:tcPr>
            <w:tcW w:w="1495" w:type="pct"/>
            <w:tcBorders>
              <w:bottom w:val="single" w:sz="4" w:space="0" w:color="auto"/>
            </w:tcBorders>
          </w:tcPr>
          <w:p w14:paraId="1F51E316" w14:textId="77777777" w:rsidR="00D64012" w:rsidRDefault="00D64012" w:rsidP="00D64012">
            <w:proofErr w:type="spellStart"/>
            <w:r>
              <w:t>Fourty</w:t>
            </w:r>
            <w:proofErr w:type="spellEnd"/>
            <w:r>
              <w:t xml:space="preserve"> four patients treated with unilateral </w:t>
            </w:r>
            <w:proofErr w:type="spellStart"/>
            <w:r>
              <w:t>MRgFUS</w:t>
            </w:r>
            <w:proofErr w:type="spellEnd"/>
            <w:r>
              <w:t xml:space="preserve"> ventral intermediate nucleus (VIM) </w:t>
            </w:r>
            <w:proofErr w:type="spellStart"/>
            <w:r>
              <w:t>thalamotomy</w:t>
            </w:r>
            <w:proofErr w:type="spellEnd"/>
            <w:r>
              <w:t xml:space="preserve"> were assessed using the Clinical Rating Scale for Tremor (CRST) score and the Quality of Life in Essential Tremor Questionnaire (QUEST) over a 5-year period. Significant improvements in tremor, disability and </w:t>
            </w:r>
            <w:proofErr w:type="spellStart"/>
            <w:r>
              <w:t>QoL</w:t>
            </w:r>
            <w:proofErr w:type="spellEnd"/>
            <w:r>
              <w:t xml:space="preserve"> scores were observed and maintained up to 5 years. AEs were mild and occurred within a week of procedure and reversible in all but 5 patients (11%).</w:t>
            </w:r>
          </w:p>
        </w:tc>
        <w:tc>
          <w:tcPr>
            <w:tcW w:w="982" w:type="pct"/>
            <w:tcBorders>
              <w:bottom w:val="single" w:sz="4" w:space="0" w:color="auto"/>
            </w:tcBorders>
          </w:tcPr>
          <w:p w14:paraId="23818A7A" w14:textId="28E02E38" w:rsidR="00D64012" w:rsidRDefault="00505853" w:rsidP="00D64012">
            <w:hyperlink r:id="rId19" w:history="1">
              <w:r w:rsidR="00D64012" w:rsidRPr="00447D7E">
                <w:rPr>
                  <w:rStyle w:val="Hyperlink"/>
                </w:rPr>
                <w:t>https://www.ncbi.nlm.nih.gov/pubmed/31277064</w:t>
              </w:r>
            </w:hyperlink>
            <w:r w:rsidR="00D64012">
              <w:t xml:space="preserve"> </w:t>
            </w:r>
          </w:p>
        </w:tc>
        <w:tc>
          <w:tcPr>
            <w:tcW w:w="666" w:type="pct"/>
            <w:tcBorders>
              <w:bottom w:val="single" w:sz="4" w:space="0" w:color="auto"/>
            </w:tcBorders>
          </w:tcPr>
          <w:p w14:paraId="3BAA28BC" w14:textId="77777777" w:rsidR="00D64012" w:rsidRDefault="00D64012" w:rsidP="00D64012">
            <w:r>
              <w:t>July, 2019</w:t>
            </w:r>
          </w:p>
        </w:tc>
      </w:tr>
      <w:tr w:rsidR="00D64012" w14:paraId="52045E70" w14:textId="77777777" w:rsidTr="00D64012">
        <w:trPr>
          <w:cantSplit/>
        </w:trPr>
        <w:tc>
          <w:tcPr>
            <w:tcW w:w="189" w:type="pct"/>
            <w:tcBorders>
              <w:top w:val="nil"/>
              <w:bottom w:val="single" w:sz="4" w:space="0" w:color="auto"/>
            </w:tcBorders>
          </w:tcPr>
          <w:p w14:paraId="61C1F215" w14:textId="77777777" w:rsidR="00D64012" w:rsidRPr="00965B6B" w:rsidRDefault="00D64012" w:rsidP="00D64012">
            <w:pPr>
              <w:rPr>
                <w:szCs w:val="20"/>
              </w:rPr>
            </w:pPr>
          </w:p>
        </w:tc>
        <w:tc>
          <w:tcPr>
            <w:tcW w:w="726" w:type="pct"/>
            <w:tcBorders>
              <w:top w:val="nil"/>
              <w:bottom w:val="single" w:sz="4" w:space="0" w:color="auto"/>
            </w:tcBorders>
          </w:tcPr>
          <w:p w14:paraId="6870EE30" w14:textId="77777777" w:rsidR="00D64012" w:rsidRPr="00FD6E3D" w:rsidRDefault="00D64012" w:rsidP="00D64012">
            <w:pPr>
              <w:rPr>
                <w:bCs/>
                <w:szCs w:val="20"/>
              </w:rPr>
            </w:pPr>
            <w:r>
              <w:t>O</w:t>
            </w:r>
            <w:r w:rsidRPr="003A0E67">
              <w:t>pen-label, uncontrolled</w:t>
            </w:r>
            <w:r>
              <w:t xml:space="preserve">, single arm single centre </w:t>
            </w:r>
            <w:r w:rsidRPr="003A0E67">
              <w:t>study</w:t>
            </w:r>
          </w:p>
        </w:tc>
        <w:tc>
          <w:tcPr>
            <w:tcW w:w="942" w:type="pct"/>
            <w:tcBorders>
              <w:bottom w:val="single" w:sz="4" w:space="0" w:color="auto"/>
            </w:tcBorders>
          </w:tcPr>
          <w:p w14:paraId="4F6E8A1E" w14:textId="77777777" w:rsidR="00D64012" w:rsidRDefault="00D64012" w:rsidP="00D64012">
            <w:r>
              <w:t xml:space="preserve">A pilot study of focused ultrasound </w:t>
            </w:r>
            <w:proofErr w:type="spellStart"/>
            <w:r>
              <w:t>thalamotomy</w:t>
            </w:r>
            <w:proofErr w:type="spellEnd"/>
            <w:r>
              <w:t xml:space="preserve"> for essential tremor</w:t>
            </w:r>
          </w:p>
          <w:p w14:paraId="5EB58334" w14:textId="77777777" w:rsidR="00D64012" w:rsidRDefault="00D64012" w:rsidP="00D64012">
            <w:r>
              <w:t>Elias 2013</w:t>
            </w:r>
          </w:p>
        </w:tc>
        <w:tc>
          <w:tcPr>
            <w:tcW w:w="1495" w:type="pct"/>
            <w:tcBorders>
              <w:bottom w:val="single" w:sz="4" w:space="0" w:color="auto"/>
            </w:tcBorders>
          </w:tcPr>
          <w:p w14:paraId="747747B7" w14:textId="77777777" w:rsidR="00D64012" w:rsidRDefault="00D64012" w:rsidP="00D64012">
            <w:r>
              <w:t xml:space="preserve">Unilateral </w:t>
            </w:r>
            <w:proofErr w:type="spellStart"/>
            <w:r>
              <w:t>MRgFUS</w:t>
            </w:r>
            <w:proofErr w:type="spellEnd"/>
            <w:r>
              <w:t xml:space="preserve"> used </w:t>
            </w:r>
            <w:r w:rsidRPr="003A0E67">
              <w:t xml:space="preserve">in 15 patients with severe, medication-refractory </w:t>
            </w:r>
            <w:r>
              <w:t xml:space="preserve">ET. </w:t>
            </w:r>
            <w:r w:rsidRPr="003A0E67">
              <w:t xml:space="preserve">Thermal ablation of the thalamic target occurred in all patients. </w:t>
            </w:r>
            <w:r>
              <w:t xml:space="preserve">Significant improvements observed in tremor, disability and </w:t>
            </w:r>
            <w:proofErr w:type="spellStart"/>
            <w:r>
              <w:t>QoL</w:t>
            </w:r>
            <w:proofErr w:type="spellEnd"/>
            <w:r>
              <w:t xml:space="preserve">. </w:t>
            </w:r>
            <w:r w:rsidRPr="003A0E67">
              <w:t xml:space="preserve">Adverse effects of the procedure included transient sensory, cerebellar, motor, and speech abnormalities, with persistent </w:t>
            </w:r>
            <w:proofErr w:type="spellStart"/>
            <w:r w:rsidRPr="003A0E67">
              <w:t>paresthesias</w:t>
            </w:r>
            <w:proofErr w:type="spellEnd"/>
            <w:r w:rsidRPr="003A0E67">
              <w:t xml:space="preserve"> in four patients</w:t>
            </w:r>
            <w:r>
              <w:t>.</w:t>
            </w:r>
          </w:p>
        </w:tc>
        <w:tc>
          <w:tcPr>
            <w:tcW w:w="982" w:type="pct"/>
            <w:tcBorders>
              <w:bottom w:val="single" w:sz="4" w:space="0" w:color="auto"/>
            </w:tcBorders>
          </w:tcPr>
          <w:p w14:paraId="1F0731EA" w14:textId="3B59DFBA" w:rsidR="00D64012" w:rsidRDefault="00505853" w:rsidP="00D64012">
            <w:hyperlink r:id="rId20" w:history="1">
              <w:r w:rsidR="00D64012">
                <w:rPr>
                  <w:rStyle w:val="Hyperlink"/>
                </w:rPr>
                <w:t>https://www.nejm.org/doi/full/10.1056/NEJMoa1300962</w:t>
              </w:r>
            </w:hyperlink>
          </w:p>
        </w:tc>
        <w:tc>
          <w:tcPr>
            <w:tcW w:w="666" w:type="pct"/>
            <w:tcBorders>
              <w:bottom w:val="single" w:sz="4" w:space="0" w:color="auto"/>
            </w:tcBorders>
          </w:tcPr>
          <w:p w14:paraId="7212B05A" w14:textId="77777777" w:rsidR="00D64012" w:rsidRDefault="00D64012" w:rsidP="00D64012">
            <w:r>
              <w:t>August 15, 2013</w:t>
            </w:r>
          </w:p>
        </w:tc>
      </w:tr>
      <w:tr w:rsidR="00D64012" w14:paraId="2CC72BAE" w14:textId="77777777" w:rsidTr="00D64012">
        <w:trPr>
          <w:cantSplit/>
        </w:trPr>
        <w:tc>
          <w:tcPr>
            <w:tcW w:w="189" w:type="pct"/>
            <w:tcBorders>
              <w:top w:val="nil"/>
              <w:bottom w:val="single" w:sz="4" w:space="0" w:color="auto"/>
            </w:tcBorders>
          </w:tcPr>
          <w:p w14:paraId="0CA7BE57" w14:textId="77777777" w:rsidR="00D64012" w:rsidRPr="00965B6B" w:rsidRDefault="00D64012" w:rsidP="00D64012">
            <w:pPr>
              <w:rPr>
                <w:szCs w:val="20"/>
              </w:rPr>
            </w:pPr>
          </w:p>
        </w:tc>
        <w:tc>
          <w:tcPr>
            <w:tcW w:w="726" w:type="pct"/>
            <w:tcBorders>
              <w:top w:val="nil"/>
              <w:bottom w:val="single" w:sz="4" w:space="0" w:color="auto"/>
            </w:tcBorders>
          </w:tcPr>
          <w:p w14:paraId="1A3DC64E" w14:textId="77777777" w:rsidR="00D64012" w:rsidRPr="00FD6E3D" w:rsidRDefault="00D64012" w:rsidP="00D64012">
            <w:pPr>
              <w:rPr>
                <w:bCs/>
                <w:szCs w:val="20"/>
              </w:rPr>
            </w:pPr>
            <w:r>
              <w:rPr>
                <w:bCs/>
                <w:szCs w:val="20"/>
              </w:rPr>
              <w:t>Prospective single centre, single arm study</w:t>
            </w:r>
          </w:p>
        </w:tc>
        <w:tc>
          <w:tcPr>
            <w:tcW w:w="942" w:type="pct"/>
            <w:tcBorders>
              <w:bottom w:val="single" w:sz="4" w:space="0" w:color="auto"/>
            </w:tcBorders>
          </w:tcPr>
          <w:p w14:paraId="4EED68BD" w14:textId="77777777" w:rsidR="00D64012" w:rsidRDefault="00D64012" w:rsidP="00D64012">
            <w:r>
              <w:t xml:space="preserve">Magnetic resonance guided focused ultrasound </w:t>
            </w:r>
            <w:proofErr w:type="spellStart"/>
            <w:r>
              <w:t>thalamotomy</w:t>
            </w:r>
            <w:proofErr w:type="spellEnd"/>
            <w:r>
              <w:t xml:space="preserve"> for tremor: a report of 30 Parkinson's disease and essential tremor cases</w:t>
            </w:r>
          </w:p>
          <w:p w14:paraId="04D802AA" w14:textId="77777777" w:rsidR="00D64012" w:rsidRDefault="00D64012" w:rsidP="00D64012">
            <w:proofErr w:type="spellStart"/>
            <w:r>
              <w:t>Zaaroor</w:t>
            </w:r>
            <w:proofErr w:type="spellEnd"/>
            <w:r>
              <w:t xml:space="preserve"> 2018</w:t>
            </w:r>
          </w:p>
        </w:tc>
        <w:tc>
          <w:tcPr>
            <w:tcW w:w="1495" w:type="pct"/>
            <w:tcBorders>
              <w:bottom w:val="single" w:sz="4" w:space="0" w:color="auto"/>
            </w:tcBorders>
          </w:tcPr>
          <w:p w14:paraId="6DEAEBBA" w14:textId="77777777" w:rsidR="00D64012" w:rsidRDefault="00D64012" w:rsidP="00D64012">
            <w:r w:rsidRPr="003A0E67">
              <w:t xml:space="preserve">Patients with severe medication-resistant tremor underwent unilateral VIM </w:t>
            </w:r>
            <w:proofErr w:type="spellStart"/>
            <w:r w:rsidRPr="003A0E67">
              <w:t>thalamotomy</w:t>
            </w:r>
            <w:proofErr w:type="spellEnd"/>
            <w:r w:rsidRPr="003A0E67">
              <w:t xml:space="preserve"> using </w:t>
            </w:r>
            <w:proofErr w:type="spellStart"/>
            <w:r w:rsidRPr="003A0E67">
              <w:t>MRgFUS</w:t>
            </w:r>
            <w:proofErr w:type="spellEnd"/>
            <w:r w:rsidRPr="003A0E67">
              <w:t xml:space="preserve">. Effects on tremor were evaluated using CRST in </w:t>
            </w:r>
            <w:r>
              <w:t xml:space="preserve">18 </w:t>
            </w:r>
            <w:r w:rsidRPr="003A0E67">
              <w:t>patients with ET</w:t>
            </w:r>
            <w:r>
              <w:t xml:space="preserve">. </w:t>
            </w:r>
            <w:proofErr w:type="spellStart"/>
            <w:r>
              <w:t>SIgnfiiant</w:t>
            </w:r>
            <w:proofErr w:type="spellEnd"/>
            <w:r>
              <w:t xml:space="preserve"> </w:t>
            </w:r>
            <w:proofErr w:type="spellStart"/>
            <w:r>
              <w:t>imporemtns</w:t>
            </w:r>
            <w:proofErr w:type="spellEnd"/>
            <w:r>
              <w:t xml:space="preserve"> were observed in both CRST and QUEST scores. Adverse events were transient and none lasted beyond 3 months.</w:t>
            </w:r>
          </w:p>
        </w:tc>
        <w:tc>
          <w:tcPr>
            <w:tcW w:w="982" w:type="pct"/>
            <w:tcBorders>
              <w:bottom w:val="single" w:sz="4" w:space="0" w:color="auto"/>
            </w:tcBorders>
          </w:tcPr>
          <w:p w14:paraId="686232B5" w14:textId="01E8C40E" w:rsidR="00D64012" w:rsidRDefault="00505853" w:rsidP="00D64012">
            <w:hyperlink r:id="rId21" w:history="1">
              <w:r w:rsidR="00D64012">
                <w:rPr>
                  <w:rStyle w:val="Hyperlink"/>
                </w:rPr>
                <w:t>https://www.ncbi.nlm.nih.gov/pubmed/28298022</w:t>
              </w:r>
            </w:hyperlink>
          </w:p>
        </w:tc>
        <w:tc>
          <w:tcPr>
            <w:tcW w:w="666" w:type="pct"/>
            <w:tcBorders>
              <w:bottom w:val="single" w:sz="4" w:space="0" w:color="auto"/>
            </w:tcBorders>
          </w:tcPr>
          <w:p w14:paraId="1A403893" w14:textId="77777777" w:rsidR="00D64012" w:rsidRDefault="00D64012" w:rsidP="00D64012">
            <w:r>
              <w:t>January, 2018</w:t>
            </w:r>
          </w:p>
        </w:tc>
      </w:tr>
      <w:tr w:rsidR="00D64012" w14:paraId="06FC6659" w14:textId="77777777" w:rsidTr="00D64012">
        <w:trPr>
          <w:cantSplit/>
        </w:trPr>
        <w:tc>
          <w:tcPr>
            <w:tcW w:w="5000" w:type="pct"/>
            <w:gridSpan w:val="6"/>
            <w:tcBorders>
              <w:top w:val="single" w:sz="4" w:space="0" w:color="auto"/>
            </w:tcBorders>
          </w:tcPr>
          <w:p w14:paraId="6FE3889A" w14:textId="77777777" w:rsidR="00D64012" w:rsidRPr="00216AF2" w:rsidRDefault="00D64012" w:rsidP="00D64012">
            <w:pPr>
              <w:rPr>
                <w:b/>
                <w:bCs/>
              </w:rPr>
            </w:pPr>
            <w:r w:rsidRPr="00216AF2">
              <w:rPr>
                <w:b/>
                <w:bCs/>
              </w:rPr>
              <w:t>Safety studies</w:t>
            </w:r>
          </w:p>
        </w:tc>
      </w:tr>
      <w:tr w:rsidR="00D64012" w14:paraId="6D3770E5" w14:textId="77777777" w:rsidTr="00D64012">
        <w:trPr>
          <w:cantSplit/>
        </w:trPr>
        <w:tc>
          <w:tcPr>
            <w:tcW w:w="189" w:type="pct"/>
          </w:tcPr>
          <w:p w14:paraId="1BEF151D" w14:textId="77777777" w:rsidR="00D64012" w:rsidRPr="00965B6B" w:rsidRDefault="00D64012" w:rsidP="00D64012">
            <w:pPr>
              <w:rPr>
                <w:szCs w:val="20"/>
              </w:rPr>
            </w:pPr>
            <w:r>
              <w:rPr>
                <w:szCs w:val="20"/>
              </w:rPr>
              <w:t>2.</w:t>
            </w:r>
          </w:p>
        </w:tc>
        <w:tc>
          <w:tcPr>
            <w:tcW w:w="726" w:type="pct"/>
          </w:tcPr>
          <w:p w14:paraId="3E09B687" w14:textId="77777777" w:rsidR="00D64012" w:rsidRDefault="00D64012" w:rsidP="00D64012">
            <w:pPr>
              <w:rPr>
                <w:b/>
                <w:szCs w:val="20"/>
              </w:rPr>
            </w:pPr>
            <w:r>
              <w:t xml:space="preserve">Pooled Safety analysis of five cohorts </w:t>
            </w:r>
          </w:p>
        </w:tc>
        <w:tc>
          <w:tcPr>
            <w:tcW w:w="942" w:type="pct"/>
          </w:tcPr>
          <w:p w14:paraId="15AC2D57" w14:textId="77777777" w:rsidR="00D64012" w:rsidRDefault="00D64012" w:rsidP="00D64012">
            <w:r>
              <w:t xml:space="preserve">Neurological Adverse Event Profile of Magnetic Resonance Imaging–Guided Focused Ultrasound </w:t>
            </w:r>
            <w:proofErr w:type="spellStart"/>
            <w:r>
              <w:t>Thalamotomy</w:t>
            </w:r>
            <w:proofErr w:type="spellEnd"/>
            <w:r>
              <w:t xml:space="preserve"> for Essential Tremor</w:t>
            </w:r>
          </w:p>
          <w:p w14:paraId="09542359" w14:textId="77777777" w:rsidR="00D64012" w:rsidRDefault="00D64012" w:rsidP="00D64012">
            <w:pPr>
              <w:rPr>
                <w:b/>
                <w:szCs w:val="20"/>
              </w:rPr>
            </w:pPr>
            <w:r>
              <w:t>Fishman 2018</w:t>
            </w:r>
          </w:p>
        </w:tc>
        <w:tc>
          <w:tcPr>
            <w:tcW w:w="1495" w:type="pct"/>
          </w:tcPr>
          <w:p w14:paraId="7BDCBE68" w14:textId="77777777" w:rsidR="00D64012" w:rsidRDefault="00D64012" w:rsidP="00D64012">
            <w:pPr>
              <w:rPr>
                <w:b/>
                <w:szCs w:val="20"/>
              </w:rPr>
            </w:pPr>
            <w:r w:rsidRPr="00216AF2">
              <w:t xml:space="preserve">Analysis of safety data for </w:t>
            </w:r>
            <w:proofErr w:type="spellStart"/>
            <w:r>
              <w:t>MRgFUS</w:t>
            </w:r>
            <w:proofErr w:type="spellEnd"/>
            <w:r>
              <w:t xml:space="preserve"> </w:t>
            </w:r>
            <w:r w:rsidRPr="00216AF2">
              <w:t>(</w:t>
            </w:r>
            <w:r>
              <w:t>N=</w:t>
            </w:r>
            <w:r w:rsidRPr="00216AF2">
              <w:t>186, five studies)</w:t>
            </w:r>
            <w:r>
              <w:t xml:space="preserve"> t</w:t>
            </w:r>
            <w:r w:rsidRPr="00216AF2">
              <w:t xml:space="preserve">o determine the safety profile </w:t>
            </w:r>
            <w:r>
              <w:t xml:space="preserve">of unilateral treatment </w:t>
            </w:r>
            <w:r w:rsidRPr="00216AF2">
              <w:t xml:space="preserve">for </w:t>
            </w:r>
            <w:r>
              <w:t>ET</w:t>
            </w:r>
            <w:r w:rsidRPr="00216AF2">
              <w:t>, including frequency, and severity of adverse events, including serious adverse events.</w:t>
            </w:r>
            <w:r>
              <w:t xml:space="preserve"> </w:t>
            </w:r>
            <w:r w:rsidRPr="00216AF2">
              <w:t xml:space="preserve">Procedure‐related </w:t>
            </w:r>
            <w:r>
              <w:t>SAEs</w:t>
            </w:r>
            <w:r w:rsidRPr="00216AF2">
              <w:t xml:space="preserve"> were infrequent (1.6%), without intracerebral </w:t>
            </w:r>
            <w:proofErr w:type="spellStart"/>
            <w:r w:rsidRPr="00216AF2">
              <w:t>hemorrhages</w:t>
            </w:r>
            <w:proofErr w:type="spellEnd"/>
            <w:r w:rsidRPr="00216AF2">
              <w:t xml:space="preserve"> or infections. </w:t>
            </w:r>
            <w:r>
              <w:t>AEs</w:t>
            </w:r>
            <w:r w:rsidRPr="00216AF2">
              <w:t xml:space="preserve"> were </w:t>
            </w:r>
            <w:r>
              <w:t xml:space="preserve">usually </w:t>
            </w:r>
            <w:r w:rsidRPr="00216AF2">
              <w:t>transient and commonly rated as mild (79%) and rarely severe (1%).</w:t>
            </w:r>
          </w:p>
        </w:tc>
        <w:tc>
          <w:tcPr>
            <w:tcW w:w="982" w:type="pct"/>
          </w:tcPr>
          <w:p w14:paraId="5E819B02" w14:textId="59B60CA0" w:rsidR="00D64012" w:rsidRPr="00E82F54" w:rsidRDefault="00505853" w:rsidP="00D64012">
            <w:pPr>
              <w:rPr>
                <w:b/>
                <w:szCs w:val="20"/>
              </w:rPr>
            </w:pPr>
            <w:hyperlink r:id="rId22" w:history="1">
              <w:r w:rsidR="00D64012">
                <w:rPr>
                  <w:rStyle w:val="Hyperlink"/>
                </w:rPr>
                <w:t>https://onlinelibrary.wiley.com/doi/abs/10.1002/mds.27401</w:t>
              </w:r>
            </w:hyperlink>
          </w:p>
        </w:tc>
        <w:tc>
          <w:tcPr>
            <w:tcW w:w="666" w:type="pct"/>
          </w:tcPr>
          <w:p w14:paraId="2D24860D" w14:textId="77777777" w:rsidR="00D64012" w:rsidRPr="00E82F54" w:rsidRDefault="00D64012" w:rsidP="00D64012">
            <w:pPr>
              <w:rPr>
                <w:b/>
                <w:szCs w:val="20"/>
              </w:rPr>
            </w:pPr>
            <w:r w:rsidRPr="00216AF2">
              <w:t xml:space="preserve">April </w:t>
            </w:r>
            <w:r>
              <w:t xml:space="preserve">27, </w:t>
            </w:r>
            <w:r w:rsidRPr="00216AF2">
              <w:t>2018</w:t>
            </w:r>
          </w:p>
        </w:tc>
      </w:tr>
      <w:tr w:rsidR="00D64012" w14:paraId="3BD4BC1E" w14:textId="77777777" w:rsidTr="00D64012">
        <w:trPr>
          <w:cantSplit/>
        </w:trPr>
        <w:tc>
          <w:tcPr>
            <w:tcW w:w="5000" w:type="pct"/>
            <w:gridSpan w:val="6"/>
          </w:tcPr>
          <w:p w14:paraId="02F2E8AC" w14:textId="77777777" w:rsidR="00D64012" w:rsidRPr="00A52E19" w:rsidRDefault="00D64012" w:rsidP="00D64012">
            <w:pPr>
              <w:keepNext/>
              <w:rPr>
                <w:b/>
                <w:bCs/>
              </w:rPr>
            </w:pPr>
            <w:r w:rsidRPr="00A52E19">
              <w:rPr>
                <w:b/>
                <w:bCs/>
              </w:rPr>
              <w:lastRenderedPageBreak/>
              <w:t>Systematic literature reviews and meta-analyses</w:t>
            </w:r>
          </w:p>
        </w:tc>
      </w:tr>
      <w:tr w:rsidR="00D64012" w14:paraId="09674124" w14:textId="77777777" w:rsidTr="00D64012">
        <w:trPr>
          <w:cantSplit/>
        </w:trPr>
        <w:tc>
          <w:tcPr>
            <w:tcW w:w="189" w:type="pct"/>
          </w:tcPr>
          <w:p w14:paraId="6B419620" w14:textId="77777777" w:rsidR="00D64012" w:rsidRDefault="00D64012" w:rsidP="00D64012">
            <w:pPr>
              <w:rPr>
                <w:szCs w:val="20"/>
              </w:rPr>
            </w:pPr>
            <w:r>
              <w:rPr>
                <w:szCs w:val="20"/>
              </w:rPr>
              <w:t xml:space="preserve">3. </w:t>
            </w:r>
          </w:p>
        </w:tc>
        <w:tc>
          <w:tcPr>
            <w:tcW w:w="726" w:type="pct"/>
          </w:tcPr>
          <w:p w14:paraId="4E29488E" w14:textId="77777777" w:rsidR="00D64012" w:rsidRDefault="00D64012" w:rsidP="00D64012">
            <w:r>
              <w:t>Systematic literature review and meta-analysis</w:t>
            </w:r>
          </w:p>
        </w:tc>
        <w:tc>
          <w:tcPr>
            <w:tcW w:w="942" w:type="pct"/>
          </w:tcPr>
          <w:p w14:paraId="20D13E0A" w14:textId="77777777" w:rsidR="00D64012" w:rsidRDefault="00D64012" w:rsidP="00D64012">
            <w:r>
              <w:t>A meta-analysis of outcomes and complications of magnetic resonance–guided focused ultrasound in the treatment of essential tremor</w:t>
            </w:r>
          </w:p>
          <w:p w14:paraId="1645BFEE" w14:textId="77777777" w:rsidR="00D64012" w:rsidRDefault="00D64012" w:rsidP="00D64012">
            <w:r>
              <w:t>Mohammed 2018</w:t>
            </w:r>
          </w:p>
        </w:tc>
        <w:tc>
          <w:tcPr>
            <w:tcW w:w="1495" w:type="pct"/>
          </w:tcPr>
          <w:p w14:paraId="0CE0CD14" w14:textId="77777777" w:rsidR="00D64012" w:rsidRPr="00216AF2" w:rsidRDefault="00D64012" w:rsidP="00D64012">
            <w:r>
              <w:t xml:space="preserve">Systematic review and </w:t>
            </w:r>
            <w:proofErr w:type="spellStart"/>
            <w:r>
              <w:t>meta analysis</w:t>
            </w:r>
            <w:proofErr w:type="spellEnd"/>
            <w:r>
              <w:t xml:space="preserve"> conducted to </w:t>
            </w:r>
            <w:proofErr w:type="spellStart"/>
            <w:r>
              <w:t>analyze</w:t>
            </w:r>
            <w:proofErr w:type="spellEnd"/>
            <w:r>
              <w:t xml:space="preserve"> the overall outcomes and complications of </w:t>
            </w:r>
            <w:proofErr w:type="spellStart"/>
            <w:r>
              <w:t>MRgFUS</w:t>
            </w:r>
            <w:proofErr w:type="spellEnd"/>
            <w:r>
              <w:t xml:space="preserve"> in the treatment of essential tremor (ET). The MA comprised 1 RCT, 6 retrospective and 2 prospective studies.</w:t>
            </w:r>
          </w:p>
        </w:tc>
        <w:tc>
          <w:tcPr>
            <w:tcW w:w="982" w:type="pct"/>
          </w:tcPr>
          <w:p w14:paraId="272833E9" w14:textId="380F312B" w:rsidR="00D64012" w:rsidRDefault="00505853" w:rsidP="00D64012">
            <w:hyperlink r:id="rId23" w:history="1">
              <w:r w:rsidR="00D64012">
                <w:rPr>
                  <w:rStyle w:val="Hyperlink"/>
                </w:rPr>
                <w:t>https://thejns.org/focus/view/journals/neurosurg-focus/44/2/article-pE4.xml</w:t>
              </w:r>
            </w:hyperlink>
          </w:p>
        </w:tc>
        <w:tc>
          <w:tcPr>
            <w:tcW w:w="666" w:type="pct"/>
          </w:tcPr>
          <w:p w14:paraId="4C5C3B99" w14:textId="77777777" w:rsidR="00D64012" w:rsidRPr="00216AF2" w:rsidRDefault="00D64012" w:rsidP="00D64012">
            <w:r>
              <w:t>February, 2018</w:t>
            </w:r>
          </w:p>
        </w:tc>
      </w:tr>
      <w:tr w:rsidR="00D64012" w14:paraId="3AF52A09" w14:textId="77777777" w:rsidTr="00D64012">
        <w:trPr>
          <w:cantSplit/>
        </w:trPr>
        <w:tc>
          <w:tcPr>
            <w:tcW w:w="5000" w:type="pct"/>
            <w:gridSpan w:val="6"/>
          </w:tcPr>
          <w:p w14:paraId="593AAC69" w14:textId="77777777" w:rsidR="00D64012" w:rsidRPr="004A1649" w:rsidRDefault="00D64012" w:rsidP="00D64012">
            <w:pPr>
              <w:rPr>
                <w:b/>
                <w:bCs/>
              </w:rPr>
            </w:pPr>
            <w:r>
              <w:rPr>
                <w:b/>
                <w:bCs/>
              </w:rPr>
              <w:t>Comparative studies</w:t>
            </w:r>
          </w:p>
        </w:tc>
      </w:tr>
      <w:tr w:rsidR="00D64012" w14:paraId="1A6FD904" w14:textId="77777777" w:rsidTr="00D64012">
        <w:trPr>
          <w:cantSplit/>
        </w:trPr>
        <w:tc>
          <w:tcPr>
            <w:tcW w:w="189" w:type="pct"/>
            <w:tcBorders>
              <w:bottom w:val="single" w:sz="4" w:space="0" w:color="auto"/>
            </w:tcBorders>
          </w:tcPr>
          <w:p w14:paraId="6A5A78B4" w14:textId="77777777" w:rsidR="00D64012" w:rsidRDefault="00D64012" w:rsidP="00D64012">
            <w:pPr>
              <w:rPr>
                <w:szCs w:val="20"/>
              </w:rPr>
            </w:pPr>
            <w:r>
              <w:rPr>
                <w:szCs w:val="20"/>
              </w:rPr>
              <w:t>5.</w:t>
            </w:r>
          </w:p>
        </w:tc>
        <w:tc>
          <w:tcPr>
            <w:tcW w:w="726" w:type="pct"/>
            <w:tcBorders>
              <w:bottom w:val="single" w:sz="4" w:space="0" w:color="auto"/>
            </w:tcBorders>
          </w:tcPr>
          <w:p w14:paraId="2BD57EA3" w14:textId="77777777" w:rsidR="00D64012" w:rsidRDefault="00D64012" w:rsidP="00D64012">
            <w:r>
              <w:t xml:space="preserve">Indirect comparison of </w:t>
            </w:r>
            <w:proofErr w:type="spellStart"/>
            <w:r>
              <w:t>MRgFUS</w:t>
            </w:r>
            <w:proofErr w:type="spellEnd"/>
            <w:r>
              <w:t xml:space="preserve"> vs other interventions for ET </w:t>
            </w:r>
          </w:p>
        </w:tc>
        <w:tc>
          <w:tcPr>
            <w:tcW w:w="942" w:type="pct"/>
            <w:tcBorders>
              <w:bottom w:val="single" w:sz="4" w:space="0" w:color="auto"/>
            </w:tcBorders>
          </w:tcPr>
          <w:p w14:paraId="3868069C" w14:textId="77777777" w:rsidR="00D64012" w:rsidRDefault="00D64012" w:rsidP="00D64012">
            <w:r>
              <w:t xml:space="preserve">Focused ultrasound </w:t>
            </w:r>
            <w:proofErr w:type="spellStart"/>
            <w:r>
              <w:t>Thalamotomy</w:t>
            </w:r>
            <w:proofErr w:type="spellEnd"/>
            <w:r>
              <w:t xml:space="preserve"> and Other Interventions for Medication-Refractory Essential Tremor: An Indirect Comparison of Short-Term Impact on Health-Related Quality of Life</w:t>
            </w:r>
          </w:p>
          <w:p w14:paraId="09D26EE2" w14:textId="77777777" w:rsidR="00D64012" w:rsidRDefault="00D64012" w:rsidP="00D64012">
            <w:r>
              <w:t>Langford 2018</w:t>
            </w:r>
          </w:p>
        </w:tc>
        <w:tc>
          <w:tcPr>
            <w:tcW w:w="1495" w:type="pct"/>
            <w:tcBorders>
              <w:bottom w:val="single" w:sz="4" w:space="0" w:color="auto"/>
            </w:tcBorders>
          </w:tcPr>
          <w:p w14:paraId="68F49044" w14:textId="77777777" w:rsidR="00D64012" w:rsidRPr="00216AF2" w:rsidRDefault="00D64012" w:rsidP="00D64012">
            <w:r>
              <w:t>A systematic literature review was conducted to identify clinical, health-related quality of life (</w:t>
            </w:r>
            <w:proofErr w:type="spellStart"/>
            <w:r>
              <w:t>HRQoL</w:t>
            </w:r>
            <w:proofErr w:type="spellEnd"/>
            <w:r>
              <w:t xml:space="preserve">), and economic evidence for each intervention. The matching-adjusted indirect comparison and simulated treatment comparison results demonstrated no evidence of a difference in efficacy (CRST) and </w:t>
            </w:r>
            <w:proofErr w:type="spellStart"/>
            <w:r>
              <w:t>HRQoL</w:t>
            </w:r>
            <w:proofErr w:type="spellEnd"/>
            <w:r>
              <w:t xml:space="preserve"> (CRST Part C) outcomes between </w:t>
            </w:r>
            <w:proofErr w:type="spellStart"/>
            <w:r>
              <w:t>MRgFUS</w:t>
            </w:r>
            <w:proofErr w:type="spellEnd"/>
            <w:r>
              <w:t xml:space="preserve"> and unilateral DBS in the short term (≤12 months)</w:t>
            </w:r>
          </w:p>
        </w:tc>
        <w:tc>
          <w:tcPr>
            <w:tcW w:w="982" w:type="pct"/>
            <w:tcBorders>
              <w:bottom w:val="single" w:sz="4" w:space="0" w:color="auto"/>
            </w:tcBorders>
          </w:tcPr>
          <w:p w14:paraId="094F7B70" w14:textId="39DDFD56" w:rsidR="00D64012" w:rsidRDefault="00505853" w:rsidP="00D64012">
            <w:hyperlink r:id="rId24" w:history="1">
              <w:r w:rsidR="00D64012">
                <w:rPr>
                  <w:rStyle w:val="Hyperlink"/>
                </w:rPr>
                <w:t>https://www.ncbi.nlm.nih.gov/pubmed/30314617</w:t>
              </w:r>
            </w:hyperlink>
          </w:p>
        </w:tc>
        <w:tc>
          <w:tcPr>
            <w:tcW w:w="666" w:type="pct"/>
            <w:tcBorders>
              <w:bottom w:val="single" w:sz="4" w:space="0" w:color="auto"/>
            </w:tcBorders>
          </w:tcPr>
          <w:p w14:paraId="493F3F65" w14:textId="77777777" w:rsidR="00D64012" w:rsidRPr="00216AF2" w:rsidRDefault="00D64012" w:rsidP="00D64012">
            <w:r>
              <w:t>October, 2018</w:t>
            </w:r>
          </w:p>
        </w:tc>
      </w:tr>
      <w:tr w:rsidR="00D64012" w14:paraId="47FD6A6F" w14:textId="77777777" w:rsidTr="00D64012">
        <w:trPr>
          <w:cantSplit/>
        </w:trPr>
        <w:tc>
          <w:tcPr>
            <w:tcW w:w="189" w:type="pct"/>
            <w:tcBorders>
              <w:bottom w:val="single" w:sz="4" w:space="0" w:color="auto"/>
            </w:tcBorders>
          </w:tcPr>
          <w:p w14:paraId="4FE52154" w14:textId="77777777" w:rsidR="00D64012" w:rsidRDefault="00D64012" w:rsidP="00D64012">
            <w:pPr>
              <w:rPr>
                <w:szCs w:val="20"/>
              </w:rPr>
            </w:pPr>
            <w:r>
              <w:rPr>
                <w:szCs w:val="20"/>
              </w:rPr>
              <w:t>6.</w:t>
            </w:r>
          </w:p>
        </w:tc>
        <w:tc>
          <w:tcPr>
            <w:tcW w:w="726" w:type="pct"/>
            <w:tcBorders>
              <w:bottom w:val="single" w:sz="4" w:space="0" w:color="auto"/>
            </w:tcBorders>
          </w:tcPr>
          <w:p w14:paraId="243C7A2B" w14:textId="77777777" w:rsidR="00D64012" w:rsidRDefault="00D64012" w:rsidP="00D64012">
            <w:r>
              <w:t>Retrospective chart review, single centre</w:t>
            </w:r>
          </w:p>
        </w:tc>
        <w:tc>
          <w:tcPr>
            <w:tcW w:w="942" w:type="pct"/>
            <w:tcBorders>
              <w:bottom w:val="single" w:sz="4" w:space="0" w:color="auto"/>
            </w:tcBorders>
          </w:tcPr>
          <w:p w14:paraId="3F27979E" w14:textId="77777777" w:rsidR="00D64012" w:rsidRDefault="00D64012" w:rsidP="00D64012">
            <w:r w:rsidRPr="00A02E0C">
              <w:t xml:space="preserve">Functional assessment and quality of life in essential tremor with bilateral or unilateral DBS and focused ultrasound </w:t>
            </w:r>
            <w:proofErr w:type="spellStart"/>
            <w:r w:rsidRPr="00A02E0C">
              <w:t>thalamotomy</w:t>
            </w:r>
            <w:proofErr w:type="spellEnd"/>
          </w:p>
          <w:p w14:paraId="6CF053A0" w14:textId="77777777" w:rsidR="00D64012" w:rsidRDefault="00D64012" w:rsidP="00D64012">
            <w:r>
              <w:t>Huss 2015</w:t>
            </w:r>
          </w:p>
        </w:tc>
        <w:tc>
          <w:tcPr>
            <w:tcW w:w="1495" w:type="pct"/>
            <w:tcBorders>
              <w:bottom w:val="single" w:sz="4" w:space="0" w:color="auto"/>
            </w:tcBorders>
          </w:tcPr>
          <w:p w14:paraId="5AC5090D" w14:textId="77777777" w:rsidR="00D64012" w:rsidRDefault="00D64012" w:rsidP="00D64012">
            <w:r>
              <w:t>A</w:t>
            </w:r>
            <w:r w:rsidRPr="00A02E0C">
              <w:t xml:space="preserve"> retrospective study of medication-refractory essential tremor patients with bilateral Vim DBS (n = 57), unilateral Vim DBS (n = 13), or unilateral focused ultrasound Vim </w:t>
            </w:r>
            <w:proofErr w:type="spellStart"/>
            <w:r w:rsidRPr="00A02E0C">
              <w:t>thalamotomy</w:t>
            </w:r>
            <w:proofErr w:type="spellEnd"/>
            <w:r w:rsidRPr="00A02E0C">
              <w:t xml:space="preserve"> (n = 15). Tremor was rated for all patients before and after treatment, using the Clinical Rating Scale for Tremor and Quality of Life in Essential Tremor Questionnaire.</w:t>
            </w:r>
          </w:p>
        </w:tc>
        <w:tc>
          <w:tcPr>
            <w:tcW w:w="982" w:type="pct"/>
            <w:tcBorders>
              <w:bottom w:val="single" w:sz="4" w:space="0" w:color="auto"/>
            </w:tcBorders>
          </w:tcPr>
          <w:p w14:paraId="53F90F2A" w14:textId="144CA75C" w:rsidR="00D64012" w:rsidRDefault="00505853" w:rsidP="00D64012">
            <w:hyperlink r:id="rId25" w:history="1">
              <w:r w:rsidR="00D64012">
                <w:rPr>
                  <w:rStyle w:val="Hyperlink"/>
                </w:rPr>
                <w:t>https://onlinelibrary.wiley.com/doi/abs/10.1002/mds.26455</w:t>
              </w:r>
            </w:hyperlink>
          </w:p>
        </w:tc>
        <w:tc>
          <w:tcPr>
            <w:tcW w:w="666" w:type="pct"/>
            <w:tcBorders>
              <w:bottom w:val="single" w:sz="4" w:space="0" w:color="auto"/>
            </w:tcBorders>
          </w:tcPr>
          <w:p w14:paraId="14C79720" w14:textId="77777777" w:rsidR="00D64012" w:rsidRPr="00216AF2" w:rsidRDefault="00D64012" w:rsidP="00D64012">
            <w:r w:rsidRPr="00A02E0C">
              <w:t>December</w:t>
            </w:r>
            <w:r>
              <w:t>,</w:t>
            </w:r>
            <w:r w:rsidRPr="00A02E0C">
              <w:t xml:space="preserve"> 2015</w:t>
            </w:r>
          </w:p>
        </w:tc>
      </w:tr>
      <w:tr w:rsidR="00D64012" w14:paraId="0AA1A975" w14:textId="77777777" w:rsidTr="00D64012">
        <w:trPr>
          <w:cantSplit/>
        </w:trPr>
        <w:tc>
          <w:tcPr>
            <w:tcW w:w="5000" w:type="pct"/>
            <w:gridSpan w:val="6"/>
          </w:tcPr>
          <w:p w14:paraId="5FE90CEC" w14:textId="77777777" w:rsidR="00D64012" w:rsidRPr="00171477" w:rsidRDefault="00D64012" w:rsidP="00D64012">
            <w:pPr>
              <w:keepNext/>
              <w:rPr>
                <w:b/>
                <w:bCs/>
              </w:rPr>
            </w:pPr>
            <w:r w:rsidRPr="00171477">
              <w:rPr>
                <w:b/>
                <w:bCs/>
              </w:rPr>
              <w:lastRenderedPageBreak/>
              <w:t>Health technology assessments</w:t>
            </w:r>
          </w:p>
        </w:tc>
      </w:tr>
      <w:tr w:rsidR="00D64012" w14:paraId="1FA40740" w14:textId="77777777" w:rsidTr="00D64012">
        <w:trPr>
          <w:cantSplit/>
        </w:trPr>
        <w:tc>
          <w:tcPr>
            <w:tcW w:w="189" w:type="pct"/>
          </w:tcPr>
          <w:p w14:paraId="76EE9A4F" w14:textId="77777777" w:rsidR="00D64012" w:rsidRDefault="00D64012" w:rsidP="00D64012">
            <w:pPr>
              <w:rPr>
                <w:szCs w:val="20"/>
              </w:rPr>
            </w:pPr>
            <w:r>
              <w:rPr>
                <w:szCs w:val="20"/>
              </w:rPr>
              <w:t>7.</w:t>
            </w:r>
          </w:p>
        </w:tc>
        <w:tc>
          <w:tcPr>
            <w:tcW w:w="726" w:type="pct"/>
          </w:tcPr>
          <w:p w14:paraId="3AA2BA5E" w14:textId="77777777" w:rsidR="00D64012" w:rsidRDefault="00D64012" w:rsidP="00D64012">
            <w:r>
              <w:t xml:space="preserve">Cost effectiveness analysis of </w:t>
            </w:r>
            <w:proofErr w:type="spellStart"/>
            <w:r>
              <w:t>MRgFUS</w:t>
            </w:r>
            <w:proofErr w:type="spellEnd"/>
            <w:r>
              <w:t xml:space="preserve"> vs other interventions for treatment of ET</w:t>
            </w:r>
          </w:p>
        </w:tc>
        <w:tc>
          <w:tcPr>
            <w:tcW w:w="942" w:type="pct"/>
          </w:tcPr>
          <w:p w14:paraId="0FD470C2" w14:textId="77777777" w:rsidR="00D64012" w:rsidRDefault="00D64012" w:rsidP="00D64012">
            <w:r w:rsidRPr="00171477">
              <w:t>Magnetic Resonance-Guided Focused Ultrasound Neurosurgery for Essential Tremor: A Health Technology Assessment.</w:t>
            </w:r>
          </w:p>
          <w:p w14:paraId="63F67653" w14:textId="77777777" w:rsidR="00D64012" w:rsidRDefault="00D64012" w:rsidP="00D64012">
            <w:r w:rsidRPr="00171477">
              <w:t>Health Quality Ontario</w:t>
            </w:r>
            <w:r>
              <w:t xml:space="preserve"> 2018.</w:t>
            </w:r>
          </w:p>
        </w:tc>
        <w:tc>
          <w:tcPr>
            <w:tcW w:w="1495" w:type="pct"/>
          </w:tcPr>
          <w:p w14:paraId="012642AC" w14:textId="77777777" w:rsidR="00D64012" w:rsidRDefault="00D64012" w:rsidP="00D64012">
            <w:r>
              <w:t>S</w:t>
            </w:r>
            <w:r w:rsidRPr="00171477">
              <w:t xml:space="preserve">ystematic review </w:t>
            </w:r>
            <w:r>
              <w:t xml:space="preserve">of </w:t>
            </w:r>
            <w:proofErr w:type="spellStart"/>
            <w:r w:rsidRPr="00171477">
              <w:t>MRgFUS</w:t>
            </w:r>
            <w:proofErr w:type="spellEnd"/>
            <w:r w:rsidRPr="00171477">
              <w:t xml:space="preserve"> neurosurgery alone or compared with other interventions for the treatment of moderate to severe, medication-refractory </w:t>
            </w:r>
            <w:r>
              <w:t>ET</w:t>
            </w:r>
            <w:r w:rsidRPr="00171477">
              <w:t>.</w:t>
            </w:r>
            <w:r>
              <w:t xml:space="preserve"> </w:t>
            </w:r>
            <w:r w:rsidRPr="00171477">
              <w:t xml:space="preserve">Markov cohort models </w:t>
            </w:r>
            <w:r>
              <w:t xml:space="preserve">were created </w:t>
            </w:r>
            <w:r w:rsidRPr="00171477">
              <w:t xml:space="preserve">to assess the cost-effectiveness of </w:t>
            </w:r>
            <w:proofErr w:type="spellStart"/>
            <w:r w:rsidRPr="00171477">
              <w:t>MRgFUS</w:t>
            </w:r>
            <w:proofErr w:type="spellEnd"/>
            <w:r w:rsidRPr="00171477">
              <w:t xml:space="preserve"> neurosurgery compared with other treatment options, including no surgery</w:t>
            </w:r>
            <w:r>
              <w:t xml:space="preserve">. </w:t>
            </w:r>
          </w:p>
        </w:tc>
        <w:tc>
          <w:tcPr>
            <w:tcW w:w="982" w:type="pct"/>
          </w:tcPr>
          <w:p w14:paraId="33D85EE8" w14:textId="5BBD231A" w:rsidR="00D64012" w:rsidRDefault="00505853" w:rsidP="00D64012">
            <w:hyperlink r:id="rId26" w:history="1">
              <w:r w:rsidR="00D64012">
                <w:rPr>
                  <w:rStyle w:val="Hyperlink"/>
                </w:rPr>
                <w:t>https://www.ncbi.nlm.nih.gov/pmc/articles/PMC5963668/</w:t>
              </w:r>
            </w:hyperlink>
          </w:p>
        </w:tc>
        <w:tc>
          <w:tcPr>
            <w:tcW w:w="666" w:type="pct"/>
          </w:tcPr>
          <w:p w14:paraId="0EBDBA62" w14:textId="77777777" w:rsidR="00D64012" w:rsidRPr="00216AF2" w:rsidRDefault="00D64012" w:rsidP="00D64012">
            <w:r>
              <w:t>May 3, 2018</w:t>
            </w:r>
          </w:p>
        </w:tc>
      </w:tr>
      <w:tr w:rsidR="00E162B4" w14:paraId="691F0D1F" w14:textId="77777777" w:rsidTr="00E162B4">
        <w:trPr>
          <w:cantSplit/>
        </w:trPr>
        <w:tc>
          <w:tcPr>
            <w:tcW w:w="5000" w:type="pct"/>
            <w:gridSpan w:val="6"/>
          </w:tcPr>
          <w:p w14:paraId="4DD7C14A" w14:textId="0CFE9419" w:rsidR="00E162B4" w:rsidRPr="00E162B4" w:rsidRDefault="00E162B4" w:rsidP="00E162B4">
            <w:pPr>
              <w:rPr>
                <w:b/>
                <w:bCs/>
              </w:rPr>
            </w:pPr>
            <w:r w:rsidRPr="00E162B4">
              <w:rPr>
                <w:b/>
                <w:bCs/>
                <w:szCs w:val="20"/>
              </w:rPr>
              <w:t>Horizon Scanning</w:t>
            </w:r>
          </w:p>
        </w:tc>
      </w:tr>
      <w:tr w:rsidR="00E162B4" w14:paraId="4057BA95" w14:textId="77777777" w:rsidTr="00D64012">
        <w:trPr>
          <w:cantSplit/>
        </w:trPr>
        <w:tc>
          <w:tcPr>
            <w:tcW w:w="189" w:type="pct"/>
          </w:tcPr>
          <w:p w14:paraId="3E69A384" w14:textId="604BD477" w:rsidR="00E162B4" w:rsidRDefault="00E162B4" w:rsidP="00E162B4">
            <w:pPr>
              <w:rPr>
                <w:szCs w:val="20"/>
              </w:rPr>
            </w:pPr>
            <w:r>
              <w:rPr>
                <w:szCs w:val="20"/>
              </w:rPr>
              <w:t>8.</w:t>
            </w:r>
          </w:p>
        </w:tc>
        <w:tc>
          <w:tcPr>
            <w:tcW w:w="726" w:type="pct"/>
          </w:tcPr>
          <w:p w14:paraId="75B2D498" w14:textId="2CDFE725" w:rsidR="00E162B4" w:rsidRDefault="00E162B4" w:rsidP="00E162B4">
            <w:r>
              <w:t>Technology Brief Update</w:t>
            </w:r>
          </w:p>
        </w:tc>
        <w:tc>
          <w:tcPr>
            <w:tcW w:w="942" w:type="pct"/>
          </w:tcPr>
          <w:p w14:paraId="24B34B0A" w14:textId="77777777" w:rsidR="00E162B4" w:rsidRDefault="00E162B4" w:rsidP="00E162B4">
            <w:r>
              <w:t>Technology Brief Update: MR-Guided Focused Ultrasound (</w:t>
            </w:r>
            <w:proofErr w:type="spellStart"/>
            <w:r>
              <w:t>MRgFUS</w:t>
            </w:r>
            <w:proofErr w:type="spellEnd"/>
            <w:r>
              <w:t>)</w:t>
            </w:r>
          </w:p>
          <w:p w14:paraId="6892BCA8" w14:textId="0D5274E2" w:rsidR="00E162B4" w:rsidRPr="00171477" w:rsidRDefault="00E162B4" w:rsidP="00E162B4">
            <w:r>
              <w:t xml:space="preserve">Health </w:t>
            </w:r>
            <w:r w:rsidRPr="00057885">
              <w:t>Technology Reference Group</w:t>
            </w:r>
          </w:p>
        </w:tc>
        <w:tc>
          <w:tcPr>
            <w:tcW w:w="1495" w:type="pct"/>
          </w:tcPr>
          <w:p w14:paraId="1BF58B88" w14:textId="77777777" w:rsidR="00E162B4" w:rsidRDefault="00E803E6" w:rsidP="00E803E6">
            <w:r>
              <w:t>Technology Brief Update on MR-Guided Focused Ultrasound (</w:t>
            </w:r>
            <w:proofErr w:type="spellStart"/>
            <w:r>
              <w:t>MRgFUS</w:t>
            </w:r>
            <w:proofErr w:type="spellEnd"/>
            <w:r>
              <w:t xml:space="preserve">). The Health Technology Reference Group undertakes horizon scanning of new and emerging technologies. The review concludes that for the treatment of neurological disorders, </w:t>
            </w:r>
            <w:proofErr w:type="spellStart"/>
            <w:r>
              <w:t>MRgFUS</w:t>
            </w:r>
            <w:proofErr w:type="spellEnd"/>
            <w:r>
              <w:t xml:space="preserve"> “</w:t>
            </w:r>
            <w:r>
              <w:rPr>
                <w:i/>
                <w:iCs/>
              </w:rPr>
              <w:t>may be a safe and effective treatment in comparison to invasive deep brain stimulation (DBS)</w:t>
            </w:r>
            <w:r>
              <w:t>”</w:t>
            </w:r>
            <w:r w:rsidR="00CF48C3">
              <w:t>.</w:t>
            </w:r>
          </w:p>
          <w:p w14:paraId="605C7988" w14:textId="627D9088" w:rsidR="00CF48C3" w:rsidRDefault="00CF48C3" w:rsidP="00E803E6">
            <w:r>
              <w:t>However, this review is not a comprehensive HTA. It is envisaged the MSAC evaluation and assessment process will supersede any advice provide of this brief update.</w:t>
            </w:r>
          </w:p>
        </w:tc>
        <w:tc>
          <w:tcPr>
            <w:tcW w:w="982" w:type="pct"/>
          </w:tcPr>
          <w:p w14:paraId="56AF43F3" w14:textId="48E01ED0" w:rsidR="00E162B4" w:rsidRDefault="00E162B4" w:rsidP="00E162B4">
            <w:r>
              <w:t>Not published online</w:t>
            </w:r>
          </w:p>
        </w:tc>
        <w:tc>
          <w:tcPr>
            <w:tcW w:w="666" w:type="pct"/>
          </w:tcPr>
          <w:p w14:paraId="590AEDA6" w14:textId="77777777" w:rsidR="00E162B4" w:rsidRDefault="00E162B4" w:rsidP="00E162B4">
            <w:r>
              <w:t>June 2019</w:t>
            </w:r>
          </w:p>
          <w:p w14:paraId="1CCEB08C" w14:textId="77777777" w:rsidR="00E162B4" w:rsidRDefault="00E162B4" w:rsidP="00E162B4"/>
        </w:tc>
      </w:tr>
    </w:tbl>
    <w:p w14:paraId="72B6E293" w14:textId="77777777" w:rsidR="00D64012" w:rsidRDefault="00D64012" w:rsidP="005213D6">
      <w:pPr>
        <w:spacing w:after="0"/>
        <w:ind w:left="425"/>
        <w:rPr>
          <w:i/>
          <w:szCs w:val="20"/>
        </w:rPr>
      </w:pPr>
      <w:r>
        <w:rPr>
          <w:i/>
          <w:szCs w:val="20"/>
        </w:rPr>
        <w:t xml:space="preserve">* Categorise study design, for example meta-analysis, randomised trials, non-randomised trial or observational study, study of diagnostic accuracy, etc. </w:t>
      </w:r>
    </w:p>
    <w:p w14:paraId="6D1F0C0F" w14:textId="77777777" w:rsidR="00D64012" w:rsidRDefault="00D64012" w:rsidP="005213D6">
      <w:pPr>
        <w:spacing w:before="0" w:after="0"/>
        <w:ind w:left="425"/>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40A7E305" w14:textId="51794B0F" w:rsidR="00D64012" w:rsidRDefault="00D64012" w:rsidP="005213D6">
      <w:pPr>
        <w:spacing w:before="0" w:after="0"/>
        <w:ind w:left="425"/>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03BCFE27" w14:textId="77777777" w:rsidR="00D64012" w:rsidRDefault="00D64012" w:rsidP="00D64012">
      <w:pPr>
        <w:spacing w:before="0" w:after="0"/>
        <w:ind w:left="284"/>
        <w:rPr>
          <w:color w:val="0070C0"/>
        </w:rPr>
        <w:sectPr w:rsidR="00D64012" w:rsidSect="00DD308E">
          <w:pgSz w:w="16838" w:h="11906" w:orient="landscape"/>
          <w:pgMar w:top="1440" w:right="1440" w:bottom="1440" w:left="1440" w:header="708" w:footer="708" w:gutter="0"/>
          <w:cols w:space="708"/>
          <w:docGrid w:linePitch="360"/>
        </w:sectPr>
      </w:pPr>
    </w:p>
    <w:p w14:paraId="414BAB64" w14:textId="77777777" w:rsidR="00D64012" w:rsidRPr="00187405" w:rsidRDefault="00D64012" w:rsidP="00D64012">
      <w:pPr>
        <w:pStyle w:val="Heading2"/>
      </w:pPr>
      <w:r w:rsidRPr="00187405">
        <w:lastRenderedPageBreak/>
        <w:t>Identify yet to be published research that may have results available in the near future that could be relevant in the consideration of your application by MSAC (limiting these to the English language only).</w:t>
      </w:r>
      <w:r w:rsidRPr="00187405">
        <w:rPr>
          <w:i/>
        </w:rPr>
        <w:t xml:space="preserve"> 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521"/>
        <w:gridCol w:w="2112"/>
        <w:gridCol w:w="2017"/>
        <w:gridCol w:w="4700"/>
        <w:gridCol w:w="3518"/>
        <w:gridCol w:w="1080"/>
      </w:tblGrid>
      <w:tr w:rsidR="00D64012" w14:paraId="054DE2CD" w14:textId="77777777" w:rsidTr="00D64012">
        <w:trPr>
          <w:cantSplit/>
          <w:tblHeader/>
        </w:trPr>
        <w:tc>
          <w:tcPr>
            <w:tcW w:w="187" w:type="pct"/>
          </w:tcPr>
          <w:p w14:paraId="0EFAF1E0" w14:textId="77777777" w:rsidR="00D64012" w:rsidRDefault="00D64012" w:rsidP="00D64012">
            <w:pPr>
              <w:pStyle w:val="TableHEADER"/>
            </w:pPr>
          </w:p>
        </w:tc>
        <w:tc>
          <w:tcPr>
            <w:tcW w:w="757" w:type="pct"/>
          </w:tcPr>
          <w:p w14:paraId="4C1DC9FC" w14:textId="77777777" w:rsidR="00D64012" w:rsidRDefault="00D64012" w:rsidP="00D64012">
            <w:pPr>
              <w:pStyle w:val="TableHEADER"/>
            </w:pPr>
            <w:r>
              <w:t>Type of study design*</w:t>
            </w:r>
          </w:p>
        </w:tc>
        <w:tc>
          <w:tcPr>
            <w:tcW w:w="723" w:type="pct"/>
          </w:tcPr>
          <w:p w14:paraId="2DDA9773" w14:textId="77777777" w:rsidR="00D64012" w:rsidRDefault="00D64012" w:rsidP="00D64012">
            <w:pPr>
              <w:pStyle w:val="TableHEADER"/>
            </w:pPr>
            <w:r>
              <w:t>Title of research (including any trial identifier if relevant)</w:t>
            </w:r>
          </w:p>
        </w:tc>
        <w:tc>
          <w:tcPr>
            <w:tcW w:w="1685" w:type="pct"/>
          </w:tcPr>
          <w:p w14:paraId="35F0D485" w14:textId="77777777" w:rsidR="00D64012" w:rsidRDefault="00D64012" w:rsidP="00D64012">
            <w:pPr>
              <w:pStyle w:val="TableHEADER"/>
            </w:pPr>
            <w:r>
              <w:t>Short description of research (max 50 words)**</w:t>
            </w:r>
          </w:p>
        </w:tc>
        <w:tc>
          <w:tcPr>
            <w:tcW w:w="1261" w:type="pct"/>
          </w:tcPr>
          <w:p w14:paraId="7315BF91" w14:textId="77777777" w:rsidR="00D64012" w:rsidRDefault="00D64012" w:rsidP="00D64012">
            <w:pPr>
              <w:pStyle w:val="TableHEADER"/>
            </w:pPr>
            <w:r w:rsidRPr="00E82F54">
              <w:t xml:space="preserve">Website link to </w:t>
            </w:r>
            <w:r>
              <w:t>research (if available)</w:t>
            </w:r>
          </w:p>
        </w:tc>
        <w:tc>
          <w:tcPr>
            <w:tcW w:w="387" w:type="pct"/>
          </w:tcPr>
          <w:p w14:paraId="246301EF" w14:textId="77777777" w:rsidR="00D64012" w:rsidRDefault="00D64012" w:rsidP="00D64012">
            <w:pPr>
              <w:pStyle w:val="TableHEADER"/>
            </w:pPr>
            <w:r w:rsidRPr="00E82F54">
              <w:t>Date*</w:t>
            </w:r>
            <w:r>
              <w:t>**</w:t>
            </w:r>
          </w:p>
        </w:tc>
      </w:tr>
      <w:tr w:rsidR="00D64012" w14:paraId="572BBE8A" w14:textId="77777777" w:rsidTr="00D64012">
        <w:trPr>
          <w:cantSplit/>
        </w:trPr>
        <w:tc>
          <w:tcPr>
            <w:tcW w:w="187" w:type="pct"/>
          </w:tcPr>
          <w:p w14:paraId="18029610" w14:textId="77777777" w:rsidR="00D64012" w:rsidRPr="00965B6B" w:rsidRDefault="00D64012" w:rsidP="00D64012">
            <w:pPr>
              <w:rPr>
                <w:szCs w:val="20"/>
              </w:rPr>
            </w:pPr>
            <w:r w:rsidRPr="00965B6B">
              <w:rPr>
                <w:szCs w:val="20"/>
              </w:rPr>
              <w:t>1</w:t>
            </w:r>
            <w:r>
              <w:rPr>
                <w:szCs w:val="20"/>
              </w:rPr>
              <w:t>.</w:t>
            </w:r>
          </w:p>
        </w:tc>
        <w:tc>
          <w:tcPr>
            <w:tcW w:w="757" w:type="pct"/>
          </w:tcPr>
          <w:p w14:paraId="36439125" w14:textId="77777777" w:rsidR="00D64012" w:rsidRDefault="00D64012" w:rsidP="00D64012">
            <w:pPr>
              <w:rPr>
                <w:b/>
                <w:szCs w:val="20"/>
              </w:rPr>
            </w:pPr>
            <w:r>
              <w:t>I</w:t>
            </w:r>
            <w:r w:rsidRPr="0079176C">
              <w:t>nternational, multicentre, RCT</w:t>
            </w:r>
            <w:r>
              <w:t xml:space="preserve"> of </w:t>
            </w:r>
            <w:proofErr w:type="spellStart"/>
            <w:r>
              <w:t>MRgFUS</w:t>
            </w:r>
            <w:proofErr w:type="spellEnd"/>
            <w:r>
              <w:t xml:space="preserve"> vs Sham control</w:t>
            </w:r>
          </w:p>
        </w:tc>
        <w:tc>
          <w:tcPr>
            <w:tcW w:w="723" w:type="pct"/>
          </w:tcPr>
          <w:p w14:paraId="59240E28" w14:textId="77777777" w:rsidR="00D64012" w:rsidRDefault="00D64012" w:rsidP="00D64012">
            <w:r w:rsidRPr="005775C3">
              <w:t xml:space="preserve">Three-Year Follow-Up </w:t>
            </w:r>
            <w:r>
              <w:t>o</w:t>
            </w:r>
            <w:r w:rsidRPr="005775C3">
              <w:t xml:space="preserve">f Prospective Trial Of Focused Ultrasound </w:t>
            </w:r>
            <w:proofErr w:type="spellStart"/>
            <w:r w:rsidRPr="005775C3">
              <w:t>Thalamotomy</w:t>
            </w:r>
            <w:proofErr w:type="spellEnd"/>
            <w:r w:rsidRPr="005775C3">
              <w:t xml:space="preserve"> For Essential Tremor</w:t>
            </w:r>
          </w:p>
          <w:p w14:paraId="57400CF1" w14:textId="77777777" w:rsidR="00D64012" w:rsidRDefault="00D64012" w:rsidP="00D64012">
            <w:r>
              <w:t>Halpern 2019</w:t>
            </w:r>
          </w:p>
          <w:p w14:paraId="4F3D4F6B" w14:textId="77777777" w:rsidR="00D64012" w:rsidRDefault="00D64012" w:rsidP="00D64012">
            <w:pPr>
              <w:rPr>
                <w:b/>
                <w:szCs w:val="20"/>
              </w:rPr>
            </w:pPr>
            <w:r>
              <w:t xml:space="preserve">ET-002; </w:t>
            </w:r>
            <w:r w:rsidRPr="0079176C">
              <w:t>NCT01827904</w:t>
            </w:r>
          </w:p>
        </w:tc>
        <w:tc>
          <w:tcPr>
            <w:tcW w:w="1685" w:type="pct"/>
          </w:tcPr>
          <w:p w14:paraId="7E1C9BDA" w14:textId="77777777" w:rsidR="00D64012" w:rsidRDefault="00D64012" w:rsidP="00D64012">
            <w:r>
              <w:t xml:space="preserve">Long term follow-up of ET-003 RCT (Elias 2016) presenting efficacy and safety over 3 years. </w:t>
            </w:r>
          </w:p>
          <w:p w14:paraId="2A93EE30" w14:textId="77777777" w:rsidR="00D64012" w:rsidRPr="00C12322" w:rsidRDefault="00D64012" w:rsidP="00D64012">
            <w:pPr>
              <w:rPr>
                <w:bCs/>
                <w:szCs w:val="20"/>
              </w:rPr>
            </w:pPr>
            <w:r>
              <w:rPr>
                <w:bCs/>
                <w:szCs w:val="20"/>
              </w:rPr>
              <w:t xml:space="preserve">Significant improvements in hand and postural tremor, disability and </w:t>
            </w:r>
            <w:proofErr w:type="spellStart"/>
            <w:r>
              <w:rPr>
                <w:bCs/>
                <w:szCs w:val="20"/>
              </w:rPr>
              <w:t>HRQoL</w:t>
            </w:r>
            <w:proofErr w:type="spellEnd"/>
            <w:r>
              <w:rPr>
                <w:bCs/>
                <w:szCs w:val="20"/>
              </w:rPr>
              <w:t xml:space="preserve"> observed at 6 months post procedure were maintained over 3 years.</w:t>
            </w:r>
            <w:r w:rsidRPr="00C12322">
              <w:rPr>
                <w:bCs/>
                <w:szCs w:val="20"/>
              </w:rPr>
              <w:t xml:space="preserve"> During the 3rd follow-up year, all previously noted adverse events remained mild or moderate, none worsened, two resolved, and no new adverse events occurred.</w:t>
            </w:r>
          </w:p>
        </w:tc>
        <w:tc>
          <w:tcPr>
            <w:tcW w:w="1261" w:type="pct"/>
          </w:tcPr>
          <w:p w14:paraId="082561CF" w14:textId="2AA76A16" w:rsidR="00D64012" w:rsidRPr="00E82F54" w:rsidRDefault="00505853" w:rsidP="00D64012">
            <w:pPr>
              <w:rPr>
                <w:b/>
                <w:szCs w:val="20"/>
              </w:rPr>
            </w:pPr>
            <w:hyperlink r:id="rId27" w:history="1">
              <w:r w:rsidR="00D64012">
                <w:rPr>
                  <w:rStyle w:val="Hyperlink"/>
                </w:rPr>
                <w:t>https://clinicaltrials.gov/ct2/show/NCT01827904</w:t>
              </w:r>
            </w:hyperlink>
          </w:p>
        </w:tc>
        <w:tc>
          <w:tcPr>
            <w:tcW w:w="387" w:type="pct"/>
          </w:tcPr>
          <w:p w14:paraId="1D2608C9" w14:textId="77777777" w:rsidR="00D64012" w:rsidRPr="00E82F54" w:rsidRDefault="00D64012" w:rsidP="00D64012">
            <w:pPr>
              <w:rPr>
                <w:b/>
                <w:szCs w:val="20"/>
              </w:rPr>
            </w:pPr>
            <w:r>
              <w:t>2019</w:t>
            </w:r>
          </w:p>
        </w:tc>
      </w:tr>
    </w:tbl>
    <w:p w14:paraId="4439A4D3" w14:textId="77777777" w:rsidR="00D64012" w:rsidRDefault="00D64012" w:rsidP="00D64012">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27513AF" w14:textId="77777777" w:rsidR="00D64012" w:rsidRDefault="00D64012" w:rsidP="00D64012">
      <w:pPr>
        <w:spacing w:after="0"/>
        <w:ind w:left="426"/>
        <w:rPr>
          <w:i/>
          <w:szCs w:val="20"/>
        </w:rPr>
      </w:pPr>
      <w:r>
        <w:rPr>
          <w:i/>
          <w:szCs w:val="20"/>
        </w:rPr>
        <w:t>**Provide high level information including population numbers and whether patients are being recruited or in post-recruitment.</w:t>
      </w:r>
    </w:p>
    <w:p w14:paraId="10810309" w14:textId="77777777" w:rsidR="00D64012" w:rsidRPr="00E82F54" w:rsidRDefault="00D64012" w:rsidP="00D64012">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1128B1E5" w14:textId="405E1775" w:rsidR="00DD308E" w:rsidRDefault="00D64012" w:rsidP="00D64012">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613D57A9"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0958D473"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w:t>
      </w:r>
      <w:bookmarkStart w:id="3" w:name="_Hlk23514613"/>
      <w:r w:rsidR="00F93784" w:rsidRPr="00CA26DD">
        <w:t xml:space="preserve">a </w:t>
      </w:r>
      <w:r w:rsidR="00254813">
        <w:t>statement of clinical relevance from</w:t>
      </w:r>
      <w:r w:rsidR="00EA173C" w:rsidRPr="00CA26DD">
        <w:t xml:space="preserve"> each </w:t>
      </w:r>
      <w:r w:rsidR="00F93784" w:rsidRPr="00CA26DD">
        <w:t>group</w:t>
      </w:r>
      <w:r w:rsidR="00EA173C" w:rsidRPr="00CA26DD">
        <w:t xml:space="preserve"> nominated</w:t>
      </w:r>
      <w:bookmarkEnd w:id="3"/>
      <w:r w:rsidR="00F93784" w:rsidRPr="00CA26DD">
        <w:t>)</w:t>
      </w:r>
      <w:r w:rsidR="00A727B6">
        <w:t>:</w:t>
      </w:r>
    </w:p>
    <w:p w14:paraId="65277B48" w14:textId="23EE1B1D" w:rsidR="00CF48C3" w:rsidRDefault="002A43B2" w:rsidP="00A727B6">
      <w:pPr>
        <w:ind w:left="426"/>
        <w:rPr>
          <w:color w:val="4F81BD" w:themeColor="accent1"/>
        </w:rPr>
      </w:pPr>
      <w:bookmarkStart w:id="4" w:name="_Hlk23424631"/>
      <w:r w:rsidRPr="00050007">
        <w:rPr>
          <w:color w:val="4F81BD" w:themeColor="accent1"/>
        </w:rPr>
        <w:t>Neurosurgical Society of Australasia</w:t>
      </w:r>
      <w:r w:rsidR="00CF48C3">
        <w:rPr>
          <w:color w:val="4F81BD" w:themeColor="accent1"/>
        </w:rPr>
        <w:t xml:space="preserve"> (NSA)</w:t>
      </w:r>
    </w:p>
    <w:p w14:paraId="0092FBFC" w14:textId="21C599C8" w:rsidR="00AC1A82" w:rsidRDefault="00AC1A82" w:rsidP="00A727B6">
      <w:pPr>
        <w:ind w:left="426"/>
        <w:rPr>
          <w:color w:val="4F81BD" w:themeColor="accent1"/>
        </w:rPr>
      </w:pPr>
      <w:r>
        <w:rPr>
          <w:color w:val="4F81BD" w:themeColor="accent1"/>
        </w:rPr>
        <w:t>Australian and New Zealand Association of Neurologists (ANZAN)</w:t>
      </w:r>
    </w:p>
    <w:p w14:paraId="5C051D54" w14:textId="1F66632A" w:rsidR="00AC1A82" w:rsidRDefault="00AC1A82" w:rsidP="005213D6">
      <w:pPr>
        <w:ind w:left="426"/>
        <w:rPr>
          <w:color w:val="4F81BD" w:themeColor="accent1"/>
        </w:rPr>
      </w:pPr>
      <w:r>
        <w:rPr>
          <w:color w:val="4F81BD" w:themeColor="accent1"/>
        </w:rPr>
        <w:t>The Royal Australian and New Zealand College of Radiologists (RANZCR)</w:t>
      </w:r>
    </w:p>
    <w:p w14:paraId="4BE0E847" w14:textId="2457A372" w:rsidR="00CF48C3" w:rsidRPr="005213D6" w:rsidRDefault="00CF48C3" w:rsidP="00A727B6">
      <w:pPr>
        <w:ind w:left="426"/>
        <w:rPr>
          <w:i/>
          <w:iCs/>
          <w:color w:val="4F81BD" w:themeColor="accent1"/>
        </w:rPr>
      </w:pPr>
      <w:r w:rsidRPr="005213D6">
        <w:rPr>
          <w:i/>
          <w:iCs/>
          <w:color w:val="4F81BD" w:themeColor="accent1"/>
        </w:rPr>
        <w:t>(Statement</w:t>
      </w:r>
      <w:r w:rsidR="00AC1A82" w:rsidRPr="005213D6">
        <w:rPr>
          <w:i/>
          <w:iCs/>
          <w:color w:val="4F81BD" w:themeColor="accent1"/>
        </w:rPr>
        <w:t>s</w:t>
      </w:r>
      <w:r w:rsidRPr="005213D6">
        <w:rPr>
          <w:i/>
          <w:iCs/>
          <w:color w:val="4F81BD" w:themeColor="accent1"/>
        </w:rPr>
        <w:t xml:space="preserve"> of Clinical Relevance from the</w:t>
      </w:r>
      <w:r w:rsidR="00AC1A82" w:rsidRPr="005213D6">
        <w:rPr>
          <w:i/>
          <w:iCs/>
          <w:color w:val="4F81BD" w:themeColor="accent1"/>
        </w:rPr>
        <w:t xml:space="preserve">se </w:t>
      </w:r>
      <w:r w:rsidR="000D2FD5" w:rsidRPr="005213D6">
        <w:rPr>
          <w:i/>
          <w:iCs/>
          <w:color w:val="4F81BD" w:themeColor="accent1"/>
        </w:rPr>
        <w:t xml:space="preserve">organisations </w:t>
      </w:r>
      <w:r w:rsidRPr="005213D6">
        <w:rPr>
          <w:i/>
          <w:iCs/>
          <w:color w:val="4F81BD" w:themeColor="accent1"/>
        </w:rPr>
        <w:t xml:space="preserve">will be forwarded to the department as soon as </w:t>
      </w:r>
      <w:r w:rsidR="000D2FD5" w:rsidRPr="005213D6">
        <w:rPr>
          <w:i/>
          <w:iCs/>
          <w:color w:val="4F81BD" w:themeColor="accent1"/>
        </w:rPr>
        <w:t>possible</w:t>
      </w:r>
      <w:r w:rsidRPr="005213D6">
        <w:rPr>
          <w:i/>
          <w:iCs/>
          <w:color w:val="4F81BD" w:themeColor="accent1"/>
        </w:rPr>
        <w:t>)</w:t>
      </w:r>
    </w:p>
    <w:p w14:paraId="7EA93CC6" w14:textId="51262414" w:rsidR="002A43B2" w:rsidRPr="00050007" w:rsidRDefault="002A43B2" w:rsidP="00A727B6">
      <w:pPr>
        <w:ind w:left="426"/>
        <w:rPr>
          <w:color w:val="4F81BD" w:themeColor="accent1"/>
        </w:rPr>
      </w:pPr>
    </w:p>
    <w:bookmarkEnd w:id="4"/>
    <w:p w14:paraId="7FF77C28"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46315D2" w14:textId="3F430109" w:rsidR="00EA173C" w:rsidRDefault="003F3CEE" w:rsidP="00A727B6">
      <w:pPr>
        <w:ind w:left="426"/>
        <w:rPr>
          <w:color w:val="4F81BD" w:themeColor="accent1"/>
        </w:rPr>
      </w:pPr>
      <w:r w:rsidRPr="00050007">
        <w:rPr>
          <w:color w:val="4F81BD" w:themeColor="accent1"/>
        </w:rPr>
        <w:t>As for Q19</w:t>
      </w:r>
      <w:r w:rsidR="002A43B2" w:rsidRPr="00050007">
        <w:rPr>
          <w:color w:val="4F81BD" w:themeColor="accent1"/>
        </w:rPr>
        <w:t>.</w:t>
      </w:r>
    </w:p>
    <w:p w14:paraId="088B9415" w14:textId="77777777" w:rsidR="000D2FD5" w:rsidRPr="00050007" w:rsidRDefault="000D2FD5" w:rsidP="00A727B6">
      <w:pPr>
        <w:ind w:left="426"/>
        <w:rPr>
          <w:color w:val="4F81BD" w:themeColor="accent1"/>
        </w:rPr>
      </w:pPr>
    </w:p>
    <w:p w14:paraId="78490CE6"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2DD512C9" w14:textId="35F71401" w:rsidR="00D64012" w:rsidRDefault="00D64012" w:rsidP="005213D6">
      <w:pPr>
        <w:ind w:left="284"/>
        <w:rPr>
          <w:color w:val="0070C0"/>
        </w:rPr>
      </w:pPr>
      <w:r>
        <w:rPr>
          <w:color w:val="0070C0"/>
        </w:rPr>
        <w:t>There are no formally incorporated consumer organisations for ET in Australia.</w:t>
      </w:r>
    </w:p>
    <w:p w14:paraId="131524C3" w14:textId="62C74AB8" w:rsidR="00D64012" w:rsidRDefault="00D64012" w:rsidP="005213D6">
      <w:pPr>
        <w:ind w:left="284"/>
        <w:rPr>
          <w:color w:val="0070C0"/>
        </w:rPr>
      </w:pPr>
      <w:r>
        <w:rPr>
          <w:color w:val="0070C0"/>
        </w:rPr>
        <w:t>The 2018/19 Annual Report for the International Essential Tremor Foundation lists two points of contact for Australian patients.</w:t>
      </w:r>
    </w:p>
    <w:p w14:paraId="2546D813" w14:textId="128A6550" w:rsidR="00D64012" w:rsidRDefault="00505853" w:rsidP="005213D6">
      <w:pPr>
        <w:ind w:firstLine="284"/>
      </w:pPr>
      <w:hyperlink r:id="rId28" w:history="1">
        <w:r w:rsidR="00D64012" w:rsidRPr="00D8480C">
          <w:rPr>
            <w:rStyle w:val="Hyperlink"/>
          </w:rPr>
          <w:t>https://www.essentialtremor.org/wp-content/uploads/2019/08/annual-report-2018-19.pdf</w:t>
        </w:r>
      </w:hyperlink>
    </w:p>
    <w:p w14:paraId="29DC15FD" w14:textId="6DBCACFD" w:rsidR="00D64012" w:rsidRDefault="00D64012" w:rsidP="00D64012">
      <w:pPr>
        <w:ind w:left="284"/>
        <w:rPr>
          <w:color w:val="0070C0"/>
        </w:rPr>
      </w:pPr>
      <w:r>
        <w:rPr>
          <w:color w:val="0070C0"/>
        </w:rPr>
        <w:t>These people have been contacted by the applicant and we will forward any return correspondence if and when it becomes available.</w:t>
      </w:r>
    </w:p>
    <w:p w14:paraId="7A454B0F" w14:textId="77777777" w:rsidR="000D2FD5" w:rsidRDefault="000D2FD5" w:rsidP="00D64012">
      <w:pPr>
        <w:ind w:left="284"/>
        <w:rPr>
          <w:color w:val="0070C0"/>
        </w:rPr>
      </w:pPr>
    </w:p>
    <w:p w14:paraId="5BD81952" w14:textId="146A0292"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0C5048BE" w14:textId="6467C7D2" w:rsidR="00EE6450" w:rsidRPr="00050007" w:rsidRDefault="00050007" w:rsidP="00EE6450">
      <w:pPr>
        <w:ind w:left="426"/>
        <w:rPr>
          <w:color w:val="4F81BD" w:themeColor="accent1"/>
        </w:rPr>
      </w:pPr>
      <w:r w:rsidRPr="00050007">
        <w:rPr>
          <w:color w:val="4F81BD" w:themeColor="accent1"/>
        </w:rPr>
        <w:t>N/A</w:t>
      </w:r>
    </w:p>
    <w:p w14:paraId="7F034E5A" w14:textId="77777777" w:rsidR="00E82F54" w:rsidRDefault="00E82F54" w:rsidP="00530204">
      <w:pPr>
        <w:pStyle w:val="Heading2"/>
      </w:pPr>
      <w:bookmarkStart w:id="5" w:name="_Hlk23514244"/>
      <w:r w:rsidRPr="00154B00">
        <w:t xml:space="preserve">Nominate two </w:t>
      </w:r>
      <w:bookmarkStart w:id="6" w:name="_Hlk23424739"/>
      <w:r w:rsidRPr="00154B00">
        <w:t>experts who could be approached about the proposed medical service and the current clinical management of the service(s)</w:t>
      </w:r>
      <w:bookmarkEnd w:id="6"/>
      <w:r w:rsidRPr="00154B00">
        <w:t>:</w:t>
      </w:r>
    </w:p>
    <w:p w14:paraId="3DC67A57" w14:textId="1C8AE149" w:rsidR="00987ABE" w:rsidRPr="0041089F" w:rsidRDefault="00987ABE" w:rsidP="00987ABE">
      <w:pPr>
        <w:ind w:left="426"/>
        <w:rPr>
          <w:b/>
          <w:bCs/>
          <w:szCs w:val="20"/>
        </w:rPr>
      </w:pPr>
      <w:r w:rsidRPr="0041089F">
        <w:rPr>
          <w:b/>
          <w:bCs/>
          <w:szCs w:val="20"/>
        </w:rPr>
        <w:t xml:space="preserve">Name of expert 1: </w:t>
      </w:r>
      <w:r w:rsidR="0041089F" w:rsidRPr="00F47297">
        <w:rPr>
          <w:bCs/>
        </w:rPr>
        <w:t>REDACTED</w:t>
      </w:r>
    </w:p>
    <w:p w14:paraId="0250317A" w14:textId="1B66CE28" w:rsidR="00987ABE" w:rsidRPr="0041089F" w:rsidRDefault="00987ABE" w:rsidP="00987ABE">
      <w:pPr>
        <w:ind w:left="426"/>
        <w:rPr>
          <w:szCs w:val="20"/>
        </w:rPr>
      </w:pPr>
      <w:bookmarkStart w:id="7" w:name="_Hlk23424893"/>
      <w:r w:rsidRPr="0041089F">
        <w:rPr>
          <w:szCs w:val="20"/>
        </w:rPr>
        <w:t xml:space="preserve">Telephone number(s): </w:t>
      </w:r>
      <w:r w:rsidR="0041089F" w:rsidRPr="0041089F">
        <w:rPr>
          <w:szCs w:val="20"/>
        </w:rPr>
        <w:t>REDACTED</w:t>
      </w:r>
      <w:r w:rsidR="0088288D" w:rsidRPr="0041089F">
        <w:rPr>
          <w:szCs w:val="20"/>
        </w:rPr>
        <w:t xml:space="preserve"> </w:t>
      </w:r>
    </w:p>
    <w:p w14:paraId="5986CEF0" w14:textId="0FC8BCF7" w:rsidR="00987ABE" w:rsidRPr="0041089F" w:rsidRDefault="00987ABE" w:rsidP="00987ABE">
      <w:pPr>
        <w:ind w:left="426"/>
        <w:rPr>
          <w:szCs w:val="20"/>
        </w:rPr>
      </w:pPr>
      <w:r w:rsidRPr="0041089F">
        <w:rPr>
          <w:szCs w:val="20"/>
        </w:rPr>
        <w:t xml:space="preserve">Email address: </w:t>
      </w:r>
      <w:hyperlink r:id="rId29" w:history="1">
        <w:r w:rsidR="0041089F" w:rsidRPr="0041089F">
          <w:rPr>
            <w:rStyle w:val="Hyperlink"/>
            <w:color w:val="auto"/>
            <w:u w:val="none"/>
          </w:rPr>
          <w:t>REDACTED</w:t>
        </w:r>
      </w:hyperlink>
      <w:r w:rsidR="00EE5778" w:rsidRPr="0041089F">
        <w:t xml:space="preserve"> </w:t>
      </w:r>
    </w:p>
    <w:p w14:paraId="1C33AE6C" w14:textId="63FBB42B" w:rsidR="0088288D" w:rsidRDefault="00987ABE" w:rsidP="00BA322E">
      <w:pPr>
        <w:ind w:left="426"/>
      </w:pPr>
      <w:r w:rsidRPr="0041089F">
        <w:rPr>
          <w:szCs w:val="20"/>
        </w:rPr>
        <w:t xml:space="preserve">Justification of expertise: </w:t>
      </w:r>
      <w:bookmarkEnd w:id="7"/>
      <w:r w:rsidR="0041089F" w:rsidRPr="0041089F">
        <w:t xml:space="preserve">REDACTED </w:t>
      </w:r>
      <w:bookmarkEnd w:id="5"/>
    </w:p>
    <w:p w14:paraId="4A3BBF45" w14:textId="77777777" w:rsidR="00BA322E" w:rsidRPr="00BA322E" w:rsidRDefault="00BA322E" w:rsidP="00BA322E">
      <w:pPr>
        <w:ind w:left="426"/>
        <w:rPr>
          <w:szCs w:val="20"/>
        </w:rPr>
      </w:pPr>
    </w:p>
    <w:p w14:paraId="04B6B083" w14:textId="746DA427" w:rsidR="00987ABE" w:rsidRPr="00BA322E" w:rsidRDefault="00987ABE" w:rsidP="00987ABE">
      <w:pPr>
        <w:ind w:left="426"/>
        <w:rPr>
          <w:rStyle w:val="Hyperlink"/>
          <w:b/>
          <w:color w:val="auto"/>
          <w:u w:val="none"/>
        </w:rPr>
      </w:pPr>
      <w:r w:rsidRPr="00BA322E">
        <w:rPr>
          <w:rStyle w:val="Hyperlink"/>
          <w:b/>
          <w:color w:val="auto"/>
          <w:u w:val="none"/>
        </w:rPr>
        <w:t xml:space="preserve">Name of expert 2: </w:t>
      </w:r>
    </w:p>
    <w:p w14:paraId="6F9E49EF" w14:textId="365F90C4" w:rsidR="00987ABE" w:rsidRPr="00BA322E" w:rsidRDefault="00987ABE" w:rsidP="00987ABE">
      <w:pPr>
        <w:ind w:left="426"/>
        <w:rPr>
          <w:rStyle w:val="Hyperlink"/>
          <w:color w:val="auto"/>
          <w:u w:val="none"/>
        </w:rPr>
      </w:pPr>
      <w:r w:rsidRPr="00BA322E">
        <w:rPr>
          <w:rStyle w:val="Hyperlink"/>
          <w:color w:val="auto"/>
          <w:u w:val="none"/>
        </w:rPr>
        <w:t xml:space="preserve">Telephone number(s): </w:t>
      </w:r>
      <w:r w:rsidR="0041089F" w:rsidRPr="00BA322E">
        <w:rPr>
          <w:rStyle w:val="Hyperlink"/>
          <w:color w:val="auto"/>
          <w:u w:val="none"/>
        </w:rPr>
        <w:t>REDACTED</w:t>
      </w:r>
    </w:p>
    <w:p w14:paraId="26874671" w14:textId="0A747060" w:rsidR="00987ABE" w:rsidRPr="00BA322E" w:rsidRDefault="00987ABE" w:rsidP="00987ABE">
      <w:pPr>
        <w:ind w:left="426"/>
        <w:rPr>
          <w:rStyle w:val="Hyperlink"/>
          <w:color w:val="auto"/>
          <w:u w:val="none"/>
        </w:rPr>
      </w:pPr>
      <w:r w:rsidRPr="00BA322E">
        <w:rPr>
          <w:rStyle w:val="Hyperlink"/>
          <w:color w:val="auto"/>
          <w:u w:val="none"/>
        </w:rPr>
        <w:t xml:space="preserve">Email address: </w:t>
      </w:r>
      <w:hyperlink r:id="rId30" w:history="1">
        <w:r w:rsidR="0041089F" w:rsidRPr="00BA322E">
          <w:rPr>
            <w:rStyle w:val="Hyperlink"/>
            <w:color w:val="auto"/>
            <w:u w:val="none"/>
          </w:rPr>
          <w:t>REDACTED</w:t>
        </w:r>
      </w:hyperlink>
    </w:p>
    <w:p w14:paraId="512FABE9" w14:textId="2C4FE50E" w:rsidR="00ED7E1B" w:rsidRPr="00BA322E" w:rsidRDefault="00987ABE" w:rsidP="00BA322E">
      <w:pPr>
        <w:ind w:left="426"/>
      </w:pPr>
      <w:r w:rsidRPr="00BA322E">
        <w:rPr>
          <w:rStyle w:val="Hyperlink"/>
          <w:color w:val="auto"/>
          <w:u w:val="none"/>
        </w:rPr>
        <w:t xml:space="preserve">Justification of expertise: </w:t>
      </w:r>
      <w:r w:rsidR="0041089F" w:rsidRPr="00BA322E">
        <w:t>REDACTED</w:t>
      </w:r>
      <w:r w:rsidR="00ED7E1B" w:rsidRPr="00BA322E">
        <w:t xml:space="preserve"> </w:t>
      </w:r>
    </w:p>
    <w:p w14:paraId="4E11A174"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5F203850"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721D41B5" w14:textId="77777777" w:rsidR="0021185D" w:rsidRPr="005C3AE7" w:rsidRDefault="005C3AE7" w:rsidP="003902C2">
      <w:pPr>
        <w:pStyle w:val="Subtitle"/>
        <w:ind w:left="284"/>
      </w:pPr>
      <w:r w:rsidRPr="005C3AE7">
        <w:t xml:space="preserve">PART 6a – </w:t>
      </w:r>
      <w:r w:rsidR="0021185D" w:rsidRPr="005C3AE7">
        <w:t>INFORMATION ABOUT THE PROPOSED POPULATION</w:t>
      </w:r>
    </w:p>
    <w:p w14:paraId="676EA520" w14:textId="77777777" w:rsidR="0021185D" w:rsidRPr="00A96329" w:rsidRDefault="0021185D" w:rsidP="003902C2">
      <w:pPr>
        <w:pStyle w:val="Heading2"/>
        <w:ind w:left="284"/>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3F995817" w14:textId="77777777" w:rsidR="006613F2" w:rsidRPr="00F61B58" w:rsidRDefault="00522978" w:rsidP="006613F2">
      <w:pPr>
        <w:ind w:left="284"/>
        <w:rPr>
          <w:color w:val="0070C0"/>
          <w:shd w:val="clear" w:color="auto" w:fill="FFFFFF"/>
        </w:rPr>
      </w:pPr>
      <w:r w:rsidRPr="003902C2">
        <w:rPr>
          <w:color w:val="0070C0"/>
          <w:shd w:val="clear" w:color="auto" w:fill="FFFFFF"/>
        </w:rPr>
        <w:t xml:space="preserve">ET is a chronic, progressive neurological condition characterised by rhythmic and oscillatory tremors of the upper extremities, not attributable to another cause (e.g. Parkinson’s disease). </w:t>
      </w:r>
      <w:r w:rsidR="006613F2" w:rsidRPr="00F61B58">
        <w:rPr>
          <w:color w:val="0070C0"/>
          <w:shd w:val="clear" w:color="auto" w:fill="FFFFFF"/>
        </w:rPr>
        <w:t xml:space="preserve">With an estimated prevalence of ~4% in adults older than age 40, ET is one of the most common neurological disorders among adults. </w:t>
      </w:r>
      <w:proofErr w:type="gramStart"/>
      <w:r w:rsidR="006613F2" w:rsidRPr="00F61B58">
        <w:rPr>
          <w:color w:val="0070C0"/>
          <w:shd w:val="clear" w:color="auto" w:fill="FFFFFF"/>
        </w:rPr>
        <w:t>with</w:t>
      </w:r>
      <w:proofErr w:type="gramEnd"/>
      <w:r w:rsidR="006613F2" w:rsidRPr="00F61B58">
        <w:rPr>
          <w:color w:val="0070C0"/>
          <w:shd w:val="clear" w:color="auto" w:fill="FFFFFF"/>
        </w:rPr>
        <w:t xml:space="preserve"> higher prevalence rates observed among the elderly (Louis 2010). </w:t>
      </w:r>
    </w:p>
    <w:p w14:paraId="64499AE3" w14:textId="49F0183F" w:rsidR="00EF577C" w:rsidRDefault="00522978" w:rsidP="003902C2">
      <w:pPr>
        <w:ind w:left="284"/>
        <w:rPr>
          <w:color w:val="0070C0"/>
          <w:shd w:val="clear" w:color="auto" w:fill="FFFFFF"/>
        </w:rPr>
      </w:pPr>
      <w:r w:rsidRPr="003902C2">
        <w:rPr>
          <w:color w:val="0070C0"/>
          <w:shd w:val="clear" w:color="auto" w:fill="FFFFFF"/>
        </w:rPr>
        <w:t>In the past</w:t>
      </w:r>
      <w:r w:rsidR="00D562BE" w:rsidRPr="003902C2">
        <w:rPr>
          <w:color w:val="0070C0"/>
          <w:shd w:val="clear" w:color="auto" w:fill="FFFFFF"/>
        </w:rPr>
        <w:t xml:space="preserve">, ET has been thought of as a </w:t>
      </w:r>
      <w:proofErr w:type="spellStart"/>
      <w:r w:rsidR="00D562BE" w:rsidRPr="003902C2">
        <w:rPr>
          <w:color w:val="0070C0"/>
          <w:shd w:val="clear" w:color="auto" w:fill="FFFFFF"/>
        </w:rPr>
        <w:t>monosymptomatic</w:t>
      </w:r>
      <w:proofErr w:type="spellEnd"/>
      <w:r w:rsidR="00D562BE" w:rsidRPr="003902C2">
        <w:rPr>
          <w:color w:val="0070C0"/>
          <w:shd w:val="clear" w:color="auto" w:fill="FFFFFF"/>
        </w:rPr>
        <w:t xml:space="preserve"> disorder, characteri</w:t>
      </w:r>
      <w:r w:rsidR="00155DAD" w:rsidRPr="003902C2">
        <w:rPr>
          <w:color w:val="0070C0"/>
          <w:shd w:val="clear" w:color="auto" w:fill="FFFFFF"/>
        </w:rPr>
        <w:t>s</w:t>
      </w:r>
      <w:r w:rsidR="00D562BE" w:rsidRPr="003902C2">
        <w:rPr>
          <w:color w:val="0070C0"/>
          <w:shd w:val="clear" w:color="auto" w:fill="FFFFFF"/>
        </w:rPr>
        <w:t>ed by kinetic arm tremor</w:t>
      </w:r>
      <w:r w:rsidRPr="003902C2">
        <w:rPr>
          <w:color w:val="0070C0"/>
          <w:shd w:val="clear" w:color="auto" w:fill="FFFFFF"/>
        </w:rPr>
        <w:t>; however,</w:t>
      </w:r>
      <w:r w:rsidR="00D562BE" w:rsidRPr="003902C2">
        <w:rPr>
          <w:color w:val="0070C0"/>
          <w:shd w:val="clear" w:color="auto" w:fill="FFFFFF"/>
        </w:rPr>
        <w:t xml:space="preserve"> it is now </w:t>
      </w:r>
      <w:r w:rsidRPr="003902C2">
        <w:rPr>
          <w:color w:val="0070C0"/>
          <w:shd w:val="clear" w:color="auto" w:fill="FFFFFF"/>
        </w:rPr>
        <w:t>understood to be</w:t>
      </w:r>
      <w:r w:rsidR="00D562BE" w:rsidRPr="003902C2">
        <w:rPr>
          <w:color w:val="0070C0"/>
          <w:shd w:val="clear" w:color="auto" w:fill="FFFFFF"/>
        </w:rPr>
        <w:t xml:space="preserve"> </w:t>
      </w:r>
      <w:r w:rsidRPr="003902C2">
        <w:rPr>
          <w:color w:val="0070C0"/>
          <w:shd w:val="clear" w:color="auto" w:fill="FFFFFF"/>
        </w:rPr>
        <w:t xml:space="preserve">a </w:t>
      </w:r>
      <w:r w:rsidR="00D562BE" w:rsidRPr="003902C2">
        <w:rPr>
          <w:color w:val="0070C0"/>
          <w:shd w:val="clear" w:color="auto" w:fill="FFFFFF"/>
        </w:rPr>
        <w:t>clinical</w:t>
      </w:r>
      <w:r w:rsidRPr="003902C2">
        <w:rPr>
          <w:color w:val="0070C0"/>
          <w:shd w:val="clear" w:color="auto" w:fill="FFFFFF"/>
        </w:rPr>
        <w:t>ly</w:t>
      </w:r>
      <w:r w:rsidR="00D562BE" w:rsidRPr="003902C2">
        <w:rPr>
          <w:color w:val="0070C0"/>
          <w:shd w:val="clear" w:color="auto" w:fill="FFFFFF"/>
        </w:rPr>
        <w:t xml:space="preserve"> heterogeneous</w:t>
      </w:r>
      <w:r w:rsidRPr="003902C2">
        <w:rPr>
          <w:color w:val="0070C0"/>
          <w:shd w:val="clear" w:color="auto" w:fill="FFFFFF"/>
        </w:rPr>
        <w:t xml:space="preserve"> condition</w:t>
      </w:r>
      <w:r w:rsidR="00D562BE" w:rsidRPr="003902C2">
        <w:rPr>
          <w:color w:val="0070C0"/>
          <w:shd w:val="clear" w:color="auto" w:fill="FFFFFF"/>
        </w:rPr>
        <w:t xml:space="preserve">. </w:t>
      </w:r>
      <w:r w:rsidRPr="003902C2">
        <w:rPr>
          <w:color w:val="0070C0"/>
          <w:shd w:val="clear" w:color="auto" w:fill="FFFFFF"/>
        </w:rPr>
        <w:t>In 2018, an updated consensus statement from the task force on tremor of the International Parkinson and Movement Disorder Society redefined ET as a syndrome (Bhatia, 2018). The classification was an attempt to recognise the heterogeneity of symptoms, which are unified only by the presence of action tremor in the arms. In the new criteria, ET is defined as an isolated tremor syndrome with only action tremor present for at least three years. The presence of tremor in other locations such as the legs, head, or voice is allowed. Tremors that have been present for less than three years are identified as isolated postural or kinetic tremor</w:t>
      </w:r>
      <w:r w:rsidR="005E7E93" w:rsidRPr="003902C2">
        <w:rPr>
          <w:color w:val="0070C0"/>
          <w:shd w:val="clear" w:color="auto" w:fill="FFFFFF"/>
        </w:rPr>
        <w:t>s. In addition,</w:t>
      </w:r>
      <w:r w:rsidRPr="003902C2">
        <w:rPr>
          <w:color w:val="0070C0"/>
          <w:shd w:val="clear" w:color="auto" w:fill="FFFFFF"/>
        </w:rPr>
        <w:t xml:space="preserve"> </w:t>
      </w:r>
      <w:r w:rsidR="005E7E93" w:rsidRPr="003902C2">
        <w:rPr>
          <w:color w:val="0070C0"/>
          <w:shd w:val="clear" w:color="auto" w:fill="FFFFFF"/>
        </w:rPr>
        <w:t>n</w:t>
      </w:r>
      <w:r w:rsidRPr="003902C2">
        <w:rPr>
          <w:color w:val="0070C0"/>
          <w:shd w:val="clear" w:color="auto" w:fill="FFFFFF"/>
        </w:rPr>
        <w:t xml:space="preserve">o signs of other neurologic disease such as dystonia, ataxia, or </w:t>
      </w:r>
      <w:proofErr w:type="gramStart"/>
      <w:r w:rsidRPr="003902C2">
        <w:rPr>
          <w:color w:val="0070C0"/>
          <w:shd w:val="clear" w:color="auto" w:fill="FFFFFF"/>
        </w:rPr>
        <w:t>parkinsonism</w:t>
      </w:r>
      <w:proofErr w:type="gramEnd"/>
      <w:r w:rsidRPr="003902C2">
        <w:rPr>
          <w:color w:val="0070C0"/>
          <w:shd w:val="clear" w:color="auto" w:fill="FFFFFF"/>
        </w:rPr>
        <w:t xml:space="preserve"> are allowed to be designated as essential tremor (Shankar, 2019).</w:t>
      </w:r>
    </w:p>
    <w:p w14:paraId="055B8D13" w14:textId="6072CE5A" w:rsidR="006613F2" w:rsidRPr="003902C2" w:rsidRDefault="00BB2795" w:rsidP="003902C2">
      <w:pPr>
        <w:ind w:left="284"/>
        <w:rPr>
          <w:color w:val="0070C0"/>
          <w:shd w:val="clear" w:color="auto" w:fill="FFFFFF"/>
        </w:rPr>
      </w:pPr>
      <w:r w:rsidRPr="003902C2">
        <w:rPr>
          <w:color w:val="0070C0"/>
          <w:shd w:val="clear" w:color="auto" w:fill="FFFFFF"/>
        </w:rPr>
        <w:t>At disease onset, ET most commonly affects the upper limbs. Symptoms initially manifest with one hand being dominant, before progression to bilateral tremor of both hands within 1–2 years</w:t>
      </w:r>
      <w:r w:rsidR="0051059C" w:rsidRPr="003902C2">
        <w:rPr>
          <w:color w:val="0070C0"/>
          <w:shd w:val="clear" w:color="auto" w:fill="FFFFFF"/>
        </w:rPr>
        <w:t xml:space="preserve">. </w:t>
      </w:r>
      <w:r w:rsidRPr="003902C2">
        <w:rPr>
          <w:color w:val="0070C0"/>
          <w:shd w:val="clear" w:color="auto" w:fill="FFFFFF"/>
        </w:rPr>
        <w:t>However</w:t>
      </w:r>
      <w:r w:rsidR="00EE5778" w:rsidRPr="003902C2">
        <w:rPr>
          <w:color w:val="0070C0"/>
          <w:shd w:val="clear" w:color="auto" w:fill="FFFFFF"/>
        </w:rPr>
        <w:t>,</w:t>
      </w:r>
      <w:r w:rsidRPr="003902C2">
        <w:rPr>
          <w:color w:val="0070C0"/>
          <w:shd w:val="clear" w:color="auto" w:fill="FFFFFF"/>
        </w:rPr>
        <w:t xml:space="preserve"> the tremor generally remains slightly asymmetric with greater amplitude on the dominant side</w:t>
      </w:r>
      <w:r w:rsidR="0051059C" w:rsidRPr="003902C2">
        <w:rPr>
          <w:color w:val="0070C0"/>
          <w:shd w:val="clear" w:color="auto" w:fill="FFFFFF"/>
        </w:rPr>
        <w:t xml:space="preserve"> (Louis 1998).</w:t>
      </w:r>
      <w:r w:rsidRPr="003902C2">
        <w:rPr>
          <w:color w:val="0070C0"/>
          <w:shd w:val="clear" w:color="auto" w:fill="FFFFFF"/>
        </w:rPr>
        <w:t xml:space="preserve"> Tremor may eventually progress to other body parts, including the lower limbs, head, face and voice</w:t>
      </w:r>
      <w:r w:rsidR="008012DE" w:rsidRPr="003902C2">
        <w:rPr>
          <w:color w:val="0070C0"/>
          <w:shd w:val="clear" w:color="auto" w:fill="FFFFFF"/>
        </w:rPr>
        <w:t xml:space="preserve"> (</w:t>
      </w:r>
      <w:proofErr w:type="spellStart"/>
      <w:r w:rsidR="008012DE" w:rsidRPr="003902C2">
        <w:rPr>
          <w:color w:val="0070C0"/>
          <w:shd w:val="clear" w:color="auto" w:fill="FFFFFF"/>
        </w:rPr>
        <w:t>Elble</w:t>
      </w:r>
      <w:proofErr w:type="spellEnd"/>
      <w:r w:rsidR="008012DE" w:rsidRPr="003902C2">
        <w:rPr>
          <w:color w:val="0070C0"/>
          <w:shd w:val="clear" w:color="auto" w:fill="FFFFFF"/>
        </w:rPr>
        <w:t xml:space="preserve"> 2013).</w:t>
      </w:r>
      <w:r w:rsidRPr="003902C2">
        <w:rPr>
          <w:color w:val="0070C0"/>
          <w:shd w:val="clear" w:color="auto" w:fill="FFFFFF"/>
        </w:rPr>
        <w:t xml:space="preserve"> </w:t>
      </w:r>
      <w:r w:rsidR="006613F2" w:rsidRPr="003902C2">
        <w:rPr>
          <w:color w:val="0070C0"/>
          <w:shd w:val="clear" w:color="auto" w:fill="FFFFFF"/>
        </w:rPr>
        <w:t>Additional motor problems may develop, including mild gait ataxia with increased risk for falls (Benito-León 2011). These symptoms can interfere with the ability to perform ADL such as drinking, shaving, dressing, handwriting and drawing. More than 90% of ET patients who seek medical attention report disability (Louis 2001) and severely affected patients are frequently unable to feed or dress themselves (Critchley 1949). Between 15% and 25% of patients are forced to retire prematurely, and 60% choose not to apply for a job or promotion because of uncontrollable shaking (Bain 1994).</w:t>
      </w:r>
    </w:p>
    <w:p w14:paraId="34C7FDCE" w14:textId="623FE83F" w:rsidR="006613F2" w:rsidRPr="003902C2" w:rsidRDefault="00D562BE" w:rsidP="003902C2">
      <w:pPr>
        <w:ind w:left="284"/>
        <w:rPr>
          <w:color w:val="0070C0"/>
          <w:shd w:val="clear" w:color="auto" w:fill="FFFFFF"/>
        </w:rPr>
      </w:pPr>
      <w:r w:rsidRPr="003902C2">
        <w:rPr>
          <w:color w:val="0070C0"/>
          <w:shd w:val="clear" w:color="auto" w:fill="FFFFFF"/>
        </w:rPr>
        <w:t xml:space="preserve">In </w:t>
      </w:r>
      <w:r w:rsidR="00E14AA0" w:rsidRPr="003902C2">
        <w:rPr>
          <w:color w:val="0070C0"/>
          <w:shd w:val="clear" w:color="auto" w:fill="FFFFFF"/>
        </w:rPr>
        <w:t xml:space="preserve">addition to motor-related symptoms, ET may be associated with non-motor </w:t>
      </w:r>
      <w:r w:rsidR="00CA1B9A">
        <w:rPr>
          <w:color w:val="0070C0"/>
          <w:shd w:val="clear" w:color="auto" w:fill="FFFFFF"/>
        </w:rPr>
        <w:t>sequelae</w:t>
      </w:r>
      <w:r w:rsidR="00E14AA0" w:rsidRPr="003902C2">
        <w:rPr>
          <w:color w:val="0070C0"/>
          <w:shd w:val="clear" w:color="auto" w:fill="FFFFFF"/>
        </w:rPr>
        <w:t>, such as cognitive and sensory impairment</w:t>
      </w:r>
      <w:r w:rsidR="00CA1B9A">
        <w:rPr>
          <w:color w:val="0070C0"/>
          <w:shd w:val="clear" w:color="auto" w:fill="FFFFFF"/>
        </w:rPr>
        <w:t>s</w:t>
      </w:r>
      <w:r w:rsidR="008012DE" w:rsidRPr="003902C2">
        <w:rPr>
          <w:color w:val="0070C0"/>
          <w:shd w:val="clear" w:color="auto" w:fill="FFFFFF"/>
        </w:rPr>
        <w:t xml:space="preserve"> (</w:t>
      </w:r>
      <w:r w:rsidR="006613F2" w:rsidRPr="003902C2">
        <w:rPr>
          <w:color w:val="0070C0"/>
          <w:shd w:val="clear" w:color="auto" w:fill="FFFFFF"/>
        </w:rPr>
        <w:t>Benito-León 2014</w:t>
      </w:r>
      <w:r w:rsidR="008012DE" w:rsidRPr="003902C2">
        <w:rPr>
          <w:color w:val="0070C0"/>
          <w:shd w:val="clear" w:color="auto" w:fill="FFFFFF"/>
        </w:rPr>
        <w:t>; Clark 2018)</w:t>
      </w:r>
      <w:r w:rsidR="00E14AA0" w:rsidRPr="003902C2">
        <w:rPr>
          <w:color w:val="0070C0"/>
          <w:shd w:val="clear" w:color="auto" w:fill="FFFFFF"/>
        </w:rPr>
        <w:t xml:space="preserve">. </w:t>
      </w:r>
      <w:r w:rsidR="006613F2" w:rsidRPr="003902C2">
        <w:rPr>
          <w:color w:val="0070C0"/>
          <w:shd w:val="clear" w:color="auto" w:fill="FFFFFF"/>
        </w:rPr>
        <w:t xml:space="preserve">Case-control studies have shown that patients with ET may develop </w:t>
      </w:r>
      <w:r w:rsidR="00CA1B9A">
        <w:rPr>
          <w:color w:val="0070C0"/>
          <w:shd w:val="clear" w:color="auto" w:fill="FFFFFF"/>
        </w:rPr>
        <w:t>sleep disturbances</w:t>
      </w:r>
      <w:r w:rsidR="006613F2" w:rsidRPr="003902C2">
        <w:rPr>
          <w:color w:val="0070C0"/>
          <w:shd w:val="clear" w:color="auto" w:fill="FFFFFF"/>
        </w:rPr>
        <w:t>, depressive symptoms, mild cognitive impairment [MCI], and dementia (Benito-León 2011; Bermejo-</w:t>
      </w:r>
      <w:proofErr w:type="spellStart"/>
      <w:r w:rsidR="006613F2" w:rsidRPr="003902C2">
        <w:rPr>
          <w:color w:val="0070C0"/>
          <w:shd w:val="clear" w:color="auto" w:fill="FFFFFF"/>
        </w:rPr>
        <w:t>Pareja</w:t>
      </w:r>
      <w:proofErr w:type="spellEnd"/>
      <w:r w:rsidR="006613F2" w:rsidRPr="003902C2">
        <w:rPr>
          <w:color w:val="0070C0"/>
          <w:shd w:val="clear" w:color="auto" w:fill="FFFFFF"/>
        </w:rPr>
        <w:t xml:space="preserve"> 2011; Louis 2012; </w:t>
      </w:r>
      <w:proofErr w:type="spellStart"/>
      <w:r w:rsidR="006613F2" w:rsidRPr="003902C2">
        <w:rPr>
          <w:color w:val="0070C0"/>
          <w:shd w:val="clear" w:color="auto" w:fill="FFFFFF"/>
        </w:rPr>
        <w:t>Sengul</w:t>
      </w:r>
      <w:proofErr w:type="spellEnd"/>
      <w:r w:rsidR="006613F2" w:rsidRPr="003902C2">
        <w:rPr>
          <w:color w:val="0070C0"/>
          <w:shd w:val="clear" w:color="auto" w:fill="FFFFFF"/>
        </w:rPr>
        <w:t xml:space="preserve"> 2015). The motor and non-motor related impairments associated with ET </w:t>
      </w:r>
      <w:r w:rsidR="00CA1B9A">
        <w:rPr>
          <w:color w:val="0070C0"/>
          <w:shd w:val="clear" w:color="auto" w:fill="FFFFFF"/>
        </w:rPr>
        <w:t>further impact</w:t>
      </w:r>
      <w:r w:rsidR="006613F2" w:rsidRPr="003902C2">
        <w:rPr>
          <w:color w:val="0070C0"/>
          <w:shd w:val="clear" w:color="auto" w:fill="FFFFFF"/>
        </w:rPr>
        <w:t xml:space="preserve"> functional,</w:t>
      </w:r>
      <w:r w:rsidR="00E14AA0" w:rsidRPr="003902C2">
        <w:rPr>
          <w:color w:val="0070C0"/>
          <w:shd w:val="clear" w:color="auto" w:fill="FFFFFF"/>
        </w:rPr>
        <w:t xml:space="preserve"> physical and psychosocial disability</w:t>
      </w:r>
      <w:r w:rsidR="008012DE" w:rsidRPr="003902C2">
        <w:rPr>
          <w:color w:val="0070C0"/>
          <w:shd w:val="clear" w:color="auto" w:fill="FFFFFF"/>
        </w:rPr>
        <w:t xml:space="preserve"> (</w:t>
      </w:r>
      <w:proofErr w:type="spellStart"/>
      <w:r w:rsidR="008012DE" w:rsidRPr="003902C2">
        <w:rPr>
          <w:color w:val="0070C0"/>
          <w:shd w:val="clear" w:color="auto" w:fill="FFFFFF"/>
        </w:rPr>
        <w:t>Elble</w:t>
      </w:r>
      <w:proofErr w:type="spellEnd"/>
      <w:r w:rsidR="008012DE" w:rsidRPr="003902C2">
        <w:rPr>
          <w:color w:val="0070C0"/>
          <w:shd w:val="clear" w:color="auto" w:fill="FFFFFF"/>
        </w:rPr>
        <w:t xml:space="preserve"> 2013)</w:t>
      </w:r>
      <w:r w:rsidR="006613F2" w:rsidRPr="003902C2">
        <w:rPr>
          <w:color w:val="0070C0"/>
          <w:shd w:val="clear" w:color="auto" w:fill="FFFFFF"/>
        </w:rPr>
        <w:t>.</w:t>
      </w:r>
    </w:p>
    <w:p w14:paraId="01D4B107" w14:textId="47481E87" w:rsidR="00BB2795" w:rsidRPr="003902C2" w:rsidRDefault="006613F2" w:rsidP="003902C2">
      <w:pPr>
        <w:ind w:left="284"/>
        <w:rPr>
          <w:color w:val="0070C0"/>
          <w:shd w:val="clear" w:color="auto" w:fill="FFFFFF"/>
        </w:rPr>
      </w:pPr>
      <w:r w:rsidRPr="003902C2">
        <w:rPr>
          <w:color w:val="0070C0"/>
          <w:shd w:val="clear" w:color="auto" w:fill="FFFFFF"/>
        </w:rPr>
        <w:t>ET is a progressive disease; the tremor gradually worsens with time. This, along with the accumulation of the co-morbidities noted above, result in both a functional decline and increased frailty (Louis 2011). As well as worsening with age, the symptoms of ET are known to be negatively affected by stress, tiredness, hunger, and extreme temperatures (NICE 2019).</w:t>
      </w:r>
    </w:p>
    <w:p w14:paraId="0EF2FCDB" w14:textId="1C428D92" w:rsidR="0030304A" w:rsidRDefault="0030304A" w:rsidP="003902C2">
      <w:pPr>
        <w:ind w:left="284"/>
        <w:rPr>
          <w:color w:val="0070C0"/>
          <w:shd w:val="clear" w:color="auto" w:fill="FFFFFF"/>
        </w:rPr>
      </w:pPr>
      <w:r w:rsidRPr="00214E42">
        <w:rPr>
          <w:color w:val="0070C0"/>
          <w:shd w:val="clear" w:color="auto" w:fill="FFFFFF"/>
        </w:rPr>
        <w:t xml:space="preserve">For patients with tremor affecting </w:t>
      </w:r>
      <w:r>
        <w:rPr>
          <w:color w:val="0070C0"/>
          <w:shd w:val="clear" w:color="auto" w:fill="FFFFFF"/>
        </w:rPr>
        <w:t>ADL</w:t>
      </w:r>
      <w:r w:rsidRPr="00214E42">
        <w:rPr>
          <w:color w:val="0070C0"/>
          <w:shd w:val="clear" w:color="auto" w:fill="FFFFFF"/>
        </w:rPr>
        <w:t xml:space="preserve"> or </w:t>
      </w:r>
      <w:proofErr w:type="spellStart"/>
      <w:r w:rsidRPr="00214E42">
        <w:rPr>
          <w:color w:val="0070C0"/>
          <w:shd w:val="clear" w:color="auto" w:fill="FFFFFF"/>
        </w:rPr>
        <w:t>HRQoL</w:t>
      </w:r>
      <w:proofErr w:type="spellEnd"/>
      <w:r w:rsidRPr="00214E42">
        <w:rPr>
          <w:color w:val="0070C0"/>
          <w:shd w:val="clear" w:color="auto" w:fill="FFFFFF"/>
        </w:rPr>
        <w:t xml:space="preserve">, medical therapy </w:t>
      </w:r>
      <w:r>
        <w:rPr>
          <w:color w:val="0070C0"/>
          <w:shd w:val="clear" w:color="auto" w:fill="FFFFFF"/>
        </w:rPr>
        <w:t>can help patients to control their symptoms; however, pharmacological therapy rarely achieves complete tremor control (</w:t>
      </w:r>
      <w:proofErr w:type="spellStart"/>
      <w:r>
        <w:rPr>
          <w:color w:val="0070C0"/>
          <w:shd w:val="clear" w:color="auto" w:fill="FFFFFF"/>
        </w:rPr>
        <w:t>Hedera</w:t>
      </w:r>
      <w:proofErr w:type="spellEnd"/>
      <w:r>
        <w:rPr>
          <w:color w:val="0070C0"/>
          <w:shd w:val="clear" w:color="auto" w:fill="FFFFFF"/>
        </w:rPr>
        <w:t xml:space="preserve"> 2013). </w:t>
      </w:r>
      <w:r w:rsidRPr="00214E42">
        <w:rPr>
          <w:color w:val="0070C0"/>
          <w:shd w:val="clear" w:color="auto" w:fill="FFFFFF"/>
        </w:rPr>
        <w:t xml:space="preserve">Nonselective beta blockade with propranolol is the mainstay of treatment. </w:t>
      </w:r>
      <w:r w:rsidRPr="00C35EE1">
        <w:rPr>
          <w:color w:val="0070C0"/>
          <w:shd w:val="clear" w:color="auto" w:fill="FFFFFF"/>
        </w:rPr>
        <w:t>Propranolol is contraindicated for several conditions, including asthma, diabetes mellitus and unstable heart failure, thus restricting the eligibility of many patients</w:t>
      </w:r>
      <w:r>
        <w:rPr>
          <w:color w:val="0070C0"/>
          <w:shd w:val="clear" w:color="auto" w:fill="FFFFFF"/>
        </w:rPr>
        <w:t xml:space="preserve"> (Benito Leon 2006).</w:t>
      </w:r>
      <w:r w:rsidRPr="00C35EE1">
        <w:rPr>
          <w:color w:val="0070C0"/>
          <w:shd w:val="clear" w:color="auto" w:fill="FFFFFF"/>
        </w:rPr>
        <w:t xml:space="preserve"> </w:t>
      </w:r>
      <w:r w:rsidRPr="00214E42">
        <w:rPr>
          <w:color w:val="0070C0"/>
          <w:shd w:val="clear" w:color="auto" w:fill="FFFFFF"/>
        </w:rPr>
        <w:t xml:space="preserve">Anti-epileptic medicines such as </w:t>
      </w:r>
      <w:proofErr w:type="spellStart"/>
      <w:r w:rsidRPr="00214E42">
        <w:rPr>
          <w:color w:val="0070C0"/>
          <w:shd w:val="clear" w:color="auto" w:fill="FFFFFF"/>
        </w:rPr>
        <w:t>primidone</w:t>
      </w:r>
      <w:proofErr w:type="spellEnd"/>
      <w:r w:rsidRPr="00214E42">
        <w:rPr>
          <w:color w:val="0070C0"/>
          <w:shd w:val="clear" w:color="auto" w:fill="FFFFFF"/>
        </w:rPr>
        <w:t xml:space="preserve"> and gabapentin are equally effective though are less frequently used due to the risk of side effects</w:t>
      </w:r>
      <w:r w:rsidRPr="003902C2">
        <w:rPr>
          <w:color w:val="0070C0"/>
          <w:shd w:val="clear" w:color="auto" w:fill="FFFFFF"/>
        </w:rPr>
        <w:t xml:space="preserve"> </w:t>
      </w:r>
      <w:r w:rsidRPr="00214E42">
        <w:rPr>
          <w:color w:val="0070C0"/>
          <w:shd w:val="clear" w:color="auto" w:fill="FFFFFF"/>
        </w:rPr>
        <w:t>such as ataxia, vertigo, and acute toxic reactions</w:t>
      </w:r>
      <w:r>
        <w:rPr>
          <w:color w:val="0070C0"/>
          <w:shd w:val="clear" w:color="auto" w:fill="FFFFFF"/>
        </w:rPr>
        <w:t xml:space="preserve"> (</w:t>
      </w:r>
      <w:proofErr w:type="spellStart"/>
      <w:r>
        <w:rPr>
          <w:color w:val="0070C0"/>
          <w:shd w:val="clear" w:color="auto" w:fill="FFFFFF"/>
        </w:rPr>
        <w:t>Zesiewicz</w:t>
      </w:r>
      <w:proofErr w:type="spellEnd"/>
      <w:r>
        <w:rPr>
          <w:color w:val="0070C0"/>
          <w:shd w:val="clear" w:color="auto" w:fill="FFFFFF"/>
        </w:rPr>
        <w:t xml:space="preserve"> 2005)</w:t>
      </w:r>
      <w:r w:rsidRPr="00214E42">
        <w:rPr>
          <w:color w:val="0070C0"/>
          <w:shd w:val="clear" w:color="auto" w:fill="FFFFFF"/>
        </w:rPr>
        <w:t>. Muscle relaxants such as alprazolam may also be considered.</w:t>
      </w:r>
      <w:r>
        <w:rPr>
          <w:color w:val="0070C0"/>
          <w:shd w:val="clear" w:color="auto" w:fill="FFFFFF"/>
        </w:rPr>
        <w:t xml:space="preserve"> </w:t>
      </w:r>
    </w:p>
    <w:p w14:paraId="44E7613A" w14:textId="24D2DF19" w:rsidR="006613F2" w:rsidRPr="003902C2" w:rsidRDefault="006613F2" w:rsidP="003902C2">
      <w:pPr>
        <w:ind w:left="426"/>
        <w:rPr>
          <w:color w:val="0070C0"/>
          <w:shd w:val="clear" w:color="auto" w:fill="FFFFFF"/>
        </w:rPr>
      </w:pPr>
      <w:r>
        <w:rPr>
          <w:color w:val="0070C0"/>
        </w:rPr>
        <w:lastRenderedPageBreak/>
        <w:t xml:space="preserve">It is </w:t>
      </w:r>
      <w:r w:rsidRPr="00D71E5E">
        <w:rPr>
          <w:color w:val="0070C0"/>
        </w:rPr>
        <w:t xml:space="preserve">estimated </w:t>
      </w:r>
      <w:r>
        <w:rPr>
          <w:color w:val="0070C0"/>
        </w:rPr>
        <w:t xml:space="preserve">that </w:t>
      </w:r>
      <w:r w:rsidRPr="00D71E5E">
        <w:rPr>
          <w:color w:val="0070C0"/>
        </w:rPr>
        <w:t xml:space="preserve">30-50% </w:t>
      </w:r>
      <w:r>
        <w:rPr>
          <w:color w:val="0070C0"/>
        </w:rPr>
        <w:t>of patients are completely resistant to</w:t>
      </w:r>
      <w:r w:rsidRPr="00D71E5E">
        <w:rPr>
          <w:color w:val="0070C0"/>
        </w:rPr>
        <w:t xml:space="preserve"> first line pharmacological therapy,</w:t>
      </w:r>
      <w:r>
        <w:rPr>
          <w:color w:val="0070C0"/>
        </w:rPr>
        <w:t xml:space="preserve"> </w:t>
      </w:r>
      <w:r w:rsidRPr="00EE5778">
        <w:rPr>
          <w:color w:val="0070C0"/>
        </w:rPr>
        <w:t>with drug tolerance occurring in a further 13% of patients after chronic treatment (</w:t>
      </w:r>
      <w:proofErr w:type="spellStart"/>
      <w:r w:rsidRPr="00EE5778">
        <w:rPr>
          <w:color w:val="0070C0"/>
        </w:rPr>
        <w:t>Koller</w:t>
      </w:r>
      <w:proofErr w:type="spellEnd"/>
      <w:r w:rsidRPr="00EE5778">
        <w:rPr>
          <w:color w:val="0070C0"/>
        </w:rPr>
        <w:t xml:space="preserve"> 1989; </w:t>
      </w:r>
      <w:proofErr w:type="spellStart"/>
      <w:r w:rsidRPr="00EE5778">
        <w:rPr>
          <w:color w:val="0070C0"/>
        </w:rPr>
        <w:t>Zesiewicz</w:t>
      </w:r>
      <w:proofErr w:type="spellEnd"/>
      <w:r w:rsidRPr="00EE5778">
        <w:rPr>
          <w:color w:val="0070C0"/>
        </w:rPr>
        <w:t xml:space="preserve"> 2011</w:t>
      </w:r>
      <w:r>
        <w:rPr>
          <w:color w:val="0070C0"/>
        </w:rPr>
        <w:t xml:space="preserve">). For these medically refractory patients, surgical interventions e.g. deep brain stimulation (DBS) </w:t>
      </w:r>
      <w:r w:rsidR="0030304A" w:rsidRPr="00214E42">
        <w:rPr>
          <w:color w:val="0070C0"/>
          <w:shd w:val="clear" w:color="auto" w:fill="FFFFFF"/>
        </w:rPr>
        <w:t xml:space="preserve">offer the only chance of functional improvement. </w:t>
      </w:r>
      <w:r>
        <w:rPr>
          <w:color w:val="0070C0"/>
        </w:rPr>
        <w:t xml:space="preserve"> </w:t>
      </w:r>
    </w:p>
    <w:p w14:paraId="046AF2C3" w14:textId="66C21924" w:rsidR="00753C0A" w:rsidRDefault="0030304A" w:rsidP="00753C0A">
      <w:pPr>
        <w:ind w:left="426"/>
        <w:rPr>
          <w:color w:val="0070C0"/>
          <w:shd w:val="clear" w:color="auto" w:fill="FFFFFF"/>
        </w:rPr>
      </w:pPr>
      <w:r>
        <w:rPr>
          <w:color w:val="0070C0"/>
        </w:rPr>
        <w:t>Evidence for</w:t>
      </w:r>
      <w:r w:rsidR="00753C0A">
        <w:rPr>
          <w:color w:val="0070C0"/>
        </w:rPr>
        <w:t xml:space="preserve"> mortality in ET </w:t>
      </w:r>
      <w:r>
        <w:rPr>
          <w:color w:val="0070C0"/>
        </w:rPr>
        <w:t>is</w:t>
      </w:r>
      <w:r w:rsidR="00753C0A">
        <w:rPr>
          <w:color w:val="0070C0"/>
        </w:rPr>
        <w:t xml:space="preserve"> </w:t>
      </w:r>
      <w:r>
        <w:rPr>
          <w:color w:val="0070C0"/>
        </w:rPr>
        <w:t>limited,</w:t>
      </w:r>
      <w:r w:rsidR="00753C0A">
        <w:rPr>
          <w:color w:val="0070C0"/>
        </w:rPr>
        <w:t xml:space="preserve"> </w:t>
      </w:r>
      <w:r>
        <w:rPr>
          <w:color w:val="0070C0"/>
        </w:rPr>
        <w:t>al</w:t>
      </w:r>
      <w:r w:rsidR="00753C0A">
        <w:rPr>
          <w:color w:val="0070C0"/>
        </w:rPr>
        <w:t>though a population</w:t>
      </w:r>
      <w:r w:rsidR="003902C2">
        <w:rPr>
          <w:color w:val="0070C0"/>
        </w:rPr>
        <w:t>-</w:t>
      </w:r>
      <w:r w:rsidR="00753C0A">
        <w:rPr>
          <w:color w:val="0070C0"/>
        </w:rPr>
        <w:t>based study demonstrated there to be an increased risk of death with ET compared with the general population (</w:t>
      </w:r>
      <w:r w:rsidR="00753C0A" w:rsidRPr="006B3892">
        <w:rPr>
          <w:color w:val="0070C0"/>
        </w:rPr>
        <w:t>RR = 1.59, 95% CI = 1.11 to 2.27, p = 0.01</w:t>
      </w:r>
      <w:r w:rsidR="00753C0A">
        <w:rPr>
          <w:color w:val="0070C0"/>
        </w:rPr>
        <w:t>)</w:t>
      </w:r>
      <w:r>
        <w:rPr>
          <w:color w:val="0070C0"/>
        </w:rPr>
        <w:t xml:space="preserve"> </w:t>
      </w:r>
      <w:r w:rsidR="00753C0A">
        <w:rPr>
          <w:color w:val="0070C0"/>
        </w:rPr>
        <w:t xml:space="preserve">(Louis 2007). This was further supported by a recent prospective longitudinal study of </w:t>
      </w:r>
      <w:r w:rsidR="00753C0A" w:rsidRPr="006B3892">
        <w:rPr>
          <w:color w:val="0070C0"/>
        </w:rPr>
        <w:t>cognitive function in ET</w:t>
      </w:r>
      <w:r>
        <w:rPr>
          <w:color w:val="0070C0"/>
        </w:rPr>
        <w:t>, which</w:t>
      </w:r>
      <w:r w:rsidR="00753C0A">
        <w:rPr>
          <w:color w:val="0070C0"/>
        </w:rPr>
        <w:t xml:space="preserve"> identified a number of independent predictor</w:t>
      </w:r>
      <w:r>
        <w:rPr>
          <w:color w:val="0070C0"/>
        </w:rPr>
        <w:t>s</w:t>
      </w:r>
      <w:r w:rsidR="00753C0A">
        <w:rPr>
          <w:color w:val="0070C0"/>
        </w:rPr>
        <w:t xml:space="preserve"> of mortality in elderly </w:t>
      </w:r>
      <w:r>
        <w:rPr>
          <w:color w:val="0070C0"/>
        </w:rPr>
        <w:t xml:space="preserve">patients with </w:t>
      </w:r>
      <w:r w:rsidR="00753C0A">
        <w:rPr>
          <w:color w:val="0070C0"/>
        </w:rPr>
        <w:t>ET</w:t>
      </w:r>
      <w:r>
        <w:rPr>
          <w:color w:val="0070C0"/>
        </w:rPr>
        <w:t>. Those who</w:t>
      </w:r>
      <w:r w:rsidR="00753C0A">
        <w:rPr>
          <w:color w:val="0070C0"/>
        </w:rPr>
        <w:t xml:space="preserve"> </w:t>
      </w:r>
      <w:r>
        <w:rPr>
          <w:color w:val="0070C0"/>
        </w:rPr>
        <w:t>died</w:t>
      </w:r>
      <w:r w:rsidR="00753C0A">
        <w:rPr>
          <w:color w:val="0070C0"/>
        </w:rPr>
        <w:t xml:space="preserve"> during the follow up period</w:t>
      </w:r>
      <w:r>
        <w:rPr>
          <w:color w:val="0070C0"/>
        </w:rPr>
        <w:t xml:space="preserve"> were found to have</w:t>
      </w:r>
      <w:r w:rsidR="00753C0A">
        <w:rPr>
          <w:color w:val="0070C0"/>
        </w:rPr>
        <w:t xml:space="preserve"> higher </w:t>
      </w:r>
      <w:r w:rsidR="00753C0A" w:rsidRPr="006B3892">
        <w:rPr>
          <w:color w:val="0070C0"/>
        </w:rPr>
        <w:t xml:space="preserve">baseline </w:t>
      </w:r>
      <w:r w:rsidR="00753C0A" w:rsidRPr="006B3892">
        <w:rPr>
          <w:color w:val="0070C0"/>
          <w:shd w:val="clear" w:color="auto" w:fill="FFFFFF"/>
        </w:rPr>
        <w:t>Clinical Dementia Rating (CDR) scores and greater gait disturbance scores (GDS) and more depressive</w:t>
      </w:r>
      <w:r w:rsidR="00753C0A">
        <w:rPr>
          <w:color w:val="0070C0"/>
          <w:shd w:val="clear" w:color="auto" w:fill="FFFFFF"/>
        </w:rPr>
        <w:t xml:space="preserve"> symptoms (</w:t>
      </w:r>
      <w:proofErr w:type="spellStart"/>
      <w:r w:rsidR="00753C0A">
        <w:rPr>
          <w:color w:val="0070C0"/>
          <w:shd w:val="clear" w:color="auto" w:fill="FFFFFF"/>
        </w:rPr>
        <w:t>Zubair</w:t>
      </w:r>
      <w:proofErr w:type="spellEnd"/>
      <w:r w:rsidR="00753C0A">
        <w:rPr>
          <w:color w:val="0070C0"/>
          <w:shd w:val="clear" w:color="auto" w:fill="FFFFFF"/>
        </w:rPr>
        <w:t xml:space="preserve"> 2018).</w:t>
      </w:r>
    </w:p>
    <w:p w14:paraId="1C24D66B" w14:textId="77777777" w:rsidR="00E14AA0" w:rsidRPr="00154B00" w:rsidRDefault="00E14AA0" w:rsidP="00E357B9">
      <w:pPr>
        <w:ind w:left="426"/>
        <w:rPr>
          <w:szCs w:val="20"/>
        </w:rPr>
      </w:pPr>
    </w:p>
    <w:p w14:paraId="159E20E1"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1883231" w14:textId="70901D27" w:rsidR="006A7748" w:rsidRPr="003902C2" w:rsidRDefault="005B504F" w:rsidP="00737B0A">
      <w:pPr>
        <w:ind w:left="426"/>
        <w:rPr>
          <w:color w:val="0070C0"/>
          <w:u w:val="single"/>
        </w:rPr>
      </w:pPr>
      <w:r w:rsidRPr="003902C2">
        <w:rPr>
          <w:color w:val="0070C0"/>
          <w:u w:val="single"/>
        </w:rPr>
        <w:t xml:space="preserve">It is proposed that eligibility for </w:t>
      </w:r>
      <w:proofErr w:type="spellStart"/>
      <w:r w:rsidRPr="003902C2">
        <w:rPr>
          <w:color w:val="0070C0"/>
          <w:u w:val="single"/>
        </w:rPr>
        <w:t>MRgFUS</w:t>
      </w:r>
      <w:proofErr w:type="spellEnd"/>
      <w:r w:rsidRPr="003902C2">
        <w:rPr>
          <w:color w:val="0070C0"/>
          <w:u w:val="single"/>
        </w:rPr>
        <w:t xml:space="preserve"> should be limited to </w:t>
      </w:r>
      <w:r w:rsidR="006A7748" w:rsidRPr="003902C2">
        <w:rPr>
          <w:color w:val="0070C0"/>
          <w:u w:val="single"/>
        </w:rPr>
        <w:t>adults under the care of a neurologist, who have medically refractory essential tremor</w:t>
      </w:r>
      <w:r w:rsidR="00FC0C13" w:rsidRPr="003902C2">
        <w:rPr>
          <w:color w:val="0070C0"/>
          <w:u w:val="single"/>
        </w:rPr>
        <w:t xml:space="preserve">, where the patient’s symptoms cause severe </w:t>
      </w:r>
      <w:r w:rsidR="00B6001A" w:rsidRPr="003902C2">
        <w:rPr>
          <w:color w:val="0070C0"/>
          <w:u w:val="single"/>
        </w:rPr>
        <w:t>disability.</w:t>
      </w:r>
    </w:p>
    <w:p w14:paraId="130BE008" w14:textId="3DCED9C7" w:rsidR="00C37179" w:rsidRDefault="00737B0A" w:rsidP="008872AF">
      <w:pPr>
        <w:ind w:left="426"/>
        <w:rPr>
          <w:color w:val="0070C0"/>
        </w:rPr>
      </w:pPr>
      <w:r w:rsidRPr="00737B0A">
        <w:rPr>
          <w:color w:val="0070C0"/>
        </w:rPr>
        <w:t xml:space="preserve">For patients in whom tremor is causing </w:t>
      </w:r>
      <w:r w:rsidR="008872AF">
        <w:rPr>
          <w:color w:val="0070C0"/>
        </w:rPr>
        <w:t xml:space="preserve">significant </w:t>
      </w:r>
      <w:r w:rsidRPr="00737B0A">
        <w:rPr>
          <w:color w:val="0070C0"/>
        </w:rPr>
        <w:t xml:space="preserve">functional or social disability, pharmacological intervention would be the first line of therapy. In Australia, this would typically comprise propranolol or </w:t>
      </w:r>
      <w:proofErr w:type="spellStart"/>
      <w:r w:rsidR="00214E42">
        <w:rPr>
          <w:color w:val="0070C0"/>
        </w:rPr>
        <w:t>primidone</w:t>
      </w:r>
      <w:proofErr w:type="spellEnd"/>
      <w:r w:rsidR="00214E42">
        <w:rPr>
          <w:color w:val="0070C0"/>
        </w:rPr>
        <w:t xml:space="preserve"> with other drugs such as </w:t>
      </w:r>
      <w:proofErr w:type="spellStart"/>
      <w:r w:rsidR="00214E42">
        <w:rPr>
          <w:color w:val="0070C0"/>
        </w:rPr>
        <w:t>gapapentin</w:t>
      </w:r>
      <w:proofErr w:type="spellEnd"/>
      <w:r w:rsidR="00214E42">
        <w:rPr>
          <w:color w:val="0070C0"/>
        </w:rPr>
        <w:t xml:space="preserve">, </w:t>
      </w:r>
      <w:proofErr w:type="spellStart"/>
      <w:r w:rsidR="00214E42">
        <w:rPr>
          <w:color w:val="0070C0"/>
        </w:rPr>
        <w:t>alprazoloam</w:t>
      </w:r>
      <w:proofErr w:type="spellEnd"/>
      <w:r w:rsidR="00214E42">
        <w:rPr>
          <w:color w:val="0070C0"/>
        </w:rPr>
        <w:t xml:space="preserve"> and </w:t>
      </w:r>
      <w:proofErr w:type="spellStart"/>
      <w:r w:rsidR="00214E42">
        <w:rPr>
          <w:color w:val="0070C0"/>
        </w:rPr>
        <w:t>topiramate</w:t>
      </w:r>
      <w:proofErr w:type="spellEnd"/>
      <w:r w:rsidR="00214E42">
        <w:rPr>
          <w:color w:val="0070C0"/>
        </w:rPr>
        <w:t xml:space="preserve"> available where first line drugs are contraindicated or not tolerated.</w:t>
      </w:r>
      <w:r w:rsidRPr="00737B0A">
        <w:rPr>
          <w:color w:val="0070C0"/>
        </w:rPr>
        <w:t xml:space="preserve"> </w:t>
      </w:r>
      <w:r w:rsidR="00572B80">
        <w:rPr>
          <w:color w:val="0070C0"/>
        </w:rPr>
        <w:t xml:space="preserve">Patients who </w:t>
      </w:r>
      <w:r w:rsidR="006A7748">
        <w:rPr>
          <w:color w:val="0070C0"/>
        </w:rPr>
        <w:t>fail to derive adequate benefit from</w:t>
      </w:r>
      <w:r w:rsidR="00572B80">
        <w:rPr>
          <w:color w:val="0070C0"/>
        </w:rPr>
        <w:t xml:space="preserve"> pharmacological </w:t>
      </w:r>
      <w:r w:rsidR="00214E42">
        <w:rPr>
          <w:color w:val="0070C0"/>
        </w:rPr>
        <w:t>treatment</w:t>
      </w:r>
      <w:r w:rsidR="00572B80">
        <w:rPr>
          <w:color w:val="0070C0"/>
        </w:rPr>
        <w:t xml:space="preserve"> of ET, are </w:t>
      </w:r>
      <w:r w:rsidR="00C37179">
        <w:rPr>
          <w:color w:val="0070C0"/>
        </w:rPr>
        <w:t>considered</w:t>
      </w:r>
      <w:r w:rsidR="00572B80">
        <w:rPr>
          <w:color w:val="0070C0"/>
        </w:rPr>
        <w:t xml:space="preserve"> to be medically refractory. </w:t>
      </w:r>
    </w:p>
    <w:p w14:paraId="13B3598E" w14:textId="75671011" w:rsidR="00C37179" w:rsidRPr="006A7748" w:rsidRDefault="00C37179" w:rsidP="00572B80">
      <w:pPr>
        <w:ind w:left="426"/>
        <w:rPr>
          <w:color w:val="0070C0"/>
        </w:rPr>
      </w:pPr>
      <w:r w:rsidRPr="006A7748">
        <w:rPr>
          <w:i/>
          <w:color w:val="0070C0"/>
        </w:rPr>
        <w:t xml:space="preserve">The Applicant acknowledges that the </w:t>
      </w:r>
      <w:r w:rsidR="006A7748">
        <w:rPr>
          <w:i/>
          <w:color w:val="0070C0"/>
        </w:rPr>
        <w:t xml:space="preserve">definition of failure to derive adequate benefit to treatment is </w:t>
      </w:r>
      <w:r w:rsidRPr="006A7748">
        <w:rPr>
          <w:i/>
          <w:color w:val="0070C0"/>
        </w:rPr>
        <w:t xml:space="preserve">open to interpretation. There are currently no set guidelines that define </w:t>
      </w:r>
      <w:r w:rsidR="006A7748">
        <w:rPr>
          <w:i/>
          <w:color w:val="0070C0"/>
        </w:rPr>
        <w:t>the duration of treatment or thresholds of benefit when defining medically refractory essential tremor</w:t>
      </w:r>
      <w:r w:rsidRPr="006A7748">
        <w:rPr>
          <w:i/>
          <w:color w:val="0070C0"/>
        </w:rPr>
        <w:t xml:space="preserve">. </w:t>
      </w:r>
      <w:r w:rsidR="0030304A">
        <w:rPr>
          <w:i/>
          <w:color w:val="0070C0"/>
        </w:rPr>
        <w:t>It should</w:t>
      </w:r>
      <w:r w:rsidR="00FC0C13">
        <w:rPr>
          <w:i/>
          <w:color w:val="0070C0"/>
        </w:rPr>
        <w:t>,</w:t>
      </w:r>
      <w:r w:rsidR="0030304A">
        <w:rPr>
          <w:i/>
          <w:color w:val="0070C0"/>
        </w:rPr>
        <w:t xml:space="preserve"> however, be noted that the decision to undergo </w:t>
      </w:r>
      <w:proofErr w:type="spellStart"/>
      <w:r w:rsidR="0030304A">
        <w:rPr>
          <w:i/>
          <w:color w:val="0070C0"/>
        </w:rPr>
        <w:t>MRgFUS</w:t>
      </w:r>
      <w:proofErr w:type="spellEnd"/>
      <w:r w:rsidR="0030304A">
        <w:rPr>
          <w:i/>
          <w:color w:val="0070C0"/>
        </w:rPr>
        <w:t xml:space="preserve"> would not be undertaken lightly, and it is likely that most patients would trial a range of pharmacologic therapies </w:t>
      </w:r>
      <w:r w:rsidR="00FC0C13">
        <w:rPr>
          <w:i/>
          <w:color w:val="0070C0"/>
        </w:rPr>
        <w:t xml:space="preserve">before considering the procedure. Similarly, it </w:t>
      </w:r>
      <w:r w:rsidR="000F457F">
        <w:rPr>
          <w:i/>
          <w:color w:val="0070C0"/>
        </w:rPr>
        <w:t xml:space="preserve">is </w:t>
      </w:r>
      <w:r w:rsidR="00FC0C13">
        <w:rPr>
          <w:i/>
          <w:color w:val="0070C0"/>
        </w:rPr>
        <w:t>highly probable that the majority of patients who currently undergo DBS for ET have medically refractory disease, despite the fact that this is not an explicit requirement in the MBS item descriptor</w:t>
      </w:r>
      <w:r w:rsidR="00B6001A">
        <w:rPr>
          <w:i/>
          <w:color w:val="0070C0"/>
        </w:rPr>
        <w:t>.</w:t>
      </w:r>
    </w:p>
    <w:p w14:paraId="730C7991" w14:textId="27931B10" w:rsidR="00B6001A" w:rsidRDefault="00B6001A" w:rsidP="00B6001A">
      <w:pPr>
        <w:ind w:left="426"/>
        <w:rPr>
          <w:color w:val="0070C0"/>
        </w:rPr>
      </w:pPr>
      <w:r w:rsidRPr="006A7748">
        <w:rPr>
          <w:color w:val="0070C0"/>
        </w:rPr>
        <w:t xml:space="preserve">Following failure to achieve an adequate response to pharmacological </w:t>
      </w:r>
      <w:r>
        <w:rPr>
          <w:color w:val="0070C0"/>
        </w:rPr>
        <w:t>therapy</w:t>
      </w:r>
      <w:r w:rsidRPr="006A7748">
        <w:rPr>
          <w:color w:val="0070C0"/>
        </w:rPr>
        <w:t xml:space="preserve">, patients are typically referred to a neurologist within </w:t>
      </w:r>
      <w:r w:rsidRPr="00D7238E">
        <w:rPr>
          <w:color w:val="0070C0"/>
        </w:rPr>
        <w:t xml:space="preserve">a movement disorder clinic for assessment of suitability for </w:t>
      </w:r>
      <w:r>
        <w:rPr>
          <w:color w:val="0070C0"/>
        </w:rPr>
        <w:t>therapeutic interventions such as DBS. At present, DBS is the only reimbursed intervention for patients with medically refractory ET. The MBS item descriptors for DBS (MBS item numbers 40850, 40851, 40852, 40854, 40856, 40858, 40860, 40862) specify that DBS should be used in patients with “ET</w:t>
      </w:r>
      <w:r w:rsidRPr="000476EA">
        <w:rPr>
          <w:color w:val="0070C0"/>
        </w:rPr>
        <w:t xml:space="preserve"> or dystonia where the patient's symptoms cause severe disability</w:t>
      </w:r>
      <w:r>
        <w:rPr>
          <w:color w:val="0070C0"/>
        </w:rPr>
        <w:t>”</w:t>
      </w:r>
      <w:r w:rsidRPr="000476EA">
        <w:rPr>
          <w:color w:val="0070C0"/>
        </w:rPr>
        <w:t>.</w:t>
      </w:r>
      <w:r>
        <w:rPr>
          <w:color w:val="0070C0"/>
        </w:rPr>
        <w:t xml:space="preserve"> As DBS is the main comparator proposed in this application, it was considered appropriate to also limit the population eligible for treatment with </w:t>
      </w:r>
      <w:proofErr w:type="spellStart"/>
      <w:r>
        <w:rPr>
          <w:color w:val="0070C0"/>
        </w:rPr>
        <w:t>MRgFUS</w:t>
      </w:r>
      <w:proofErr w:type="spellEnd"/>
      <w:r>
        <w:rPr>
          <w:color w:val="0070C0"/>
        </w:rPr>
        <w:t xml:space="preserve"> to those whose symptoms cause severe disability. </w:t>
      </w:r>
    </w:p>
    <w:p w14:paraId="4FFB66E5" w14:textId="5181F7B9" w:rsidR="006A7748" w:rsidRPr="006A7748" w:rsidRDefault="006A7748" w:rsidP="006A7748">
      <w:pPr>
        <w:ind w:left="426"/>
        <w:rPr>
          <w:color w:val="0070C0"/>
        </w:rPr>
      </w:pPr>
      <w:r w:rsidRPr="006A7748">
        <w:rPr>
          <w:color w:val="0070C0"/>
        </w:rPr>
        <w:t xml:space="preserve">Under the proposed listing, eligibility for </w:t>
      </w:r>
      <w:proofErr w:type="spellStart"/>
      <w:r w:rsidRPr="006A7748">
        <w:rPr>
          <w:color w:val="0070C0"/>
        </w:rPr>
        <w:t>MRgFUS</w:t>
      </w:r>
      <w:proofErr w:type="spellEnd"/>
      <w:r w:rsidRPr="006A7748">
        <w:rPr>
          <w:color w:val="0070C0"/>
        </w:rPr>
        <w:t xml:space="preserve"> therapy can only be determined by a neurologist. Once </w:t>
      </w:r>
      <w:proofErr w:type="spellStart"/>
      <w:r w:rsidRPr="006A7748">
        <w:rPr>
          <w:color w:val="0070C0"/>
        </w:rPr>
        <w:t>MRgFUS</w:t>
      </w:r>
      <w:proofErr w:type="spellEnd"/>
      <w:r w:rsidRPr="006A7748">
        <w:rPr>
          <w:color w:val="0070C0"/>
        </w:rPr>
        <w:t xml:space="preserve"> is prescribed, the patient will be referred to a qualified </w:t>
      </w:r>
      <w:r w:rsidR="000F457F">
        <w:rPr>
          <w:color w:val="0070C0"/>
        </w:rPr>
        <w:t>physician</w:t>
      </w:r>
      <w:r w:rsidR="000F457F" w:rsidRPr="006A7748">
        <w:rPr>
          <w:color w:val="0070C0"/>
        </w:rPr>
        <w:t xml:space="preserve"> </w:t>
      </w:r>
      <w:r w:rsidRPr="006A7748">
        <w:rPr>
          <w:color w:val="0070C0"/>
        </w:rPr>
        <w:t xml:space="preserve">working as part of the treatment team for an assessment of their suitability for and the undertaking of </w:t>
      </w:r>
      <w:proofErr w:type="spellStart"/>
      <w:r w:rsidRPr="006A7748">
        <w:rPr>
          <w:color w:val="0070C0"/>
        </w:rPr>
        <w:t>MRgFUS</w:t>
      </w:r>
      <w:proofErr w:type="spellEnd"/>
      <w:r w:rsidRPr="006A7748">
        <w:rPr>
          <w:color w:val="0070C0"/>
        </w:rPr>
        <w:t xml:space="preserve">. Post-procedure follow-up consultations would be provided by a neurologist. </w:t>
      </w:r>
    </w:p>
    <w:p w14:paraId="4185594D" w14:textId="77777777" w:rsidR="00737B0A" w:rsidRPr="00737B0A" w:rsidRDefault="00737B0A" w:rsidP="00737B0A">
      <w:pPr>
        <w:ind w:left="426"/>
        <w:rPr>
          <w:color w:val="0070C0"/>
        </w:rPr>
      </w:pPr>
    </w:p>
    <w:p w14:paraId="7863EE94"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3A5EF8F1" w14:textId="438577EA" w:rsidR="00B86D41" w:rsidRDefault="006A7748" w:rsidP="006A7748">
      <w:pPr>
        <w:ind w:left="360"/>
        <w:rPr>
          <w:color w:val="0070C0"/>
        </w:rPr>
      </w:pPr>
      <w:r w:rsidRPr="006A7748">
        <w:rPr>
          <w:color w:val="0070C0"/>
        </w:rPr>
        <w:t xml:space="preserve">The point of entry for care for </w:t>
      </w:r>
      <w:r w:rsidR="008872AF">
        <w:rPr>
          <w:color w:val="0070C0"/>
        </w:rPr>
        <w:t>ET</w:t>
      </w:r>
      <w:r w:rsidRPr="006A7748">
        <w:rPr>
          <w:color w:val="0070C0"/>
        </w:rPr>
        <w:t xml:space="preserve"> patients is typically a GP </w:t>
      </w:r>
      <w:r w:rsidR="00B86D41" w:rsidRPr="00531468">
        <w:rPr>
          <w:color w:val="0070C0"/>
        </w:rPr>
        <w:t>who makes a diagnosis based on medical history and symptomatology</w:t>
      </w:r>
      <w:r w:rsidR="00B86D41">
        <w:rPr>
          <w:color w:val="0070C0"/>
        </w:rPr>
        <w:t>.</w:t>
      </w:r>
      <w:r w:rsidR="00B86D41" w:rsidRPr="00B86D41">
        <w:rPr>
          <w:color w:val="0070C0"/>
        </w:rPr>
        <w:t xml:space="preserve"> </w:t>
      </w:r>
      <w:r w:rsidR="00B86D41" w:rsidRPr="00531468">
        <w:rPr>
          <w:color w:val="0070C0"/>
        </w:rPr>
        <w:t>A full examination and blood test may be conducted to rule out other causes of tremor.</w:t>
      </w:r>
    </w:p>
    <w:p w14:paraId="0D2D7D95" w14:textId="6606C879" w:rsidR="00B86D41" w:rsidRDefault="006A7748" w:rsidP="006A7748">
      <w:pPr>
        <w:ind w:left="360"/>
        <w:rPr>
          <w:color w:val="0070C0"/>
        </w:rPr>
      </w:pPr>
      <w:r>
        <w:rPr>
          <w:color w:val="0070C0"/>
        </w:rPr>
        <w:lastRenderedPageBreak/>
        <w:t xml:space="preserve">Under the care of their GP, patients </w:t>
      </w:r>
      <w:r w:rsidR="008872AF" w:rsidRPr="00737B0A">
        <w:rPr>
          <w:color w:val="0070C0"/>
        </w:rPr>
        <w:t xml:space="preserve">in whom tremor is causing </w:t>
      </w:r>
      <w:r w:rsidR="008872AF">
        <w:rPr>
          <w:color w:val="0070C0"/>
        </w:rPr>
        <w:t xml:space="preserve">significant </w:t>
      </w:r>
      <w:r w:rsidR="008872AF" w:rsidRPr="00737B0A">
        <w:rPr>
          <w:color w:val="0070C0"/>
        </w:rPr>
        <w:t>functional or social disability</w:t>
      </w:r>
      <w:r w:rsidR="008872AF">
        <w:rPr>
          <w:color w:val="0070C0"/>
        </w:rPr>
        <w:t xml:space="preserve"> </w:t>
      </w:r>
      <w:r>
        <w:rPr>
          <w:color w:val="0070C0"/>
        </w:rPr>
        <w:t>would initiate treatment with a pharmacological agent</w:t>
      </w:r>
      <w:r w:rsidR="00B312E5">
        <w:rPr>
          <w:color w:val="0070C0"/>
        </w:rPr>
        <w:t>s including beta-blockers (</w:t>
      </w:r>
      <w:proofErr w:type="spellStart"/>
      <w:r w:rsidR="00B312E5">
        <w:rPr>
          <w:color w:val="0070C0"/>
        </w:rPr>
        <w:t>e.g.</w:t>
      </w:r>
      <w:r>
        <w:rPr>
          <w:color w:val="0070C0"/>
        </w:rPr>
        <w:t>propranolol</w:t>
      </w:r>
      <w:proofErr w:type="spellEnd"/>
      <w:r w:rsidR="00B312E5">
        <w:rPr>
          <w:color w:val="0070C0"/>
        </w:rPr>
        <w:t>), anti-epileptic agents</w:t>
      </w:r>
      <w:r>
        <w:rPr>
          <w:color w:val="0070C0"/>
        </w:rPr>
        <w:t xml:space="preserve"> </w:t>
      </w:r>
      <w:r w:rsidR="00B312E5">
        <w:rPr>
          <w:color w:val="0070C0"/>
        </w:rPr>
        <w:t xml:space="preserve">(e.g. </w:t>
      </w:r>
      <w:proofErr w:type="spellStart"/>
      <w:r>
        <w:rPr>
          <w:color w:val="0070C0"/>
        </w:rPr>
        <w:t>primidone</w:t>
      </w:r>
      <w:proofErr w:type="spellEnd"/>
      <w:r w:rsidR="00B312E5">
        <w:rPr>
          <w:color w:val="0070C0"/>
        </w:rPr>
        <w:t>) or anti-anxiety medications</w:t>
      </w:r>
      <w:r>
        <w:rPr>
          <w:color w:val="0070C0"/>
        </w:rPr>
        <w:t xml:space="preserve">. </w:t>
      </w:r>
      <w:r w:rsidR="008872AF">
        <w:rPr>
          <w:color w:val="0070C0"/>
        </w:rPr>
        <w:t>Upon f</w:t>
      </w:r>
      <w:r w:rsidR="00450BA0">
        <w:rPr>
          <w:color w:val="0070C0"/>
        </w:rPr>
        <w:t xml:space="preserve">ailure to achieve an adequate response with first line treatment, patients may switch to an alternative drug. Second line treatment may also include muscle relaxants such as alprazolam or anti-epileptic agents such as gabapentin or </w:t>
      </w:r>
      <w:proofErr w:type="spellStart"/>
      <w:r w:rsidR="00450BA0">
        <w:rPr>
          <w:color w:val="0070C0"/>
        </w:rPr>
        <w:t>topiramate</w:t>
      </w:r>
      <w:proofErr w:type="spellEnd"/>
      <w:r w:rsidR="00450BA0">
        <w:rPr>
          <w:color w:val="0070C0"/>
        </w:rPr>
        <w:t>.</w:t>
      </w:r>
      <w:r w:rsidR="00B86D41" w:rsidRPr="00B86D41">
        <w:rPr>
          <w:color w:val="0070C0"/>
        </w:rPr>
        <w:t xml:space="preserve"> </w:t>
      </w:r>
    </w:p>
    <w:p w14:paraId="08920A17" w14:textId="13680830" w:rsidR="00B86D41" w:rsidRDefault="00B86D41" w:rsidP="00176232">
      <w:pPr>
        <w:ind w:left="360"/>
        <w:rPr>
          <w:color w:val="0070C0"/>
        </w:rPr>
      </w:pPr>
      <w:r w:rsidRPr="00844A42">
        <w:rPr>
          <w:color w:val="0070C0"/>
        </w:rPr>
        <w:t xml:space="preserve">If after further evaluation, </w:t>
      </w:r>
      <w:r>
        <w:rPr>
          <w:color w:val="0070C0"/>
        </w:rPr>
        <w:t>p</w:t>
      </w:r>
      <w:r w:rsidRPr="00531468">
        <w:rPr>
          <w:color w:val="0070C0"/>
        </w:rPr>
        <w:t>atient</w:t>
      </w:r>
      <w:r>
        <w:rPr>
          <w:color w:val="0070C0"/>
        </w:rPr>
        <w:t>s</w:t>
      </w:r>
      <w:r w:rsidRPr="00531468">
        <w:rPr>
          <w:color w:val="0070C0"/>
        </w:rPr>
        <w:t xml:space="preserve"> </w:t>
      </w:r>
      <w:r>
        <w:rPr>
          <w:color w:val="0070C0"/>
        </w:rPr>
        <w:t xml:space="preserve">are unable to </w:t>
      </w:r>
      <w:r w:rsidRPr="00531468">
        <w:rPr>
          <w:color w:val="0070C0"/>
        </w:rPr>
        <w:t xml:space="preserve">achieve satisfactory symptom control with optimised medical therapy or </w:t>
      </w:r>
      <w:r>
        <w:rPr>
          <w:color w:val="0070C0"/>
        </w:rPr>
        <w:t xml:space="preserve">if they </w:t>
      </w:r>
      <w:r w:rsidRPr="00531468">
        <w:rPr>
          <w:color w:val="0070C0"/>
        </w:rPr>
        <w:t xml:space="preserve">are found to be refractory and/or intolerant to medical intervention </w:t>
      </w:r>
      <w:r>
        <w:rPr>
          <w:color w:val="0070C0"/>
        </w:rPr>
        <w:t xml:space="preserve">with </w:t>
      </w:r>
      <w:r w:rsidRPr="00531468">
        <w:rPr>
          <w:color w:val="0070C0"/>
        </w:rPr>
        <w:t>symptoms causing significant disability or impact on quality of life,</w:t>
      </w:r>
      <w:r>
        <w:rPr>
          <w:color w:val="0070C0"/>
        </w:rPr>
        <w:t xml:space="preserve"> patients</w:t>
      </w:r>
      <w:r w:rsidRPr="00531468">
        <w:rPr>
          <w:color w:val="0070C0"/>
        </w:rPr>
        <w:t xml:space="preserve"> are </w:t>
      </w:r>
      <w:r w:rsidRPr="00844A42">
        <w:rPr>
          <w:color w:val="0070C0"/>
        </w:rPr>
        <w:t>considered to have</w:t>
      </w:r>
      <w:r>
        <w:rPr>
          <w:color w:val="0070C0"/>
        </w:rPr>
        <w:t xml:space="preserve"> medically refractory ET</w:t>
      </w:r>
      <w:r w:rsidR="008872AF">
        <w:rPr>
          <w:color w:val="0070C0"/>
        </w:rPr>
        <w:t xml:space="preserve"> (MRET)</w:t>
      </w:r>
      <w:r>
        <w:rPr>
          <w:color w:val="0070C0"/>
        </w:rPr>
        <w:t xml:space="preserve">. </w:t>
      </w:r>
    </w:p>
    <w:p w14:paraId="01E8EF43" w14:textId="521B9E3A" w:rsidR="00844A42" w:rsidRPr="00844A42" w:rsidRDefault="00844A42" w:rsidP="00176232">
      <w:pPr>
        <w:ind w:left="360"/>
        <w:rPr>
          <w:i/>
          <w:iCs/>
          <w:color w:val="0070C0"/>
          <w:u w:val="single"/>
        </w:rPr>
      </w:pPr>
      <w:r w:rsidRPr="00844A42">
        <w:rPr>
          <w:i/>
          <w:iCs/>
          <w:color w:val="0070C0"/>
          <w:u w:val="single"/>
        </w:rPr>
        <w:t>Treatment strategies for MRET</w:t>
      </w:r>
    </w:p>
    <w:p w14:paraId="1553847C" w14:textId="324600EF" w:rsidR="00844A42" w:rsidRDefault="00A635CF" w:rsidP="00176232">
      <w:pPr>
        <w:ind w:left="360"/>
        <w:rPr>
          <w:color w:val="0070C0"/>
        </w:rPr>
      </w:pPr>
      <w:r>
        <w:rPr>
          <w:color w:val="0070C0"/>
        </w:rPr>
        <w:t>Once considered medically refractory, patient</w:t>
      </w:r>
      <w:r w:rsidR="00B86D41">
        <w:rPr>
          <w:color w:val="0070C0"/>
        </w:rPr>
        <w:t xml:space="preserve">s are typically </w:t>
      </w:r>
      <w:r>
        <w:rPr>
          <w:color w:val="0070C0"/>
        </w:rPr>
        <w:t xml:space="preserve">referred to a neurologist for ongoing assessment </w:t>
      </w:r>
      <w:r w:rsidR="00B86D41">
        <w:rPr>
          <w:color w:val="0070C0"/>
        </w:rPr>
        <w:t xml:space="preserve">of severity </w:t>
      </w:r>
      <w:r>
        <w:rPr>
          <w:color w:val="0070C0"/>
        </w:rPr>
        <w:t xml:space="preserve">and treatment. </w:t>
      </w:r>
      <w:r w:rsidR="00844A42">
        <w:rPr>
          <w:color w:val="0070C0"/>
        </w:rPr>
        <w:t xml:space="preserve">Treatment of medically refractory ET </w:t>
      </w:r>
      <w:r>
        <w:rPr>
          <w:color w:val="0070C0"/>
        </w:rPr>
        <w:t xml:space="preserve">may often </w:t>
      </w:r>
      <w:r w:rsidR="00844A42">
        <w:rPr>
          <w:color w:val="0070C0"/>
        </w:rPr>
        <w:t>include persisting with pharmacological therapy</w:t>
      </w:r>
      <w:r>
        <w:rPr>
          <w:color w:val="0070C0"/>
        </w:rPr>
        <w:t xml:space="preserve"> </w:t>
      </w:r>
      <w:r w:rsidRPr="00A635CF">
        <w:rPr>
          <w:color w:val="0070C0"/>
        </w:rPr>
        <w:t>as described above</w:t>
      </w:r>
      <w:r w:rsidR="008D18A5">
        <w:rPr>
          <w:color w:val="0070C0"/>
        </w:rPr>
        <w:t xml:space="preserve"> (optimised medical therapy)</w:t>
      </w:r>
      <w:r>
        <w:rPr>
          <w:color w:val="0070C0"/>
        </w:rPr>
        <w:t xml:space="preserve">. </w:t>
      </w:r>
      <w:r w:rsidR="00EF577C">
        <w:rPr>
          <w:color w:val="0070C0"/>
        </w:rPr>
        <w:t>Deep Brain Stimulation (</w:t>
      </w:r>
      <w:r>
        <w:rPr>
          <w:color w:val="0070C0"/>
        </w:rPr>
        <w:t>DBS</w:t>
      </w:r>
      <w:r w:rsidR="00EF577C">
        <w:rPr>
          <w:color w:val="0070C0"/>
        </w:rPr>
        <w:t>)</w:t>
      </w:r>
      <w:r>
        <w:rPr>
          <w:color w:val="0070C0"/>
        </w:rPr>
        <w:t xml:space="preserve"> </w:t>
      </w:r>
      <w:r w:rsidRPr="00A635CF">
        <w:rPr>
          <w:color w:val="0070C0"/>
        </w:rPr>
        <w:t>may also be considered in this difficult to treat population</w:t>
      </w:r>
      <w:r w:rsidR="00844A42">
        <w:rPr>
          <w:color w:val="0070C0"/>
        </w:rPr>
        <w:t xml:space="preserve">. </w:t>
      </w:r>
      <w:r w:rsidR="006E42D9">
        <w:rPr>
          <w:color w:val="0070C0"/>
        </w:rPr>
        <w:t xml:space="preserve">As an invasive neurosurgical procedure, DBS </w:t>
      </w:r>
      <w:r w:rsidR="008D18A5">
        <w:rPr>
          <w:color w:val="0070C0"/>
        </w:rPr>
        <w:t>is usually considered as a</w:t>
      </w:r>
      <w:r w:rsidR="006E42D9">
        <w:rPr>
          <w:color w:val="0070C0"/>
        </w:rPr>
        <w:t xml:space="preserve"> last</w:t>
      </w:r>
      <w:r w:rsidR="008D18A5">
        <w:rPr>
          <w:color w:val="0070C0"/>
        </w:rPr>
        <w:t>-</w:t>
      </w:r>
      <w:r w:rsidR="006E42D9">
        <w:rPr>
          <w:color w:val="0070C0"/>
        </w:rPr>
        <w:t xml:space="preserve">line therapeutic option. </w:t>
      </w:r>
      <w:r w:rsidR="006E42D9" w:rsidRPr="001473AE">
        <w:rPr>
          <w:color w:val="0070C0"/>
        </w:rPr>
        <w:t>This is reflected by the relatively low uptake of DBS in Australia</w:t>
      </w:r>
      <w:r w:rsidR="00F4660F" w:rsidRPr="001473AE">
        <w:rPr>
          <w:color w:val="0070C0"/>
        </w:rPr>
        <w:t xml:space="preserve"> for the indication of ET</w:t>
      </w:r>
      <w:r w:rsidR="00D64012" w:rsidRPr="001473AE">
        <w:rPr>
          <w:color w:val="0070C0"/>
        </w:rPr>
        <w:t>. As discussed in Part 7, it is estimated that there were 245 DBS procedures performed</w:t>
      </w:r>
      <w:r w:rsidR="00F44767" w:rsidRPr="001473AE">
        <w:rPr>
          <w:color w:val="0070C0"/>
        </w:rPr>
        <w:t>, of which expert opinion suggests ~25% are related to the treatment of ET</w:t>
      </w:r>
      <w:r w:rsidR="006E42D9" w:rsidRPr="001473AE">
        <w:rPr>
          <w:color w:val="0070C0"/>
        </w:rPr>
        <w:t xml:space="preserve"> (</w:t>
      </w:r>
      <w:r w:rsidR="00B6001A" w:rsidRPr="001473AE">
        <w:rPr>
          <w:i/>
          <w:iCs/>
          <w:color w:val="0070C0"/>
        </w:rPr>
        <w:t>approximately 6</w:t>
      </w:r>
      <w:r w:rsidR="00F44767" w:rsidRPr="001473AE">
        <w:rPr>
          <w:i/>
          <w:iCs/>
          <w:color w:val="0070C0"/>
        </w:rPr>
        <w:t>1</w:t>
      </w:r>
      <w:r w:rsidR="00B6001A" w:rsidRPr="001473AE">
        <w:rPr>
          <w:i/>
          <w:iCs/>
          <w:color w:val="0070C0"/>
        </w:rPr>
        <w:t xml:space="preserve"> cases/year</w:t>
      </w:r>
      <w:r w:rsidR="006E42D9" w:rsidRPr="001473AE">
        <w:rPr>
          <w:color w:val="0070C0"/>
        </w:rPr>
        <w:t>)</w:t>
      </w:r>
      <w:r w:rsidR="00F44767" w:rsidRPr="001473AE">
        <w:rPr>
          <w:color w:val="0070C0"/>
        </w:rPr>
        <w:t>.</w:t>
      </w:r>
      <w:r w:rsidR="005323B6" w:rsidRPr="001473AE">
        <w:rPr>
          <w:color w:val="0070C0"/>
        </w:rPr>
        <w:t xml:space="preserve"> This estimate is similar to the total </w:t>
      </w:r>
      <w:proofErr w:type="spellStart"/>
      <w:r w:rsidR="005323B6" w:rsidRPr="001473AE">
        <w:rPr>
          <w:color w:val="0070C0"/>
        </w:rPr>
        <w:t>umber</w:t>
      </w:r>
      <w:proofErr w:type="spellEnd"/>
      <w:r w:rsidR="005323B6" w:rsidRPr="001473AE">
        <w:rPr>
          <w:color w:val="0070C0"/>
        </w:rPr>
        <w:t xml:space="preserve"> of patients expected to undergo DBS in MSAC assessment 1109.</w:t>
      </w:r>
      <w:r w:rsidR="006E42D9">
        <w:rPr>
          <w:color w:val="0070C0"/>
        </w:rPr>
        <w:t xml:space="preserve"> </w:t>
      </w:r>
      <w:r w:rsidR="00F44767">
        <w:rPr>
          <w:color w:val="0070C0"/>
        </w:rPr>
        <w:t>A</w:t>
      </w:r>
      <w:r w:rsidR="006E42D9">
        <w:rPr>
          <w:color w:val="0070C0"/>
        </w:rPr>
        <w:t xml:space="preserve"> </w:t>
      </w:r>
      <w:r>
        <w:rPr>
          <w:color w:val="0070C0"/>
        </w:rPr>
        <w:t>survey of medication usage pattern</w:t>
      </w:r>
      <w:r w:rsidR="008D18A5">
        <w:rPr>
          <w:color w:val="0070C0"/>
        </w:rPr>
        <w:t>s</w:t>
      </w:r>
      <w:r>
        <w:rPr>
          <w:color w:val="0070C0"/>
        </w:rPr>
        <w:t xml:space="preserve"> among ET patients</w:t>
      </w:r>
      <w:r w:rsidR="00EF577C">
        <w:rPr>
          <w:color w:val="0070C0"/>
        </w:rPr>
        <w:t>, which</w:t>
      </w:r>
      <w:r>
        <w:rPr>
          <w:color w:val="0070C0"/>
        </w:rPr>
        <w:t xml:space="preserve"> showed that 33% of patients who were receiving medication for ET had attempted four or more </w:t>
      </w:r>
      <w:r w:rsidR="008D18A5">
        <w:rPr>
          <w:color w:val="0070C0"/>
        </w:rPr>
        <w:t xml:space="preserve">medications </w:t>
      </w:r>
      <w:r>
        <w:rPr>
          <w:color w:val="0070C0"/>
        </w:rPr>
        <w:t>in their attempt to obtain relief</w:t>
      </w:r>
      <w:r w:rsidR="00B86D41">
        <w:rPr>
          <w:color w:val="0070C0"/>
        </w:rPr>
        <w:t xml:space="preserve"> (Diaz 201</w:t>
      </w:r>
      <w:r w:rsidR="008D18A5">
        <w:rPr>
          <w:color w:val="0070C0"/>
        </w:rPr>
        <w:t>0</w:t>
      </w:r>
      <w:r w:rsidR="00B86D41">
        <w:rPr>
          <w:color w:val="0070C0"/>
        </w:rPr>
        <w:t>);</w:t>
      </w:r>
      <w:r>
        <w:rPr>
          <w:color w:val="0070C0"/>
        </w:rPr>
        <w:t xml:space="preserve"> </w:t>
      </w:r>
      <w:r w:rsidR="00B86D41">
        <w:rPr>
          <w:color w:val="0070C0"/>
        </w:rPr>
        <w:t xml:space="preserve">those </w:t>
      </w:r>
      <w:r>
        <w:rPr>
          <w:color w:val="0070C0"/>
        </w:rPr>
        <w:t xml:space="preserve">who eventually underwent surgery for ET, </w:t>
      </w:r>
      <w:r w:rsidR="00B86D41">
        <w:rPr>
          <w:color w:val="0070C0"/>
        </w:rPr>
        <w:t xml:space="preserve">had attempted a </w:t>
      </w:r>
      <w:r>
        <w:rPr>
          <w:color w:val="0070C0"/>
        </w:rPr>
        <w:t xml:space="preserve">mean of </w:t>
      </w:r>
      <w:r w:rsidR="00B86D41">
        <w:rPr>
          <w:color w:val="0070C0"/>
        </w:rPr>
        <w:t>si</w:t>
      </w:r>
      <w:r w:rsidR="006E42D9">
        <w:rPr>
          <w:color w:val="0070C0"/>
        </w:rPr>
        <w:t>x</w:t>
      </w:r>
      <w:r w:rsidR="00B86D41">
        <w:rPr>
          <w:color w:val="0070C0"/>
        </w:rPr>
        <w:t xml:space="preserve"> </w:t>
      </w:r>
      <w:r>
        <w:rPr>
          <w:color w:val="0070C0"/>
        </w:rPr>
        <w:t>medications.</w:t>
      </w:r>
      <w:r w:rsidR="006E42D9">
        <w:rPr>
          <w:color w:val="0070C0"/>
        </w:rPr>
        <w:t xml:space="preserve"> </w:t>
      </w:r>
    </w:p>
    <w:p w14:paraId="6CF77F01" w14:textId="6C0B1AA1" w:rsidR="00206AB3" w:rsidRDefault="00176232" w:rsidP="004067D1">
      <w:pPr>
        <w:ind w:left="360"/>
        <w:rPr>
          <w:color w:val="0070C0"/>
        </w:rPr>
      </w:pPr>
      <w:r w:rsidRPr="00D7238E">
        <w:rPr>
          <w:color w:val="0070C0"/>
        </w:rPr>
        <w:t xml:space="preserve">After initial appraisal, patients </w:t>
      </w:r>
      <w:r>
        <w:rPr>
          <w:color w:val="0070C0"/>
        </w:rPr>
        <w:t xml:space="preserve">may </w:t>
      </w:r>
      <w:r w:rsidRPr="00D7238E">
        <w:rPr>
          <w:color w:val="0070C0"/>
        </w:rPr>
        <w:t xml:space="preserve">undergo an extensive work up to assess suitability for surgery in a movement disorder clinic by a specialist team, which includes a movement disorder neurologist and neurosurgeon. The team may also include other specialists such as a movement disorders nurse, movement disorders neurologist, neuropsychiatrist, and neuropsychologist, depending on the team's usual protocol. This process aims to determine the likely benefit and risks of </w:t>
      </w:r>
      <w:r>
        <w:rPr>
          <w:color w:val="0070C0"/>
        </w:rPr>
        <w:t xml:space="preserve">performing each type of </w:t>
      </w:r>
      <w:r w:rsidRPr="00D7238E">
        <w:rPr>
          <w:color w:val="0070C0"/>
        </w:rPr>
        <w:t xml:space="preserve">procedure on an individual basis. </w:t>
      </w:r>
      <w:r w:rsidR="00206AB3">
        <w:rPr>
          <w:color w:val="0070C0"/>
        </w:rPr>
        <w:t xml:space="preserve">DBS may be performed </w:t>
      </w:r>
      <w:r w:rsidR="004067D1">
        <w:rPr>
          <w:color w:val="0070C0"/>
        </w:rPr>
        <w:t xml:space="preserve">unilaterally or bilaterally; however as both procedures are performed at the same time many patients elect to undergo bilateral surgery due its superior clinical effectiveness. This is reflected in the Medicare utilisation statistics for DBS, which show that in 2018 226 bilateral procedures were performed (MBS item 40851) compared to 19 unilateral procedures (MBS item 40850). By comparison, </w:t>
      </w:r>
      <w:proofErr w:type="spellStart"/>
      <w:r w:rsidR="004067D1">
        <w:rPr>
          <w:color w:val="0070C0"/>
        </w:rPr>
        <w:t>MRgFUS</w:t>
      </w:r>
      <w:proofErr w:type="spellEnd"/>
      <w:r w:rsidR="004067D1">
        <w:rPr>
          <w:color w:val="0070C0"/>
        </w:rPr>
        <w:t xml:space="preserve"> is usually performed unilaterally</w:t>
      </w:r>
      <w:r w:rsidR="005C39E8">
        <w:rPr>
          <w:color w:val="0070C0"/>
        </w:rPr>
        <w:t xml:space="preserve"> due to the requirement that bilateral procedures must be separated by a minimum period of 6 months, and a high level of clinical efficacy is achieved by treating the dominant side only.  </w:t>
      </w:r>
    </w:p>
    <w:p w14:paraId="3063CEB3" w14:textId="4D3E600C" w:rsidR="00176232" w:rsidRDefault="00176232" w:rsidP="00176232">
      <w:pPr>
        <w:ind w:left="360"/>
        <w:rPr>
          <w:color w:val="0070C0"/>
        </w:rPr>
      </w:pPr>
      <w:r>
        <w:rPr>
          <w:color w:val="0070C0"/>
        </w:rPr>
        <w:t>For those contraindicated or not suitable for surgery, patients will continue to be managed through best support</w:t>
      </w:r>
      <w:r w:rsidR="008D18A5">
        <w:rPr>
          <w:color w:val="0070C0"/>
        </w:rPr>
        <w:t>ive</w:t>
      </w:r>
      <w:r>
        <w:rPr>
          <w:color w:val="0070C0"/>
        </w:rPr>
        <w:t xml:space="preserve"> care (BSC). This may include continued </w:t>
      </w:r>
      <w:r w:rsidR="008D18A5">
        <w:rPr>
          <w:color w:val="0070C0"/>
        </w:rPr>
        <w:t xml:space="preserve">optimised medical </w:t>
      </w:r>
      <w:r>
        <w:rPr>
          <w:color w:val="0070C0"/>
        </w:rPr>
        <w:t>therapy</w:t>
      </w:r>
      <w:r w:rsidR="00A635CF">
        <w:rPr>
          <w:color w:val="0070C0"/>
        </w:rPr>
        <w:t>, as described above,</w:t>
      </w:r>
      <w:r>
        <w:rPr>
          <w:color w:val="0070C0"/>
        </w:rPr>
        <w:t xml:space="preserve"> despite its limited efficacy where no alternative options are available.</w:t>
      </w:r>
    </w:p>
    <w:p w14:paraId="77987F97" w14:textId="77777777" w:rsidR="00176232" w:rsidRPr="006A7748" w:rsidRDefault="00176232" w:rsidP="006A7748">
      <w:pPr>
        <w:ind w:left="360"/>
        <w:rPr>
          <w:color w:val="0070C0"/>
        </w:rPr>
      </w:pPr>
    </w:p>
    <w:p w14:paraId="799AF65A" w14:textId="05484981" w:rsidR="00D24FCA" w:rsidRDefault="00D24FCA" w:rsidP="00D24FCA">
      <w:pPr>
        <w:keepNext/>
        <w:ind w:left="426"/>
        <w:jc w:val="center"/>
      </w:pPr>
    </w:p>
    <w:p w14:paraId="08F53922" w14:textId="700638A3" w:rsidR="00D76511" w:rsidRDefault="00206AB3" w:rsidP="00D24FCA">
      <w:pPr>
        <w:keepNext/>
        <w:ind w:left="426"/>
        <w:jc w:val="center"/>
      </w:pPr>
      <w:r w:rsidRPr="00206AB3">
        <w:rPr>
          <w:noProof/>
          <w:lang w:eastAsia="en-AU"/>
        </w:rPr>
        <w:drawing>
          <wp:inline distT="0" distB="0" distL="0" distR="0" wp14:anchorId="6250A038" wp14:editId="75CCC91F">
            <wp:extent cx="4953000" cy="4054151"/>
            <wp:effectExtent l="0" t="0" r="0" b="3810"/>
            <wp:docPr id="5" name="Picture 5"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9143" cy="4059179"/>
                    </a:xfrm>
                    <a:prstGeom prst="rect">
                      <a:avLst/>
                    </a:prstGeom>
                    <a:noFill/>
                    <a:ln>
                      <a:noFill/>
                    </a:ln>
                  </pic:spPr>
                </pic:pic>
              </a:graphicData>
            </a:graphic>
          </wp:inline>
        </w:drawing>
      </w:r>
    </w:p>
    <w:p w14:paraId="6200C714" w14:textId="3D83F796" w:rsidR="00C173EA" w:rsidRDefault="00D24FCA" w:rsidP="00D24FCA">
      <w:pPr>
        <w:pStyle w:val="Caption"/>
        <w:ind w:hanging="1083"/>
      </w:pPr>
      <w:r>
        <w:t xml:space="preserve">Figure </w:t>
      </w:r>
      <w:r w:rsidR="00505853">
        <w:fldChar w:fldCharType="begin"/>
      </w:r>
      <w:r w:rsidR="00505853">
        <w:instrText xml:space="preserve"> SEQ Figure \* ARABIC </w:instrText>
      </w:r>
      <w:r w:rsidR="00505853">
        <w:fldChar w:fldCharType="separate"/>
      </w:r>
      <w:r w:rsidR="005213D6">
        <w:rPr>
          <w:noProof/>
        </w:rPr>
        <w:t>5</w:t>
      </w:r>
      <w:r w:rsidR="00505853">
        <w:rPr>
          <w:noProof/>
        </w:rPr>
        <w:fldChar w:fldCharType="end"/>
      </w:r>
      <w:r>
        <w:tab/>
      </w:r>
      <w:r w:rsidR="00206AB3">
        <w:t>Proposed c</w:t>
      </w:r>
      <w:r w:rsidRPr="00D24FCA">
        <w:t xml:space="preserve">linical management pathway </w:t>
      </w:r>
    </w:p>
    <w:p w14:paraId="4D69B99C" w14:textId="6C0285D6" w:rsidR="00C173EA" w:rsidRDefault="00C173EA" w:rsidP="00D73646">
      <w:pPr>
        <w:ind w:left="426"/>
      </w:pPr>
    </w:p>
    <w:p w14:paraId="0B18DDC8" w14:textId="77777777" w:rsidR="002A50FD" w:rsidRPr="00881F93" w:rsidRDefault="005C3AE7" w:rsidP="005C3AE7">
      <w:pPr>
        <w:pStyle w:val="Subtitle"/>
      </w:pPr>
      <w:r>
        <w:t xml:space="preserve">PART 6b – </w:t>
      </w:r>
      <w:r w:rsidR="002A50FD" w:rsidRPr="00881F93">
        <w:t>INFORMATION ABOUT THE INTERVENTION</w:t>
      </w:r>
    </w:p>
    <w:p w14:paraId="5400EEC3"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A0443D3" w14:textId="5D451070" w:rsidR="006E42D9" w:rsidRDefault="00D41725" w:rsidP="00D41725">
      <w:pPr>
        <w:ind w:left="426"/>
        <w:rPr>
          <w:color w:val="0070C0"/>
        </w:rPr>
      </w:pPr>
      <w:r w:rsidRPr="0059101B">
        <w:rPr>
          <w:color w:val="0070C0"/>
        </w:rPr>
        <w:t xml:space="preserve">The </w:t>
      </w:r>
      <w:r w:rsidR="00F91686">
        <w:rPr>
          <w:color w:val="0070C0"/>
        </w:rPr>
        <w:t xml:space="preserve">procedure </w:t>
      </w:r>
      <w:r w:rsidR="006E42D9" w:rsidRPr="0059101B">
        <w:rPr>
          <w:color w:val="0070C0"/>
        </w:rPr>
        <w:t xml:space="preserve">is performed by a </w:t>
      </w:r>
      <w:r w:rsidR="00F4660F">
        <w:rPr>
          <w:color w:val="0070C0"/>
        </w:rPr>
        <w:t>physician</w:t>
      </w:r>
      <w:r w:rsidR="00F4660F" w:rsidRPr="0059101B">
        <w:rPr>
          <w:color w:val="0070C0"/>
        </w:rPr>
        <w:t xml:space="preserve"> </w:t>
      </w:r>
      <w:r w:rsidR="004666A1">
        <w:rPr>
          <w:color w:val="0070C0"/>
        </w:rPr>
        <w:t xml:space="preserve">and </w:t>
      </w:r>
      <w:r w:rsidRPr="0059101B">
        <w:rPr>
          <w:color w:val="0070C0"/>
        </w:rPr>
        <w:t>takes approximately 3-4 hours.</w:t>
      </w:r>
      <w:r w:rsidR="006E42D9" w:rsidRPr="006E42D9">
        <w:rPr>
          <w:color w:val="0070C0"/>
        </w:rPr>
        <w:t xml:space="preserve"> </w:t>
      </w:r>
      <w:r w:rsidR="006E42D9">
        <w:rPr>
          <w:color w:val="0070C0"/>
        </w:rPr>
        <w:t xml:space="preserve">A neurologist is also present to perform </w:t>
      </w:r>
      <w:r w:rsidR="00F91686">
        <w:rPr>
          <w:color w:val="0070C0"/>
        </w:rPr>
        <w:t>intraoperative clinical evaluations throughout the procedure. A radiologist is also present to perform the intraoperative MRIs.</w:t>
      </w:r>
    </w:p>
    <w:p w14:paraId="32113237" w14:textId="7DD0BC70" w:rsidR="00D41725" w:rsidRPr="0059101B" w:rsidRDefault="00D41725" w:rsidP="00192E03">
      <w:pPr>
        <w:ind w:left="426"/>
        <w:rPr>
          <w:color w:val="0070C0"/>
        </w:rPr>
      </w:pPr>
      <w:r w:rsidRPr="0059101B">
        <w:rPr>
          <w:color w:val="0070C0"/>
        </w:rPr>
        <w:t>The procedure can be considered to comprise four stages as follows:</w:t>
      </w:r>
    </w:p>
    <w:p w14:paraId="293E5607" w14:textId="7AD4803B" w:rsidR="00D41725" w:rsidRPr="0059101B" w:rsidRDefault="00D41725" w:rsidP="00D41725">
      <w:pPr>
        <w:ind w:firstLine="426"/>
        <w:rPr>
          <w:color w:val="0070C0"/>
          <w:u w:val="single"/>
        </w:rPr>
      </w:pPr>
      <w:r w:rsidRPr="0059101B">
        <w:rPr>
          <w:color w:val="0070C0"/>
          <w:u w:val="single"/>
        </w:rPr>
        <w:t>1. Patient preparation</w:t>
      </w:r>
    </w:p>
    <w:p w14:paraId="28432A41" w14:textId="4EAECBE2" w:rsidR="00D41725" w:rsidRPr="0059101B" w:rsidRDefault="00D41725" w:rsidP="00D41725">
      <w:pPr>
        <w:ind w:left="426"/>
        <w:rPr>
          <w:color w:val="0070C0"/>
        </w:rPr>
      </w:pPr>
      <w:r w:rsidRPr="0059101B">
        <w:rPr>
          <w:color w:val="0070C0"/>
        </w:rPr>
        <w:t>Several days before treatment, a CT scan is done to detail the shape, thickness and density of the patient’s skull and confirm suitability for the procedure.</w:t>
      </w:r>
      <w:r w:rsidR="00F91686">
        <w:rPr>
          <w:color w:val="0070C0"/>
        </w:rPr>
        <w:t xml:space="preserve"> A pre-operative MRI is also performed.</w:t>
      </w:r>
    </w:p>
    <w:p w14:paraId="3B5AFF41" w14:textId="5919CA81" w:rsidR="00D41725" w:rsidRPr="0059101B" w:rsidRDefault="00D41725" w:rsidP="00D41725">
      <w:pPr>
        <w:ind w:left="426"/>
        <w:rPr>
          <w:color w:val="0070C0"/>
        </w:rPr>
      </w:pPr>
      <w:r w:rsidRPr="0059101B">
        <w:rPr>
          <w:color w:val="0070C0"/>
        </w:rPr>
        <w:t xml:space="preserve">On the day of treatment, the patient’s head is shaved, and a local anaesthetic is applied for affixing the stereotactic frame. The patient is positioned on the treatment bed with his/her head in the </w:t>
      </w:r>
      <w:proofErr w:type="spellStart"/>
      <w:r w:rsidRPr="0059101B">
        <w:rPr>
          <w:color w:val="0070C0"/>
        </w:rPr>
        <w:t>Exablate</w:t>
      </w:r>
      <w:proofErr w:type="spellEnd"/>
      <w:r w:rsidRPr="0059101B">
        <w:rPr>
          <w:color w:val="0070C0"/>
        </w:rPr>
        <w:t xml:space="preserve"> Neuro helmet. Cold water is circulated around the scalp.</w:t>
      </w:r>
    </w:p>
    <w:p w14:paraId="6D7F940C" w14:textId="3754864D" w:rsidR="00D41725" w:rsidRPr="0059101B" w:rsidRDefault="00D41725" w:rsidP="00D41725">
      <w:pPr>
        <w:ind w:firstLine="426"/>
        <w:rPr>
          <w:color w:val="0070C0"/>
          <w:u w:val="single"/>
        </w:rPr>
      </w:pPr>
      <w:r w:rsidRPr="0059101B">
        <w:rPr>
          <w:color w:val="0070C0"/>
          <w:u w:val="single"/>
        </w:rPr>
        <w:t>2. Planning and target verification</w:t>
      </w:r>
    </w:p>
    <w:p w14:paraId="52EFF900" w14:textId="330F15DC" w:rsidR="00D41725" w:rsidRPr="0059101B" w:rsidRDefault="00F91686" w:rsidP="00D41725">
      <w:pPr>
        <w:ind w:left="426"/>
        <w:rPr>
          <w:color w:val="0070C0"/>
        </w:rPr>
      </w:pPr>
      <w:r>
        <w:rPr>
          <w:color w:val="0070C0"/>
        </w:rPr>
        <w:t>I</w:t>
      </w:r>
      <w:r w:rsidR="00D41725" w:rsidRPr="0059101B">
        <w:rPr>
          <w:color w:val="0070C0"/>
        </w:rPr>
        <w:t>ntraoperative (fused) MRI images are taken to plan the treatment and identify the target.</w:t>
      </w:r>
      <w:r>
        <w:rPr>
          <w:color w:val="0070C0"/>
        </w:rPr>
        <w:t xml:space="preserve"> </w:t>
      </w:r>
    </w:p>
    <w:p w14:paraId="40B11675" w14:textId="4D5BD064" w:rsidR="00D41725" w:rsidRPr="0059101B" w:rsidRDefault="00D41725" w:rsidP="00D41725">
      <w:pPr>
        <w:ind w:left="426"/>
        <w:rPr>
          <w:color w:val="0070C0"/>
        </w:rPr>
      </w:pPr>
      <w:r w:rsidRPr="0059101B">
        <w:rPr>
          <w:color w:val="0070C0"/>
        </w:rPr>
        <w:t xml:space="preserve">Prior to treatment, low energy </w:t>
      </w:r>
      <w:proofErr w:type="spellStart"/>
      <w:r w:rsidRPr="0059101B">
        <w:rPr>
          <w:color w:val="0070C0"/>
        </w:rPr>
        <w:t>sonications</w:t>
      </w:r>
      <w:proofErr w:type="spellEnd"/>
      <w:r w:rsidRPr="0059101B">
        <w:rPr>
          <w:color w:val="0070C0"/>
        </w:rPr>
        <w:t xml:space="preserve"> (application of ultrasound energy) are used to accurately pinpoint the target on the real-time MRI. Next, moderate level </w:t>
      </w:r>
      <w:proofErr w:type="spellStart"/>
      <w:r w:rsidRPr="0059101B">
        <w:rPr>
          <w:color w:val="0070C0"/>
        </w:rPr>
        <w:t>sonications</w:t>
      </w:r>
      <w:proofErr w:type="spellEnd"/>
      <w:r w:rsidRPr="0059101B">
        <w:rPr>
          <w:color w:val="0070C0"/>
        </w:rPr>
        <w:t xml:space="preserve"> allow assessment of patient response and any potential adverse effects before making the final lesion.</w:t>
      </w:r>
    </w:p>
    <w:p w14:paraId="13A1C71C" w14:textId="18C28646" w:rsidR="00D41725" w:rsidRPr="0059101B" w:rsidRDefault="00D41725" w:rsidP="00D41725">
      <w:pPr>
        <w:keepNext/>
        <w:ind w:left="425"/>
        <w:rPr>
          <w:color w:val="0070C0"/>
          <w:u w:val="single"/>
        </w:rPr>
      </w:pPr>
      <w:r w:rsidRPr="0059101B">
        <w:rPr>
          <w:color w:val="0070C0"/>
          <w:u w:val="single"/>
        </w:rPr>
        <w:t>3. Treatment</w:t>
      </w:r>
    </w:p>
    <w:p w14:paraId="47DAA396" w14:textId="05502378" w:rsidR="00D41725" w:rsidRDefault="00D41725" w:rsidP="00D41725">
      <w:pPr>
        <w:ind w:left="426"/>
        <w:rPr>
          <w:color w:val="0070C0"/>
        </w:rPr>
      </w:pPr>
      <w:r w:rsidRPr="0059101B">
        <w:rPr>
          <w:color w:val="0070C0"/>
        </w:rPr>
        <w:t>The focused ultrasound treatment consists of up to 1024 ultrasound waves precisely converging at the target in the V</w:t>
      </w:r>
      <w:r w:rsidR="00206AB3">
        <w:rPr>
          <w:color w:val="0070C0"/>
        </w:rPr>
        <w:t>IM</w:t>
      </w:r>
      <w:r w:rsidRPr="0059101B">
        <w:rPr>
          <w:color w:val="0070C0"/>
        </w:rPr>
        <w:t xml:space="preserve">. At the focal point, temperatures increase to near 140°F/60°C, causing thermal ablation </w:t>
      </w:r>
      <w:r w:rsidRPr="0059101B">
        <w:rPr>
          <w:color w:val="0070C0"/>
        </w:rPr>
        <w:lastRenderedPageBreak/>
        <w:t>of the target tissue. The treatment is continuously guided by MRI for real-time thermal feedback of temperature changes at the target as well as non-focal temperature trends. The treatment is unilateral, generally treating the dominant hand.</w:t>
      </w:r>
    </w:p>
    <w:p w14:paraId="6E6D5762" w14:textId="229E0B66" w:rsidR="00F4660F" w:rsidRPr="00F7666A" w:rsidRDefault="00F4660F" w:rsidP="00D41725">
      <w:pPr>
        <w:ind w:left="426"/>
        <w:rPr>
          <w:color w:val="0070C0"/>
        </w:rPr>
      </w:pPr>
      <w:r>
        <w:rPr>
          <w:color w:val="0070C0"/>
        </w:rPr>
        <w:t>Intraoperative and interactive patient assessment is done to correctly identify the anatomical target and in</w:t>
      </w:r>
      <w:r w:rsidRPr="00F7666A">
        <w:rPr>
          <w:color w:val="0070C0"/>
        </w:rPr>
        <w:t>traoperative MRI images are taken to evaluate the lesion formation</w:t>
      </w:r>
      <w:r w:rsidR="00A86B59" w:rsidRPr="00F7666A">
        <w:rPr>
          <w:color w:val="0070C0"/>
        </w:rPr>
        <w:t>.</w:t>
      </w:r>
    </w:p>
    <w:p w14:paraId="48A0B5F8" w14:textId="0648F8AF" w:rsidR="00D41725" w:rsidRPr="00F7666A" w:rsidRDefault="00D41725" w:rsidP="00D41725">
      <w:pPr>
        <w:ind w:left="426"/>
        <w:rPr>
          <w:color w:val="0070C0"/>
          <w:u w:val="single"/>
        </w:rPr>
      </w:pPr>
      <w:r w:rsidRPr="00F7666A">
        <w:rPr>
          <w:color w:val="0070C0"/>
          <w:u w:val="single"/>
        </w:rPr>
        <w:t xml:space="preserve">4. Assessment </w:t>
      </w:r>
    </w:p>
    <w:p w14:paraId="350BD96E" w14:textId="3D949299" w:rsidR="004666A1" w:rsidRPr="00F7666A" w:rsidRDefault="00D41725" w:rsidP="004666A1">
      <w:pPr>
        <w:ind w:left="426"/>
        <w:rPr>
          <w:color w:val="0070C0"/>
        </w:rPr>
      </w:pPr>
      <w:r w:rsidRPr="00F7666A">
        <w:rPr>
          <w:color w:val="0070C0"/>
        </w:rPr>
        <w:t xml:space="preserve">Treatment outcome is confirmed </w:t>
      </w:r>
      <w:r w:rsidR="00A86B59" w:rsidRPr="00F7666A">
        <w:rPr>
          <w:color w:val="0070C0"/>
        </w:rPr>
        <w:t xml:space="preserve">through neurological assessments as well as </w:t>
      </w:r>
      <w:r w:rsidRPr="00F7666A">
        <w:rPr>
          <w:color w:val="0070C0"/>
        </w:rPr>
        <w:t xml:space="preserve">using a post-treatment scan immediately post-procedure. </w:t>
      </w:r>
      <w:r w:rsidR="00A86B59" w:rsidRPr="00F7666A">
        <w:rPr>
          <w:color w:val="0070C0"/>
        </w:rPr>
        <w:t xml:space="preserve">Most </w:t>
      </w:r>
      <w:r w:rsidR="004666A1" w:rsidRPr="00F7666A">
        <w:rPr>
          <w:color w:val="0070C0"/>
        </w:rPr>
        <w:t xml:space="preserve">patients experience an immediate reduction in their tremor and </w:t>
      </w:r>
      <w:r w:rsidR="00E8505E" w:rsidRPr="00F7666A">
        <w:rPr>
          <w:color w:val="0070C0"/>
        </w:rPr>
        <w:t xml:space="preserve">will </w:t>
      </w:r>
      <w:r w:rsidR="004666A1" w:rsidRPr="00F7666A">
        <w:rPr>
          <w:color w:val="0070C0"/>
        </w:rPr>
        <w:t>return to normal daily activities the following day.</w:t>
      </w:r>
    </w:p>
    <w:p w14:paraId="5B8067CE" w14:textId="42BA666F" w:rsidR="00AA08E5" w:rsidRDefault="00F91686" w:rsidP="00505853">
      <w:pPr>
        <w:ind w:left="426"/>
        <w:rPr>
          <w:color w:val="0070C0"/>
        </w:rPr>
      </w:pPr>
      <w:r w:rsidRPr="00F7666A">
        <w:rPr>
          <w:color w:val="0070C0"/>
        </w:rPr>
        <w:t>Following success</w:t>
      </w:r>
      <w:r w:rsidR="00E8505E" w:rsidRPr="00F7666A">
        <w:rPr>
          <w:color w:val="0070C0"/>
        </w:rPr>
        <w:t>ful</w:t>
      </w:r>
      <w:r w:rsidRPr="00F7666A">
        <w:rPr>
          <w:color w:val="0070C0"/>
        </w:rPr>
        <w:t xml:space="preserve"> completion of the procedure, the patient is required to stay overnight in the general ward for observation (4 hourly</w:t>
      </w:r>
      <w:r w:rsidR="004666A1" w:rsidRPr="00F7666A">
        <w:rPr>
          <w:color w:val="0070C0"/>
        </w:rPr>
        <w:t xml:space="preserve">). Patients are required to undergo an MRI at </w:t>
      </w:r>
      <w:r w:rsidR="00AA08E5" w:rsidRPr="00F7666A">
        <w:rPr>
          <w:color w:val="0070C0"/>
        </w:rPr>
        <w:t xml:space="preserve">3 and/or 6 months </w:t>
      </w:r>
      <w:r w:rsidR="004666A1" w:rsidRPr="00F7666A">
        <w:rPr>
          <w:color w:val="0070C0"/>
        </w:rPr>
        <w:t>follow up. No other monitoring of the patient is required.</w:t>
      </w:r>
    </w:p>
    <w:p w14:paraId="1D17D57D" w14:textId="6D263C57" w:rsidR="00AA08E5" w:rsidRPr="00AA08E5" w:rsidRDefault="00AA08E5" w:rsidP="00D41725">
      <w:pPr>
        <w:ind w:left="426"/>
        <w:rPr>
          <w:color w:val="0070C0"/>
          <w:u w:val="single"/>
        </w:rPr>
      </w:pPr>
      <w:r w:rsidRPr="00AA08E5">
        <w:rPr>
          <w:color w:val="0070C0"/>
          <w:u w:val="single"/>
        </w:rPr>
        <w:t>Contralateral treatment</w:t>
      </w:r>
    </w:p>
    <w:p w14:paraId="4F366318" w14:textId="40680705" w:rsidR="004666A1" w:rsidRPr="0059101B" w:rsidRDefault="004666A1" w:rsidP="004666A1">
      <w:pPr>
        <w:ind w:left="426"/>
        <w:rPr>
          <w:color w:val="0070C0"/>
        </w:rPr>
      </w:pPr>
      <w:r w:rsidRPr="00AA08E5">
        <w:rPr>
          <w:color w:val="0070C0"/>
        </w:rPr>
        <w:t xml:space="preserve">In Australian clinical practice currently, </w:t>
      </w:r>
      <w:proofErr w:type="spellStart"/>
      <w:r w:rsidRPr="00AA08E5">
        <w:rPr>
          <w:color w:val="0070C0"/>
        </w:rPr>
        <w:t>MRgFUS</w:t>
      </w:r>
      <w:proofErr w:type="spellEnd"/>
      <w:r w:rsidRPr="00AA08E5">
        <w:rPr>
          <w:color w:val="0070C0"/>
        </w:rPr>
        <w:t xml:space="preserve"> is provided as a unilateral treatment. Treatment of the contralateral side may be performed </w:t>
      </w:r>
      <w:r w:rsidR="00A81B17" w:rsidRPr="00AA08E5">
        <w:rPr>
          <w:color w:val="0070C0"/>
        </w:rPr>
        <w:t>after</w:t>
      </w:r>
      <w:r w:rsidR="002E7142" w:rsidRPr="00AA08E5">
        <w:rPr>
          <w:color w:val="0070C0"/>
        </w:rPr>
        <w:t xml:space="preserve"> </w:t>
      </w:r>
      <w:r w:rsidRPr="00AA08E5">
        <w:rPr>
          <w:color w:val="0070C0"/>
        </w:rPr>
        <w:t xml:space="preserve">a minimum of 6-12 months should the risk-benefit profile be favourable in the opinion of the treating </w:t>
      </w:r>
      <w:r w:rsidR="009E2993" w:rsidRPr="00AA08E5">
        <w:rPr>
          <w:color w:val="0070C0"/>
        </w:rPr>
        <w:t>team</w:t>
      </w:r>
      <w:r w:rsidRPr="00AA08E5">
        <w:rPr>
          <w:color w:val="0070C0"/>
        </w:rPr>
        <w:t xml:space="preserve">. Should the patient experience a recurrence of tremor, the patient would require consultation with the treating </w:t>
      </w:r>
      <w:r w:rsidR="009E2993" w:rsidRPr="00AA08E5">
        <w:rPr>
          <w:color w:val="0070C0"/>
        </w:rPr>
        <w:t xml:space="preserve">physician </w:t>
      </w:r>
      <w:r w:rsidRPr="00AA08E5">
        <w:rPr>
          <w:color w:val="0070C0"/>
        </w:rPr>
        <w:t>to determine suitability for retreatment. Retreatment is permitted once only per patient per side.</w:t>
      </w:r>
    </w:p>
    <w:p w14:paraId="6F3F820A" w14:textId="77777777" w:rsidR="004666A1" w:rsidRPr="0059101B" w:rsidRDefault="004666A1" w:rsidP="00D41725">
      <w:pPr>
        <w:ind w:left="426"/>
        <w:rPr>
          <w:color w:val="0070C0"/>
        </w:rPr>
      </w:pPr>
    </w:p>
    <w:p w14:paraId="708BF5DC"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6965DCF7" w14:textId="77777777" w:rsidR="00F8221C" w:rsidRPr="00F8221C" w:rsidRDefault="00F8221C" w:rsidP="00F8221C">
      <w:pPr>
        <w:ind w:left="426"/>
        <w:rPr>
          <w:color w:val="0070C0"/>
          <w:szCs w:val="20"/>
        </w:rPr>
      </w:pPr>
      <w:r w:rsidRPr="00F8221C">
        <w:rPr>
          <w:color w:val="0070C0"/>
        </w:rPr>
        <w:t xml:space="preserve">No, the proposed medical service does not include a registered trademark. </w:t>
      </w:r>
    </w:p>
    <w:p w14:paraId="49959B2A"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49DDD8B" w14:textId="2E30190C" w:rsidR="00192E03" w:rsidRPr="001D054D" w:rsidRDefault="00192E03" w:rsidP="00192E03">
      <w:pPr>
        <w:ind w:left="426"/>
        <w:rPr>
          <w:color w:val="0070C0"/>
        </w:rPr>
      </w:pPr>
      <w:proofErr w:type="spellStart"/>
      <w:r w:rsidRPr="001D054D">
        <w:rPr>
          <w:color w:val="0070C0"/>
        </w:rPr>
        <w:t>MRgFUS</w:t>
      </w:r>
      <w:proofErr w:type="spellEnd"/>
      <w:r w:rsidRPr="001D054D">
        <w:rPr>
          <w:color w:val="0070C0"/>
        </w:rPr>
        <w:t xml:space="preserve"> therapy offers a new approach to managing </w:t>
      </w:r>
      <w:r w:rsidR="00F8221C" w:rsidRPr="001D054D">
        <w:rPr>
          <w:color w:val="0070C0"/>
        </w:rPr>
        <w:t>medically</w:t>
      </w:r>
      <w:r w:rsidRPr="001D054D">
        <w:rPr>
          <w:color w:val="0070C0"/>
        </w:rPr>
        <w:t xml:space="preserve"> refractory ET </w:t>
      </w:r>
      <w:r w:rsidR="00E8505E" w:rsidRPr="000E0B64">
        <w:rPr>
          <w:color w:val="0070C0"/>
          <w:u w:val="single"/>
        </w:rPr>
        <w:t xml:space="preserve">where the patient’s symptoms cause severe </w:t>
      </w:r>
      <w:r w:rsidR="00505853" w:rsidRPr="000E0B64">
        <w:rPr>
          <w:color w:val="0070C0"/>
          <w:u w:val="single"/>
        </w:rPr>
        <w:t>disability.</w:t>
      </w:r>
      <w:bookmarkStart w:id="8" w:name="_GoBack"/>
      <w:bookmarkEnd w:id="8"/>
    </w:p>
    <w:p w14:paraId="2A233554"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7AC5EE7E" w14:textId="71E231D7" w:rsidR="00192E03" w:rsidRPr="001D054D" w:rsidRDefault="001229C7" w:rsidP="00192E03">
      <w:pPr>
        <w:ind w:left="426"/>
        <w:rPr>
          <w:color w:val="0070C0"/>
        </w:rPr>
      </w:pPr>
      <w:r>
        <w:rPr>
          <w:color w:val="0070C0"/>
        </w:rPr>
        <w:t>At the moment, o</w:t>
      </w:r>
      <w:r w:rsidR="00192E03" w:rsidRPr="001D054D">
        <w:rPr>
          <w:color w:val="0070C0"/>
        </w:rPr>
        <w:t xml:space="preserve">nly one centre in Australia currently offers </w:t>
      </w:r>
      <w:proofErr w:type="spellStart"/>
      <w:r w:rsidR="00192E03" w:rsidRPr="001D054D">
        <w:rPr>
          <w:color w:val="0070C0"/>
        </w:rPr>
        <w:t>MRgFUS</w:t>
      </w:r>
      <w:proofErr w:type="spellEnd"/>
      <w:r w:rsidR="00192E03" w:rsidRPr="001D054D">
        <w:rPr>
          <w:color w:val="0070C0"/>
        </w:rPr>
        <w:t xml:space="preserve"> for the treatment of medically refractory ET. Due to the capital costs of the technology, it is anticipated that </w:t>
      </w:r>
      <w:proofErr w:type="spellStart"/>
      <w:r w:rsidR="00192E03" w:rsidRPr="001D054D">
        <w:rPr>
          <w:color w:val="0070C0"/>
        </w:rPr>
        <w:t>MRgFUS</w:t>
      </w:r>
      <w:proofErr w:type="spellEnd"/>
      <w:r w:rsidR="00192E03" w:rsidRPr="001D054D">
        <w:rPr>
          <w:color w:val="0070C0"/>
        </w:rPr>
        <w:t xml:space="preserve"> will be limited to only a very small number of centres, thereby </w:t>
      </w:r>
      <w:r w:rsidR="001D054D" w:rsidRPr="001D054D">
        <w:rPr>
          <w:color w:val="0070C0"/>
        </w:rPr>
        <w:t xml:space="preserve">potentially </w:t>
      </w:r>
      <w:r w:rsidR="00192E03" w:rsidRPr="001D054D">
        <w:rPr>
          <w:color w:val="0070C0"/>
        </w:rPr>
        <w:t>limiting access</w:t>
      </w:r>
      <w:r w:rsidR="00F8221C">
        <w:rPr>
          <w:color w:val="0070C0"/>
        </w:rPr>
        <w:t>ibility</w:t>
      </w:r>
      <w:r w:rsidR="00192E03" w:rsidRPr="001D054D">
        <w:rPr>
          <w:color w:val="0070C0"/>
        </w:rPr>
        <w:t xml:space="preserve"> to some patients. </w:t>
      </w:r>
    </w:p>
    <w:p w14:paraId="23C1ACF0" w14:textId="5653CAC4" w:rsidR="00CC09D7" w:rsidRPr="001D054D" w:rsidRDefault="00F91686" w:rsidP="009445FA">
      <w:pPr>
        <w:ind w:left="426"/>
        <w:rPr>
          <w:color w:val="0070C0"/>
        </w:rPr>
      </w:pPr>
      <w:r>
        <w:rPr>
          <w:color w:val="0070C0"/>
        </w:rPr>
        <w:t xml:space="preserve">Currently, </w:t>
      </w:r>
      <w:proofErr w:type="spellStart"/>
      <w:r w:rsidR="00192E03" w:rsidRPr="001D054D">
        <w:rPr>
          <w:color w:val="0070C0"/>
        </w:rPr>
        <w:t>MRgFUS</w:t>
      </w:r>
      <w:proofErr w:type="spellEnd"/>
      <w:r w:rsidR="00192E03" w:rsidRPr="001D054D">
        <w:rPr>
          <w:color w:val="0070C0"/>
        </w:rPr>
        <w:t xml:space="preserve"> is intended </w:t>
      </w:r>
      <w:r w:rsidR="001D054D" w:rsidRPr="001D054D">
        <w:rPr>
          <w:color w:val="0070C0"/>
        </w:rPr>
        <w:t>to be used once</w:t>
      </w:r>
      <w:r>
        <w:rPr>
          <w:color w:val="0070C0"/>
        </w:rPr>
        <w:t xml:space="preserve"> on the </w:t>
      </w:r>
      <w:r w:rsidR="009445FA">
        <w:rPr>
          <w:color w:val="0070C0"/>
        </w:rPr>
        <w:t>dominant affected side</w:t>
      </w:r>
      <w:r w:rsidR="00E8505E">
        <w:rPr>
          <w:color w:val="0070C0"/>
        </w:rPr>
        <w:t>,</w:t>
      </w:r>
      <w:r w:rsidR="009445FA">
        <w:rPr>
          <w:color w:val="0070C0"/>
        </w:rPr>
        <w:t xml:space="preserve"> thereby </w:t>
      </w:r>
      <w:r>
        <w:rPr>
          <w:color w:val="0070C0"/>
        </w:rPr>
        <w:t xml:space="preserve">providing substantial </w:t>
      </w:r>
      <w:r w:rsidR="009445FA">
        <w:rPr>
          <w:color w:val="0070C0"/>
        </w:rPr>
        <w:t xml:space="preserve">and durable </w:t>
      </w:r>
      <w:r>
        <w:rPr>
          <w:color w:val="0070C0"/>
        </w:rPr>
        <w:t>benefits in quality of life</w:t>
      </w:r>
      <w:r w:rsidR="009445FA">
        <w:rPr>
          <w:color w:val="0070C0"/>
        </w:rPr>
        <w:t xml:space="preserve"> as supported by the clinical evidence</w:t>
      </w:r>
      <w:r w:rsidR="001D054D" w:rsidRPr="001D054D">
        <w:rPr>
          <w:color w:val="0070C0"/>
        </w:rPr>
        <w:t>.</w:t>
      </w:r>
      <w:r w:rsidR="009445FA">
        <w:rPr>
          <w:color w:val="0070C0"/>
        </w:rPr>
        <w:t xml:space="preserve"> Following the procedure, a single post-operative MRI scan is performed. No further evaluations are required. </w:t>
      </w:r>
      <w:r w:rsidR="001D054D" w:rsidRPr="001D054D">
        <w:rPr>
          <w:color w:val="0070C0"/>
        </w:rPr>
        <w:t>This is in contrast to DBS for which regular follow up appointment s are required for monitoring, adjustment of hardware settings, and where replacement of leads and other hardware components are expected over time.</w:t>
      </w:r>
    </w:p>
    <w:p w14:paraId="5814295C"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75EF1A5" w14:textId="77777777" w:rsidR="005C39E8" w:rsidRPr="0059101B" w:rsidRDefault="005C39E8" w:rsidP="005C39E8">
      <w:pPr>
        <w:ind w:left="426"/>
        <w:rPr>
          <w:color w:val="0070C0"/>
        </w:rPr>
      </w:pPr>
      <w:r w:rsidRPr="0059101B">
        <w:rPr>
          <w:color w:val="0070C0"/>
        </w:rPr>
        <w:t>Several days before treatment, a CT scan is done to detail the shape, thickness and density of the patient’s skull and confirm suitability for the procedure.</w:t>
      </w:r>
      <w:r>
        <w:rPr>
          <w:color w:val="0070C0"/>
        </w:rPr>
        <w:t xml:space="preserve"> A pre-operative MRI is also performed.</w:t>
      </w:r>
    </w:p>
    <w:p w14:paraId="25029237" w14:textId="0D9EFBF2" w:rsidR="00EE4A51" w:rsidRPr="0059101B" w:rsidRDefault="00EE4A51" w:rsidP="00E8505E">
      <w:pPr>
        <w:ind w:left="426"/>
        <w:rPr>
          <w:color w:val="0070C0"/>
        </w:rPr>
      </w:pPr>
      <w:r w:rsidRPr="0059101B">
        <w:rPr>
          <w:color w:val="0070C0"/>
        </w:rPr>
        <w:t>T</w:t>
      </w:r>
      <w:r>
        <w:rPr>
          <w:color w:val="0070C0"/>
        </w:rPr>
        <w:t xml:space="preserve">hermal ablation of the targeted tissue using </w:t>
      </w:r>
      <w:proofErr w:type="spellStart"/>
      <w:r>
        <w:rPr>
          <w:color w:val="0070C0"/>
        </w:rPr>
        <w:t>MRgFUS</w:t>
      </w:r>
      <w:proofErr w:type="spellEnd"/>
      <w:r>
        <w:rPr>
          <w:color w:val="0070C0"/>
        </w:rPr>
        <w:t xml:space="preserve"> is </w:t>
      </w:r>
      <w:r w:rsidRPr="0059101B">
        <w:rPr>
          <w:color w:val="0070C0"/>
        </w:rPr>
        <w:t xml:space="preserve">continuously guided by </w:t>
      </w:r>
      <w:r>
        <w:rPr>
          <w:color w:val="0070C0"/>
        </w:rPr>
        <w:t xml:space="preserve">real-time </w:t>
      </w:r>
      <w:r w:rsidRPr="0059101B">
        <w:rPr>
          <w:color w:val="0070C0"/>
        </w:rPr>
        <w:t>MRI</w:t>
      </w:r>
      <w:r w:rsidR="005C39E8">
        <w:rPr>
          <w:color w:val="0070C0"/>
        </w:rPr>
        <w:t xml:space="preserve">, in the presence of </w:t>
      </w:r>
      <w:r w:rsidR="001229C7">
        <w:rPr>
          <w:color w:val="0070C0"/>
        </w:rPr>
        <w:t>the treating team</w:t>
      </w:r>
      <w:r>
        <w:rPr>
          <w:color w:val="0070C0"/>
        </w:rPr>
        <w:t>.</w:t>
      </w:r>
      <w:r w:rsidR="005C39E8">
        <w:rPr>
          <w:color w:val="0070C0"/>
        </w:rPr>
        <w:t xml:space="preserve"> As </w:t>
      </w:r>
      <w:proofErr w:type="spellStart"/>
      <w:r w:rsidR="005C39E8">
        <w:rPr>
          <w:color w:val="0070C0"/>
        </w:rPr>
        <w:t>MRgFUS</w:t>
      </w:r>
      <w:proofErr w:type="spellEnd"/>
      <w:r w:rsidR="005C39E8">
        <w:rPr>
          <w:color w:val="0070C0"/>
        </w:rPr>
        <w:t xml:space="preserve"> is an inpatient procedure, it is expected that operating rooms and other relevant infrastructure would be provided by the hospital. </w:t>
      </w:r>
    </w:p>
    <w:p w14:paraId="46EFF370" w14:textId="59D11803" w:rsidR="00E8505E" w:rsidRPr="005C39E8" w:rsidRDefault="00EE4A51" w:rsidP="005C39E8">
      <w:pPr>
        <w:ind w:left="426"/>
        <w:rPr>
          <w:color w:val="0070C0"/>
        </w:rPr>
      </w:pPr>
      <w:r w:rsidRPr="00F7666A">
        <w:rPr>
          <w:color w:val="0070C0"/>
        </w:rPr>
        <w:t xml:space="preserve">Patients </w:t>
      </w:r>
      <w:r w:rsidR="001229C7" w:rsidRPr="00F7666A">
        <w:rPr>
          <w:color w:val="0070C0"/>
        </w:rPr>
        <w:t xml:space="preserve">can be called upon </w:t>
      </w:r>
      <w:r w:rsidRPr="00F7666A">
        <w:rPr>
          <w:color w:val="0070C0"/>
        </w:rPr>
        <w:t xml:space="preserve">to undergo an MRI at </w:t>
      </w:r>
      <w:r w:rsidR="00F7666A" w:rsidRPr="00F7666A">
        <w:rPr>
          <w:color w:val="0070C0"/>
        </w:rPr>
        <w:t xml:space="preserve">3 and/or 6 months </w:t>
      </w:r>
      <w:r w:rsidRPr="00F7666A">
        <w:rPr>
          <w:color w:val="0070C0"/>
        </w:rPr>
        <w:t>follow up</w:t>
      </w:r>
      <w:r w:rsidR="001229C7" w:rsidRPr="00F7666A">
        <w:rPr>
          <w:color w:val="0070C0"/>
        </w:rPr>
        <w:t xml:space="preserve"> to assess lesion formation and dynamics</w:t>
      </w:r>
      <w:r w:rsidRPr="00F7666A">
        <w:rPr>
          <w:color w:val="0070C0"/>
        </w:rPr>
        <w:t>.</w:t>
      </w:r>
      <w:r>
        <w:rPr>
          <w:color w:val="0070C0"/>
        </w:rPr>
        <w:t xml:space="preserve"> </w:t>
      </w:r>
    </w:p>
    <w:p w14:paraId="0AEF4E6B" w14:textId="77777777" w:rsidR="00B17E26" w:rsidRPr="00154B00" w:rsidRDefault="00B17E26" w:rsidP="00530204">
      <w:pPr>
        <w:pStyle w:val="Heading2"/>
      </w:pPr>
      <w:r w:rsidRPr="00154B00">
        <w:lastRenderedPageBreak/>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5D95876" w14:textId="3AF6C86C" w:rsidR="00DD2C44" w:rsidRPr="00F36AE7" w:rsidRDefault="00DD2C44" w:rsidP="00DD2C44">
      <w:pPr>
        <w:ind w:left="426"/>
        <w:rPr>
          <w:color w:val="0070C0"/>
          <w:szCs w:val="20"/>
        </w:rPr>
      </w:pPr>
      <w:r w:rsidRPr="00DD2C44">
        <w:rPr>
          <w:color w:val="0070C0"/>
          <w:szCs w:val="20"/>
        </w:rPr>
        <w:t xml:space="preserve">A trained </w:t>
      </w:r>
      <w:r w:rsidR="001229C7">
        <w:rPr>
          <w:color w:val="0070C0"/>
          <w:szCs w:val="20"/>
        </w:rPr>
        <w:t>physician</w:t>
      </w:r>
      <w:r w:rsidR="001229C7" w:rsidRPr="00DD2C44">
        <w:rPr>
          <w:color w:val="0070C0"/>
          <w:szCs w:val="20"/>
        </w:rPr>
        <w:t xml:space="preserve"> </w:t>
      </w:r>
      <w:r w:rsidRPr="00DD2C44">
        <w:rPr>
          <w:color w:val="0070C0"/>
          <w:szCs w:val="20"/>
        </w:rPr>
        <w:t>is required to deliver the proposed service</w:t>
      </w:r>
      <w:r>
        <w:rPr>
          <w:color w:val="0070C0"/>
          <w:szCs w:val="20"/>
        </w:rPr>
        <w:t xml:space="preserve">. A </w:t>
      </w:r>
      <w:r w:rsidR="001229C7">
        <w:rPr>
          <w:color w:val="0070C0"/>
          <w:szCs w:val="20"/>
        </w:rPr>
        <w:t xml:space="preserve">movement disorder specialist </w:t>
      </w:r>
      <w:r>
        <w:rPr>
          <w:color w:val="0070C0"/>
          <w:szCs w:val="20"/>
        </w:rPr>
        <w:t xml:space="preserve">present at the procedure </w:t>
      </w:r>
      <w:r w:rsidR="001229C7">
        <w:rPr>
          <w:color w:val="0070C0"/>
          <w:szCs w:val="20"/>
        </w:rPr>
        <w:t xml:space="preserve">will </w:t>
      </w:r>
      <w:r>
        <w:rPr>
          <w:color w:val="0070C0"/>
          <w:szCs w:val="20"/>
        </w:rPr>
        <w:t>provide intraoperative clinical evaluation.</w:t>
      </w:r>
    </w:p>
    <w:p w14:paraId="2D348EC6" w14:textId="4F0474EF" w:rsidR="00B17E26" w:rsidRPr="00F7666A" w:rsidRDefault="00B17E26" w:rsidP="00530204">
      <w:pPr>
        <w:pStyle w:val="Heading2"/>
      </w:pPr>
      <w:r w:rsidRPr="00154B00">
        <w:t>If applicable, advise whether the proposed medical service could be delegated or referred to another p</w:t>
      </w:r>
      <w:r w:rsidRPr="00F7666A">
        <w:t>rofessional for delive</w:t>
      </w:r>
      <w:r w:rsidR="00AE1188" w:rsidRPr="00F7666A">
        <w:t>ry:</w:t>
      </w:r>
    </w:p>
    <w:p w14:paraId="7906DB79" w14:textId="4FBE547B" w:rsidR="00B6001A" w:rsidRPr="00F7666A" w:rsidRDefault="00F7666A" w:rsidP="00B6001A">
      <w:pPr>
        <w:ind w:left="426"/>
        <w:rPr>
          <w:color w:val="4F81BD" w:themeColor="accent1"/>
          <w:szCs w:val="20"/>
        </w:rPr>
      </w:pPr>
      <w:r w:rsidRPr="00F7666A">
        <w:rPr>
          <w:color w:val="0070C0"/>
        </w:rPr>
        <w:t>Not applicable</w:t>
      </w:r>
      <w:r w:rsidR="00B6001A" w:rsidRPr="00F7666A">
        <w:rPr>
          <w:color w:val="0070C0"/>
        </w:rPr>
        <w:t>.</w:t>
      </w:r>
    </w:p>
    <w:p w14:paraId="0271F469" w14:textId="2231BBD0" w:rsidR="00EA0E25" w:rsidRPr="00A8012D" w:rsidRDefault="00EA0E25" w:rsidP="00530204">
      <w:pPr>
        <w:pStyle w:val="Heading2"/>
      </w:pPr>
      <w:r w:rsidRPr="00F7666A">
        <w:t xml:space="preserve">If applicable, specify any proposed limitations on who might deliver the proposed medical service, or </w:t>
      </w:r>
      <w:r w:rsidRPr="00A8012D">
        <w:t xml:space="preserve">who </w:t>
      </w:r>
      <w:r w:rsidR="00AE1188" w:rsidRPr="00A8012D">
        <w:t>might provide a referral for it:</w:t>
      </w:r>
    </w:p>
    <w:p w14:paraId="5D621FBC" w14:textId="175C857C" w:rsidR="000D2FD5" w:rsidRPr="00A8012D" w:rsidRDefault="000D2FD5" w:rsidP="00BC424B">
      <w:pPr>
        <w:ind w:left="426"/>
        <w:rPr>
          <w:color w:val="0070C0"/>
          <w:szCs w:val="20"/>
        </w:rPr>
      </w:pPr>
      <w:r w:rsidRPr="00A8012D">
        <w:rPr>
          <w:color w:val="0070C0"/>
          <w:szCs w:val="20"/>
        </w:rPr>
        <w:t>The applicant proposes that there should not be any limitations on who will be able to deliver the proposed service.</w:t>
      </w:r>
    </w:p>
    <w:p w14:paraId="62A695C1" w14:textId="5B3A5843" w:rsidR="00F7666A" w:rsidRPr="00A8012D" w:rsidRDefault="00F7666A" w:rsidP="00BC424B">
      <w:pPr>
        <w:ind w:left="426"/>
        <w:rPr>
          <w:color w:val="0070C0"/>
          <w:szCs w:val="20"/>
        </w:rPr>
      </w:pPr>
      <w:r w:rsidRPr="00A8012D">
        <w:rPr>
          <w:color w:val="0070C0"/>
          <w:szCs w:val="20"/>
        </w:rPr>
        <w:t xml:space="preserve">Whilst the item numbers described in PART 8 below identify tasks and MBS fees for </w:t>
      </w:r>
      <w:r w:rsidR="000D2FD5" w:rsidRPr="00A8012D">
        <w:rPr>
          <w:color w:val="0070C0"/>
          <w:szCs w:val="20"/>
        </w:rPr>
        <w:t xml:space="preserve">the </w:t>
      </w:r>
      <w:r w:rsidRPr="00A8012D">
        <w:rPr>
          <w:color w:val="0070C0"/>
          <w:szCs w:val="20"/>
        </w:rPr>
        <w:t xml:space="preserve">neurology, neurosurgery and radiology components of the procedure. It is feasible </w:t>
      </w:r>
      <w:r w:rsidR="000D2FD5" w:rsidRPr="00A8012D">
        <w:rPr>
          <w:color w:val="0070C0"/>
          <w:szCs w:val="20"/>
        </w:rPr>
        <w:t xml:space="preserve">– and </w:t>
      </w:r>
      <w:r w:rsidRPr="00A8012D">
        <w:rPr>
          <w:color w:val="0070C0"/>
          <w:szCs w:val="20"/>
        </w:rPr>
        <w:t>indeed probable</w:t>
      </w:r>
      <w:r w:rsidR="000D2FD5" w:rsidRPr="00A8012D">
        <w:rPr>
          <w:color w:val="0070C0"/>
          <w:szCs w:val="20"/>
        </w:rPr>
        <w:t xml:space="preserve"> –</w:t>
      </w:r>
      <w:r w:rsidRPr="00A8012D">
        <w:rPr>
          <w:color w:val="0070C0"/>
          <w:szCs w:val="20"/>
        </w:rPr>
        <w:t xml:space="preserve"> that</w:t>
      </w:r>
      <w:r w:rsidR="000D2FD5" w:rsidRPr="00A8012D">
        <w:rPr>
          <w:color w:val="0070C0"/>
          <w:szCs w:val="20"/>
        </w:rPr>
        <w:t xml:space="preserve"> </w:t>
      </w:r>
      <w:r w:rsidRPr="00A8012D">
        <w:rPr>
          <w:color w:val="0070C0"/>
          <w:szCs w:val="20"/>
        </w:rPr>
        <w:t xml:space="preserve">over time </w:t>
      </w:r>
      <w:r w:rsidR="000D2FD5" w:rsidRPr="00A8012D">
        <w:rPr>
          <w:color w:val="0070C0"/>
          <w:szCs w:val="20"/>
        </w:rPr>
        <w:t xml:space="preserve">(as physicians become more adept at executing the procedure) </w:t>
      </w:r>
      <w:r w:rsidRPr="00A8012D">
        <w:rPr>
          <w:color w:val="0070C0"/>
          <w:szCs w:val="20"/>
        </w:rPr>
        <w:t>the tasks may be performed by, and fees reimbursed to, physicians of any of the three disciplines mentioned.</w:t>
      </w:r>
      <w:r w:rsidR="000D2FD5" w:rsidRPr="00A8012D">
        <w:rPr>
          <w:color w:val="0070C0"/>
          <w:szCs w:val="20"/>
        </w:rPr>
        <w:t xml:space="preserve"> That is to say, the three item numbers proposed for the intraoperative component of </w:t>
      </w:r>
      <w:proofErr w:type="spellStart"/>
      <w:r w:rsidR="000D2FD5" w:rsidRPr="00A8012D">
        <w:rPr>
          <w:color w:val="0070C0"/>
          <w:szCs w:val="20"/>
        </w:rPr>
        <w:t>MRgFUS</w:t>
      </w:r>
      <w:proofErr w:type="spellEnd"/>
      <w:r w:rsidR="000D2FD5" w:rsidRPr="00A8012D">
        <w:rPr>
          <w:color w:val="0070C0"/>
          <w:szCs w:val="20"/>
        </w:rPr>
        <w:t xml:space="preserve"> in PART 8 will be performed and charged to the MBS, however, it may be the case that they are performed and charged by only two physicians.</w:t>
      </w:r>
    </w:p>
    <w:p w14:paraId="747F07B4" w14:textId="77777777" w:rsidR="00F7666A" w:rsidRDefault="00F7666A" w:rsidP="00BC424B">
      <w:pPr>
        <w:ind w:left="426"/>
        <w:rPr>
          <w:color w:val="0070C0"/>
          <w:szCs w:val="20"/>
          <w:highlight w:val="yellow"/>
        </w:rPr>
      </w:pPr>
    </w:p>
    <w:p w14:paraId="4780D610"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4A0FDCD" w14:textId="4E395695" w:rsidR="00EA0E25" w:rsidRPr="00154B00" w:rsidRDefault="00B6001A" w:rsidP="0073597B">
      <w:pPr>
        <w:ind w:left="426"/>
        <w:rPr>
          <w:szCs w:val="20"/>
        </w:rPr>
      </w:pPr>
      <w:r>
        <w:t xml:space="preserve">A copy of </w:t>
      </w:r>
      <w:proofErr w:type="spellStart"/>
      <w:r>
        <w:t>Insightec’s</w:t>
      </w:r>
      <w:proofErr w:type="spellEnd"/>
      <w:r>
        <w:t xml:space="preserve"> training plan is attached to this application (Attachment </w:t>
      </w:r>
      <w:r w:rsidR="005213D6">
        <w:t>B</w:t>
      </w:r>
      <w:r>
        <w:t>)</w:t>
      </w:r>
    </w:p>
    <w:p w14:paraId="1F358115"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62A5D3C6" w14:textId="033FA84A" w:rsidR="000A478F" w:rsidRDefault="00DD2C44"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r>
        <w:t xml:space="preserve"> </w:t>
      </w:r>
    </w:p>
    <w:p w14:paraId="0EBA4845" w14:textId="02678EBE" w:rsidR="000A478F" w:rsidRDefault="00DD2C44"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1B7343C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2FFBF26D"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Public outpatient clinic</w:t>
      </w:r>
    </w:p>
    <w:p w14:paraId="6F8FFDD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w:t>
      </w:r>
      <w:r>
        <w:t>Emergency Department</w:t>
      </w:r>
    </w:p>
    <w:p w14:paraId="020ADEF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7617FE32"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Private consulting rooms – specialist</w:t>
      </w:r>
    </w:p>
    <w:p w14:paraId="117FAFEB"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Private consulting rooms – other health practitioner (nurse or allied health)</w:t>
      </w:r>
    </w:p>
    <w:p w14:paraId="6A8C7634" w14:textId="4B7BAE06" w:rsidR="000A478F" w:rsidRDefault="008964D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0A478F">
        <w:rPr>
          <w:szCs w:val="20"/>
        </w:rPr>
        <w:t xml:space="preserve"> </w:t>
      </w:r>
      <w:r w:rsidR="0079354C">
        <w:rPr>
          <w:szCs w:val="20"/>
        </w:rPr>
        <w:t xml:space="preserve">Private </w:t>
      </w:r>
      <w:proofErr w:type="gramStart"/>
      <w:r w:rsidR="0079354C">
        <w:rPr>
          <w:szCs w:val="20"/>
        </w:rPr>
        <w:t>d</w:t>
      </w:r>
      <w:r w:rsidR="000A478F">
        <w:t>ay</w:t>
      </w:r>
      <w:proofErr w:type="gramEnd"/>
      <w:r w:rsidR="000A478F">
        <w:t xml:space="preserve"> surgery c</w:t>
      </w:r>
      <w:r w:rsidR="0079354C">
        <w:t>linic (admitted patient)</w:t>
      </w:r>
    </w:p>
    <w:p w14:paraId="299F8CB2"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Private </w:t>
      </w:r>
      <w:proofErr w:type="gramStart"/>
      <w:r>
        <w:rPr>
          <w:szCs w:val="20"/>
        </w:rPr>
        <w:t>day</w:t>
      </w:r>
      <w:proofErr w:type="gramEnd"/>
      <w:r>
        <w:rPr>
          <w:szCs w:val="20"/>
        </w:rPr>
        <w:t xml:space="preserve"> surgery clinic (non-admitted patient)</w:t>
      </w:r>
    </w:p>
    <w:p w14:paraId="68E56067" w14:textId="035485D9" w:rsidR="0079354C" w:rsidRDefault="008964D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79354C">
        <w:rPr>
          <w:szCs w:val="20"/>
        </w:rPr>
        <w:t xml:space="preserve"> Public day surgery clinic (admitted patient)</w:t>
      </w:r>
    </w:p>
    <w:p w14:paraId="42B04428"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Public day surgery clinic (non-admitted patient)</w:t>
      </w:r>
    </w:p>
    <w:p w14:paraId="7F338C3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w:t>
      </w:r>
      <w:r>
        <w:t>Residential aged care facility</w:t>
      </w:r>
    </w:p>
    <w:p w14:paraId="77972A7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w:t>
      </w:r>
      <w:r>
        <w:t>Patient’s home</w:t>
      </w:r>
    </w:p>
    <w:p w14:paraId="7D4412A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w:t>
      </w:r>
      <w:r>
        <w:t>Laboratory</w:t>
      </w:r>
    </w:p>
    <w:p w14:paraId="378D9120"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05853">
        <w:rPr>
          <w:szCs w:val="20"/>
        </w:rPr>
      </w:r>
      <w:r w:rsidR="00505853">
        <w:rPr>
          <w:szCs w:val="20"/>
        </w:rPr>
        <w:fldChar w:fldCharType="separate"/>
      </w:r>
      <w:r w:rsidRPr="000A5B32">
        <w:rPr>
          <w:szCs w:val="20"/>
        </w:rPr>
        <w:fldChar w:fldCharType="end"/>
      </w:r>
      <w:r>
        <w:rPr>
          <w:szCs w:val="20"/>
        </w:rPr>
        <w:t xml:space="preserve"> </w:t>
      </w:r>
      <w:r>
        <w:t>Other – please specify below</w:t>
      </w:r>
    </w:p>
    <w:p w14:paraId="4D055277" w14:textId="3BB1246C"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sidR="005213D6">
        <w:rPr>
          <w:noProof/>
        </w:rPr>
        <w:t>Specify further details here</w:t>
      </w:r>
      <w:r>
        <w:fldChar w:fldCharType="end"/>
      </w:r>
    </w:p>
    <w:p w14:paraId="603970E7" w14:textId="77777777" w:rsidR="003433D1" w:rsidRPr="005C3AE7" w:rsidRDefault="00E048ED" w:rsidP="00580219">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6AD274F" w14:textId="1432D04A" w:rsidR="0073597B" w:rsidRPr="001848C7" w:rsidRDefault="001848C7" w:rsidP="0073597B">
      <w:pPr>
        <w:ind w:left="426"/>
        <w:rPr>
          <w:b/>
          <w:color w:val="0070C0"/>
          <w:szCs w:val="20"/>
        </w:rPr>
      </w:pPr>
      <w:r w:rsidRPr="001848C7">
        <w:rPr>
          <w:color w:val="0070C0"/>
        </w:rPr>
        <w:t xml:space="preserve">The </w:t>
      </w:r>
      <w:proofErr w:type="spellStart"/>
      <w:r w:rsidRPr="001848C7">
        <w:rPr>
          <w:color w:val="0070C0"/>
        </w:rPr>
        <w:t>MRgFUS</w:t>
      </w:r>
      <w:proofErr w:type="spellEnd"/>
      <w:r w:rsidRPr="001848C7">
        <w:rPr>
          <w:color w:val="0070C0"/>
        </w:rPr>
        <w:t xml:space="preserve"> procedure is to be provided </w:t>
      </w:r>
      <w:r w:rsidR="00C97DC5">
        <w:rPr>
          <w:color w:val="0070C0"/>
        </w:rPr>
        <w:t>in properly trained facilities</w:t>
      </w:r>
      <w:r w:rsidRPr="001848C7">
        <w:rPr>
          <w:color w:val="0070C0"/>
        </w:rPr>
        <w:t>.</w:t>
      </w:r>
    </w:p>
    <w:p w14:paraId="0BC9CFEE" w14:textId="77777777" w:rsidR="003E30FB" w:rsidRDefault="003E30FB" w:rsidP="00530204">
      <w:pPr>
        <w:pStyle w:val="Heading2"/>
      </w:pPr>
      <w:r>
        <w:t xml:space="preserve">Is the </w:t>
      </w:r>
      <w:r w:rsidRPr="001B29A1">
        <w:t>proposed</w:t>
      </w:r>
      <w:r>
        <w:t xml:space="preserve"> medical service intended to be entirely rendered in Australia?</w:t>
      </w:r>
    </w:p>
    <w:p w14:paraId="583A82D9" w14:textId="10EB32A0" w:rsidR="000A478F" w:rsidRDefault="00C35EE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0A478F">
        <w:rPr>
          <w:szCs w:val="20"/>
        </w:rPr>
        <w:t xml:space="preserve"> Yes</w:t>
      </w:r>
    </w:p>
    <w:p w14:paraId="1A52AA2C" w14:textId="08BB6454" w:rsidR="000A478F" w:rsidRDefault="000A478F" w:rsidP="005213D6">
      <w:pPr>
        <w:spacing w:before="0" w:after="0"/>
        <w:ind w:left="426"/>
        <w:rPr>
          <w:b/>
          <w:i/>
          <w:szCs w:val="20"/>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5853">
        <w:rPr>
          <w:szCs w:val="20"/>
        </w:rPr>
      </w:r>
      <w:r w:rsidR="00505853">
        <w:rPr>
          <w:szCs w:val="20"/>
        </w:rPr>
        <w:fldChar w:fldCharType="separate"/>
      </w:r>
      <w:r w:rsidRPr="00753C44">
        <w:rPr>
          <w:szCs w:val="20"/>
        </w:rPr>
        <w:fldChar w:fldCharType="end"/>
      </w:r>
      <w:r>
        <w:rPr>
          <w:szCs w:val="20"/>
        </w:rPr>
        <w:t xml:space="preserve"> No</w:t>
      </w:r>
      <w:r w:rsidR="00C4696B">
        <w:rPr>
          <w:szCs w:val="20"/>
        </w:rPr>
        <w:t xml:space="preserve"> – please specify below</w:t>
      </w:r>
      <w:r>
        <w:rPr>
          <w:b/>
          <w:i/>
          <w:szCs w:val="20"/>
          <w:u w:val="single"/>
        </w:rPr>
        <w:br w:type="page"/>
      </w:r>
    </w:p>
    <w:p w14:paraId="70570943"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560B40C8" w14:textId="4A79D741" w:rsidR="00E60529"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95F5F1E" w14:textId="603B61B4" w:rsidR="00E21945" w:rsidRDefault="00AA5E77" w:rsidP="00AA5E77">
      <w:pPr>
        <w:ind w:left="360"/>
        <w:rPr>
          <w:color w:val="0070C0"/>
        </w:rPr>
      </w:pPr>
      <w:r>
        <w:rPr>
          <w:color w:val="0070C0"/>
        </w:rPr>
        <w:t>P</w:t>
      </w:r>
      <w:r w:rsidR="00E21945">
        <w:rPr>
          <w:color w:val="0070C0"/>
        </w:rPr>
        <w:t xml:space="preserve">atients who have failed </w:t>
      </w:r>
      <w:r w:rsidR="00A37710">
        <w:rPr>
          <w:color w:val="0070C0"/>
        </w:rPr>
        <w:t xml:space="preserve">treatment with </w:t>
      </w:r>
      <w:r w:rsidR="00E21945">
        <w:rPr>
          <w:color w:val="0070C0"/>
        </w:rPr>
        <w:t>pharmacotherapy</w:t>
      </w:r>
      <w:r>
        <w:rPr>
          <w:color w:val="0070C0"/>
        </w:rPr>
        <w:t xml:space="preserve"> may be treated surgically, with </w:t>
      </w:r>
      <w:proofErr w:type="spellStart"/>
      <w:r>
        <w:rPr>
          <w:color w:val="0070C0"/>
        </w:rPr>
        <w:t>lesional</w:t>
      </w:r>
      <w:proofErr w:type="spellEnd"/>
      <w:r>
        <w:rPr>
          <w:color w:val="0070C0"/>
        </w:rPr>
        <w:t xml:space="preserve"> surgery or DBS.</w:t>
      </w:r>
      <w:r w:rsidR="00E21945">
        <w:rPr>
          <w:color w:val="0070C0"/>
        </w:rPr>
        <w:t xml:space="preserve"> </w:t>
      </w:r>
      <w:r>
        <w:rPr>
          <w:color w:val="0070C0"/>
        </w:rPr>
        <w:t xml:space="preserve">In </w:t>
      </w:r>
      <w:proofErr w:type="spellStart"/>
      <w:r>
        <w:rPr>
          <w:color w:val="0070C0"/>
        </w:rPr>
        <w:t>lesional</w:t>
      </w:r>
      <w:proofErr w:type="spellEnd"/>
      <w:r>
        <w:rPr>
          <w:color w:val="0070C0"/>
        </w:rPr>
        <w:t xml:space="preserve"> surgery (open </w:t>
      </w:r>
      <w:proofErr w:type="spellStart"/>
      <w:r>
        <w:rPr>
          <w:color w:val="0070C0"/>
        </w:rPr>
        <w:t>thalamotomy</w:t>
      </w:r>
      <w:proofErr w:type="spellEnd"/>
      <w:r>
        <w:rPr>
          <w:color w:val="0070C0"/>
        </w:rPr>
        <w:t>), cells in the thalamus are ablated using a probe inserted into a small hole drilled into the skull. By comparison, DBS</w:t>
      </w:r>
      <w:r w:rsidRPr="00BC4172">
        <w:rPr>
          <w:color w:val="0070C0"/>
        </w:rPr>
        <w:t xml:space="preserve"> involves</w:t>
      </w:r>
      <w:r w:rsidR="00D76511">
        <w:rPr>
          <w:color w:val="0070C0"/>
        </w:rPr>
        <w:t xml:space="preserve"> </w:t>
      </w:r>
      <w:r w:rsidRPr="00BC4172">
        <w:rPr>
          <w:color w:val="0070C0"/>
        </w:rPr>
        <w:t xml:space="preserve">inserting a permanent electrode into the thalamus or other region causing tremor. This is then connected via a wire to a pacemaker box located in the chest region. </w:t>
      </w:r>
      <w:r>
        <w:rPr>
          <w:color w:val="0070C0"/>
        </w:rPr>
        <w:t>In Australian clinical practice, DBS</w:t>
      </w:r>
      <w:r w:rsidRPr="00AA5E77">
        <w:rPr>
          <w:color w:val="0070C0"/>
        </w:rPr>
        <w:t xml:space="preserve"> is generally </w:t>
      </w:r>
      <w:r>
        <w:rPr>
          <w:color w:val="0070C0"/>
        </w:rPr>
        <w:t xml:space="preserve">preferred over </w:t>
      </w:r>
      <w:proofErr w:type="spellStart"/>
      <w:r>
        <w:rPr>
          <w:color w:val="0070C0"/>
        </w:rPr>
        <w:t>lesional</w:t>
      </w:r>
      <w:proofErr w:type="spellEnd"/>
      <w:r>
        <w:rPr>
          <w:color w:val="0070C0"/>
        </w:rPr>
        <w:t xml:space="preserve"> surgery, as it </w:t>
      </w:r>
      <w:r w:rsidRPr="00AA5E77">
        <w:rPr>
          <w:color w:val="0070C0"/>
        </w:rPr>
        <w:t>can be reversed, it leaves little or no residual damage, and</w:t>
      </w:r>
      <w:r>
        <w:rPr>
          <w:color w:val="0070C0"/>
        </w:rPr>
        <w:t xml:space="preserve"> </w:t>
      </w:r>
      <w:r w:rsidRPr="00AA5E77">
        <w:rPr>
          <w:color w:val="0070C0"/>
        </w:rPr>
        <w:t>it is adjustable with the use of a programmable</w:t>
      </w:r>
      <w:r>
        <w:rPr>
          <w:color w:val="0070C0"/>
        </w:rPr>
        <w:t xml:space="preserve"> </w:t>
      </w:r>
      <w:r w:rsidRPr="00AA5E77">
        <w:rPr>
          <w:color w:val="0070C0"/>
        </w:rPr>
        <w:t xml:space="preserve">stimulator. Nevertheless, </w:t>
      </w:r>
      <w:r>
        <w:rPr>
          <w:color w:val="0070C0"/>
        </w:rPr>
        <w:t xml:space="preserve">DBS </w:t>
      </w:r>
      <w:r w:rsidRPr="00AA5E77">
        <w:rPr>
          <w:color w:val="0070C0"/>
        </w:rPr>
        <w:t>is associated with risks,</w:t>
      </w:r>
      <w:r>
        <w:rPr>
          <w:color w:val="0070C0"/>
        </w:rPr>
        <w:t xml:space="preserve"> including</w:t>
      </w:r>
      <w:r w:rsidRPr="00AA5E77">
        <w:rPr>
          <w:color w:val="0070C0"/>
        </w:rPr>
        <w:t xml:space="preserve"> intracranial bleeding and infection, as well as </w:t>
      </w:r>
      <w:proofErr w:type="spellStart"/>
      <w:r w:rsidRPr="00AA5E77">
        <w:rPr>
          <w:color w:val="0070C0"/>
        </w:rPr>
        <w:t>m</w:t>
      </w:r>
      <w:r w:rsidR="005E6EA4">
        <w:rPr>
          <w:color w:val="0070C0"/>
        </w:rPr>
        <w:t>is</w:t>
      </w:r>
      <w:r w:rsidRPr="00AA5E77">
        <w:rPr>
          <w:color w:val="0070C0"/>
        </w:rPr>
        <w:t>positioned</w:t>
      </w:r>
      <w:proofErr w:type="spellEnd"/>
      <w:r w:rsidRPr="00AA5E77">
        <w:rPr>
          <w:color w:val="0070C0"/>
        </w:rPr>
        <w:t xml:space="preserve"> electrodes, the need to replace the battery</w:t>
      </w:r>
      <w:r>
        <w:rPr>
          <w:color w:val="0070C0"/>
        </w:rPr>
        <w:t xml:space="preserve"> </w:t>
      </w:r>
      <w:r w:rsidRPr="00AA5E77">
        <w:rPr>
          <w:color w:val="0070C0"/>
        </w:rPr>
        <w:t>periodically, and hardware issues such as lead</w:t>
      </w:r>
      <w:r>
        <w:rPr>
          <w:color w:val="0070C0"/>
        </w:rPr>
        <w:t xml:space="preserve"> </w:t>
      </w:r>
      <w:r w:rsidRPr="00AA5E77">
        <w:rPr>
          <w:color w:val="0070C0"/>
        </w:rPr>
        <w:t>breakage</w:t>
      </w:r>
      <w:r>
        <w:rPr>
          <w:color w:val="0070C0"/>
        </w:rPr>
        <w:t xml:space="preserve">. </w:t>
      </w:r>
      <w:r w:rsidR="00D76511">
        <w:rPr>
          <w:color w:val="0070C0"/>
        </w:rPr>
        <w:t>O</w:t>
      </w:r>
      <w:r>
        <w:rPr>
          <w:color w:val="0070C0"/>
        </w:rPr>
        <w:t xml:space="preserve">nly DBS is funded through Medicare and </w:t>
      </w:r>
      <w:r w:rsidR="00D76511">
        <w:rPr>
          <w:color w:val="0070C0"/>
        </w:rPr>
        <w:t xml:space="preserve">as such, it is considered the primary comparator for the submission. </w:t>
      </w:r>
    </w:p>
    <w:p w14:paraId="03C5F3AD" w14:textId="72CE6037" w:rsidR="00A37710" w:rsidRDefault="00A37710" w:rsidP="005E6EA4">
      <w:pPr>
        <w:ind w:left="360"/>
        <w:rPr>
          <w:color w:val="0070C0"/>
        </w:rPr>
      </w:pPr>
      <w:r>
        <w:rPr>
          <w:color w:val="0070C0"/>
        </w:rPr>
        <w:t xml:space="preserve">It is, however, acknowledged that there may be a group of medically refractory ET patients who are currently receiving BSC because they are unwilling to accept the risks associated with </w:t>
      </w:r>
      <w:r w:rsidR="00CA258C">
        <w:rPr>
          <w:color w:val="0070C0"/>
        </w:rPr>
        <w:t xml:space="preserve">DBS or are contra-indicated for the procedure. </w:t>
      </w:r>
      <w:proofErr w:type="spellStart"/>
      <w:r w:rsidR="005E6EA4" w:rsidRPr="001D3389">
        <w:rPr>
          <w:color w:val="0070C0"/>
        </w:rPr>
        <w:t>MRgFUS</w:t>
      </w:r>
      <w:proofErr w:type="spellEnd"/>
      <w:r w:rsidR="005E6EA4" w:rsidRPr="001D3389">
        <w:rPr>
          <w:color w:val="0070C0"/>
        </w:rPr>
        <w:t xml:space="preserve"> offers </w:t>
      </w:r>
      <w:r w:rsidR="005E6EA4">
        <w:rPr>
          <w:color w:val="0070C0"/>
        </w:rPr>
        <w:t>these patients a treatment option that does not require</w:t>
      </w:r>
      <w:r w:rsidR="005E6EA4" w:rsidRPr="001D3389">
        <w:rPr>
          <w:color w:val="0070C0"/>
        </w:rPr>
        <w:t xml:space="preserve"> burr </w:t>
      </w:r>
      <w:proofErr w:type="gramStart"/>
      <w:r w:rsidR="005E6EA4" w:rsidRPr="001D3389">
        <w:rPr>
          <w:color w:val="0070C0"/>
        </w:rPr>
        <w:t>hole</w:t>
      </w:r>
      <w:proofErr w:type="gramEnd"/>
      <w:r w:rsidR="005E6EA4" w:rsidRPr="001D3389">
        <w:rPr>
          <w:color w:val="0070C0"/>
        </w:rPr>
        <w:t xml:space="preserve"> craniotomy, </w:t>
      </w:r>
      <w:proofErr w:type="spellStart"/>
      <w:r w:rsidR="0064220A" w:rsidRPr="001D3389">
        <w:rPr>
          <w:color w:val="0070C0"/>
        </w:rPr>
        <w:t>craniectomy</w:t>
      </w:r>
      <w:proofErr w:type="spellEnd"/>
      <w:r w:rsidR="005E6EA4" w:rsidRPr="001D3389">
        <w:rPr>
          <w:color w:val="0070C0"/>
        </w:rPr>
        <w:t xml:space="preserve"> or general anaesthesia. As such, </w:t>
      </w:r>
      <w:r w:rsidR="005E6EA4">
        <w:rPr>
          <w:color w:val="0070C0"/>
        </w:rPr>
        <w:t>BSC</w:t>
      </w:r>
      <w:r w:rsidR="005E6EA4" w:rsidRPr="001D3389">
        <w:rPr>
          <w:color w:val="0070C0"/>
        </w:rPr>
        <w:t xml:space="preserve"> </w:t>
      </w:r>
      <w:r w:rsidR="00B6001A">
        <w:rPr>
          <w:color w:val="0070C0"/>
        </w:rPr>
        <w:t>may be</w:t>
      </w:r>
      <w:r w:rsidR="005E6EA4" w:rsidRPr="001D3389">
        <w:rPr>
          <w:color w:val="0070C0"/>
        </w:rPr>
        <w:t xml:space="preserve"> a</w:t>
      </w:r>
      <w:r w:rsidR="005E6EA4">
        <w:rPr>
          <w:color w:val="0070C0"/>
        </w:rPr>
        <w:t xml:space="preserve"> </w:t>
      </w:r>
      <w:r w:rsidR="00122366">
        <w:rPr>
          <w:color w:val="0070C0"/>
        </w:rPr>
        <w:t xml:space="preserve">potential </w:t>
      </w:r>
      <w:r w:rsidR="005E6EA4">
        <w:rPr>
          <w:color w:val="0070C0"/>
        </w:rPr>
        <w:t xml:space="preserve">secondary </w:t>
      </w:r>
      <w:r w:rsidR="005E6EA4" w:rsidRPr="001D3389">
        <w:rPr>
          <w:color w:val="0070C0"/>
        </w:rPr>
        <w:t xml:space="preserve">comparator in </w:t>
      </w:r>
      <w:r w:rsidR="00B6001A">
        <w:rPr>
          <w:color w:val="0070C0"/>
        </w:rPr>
        <w:t>a subgroup of the proposed</w:t>
      </w:r>
      <w:r w:rsidR="005E6EA4" w:rsidRPr="001D3389">
        <w:rPr>
          <w:color w:val="0070C0"/>
        </w:rPr>
        <w:t xml:space="preserve"> population.</w:t>
      </w:r>
    </w:p>
    <w:p w14:paraId="60597A8C" w14:textId="5CC6CCC1" w:rsidR="00BC4172" w:rsidRDefault="00B86D41" w:rsidP="0089553D">
      <w:pPr>
        <w:ind w:left="360"/>
        <w:rPr>
          <w:color w:val="0070C0"/>
        </w:rPr>
      </w:pPr>
      <w:r w:rsidRPr="00B86D41">
        <w:rPr>
          <w:color w:val="0070C0"/>
        </w:rPr>
        <w:t xml:space="preserve">As per the clinical algorithm shown in </w:t>
      </w:r>
      <w:r w:rsidR="007E04C1">
        <w:rPr>
          <w:color w:val="0070C0"/>
        </w:rPr>
        <w:t xml:space="preserve">Figure </w:t>
      </w:r>
      <w:r w:rsidR="00206AB3">
        <w:rPr>
          <w:color w:val="0070C0"/>
        </w:rPr>
        <w:t>1,</w:t>
      </w:r>
      <w:r w:rsidRPr="00B86D41">
        <w:rPr>
          <w:color w:val="0070C0"/>
        </w:rPr>
        <w:t xml:space="preserve"> the positioning of </w:t>
      </w:r>
      <w:proofErr w:type="spellStart"/>
      <w:r w:rsidRPr="00B86D41">
        <w:rPr>
          <w:color w:val="0070C0"/>
        </w:rPr>
        <w:t>MRgFUS</w:t>
      </w:r>
      <w:proofErr w:type="spellEnd"/>
      <w:r w:rsidRPr="00B86D41">
        <w:rPr>
          <w:color w:val="0070C0"/>
        </w:rPr>
        <w:t xml:space="preserve"> will be in line with DBS</w:t>
      </w:r>
      <w:r w:rsidR="00CA258C">
        <w:rPr>
          <w:color w:val="0070C0"/>
        </w:rPr>
        <w:t xml:space="preserve"> and BSC</w:t>
      </w:r>
      <w:r w:rsidRPr="00B86D41">
        <w:rPr>
          <w:color w:val="0070C0"/>
        </w:rPr>
        <w:t>. That is</w:t>
      </w:r>
      <w:r w:rsidR="00CA258C">
        <w:rPr>
          <w:color w:val="0070C0"/>
        </w:rPr>
        <w:t>,</w:t>
      </w:r>
      <w:r w:rsidRPr="00B86D41">
        <w:rPr>
          <w:color w:val="0070C0"/>
        </w:rPr>
        <w:t xml:space="preserve"> for use in patients shown to be refractory or intolerant to medical therapy</w:t>
      </w:r>
      <w:r w:rsidR="00CA258C">
        <w:rPr>
          <w:color w:val="0070C0"/>
        </w:rPr>
        <w:t xml:space="preserve">, and whose </w:t>
      </w:r>
      <w:r w:rsidR="00CA258C" w:rsidRPr="003902C2">
        <w:rPr>
          <w:color w:val="0070C0"/>
        </w:rPr>
        <w:t>symptoms cause severe disability</w:t>
      </w:r>
      <w:r w:rsidRPr="005E6EA4">
        <w:rPr>
          <w:color w:val="0070C0"/>
        </w:rPr>
        <w:t>.</w:t>
      </w:r>
      <w:r w:rsidR="00D76511" w:rsidRPr="00B86D41" w:rsidDel="00D76511">
        <w:rPr>
          <w:color w:val="0070C0"/>
        </w:rPr>
        <w:t xml:space="preserve"> </w:t>
      </w:r>
    </w:p>
    <w:p w14:paraId="23F9482B" w14:textId="5FDF3977" w:rsidR="001D3389" w:rsidRPr="005C39E8" w:rsidRDefault="005C39E8" w:rsidP="005C39E8">
      <w:pPr>
        <w:ind w:left="360"/>
        <w:rPr>
          <w:color w:val="0070C0"/>
        </w:rPr>
      </w:pPr>
      <w:r>
        <w:rPr>
          <w:color w:val="0070C0"/>
        </w:rPr>
        <w:t>As noted previously,</w:t>
      </w:r>
      <w:r w:rsidR="003039CB">
        <w:rPr>
          <w:color w:val="0070C0"/>
        </w:rPr>
        <w:t xml:space="preserve"> although </w:t>
      </w:r>
      <w:proofErr w:type="spellStart"/>
      <w:r w:rsidR="003039CB">
        <w:rPr>
          <w:color w:val="0070C0"/>
        </w:rPr>
        <w:t>MRgFUS</w:t>
      </w:r>
      <w:proofErr w:type="spellEnd"/>
      <w:r w:rsidR="003039CB">
        <w:rPr>
          <w:color w:val="0070C0"/>
        </w:rPr>
        <w:t xml:space="preserve"> is used </w:t>
      </w:r>
      <w:r>
        <w:rPr>
          <w:color w:val="0070C0"/>
        </w:rPr>
        <w:t xml:space="preserve">primarily </w:t>
      </w:r>
      <w:r w:rsidR="003039CB">
        <w:rPr>
          <w:color w:val="0070C0"/>
        </w:rPr>
        <w:t>as a unilateral procedure in current clinical practice, the comparator comprises both unilateral and bilateral DBS. This reflects the</w:t>
      </w:r>
      <w:r>
        <w:rPr>
          <w:color w:val="0070C0"/>
        </w:rPr>
        <w:t xml:space="preserve"> fact that bilateral </w:t>
      </w:r>
      <w:proofErr w:type="spellStart"/>
      <w:r>
        <w:rPr>
          <w:color w:val="0070C0"/>
        </w:rPr>
        <w:t>MRgFUS</w:t>
      </w:r>
      <w:proofErr w:type="spellEnd"/>
      <w:r>
        <w:rPr>
          <w:color w:val="0070C0"/>
        </w:rPr>
        <w:t xml:space="preserve"> requires a separate procedure to be performed </w:t>
      </w:r>
      <w:r w:rsidR="00D4249A">
        <w:rPr>
          <w:color w:val="0070C0"/>
        </w:rPr>
        <w:t xml:space="preserve">on the contralateral side at least </w:t>
      </w:r>
      <w:r>
        <w:rPr>
          <w:color w:val="0070C0"/>
        </w:rPr>
        <w:t>6 months later, whereas bilateral DBS may be performed concurrently.</w:t>
      </w:r>
      <w:r w:rsidR="003039CB">
        <w:rPr>
          <w:color w:val="0070C0"/>
        </w:rPr>
        <w:t xml:space="preserve"> </w:t>
      </w:r>
      <w:r>
        <w:rPr>
          <w:color w:val="0070C0"/>
        </w:rPr>
        <w:t xml:space="preserve">As most of the clinical benefits associated with </w:t>
      </w:r>
      <w:proofErr w:type="spellStart"/>
      <w:r>
        <w:rPr>
          <w:color w:val="0070C0"/>
        </w:rPr>
        <w:t>MRgFUS</w:t>
      </w:r>
      <w:proofErr w:type="spellEnd"/>
      <w:r>
        <w:rPr>
          <w:color w:val="0070C0"/>
        </w:rPr>
        <w:t xml:space="preserve"> treatment are derived by treating the dominant side, the costs and risks of a treating the </w:t>
      </w:r>
      <w:r w:rsidR="00D4249A">
        <w:rPr>
          <w:color w:val="0070C0"/>
        </w:rPr>
        <w:t>contralateral</w:t>
      </w:r>
      <w:r>
        <w:rPr>
          <w:color w:val="0070C0"/>
        </w:rPr>
        <w:t xml:space="preserve"> side are often </w:t>
      </w:r>
      <w:r w:rsidR="007659DA">
        <w:rPr>
          <w:color w:val="0070C0"/>
        </w:rPr>
        <w:t>thought</w:t>
      </w:r>
      <w:r>
        <w:rPr>
          <w:color w:val="0070C0"/>
        </w:rPr>
        <w:t xml:space="preserve"> to outweigh the </w:t>
      </w:r>
      <w:r w:rsidR="007659DA">
        <w:rPr>
          <w:color w:val="0070C0"/>
        </w:rPr>
        <w:t xml:space="preserve">incremental benefits. </w:t>
      </w:r>
      <w:r w:rsidR="003039CB">
        <w:rPr>
          <w:color w:val="0070C0"/>
        </w:rPr>
        <w:t xml:space="preserve"> </w:t>
      </w:r>
    </w:p>
    <w:p w14:paraId="71FAE34A"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40EE7D27" w14:textId="06F28FEF" w:rsidR="006A1038" w:rsidRDefault="00F36AE7"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184410F8" w14:textId="3A216034"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05853">
        <w:rPr>
          <w:szCs w:val="20"/>
        </w:rPr>
      </w:r>
      <w:r w:rsidR="00505853">
        <w:rPr>
          <w:szCs w:val="20"/>
        </w:rPr>
        <w:fldChar w:fldCharType="separate"/>
      </w:r>
      <w:r w:rsidRPr="00753C44">
        <w:rPr>
          <w:szCs w:val="20"/>
        </w:rPr>
        <w:fldChar w:fldCharType="end"/>
      </w:r>
      <w:r>
        <w:rPr>
          <w:szCs w:val="20"/>
        </w:rPr>
        <w:t xml:space="preserve"> No </w:t>
      </w:r>
    </w:p>
    <w:p w14:paraId="2D747E23" w14:textId="225011BA" w:rsidR="00F36AE7" w:rsidRDefault="00F36AE7" w:rsidP="006A1038">
      <w:pPr>
        <w:spacing w:before="0" w:after="0"/>
        <w:ind w:left="426"/>
        <w:rPr>
          <w:szCs w:val="20"/>
        </w:rPr>
      </w:pPr>
    </w:p>
    <w:p w14:paraId="74C4C6DD" w14:textId="244AD574" w:rsidR="00531468" w:rsidRPr="00081876" w:rsidRDefault="003039CB" w:rsidP="006A1038">
      <w:pPr>
        <w:spacing w:before="0" w:after="0"/>
        <w:ind w:left="426"/>
        <w:rPr>
          <w:color w:val="0070C0"/>
        </w:rPr>
      </w:pPr>
      <w:r w:rsidRPr="00081876">
        <w:rPr>
          <w:color w:val="0070C0"/>
          <w:szCs w:val="20"/>
        </w:rPr>
        <w:t>Although</w:t>
      </w:r>
      <w:r w:rsidR="00531468" w:rsidRPr="00081876">
        <w:rPr>
          <w:color w:val="0070C0"/>
          <w:szCs w:val="20"/>
        </w:rPr>
        <w:t xml:space="preserve"> </w:t>
      </w:r>
      <w:proofErr w:type="spellStart"/>
      <w:r w:rsidR="00531468" w:rsidRPr="00081876">
        <w:rPr>
          <w:color w:val="0070C0"/>
          <w:szCs w:val="20"/>
        </w:rPr>
        <w:t>MRgFUS</w:t>
      </w:r>
      <w:proofErr w:type="spellEnd"/>
      <w:r w:rsidR="00531468" w:rsidRPr="00081876">
        <w:rPr>
          <w:color w:val="0070C0"/>
          <w:szCs w:val="20"/>
        </w:rPr>
        <w:t xml:space="preserve"> </w:t>
      </w:r>
      <w:r w:rsidRPr="00081876">
        <w:rPr>
          <w:color w:val="0070C0"/>
          <w:szCs w:val="20"/>
        </w:rPr>
        <w:t xml:space="preserve">is </w:t>
      </w:r>
      <w:r w:rsidR="00531468" w:rsidRPr="00081876">
        <w:rPr>
          <w:color w:val="0070C0"/>
          <w:szCs w:val="20"/>
        </w:rPr>
        <w:t xml:space="preserve">performed unilaterally, the comparator for </w:t>
      </w:r>
      <w:proofErr w:type="spellStart"/>
      <w:r w:rsidR="00531468" w:rsidRPr="00081876">
        <w:rPr>
          <w:color w:val="0070C0"/>
          <w:szCs w:val="20"/>
        </w:rPr>
        <w:t>MRgFUS</w:t>
      </w:r>
      <w:proofErr w:type="spellEnd"/>
      <w:r w:rsidR="00531468" w:rsidRPr="00081876">
        <w:rPr>
          <w:color w:val="0070C0"/>
          <w:szCs w:val="20"/>
        </w:rPr>
        <w:t xml:space="preserve"> would </w:t>
      </w:r>
      <w:r w:rsidRPr="00081876">
        <w:rPr>
          <w:color w:val="0070C0"/>
          <w:szCs w:val="20"/>
        </w:rPr>
        <w:t xml:space="preserve">comprise both </w:t>
      </w:r>
      <w:r w:rsidR="00531468" w:rsidRPr="00081876">
        <w:rPr>
          <w:color w:val="0070C0"/>
          <w:szCs w:val="20"/>
        </w:rPr>
        <w:t xml:space="preserve">unilateral </w:t>
      </w:r>
      <w:r w:rsidRPr="00081876">
        <w:rPr>
          <w:color w:val="0070C0"/>
          <w:szCs w:val="20"/>
        </w:rPr>
        <w:t xml:space="preserve">and bilateral </w:t>
      </w:r>
      <w:r w:rsidR="00531468" w:rsidRPr="00081876">
        <w:rPr>
          <w:color w:val="0070C0"/>
          <w:szCs w:val="20"/>
        </w:rPr>
        <w:t xml:space="preserve">DBS </w:t>
      </w:r>
      <w:r w:rsidRPr="00081876">
        <w:rPr>
          <w:color w:val="0070C0"/>
          <w:szCs w:val="20"/>
        </w:rPr>
        <w:t xml:space="preserve">(as discussed in the response to Question 38) </w:t>
      </w:r>
      <w:r w:rsidR="00531468" w:rsidRPr="00081876">
        <w:rPr>
          <w:color w:val="0070C0"/>
          <w:szCs w:val="20"/>
        </w:rPr>
        <w:t>for which the following MBS items are relevant</w:t>
      </w:r>
      <w:r w:rsidRPr="00081876">
        <w:rPr>
          <w:color w:val="0070C0"/>
          <w:szCs w:val="20"/>
        </w:rPr>
        <w:t>:</w:t>
      </w:r>
      <w:r w:rsidR="0047269D" w:rsidRPr="00081876">
        <w:rPr>
          <w:color w:val="0070C0"/>
          <w:szCs w:val="20"/>
        </w:rPr>
        <w:t xml:space="preserve"> </w:t>
      </w:r>
      <w:r w:rsidR="0047269D" w:rsidRPr="00081876">
        <w:rPr>
          <w:color w:val="0070C0"/>
        </w:rPr>
        <w:t xml:space="preserve">40850, 40851, 40852, 40854, 40856, 40858, 40860, </w:t>
      </w:r>
      <w:proofErr w:type="gramStart"/>
      <w:r w:rsidR="0047269D" w:rsidRPr="00081876">
        <w:rPr>
          <w:color w:val="0070C0"/>
        </w:rPr>
        <w:t>40862</w:t>
      </w:r>
      <w:proofErr w:type="gramEnd"/>
      <w:r w:rsidR="0047269D" w:rsidRPr="00081876">
        <w:rPr>
          <w:color w:val="0070C0"/>
        </w:rPr>
        <w:t>.</w:t>
      </w:r>
    </w:p>
    <w:p w14:paraId="65EB93D6" w14:textId="19936AA3" w:rsidR="0047269D" w:rsidRPr="00081876" w:rsidRDefault="0047269D" w:rsidP="006A1038">
      <w:pPr>
        <w:spacing w:before="0" w:after="0"/>
        <w:ind w:left="426"/>
        <w:rPr>
          <w:color w:val="0070C0"/>
        </w:rPr>
      </w:pPr>
    </w:p>
    <w:p w14:paraId="30A1C955" w14:textId="1AA83BBA" w:rsidR="00531468" w:rsidRPr="00531468" w:rsidRDefault="0047269D" w:rsidP="006A1038">
      <w:pPr>
        <w:spacing w:before="0" w:after="0"/>
        <w:ind w:left="426"/>
        <w:rPr>
          <w:color w:val="0070C0"/>
          <w:szCs w:val="20"/>
        </w:rPr>
      </w:pPr>
      <w:r w:rsidRPr="00081876">
        <w:rPr>
          <w:color w:val="0070C0"/>
        </w:rPr>
        <w:t xml:space="preserve">MBS </w:t>
      </w:r>
      <w:r w:rsidR="00E3141D" w:rsidRPr="00081876">
        <w:rPr>
          <w:color w:val="0070C0"/>
        </w:rPr>
        <w:t>i</w:t>
      </w:r>
      <w:r w:rsidRPr="00081876">
        <w:rPr>
          <w:color w:val="0070C0"/>
        </w:rPr>
        <w:t xml:space="preserve">tems </w:t>
      </w:r>
      <w:r w:rsidR="00E3141D" w:rsidRPr="00081876">
        <w:rPr>
          <w:color w:val="0070C0"/>
        </w:rPr>
        <w:t xml:space="preserve">40850 (unilateral DBS) and 40851 (bilateral DBS) describe the stereotactic procedure for the localisation and insertion of electrodes, MBS item 40852 describes the placement of the </w:t>
      </w:r>
      <w:proofErr w:type="spellStart"/>
      <w:r w:rsidR="00E3141D" w:rsidRPr="00081876">
        <w:rPr>
          <w:color w:val="0070C0"/>
        </w:rPr>
        <w:t>neurostimulator</w:t>
      </w:r>
      <w:proofErr w:type="spellEnd"/>
      <w:r w:rsidR="00E3141D" w:rsidRPr="00081876">
        <w:rPr>
          <w:color w:val="0070C0"/>
        </w:rPr>
        <w:t xml:space="preserve"> receiver or pulse generator, and MBS item 40860 describes target localisation, including intraoperative localisation. These items are claimed </w:t>
      </w:r>
      <w:r w:rsidR="008C4238" w:rsidRPr="00081876">
        <w:rPr>
          <w:color w:val="0070C0"/>
        </w:rPr>
        <w:t>when the initial procedure is undertaken</w:t>
      </w:r>
      <w:r w:rsidR="00E3141D" w:rsidRPr="00081876">
        <w:rPr>
          <w:color w:val="0070C0"/>
        </w:rPr>
        <w:t xml:space="preserve">. The remaining MBS items (40854, 40856, </w:t>
      </w:r>
      <w:proofErr w:type="gramStart"/>
      <w:r w:rsidR="00E3141D" w:rsidRPr="00081876">
        <w:rPr>
          <w:color w:val="0070C0"/>
        </w:rPr>
        <w:t>40858</w:t>
      </w:r>
      <w:proofErr w:type="gramEnd"/>
      <w:r w:rsidR="00E3141D" w:rsidRPr="00081876">
        <w:rPr>
          <w:color w:val="0070C0"/>
        </w:rPr>
        <w:t>) are for the revision and replacement of electrodes, transmitters and leads, While MBS item 40862 is for programming the pulse generator.</w:t>
      </w:r>
      <w:r w:rsidR="00D041D4" w:rsidRPr="00531468">
        <w:rPr>
          <w:color w:val="0070C0"/>
          <w:szCs w:val="20"/>
        </w:rPr>
        <w:t xml:space="preserve"> </w:t>
      </w:r>
    </w:p>
    <w:tbl>
      <w:tblPr>
        <w:tblStyle w:val="TableGrid"/>
        <w:tblW w:w="8363" w:type="dxa"/>
        <w:tblInd w:w="421" w:type="dxa"/>
        <w:tblLook w:val="04A0" w:firstRow="1" w:lastRow="0" w:firstColumn="1" w:lastColumn="0" w:noHBand="0" w:noVBand="1"/>
        <w:tblCaption w:val="Table"/>
        <w:tblDescription w:val="MBS item numbers"/>
      </w:tblPr>
      <w:tblGrid>
        <w:gridCol w:w="991"/>
        <w:gridCol w:w="6355"/>
        <w:gridCol w:w="1017"/>
      </w:tblGrid>
      <w:tr w:rsidR="0059101B" w:rsidRPr="0059101B" w14:paraId="6D49387C" w14:textId="77777777" w:rsidTr="00D041D4">
        <w:trPr>
          <w:tblHeader/>
        </w:trPr>
        <w:tc>
          <w:tcPr>
            <w:tcW w:w="991" w:type="dxa"/>
          </w:tcPr>
          <w:p w14:paraId="1ED7BCE3" w14:textId="77777777" w:rsidR="00F36AE7" w:rsidRPr="0059101B" w:rsidRDefault="00F36AE7" w:rsidP="00270099">
            <w:pPr>
              <w:pStyle w:val="TableText"/>
              <w:rPr>
                <w:b/>
                <w:bCs/>
                <w:color w:val="0070C0"/>
              </w:rPr>
            </w:pPr>
            <w:bookmarkStart w:id="9" w:name="_Hlk23493326"/>
            <w:r w:rsidRPr="0059101B">
              <w:rPr>
                <w:b/>
                <w:bCs/>
                <w:color w:val="0070C0"/>
              </w:rPr>
              <w:lastRenderedPageBreak/>
              <w:t>MBS item number</w:t>
            </w:r>
          </w:p>
        </w:tc>
        <w:tc>
          <w:tcPr>
            <w:tcW w:w="6355" w:type="dxa"/>
          </w:tcPr>
          <w:p w14:paraId="5576066A" w14:textId="77777777" w:rsidR="00F36AE7" w:rsidRPr="0059101B" w:rsidRDefault="00F36AE7" w:rsidP="00270099">
            <w:pPr>
              <w:pStyle w:val="TableText"/>
              <w:rPr>
                <w:b/>
                <w:bCs/>
                <w:color w:val="0070C0"/>
              </w:rPr>
            </w:pPr>
            <w:r w:rsidRPr="0059101B">
              <w:rPr>
                <w:b/>
                <w:bCs/>
                <w:color w:val="0070C0"/>
              </w:rPr>
              <w:t>MBS item descriptor</w:t>
            </w:r>
          </w:p>
        </w:tc>
        <w:tc>
          <w:tcPr>
            <w:tcW w:w="1017" w:type="dxa"/>
          </w:tcPr>
          <w:p w14:paraId="2BE0E1F5" w14:textId="77777777" w:rsidR="00F36AE7" w:rsidRPr="0059101B" w:rsidRDefault="00F36AE7" w:rsidP="00270099">
            <w:pPr>
              <w:pStyle w:val="TableText"/>
              <w:rPr>
                <w:b/>
                <w:bCs/>
                <w:color w:val="0070C0"/>
              </w:rPr>
            </w:pPr>
            <w:r w:rsidRPr="0059101B">
              <w:rPr>
                <w:b/>
                <w:bCs/>
                <w:color w:val="0070C0"/>
              </w:rPr>
              <w:t>Fee</w:t>
            </w:r>
          </w:p>
        </w:tc>
      </w:tr>
      <w:tr w:rsidR="0059101B" w:rsidRPr="0059101B" w14:paraId="4BB569C5" w14:textId="77777777" w:rsidTr="003D123C">
        <w:trPr>
          <w:trHeight w:val="810"/>
        </w:trPr>
        <w:tc>
          <w:tcPr>
            <w:tcW w:w="991" w:type="dxa"/>
          </w:tcPr>
          <w:p w14:paraId="2D08EE00" w14:textId="77777777" w:rsidR="00F36AE7" w:rsidRPr="0059101B" w:rsidRDefault="00F36AE7" w:rsidP="00270099">
            <w:pPr>
              <w:pStyle w:val="TableText"/>
              <w:rPr>
                <w:color w:val="0070C0"/>
              </w:rPr>
            </w:pPr>
            <w:r w:rsidRPr="0059101B">
              <w:rPr>
                <w:color w:val="0070C0"/>
              </w:rPr>
              <w:t>40850</w:t>
            </w:r>
          </w:p>
        </w:tc>
        <w:tc>
          <w:tcPr>
            <w:tcW w:w="6355" w:type="dxa"/>
          </w:tcPr>
          <w:p w14:paraId="4A9F40B4" w14:textId="77777777" w:rsidR="00F36AE7" w:rsidRPr="0059101B" w:rsidRDefault="00F36AE7" w:rsidP="00270099">
            <w:pPr>
              <w:pStyle w:val="TableText"/>
              <w:rPr>
                <w:color w:val="0070C0"/>
              </w:rPr>
            </w:pPr>
            <w:r w:rsidRPr="0059101B">
              <w:rPr>
                <w:color w:val="0070C0"/>
              </w:rPr>
              <w:t xml:space="preserve">DEEP BRAIN STIMULATION (unilateral) functional stereotactic procedure including computer assisted anatomical localisation, physiological localisation including twist drill, burr hole craniotomy or craniectomy and insertion of electrodes </w:t>
            </w:r>
          </w:p>
        </w:tc>
        <w:tc>
          <w:tcPr>
            <w:tcW w:w="1017" w:type="dxa"/>
          </w:tcPr>
          <w:p w14:paraId="5A8216E6" w14:textId="77777777" w:rsidR="00F36AE7" w:rsidRPr="0059101B" w:rsidRDefault="00F36AE7" w:rsidP="00270099">
            <w:pPr>
              <w:pStyle w:val="TableText"/>
              <w:rPr>
                <w:color w:val="0070C0"/>
              </w:rPr>
            </w:pPr>
            <w:r w:rsidRPr="0059101B">
              <w:rPr>
                <w:color w:val="0070C0"/>
              </w:rPr>
              <w:t>$2,300.70</w:t>
            </w:r>
          </w:p>
        </w:tc>
      </w:tr>
      <w:tr w:rsidR="0059101B" w:rsidRPr="0059101B" w14:paraId="1693E50B" w14:textId="77777777" w:rsidTr="00531468">
        <w:tc>
          <w:tcPr>
            <w:tcW w:w="991" w:type="dxa"/>
          </w:tcPr>
          <w:p w14:paraId="09A779D8" w14:textId="77777777" w:rsidR="00F36AE7" w:rsidRPr="0059101B" w:rsidRDefault="00F36AE7" w:rsidP="00270099">
            <w:pPr>
              <w:pStyle w:val="TableText"/>
              <w:rPr>
                <w:color w:val="0070C0"/>
              </w:rPr>
            </w:pPr>
            <w:r w:rsidRPr="0059101B">
              <w:rPr>
                <w:color w:val="0070C0"/>
              </w:rPr>
              <w:t>40851</w:t>
            </w:r>
          </w:p>
        </w:tc>
        <w:tc>
          <w:tcPr>
            <w:tcW w:w="6355" w:type="dxa"/>
          </w:tcPr>
          <w:p w14:paraId="78FA0DAF" w14:textId="77777777" w:rsidR="00F36AE7" w:rsidRPr="0059101B" w:rsidRDefault="00F36AE7" w:rsidP="00270099">
            <w:pPr>
              <w:pStyle w:val="TableText"/>
              <w:rPr>
                <w:color w:val="0070C0"/>
              </w:rPr>
            </w:pPr>
            <w:r w:rsidRPr="0059101B">
              <w:rPr>
                <w:color w:val="0070C0"/>
              </w:rPr>
              <w:t>DEEP BRAIN STIMULATION (bilateral) functional stereotactic procedure including computer assisted anatomical localisation, physiological localisation including twist drill, burr hole craniotomy or craniectomy and insertion of electrodes</w:t>
            </w:r>
          </w:p>
        </w:tc>
        <w:tc>
          <w:tcPr>
            <w:tcW w:w="1017" w:type="dxa"/>
          </w:tcPr>
          <w:p w14:paraId="2BEBF7F3" w14:textId="77777777" w:rsidR="00F36AE7" w:rsidRPr="0059101B" w:rsidRDefault="00F36AE7" w:rsidP="00270099">
            <w:pPr>
              <w:pStyle w:val="TableText"/>
              <w:rPr>
                <w:color w:val="0070C0"/>
              </w:rPr>
            </w:pPr>
            <w:r w:rsidRPr="0059101B">
              <w:rPr>
                <w:color w:val="0070C0"/>
              </w:rPr>
              <w:t>$4,026.40</w:t>
            </w:r>
          </w:p>
        </w:tc>
      </w:tr>
      <w:tr w:rsidR="0059101B" w:rsidRPr="0059101B" w14:paraId="5AE7E3C7" w14:textId="77777777" w:rsidTr="00531468">
        <w:tc>
          <w:tcPr>
            <w:tcW w:w="991" w:type="dxa"/>
          </w:tcPr>
          <w:p w14:paraId="42C6A093" w14:textId="77777777" w:rsidR="00F36AE7" w:rsidRPr="0059101B" w:rsidRDefault="00F36AE7" w:rsidP="00270099">
            <w:pPr>
              <w:pStyle w:val="TableText"/>
              <w:rPr>
                <w:color w:val="0070C0"/>
              </w:rPr>
            </w:pPr>
            <w:r w:rsidRPr="0059101B">
              <w:rPr>
                <w:color w:val="0070C0"/>
              </w:rPr>
              <w:t>40852</w:t>
            </w:r>
          </w:p>
        </w:tc>
        <w:tc>
          <w:tcPr>
            <w:tcW w:w="6355" w:type="dxa"/>
          </w:tcPr>
          <w:p w14:paraId="590B0F7A" w14:textId="77777777" w:rsidR="00F36AE7" w:rsidRPr="0059101B" w:rsidRDefault="00F36AE7" w:rsidP="00270099">
            <w:pPr>
              <w:pStyle w:val="TableText"/>
              <w:rPr>
                <w:color w:val="0070C0"/>
              </w:rPr>
            </w:pPr>
            <w:r w:rsidRPr="0059101B">
              <w:rPr>
                <w:color w:val="0070C0"/>
              </w:rPr>
              <w:t xml:space="preserve">DEEP BRAIN STIMULATION (unilateral) subcutaneous placement of neurostimulator receiver or pulse generator </w:t>
            </w:r>
          </w:p>
        </w:tc>
        <w:tc>
          <w:tcPr>
            <w:tcW w:w="1017" w:type="dxa"/>
          </w:tcPr>
          <w:p w14:paraId="185DA0A0" w14:textId="77777777" w:rsidR="00F36AE7" w:rsidRPr="0059101B" w:rsidRDefault="00F36AE7" w:rsidP="00270099">
            <w:pPr>
              <w:pStyle w:val="TableText"/>
              <w:rPr>
                <w:color w:val="0070C0"/>
              </w:rPr>
            </w:pPr>
            <w:r w:rsidRPr="0059101B">
              <w:rPr>
                <w:color w:val="0070C0"/>
              </w:rPr>
              <w:t>$346.05</w:t>
            </w:r>
          </w:p>
        </w:tc>
      </w:tr>
      <w:tr w:rsidR="0059101B" w:rsidRPr="0059101B" w14:paraId="358524A6" w14:textId="77777777" w:rsidTr="00531468">
        <w:tc>
          <w:tcPr>
            <w:tcW w:w="991" w:type="dxa"/>
          </w:tcPr>
          <w:p w14:paraId="0D1A3857" w14:textId="77777777" w:rsidR="00F36AE7" w:rsidRPr="0059101B" w:rsidRDefault="00F36AE7" w:rsidP="00270099">
            <w:pPr>
              <w:pStyle w:val="TableText"/>
              <w:rPr>
                <w:color w:val="0070C0"/>
              </w:rPr>
            </w:pPr>
            <w:r w:rsidRPr="0059101B">
              <w:rPr>
                <w:color w:val="0070C0"/>
              </w:rPr>
              <w:t>40854</w:t>
            </w:r>
          </w:p>
        </w:tc>
        <w:tc>
          <w:tcPr>
            <w:tcW w:w="6355" w:type="dxa"/>
          </w:tcPr>
          <w:p w14:paraId="41F01C6D" w14:textId="77777777" w:rsidR="00F36AE7" w:rsidRPr="0059101B" w:rsidRDefault="00F36AE7" w:rsidP="00270099">
            <w:pPr>
              <w:pStyle w:val="TableText"/>
              <w:rPr>
                <w:color w:val="0070C0"/>
              </w:rPr>
            </w:pPr>
            <w:r w:rsidRPr="0059101B">
              <w:rPr>
                <w:color w:val="0070C0"/>
              </w:rPr>
              <w:t>DEEP BRAIN STIMULATION (unilateral) revision or removal of brain electrode</w:t>
            </w:r>
          </w:p>
        </w:tc>
        <w:tc>
          <w:tcPr>
            <w:tcW w:w="1017" w:type="dxa"/>
          </w:tcPr>
          <w:p w14:paraId="337F4BA1" w14:textId="77777777" w:rsidR="00F36AE7" w:rsidRPr="0059101B" w:rsidRDefault="00F36AE7" w:rsidP="00270099">
            <w:pPr>
              <w:pStyle w:val="TableText"/>
              <w:rPr>
                <w:color w:val="0070C0"/>
              </w:rPr>
            </w:pPr>
            <w:r w:rsidRPr="0059101B">
              <w:rPr>
                <w:color w:val="0070C0"/>
              </w:rPr>
              <w:t>$534.80</w:t>
            </w:r>
          </w:p>
        </w:tc>
      </w:tr>
      <w:tr w:rsidR="0059101B" w:rsidRPr="0059101B" w14:paraId="7B40B66E" w14:textId="77777777" w:rsidTr="00531468">
        <w:tc>
          <w:tcPr>
            <w:tcW w:w="991" w:type="dxa"/>
          </w:tcPr>
          <w:p w14:paraId="4FDBC0E1" w14:textId="77777777" w:rsidR="00F36AE7" w:rsidRPr="0059101B" w:rsidRDefault="00F36AE7" w:rsidP="00270099">
            <w:pPr>
              <w:pStyle w:val="TableText"/>
              <w:rPr>
                <w:color w:val="0070C0"/>
              </w:rPr>
            </w:pPr>
            <w:r w:rsidRPr="0059101B">
              <w:rPr>
                <w:color w:val="0070C0"/>
              </w:rPr>
              <w:t>40856</w:t>
            </w:r>
          </w:p>
        </w:tc>
        <w:tc>
          <w:tcPr>
            <w:tcW w:w="6355" w:type="dxa"/>
          </w:tcPr>
          <w:p w14:paraId="3C836A01" w14:textId="77777777" w:rsidR="00F36AE7" w:rsidRPr="0059101B" w:rsidRDefault="00F36AE7" w:rsidP="00270099">
            <w:pPr>
              <w:pStyle w:val="TableText"/>
              <w:rPr>
                <w:color w:val="0070C0"/>
              </w:rPr>
            </w:pPr>
            <w:r w:rsidRPr="0059101B">
              <w:rPr>
                <w:color w:val="0070C0"/>
              </w:rPr>
              <w:t>DEEP BRAIN STIMULATION (unilateral) removal or replacement of neurostimulator receiver or pulse generator</w:t>
            </w:r>
          </w:p>
        </w:tc>
        <w:tc>
          <w:tcPr>
            <w:tcW w:w="1017" w:type="dxa"/>
          </w:tcPr>
          <w:p w14:paraId="18868248" w14:textId="77777777" w:rsidR="00F36AE7" w:rsidRPr="0059101B" w:rsidRDefault="00F36AE7" w:rsidP="00270099">
            <w:pPr>
              <w:pStyle w:val="TableText"/>
              <w:rPr>
                <w:color w:val="0070C0"/>
              </w:rPr>
            </w:pPr>
            <w:r w:rsidRPr="0059101B">
              <w:rPr>
                <w:color w:val="0070C0"/>
              </w:rPr>
              <w:t>$259.55</w:t>
            </w:r>
          </w:p>
        </w:tc>
      </w:tr>
      <w:tr w:rsidR="0059101B" w:rsidRPr="0059101B" w14:paraId="31CEA5B4" w14:textId="77777777" w:rsidTr="00531468">
        <w:tc>
          <w:tcPr>
            <w:tcW w:w="991" w:type="dxa"/>
          </w:tcPr>
          <w:p w14:paraId="7CA39597" w14:textId="77777777" w:rsidR="00F36AE7" w:rsidRPr="0059101B" w:rsidRDefault="00F36AE7" w:rsidP="00270099">
            <w:pPr>
              <w:pStyle w:val="TableText"/>
              <w:rPr>
                <w:color w:val="0070C0"/>
              </w:rPr>
            </w:pPr>
            <w:r w:rsidRPr="0059101B">
              <w:rPr>
                <w:color w:val="0070C0"/>
              </w:rPr>
              <w:t>40858</w:t>
            </w:r>
          </w:p>
        </w:tc>
        <w:tc>
          <w:tcPr>
            <w:tcW w:w="6355" w:type="dxa"/>
          </w:tcPr>
          <w:p w14:paraId="2AAEB6F8" w14:textId="77777777" w:rsidR="00F36AE7" w:rsidRPr="0059101B" w:rsidRDefault="00F36AE7" w:rsidP="00270099">
            <w:pPr>
              <w:pStyle w:val="TableText"/>
              <w:rPr>
                <w:color w:val="0070C0"/>
              </w:rPr>
            </w:pPr>
            <w:r w:rsidRPr="0059101B">
              <w:rPr>
                <w:color w:val="0070C0"/>
              </w:rPr>
              <w:t>DEEP BRAIN STIMULATION (unilateral) placement, removal or replacement of extension lead</w:t>
            </w:r>
          </w:p>
        </w:tc>
        <w:tc>
          <w:tcPr>
            <w:tcW w:w="1017" w:type="dxa"/>
          </w:tcPr>
          <w:p w14:paraId="0BAE1E57" w14:textId="77777777" w:rsidR="00F36AE7" w:rsidRPr="0059101B" w:rsidRDefault="00F36AE7" w:rsidP="00270099">
            <w:pPr>
              <w:pStyle w:val="TableText"/>
              <w:rPr>
                <w:color w:val="0070C0"/>
              </w:rPr>
            </w:pPr>
            <w:r w:rsidRPr="0059101B">
              <w:rPr>
                <w:color w:val="0070C0"/>
              </w:rPr>
              <w:t>$534.80</w:t>
            </w:r>
          </w:p>
        </w:tc>
      </w:tr>
      <w:tr w:rsidR="0059101B" w:rsidRPr="0059101B" w14:paraId="3AC257C2" w14:textId="77777777" w:rsidTr="00531468">
        <w:tc>
          <w:tcPr>
            <w:tcW w:w="991" w:type="dxa"/>
          </w:tcPr>
          <w:p w14:paraId="5FB7C9C6" w14:textId="77777777" w:rsidR="00F36AE7" w:rsidRPr="0059101B" w:rsidRDefault="00F36AE7" w:rsidP="00270099">
            <w:pPr>
              <w:pStyle w:val="TableText"/>
              <w:rPr>
                <w:color w:val="0070C0"/>
              </w:rPr>
            </w:pPr>
            <w:r w:rsidRPr="0059101B">
              <w:rPr>
                <w:color w:val="0070C0"/>
              </w:rPr>
              <w:t>40860</w:t>
            </w:r>
          </w:p>
        </w:tc>
        <w:tc>
          <w:tcPr>
            <w:tcW w:w="6355" w:type="dxa"/>
          </w:tcPr>
          <w:p w14:paraId="28C49389" w14:textId="77777777" w:rsidR="00F36AE7" w:rsidRPr="0059101B" w:rsidRDefault="00F36AE7" w:rsidP="00270099">
            <w:pPr>
              <w:pStyle w:val="TableText"/>
              <w:rPr>
                <w:color w:val="0070C0"/>
              </w:rPr>
            </w:pPr>
            <w:r w:rsidRPr="0059101B">
              <w:rPr>
                <w:color w:val="0070C0"/>
              </w:rPr>
              <w:t>DEEP BRAIN STIMULATION (unilateral) target localisation incorporating anatomical and physiological techniques, including intra-operative clinical evaluation, for the insertion of a single neurostimulation wire</w:t>
            </w:r>
          </w:p>
        </w:tc>
        <w:tc>
          <w:tcPr>
            <w:tcW w:w="1017" w:type="dxa"/>
          </w:tcPr>
          <w:p w14:paraId="185CCA1C" w14:textId="77777777" w:rsidR="00F36AE7" w:rsidRPr="0059101B" w:rsidRDefault="00F36AE7" w:rsidP="00270099">
            <w:pPr>
              <w:pStyle w:val="TableText"/>
              <w:rPr>
                <w:color w:val="0070C0"/>
              </w:rPr>
            </w:pPr>
            <w:r w:rsidRPr="0059101B">
              <w:rPr>
                <w:color w:val="0070C0"/>
              </w:rPr>
              <w:t>$2,055.05</w:t>
            </w:r>
          </w:p>
        </w:tc>
      </w:tr>
      <w:tr w:rsidR="0059101B" w:rsidRPr="0059101B" w14:paraId="2C99778F" w14:textId="77777777" w:rsidTr="00531468">
        <w:tc>
          <w:tcPr>
            <w:tcW w:w="991" w:type="dxa"/>
          </w:tcPr>
          <w:p w14:paraId="4CAD812C" w14:textId="77777777" w:rsidR="00F36AE7" w:rsidRPr="0059101B" w:rsidRDefault="00F36AE7" w:rsidP="00270099">
            <w:pPr>
              <w:pStyle w:val="TableText"/>
              <w:rPr>
                <w:color w:val="0070C0"/>
              </w:rPr>
            </w:pPr>
            <w:r w:rsidRPr="0059101B">
              <w:rPr>
                <w:color w:val="0070C0"/>
              </w:rPr>
              <w:t>40862</w:t>
            </w:r>
          </w:p>
        </w:tc>
        <w:tc>
          <w:tcPr>
            <w:tcW w:w="6355" w:type="dxa"/>
          </w:tcPr>
          <w:p w14:paraId="37414AB4" w14:textId="77777777" w:rsidR="00F36AE7" w:rsidRPr="0059101B" w:rsidRDefault="00F36AE7" w:rsidP="00270099">
            <w:pPr>
              <w:pStyle w:val="TableText"/>
              <w:rPr>
                <w:color w:val="0070C0"/>
              </w:rPr>
            </w:pPr>
            <w:r w:rsidRPr="0059101B">
              <w:rPr>
                <w:color w:val="0070C0"/>
              </w:rPr>
              <w:t>DEEP BRAIN STIMULATION (unilateral) electronic analysis and programming of neurostimulator pulse generator</w:t>
            </w:r>
          </w:p>
        </w:tc>
        <w:tc>
          <w:tcPr>
            <w:tcW w:w="1017" w:type="dxa"/>
          </w:tcPr>
          <w:p w14:paraId="5EDBAD70" w14:textId="77777777" w:rsidR="00F36AE7" w:rsidRPr="0059101B" w:rsidRDefault="00F36AE7" w:rsidP="00270099">
            <w:pPr>
              <w:pStyle w:val="TableText"/>
              <w:rPr>
                <w:color w:val="0070C0"/>
              </w:rPr>
            </w:pPr>
            <w:r w:rsidRPr="0059101B">
              <w:rPr>
                <w:color w:val="0070C0"/>
              </w:rPr>
              <w:t>$163.85</w:t>
            </w:r>
          </w:p>
        </w:tc>
      </w:tr>
    </w:tbl>
    <w:bookmarkEnd w:id="9"/>
    <w:p w14:paraId="064BBEBB" w14:textId="0EA1C6EE" w:rsidR="000159B9" w:rsidRDefault="00F36AE7" w:rsidP="00531468">
      <w:pPr>
        <w:pStyle w:val="TableNote"/>
        <w:keepNext w:val="0"/>
        <w:keepLines w:val="0"/>
        <w:ind w:left="357"/>
        <w:rPr>
          <w:color w:val="0070C0"/>
        </w:rPr>
      </w:pPr>
      <w:r w:rsidRPr="0059101B">
        <w:rPr>
          <w:color w:val="0070C0"/>
        </w:rPr>
        <w:t>All above MBS item codes are indicated for “Essential tremor or dystonia where the patient's symptoms cause severe disability”.</w:t>
      </w:r>
    </w:p>
    <w:p w14:paraId="6F594D5C" w14:textId="77777777" w:rsidR="0047269D" w:rsidRPr="00154B00" w:rsidRDefault="0047269D" w:rsidP="00531468">
      <w:pPr>
        <w:pStyle w:val="TableNote"/>
        <w:keepNext w:val="0"/>
        <w:keepLines w:val="0"/>
        <w:ind w:left="357"/>
        <w:rPr>
          <w:szCs w:val="20"/>
        </w:rPr>
      </w:pPr>
    </w:p>
    <w:p w14:paraId="22E0CE19"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54598A7D" w14:textId="0C87AC7A" w:rsidR="00781A40" w:rsidRDefault="00485A9D" w:rsidP="001B29A1">
      <w:pPr>
        <w:ind w:left="426"/>
        <w:rPr>
          <w:color w:val="0070C0"/>
        </w:rPr>
      </w:pPr>
      <w:r>
        <w:rPr>
          <w:color w:val="0070C0"/>
        </w:rPr>
        <w:t xml:space="preserve">Following a </w:t>
      </w:r>
      <w:r w:rsidR="004666A1" w:rsidRPr="00485A9D">
        <w:rPr>
          <w:color w:val="0070C0"/>
        </w:rPr>
        <w:t xml:space="preserve">DBS </w:t>
      </w:r>
      <w:r>
        <w:rPr>
          <w:color w:val="0070C0"/>
        </w:rPr>
        <w:t xml:space="preserve">procedure, patients </w:t>
      </w:r>
      <w:r w:rsidR="004666A1" w:rsidRPr="00485A9D">
        <w:rPr>
          <w:color w:val="0070C0"/>
        </w:rPr>
        <w:t xml:space="preserve">are </w:t>
      </w:r>
      <w:r w:rsidR="00C24E4C">
        <w:rPr>
          <w:color w:val="0070C0"/>
        </w:rPr>
        <w:t xml:space="preserve">transferred to the </w:t>
      </w:r>
      <w:r>
        <w:rPr>
          <w:color w:val="0070C0"/>
        </w:rPr>
        <w:t xml:space="preserve">intensive care </w:t>
      </w:r>
      <w:r w:rsidR="00C24E4C">
        <w:rPr>
          <w:color w:val="0070C0"/>
        </w:rPr>
        <w:t>unit for overnight observation</w:t>
      </w:r>
      <w:r w:rsidR="00781A40">
        <w:rPr>
          <w:color w:val="0070C0"/>
        </w:rPr>
        <w:t xml:space="preserve">. A </w:t>
      </w:r>
      <w:r w:rsidR="00781A40" w:rsidRPr="00781A40">
        <w:rPr>
          <w:color w:val="0070C0"/>
        </w:rPr>
        <w:t>cerebral CT scan is performed post operatively as a routine</w:t>
      </w:r>
      <w:r w:rsidR="00781A40">
        <w:rPr>
          <w:color w:val="0070C0"/>
        </w:rPr>
        <w:t xml:space="preserve">. </w:t>
      </w:r>
      <w:r w:rsidR="00781A40" w:rsidRPr="00781A40">
        <w:rPr>
          <w:color w:val="0070C0"/>
        </w:rPr>
        <w:t>In most patients, stimulation is commenced on the evening following surgery. Patients are transferred to the Neurosurgical Ward the following morning</w:t>
      </w:r>
      <w:r w:rsidR="00781A40">
        <w:rPr>
          <w:color w:val="0070C0"/>
        </w:rPr>
        <w:t xml:space="preserve"> and required to </w:t>
      </w:r>
      <w:r>
        <w:rPr>
          <w:color w:val="0070C0"/>
        </w:rPr>
        <w:t>stay in hospital for a minimum of one week.</w:t>
      </w:r>
      <w:r w:rsidR="00C24E4C">
        <w:rPr>
          <w:color w:val="0070C0"/>
        </w:rPr>
        <w:t xml:space="preserve"> </w:t>
      </w:r>
    </w:p>
    <w:p w14:paraId="3E76CA07" w14:textId="0BEFF200" w:rsidR="00781A40" w:rsidRDefault="00781A40" w:rsidP="00781A40">
      <w:pPr>
        <w:ind w:left="426"/>
        <w:rPr>
          <w:color w:val="0070C0"/>
        </w:rPr>
      </w:pPr>
      <w:r>
        <w:rPr>
          <w:color w:val="0070C0"/>
        </w:rPr>
        <w:t>Once discharged, p</w:t>
      </w:r>
      <w:r w:rsidRPr="00781A40">
        <w:rPr>
          <w:color w:val="0070C0"/>
        </w:rPr>
        <w:t xml:space="preserve">atients </w:t>
      </w:r>
      <w:r>
        <w:rPr>
          <w:color w:val="0070C0"/>
        </w:rPr>
        <w:t xml:space="preserve">are required to </w:t>
      </w:r>
      <w:r w:rsidRPr="00781A40">
        <w:rPr>
          <w:color w:val="0070C0"/>
        </w:rPr>
        <w:t xml:space="preserve">return to </w:t>
      </w:r>
      <w:r>
        <w:rPr>
          <w:color w:val="0070C0"/>
        </w:rPr>
        <w:t xml:space="preserve">their treating </w:t>
      </w:r>
      <w:r w:rsidRPr="008964D3">
        <w:rPr>
          <w:color w:val="0070C0"/>
        </w:rPr>
        <w:t>neurologist frequently for several months in order to have the stimulation adjusted</w:t>
      </w:r>
      <w:r w:rsidR="009256D6" w:rsidRPr="008964D3">
        <w:rPr>
          <w:color w:val="0070C0"/>
        </w:rPr>
        <w:t xml:space="preserve"> and optimised</w:t>
      </w:r>
      <w:r w:rsidRPr="008964D3">
        <w:rPr>
          <w:color w:val="0070C0"/>
        </w:rPr>
        <w:t xml:space="preserve">. Doctors also must supervise reductions in patients’ medications. After a few months, the number of medical visits usually decreases significantly, though patients are still required to return to have their stimulator checked </w:t>
      </w:r>
      <w:r w:rsidR="00F44767" w:rsidRPr="008964D3">
        <w:rPr>
          <w:color w:val="0070C0"/>
        </w:rPr>
        <w:t xml:space="preserve">regularly. </w:t>
      </w:r>
      <w:r w:rsidR="008B2497" w:rsidRPr="008964D3">
        <w:rPr>
          <w:color w:val="0070C0"/>
        </w:rPr>
        <w:t>In the Assessment Report for</w:t>
      </w:r>
      <w:r w:rsidR="00F44767" w:rsidRPr="008964D3">
        <w:rPr>
          <w:color w:val="0070C0"/>
        </w:rPr>
        <w:t xml:space="preserve"> MSAC Application 110</w:t>
      </w:r>
      <w:r w:rsidR="008B2497" w:rsidRPr="008964D3">
        <w:rPr>
          <w:color w:val="0070C0"/>
        </w:rPr>
        <w:t>9</w:t>
      </w:r>
      <w:r w:rsidR="00F44767" w:rsidRPr="008964D3">
        <w:rPr>
          <w:color w:val="0070C0"/>
        </w:rPr>
        <w:t xml:space="preserve"> (DBS for dystonia and essential tremor)</w:t>
      </w:r>
      <w:r w:rsidR="008B2497" w:rsidRPr="008964D3">
        <w:rPr>
          <w:color w:val="0070C0"/>
        </w:rPr>
        <w:t>, it was estimated that patients would require 25 programming visits per patient over ten years.</w:t>
      </w:r>
      <w:r w:rsidR="008B2497">
        <w:rPr>
          <w:color w:val="0070C0"/>
        </w:rPr>
        <w:t xml:space="preserve"> </w:t>
      </w:r>
    </w:p>
    <w:p w14:paraId="34C47EAD" w14:textId="2CBA6E8B" w:rsidR="00657EC7" w:rsidRDefault="00781A40" w:rsidP="00657EC7">
      <w:pPr>
        <w:ind w:left="426"/>
        <w:rPr>
          <w:color w:val="0070C0"/>
        </w:rPr>
      </w:pPr>
      <w:r>
        <w:rPr>
          <w:color w:val="0070C0"/>
        </w:rPr>
        <w:t xml:space="preserve">The </w:t>
      </w:r>
      <w:r w:rsidR="00657EC7">
        <w:rPr>
          <w:color w:val="0070C0"/>
        </w:rPr>
        <w:t xml:space="preserve">life </w:t>
      </w:r>
      <w:r w:rsidR="009256D6">
        <w:rPr>
          <w:color w:val="0070C0"/>
        </w:rPr>
        <w:t xml:space="preserve">span of the pulse generator battery </w:t>
      </w:r>
      <w:r w:rsidR="00657EC7">
        <w:rPr>
          <w:color w:val="0070C0"/>
        </w:rPr>
        <w:t>is typically 3-5 years requiring surgery for replacement.</w:t>
      </w:r>
      <w:r w:rsidR="009256D6">
        <w:rPr>
          <w:color w:val="0070C0"/>
        </w:rPr>
        <w:t xml:space="preserve"> </w:t>
      </w:r>
    </w:p>
    <w:p w14:paraId="18BB8B50" w14:textId="6429DB07" w:rsidR="00657EC7" w:rsidRDefault="00657EC7" w:rsidP="00657EC7">
      <w:pPr>
        <w:ind w:left="426"/>
        <w:rPr>
          <w:color w:val="0070C0"/>
        </w:rPr>
      </w:pPr>
      <w:r>
        <w:rPr>
          <w:color w:val="0070C0"/>
        </w:rPr>
        <w:t>Other complications that can arise requiring re-intervention include:</w:t>
      </w:r>
    </w:p>
    <w:p w14:paraId="350C4372" w14:textId="77777777" w:rsidR="00657EC7" w:rsidRPr="00657EC7" w:rsidRDefault="00657EC7" w:rsidP="00580219">
      <w:pPr>
        <w:pStyle w:val="ListParagraph"/>
        <w:numPr>
          <w:ilvl w:val="0"/>
          <w:numId w:val="21"/>
        </w:numPr>
        <w:rPr>
          <w:color w:val="0070C0"/>
        </w:rPr>
      </w:pPr>
      <w:r w:rsidRPr="00657EC7">
        <w:rPr>
          <w:color w:val="0070C0"/>
        </w:rPr>
        <w:t>Fracture or breakage of the wire or cable</w:t>
      </w:r>
    </w:p>
    <w:p w14:paraId="0A90CB64" w14:textId="77777777" w:rsidR="00657EC7" w:rsidRPr="00657EC7" w:rsidRDefault="00657EC7" w:rsidP="00580219">
      <w:pPr>
        <w:pStyle w:val="ListParagraph"/>
        <w:numPr>
          <w:ilvl w:val="0"/>
          <w:numId w:val="21"/>
        </w:numPr>
        <w:rPr>
          <w:color w:val="0070C0"/>
        </w:rPr>
      </w:pPr>
      <w:r w:rsidRPr="00657EC7">
        <w:rPr>
          <w:color w:val="0070C0"/>
        </w:rPr>
        <w:t>Battery failure</w:t>
      </w:r>
    </w:p>
    <w:p w14:paraId="3B149024" w14:textId="77777777" w:rsidR="00657EC7" w:rsidRPr="00657EC7" w:rsidRDefault="00657EC7" w:rsidP="00580219">
      <w:pPr>
        <w:pStyle w:val="ListParagraph"/>
        <w:numPr>
          <w:ilvl w:val="0"/>
          <w:numId w:val="21"/>
        </w:numPr>
        <w:rPr>
          <w:color w:val="0070C0"/>
        </w:rPr>
      </w:pPr>
      <w:r w:rsidRPr="00657EC7">
        <w:rPr>
          <w:color w:val="0070C0"/>
        </w:rPr>
        <w:t>Erosion of the cable or device through the skin</w:t>
      </w:r>
    </w:p>
    <w:p w14:paraId="0EF4795A" w14:textId="5BA6A2B5" w:rsidR="00781A40" w:rsidRDefault="00657EC7" w:rsidP="00580219">
      <w:pPr>
        <w:pStyle w:val="ListParagraph"/>
        <w:numPr>
          <w:ilvl w:val="0"/>
          <w:numId w:val="21"/>
        </w:numPr>
        <w:rPr>
          <w:color w:val="0070C0"/>
        </w:rPr>
      </w:pPr>
      <w:r w:rsidRPr="00657EC7">
        <w:rPr>
          <w:color w:val="0070C0"/>
        </w:rPr>
        <w:t>Migration of the electrode in the brain due to failure of the anchor</w:t>
      </w:r>
    </w:p>
    <w:p w14:paraId="0B5FB7E1" w14:textId="3D91F53C" w:rsidR="00657EC7" w:rsidRPr="00781A40" w:rsidRDefault="00081876" w:rsidP="00657EC7">
      <w:pPr>
        <w:ind w:left="426"/>
        <w:rPr>
          <w:color w:val="0070C0"/>
        </w:rPr>
      </w:pPr>
      <w:r>
        <w:rPr>
          <w:color w:val="0070C0"/>
        </w:rPr>
        <w:t xml:space="preserve">A full clinical algorithm is presented in Attachment A. </w:t>
      </w:r>
    </w:p>
    <w:p w14:paraId="6FDB6DE2"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0136864" w14:textId="4D0C72C3" w:rsidR="001B29A1" w:rsidRPr="00531468" w:rsidRDefault="00531468" w:rsidP="001B29A1">
      <w:pPr>
        <w:spacing w:before="0" w:after="0"/>
        <w:ind w:left="426"/>
        <w:rPr>
          <w:color w:val="0070C0"/>
          <w:szCs w:val="20"/>
        </w:rPr>
      </w:pPr>
      <w:r>
        <w:rPr>
          <w:szCs w:val="20"/>
        </w:rPr>
        <w:lastRenderedPageBreak/>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roofErr w:type="spellStart"/>
      <w:r w:rsidRPr="00531468">
        <w:rPr>
          <w:color w:val="0070C0"/>
          <w:szCs w:val="20"/>
        </w:rPr>
        <w:t>MRgFUS</w:t>
      </w:r>
      <w:proofErr w:type="spellEnd"/>
      <w:r w:rsidRPr="00531468">
        <w:rPr>
          <w:color w:val="0070C0"/>
          <w:szCs w:val="20"/>
        </w:rPr>
        <w:t xml:space="preserve"> will be used in addition to BSC </w:t>
      </w:r>
    </w:p>
    <w:p w14:paraId="1398B6BF" w14:textId="4BD67C1A" w:rsidR="001B29A1" w:rsidRDefault="00531468" w:rsidP="001B29A1">
      <w:pPr>
        <w:spacing w:before="0" w:after="0"/>
        <w:ind w:left="426"/>
        <w:rPr>
          <w:color w:val="0070C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1B29A1">
        <w:rPr>
          <w:szCs w:val="20"/>
        </w:rPr>
        <w:t xml:space="preserve"> </w:t>
      </w:r>
      <w:r w:rsidR="00282BE8">
        <w:rPr>
          <w:szCs w:val="20"/>
        </w:rPr>
        <w:t>Instead of (i.e. it is a replacement or alternative)</w:t>
      </w:r>
      <w:r>
        <w:rPr>
          <w:szCs w:val="20"/>
        </w:rPr>
        <w:t xml:space="preserve"> </w:t>
      </w:r>
      <w:proofErr w:type="spellStart"/>
      <w:r>
        <w:rPr>
          <w:color w:val="0070C0"/>
          <w:szCs w:val="20"/>
        </w:rPr>
        <w:t>MRgFUS</w:t>
      </w:r>
      <w:proofErr w:type="spellEnd"/>
      <w:r>
        <w:rPr>
          <w:color w:val="0070C0"/>
          <w:szCs w:val="20"/>
        </w:rPr>
        <w:t xml:space="preserve"> will be used in place of DBS</w:t>
      </w:r>
    </w:p>
    <w:p w14:paraId="7E63D53F" w14:textId="77777777" w:rsidR="00531468" w:rsidRPr="00531468" w:rsidRDefault="00531468" w:rsidP="001B29A1">
      <w:pPr>
        <w:spacing w:before="0" w:after="0"/>
        <w:ind w:left="426"/>
        <w:rPr>
          <w:color w:val="0070C0"/>
          <w:szCs w:val="20"/>
        </w:rPr>
      </w:pPr>
    </w:p>
    <w:p w14:paraId="64A77EDF" w14:textId="705121A2" w:rsidR="00E70D86" w:rsidRDefault="00E70D86" w:rsidP="00580219">
      <w:pPr>
        <w:pStyle w:val="Heading2"/>
        <w:numPr>
          <w:ilvl w:val="0"/>
          <w:numId w:val="9"/>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4DE047B0" w14:textId="491687D7" w:rsidR="00D24FCA" w:rsidRPr="007659DA" w:rsidRDefault="00C14D98" w:rsidP="007659DA">
      <w:pPr>
        <w:ind w:left="426"/>
        <w:rPr>
          <w:color w:val="0070C0"/>
        </w:rPr>
      </w:pPr>
      <w:r>
        <w:rPr>
          <w:color w:val="0070C0"/>
        </w:rPr>
        <w:t xml:space="preserve">Every patient receiving DBS for ET is a potential candidate for </w:t>
      </w:r>
      <w:proofErr w:type="spellStart"/>
      <w:r>
        <w:rPr>
          <w:color w:val="0070C0"/>
        </w:rPr>
        <w:t>MRgFUS</w:t>
      </w:r>
      <w:proofErr w:type="spellEnd"/>
      <w:r>
        <w:rPr>
          <w:color w:val="0070C0"/>
        </w:rPr>
        <w:t xml:space="preserve">. </w:t>
      </w:r>
    </w:p>
    <w:p w14:paraId="0EF1ACF3"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6884ADD5" w14:textId="190770AA" w:rsidR="0054594B" w:rsidRPr="00864798" w:rsidRDefault="00026B5E" w:rsidP="00D10B47">
      <w:pPr>
        <w:pStyle w:val="ListParagraph"/>
        <w:ind w:left="360"/>
        <w:rPr>
          <w:color w:val="0070C0"/>
        </w:rPr>
      </w:pPr>
      <w:r w:rsidRPr="00864798">
        <w:rPr>
          <w:color w:val="0070C0"/>
        </w:rPr>
        <w:t xml:space="preserve">Compared with DBS, </w:t>
      </w:r>
      <w:proofErr w:type="spellStart"/>
      <w:r w:rsidRPr="00864798">
        <w:rPr>
          <w:color w:val="0070C0"/>
        </w:rPr>
        <w:t>MRgFUS</w:t>
      </w:r>
      <w:proofErr w:type="spellEnd"/>
      <w:r w:rsidRPr="00864798">
        <w:rPr>
          <w:color w:val="0070C0"/>
        </w:rPr>
        <w:t xml:space="preserve"> is expected to reduce the hospital length of stay, result in fewer follow up </w:t>
      </w:r>
      <w:r w:rsidR="00864798" w:rsidRPr="00864798">
        <w:rPr>
          <w:color w:val="0070C0"/>
        </w:rPr>
        <w:t>appointmen</w:t>
      </w:r>
      <w:r w:rsidR="00864798">
        <w:rPr>
          <w:color w:val="0070C0"/>
        </w:rPr>
        <w:t>t</w:t>
      </w:r>
      <w:r w:rsidR="00864798" w:rsidRPr="00864798">
        <w:rPr>
          <w:color w:val="0070C0"/>
        </w:rPr>
        <w:t>s</w:t>
      </w:r>
      <w:r w:rsidRPr="00864798">
        <w:rPr>
          <w:color w:val="0070C0"/>
        </w:rPr>
        <w:t xml:space="preserve"> </w:t>
      </w:r>
      <w:r w:rsidR="00864798">
        <w:rPr>
          <w:color w:val="0070C0"/>
        </w:rPr>
        <w:t xml:space="preserve">(related to the programming of DBS hardware required) </w:t>
      </w:r>
      <w:r w:rsidRPr="00864798">
        <w:rPr>
          <w:color w:val="0070C0"/>
        </w:rPr>
        <w:t xml:space="preserve">and reduce the number of </w:t>
      </w:r>
      <w:r w:rsidR="00864798">
        <w:rPr>
          <w:color w:val="0070C0"/>
        </w:rPr>
        <w:t>re</w:t>
      </w:r>
      <w:r w:rsidRPr="00864798">
        <w:rPr>
          <w:color w:val="0070C0"/>
        </w:rPr>
        <w:t>interventions due to replacement of D</w:t>
      </w:r>
      <w:r w:rsidR="00D24FCA">
        <w:rPr>
          <w:color w:val="0070C0"/>
        </w:rPr>
        <w:t>B</w:t>
      </w:r>
      <w:r w:rsidRPr="00864798">
        <w:rPr>
          <w:color w:val="0070C0"/>
        </w:rPr>
        <w:t>S electrodes, batteries and other hardware</w:t>
      </w:r>
      <w:r w:rsidR="00864798">
        <w:rPr>
          <w:color w:val="0070C0"/>
        </w:rPr>
        <w:t xml:space="preserve"> over time</w:t>
      </w:r>
      <w:r w:rsidRPr="00864798">
        <w:rPr>
          <w:color w:val="0070C0"/>
        </w:rPr>
        <w:t xml:space="preserve">. Given the lack of incision required to deliver the service, there would also be a reduction in health resources required to treat </w:t>
      </w:r>
      <w:r w:rsidR="00864798">
        <w:rPr>
          <w:color w:val="0070C0"/>
        </w:rPr>
        <w:t xml:space="preserve">serious </w:t>
      </w:r>
      <w:r w:rsidRPr="00864798">
        <w:rPr>
          <w:color w:val="0070C0"/>
        </w:rPr>
        <w:t>adverse events such as infections and wounds complications.</w:t>
      </w:r>
    </w:p>
    <w:p w14:paraId="3B573031" w14:textId="77777777" w:rsidR="00026B5E" w:rsidRPr="00161DB4" w:rsidRDefault="00026B5E" w:rsidP="00D10B47">
      <w:pPr>
        <w:pStyle w:val="ListParagraph"/>
        <w:ind w:left="360"/>
        <w:rPr>
          <w:color w:val="0070C0"/>
        </w:rPr>
      </w:pPr>
    </w:p>
    <w:p w14:paraId="450DB020" w14:textId="5BC117D5" w:rsidR="002053F2" w:rsidRPr="00161DB4" w:rsidRDefault="008B2497" w:rsidP="00026B5E">
      <w:pPr>
        <w:pStyle w:val="ListParagraph"/>
        <w:ind w:left="360"/>
        <w:rPr>
          <w:b/>
          <w:color w:val="0070C0"/>
          <w:szCs w:val="20"/>
        </w:rPr>
      </w:pPr>
      <w:r w:rsidRPr="008964D3">
        <w:rPr>
          <w:color w:val="0070C0"/>
        </w:rPr>
        <w:t xml:space="preserve">Compared with BSC, </w:t>
      </w:r>
      <w:r w:rsidR="00026B5E" w:rsidRPr="008964D3">
        <w:rPr>
          <w:color w:val="0070C0"/>
        </w:rPr>
        <w:t xml:space="preserve">patients treated with </w:t>
      </w:r>
      <w:proofErr w:type="spellStart"/>
      <w:r w:rsidR="00026B5E" w:rsidRPr="008964D3">
        <w:rPr>
          <w:color w:val="0070C0"/>
        </w:rPr>
        <w:t>MRgFUS</w:t>
      </w:r>
      <w:proofErr w:type="spellEnd"/>
      <w:r w:rsidR="00026B5E" w:rsidRPr="008964D3">
        <w:rPr>
          <w:color w:val="0070C0"/>
        </w:rPr>
        <w:t xml:space="preserve"> may require more frequent follow up in the initial post-procedure period</w:t>
      </w:r>
      <w:r w:rsidRPr="008964D3">
        <w:rPr>
          <w:color w:val="0070C0"/>
        </w:rPr>
        <w:t>; however,</w:t>
      </w:r>
      <w:r w:rsidR="00026B5E" w:rsidRPr="008964D3">
        <w:rPr>
          <w:color w:val="0070C0"/>
        </w:rPr>
        <w:t xml:space="preserve"> </w:t>
      </w:r>
      <w:r w:rsidRPr="008964D3">
        <w:rPr>
          <w:color w:val="0070C0"/>
        </w:rPr>
        <w:t>i</w:t>
      </w:r>
      <w:r w:rsidR="00026B5E" w:rsidRPr="008964D3">
        <w:rPr>
          <w:color w:val="0070C0"/>
        </w:rPr>
        <w:t xml:space="preserve">n the longer term, the frequency of routine consultations </w:t>
      </w:r>
      <w:r w:rsidR="00161DB4" w:rsidRPr="008964D3">
        <w:rPr>
          <w:color w:val="0070C0"/>
        </w:rPr>
        <w:t>is</w:t>
      </w:r>
      <w:r w:rsidR="00026B5E" w:rsidRPr="008964D3">
        <w:rPr>
          <w:color w:val="0070C0"/>
        </w:rPr>
        <w:t xml:space="preserve"> expected to be the same</w:t>
      </w:r>
      <w:r w:rsidR="00F7666A" w:rsidRPr="008964D3">
        <w:rPr>
          <w:color w:val="0070C0"/>
        </w:rPr>
        <w:t xml:space="preserve"> (if not lower in successfully treated </w:t>
      </w:r>
      <w:proofErr w:type="spellStart"/>
      <w:r w:rsidR="00F7666A" w:rsidRPr="008964D3">
        <w:rPr>
          <w:color w:val="0070C0"/>
        </w:rPr>
        <w:t>MRgFUS</w:t>
      </w:r>
      <w:proofErr w:type="spellEnd"/>
      <w:r w:rsidR="00F7666A" w:rsidRPr="008964D3">
        <w:rPr>
          <w:color w:val="0070C0"/>
        </w:rPr>
        <w:t xml:space="preserve"> patients)</w:t>
      </w:r>
      <w:r w:rsidRPr="008964D3">
        <w:rPr>
          <w:color w:val="0070C0"/>
        </w:rPr>
        <w:t>.</w:t>
      </w:r>
    </w:p>
    <w:p w14:paraId="392A9D1C" w14:textId="0E360287" w:rsidR="001B29A1" w:rsidRDefault="001B29A1" w:rsidP="00881F93">
      <w:pPr>
        <w:rPr>
          <w:b/>
          <w:i/>
          <w:szCs w:val="20"/>
          <w:u w:val="single"/>
        </w:rPr>
      </w:pPr>
    </w:p>
    <w:p w14:paraId="32D9FAB6"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6F73F327"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6A7B4CF2" w14:textId="1893D710" w:rsidR="00243FEE" w:rsidRPr="008964D3" w:rsidRDefault="008B2497" w:rsidP="00243FEE">
      <w:pPr>
        <w:ind w:left="360"/>
        <w:rPr>
          <w:color w:val="0070C0"/>
        </w:rPr>
      </w:pPr>
      <w:r w:rsidRPr="008964D3">
        <w:rPr>
          <w:color w:val="0070C0"/>
        </w:rPr>
        <w:t xml:space="preserve">The clinical evidence to support the clinical effectiveness of </w:t>
      </w:r>
      <w:proofErr w:type="spellStart"/>
      <w:r w:rsidRPr="008964D3">
        <w:rPr>
          <w:color w:val="0070C0"/>
        </w:rPr>
        <w:t>MRgFUS</w:t>
      </w:r>
      <w:proofErr w:type="spellEnd"/>
      <w:r w:rsidRPr="008964D3">
        <w:rPr>
          <w:color w:val="0070C0"/>
        </w:rPr>
        <w:t xml:space="preserve"> is described in </w:t>
      </w:r>
      <w:r w:rsidR="00F7666A" w:rsidRPr="008964D3">
        <w:rPr>
          <w:color w:val="0070C0"/>
        </w:rPr>
        <w:t xml:space="preserve">PART </w:t>
      </w:r>
      <w:r w:rsidRPr="008964D3">
        <w:rPr>
          <w:color w:val="0070C0"/>
        </w:rPr>
        <w:t xml:space="preserve">4. </w:t>
      </w:r>
      <w:r w:rsidR="00243FEE" w:rsidRPr="008964D3">
        <w:rPr>
          <w:color w:val="0070C0"/>
        </w:rPr>
        <w:t xml:space="preserve">For the treatment of medically refractory ET, it is expected that </w:t>
      </w:r>
      <w:proofErr w:type="spellStart"/>
      <w:r w:rsidR="00243FEE" w:rsidRPr="008964D3">
        <w:rPr>
          <w:color w:val="0070C0"/>
        </w:rPr>
        <w:t>MRgFUS</w:t>
      </w:r>
      <w:proofErr w:type="spellEnd"/>
      <w:r w:rsidR="00243FEE" w:rsidRPr="008964D3">
        <w:rPr>
          <w:color w:val="0070C0"/>
        </w:rPr>
        <w:t xml:space="preserve"> is:</w:t>
      </w:r>
    </w:p>
    <w:p w14:paraId="5813EBC5" w14:textId="08DD3F1A" w:rsidR="00243FEE" w:rsidRPr="008964D3" w:rsidRDefault="00243FEE" w:rsidP="00580219">
      <w:pPr>
        <w:pStyle w:val="ListParagraph"/>
        <w:numPr>
          <w:ilvl w:val="0"/>
          <w:numId w:val="17"/>
        </w:numPr>
        <w:ind w:left="924" w:hanging="357"/>
        <w:rPr>
          <w:color w:val="0070C0"/>
        </w:rPr>
      </w:pPr>
      <w:r w:rsidRPr="008964D3">
        <w:rPr>
          <w:color w:val="0070C0"/>
        </w:rPr>
        <w:t>Non-inferior with respect to clinical efficacy and non-inferior with respect to safety, compared with DBS.</w:t>
      </w:r>
    </w:p>
    <w:p w14:paraId="1557EE56" w14:textId="772491C6" w:rsidR="00243FEE" w:rsidRPr="00243FEE" w:rsidRDefault="00243FEE" w:rsidP="00580219">
      <w:pPr>
        <w:pStyle w:val="ListParagraph"/>
        <w:numPr>
          <w:ilvl w:val="0"/>
          <w:numId w:val="17"/>
        </w:numPr>
        <w:ind w:left="924" w:hanging="357"/>
        <w:rPr>
          <w:color w:val="0070C0"/>
        </w:rPr>
      </w:pPr>
      <w:r>
        <w:rPr>
          <w:color w:val="0070C0"/>
        </w:rPr>
        <w:t>S</w:t>
      </w:r>
      <w:r w:rsidRPr="00243FEE">
        <w:rPr>
          <w:color w:val="0070C0"/>
        </w:rPr>
        <w:t>uperior with respect to clinical efficacy and inferior with respect to safety, compared with BSC.</w:t>
      </w:r>
    </w:p>
    <w:p w14:paraId="613AB58A" w14:textId="515A24FD" w:rsidR="00C14D98" w:rsidRPr="007659DA" w:rsidRDefault="00C14D98" w:rsidP="007659DA">
      <w:pPr>
        <w:ind w:left="360"/>
        <w:rPr>
          <w:color w:val="0070C0"/>
        </w:rPr>
      </w:pPr>
      <w:r w:rsidRPr="007659DA">
        <w:rPr>
          <w:color w:val="0070C0"/>
        </w:rPr>
        <w:t>I</w:t>
      </w:r>
      <w:r w:rsidR="00C33401" w:rsidRPr="007659DA">
        <w:rPr>
          <w:color w:val="0070C0"/>
        </w:rPr>
        <w:t xml:space="preserve">t is expected that an MSAC application for </w:t>
      </w:r>
      <w:proofErr w:type="spellStart"/>
      <w:r w:rsidR="00C33401" w:rsidRPr="007659DA">
        <w:rPr>
          <w:color w:val="0070C0"/>
        </w:rPr>
        <w:t>MRgFUS</w:t>
      </w:r>
      <w:proofErr w:type="spellEnd"/>
      <w:r w:rsidR="00C33401" w:rsidRPr="007659DA">
        <w:rPr>
          <w:color w:val="0070C0"/>
        </w:rPr>
        <w:t xml:space="preserve"> would include a cost minimisation analysis against the primary comparator, DBS</w:t>
      </w:r>
      <w:r w:rsidRPr="007659DA">
        <w:rPr>
          <w:color w:val="0070C0"/>
        </w:rPr>
        <w:t>.</w:t>
      </w:r>
      <w:r w:rsidR="008B2497">
        <w:rPr>
          <w:color w:val="0070C0"/>
        </w:rPr>
        <w:t xml:space="preserve"> </w:t>
      </w:r>
    </w:p>
    <w:p w14:paraId="2F8F1805" w14:textId="2679D059" w:rsidR="00243FEE" w:rsidRPr="00D041D4" w:rsidRDefault="00C14D98" w:rsidP="00D041D4">
      <w:pPr>
        <w:ind w:left="360"/>
        <w:rPr>
          <w:color w:val="0070C0"/>
        </w:rPr>
      </w:pPr>
      <w:r w:rsidRPr="007659DA">
        <w:rPr>
          <w:color w:val="0070C0"/>
        </w:rPr>
        <w:t xml:space="preserve">Given DBS has already been established as cost-effective against BSC. It is anticipated that an economic evaluation of </w:t>
      </w:r>
      <w:proofErr w:type="spellStart"/>
      <w:r w:rsidRPr="007659DA">
        <w:rPr>
          <w:color w:val="0070C0"/>
        </w:rPr>
        <w:t>MRgFUS</w:t>
      </w:r>
      <w:proofErr w:type="spellEnd"/>
      <w:r w:rsidRPr="007659DA">
        <w:rPr>
          <w:color w:val="0070C0"/>
        </w:rPr>
        <w:t xml:space="preserve"> against BSC will not be required. That is, assuming </w:t>
      </w:r>
      <w:proofErr w:type="spellStart"/>
      <w:r w:rsidRPr="007659DA">
        <w:rPr>
          <w:color w:val="0070C0"/>
        </w:rPr>
        <w:t>MRgFUS</w:t>
      </w:r>
      <w:proofErr w:type="spellEnd"/>
      <w:r w:rsidRPr="007659DA">
        <w:rPr>
          <w:color w:val="0070C0"/>
        </w:rPr>
        <w:t xml:space="preserve"> is proven to be non-inferior to DBS and with lower costs. It automatically follows </w:t>
      </w:r>
      <w:proofErr w:type="spellStart"/>
      <w:r w:rsidRPr="007659DA">
        <w:rPr>
          <w:color w:val="0070C0"/>
        </w:rPr>
        <w:t>MRgFUS</w:t>
      </w:r>
      <w:proofErr w:type="spellEnd"/>
      <w:r w:rsidRPr="007659DA">
        <w:rPr>
          <w:color w:val="0070C0"/>
        </w:rPr>
        <w:t xml:space="preserve"> would provide value for money relative to best supportive care.</w:t>
      </w:r>
    </w:p>
    <w:p w14:paraId="24B105A4"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3632205F" w14:textId="6BEC7ABC" w:rsidR="001B29A1" w:rsidRPr="00243FEE" w:rsidRDefault="00243FEE" w:rsidP="001B29A1">
      <w:pPr>
        <w:spacing w:before="0" w:after="0"/>
        <w:ind w:left="426"/>
        <w:rPr>
          <w:color w:val="0070C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1B29A1" w:rsidRPr="001B29A1">
        <w:rPr>
          <w:szCs w:val="20"/>
        </w:rPr>
        <w:t xml:space="preserve"> Superiority</w:t>
      </w:r>
      <w:r w:rsidR="001B29A1" w:rsidRPr="001B29A1">
        <w:rPr>
          <w:szCs w:val="20"/>
        </w:rPr>
        <w:tab/>
      </w:r>
      <w:r w:rsidRPr="00243FEE">
        <w:rPr>
          <w:color w:val="0070C0"/>
          <w:szCs w:val="20"/>
        </w:rPr>
        <w:t>When compared with BSC</w:t>
      </w:r>
    </w:p>
    <w:p w14:paraId="3C10B467" w14:textId="6C91E4D7" w:rsidR="004E3CC7" w:rsidRDefault="00243FEE" w:rsidP="001B29A1">
      <w:pPr>
        <w:spacing w:before="0" w:after="0"/>
        <w:ind w:left="426"/>
        <w:rPr>
          <w:color w:val="0070C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05853">
        <w:rPr>
          <w:szCs w:val="20"/>
        </w:rPr>
      </w:r>
      <w:r w:rsidR="00505853">
        <w:rPr>
          <w:szCs w:val="20"/>
        </w:rPr>
        <w:fldChar w:fldCharType="separate"/>
      </w:r>
      <w:r>
        <w:rPr>
          <w:szCs w:val="20"/>
        </w:rPr>
        <w:fldChar w:fldCharType="end"/>
      </w:r>
      <w:r w:rsidR="001B29A1" w:rsidRPr="001B29A1">
        <w:rPr>
          <w:szCs w:val="20"/>
        </w:rPr>
        <w:t xml:space="preserve"> Non-inferiority</w:t>
      </w:r>
      <w:r w:rsidR="001B29A1" w:rsidRPr="001B29A1">
        <w:rPr>
          <w:szCs w:val="20"/>
        </w:rPr>
        <w:tab/>
      </w:r>
      <w:r w:rsidRPr="00243FEE">
        <w:rPr>
          <w:color w:val="0070C0"/>
          <w:szCs w:val="20"/>
        </w:rPr>
        <w:t>When compared with DBS</w:t>
      </w:r>
      <w:r w:rsidR="008979BB">
        <w:rPr>
          <w:color w:val="0070C0"/>
          <w:szCs w:val="20"/>
        </w:rPr>
        <w:t xml:space="preserve"> (albeit with a less invasive procedure and greater convenience for patients)</w:t>
      </w:r>
    </w:p>
    <w:p w14:paraId="05CFE6CA" w14:textId="77777777" w:rsidR="00243FEE" w:rsidRPr="00243FEE" w:rsidRDefault="00243FEE" w:rsidP="001B29A1">
      <w:pPr>
        <w:spacing w:before="0" w:after="0"/>
        <w:ind w:left="426"/>
        <w:rPr>
          <w:color w:val="0070C0"/>
          <w:szCs w:val="20"/>
        </w:rPr>
      </w:pPr>
    </w:p>
    <w:p w14:paraId="67E5AFBA"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71936A61" w14:textId="2EBE2DE6" w:rsidR="001B29A1" w:rsidRPr="00726099" w:rsidRDefault="001B29A1" w:rsidP="005213D6">
      <w:pPr>
        <w:keepNext/>
        <w:keepLines/>
        <w:pBdr>
          <w:top w:val="single" w:sz="4" w:space="1" w:color="auto"/>
          <w:left w:val="single" w:sz="4" w:space="4" w:color="auto"/>
          <w:bottom w:val="single" w:sz="4" w:space="1" w:color="auto"/>
          <w:right w:val="single" w:sz="4" w:space="4" w:color="auto"/>
        </w:pBdr>
        <w:rPr>
          <w:color w:val="0070C0"/>
        </w:rPr>
      </w:pPr>
      <w:r w:rsidRPr="00726099">
        <w:rPr>
          <w:b/>
          <w:color w:val="0070C0"/>
          <w:szCs w:val="20"/>
        </w:rPr>
        <w:lastRenderedPageBreak/>
        <w:t xml:space="preserve">Safety Outcomes: </w:t>
      </w:r>
    </w:p>
    <w:p w14:paraId="62D405E5" w14:textId="77777777" w:rsidR="00726099" w:rsidRPr="00726099" w:rsidRDefault="00726099" w:rsidP="005213D6">
      <w:pPr>
        <w:keepNext/>
        <w:keepLines/>
        <w:pBdr>
          <w:top w:val="single" w:sz="4" w:space="1" w:color="auto"/>
          <w:left w:val="single" w:sz="4" w:space="4" w:color="auto"/>
          <w:bottom w:val="single" w:sz="4" w:space="1" w:color="auto"/>
          <w:right w:val="single" w:sz="4" w:space="4" w:color="auto"/>
        </w:pBdr>
        <w:rPr>
          <w:color w:val="0070C0"/>
        </w:rPr>
      </w:pPr>
      <w:r w:rsidRPr="00726099">
        <w:rPr>
          <w:color w:val="0070C0"/>
        </w:rPr>
        <w:t>Serious adverse events (Neurologic and physical)</w:t>
      </w:r>
    </w:p>
    <w:p w14:paraId="2F836EDD" w14:textId="09D8EEB6" w:rsidR="00243FEE" w:rsidRPr="00726099" w:rsidRDefault="00243FEE" w:rsidP="005213D6">
      <w:pPr>
        <w:keepNext/>
        <w:keepLines/>
        <w:pBdr>
          <w:top w:val="single" w:sz="4" w:space="1" w:color="auto"/>
          <w:left w:val="single" w:sz="4" w:space="4" w:color="auto"/>
          <w:bottom w:val="single" w:sz="4" w:space="1" w:color="auto"/>
          <w:right w:val="single" w:sz="4" w:space="4" w:color="auto"/>
        </w:pBdr>
        <w:rPr>
          <w:color w:val="0070C0"/>
        </w:rPr>
      </w:pPr>
      <w:r w:rsidRPr="00726099">
        <w:rPr>
          <w:color w:val="0070C0"/>
        </w:rPr>
        <w:t>Procedure-related adverse events</w:t>
      </w:r>
    </w:p>
    <w:p w14:paraId="53E5CB7A" w14:textId="77777777" w:rsidR="00726099" w:rsidRPr="00726099" w:rsidRDefault="00726099" w:rsidP="005213D6">
      <w:pPr>
        <w:keepNext/>
        <w:keepLines/>
        <w:pBdr>
          <w:top w:val="single" w:sz="4" w:space="1" w:color="auto"/>
          <w:left w:val="single" w:sz="4" w:space="4" w:color="auto"/>
          <w:bottom w:val="single" w:sz="4" w:space="1" w:color="auto"/>
          <w:right w:val="single" w:sz="4" w:space="4" w:color="auto"/>
        </w:pBdr>
        <w:rPr>
          <w:color w:val="0070C0"/>
        </w:rPr>
      </w:pPr>
      <w:proofErr w:type="spellStart"/>
      <w:r w:rsidRPr="00726099">
        <w:rPr>
          <w:color w:val="0070C0"/>
        </w:rPr>
        <w:t>Intraprocedural</w:t>
      </w:r>
      <w:proofErr w:type="spellEnd"/>
      <w:r w:rsidRPr="00726099">
        <w:rPr>
          <w:color w:val="0070C0"/>
        </w:rPr>
        <w:t xml:space="preserve"> sensations or events</w:t>
      </w:r>
    </w:p>
    <w:p w14:paraId="55469850" w14:textId="2B4851E2" w:rsidR="00726099" w:rsidRDefault="00726099" w:rsidP="005213D6">
      <w:pPr>
        <w:keepNext/>
        <w:keepLines/>
        <w:pBdr>
          <w:top w:val="single" w:sz="4" w:space="1" w:color="auto"/>
          <w:left w:val="single" w:sz="4" w:space="4" w:color="auto"/>
          <w:bottom w:val="single" w:sz="4" w:space="1" w:color="auto"/>
          <w:right w:val="single" w:sz="4" w:space="4" w:color="auto"/>
        </w:pBdr>
        <w:rPr>
          <w:bCs/>
          <w:color w:val="0070C0"/>
          <w:szCs w:val="20"/>
        </w:rPr>
      </w:pPr>
      <w:r w:rsidRPr="00726099">
        <w:rPr>
          <w:bCs/>
          <w:color w:val="0070C0"/>
          <w:szCs w:val="20"/>
        </w:rPr>
        <w:t>AEs/complications</w:t>
      </w:r>
    </w:p>
    <w:p w14:paraId="107A1369" w14:textId="77777777" w:rsidR="00726099" w:rsidRPr="00726099" w:rsidRDefault="00726099" w:rsidP="005213D6">
      <w:pPr>
        <w:keepNext/>
        <w:keepLines/>
        <w:pBdr>
          <w:top w:val="single" w:sz="4" w:space="1" w:color="auto"/>
          <w:left w:val="single" w:sz="4" w:space="4" w:color="auto"/>
          <w:bottom w:val="single" w:sz="4" w:space="1" w:color="auto"/>
          <w:right w:val="single" w:sz="4" w:space="4" w:color="auto"/>
        </w:pBdr>
        <w:rPr>
          <w:bCs/>
          <w:color w:val="0070C0"/>
          <w:szCs w:val="20"/>
        </w:rPr>
      </w:pPr>
    </w:p>
    <w:p w14:paraId="1F4184BC" w14:textId="27933435" w:rsidR="00B25D20" w:rsidRPr="00726099" w:rsidRDefault="001B29A1" w:rsidP="005213D6">
      <w:pPr>
        <w:keepNext/>
        <w:keepLines/>
        <w:pBdr>
          <w:top w:val="single" w:sz="4" w:space="1" w:color="auto"/>
          <w:left w:val="single" w:sz="4" w:space="4" w:color="auto"/>
          <w:bottom w:val="single" w:sz="4" w:space="1" w:color="auto"/>
          <w:right w:val="single" w:sz="4" w:space="4" w:color="auto"/>
        </w:pBdr>
        <w:rPr>
          <w:b/>
          <w:color w:val="0070C0"/>
          <w:szCs w:val="20"/>
        </w:rPr>
      </w:pPr>
      <w:r w:rsidRPr="00726099">
        <w:rPr>
          <w:b/>
          <w:color w:val="0070C0"/>
          <w:szCs w:val="20"/>
        </w:rPr>
        <w:t>Clinical Effectiveness Outcomes</w:t>
      </w:r>
    </w:p>
    <w:p w14:paraId="76C5A552" w14:textId="7AD1F240" w:rsidR="00243FEE" w:rsidRPr="00726099" w:rsidRDefault="00243FEE" w:rsidP="005213D6">
      <w:pPr>
        <w:keepNext/>
        <w:keepLines/>
        <w:pBdr>
          <w:top w:val="single" w:sz="4" w:space="1" w:color="auto"/>
          <w:left w:val="single" w:sz="4" w:space="4" w:color="auto"/>
          <w:bottom w:val="single" w:sz="4" w:space="1" w:color="auto"/>
          <w:right w:val="single" w:sz="4" w:space="4" w:color="auto"/>
        </w:pBdr>
        <w:rPr>
          <w:bCs/>
          <w:color w:val="0070C0"/>
          <w:szCs w:val="20"/>
        </w:rPr>
      </w:pPr>
      <w:r w:rsidRPr="00726099">
        <w:rPr>
          <w:bCs/>
          <w:color w:val="0070C0"/>
          <w:szCs w:val="20"/>
        </w:rPr>
        <w:t xml:space="preserve">Tremor </w:t>
      </w:r>
      <w:r w:rsidR="00726099">
        <w:rPr>
          <w:bCs/>
          <w:color w:val="0070C0"/>
          <w:szCs w:val="20"/>
        </w:rPr>
        <w:t>severity</w:t>
      </w:r>
      <w:r w:rsidRPr="00726099">
        <w:rPr>
          <w:bCs/>
          <w:color w:val="0070C0"/>
          <w:szCs w:val="20"/>
        </w:rPr>
        <w:t xml:space="preserve"> (measured by </w:t>
      </w:r>
      <w:r w:rsidR="00BC4172">
        <w:rPr>
          <w:bCs/>
          <w:color w:val="0070C0"/>
          <w:szCs w:val="20"/>
        </w:rPr>
        <w:t>Clinical Rating Scale for Tremor [</w:t>
      </w:r>
      <w:r w:rsidRPr="00726099">
        <w:rPr>
          <w:bCs/>
          <w:color w:val="0070C0"/>
          <w:szCs w:val="20"/>
        </w:rPr>
        <w:t>CRST</w:t>
      </w:r>
      <w:r w:rsidR="00BC4172">
        <w:rPr>
          <w:bCs/>
          <w:color w:val="0070C0"/>
          <w:szCs w:val="20"/>
        </w:rPr>
        <w:t>]</w:t>
      </w:r>
      <w:r w:rsidRPr="00726099">
        <w:rPr>
          <w:bCs/>
          <w:color w:val="0070C0"/>
          <w:szCs w:val="20"/>
        </w:rPr>
        <w:t xml:space="preserve">) and sub-scores (hand, postural, action) </w:t>
      </w:r>
    </w:p>
    <w:p w14:paraId="5D5A1FF7" w14:textId="3C4BF4EC" w:rsidR="00243FEE" w:rsidRPr="00726099" w:rsidRDefault="00243FEE" w:rsidP="005213D6">
      <w:pPr>
        <w:keepNext/>
        <w:keepLines/>
        <w:pBdr>
          <w:top w:val="single" w:sz="4" w:space="1" w:color="auto"/>
          <w:left w:val="single" w:sz="4" w:space="4" w:color="auto"/>
          <w:bottom w:val="single" w:sz="4" w:space="1" w:color="auto"/>
          <w:right w:val="single" w:sz="4" w:space="4" w:color="auto"/>
        </w:pBdr>
        <w:rPr>
          <w:bCs/>
          <w:color w:val="0070C0"/>
          <w:szCs w:val="20"/>
        </w:rPr>
      </w:pPr>
      <w:r w:rsidRPr="00726099">
        <w:rPr>
          <w:bCs/>
          <w:color w:val="0070C0"/>
          <w:szCs w:val="20"/>
        </w:rPr>
        <w:t>Disability (measured by CRST Part C)</w:t>
      </w:r>
    </w:p>
    <w:p w14:paraId="6D3938AE" w14:textId="35A62D65" w:rsidR="00243FEE" w:rsidRPr="00726099" w:rsidRDefault="00243FEE" w:rsidP="005213D6">
      <w:pPr>
        <w:keepNext/>
        <w:keepLines/>
        <w:pBdr>
          <w:top w:val="single" w:sz="4" w:space="1" w:color="auto"/>
          <w:left w:val="single" w:sz="4" w:space="4" w:color="auto"/>
          <w:bottom w:val="single" w:sz="4" w:space="1" w:color="auto"/>
          <w:right w:val="single" w:sz="4" w:space="4" w:color="auto"/>
        </w:pBdr>
        <w:rPr>
          <w:bCs/>
          <w:color w:val="0070C0"/>
          <w:szCs w:val="20"/>
        </w:rPr>
      </w:pPr>
      <w:r w:rsidRPr="00726099">
        <w:rPr>
          <w:bCs/>
          <w:color w:val="0070C0"/>
          <w:szCs w:val="20"/>
        </w:rPr>
        <w:t xml:space="preserve">Quality of life/Activities of daily living (measured using </w:t>
      </w:r>
      <w:r w:rsidR="00BC4172" w:rsidRPr="00BC4172">
        <w:rPr>
          <w:bCs/>
          <w:color w:val="0070C0"/>
          <w:szCs w:val="20"/>
        </w:rPr>
        <w:t>Quality of Life in Essential Tremor Questionnaire</w:t>
      </w:r>
      <w:r w:rsidR="00BC4172">
        <w:rPr>
          <w:bCs/>
          <w:color w:val="0070C0"/>
          <w:szCs w:val="20"/>
        </w:rPr>
        <w:t xml:space="preserve"> [</w:t>
      </w:r>
      <w:r w:rsidRPr="00726099">
        <w:rPr>
          <w:bCs/>
          <w:color w:val="0070C0"/>
          <w:szCs w:val="20"/>
        </w:rPr>
        <w:t>QUEST</w:t>
      </w:r>
      <w:r w:rsidR="00BC4172">
        <w:rPr>
          <w:bCs/>
          <w:color w:val="0070C0"/>
          <w:szCs w:val="20"/>
        </w:rPr>
        <w:t>]</w:t>
      </w:r>
      <w:r w:rsidRPr="00726099">
        <w:rPr>
          <w:bCs/>
          <w:color w:val="0070C0"/>
          <w:szCs w:val="20"/>
        </w:rPr>
        <w:t>)</w:t>
      </w:r>
    </w:p>
    <w:p w14:paraId="2F8DD280" w14:textId="6A6BA9C2" w:rsidR="001B29A1" w:rsidRPr="00726099" w:rsidRDefault="00726099" w:rsidP="005213D6">
      <w:pPr>
        <w:keepNext/>
        <w:keepLines/>
        <w:pBdr>
          <w:top w:val="single" w:sz="4" w:space="1" w:color="auto"/>
          <w:left w:val="single" w:sz="4" w:space="4" w:color="auto"/>
          <w:bottom w:val="single" w:sz="4" w:space="1" w:color="auto"/>
          <w:right w:val="single" w:sz="4" w:space="4" w:color="auto"/>
        </w:pBdr>
        <w:rPr>
          <w:bCs/>
          <w:color w:val="0070C0"/>
          <w:szCs w:val="20"/>
        </w:rPr>
      </w:pPr>
      <w:r w:rsidRPr="00726099">
        <w:rPr>
          <w:bCs/>
          <w:color w:val="0070C0"/>
          <w:szCs w:val="20"/>
        </w:rPr>
        <w:t>Recurrence</w:t>
      </w:r>
      <w:r>
        <w:rPr>
          <w:bCs/>
          <w:color w:val="0070C0"/>
          <w:szCs w:val="20"/>
        </w:rPr>
        <w:t xml:space="preserve"> of tremor</w:t>
      </w:r>
    </w:p>
    <w:p w14:paraId="0B82D8F0" w14:textId="77777777" w:rsidR="008964D3" w:rsidRPr="008964D3" w:rsidRDefault="008964D3" w:rsidP="008964D3"/>
    <w:p w14:paraId="6ED146CC" w14:textId="1D3DB5D0" w:rsidR="00C776B1" w:rsidRPr="00C776B1" w:rsidRDefault="005C3AE7" w:rsidP="00243FEE">
      <w:pPr>
        <w:pStyle w:val="Heading1"/>
        <w:ind w:left="0" w:firstLine="0"/>
      </w:pPr>
      <w:r>
        <w:t>PART 7</w:t>
      </w:r>
      <w:r w:rsidR="00F93784">
        <w:t xml:space="preserve"> – </w:t>
      </w:r>
      <w:r w:rsidR="006C74B1" w:rsidRPr="00C776B1">
        <w:t xml:space="preserve">INFORMATION ABOUT </w:t>
      </w:r>
      <w:r w:rsidR="0018630F" w:rsidRPr="00C776B1">
        <w:t xml:space="preserve">ESTIMATED </w:t>
      </w:r>
      <w:r w:rsidR="00974D50" w:rsidRPr="00C776B1">
        <w:t>UTILISATION</w:t>
      </w:r>
    </w:p>
    <w:p w14:paraId="6D95F931"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E4494A2" w14:textId="02F084F8" w:rsidR="00266E41" w:rsidRPr="00B20E1A" w:rsidRDefault="00160485" w:rsidP="00160485">
      <w:pPr>
        <w:rPr>
          <w:color w:val="0070C0"/>
        </w:rPr>
      </w:pPr>
      <w:r w:rsidRPr="00B20E1A">
        <w:rPr>
          <w:color w:val="0070C0"/>
        </w:rPr>
        <w:t xml:space="preserve">ET is among the most </w:t>
      </w:r>
      <w:r w:rsidRPr="00782C7A">
        <w:rPr>
          <w:color w:val="0070C0"/>
        </w:rPr>
        <w:t>prevalent movement disorders</w:t>
      </w:r>
      <w:r w:rsidR="00C35209" w:rsidRPr="00782C7A">
        <w:rPr>
          <w:color w:val="0070C0"/>
        </w:rPr>
        <w:t xml:space="preserve"> (Louis 2010; </w:t>
      </w:r>
      <w:proofErr w:type="spellStart"/>
      <w:r w:rsidR="00C35209" w:rsidRPr="00782C7A">
        <w:rPr>
          <w:color w:val="0070C0"/>
        </w:rPr>
        <w:t>Zesiewicz</w:t>
      </w:r>
      <w:proofErr w:type="spellEnd"/>
      <w:r w:rsidR="00C35209" w:rsidRPr="00782C7A">
        <w:rPr>
          <w:color w:val="0070C0"/>
        </w:rPr>
        <w:t xml:space="preserve"> 2015)</w:t>
      </w:r>
      <w:r w:rsidRPr="00782C7A">
        <w:rPr>
          <w:color w:val="0070C0"/>
        </w:rPr>
        <w:t>,</w:t>
      </w:r>
      <w:r w:rsidR="00266E41" w:rsidRPr="00782C7A">
        <w:rPr>
          <w:color w:val="0070C0"/>
        </w:rPr>
        <w:t xml:space="preserve"> and </w:t>
      </w:r>
      <w:r w:rsidR="00266E41" w:rsidRPr="00B20E1A">
        <w:rPr>
          <w:color w:val="0070C0"/>
        </w:rPr>
        <w:t>increases markedly with age, and exponentially with advanced age</w:t>
      </w:r>
      <w:r w:rsidR="00C35209">
        <w:rPr>
          <w:color w:val="0070C0"/>
        </w:rPr>
        <w:t xml:space="preserve"> (Louis 2019)</w:t>
      </w:r>
      <w:r w:rsidR="00266E41" w:rsidRPr="00B20E1A">
        <w:rPr>
          <w:color w:val="0070C0"/>
        </w:rPr>
        <w:t>.</w:t>
      </w:r>
      <w:r w:rsidR="00266E41" w:rsidRPr="00B20E1A">
        <w:rPr>
          <w:color w:val="0070C0"/>
        </w:rPr>
        <w:fldChar w:fldCharType="begin"/>
      </w:r>
      <w:r w:rsidR="00266E41" w:rsidRPr="00B20E1A">
        <w:rPr>
          <w:color w:val="0070C0"/>
        </w:rPr>
        <w:instrText xml:space="preserve"> ADDIN EN.CITE &lt;EndNote&gt;&lt;Cite&gt;&lt;Author&gt;Louis&lt;/Author&gt;&lt;Year&gt;2019&lt;/Year&gt;&lt;RecNum&gt;39&lt;/RecNum&gt;&lt;DisplayText&gt;&lt;style face="superscript"&gt;43&lt;/style&gt;&lt;/DisplayText&gt;&lt;record&gt;&lt;rec-number&gt;39&lt;/rec-number&gt;&lt;foreign-keys&gt;&lt;key app="EN" db-id="tpewzeapews9seesxt3p9x28prvwtpfzs0w9" timestamp="1556115311"&gt;39&lt;/key&gt;&lt;/foreign-keys&gt;&lt;ref-type name="Journal Article"&gt;17&lt;/ref-type&gt;&lt;contributors&gt;&lt;authors&gt;&lt;author&gt;Louis, E. D.&lt;/author&gt;&lt;/authors&gt;&lt;/contributors&gt;&lt;auth-address&gt;Division of Movement Disorders, Department of Neurology, Yale School of Medicine, Yale University, New Haven, Connecticut, USA, elan.louis@yale.edu.&amp;#xD;Department of Chronic Disease Epidemiology, Yale School of Public Health, Yale University, New Haven, Connecticut, USA, elan.louis@yale.edu.&amp;#xD;Center for Neuroepidemiology and Clinical Neurological Research, Yale School of Medicine, Yale University, New Haven, Connecticut, USA, elan.louis@yale.edu.&lt;/auth-address&gt;&lt;titles&gt;&lt;title&gt;The Roles of Age and Aging in Essential Tremor: An Epidemiological Perspective&lt;/title&gt;&lt;secondary-title&gt;Neuroepidemiology&lt;/secondary-title&gt;&lt;alt-title&gt;Neuroepidemiology&lt;/alt-title&gt;&lt;/titles&gt;&lt;periodical&gt;&lt;full-title&gt;Neuroepidemiology&lt;/full-title&gt;&lt;abbr-1&gt;Neuroepidemiology&lt;/abbr-1&gt;&lt;/periodical&gt;&lt;alt-periodical&gt;&lt;full-title&gt;Neuroepidemiology&lt;/full-title&gt;&lt;abbr-1&gt;Neuroepidemiology&lt;/abbr-1&gt;&lt;/alt-periodical&gt;&lt;pages&gt;111-118&lt;/pages&gt;&lt;volume&gt;52&lt;/volume&gt;&lt;number&gt;1-2&lt;/number&gt;&lt;edition&gt;2019/01/10&lt;/edition&gt;&lt;keywords&gt;&lt;keyword&gt;Advanced age&lt;/keyword&gt;&lt;keyword&gt;Age&lt;/keyword&gt;&lt;keyword&gt;Age of onset&lt;/keyword&gt;&lt;keyword&gt;Aging&lt;/keyword&gt;&lt;keyword&gt;Epidemiology&lt;/keyword&gt;&lt;keyword&gt;Essential tremor&lt;/keyword&gt;&lt;/keywords&gt;&lt;dates&gt;&lt;year&gt;2019&lt;/year&gt;&lt;/dates&gt;&lt;isbn&gt;0251-5350&lt;/isbn&gt;&lt;accession-num&gt;30625472&lt;/accession-num&gt;&lt;urls&gt;&lt;/urls&gt;&lt;electronic-resource-num&gt;10.1159/000492831&lt;/electronic-resource-num&gt;&lt;remote-database-provider&gt;NLM&lt;/remote-database-provider&gt;&lt;language&gt;eng&lt;/language&gt;&lt;/record&gt;&lt;/Cite&gt;&lt;/EndNote&gt;</w:instrText>
      </w:r>
      <w:r w:rsidR="00266E41" w:rsidRPr="00B20E1A">
        <w:rPr>
          <w:color w:val="0070C0"/>
        </w:rPr>
        <w:fldChar w:fldCharType="end"/>
      </w:r>
      <w:r w:rsidR="00266E41" w:rsidRPr="00B20E1A">
        <w:rPr>
          <w:color w:val="0070C0"/>
        </w:rPr>
        <w:t xml:space="preserve"> A 2010 meta-analysis of population-based prevalence studies found worldwide prevalence to be 4.6% for ages </w:t>
      </w:r>
      <w:r w:rsidR="00266E41" w:rsidRPr="00B20E1A">
        <w:rPr>
          <w:rFonts w:cstheme="minorHAnsi"/>
          <w:color w:val="0070C0"/>
        </w:rPr>
        <w:t>≥</w:t>
      </w:r>
      <w:r w:rsidR="00266E41" w:rsidRPr="00B20E1A">
        <w:rPr>
          <w:color w:val="0070C0"/>
        </w:rPr>
        <w:t xml:space="preserve">65 years, increasing to be as high as 22% for ages </w:t>
      </w:r>
      <w:r w:rsidR="00266E41" w:rsidRPr="00B20E1A">
        <w:rPr>
          <w:rFonts w:cstheme="minorHAnsi"/>
          <w:color w:val="0070C0"/>
        </w:rPr>
        <w:t>≥</w:t>
      </w:r>
      <w:r w:rsidR="00266E41" w:rsidRPr="00B20E1A">
        <w:rPr>
          <w:color w:val="0070C0"/>
        </w:rPr>
        <w:t>95 years</w:t>
      </w:r>
      <w:proofErr w:type="gramStart"/>
      <w:r w:rsidR="00266E41" w:rsidRPr="00B20E1A">
        <w:rPr>
          <w:color w:val="0070C0"/>
        </w:rPr>
        <w:t>.</w:t>
      </w:r>
      <w:r w:rsidR="00C35209">
        <w:rPr>
          <w:color w:val="0070C0"/>
        </w:rPr>
        <w:t>(</w:t>
      </w:r>
      <w:proofErr w:type="gramEnd"/>
      <w:r w:rsidR="00C35209">
        <w:rPr>
          <w:color w:val="0070C0"/>
        </w:rPr>
        <w:t>Louis 2010).</w:t>
      </w:r>
    </w:p>
    <w:p w14:paraId="41EA5397" w14:textId="5EC9C6EA" w:rsidR="00270099" w:rsidRPr="00B20E1A" w:rsidRDefault="00160485" w:rsidP="00160485">
      <w:pPr>
        <w:rPr>
          <w:color w:val="0070C0"/>
        </w:rPr>
      </w:pPr>
      <w:r w:rsidRPr="00B20E1A">
        <w:rPr>
          <w:color w:val="0070C0"/>
        </w:rPr>
        <w:t>Despite this high prevalence, the precise number of cases of ET is difficult to determine, since the variable clinical presentation often leads to misdiagnosis</w:t>
      </w:r>
      <w:r w:rsidR="00C35209">
        <w:rPr>
          <w:color w:val="0070C0"/>
        </w:rPr>
        <w:t xml:space="preserve"> (Jain 2006; </w:t>
      </w:r>
      <w:proofErr w:type="spellStart"/>
      <w:r w:rsidR="00C35209">
        <w:rPr>
          <w:color w:val="0070C0"/>
        </w:rPr>
        <w:t>Espay</w:t>
      </w:r>
      <w:proofErr w:type="spellEnd"/>
      <w:r w:rsidR="00C35209">
        <w:rPr>
          <w:color w:val="0070C0"/>
        </w:rPr>
        <w:t xml:space="preserve"> 2017).</w:t>
      </w:r>
      <w:r w:rsidRPr="00B20E1A">
        <w:rPr>
          <w:color w:val="0070C0"/>
        </w:rPr>
        <w:t xml:space="preserve"> </w:t>
      </w:r>
      <w:r w:rsidR="002B5147" w:rsidRPr="00B20E1A">
        <w:rPr>
          <w:color w:val="0070C0"/>
        </w:rPr>
        <w:t xml:space="preserve">A summary of prevalence estimates identified in the literature are presented in </w:t>
      </w:r>
      <w:r w:rsidR="00B20E1A" w:rsidRPr="00B20E1A">
        <w:rPr>
          <w:color w:val="0070C0"/>
        </w:rPr>
        <w:fldChar w:fldCharType="begin"/>
      </w:r>
      <w:r w:rsidR="00B20E1A" w:rsidRPr="00B20E1A">
        <w:rPr>
          <w:color w:val="0070C0"/>
        </w:rPr>
        <w:instrText xml:space="preserve"> REF _Ref22220009 \h </w:instrText>
      </w:r>
      <w:r w:rsidR="00B20E1A" w:rsidRPr="00B20E1A">
        <w:rPr>
          <w:color w:val="0070C0"/>
        </w:rPr>
      </w:r>
      <w:r w:rsidR="00B20E1A" w:rsidRPr="00B20E1A">
        <w:rPr>
          <w:color w:val="0070C0"/>
        </w:rPr>
        <w:fldChar w:fldCharType="separate"/>
      </w:r>
      <w:r w:rsidR="005213D6" w:rsidRPr="00B20E1A">
        <w:rPr>
          <w:color w:val="0070C0"/>
        </w:rPr>
        <w:t xml:space="preserve">Table </w:t>
      </w:r>
      <w:r w:rsidR="005213D6">
        <w:rPr>
          <w:noProof/>
          <w:color w:val="0070C0"/>
        </w:rPr>
        <w:t>3</w:t>
      </w:r>
      <w:r w:rsidR="00B20E1A" w:rsidRPr="00B20E1A">
        <w:rPr>
          <w:color w:val="0070C0"/>
        </w:rPr>
        <w:fldChar w:fldCharType="end"/>
      </w:r>
      <w:r w:rsidR="002B5147" w:rsidRPr="00B20E1A">
        <w:rPr>
          <w:color w:val="0070C0"/>
        </w:rPr>
        <w:t>. To date, no estimates are available for Australia.</w:t>
      </w:r>
    </w:p>
    <w:p w14:paraId="0CE8CF19" w14:textId="306F90C0" w:rsidR="00B20E1A" w:rsidRPr="00B20E1A" w:rsidRDefault="00B20E1A" w:rsidP="00B20E1A">
      <w:pPr>
        <w:pStyle w:val="Caption"/>
        <w:rPr>
          <w:color w:val="0070C0"/>
        </w:rPr>
      </w:pPr>
      <w:bookmarkStart w:id="10" w:name="_Ref22220009"/>
      <w:r w:rsidRPr="00B20E1A">
        <w:rPr>
          <w:color w:val="0070C0"/>
        </w:rPr>
        <w:lastRenderedPageBreak/>
        <w:t xml:space="preserve">Table </w:t>
      </w:r>
      <w:r w:rsidRPr="00B20E1A">
        <w:rPr>
          <w:color w:val="0070C0"/>
        </w:rPr>
        <w:fldChar w:fldCharType="begin"/>
      </w:r>
      <w:r w:rsidRPr="00B20E1A">
        <w:rPr>
          <w:color w:val="0070C0"/>
        </w:rPr>
        <w:instrText xml:space="preserve"> SEQ Table \* ARABIC </w:instrText>
      </w:r>
      <w:r w:rsidRPr="00B20E1A">
        <w:rPr>
          <w:color w:val="0070C0"/>
        </w:rPr>
        <w:fldChar w:fldCharType="separate"/>
      </w:r>
      <w:r w:rsidR="005213D6">
        <w:rPr>
          <w:noProof/>
          <w:color w:val="0070C0"/>
        </w:rPr>
        <w:t>3</w:t>
      </w:r>
      <w:r w:rsidRPr="00B20E1A">
        <w:rPr>
          <w:color w:val="0070C0"/>
        </w:rPr>
        <w:fldChar w:fldCharType="end"/>
      </w:r>
      <w:bookmarkEnd w:id="10"/>
      <w:r w:rsidRPr="00B20E1A">
        <w:rPr>
          <w:color w:val="0070C0"/>
        </w:rPr>
        <w:tab/>
        <w:t>Prevalence estimates of ET</w:t>
      </w:r>
    </w:p>
    <w:tbl>
      <w:tblPr>
        <w:tblStyle w:val="TableGrid"/>
        <w:tblW w:w="5000" w:type="pct"/>
        <w:tblLook w:val="04A0" w:firstRow="1" w:lastRow="0" w:firstColumn="1" w:lastColumn="0" w:noHBand="0" w:noVBand="1"/>
        <w:tblCaption w:val="Table"/>
        <w:tblDescription w:val="List of publications"/>
      </w:tblPr>
      <w:tblGrid>
        <w:gridCol w:w="1278"/>
        <w:gridCol w:w="891"/>
        <w:gridCol w:w="1048"/>
        <w:gridCol w:w="2955"/>
        <w:gridCol w:w="1596"/>
        <w:gridCol w:w="1248"/>
      </w:tblGrid>
      <w:tr w:rsidR="00C35209" w:rsidRPr="00B20E1A" w14:paraId="66F00B8F" w14:textId="77777777" w:rsidTr="00D041D4">
        <w:trPr>
          <w:tblHeader/>
        </w:trPr>
        <w:tc>
          <w:tcPr>
            <w:tcW w:w="709" w:type="pct"/>
          </w:tcPr>
          <w:p w14:paraId="41F4479A" w14:textId="30764F73" w:rsidR="00C35209" w:rsidRPr="002D5D8F" w:rsidRDefault="00C35209" w:rsidP="00B20E1A">
            <w:pPr>
              <w:pStyle w:val="TableText"/>
              <w:rPr>
                <w:color w:val="0070C0"/>
              </w:rPr>
            </w:pPr>
            <w:r>
              <w:rPr>
                <w:color w:val="0070C0"/>
              </w:rPr>
              <w:t>Author</w:t>
            </w:r>
          </w:p>
        </w:tc>
        <w:tc>
          <w:tcPr>
            <w:tcW w:w="494" w:type="pct"/>
          </w:tcPr>
          <w:p w14:paraId="5CD8E6F2" w14:textId="1AE59549" w:rsidR="00C35209" w:rsidRPr="00B20E1A" w:rsidRDefault="00C35209" w:rsidP="00B20E1A">
            <w:pPr>
              <w:pStyle w:val="TableText"/>
              <w:rPr>
                <w:color w:val="0070C0"/>
              </w:rPr>
            </w:pPr>
            <w:r>
              <w:rPr>
                <w:color w:val="0070C0"/>
              </w:rPr>
              <w:t>Year</w:t>
            </w:r>
          </w:p>
        </w:tc>
        <w:tc>
          <w:tcPr>
            <w:tcW w:w="581" w:type="pct"/>
          </w:tcPr>
          <w:p w14:paraId="536BC213" w14:textId="287CF53D" w:rsidR="00C35209" w:rsidRPr="00B20E1A" w:rsidRDefault="00C35209" w:rsidP="00B20E1A">
            <w:pPr>
              <w:pStyle w:val="TableText"/>
              <w:rPr>
                <w:color w:val="0070C0"/>
              </w:rPr>
            </w:pPr>
            <w:r w:rsidRPr="00B20E1A">
              <w:rPr>
                <w:color w:val="0070C0"/>
              </w:rPr>
              <w:t>Country</w:t>
            </w:r>
          </w:p>
        </w:tc>
        <w:tc>
          <w:tcPr>
            <w:tcW w:w="1639" w:type="pct"/>
          </w:tcPr>
          <w:p w14:paraId="6C4C9604" w14:textId="38FDCF1D" w:rsidR="00C35209" w:rsidRPr="00B20E1A" w:rsidRDefault="00C35209" w:rsidP="00B20E1A">
            <w:pPr>
              <w:pStyle w:val="TableText"/>
              <w:rPr>
                <w:color w:val="0070C0"/>
              </w:rPr>
            </w:pPr>
            <w:r w:rsidRPr="00B20E1A">
              <w:rPr>
                <w:color w:val="0070C0"/>
              </w:rPr>
              <w:t>Study design</w:t>
            </w:r>
          </w:p>
        </w:tc>
        <w:tc>
          <w:tcPr>
            <w:tcW w:w="885" w:type="pct"/>
          </w:tcPr>
          <w:p w14:paraId="680138A7" w14:textId="1F5850AC" w:rsidR="00C35209" w:rsidRPr="00B20E1A" w:rsidRDefault="00C35209" w:rsidP="00B20E1A">
            <w:pPr>
              <w:pStyle w:val="TableText"/>
              <w:rPr>
                <w:color w:val="0070C0"/>
              </w:rPr>
            </w:pPr>
            <w:r>
              <w:rPr>
                <w:color w:val="0070C0"/>
              </w:rPr>
              <w:t>Ages</w:t>
            </w:r>
          </w:p>
        </w:tc>
        <w:tc>
          <w:tcPr>
            <w:tcW w:w="692" w:type="pct"/>
          </w:tcPr>
          <w:p w14:paraId="11E75223" w14:textId="16080979" w:rsidR="00C35209" w:rsidRPr="00B20E1A" w:rsidRDefault="00C35209" w:rsidP="00B20E1A">
            <w:pPr>
              <w:pStyle w:val="TableText"/>
              <w:rPr>
                <w:color w:val="0070C0"/>
              </w:rPr>
            </w:pPr>
            <w:r w:rsidRPr="00B20E1A">
              <w:rPr>
                <w:color w:val="0070C0"/>
              </w:rPr>
              <w:t>Prevalence estimate</w:t>
            </w:r>
          </w:p>
        </w:tc>
      </w:tr>
      <w:tr w:rsidR="00C35209" w:rsidRPr="00B20E1A" w14:paraId="48C97133" w14:textId="77777777" w:rsidTr="00C35209">
        <w:tc>
          <w:tcPr>
            <w:tcW w:w="709" w:type="pct"/>
          </w:tcPr>
          <w:p w14:paraId="245A0781" w14:textId="0CBFBE97" w:rsidR="00C35209" w:rsidRPr="002D5D8F" w:rsidRDefault="00C35209" w:rsidP="00B20E1A">
            <w:pPr>
              <w:pStyle w:val="TableText"/>
              <w:rPr>
                <w:color w:val="0070C0"/>
              </w:rPr>
            </w:pPr>
            <w:r>
              <w:rPr>
                <w:color w:val="0070C0"/>
              </w:rPr>
              <w:t>Eliasen</w:t>
            </w:r>
          </w:p>
        </w:tc>
        <w:tc>
          <w:tcPr>
            <w:tcW w:w="494" w:type="pct"/>
          </w:tcPr>
          <w:p w14:paraId="6B2CFCF8" w14:textId="30A580F8" w:rsidR="00C35209" w:rsidRDefault="00C35209" w:rsidP="00B20E1A">
            <w:pPr>
              <w:pStyle w:val="TableText"/>
              <w:rPr>
                <w:color w:val="0070C0"/>
              </w:rPr>
            </w:pPr>
            <w:r>
              <w:rPr>
                <w:color w:val="0070C0"/>
              </w:rPr>
              <w:t>2019</w:t>
            </w:r>
          </w:p>
        </w:tc>
        <w:tc>
          <w:tcPr>
            <w:tcW w:w="581" w:type="pct"/>
          </w:tcPr>
          <w:p w14:paraId="2CDEAA0B" w14:textId="0820BE30" w:rsidR="00C35209" w:rsidRPr="00B20E1A" w:rsidRDefault="00C35209" w:rsidP="00B20E1A">
            <w:pPr>
              <w:pStyle w:val="TableText"/>
              <w:rPr>
                <w:color w:val="0070C0"/>
              </w:rPr>
            </w:pPr>
            <w:r>
              <w:rPr>
                <w:color w:val="0070C0"/>
              </w:rPr>
              <w:t>Denmark</w:t>
            </w:r>
          </w:p>
        </w:tc>
        <w:tc>
          <w:tcPr>
            <w:tcW w:w="1639" w:type="pct"/>
          </w:tcPr>
          <w:p w14:paraId="099DCC0F" w14:textId="7BFAF565" w:rsidR="00C35209" w:rsidRPr="00B20E1A" w:rsidRDefault="00C35209" w:rsidP="00B20E1A">
            <w:pPr>
              <w:pStyle w:val="TableText"/>
              <w:rPr>
                <w:color w:val="0070C0"/>
              </w:rPr>
            </w:pPr>
            <w:r>
              <w:rPr>
                <w:color w:val="0070C0"/>
              </w:rPr>
              <w:t>P</w:t>
            </w:r>
            <w:r w:rsidRPr="00061E56">
              <w:rPr>
                <w:color w:val="0070C0"/>
              </w:rPr>
              <w:t>opulation-based screening</w:t>
            </w:r>
            <w:r>
              <w:rPr>
                <w:color w:val="0070C0"/>
              </w:rPr>
              <w:t xml:space="preserve"> followed by clinical examination in randomly selected subgroup</w:t>
            </w:r>
          </w:p>
        </w:tc>
        <w:tc>
          <w:tcPr>
            <w:tcW w:w="885" w:type="pct"/>
          </w:tcPr>
          <w:p w14:paraId="05AA01BE" w14:textId="1D1C8A73" w:rsidR="00C35209" w:rsidRPr="00B20E1A" w:rsidRDefault="00C35209" w:rsidP="00B20E1A">
            <w:pPr>
              <w:pStyle w:val="TableText"/>
              <w:rPr>
                <w:color w:val="0070C0"/>
              </w:rPr>
            </w:pPr>
            <w:r w:rsidRPr="00B20E1A">
              <w:rPr>
                <w:color w:val="0070C0"/>
              </w:rPr>
              <w:t>≥40 years</w:t>
            </w:r>
          </w:p>
        </w:tc>
        <w:tc>
          <w:tcPr>
            <w:tcW w:w="692" w:type="pct"/>
          </w:tcPr>
          <w:p w14:paraId="66118287" w14:textId="082CD9E9" w:rsidR="00C35209" w:rsidRPr="00B20E1A" w:rsidRDefault="00C35209" w:rsidP="00B20E1A">
            <w:pPr>
              <w:pStyle w:val="TableText"/>
              <w:rPr>
                <w:color w:val="0070C0"/>
              </w:rPr>
            </w:pPr>
            <w:r>
              <w:rPr>
                <w:color w:val="0070C0"/>
              </w:rPr>
              <w:t>3.1%</w:t>
            </w:r>
          </w:p>
        </w:tc>
      </w:tr>
      <w:tr w:rsidR="00C35209" w:rsidRPr="00B20E1A" w14:paraId="53F57341" w14:textId="77777777" w:rsidTr="00C35209">
        <w:tc>
          <w:tcPr>
            <w:tcW w:w="709" w:type="pct"/>
          </w:tcPr>
          <w:p w14:paraId="21F856E6" w14:textId="11AEB2A4" w:rsidR="00C35209" w:rsidRPr="002D5D8F" w:rsidRDefault="00C35209" w:rsidP="00B20E1A">
            <w:pPr>
              <w:pStyle w:val="TableText"/>
              <w:rPr>
                <w:color w:val="0070C0"/>
              </w:rPr>
            </w:pPr>
            <w:r w:rsidRPr="002D5D8F">
              <w:rPr>
                <w:color w:val="0070C0"/>
              </w:rPr>
              <w:t>Louis</w:t>
            </w:r>
          </w:p>
        </w:tc>
        <w:tc>
          <w:tcPr>
            <w:tcW w:w="494" w:type="pct"/>
          </w:tcPr>
          <w:p w14:paraId="4C677053" w14:textId="4E0E59D9" w:rsidR="00C35209" w:rsidRPr="00B20E1A" w:rsidRDefault="00C35209" w:rsidP="00B20E1A">
            <w:pPr>
              <w:pStyle w:val="TableText"/>
              <w:rPr>
                <w:color w:val="0070C0"/>
              </w:rPr>
            </w:pPr>
            <w:r>
              <w:rPr>
                <w:color w:val="0070C0"/>
              </w:rPr>
              <w:t>2014</w:t>
            </w:r>
          </w:p>
        </w:tc>
        <w:tc>
          <w:tcPr>
            <w:tcW w:w="581" w:type="pct"/>
          </w:tcPr>
          <w:p w14:paraId="4F2A8940" w14:textId="37F1A583" w:rsidR="00C35209" w:rsidRPr="00B20E1A" w:rsidRDefault="00C35209" w:rsidP="00B20E1A">
            <w:pPr>
              <w:pStyle w:val="TableText"/>
              <w:rPr>
                <w:color w:val="0070C0"/>
              </w:rPr>
            </w:pPr>
            <w:r w:rsidRPr="00B20E1A">
              <w:rPr>
                <w:color w:val="0070C0"/>
              </w:rPr>
              <w:t>USA</w:t>
            </w:r>
          </w:p>
        </w:tc>
        <w:tc>
          <w:tcPr>
            <w:tcW w:w="1639" w:type="pct"/>
          </w:tcPr>
          <w:p w14:paraId="6FF18242" w14:textId="0C0F9185" w:rsidR="00C35209" w:rsidRPr="00B20E1A" w:rsidRDefault="00C35209" w:rsidP="00B20E1A">
            <w:pPr>
              <w:pStyle w:val="TableText"/>
              <w:rPr>
                <w:color w:val="0070C0"/>
              </w:rPr>
            </w:pPr>
            <w:r w:rsidRPr="00B20E1A">
              <w:rPr>
                <w:color w:val="0070C0"/>
              </w:rPr>
              <w:t>Analysis of 3 population-based prevalence studies</w:t>
            </w:r>
          </w:p>
        </w:tc>
        <w:tc>
          <w:tcPr>
            <w:tcW w:w="885" w:type="pct"/>
          </w:tcPr>
          <w:p w14:paraId="2DE031F8" w14:textId="364D1E29" w:rsidR="00C35209" w:rsidRPr="00B20E1A" w:rsidRDefault="00C35209" w:rsidP="00B20E1A">
            <w:pPr>
              <w:pStyle w:val="TableText"/>
              <w:rPr>
                <w:color w:val="0070C0"/>
              </w:rPr>
            </w:pPr>
            <w:r w:rsidRPr="00B20E1A">
              <w:rPr>
                <w:color w:val="0070C0"/>
              </w:rPr>
              <w:t>Total population</w:t>
            </w:r>
          </w:p>
        </w:tc>
        <w:tc>
          <w:tcPr>
            <w:tcW w:w="692" w:type="pct"/>
          </w:tcPr>
          <w:p w14:paraId="0CE9C925" w14:textId="4D54F914" w:rsidR="00C35209" w:rsidRPr="00B20E1A" w:rsidRDefault="00C35209" w:rsidP="00B20E1A">
            <w:pPr>
              <w:pStyle w:val="TableText"/>
              <w:rPr>
                <w:color w:val="0070C0"/>
              </w:rPr>
            </w:pPr>
            <w:r w:rsidRPr="00B20E1A">
              <w:rPr>
                <w:color w:val="0070C0"/>
              </w:rPr>
              <w:t>2.2%</w:t>
            </w:r>
          </w:p>
        </w:tc>
      </w:tr>
      <w:tr w:rsidR="00C35209" w:rsidRPr="00B20E1A" w14:paraId="4D3EC80A" w14:textId="77777777" w:rsidTr="00C35209">
        <w:tc>
          <w:tcPr>
            <w:tcW w:w="709" w:type="pct"/>
          </w:tcPr>
          <w:p w14:paraId="0A536C51" w14:textId="070D5F0B" w:rsidR="00C35209" w:rsidRPr="002D5D8F" w:rsidRDefault="00C35209" w:rsidP="00B20E1A">
            <w:pPr>
              <w:pStyle w:val="TableText"/>
              <w:rPr>
                <w:color w:val="0070C0"/>
              </w:rPr>
            </w:pPr>
            <w:r w:rsidRPr="002D5D8F">
              <w:rPr>
                <w:color w:val="0070C0"/>
              </w:rPr>
              <w:t>Bharucha</w:t>
            </w:r>
          </w:p>
        </w:tc>
        <w:tc>
          <w:tcPr>
            <w:tcW w:w="494" w:type="pct"/>
          </w:tcPr>
          <w:p w14:paraId="2075678F" w14:textId="511F724F" w:rsidR="00C35209" w:rsidRPr="00B20E1A" w:rsidRDefault="00C35209" w:rsidP="00B20E1A">
            <w:pPr>
              <w:pStyle w:val="TableText"/>
              <w:rPr>
                <w:color w:val="0070C0"/>
              </w:rPr>
            </w:pPr>
            <w:r>
              <w:rPr>
                <w:color w:val="0070C0"/>
              </w:rPr>
              <w:t>1988</w:t>
            </w:r>
          </w:p>
        </w:tc>
        <w:tc>
          <w:tcPr>
            <w:tcW w:w="581" w:type="pct"/>
          </w:tcPr>
          <w:p w14:paraId="3D6F21E3" w14:textId="374D02E9" w:rsidR="00C35209" w:rsidRPr="00B20E1A" w:rsidRDefault="00C35209" w:rsidP="00B20E1A">
            <w:pPr>
              <w:pStyle w:val="TableText"/>
              <w:rPr>
                <w:color w:val="0070C0"/>
              </w:rPr>
            </w:pPr>
            <w:r w:rsidRPr="00B20E1A">
              <w:rPr>
                <w:color w:val="0070C0"/>
              </w:rPr>
              <w:t>India</w:t>
            </w:r>
          </w:p>
        </w:tc>
        <w:tc>
          <w:tcPr>
            <w:tcW w:w="1639" w:type="pct"/>
          </w:tcPr>
          <w:p w14:paraId="040168A3" w14:textId="15C47D12" w:rsidR="00C35209" w:rsidRPr="00B20E1A" w:rsidRDefault="00C35209" w:rsidP="00B20E1A">
            <w:pPr>
              <w:pStyle w:val="TableText"/>
              <w:rPr>
                <w:color w:val="0070C0"/>
              </w:rPr>
            </w:pPr>
            <w:r>
              <w:rPr>
                <w:color w:val="0070C0"/>
              </w:rPr>
              <w:t>Door to door, c</w:t>
            </w:r>
            <w:r w:rsidRPr="00B20E1A">
              <w:rPr>
                <w:color w:val="0070C0"/>
              </w:rPr>
              <w:t>ommunity-based survey</w:t>
            </w:r>
          </w:p>
        </w:tc>
        <w:tc>
          <w:tcPr>
            <w:tcW w:w="885" w:type="pct"/>
          </w:tcPr>
          <w:p w14:paraId="6B73DFB9" w14:textId="0A8BE758" w:rsidR="00C35209" w:rsidRPr="00B20E1A" w:rsidRDefault="00C35209" w:rsidP="00B20E1A">
            <w:pPr>
              <w:pStyle w:val="TableText"/>
              <w:rPr>
                <w:color w:val="0070C0"/>
              </w:rPr>
            </w:pPr>
            <w:r w:rsidRPr="00B20E1A">
              <w:rPr>
                <w:color w:val="0070C0"/>
              </w:rPr>
              <w:t>Total population</w:t>
            </w:r>
          </w:p>
        </w:tc>
        <w:tc>
          <w:tcPr>
            <w:tcW w:w="692" w:type="pct"/>
          </w:tcPr>
          <w:p w14:paraId="575AA960" w14:textId="4892A053" w:rsidR="00C35209" w:rsidRPr="00B20E1A" w:rsidRDefault="00C35209" w:rsidP="00B20E1A">
            <w:pPr>
              <w:pStyle w:val="TableText"/>
              <w:rPr>
                <w:color w:val="0070C0"/>
              </w:rPr>
            </w:pPr>
            <w:r w:rsidRPr="00B20E1A">
              <w:rPr>
                <w:color w:val="0070C0"/>
              </w:rPr>
              <w:t>1.7%</w:t>
            </w:r>
          </w:p>
        </w:tc>
      </w:tr>
      <w:tr w:rsidR="00C35209" w:rsidRPr="00B20E1A" w14:paraId="04949131" w14:textId="77777777" w:rsidTr="00C35209">
        <w:tc>
          <w:tcPr>
            <w:tcW w:w="709" w:type="pct"/>
          </w:tcPr>
          <w:p w14:paraId="7C8CFFE5" w14:textId="3964242B" w:rsidR="00C35209" w:rsidRPr="002D5D8F" w:rsidRDefault="00C35209" w:rsidP="00B20E1A">
            <w:pPr>
              <w:pStyle w:val="TableText"/>
              <w:rPr>
                <w:color w:val="0070C0"/>
              </w:rPr>
            </w:pPr>
            <w:r w:rsidRPr="002D5D8F">
              <w:rPr>
                <w:color w:val="0070C0"/>
              </w:rPr>
              <w:t>Oh</w:t>
            </w:r>
          </w:p>
        </w:tc>
        <w:tc>
          <w:tcPr>
            <w:tcW w:w="494" w:type="pct"/>
          </w:tcPr>
          <w:p w14:paraId="0ACFD5B2" w14:textId="72BE6231" w:rsidR="00C35209" w:rsidRPr="00B20E1A" w:rsidRDefault="00C35209" w:rsidP="00B20E1A">
            <w:pPr>
              <w:pStyle w:val="TableText"/>
              <w:rPr>
                <w:color w:val="0070C0"/>
              </w:rPr>
            </w:pPr>
            <w:r>
              <w:rPr>
                <w:color w:val="0070C0"/>
              </w:rPr>
              <w:t>2014</w:t>
            </w:r>
          </w:p>
        </w:tc>
        <w:tc>
          <w:tcPr>
            <w:tcW w:w="581" w:type="pct"/>
          </w:tcPr>
          <w:p w14:paraId="4841F358" w14:textId="5312944B" w:rsidR="00C35209" w:rsidRPr="00B20E1A" w:rsidRDefault="00C35209" w:rsidP="00B20E1A">
            <w:pPr>
              <w:pStyle w:val="TableText"/>
              <w:rPr>
                <w:color w:val="0070C0"/>
              </w:rPr>
            </w:pPr>
            <w:r w:rsidRPr="00B20E1A">
              <w:rPr>
                <w:color w:val="0070C0"/>
              </w:rPr>
              <w:t>South Korea</w:t>
            </w:r>
          </w:p>
        </w:tc>
        <w:tc>
          <w:tcPr>
            <w:tcW w:w="1639" w:type="pct"/>
          </w:tcPr>
          <w:p w14:paraId="412CC123" w14:textId="3528183F" w:rsidR="00C35209" w:rsidRPr="00B20E1A" w:rsidRDefault="00C35209" w:rsidP="00B20E1A">
            <w:pPr>
              <w:pStyle w:val="TableText"/>
              <w:rPr>
                <w:color w:val="0070C0"/>
              </w:rPr>
            </w:pPr>
            <w:r w:rsidRPr="00B20E1A">
              <w:rPr>
                <w:color w:val="0070C0"/>
              </w:rPr>
              <w:t>Prospective cohort study</w:t>
            </w:r>
          </w:p>
        </w:tc>
        <w:tc>
          <w:tcPr>
            <w:tcW w:w="885" w:type="pct"/>
          </w:tcPr>
          <w:p w14:paraId="25215A40" w14:textId="1811D7C7" w:rsidR="00C35209" w:rsidRPr="00B20E1A" w:rsidRDefault="00C35209" w:rsidP="00B20E1A">
            <w:pPr>
              <w:pStyle w:val="TableText"/>
              <w:rPr>
                <w:color w:val="0070C0"/>
              </w:rPr>
            </w:pPr>
            <w:r w:rsidRPr="00B20E1A">
              <w:rPr>
                <w:color w:val="0070C0"/>
              </w:rPr>
              <w:t>elderly persons ≥65 years</w:t>
            </w:r>
          </w:p>
        </w:tc>
        <w:tc>
          <w:tcPr>
            <w:tcW w:w="692" w:type="pct"/>
          </w:tcPr>
          <w:p w14:paraId="0B901694" w14:textId="15B64D82" w:rsidR="00C35209" w:rsidRPr="00B20E1A" w:rsidRDefault="00C35209" w:rsidP="00B20E1A">
            <w:pPr>
              <w:pStyle w:val="TableText"/>
              <w:rPr>
                <w:color w:val="0070C0"/>
              </w:rPr>
            </w:pPr>
            <w:r w:rsidRPr="00B20E1A">
              <w:rPr>
                <w:color w:val="0070C0"/>
              </w:rPr>
              <w:t>3.6%</w:t>
            </w:r>
          </w:p>
        </w:tc>
      </w:tr>
      <w:tr w:rsidR="00C35209" w:rsidRPr="00B20E1A" w14:paraId="2039743F" w14:textId="77777777" w:rsidTr="00C35209">
        <w:trPr>
          <w:trHeight w:val="143"/>
        </w:trPr>
        <w:tc>
          <w:tcPr>
            <w:tcW w:w="709" w:type="pct"/>
            <w:vMerge w:val="restart"/>
          </w:tcPr>
          <w:p w14:paraId="5292B6DA" w14:textId="211FAF16" w:rsidR="00C35209" w:rsidRPr="002D5D8F" w:rsidRDefault="00C35209" w:rsidP="00B20E1A">
            <w:pPr>
              <w:pStyle w:val="TableText"/>
              <w:rPr>
                <w:color w:val="0070C0"/>
              </w:rPr>
            </w:pPr>
            <w:r w:rsidRPr="002D5D8F">
              <w:rPr>
                <w:color w:val="0070C0"/>
              </w:rPr>
              <w:t>Yao</w:t>
            </w:r>
          </w:p>
        </w:tc>
        <w:tc>
          <w:tcPr>
            <w:tcW w:w="494" w:type="pct"/>
            <w:vMerge w:val="restart"/>
          </w:tcPr>
          <w:p w14:paraId="27630705" w14:textId="2E63A348" w:rsidR="00C35209" w:rsidRPr="00B20E1A" w:rsidRDefault="00C35209" w:rsidP="00B20E1A">
            <w:pPr>
              <w:pStyle w:val="TableText"/>
              <w:rPr>
                <w:color w:val="0070C0"/>
              </w:rPr>
            </w:pPr>
            <w:r>
              <w:rPr>
                <w:color w:val="0070C0"/>
              </w:rPr>
              <w:t>2015</w:t>
            </w:r>
          </w:p>
        </w:tc>
        <w:tc>
          <w:tcPr>
            <w:tcW w:w="581" w:type="pct"/>
            <w:vMerge w:val="restart"/>
          </w:tcPr>
          <w:p w14:paraId="617DAFEC" w14:textId="6245B5F9" w:rsidR="00C35209" w:rsidRPr="00B20E1A" w:rsidRDefault="00C35209" w:rsidP="00B20E1A">
            <w:pPr>
              <w:pStyle w:val="TableText"/>
              <w:rPr>
                <w:color w:val="0070C0"/>
              </w:rPr>
            </w:pPr>
            <w:r w:rsidRPr="00B20E1A">
              <w:rPr>
                <w:color w:val="0070C0"/>
              </w:rPr>
              <w:t>China</w:t>
            </w:r>
          </w:p>
        </w:tc>
        <w:tc>
          <w:tcPr>
            <w:tcW w:w="1639" w:type="pct"/>
            <w:vMerge w:val="restart"/>
          </w:tcPr>
          <w:p w14:paraId="55A33D3B" w14:textId="084FDC6B" w:rsidR="00C35209" w:rsidRPr="00B20E1A" w:rsidRDefault="00C35209" w:rsidP="00B20E1A">
            <w:pPr>
              <w:pStyle w:val="TableText"/>
              <w:rPr>
                <w:color w:val="0070C0"/>
              </w:rPr>
            </w:pPr>
            <w:r w:rsidRPr="00B20E1A">
              <w:rPr>
                <w:color w:val="0070C0"/>
              </w:rPr>
              <w:t xml:space="preserve">Epidemiological </w:t>
            </w:r>
            <w:r>
              <w:rPr>
                <w:color w:val="0070C0"/>
              </w:rPr>
              <w:t>survey</w:t>
            </w:r>
          </w:p>
        </w:tc>
        <w:tc>
          <w:tcPr>
            <w:tcW w:w="885" w:type="pct"/>
          </w:tcPr>
          <w:p w14:paraId="2DD2CBB3" w14:textId="254B5B22" w:rsidR="00C35209" w:rsidRPr="00B20E1A" w:rsidRDefault="00C35209" w:rsidP="00B20E1A">
            <w:pPr>
              <w:pStyle w:val="TableText"/>
              <w:rPr>
                <w:color w:val="0070C0"/>
              </w:rPr>
            </w:pPr>
            <w:r w:rsidRPr="00B20E1A">
              <w:rPr>
                <w:color w:val="0070C0"/>
              </w:rPr>
              <w:t>≥45 years</w:t>
            </w:r>
          </w:p>
        </w:tc>
        <w:tc>
          <w:tcPr>
            <w:tcW w:w="692" w:type="pct"/>
          </w:tcPr>
          <w:p w14:paraId="0ADD5923" w14:textId="3EE5BD1C" w:rsidR="00C35209" w:rsidRPr="00B20E1A" w:rsidRDefault="00C35209" w:rsidP="00B20E1A">
            <w:pPr>
              <w:pStyle w:val="TableText"/>
              <w:rPr>
                <w:color w:val="0070C0"/>
              </w:rPr>
            </w:pPr>
            <w:r w:rsidRPr="00B20E1A">
              <w:rPr>
                <w:color w:val="0070C0"/>
              </w:rPr>
              <w:t>3.6%</w:t>
            </w:r>
          </w:p>
        </w:tc>
      </w:tr>
      <w:tr w:rsidR="00C35209" w:rsidRPr="00B20E1A" w14:paraId="468B348F" w14:textId="77777777" w:rsidTr="00C35209">
        <w:trPr>
          <w:trHeight w:val="142"/>
        </w:trPr>
        <w:tc>
          <w:tcPr>
            <w:tcW w:w="709" w:type="pct"/>
            <w:vMerge/>
          </w:tcPr>
          <w:p w14:paraId="3A7EAC83" w14:textId="77777777" w:rsidR="00C35209" w:rsidRPr="002D5D8F" w:rsidRDefault="00C35209" w:rsidP="00B20E1A">
            <w:pPr>
              <w:pStyle w:val="TableText"/>
              <w:rPr>
                <w:color w:val="0070C0"/>
              </w:rPr>
            </w:pPr>
          </w:p>
        </w:tc>
        <w:tc>
          <w:tcPr>
            <w:tcW w:w="494" w:type="pct"/>
            <w:vMerge/>
          </w:tcPr>
          <w:p w14:paraId="35AF7318" w14:textId="77777777" w:rsidR="00C35209" w:rsidRPr="00B20E1A" w:rsidRDefault="00C35209" w:rsidP="00B20E1A">
            <w:pPr>
              <w:pStyle w:val="TableText"/>
              <w:rPr>
                <w:color w:val="0070C0"/>
              </w:rPr>
            </w:pPr>
          </w:p>
        </w:tc>
        <w:tc>
          <w:tcPr>
            <w:tcW w:w="581" w:type="pct"/>
            <w:vMerge/>
          </w:tcPr>
          <w:p w14:paraId="28ACDE08" w14:textId="1D11246F" w:rsidR="00C35209" w:rsidRPr="00B20E1A" w:rsidRDefault="00C35209" w:rsidP="00B20E1A">
            <w:pPr>
              <w:pStyle w:val="TableText"/>
              <w:rPr>
                <w:color w:val="0070C0"/>
              </w:rPr>
            </w:pPr>
          </w:p>
        </w:tc>
        <w:tc>
          <w:tcPr>
            <w:tcW w:w="1639" w:type="pct"/>
            <w:vMerge/>
          </w:tcPr>
          <w:p w14:paraId="3222CF4F" w14:textId="77777777" w:rsidR="00C35209" w:rsidRPr="00B20E1A" w:rsidRDefault="00C35209" w:rsidP="00B20E1A">
            <w:pPr>
              <w:pStyle w:val="TableText"/>
              <w:rPr>
                <w:color w:val="0070C0"/>
              </w:rPr>
            </w:pPr>
          </w:p>
        </w:tc>
        <w:tc>
          <w:tcPr>
            <w:tcW w:w="885" w:type="pct"/>
          </w:tcPr>
          <w:p w14:paraId="7C77CC02" w14:textId="0CF32FFA" w:rsidR="00C35209" w:rsidRPr="00B20E1A" w:rsidRDefault="00C35209" w:rsidP="00B20E1A">
            <w:pPr>
              <w:pStyle w:val="TableText"/>
              <w:rPr>
                <w:color w:val="0070C0"/>
              </w:rPr>
            </w:pPr>
            <w:r w:rsidRPr="00B20E1A">
              <w:rPr>
                <w:rFonts w:cstheme="minorHAnsi"/>
                <w:color w:val="0070C0"/>
              </w:rPr>
              <w:t>≥</w:t>
            </w:r>
            <w:r w:rsidRPr="00B20E1A">
              <w:rPr>
                <w:color w:val="0070C0"/>
              </w:rPr>
              <w:t>75 years</w:t>
            </w:r>
          </w:p>
        </w:tc>
        <w:tc>
          <w:tcPr>
            <w:tcW w:w="692" w:type="pct"/>
          </w:tcPr>
          <w:p w14:paraId="1ADA5F6A" w14:textId="6A120206" w:rsidR="00C35209" w:rsidRPr="00B20E1A" w:rsidRDefault="00C35209" w:rsidP="00B20E1A">
            <w:pPr>
              <w:pStyle w:val="TableText"/>
              <w:rPr>
                <w:color w:val="0070C0"/>
              </w:rPr>
            </w:pPr>
            <w:r w:rsidRPr="00B20E1A">
              <w:rPr>
                <w:color w:val="0070C0"/>
              </w:rPr>
              <w:t>4.3%</w:t>
            </w:r>
          </w:p>
        </w:tc>
      </w:tr>
      <w:tr w:rsidR="00C35209" w:rsidRPr="00B20E1A" w14:paraId="291DD41A" w14:textId="77777777" w:rsidTr="00C35209">
        <w:tc>
          <w:tcPr>
            <w:tcW w:w="709" w:type="pct"/>
          </w:tcPr>
          <w:p w14:paraId="572D5ED7" w14:textId="236E9473" w:rsidR="00C35209" w:rsidRPr="002D5D8F" w:rsidRDefault="00C35209" w:rsidP="00B20E1A">
            <w:pPr>
              <w:pStyle w:val="TableText"/>
              <w:rPr>
                <w:color w:val="0070C0"/>
              </w:rPr>
            </w:pPr>
            <w:r w:rsidRPr="002D5D8F">
              <w:rPr>
                <w:color w:val="0070C0"/>
              </w:rPr>
              <w:t>Dogu</w:t>
            </w:r>
          </w:p>
        </w:tc>
        <w:tc>
          <w:tcPr>
            <w:tcW w:w="494" w:type="pct"/>
          </w:tcPr>
          <w:p w14:paraId="58B94246" w14:textId="6BAAAA01" w:rsidR="00C35209" w:rsidRPr="00B20E1A" w:rsidRDefault="00C35209" w:rsidP="00B20E1A">
            <w:pPr>
              <w:pStyle w:val="TableText"/>
              <w:rPr>
                <w:color w:val="0070C0"/>
              </w:rPr>
            </w:pPr>
            <w:r>
              <w:rPr>
                <w:color w:val="0070C0"/>
              </w:rPr>
              <w:t>2003</w:t>
            </w:r>
          </w:p>
        </w:tc>
        <w:tc>
          <w:tcPr>
            <w:tcW w:w="581" w:type="pct"/>
          </w:tcPr>
          <w:p w14:paraId="029C42AA" w14:textId="26DF1F1C" w:rsidR="00C35209" w:rsidRPr="00B20E1A" w:rsidRDefault="00C35209" w:rsidP="00B20E1A">
            <w:pPr>
              <w:pStyle w:val="TableText"/>
              <w:rPr>
                <w:color w:val="0070C0"/>
              </w:rPr>
            </w:pPr>
            <w:r w:rsidRPr="00B20E1A">
              <w:rPr>
                <w:color w:val="0070C0"/>
              </w:rPr>
              <w:t>Turkey</w:t>
            </w:r>
          </w:p>
        </w:tc>
        <w:tc>
          <w:tcPr>
            <w:tcW w:w="1639" w:type="pct"/>
          </w:tcPr>
          <w:p w14:paraId="7118E294" w14:textId="08ED7295" w:rsidR="00C35209" w:rsidRPr="00B20E1A" w:rsidRDefault="00C35209" w:rsidP="00B20E1A">
            <w:pPr>
              <w:pStyle w:val="TableText"/>
              <w:rPr>
                <w:color w:val="0070C0"/>
              </w:rPr>
            </w:pPr>
            <w:r>
              <w:rPr>
                <w:color w:val="0070C0"/>
              </w:rPr>
              <w:t>Screening surveys and subsequent examinations with neurologists</w:t>
            </w:r>
          </w:p>
        </w:tc>
        <w:tc>
          <w:tcPr>
            <w:tcW w:w="885" w:type="pct"/>
          </w:tcPr>
          <w:p w14:paraId="3FB61E18" w14:textId="23C34F18" w:rsidR="00C35209" w:rsidRPr="00B20E1A" w:rsidRDefault="00C35209" w:rsidP="00B20E1A">
            <w:pPr>
              <w:pStyle w:val="TableText"/>
              <w:rPr>
                <w:color w:val="0070C0"/>
              </w:rPr>
            </w:pPr>
            <w:r w:rsidRPr="00B20E1A">
              <w:rPr>
                <w:color w:val="0070C0"/>
              </w:rPr>
              <w:t>≥40 years</w:t>
            </w:r>
          </w:p>
        </w:tc>
        <w:tc>
          <w:tcPr>
            <w:tcW w:w="692" w:type="pct"/>
          </w:tcPr>
          <w:p w14:paraId="48AD4A40" w14:textId="3D9FE4FA" w:rsidR="00C35209" w:rsidRPr="00B20E1A" w:rsidRDefault="00C35209" w:rsidP="00B20E1A">
            <w:pPr>
              <w:pStyle w:val="TableText"/>
              <w:rPr>
                <w:color w:val="0070C0"/>
              </w:rPr>
            </w:pPr>
            <w:r w:rsidRPr="00B20E1A">
              <w:rPr>
                <w:color w:val="0070C0"/>
              </w:rPr>
              <w:t>4.0%</w:t>
            </w:r>
          </w:p>
        </w:tc>
      </w:tr>
      <w:tr w:rsidR="00C35209" w:rsidRPr="00B20E1A" w14:paraId="533CD701" w14:textId="77777777" w:rsidTr="00C35209">
        <w:tc>
          <w:tcPr>
            <w:tcW w:w="709" w:type="pct"/>
          </w:tcPr>
          <w:p w14:paraId="785EA336" w14:textId="347D8D3C" w:rsidR="00C35209" w:rsidRPr="002D5D8F" w:rsidRDefault="00C35209" w:rsidP="00B20E1A">
            <w:pPr>
              <w:pStyle w:val="TableText"/>
              <w:rPr>
                <w:color w:val="0070C0"/>
              </w:rPr>
            </w:pPr>
            <w:r w:rsidRPr="002D5D8F">
              <w:rPr>
                <w:color w:val="0070C0"/>
              </w:rPr>
              <w:t xml:space="preserve">Seijo Martinez </w:t>
            </w:r>
          </w:p>
        </w:tc>
        <w:tc>
          <w:tcPr>
            <w:tcW w:w="494" w:type="pct"/>
          </w:tcPr>
          <w:p w14:paraId="16237BD2" w14:textId="53833F83" w:rsidR="00C35209" w:rsidRPr="00B20E1A" w:rsidRDefault="00C35209" w:rsidP="00B20E1A">
            <w:pPr>
              <w:pStyle w:val="TableText"/>
              <w:rPr>
                <w:color w:val="0070C0"/>
              </w:rPr>
            </w:pPr>
            <w:r>
              <w:rPr>
                <w:color w:val="0070C0"/>
              </w:rPr>
              <w:t>2013</w:t>
            </w:r>
          </w:p>
        </w:tc>
        <w:tc>
          <w:tcPr>
            <w:tcW w:w="581" w:type="pct"/>
          </w:tcPr>
          <w:p w14:paraId="61A8508B" w14:textId="56304DBF" w:rsidR="00C35209" w:rsidRPr="00B20E1A" w:rsidRDefault="00C35209" w:rsidP="00B20E1A">
            <w:pPr>
              <w:pStyle w:val="TableText"/>
              <w:rPr>
                <w:color w:val="0070C0"/>
              </w:rPr>
            </w:pPr>
            <w:r w:rsidRPr="00B20E1A">
              <w:rPr>
                <w:color w:val="0070C0"/>
              </w:rPr>
              <w:t>Spain</w:t>
            </w:r>
          </w:p>
        </w:tc>
        <w:tc>
          <w:tcPr>
            <w:tcW w:w="1639" w:type="pct"/>
          </w:tcPr>
          <w:p w14:paraId="76F9DEA2" w14:textId="7F36A3B5" w:rsidR="00C35209" w:rsidRPr="00B20E1A" w:rsidRDefault="00C35209" w:rsidP="00B20E1A">
            <w:pPr>
              <w:pStyle w:val="TableText"/>
              <w:rPr>
                <w:color w:val="0070C0"/>
              </w:rPr>
            </w:pPr>
            <w:r>
              <w:rPr>
                <w:color w:val="0070C0"/>
              </w:rPr>
              <w:t>D</w:t>
            </w:r>
            <w:r w:rsidRPr="00B20E1A">
              <w:rPr>
                <w:color w:val="0070C0"/>
              </w:rPr>
              <w:t>oor-to-door evaluations and subsequent neurologi</w:t>
            </w:r>
            <w:r>
              <w:rPr>
                <w:color w:val="0070C0"/>
              </w:rPr>
              <w:t>cal examinations</w:t>
            </w:r>
          </w:p>
        </w:tc>
        <w:tc>
          <w:tcPr>
            <w:tcW w:w="885" w:type="pct"/>
          </w:tcPr>
          <w:p w14:paraId="1126BD24" w14:textId="1855EE26" w:rsidR="00C35209" w:rsidRPr="00B20E1A" w:rsidRDefault="00C35209" w:rsidP="00B20E1A">
            <w:pPr>
              <w:pStyle w:val="TableText"/>
              <w:rPr>
                <w:color w:val="0070C0"/>
              </w:rPr>
            </w:pPr>
            <w:r w:rsidRPr="00B20E1A">
              <w:rPr>
                <w:color w:val="0070C0"/>
              </w:rPr>
              <w:t>≥65 years</w:t>
            </w:r>
          </w:p>
        </w:tc>
        <w:tc>
          <w:tcPr>
            <w:tcW w:w="692" w:type="pct"/>
          </w:tcPr>
          <w:p w14:paraId="1632BCFC" w14:textId="3AC8DB4A" w:rsidR="00C35209" w:rsidRPr="00B20E1A" w:rsidRDefault="00C35209" w:rsidP="00B20E1A">
            <w:pPr>
              <w:pStyle w:val="TableText"/>
              <w:rPr>
                <w:color w:val="0070C0"/>
              </w:rPr>
            </w:pPr>
            <w:r w:rsidRPr="00B20E1A">
              <w:rPr>
                <w:color w:val="0070C0"/>
              </w:rPr>
              <w:t>8.4%</w:t>
            </w:r>
          </w:p>
        </w:tc>
      </w:tr>
    </w:tbl>
    <w:p w14:paraId="1E18D39F" w14:textId="77777777" w:rsidR="00A81B17" w:rsidRDefault="00A81B17" w:rsidP="00782C7A">
      <w:pPr>
        <w:rPr>
          <w:color w:val="0070C0"/>
        </w:rPr>
      </w:pPr>
    </w:p>
    <w:p w14:paraId="3A5C3DEB" w14:textId="2914A5E4" w:rsidR="00A81B17" w:rsidRDefault="00160485" w:rsidP="00782C7A">
      <w:pPr>
        <w:rPr>
          <w:color w:val="0070C0"/>
          <w:szCs w:val="20"/>
        </w:rPr>
      </w:pPr>
      <w:r w:rsidRPr="00B20E1A">
        <w:rPr>
          <w:color w:val="0070C0"/>
        </w:rPr>
        <w:t xml:space="preserve">The burden of the high prevalence of ET is worsened by the substantial proportion of ET patients who are refractory to medication. </w:t>
      </w:r>
      <w:r w:rsidR="00782C7A">
        <w:rPr>
          <w:color w:val="0070C0"/>
        </w:rPr>
        <w:t xml:space="preserve">For these patients, the only neurosurgical procedure currently reimbursed in Australia is DBS. DBS </w:t>
      </w:r>
      <w:r w:rsidR="00270099" w:rsidRPr="00B20E1A">
        <w:rPr>
          <w:color w:val="0070C0"/>
          <w:szCs w:val="20"/>
        </w:rPr>
        <w:t xml:space="preserve">is currently listed on the MBS for the treatment of </w:t>
      </w:r>
      <w:r w:rsidR="00A81B17">
        <w:rPr>
          <w:color w:val="0070C0"/>
          <w:szCs w:val="20"/>
        </w:rPr>
        <w:t>PD, ET or dystonia</w:t>
      </w:r>
      <w:r w:rsidR="00270099" w:rsidRPr="00B20E1A">
        <w:rPr>
          <w:color w:val="0070C0"/>
          <w:szCs w:val="20"/>
        </w:rPr>
        <w:t xml:space="preserve">, with primary treatment falling under MBS items 40850 (unilateral DBS) and 40851 (bilateral DBS). </w:t>
      </w:r>
    </w:p>
    <w:p w14:paraId="0945AEB9" w14:textId="124C77B9" w:rsidR="00270099" w:rsidRDefault="00270099" w:rsidP="00782C7A">
      <w:pPr>
        <w:rPr>
          <w:color w:val="0070C0"/>
          <w:szCs w:val="20"/>
        </w:rPr>
      </w:pPr>
      <w:r w:rsidRPr="00B20E1A">
        <w:rPr>
          <w:color w:val="0070C0"/>
          <w:szCs w:val="20"/>
        </w:rPr>
        <w:t xml:space="preserve">Historical (5-year) utilisation of DBS is presented in </w:t>
      </w:r>
      <w:r w:rsidR="00161DB4">
        <w:rPr>
          <w:color w:val="0070C0"/>
          <w:szCs w:val="20"/>
        </w:rPr>
        <w:fldChar w:fldCharType="begin"/>
      </w:r>
      <w:r w:rsidR="00161DB4">
        <w:rPr>
          <w:color w:val="0070C0"/>
          <w:szCs w:val="20"/>
        </w:rPr>
        <w:instrText xml:space="preserve"> REF _Ref18314840 \h </w:instrText>
      </w:r>
      <w:r w:rsidR="00161DB4">
        <w:rPr>
          <w:color w:val="0070C0"/>
          <w:szCs w:val="20"/>
        </w:rPr>
      </w:r>
      <w:r w:rsidR="00161DB4">
        <w:rPr>
          <w:color w:val="0070C0"/>
          <w:szCs w:val="20"/>
        </w:rPr>
        <w:fldChar w:fldCharType="separate"/>
      </w:r>
      <w:r w:rsidR="005213D6" w:rsidRPr="00B20E1A">
        <w:rPr>
          <w:color w:val="0070C0"/>
        </w:rPr>
        <w:t xml:space="preserve">Table </w:t>
      </w:r>
      <w:r w:rsidR="005213D6">
        <w:rPr>
          <w:noProof/>
          <w:color w:val="0070C0"/>
        </w:rPr>
        <w:t>4</w:t>
      </w:r>
      <w:r w:rsidR="00161DB4">
        <w:rPr>
          <w:color w:val="0070C0"/>
          <w:szCs w:val="20"/>
        </w:rPr>
        <w:fldChar w:fldCharType="end"/>
      </w:r>
      <w:r w:rsidRPr="00B20E1A">
        <w:rPr>
          <w:color w:val="0070C0"/>
          <w:szCs w:val="20"/>
        </w:rPr>
        <w:t xml:space="preserve">, showing an estimated 250 DBS procedures annually, mostly bilateral. </w:t>
      </w:r>
      <w:r w:rsidR="00782C7A">
        <w:rPr>
          <w:color w:val="0070C0"/>
          <w:szCs w:val="20"/>
        </w:rPr>
        <w:t xml:space="preserve">Expert opinion has indicated that approximately 25% of DBS procedures performed in Australia within a private hospital setting are used to treat severe disabling </w:t>
      </w:r>
      <w:r w:rsidR="00A81B17">
        <w:rPr>
          <w:color w:val="0070C0"/>
          <w:szCs w:val="20"/>
        </w:rPr>
        <w:t>ET</w:t>
      </w:r>
      <w:r w:rsidR="00782C7A">
        <w:rPr>
          <w:color w:val="0070C0"/>
          <w:szCs w:val="20"/>
        </w:rPr>
        <w:t xml:space="preserve"> (N=65)</w:t>
      </w:r>
      <w:r w:rsidR="00A81B17">
        <w:rPr>
          <w:color w:val="0070C0"/>
          <w:szCs w:val="20"/>
        </w:rPr>
        <w:t>, with the remainder performed for PD or dystonia</w:t>
      </w:r>
      <w:r w:rsidR="00917E53">
        <w:rPr>
          <w:color w:val="0070C0"/>
          <w:szCs w:val="20"/>
        </w:rPr>
        <w:t>.</w:t>
      </w:r>
    </w:p>
    <w:p w14:paraId="6D429327" w14:textId="00662CD5" w:rsidR="00917E53" w:rsidRDefault="00917E53" w:rsidP="00782C7A">
      <w:pPr>
        <w:rPr>
          <w:color w:val="0070C0"/>
          <w:szCs w:val="20"/>
        </w:rPr>
      </w:pPr>
      <w:r>
        <w:rPr>
          <w:color w:val="0070C0"/>
          <w:szCs w:val="20"/>
        </w:rPr>
        <w:t>It is acknowledged that there may</w:t>
      </w:r>
      <w:r w:rsidR="00A81B17">
        <w:rPr>
          <w:color w:val="0070C0"/>
          <w:szCs w:val="20"/>
        </w:rPr>
        <w:t xml:space="preserve"> also</w:t>
      </w:r>
      <w:r>
        <w:rPr>
          <w:color w:val="0070C0"/>
          <w:szCs w:val="20"/>
        </w:rPr>
        <w:t xml:space="preserve"> </w:t>
      </w:r>
      <w:r w:rsidR="00A81B17">
        <w:rPr>
          <w:color w:val="0070C0"/>
          <w:szCs w:val="20"/>
        </w:rPr>
        <w:t xml:space="preserve">be </w:t>
      </w:r>
      <w:r>
        <w:rPr>
          <w:color w:val="0070C0"/>
          <w:szCs w:val="20"/>
        </w:rPr>
        <w:t>a population with severe disabling</w:t>
      </w:r>
      <w:r w:rsidR="00A81B17">
        <w:rPr>
          <w:color w:val="0070C0"/>
          <w:szCs w:val="20"/>
        </w:rPr>
        <w:t>, medically refractive</w:t>
      </w:r>
      <w:r>
        <w:rPr>
          <w:color w:val="0070C0"/>
          <w:szCs w:val="20"/>
        </w:rPr>
        <w:t xml:space="preserve"> ET who do not wish to undergo DBS due to the invasive nature of the procedure. </w:t>
      </w:r>
      <w:r w:rsidR="00A81B17">
        <w:rPr>
          <w:color w:val="0070C0"/>
          <w:szCs w:val="20"/>
        </w:rPr>
        <w:t xml:space="preserve">As such, </w:t>
      </w:r>
      <w:r>
        <w:rPr>
          <w:color w:val="0070C0"/>
          <w:szCs w:val="20"/>
        </w:rPr>
        <w:t xml:space="preserve">MBS funding of </w:t>
      </w:r>
      <w:proofErr w:type="spellStart"/>
      <w:r>
        <w:rPr>
          <w:color w:val="0070C0"/>
          <w:szCs w:val="20"/>
        </w:rPr>
        <w:t>MRgFUS</w:t>
      </w:r>
      <w:proofErr w:type="spellEnd"/>
      <w:r>
        <w:rPr>
          <w:color w:val="0070C0"/>
          <w:szCs w:val="20"/>
        </w:rPr>
        <w:t xml:space="preserve"> may result in a number of patients electing to have </w:t>
      </w:r>
      <w:proofErr w:type="spellStart"/>
      <w:r>
        <w:rPr>
          <w:color w:val="0070C0"/>
          <w:szCs w:val="20"/>
        </w:rPr>
        <w:t>MRgFUS</w:t>
      </w:r>
      <w:proofErr w:type="spellEnd"/>
      <w:r>
        <w:rPr>
          <w:color w:val="0070C0"/>
          <w:szCs w:val="20"/>
        </w:rPr>
        <w:t xml:space="preserve"> who would otherwise not have chosen to undergo a neurosurgical procedure</w:t>
      </w:r>
      <w:r w:rsidR="00A81B17">
        <w:rPr>
          <w:color w:val="0070C0"/>
          <w:szCs w:val="20"/>
        </w:rPr>
        <w:t xml:space="preserve"> and are currently treated with BSC</w:t>
      </w:r>
      <w:r>
        <w:rPr>
          <w:color w:val="0070C0"/>
          <w:szCs w:val="20"/>
        </w:rPr>
        <w:t xml:space="preserve">. </w:t>
      </w:r>
      <w:r w:rsidR="00A81B17">
        <w:rPr>
          <w:color w:val="0070C0"/>
          <w:szCs w:val="20"/>
        </w:rPr>
        <w:t xml:space="preserve">The </w:t>
      </w:r>
      <w:r w:rsidR="00C14D98">
        <w:rPr>
          <w:color w:val="0070C0"/>
          <w:szCs w:val="20"/>
        </w:rPr>
        <w:t xml:space="preserve">potential </w:t>
      </w:r>
      <w:r w:rsidR="00A81B17">
        <w:rPr>
          <w:color w:val="0070C0"/>
          <w:szCs w:val="20"/>
        </w:rPr>
        <w:t xml:space="preserve">size of this </w:t>
      </w:r>
      <w:r w:rsidR="00C14D98">
        <w:rPr>
          <w:color w:val="0070C0"/>
          <w:szCs w:val="20"/>
        </w:rPr>
        <w:t xml:space="preserve">additional </w:t>
      </w:r>
      <w:r w:rsidR="00A81B17">
        <w:rPr>
          <w:color w:val="0070C0"/>
          <w:szCs w:val="20"/>
        </w:rPr>
        <w:t xml:space="preserve">population </w:t>
      </w:r>
      <w:r w:rsidR="00C14D98">
        <w:rPr>
          <w:color w:val="0070C0"/>
          <w:szCs w:val="20"/>
        </w:rPr>
        <w:t>can be estimated from the underling epidemiology/prevalence of sever disabling ET and the capacity constraints of the healthcare system in an MSAC Assessment Report</w:t>
      </w:r>
    </w:p>
    <w:p w14:paraId="4CC7CF5D" w14:textId="77777777" w:rsidR="00782C7A" w:rsidRPr="00B20E1A" w:rsidRDefault="00782C7A" w:rsidP="00782C7A">
      <w:pPr>
        <w:rPr>
          <w:color w:val="0070C0"/>
          <w:szCs w:val="20"/>
        </w:rPr>
      </w:pPr>
    </w:p>
    <w:p w14:paraId="7BB98300" w14:textId="10797E07" w:rsidR="00270099" w:rsidRPr="00B20E1A" w:rsidRDefault="00270099" w:rsidP="00B20E1A">
      <w:pPr>
        <w:pStyle w:val="Caption"/>
        <w:rPr>
          <w:color w:val="0070C0"/>
        </w:rPr>
      </w:pPr>
      <w:bookmarkStart w:id="11" w:name="_Ref18314840"/>
      <w:r w:rsidRPr="00B20E1A">
        <w:rPr>
          <w:color w:val="0070C0"/>
        </w:rPr>
        <w:t xml:space="preserve">Table </w:t>
      </w:r>
      <w:r w:rsidRPr="00B20E1A">
        <w:rPr>
          <w:color w:val="0070C0"/>
        </w:rPr>
        <w:fldChar w:fldCharType="begin"/>
      </w:r>
      <w:r w:rsidRPr="00B20E1A">
        <w:rPr>
          <w:color w:val="0070C0"/>
        </w:rPr>
        <w:instrText xml:space="preserve"> SEQ Table \* ARABIC </w:instrText>
      </w:r>
      <w:r w:rsidRPr="00B20E1A">
        <w:rPr>
          <w:color w:val="0070C0"/>
        </w:rPr>
        <w:fldChar w:fldCharType="separate"/>
      </w:r>
      <w:r w:rsidR="005213D6">
        <w:rPr>
          <w:noProof/>
          <w:color w:val="0070C0"/>
        </w:rPr>
        <w:t>4</w:t>
      </w:r>
      <w:r w:rsidRPr="00B20E1A">
        <w:rPr>
          <w:noProof/>
          <w:color w:val="0070C0"/>
        </w:rPr>
        <w:fldChar w:fldCharType="end"/>
      </w:r>
      <w:bookmarkEnd w:id="11"/>
      <w:r w:rsidRPr="00B20E1A">
        <w:rPr>
          <w:color w:val="0070C0"/>
        </w:rPr>
        <w:tab/>
        <w:t>Utilisation of MBS items for deep brain stimulation</w:t>
      </w:r>
    </w:p>
    <w:tbl>
      <w:tblPr>
        <w:tblStyle w:val="TableGrid"/>
        <w:tblW w:w="0" w:type="auto"/>
        <w:tblLook w:val="0020" w:firstRow="1" w:lastRow="0" w:firstColumn="0" w:lastColumn="0" w:noHBand="0" w:noVBand="0"/>
        <w:tblCaption w:val="Table 4"/>
      </w:tblPr>
      <w:tblGrid>
        <w:gridCol w:w="1287"/>
        <w:gridCol w:w="1543"/>
        <w:gridCol w:w="1237"/>
        <w:gridCol w:w="1237"/>
        <w:gridCol w:w="1237"/>
        <w:gridCol w:w="1237"/>
        <w:gridCol w:w="1238"/>
      </w:tblGrid>
      <w:tr w:rsidR="00270099" w:rsidRPr="00B20E1A" w14:paraId="6C1DE741" w14:textId="77777777" w:rsidTr="00D041D4">
        <w:trPr>
          <w:tblHeader/>
        </w:trPr>
        <w:tc>
          <w:tcPr>
            <w:tcW w:w="1287" w:type="dxa"/>
          </w:tcPr>
          <w:p w14:paraId="16E39901" w14:textId="77777777" w:rsidR="00270099" w:rsidRPr="003902C2" w:rsidRDefault="00270099" w:rsidP="00B20E1A">
            <w:pPr>
              <w:pStyle w:val="TableText"/>
              <w:rPr>
                <w:b/>
                <w:bCs/>
                <w:color w:val="0070C0"/>
              </w:rPr>
            </w:pPr>
            <w:r w:rsidRPr="003902C2">
              <w:rPr>
                <w:b/>
                <w:bCs/>
                <w:color w:val="0070C0"/>
              </w:rPr>
              <w:t>MBS item</w:t>
            </w:r>
          </w:p>
        </w:tc>
        <w:tc>
          <w:tcPr>
            <w:tcW w:w="1543" w:type="dxa"/>
          </w:tcPr>
          <w:p w14:paraId="34717489" w14:textId="77777777" w:rsidR="00270099" w:rsidRPr="003902C2" w:rsidRDefault="00270099" w:rsidP="00B20E1A">
            <w:pPr>
              <w:pStyle w:val="TableText"/>
              <w:rPr>
                <w:b/>
                <w:bCs/>
                <w:color w:val="0070C0"/>
              </w:rPr>
            </w:pPr>
            <w:r w:rsidRPr="003902C2">
              <w:rPr>
                <w:b/>
                <w:bCs/>
                <w:color w:val="0070C0"/>
              </w:rPr>
              <w:t>Description</w:t>
            </w:r>
          </w:p>
        </w:tc>
        <w:tc>
          <w:tcPr>
            <w:tcW w:w="1237" w:type="dxa"/>
          </w:tcPr>
          <w:p w14:paraId="7F9075F2" w14:textId="77777777" w:rsidR="00270099" w:rsidRPr="003902C2" w:rsidRDefault="00270099" w:rsidP="00B20E1A">
            <w:pPr>
              <w:pStyle w:val="TableText"/>
              <w:rPr>
                <w:b/>
                <w:bCs/>
                <w:color w:val="0070C0"/>
              </w:rPr>
            </w:pPr>
            <w:r w:rsidRPr="003902C2">
              <w:rPr>
                <w:b/>
                <w:bCs/>
                <w:color w:val="0070C0"/>
              </w:rPr>
              <w:t>2014</w:t>
            </w:r>
          </w:p>
        </w:tc>
        <w:tc>
          <w:tcPr>
            <w:tcW w:w="1237" w:type="dxa"/>
          </w:tcPr>
          <w:p w14:paraId="6409BE5F" w14:textId="77777777" w:rsidR="00270099" w:rsidRPr="003902C2" w:rsidRDefault="00270099" w:rsidP="00B20E1A">
            <w:pPr>
              <w:pStyle w:val="TableText"/>
              <w:rPr>
                <w:b/>
                <w:bCs/>
                <w:color w:val="0070C0"/>
              </w:rPr>
            </w:pPr>
            <w:r w:rsidRPr="003902C2">
              <w:rPr>
                <w:b/>
                <w:bCs/>
                <w:color w:val="0070C0"/>
              </w:rPr>
              <w:t>2015</w:t>
            </w:r>
          </w:p>
        </w:tc>
        <w:tc>
          <w:tcPr>
            <w:tcW w:w="1237" w:type="dxa"/>
          </w:tcPr>
          <w:p w14:paraId="64D92D48" w14:textId="77777777" w:rsidR="00270099" w:rsidRPr="003902C2" w:rsidRDefault="00270099" w:rsidP="00B20E1A">
            <w:pPr>
              <w:pStyle w:val="TableText"/>
              <w:rPr>
                <w:b/>
                <w:bCs/>
                <w:color w:val="0070C0"/>
              </w:rPr>
            </w:pPr>
            <w:r w:rsidRPr="003902C2">
              <w:rPr>
                <w:b/>
                <w:bCs/>
                <w:color w:val="0070C0"/>
              </w:rPr>
              <w:t>2016</w:t>
            </w:r>
          </w:p>
        </w:tc>
        <w:tc>
          <w:tcPr>
            <w:tcW w:w="1237" w:type="dxa"/>
          </w:tcPr>
          <w:p w14:paraId="7AAB1D23" w14:textId="77777777" w:rsidR="00270099" w:rsidRPr="003902C2" w:rsidRDefault="00270099" w:rsidP="00B20E1A">
            <w:pPr>
              <w:pStyle w:val="TableText"/>
              <w:rPr>
                <w:b/>
                <w:bCs/>
                <w:color w:val="0070C0"/>
              </w:rPr>
            </w:pPr>
            <w:r w:rsidRPr="003902C2">
              <w:rPr>
                <w:b/>
                <w:bCs/>
                <w:color w:val="0070C0"/>
              </w:rPr>
              <w:t>2017</w:t>
            </w:r>
          </w:p>
        </w:tc>
        <w:tc>
          <w:tcPr>
            <w:tcW w:w="1238" w:type="dxa"/>
          </w:tcPr>
          <w:p w14:paraId="1189BCD5" w14:textId="77777777" w:rsidR="00270099" w:rsidRPr="003902C2" w:rsidRDefault="00270099" w:rsidP="00B20E1A">
            <w:pPr>
              <w:pStyle w:val="TableText"/>
              <w:rPr>
                <w:b/>
                <w:bCs/>
                <w:color w:val="0070C0"/>
              </w:rPr>
            </w:pPr>
            <w:r w:rsidRPr="003902C2">
              <w:rPr>
                <w:b/>
                <w:bCs/>
                <w:color w:val="0070C0"/>
              </w:rPr>
              <w:t>2018</w:t>
            </w:r>
          </w:p>
        </w:tc>
      </w:tr>
      <w:tr w:rsidR="00270099" w:rsidRPr="00B20E1A" w14:paraId="3AE5AA2B" w14:textId="77777777" w:rsidTr="00270099">
        <w:tc>
          <w:tcPr>
            <w:tcW w:w="1287" w:type="dxa"/>
          </w:tcPr>
          <w:p w14:paraId="523DAB70" w14:textId="77777777" w:rsidR="00270099" w:rsidRPr="00B20E1A" w:rsidRDefault="00270099" w:rsidP="00B20E1A">
            <w:pPr>
              <w:pStyle w:val="TableText"/>
              <w:rPr>
                <w:color w:val="0070C0"/>
              </w:rPr>
            </w:pPr>
            <w:r w:rsidRPr="00B20E1A">
              <w:rPr>
                <w:color w:val="0070C0"/>
              </w:rPr>
              <w:t>40850</w:t>
            </w:r>
          </w:p>
        </w:tc>
        <w:tc>
          <w:tcPr>
            <w:tcW w:w="1543" w:type="dxa"/>
          </w:tcPr>
          <w:p w14:paraId="22E6C739" w14:textId="77777777" w:rsidR="00270099" w:rsidRPr="00B20E1A" w:rsidRDefault="00270099" w:rsidP="00B20E1A">
            <w:pPr>
              <w:pStyle w:val="TableText"/>
              <w:rPr>
                <w:color w:val="0070C0"/>
              </w:rPr>
            </w:pPr>
            <w:r w:rsidRPr="00B20E1A">
              <w:rPr>
                <w:color w:val="0070C0"/>
              </w:rPr>
              <w:t>Unilateral DBS</w:t>
            </w:r>
          </w:p>
        </w:tc>
        <w:tc>
          <w:tcPr>
            <w:tcW w:w="1237" w:type="dxa"/>
          </w:tcPr>
          <w:p w14:paraId="0A759FE4" w14:textId="77777777" w:rsidR="00270099" w:rsidRPr="00B20E1A" w:rsidRDefault="00270099" w:rsidP="00B20E1A">
            <w:pPr>
              <w:pStyle w:val="TableText"/>
              <w:rPr>
                <w:color w:val="0070C0"/>
              </w:rPr>
            </w:pPr>
            <w:r w:rsidRPr="00B20E1A">
              <w:rPr>
                <w:color w:val="0070C0"/>
              </w:rPr>
              <w:t>16</w:t>
            </w:r>
          </w:p>
        </w:tc>
        <w:tc>
          <w:tcPr>
            <w:tcW w:w="1237" w:type="dxa"/>
          </w:tcPr>
          <w:p w14:paraId="5D839A8F" w14:textId="77777777" w:rsidR="00270099" w:rsidRPr="00B20E1A" w:rsidRDefault="00270099" w:rsidP="00B20E1A">
            <w:pPr>
              <w:pStyle w:val="TableText"/>
              <w:rPr>
                <w:color w:val="0070C0"/>
              </w:rPr>
            </w:pPr>
            <w:r w:rsidRPr="00B20E1A">
              <w:rPr>
                <w:color w:val="0070C0"/>
              </w:rPr>
              <w:t>12</w:t>
            </w:r>
          </w:p>
        </w:tc>
        <w:tc>
          <w:tcPr>
            <w:tcW w:w="1237" w:type="dxa"/>
          </w:tcPr>
          <w:p w14:paraId="1CCD4AA6" w14:textId="77777777" w:rsidR="00270099" w:rsidRPr="00B20E1A" w:rsidRDefault="00270099" w:rsidP="00B20E1A">
            <w:pPr>
              <w:pStyle w:val="TableText"/>
              <w:rPr>
                <w:color w:val="0070C0"/>
              </w:rPr>
            </w:pPr>
            <w:r w:rsidRPr="00B20E1A">
              <w:rPr>
                <w:color w:val="0070C0"/>
              </w:rPr>
              <w:t>10</w:t>
            </w:r>
          </w:p>
        </w:tc>
        <w:tc>
          <w:tcPr>
            <w:tcW w:w="1237" w:type="dxa"/>
          </w:tcPr>
          <w:p w14:paraId="0AB58EF6" w14:textId="77777777" w:rsidR="00270099" w:rsidRPr="00B20E1A" w:rsidRDefault="00270099" w:rsidP="00B20E1A">
            <w:pPr>
              <w:pStyle w:val="TableText"/>
              <w:rPr>
                <w:color w:val="0070C0"/>
              </w:rPr>
            </w:pPr>
            <w:r w:rsidRPr="00B20E1A">
              <w:rPr>
                <w:color w:val="0070C0"/>
              </w:rPr>
              <w:t>16</w:t>
            </w:r>
          </w:p>
        </w:tc>
        <w:tc>
          <w:tcPr>
            <w:tcW w:w="1238" w:type="dxa"/>
          </w:tcPr>
          <w:p w14:paraId="723A1FDF" w14:textId="77777777" w:rsidR="00270099" w:rsidRPr="00B20E1A" w:rsidRDefault="00270099" w:rsidP="00B20E1A">
            <w:pPr>
              <w:pStyle w:val="TableText"/>
              <w:rPr>
                <w:color w:val="0070C0"/>
              </w:rPr>
            </w:pPr>
            <w:r w:rsidRPr="00B20E1A">
              <w:rPr>
                <w:color w:val="0070C0"/>
              </w:rPr>
              <w:t>19</w:t>
            </w:r>
          </w:p>
        </w:tc>
      </w:tr>
      <w:tr w:rsidR="00270099" w:rsidRPr="00B20E1A" w14:paraId="2BB2C83A" w14:textId="77777777" w:rsidTr="00270099">
        <w:tc>
          <w:tcPr>
            <w:tcW w:w="1287" w:type="dxa"/>
          </w:tcPr>
          <w:p w14:paraId="17BE0CB7" w14:textId="77777777" w:rsidR="00270099" w:rsidRPr="00B20E1A" w:rsidRDefault="00270099" w:rsidP="00B20E1A">
            <w:pPr>
              <w:pStyle w:val="TableText"/>
              <w:rPr>
                <w:color w:val="0070C0"/>
              </w:rPr>
            </w:pPr>
            <w:r w:rsidRPr="00B20E1A">
              <w:rPr>
                <w:color w:val="0070C0"/>
              </w:rPr>
              <w:t>40851</w:t>
            </w:r>
          </w:p>
        </w:tc>
        <w:tc>
          <w:tcPr>
            <w:tcW w:w="1543" w:type="dxa"/>
          </w:tcPr>
          <w:p w14:paraId="70FA7AD4" w14:textId="77777777" w:rsidR="00270099" w:rsidRPr="00B20E1A" w:rsidRDefault="00270099" w:rsidP="00B20E1A">
            <w:pPr>
              <w:pStyle w:val="TableText"/>
              <w:rPr>
                <w:color w:val="0070C0"/>
              </w:rPr>
            </w:pPr>
            <w:r w:rsidRPr="00B20E1A">
              <w:rPr>
                <w:color w:val="0070C0"/>
              </w:rPr>
              <w:t>Bilateral DBS</w:t>
            </w:r>
          </w:p>
        </w:tc>
        <w:tc>
          <w:tcPr>
            <w:tcW w:w="1237" w:type="dxa"/>
          </w:tcPr>
          <w:p w14:paraId="5447199D" w14:textId="77777777" w:rsidR="00270099" w:rsidRPr="00B20E1A" w:rsidRDefault="00270099" w:rsidP="00B20E1A">
            <w:pPr>
              <w:pStyle w:val="TableText"/>
              <w:rPr>
                <w:color w:val="0070C0"/>
              </w:rPr>
            </w:pPr>
            <w:r w:rsidRPr="00B20E1A">
              <w:rPr>
                <w:color w:val="0070C0"/>
              </w:rPr>
              <w:t>217</w:t>
            </w:r>
          </w:p>
        </w:tc>
        <w:tc>
          <w:tcPr>
            <w:tcW w:w="1237" w:type="dxa"/>
          </w:tcPr>
          <w:p w14:paraId="46AE8CF4" w14:textId="77777777" w:rsidR="00270099" w:rsidRPr="00B20E1A" w:rsidRDefault="00270099" w:rsidP="00B20E1A">
            <w:pPr>
              <w:pStyle w:val="TableText"/>
              <w:rPr>
                <w:color w:val="0070C0"/>
              </w:rPr>
            </w:pPr>
            <w:r w:rsidRPr="00B20E1A">
              <w:rPr>
                <w:color w:val="0070C0"/>
              </w:rPr>
              <w:t>245</w:t>
            </w:r>
          </w:p>
        </w:tc>
        <w:tc>
          <w:tcPr>
            <w:tcW w:w="1237" w:type="dxa"/>
          </w:tcPr>
          <w:p w14:paraId="31623C37" w14:textId="77777777" w:rsidR="00270099" w:rsidRPr="00B20E1A" w:rsidRDefault="00270099" w:rsidP="00B20E1A">
            <w:pPr>
              <w:pStyle w:val="TableText"/>
              <w:rPr>
                <w:color w:val="0070C0"/>
              </w:rPr>
            </w:pPr>
            <w:r w:rsidRPr="00B20E1A">
              <w:rPr>
                <w:color w:val="0070C0"/>
              </w:rPr>
              <w:t>235</w:t>
            </w:r>
          </w:p>
        </w:tc>
        <w:tc>
          <w:tcPr>
            <w:tcW w:w="1237" w:type="dxa"/>
          </w:tcPr>
          <w:p w14:paraId="20ACE013" w14:textId="77777777" w:rsidR="00270099" w:rsidRPr="00B20E1A" w:rsidRDefault="00270099" w:rsidP="00B20E1A">
            <w:pPr>
              <w:pStyle w:val="TableText"/>
              <w:rPr>
                <w:color w:val="0070C0"/>
              </w:rPr>
            </w:pPr>
            <w:r w:rsidRPr="00B20E1A">
              <w:rPr>
                <w:color w:val="0070C0"/>
              </w:rPr>
              <w:t>233</w:t>
            </w:r>
          </w:p>
        </w:tc>
        <w:tc>
          <w:tcPr>
            <w:tcW w:w="1238" w:type="dxa"/>
          </w:tcPr>
          <w:p w14:paraId="231D076E" w14:textId="77777777" w:rsidR="00270099" w:rsidRPr="00B20E1A" w:rsidRDefault="00270099" w:rsidP="00B20E1A">
            <w:pPr>
              <w:pStyle w:val="TableText"/>
              <w:rPr>
                <w:color w:val="0070C0"/>
              </w:rPr>
            </w:pPr>
            <w:r w:rsidRPr="00B20E1A">
              <w:rPr>
                <w:color w:val="0070C0"/>
              </w:rPr>
              <w:t>226</w:t>
            </w:r>
          </w:p>
        </w:tc>
      </w:tr>
      <w:tr w:rsidR="00270099" w:rsidRPr="00B20E1A" w14:paraId="77028371" w14:textId="77777777" w:rsidTr="00270099">
        <w:tc>
          <w:tcPr>
            <w:tcW w:w="1287" w:type="dxa"/>
          </w:tcPr>
          <w:p w14:paraId="04B81491" w14:textId="77777777" w:rsidR="00270099" w:rsidRPr="00B20E1A" w:rsidRDefault="00270099" w:rsidP="00B20E1A">
            <w:pPr>
              <w:pStyle w:val="TableText"/>
              <w:rPr>
                <w:color w:val="0070C0"/>
              </w:rPr>
            </w:pPr>
            <w:r w:rsidRPr="00B20E1A">
              <w:rPr>
                <w:color w:val="0070C0"/>
              </w:rPr>
              <w:t>-</w:t>
            </w:r>
          </w:p>
        </w:tc>
        <w:tc>
          <w:tcPr>
            <w:tcW w:w="1543" w:type="dxa"/>
          </w:tcPr>
          <w:p w14:paraId="24F9BAB2" w14:textId="77777777" w:rsidR="00270099" w:rsidRPr="00B20E1A" w:rsidRDefault="00270099" w:rsidP="00B20E1A">
            <w:pPr>
              <w:pStyle w:val="TableText"/>
              <w:rPr>
                <w:color w:val="0070C0"/>
              </w:rPr>
            </w:pPr>
            <w:r w:rsidRPr="00B20E1A">
              <w:rPr>
                <w:color w:val="0070C0"/>
              </w:rPr>
              <w:t>Total DBS</w:t>
            </w:r>
          </w:p>
        </w:tc>
        <w:tc>
          <w:tcPr>
            <w:tcW w:w="1237" w:type="dxa"/>
          </w:tcPr>
          <w:p w14:paraId="1B7C0519" w14:textId="77777777" w:rsidR="00270099" w:rsidRPr="00B20E1A" w:rsidRDefault="00270099" w:rsidP="00B20E1A">
            <w:pPr>
              <w:pStyle w:val="TableText"/>
              <w:rPr>
                <w:color w:val="0070C0"/>
              </w:rPr>
            </w:pPr>
            <w:r w:rsidRPr="00B20E1A">
              <w:rPr>
                <w:color w:val="0070C0"/>
              </w:rPr>
              <w:t>233</w:t>
            </w:r>
          </w:p>
        </w:tc>
        <w:tc>
          <w:tcPr>
            <w:tcW w:w="1237" w:type="dxa"/>
          </w:tcPr>
          <w:p w14:paraId="7FDC6007" w14:textId="77777777" w:rsidR="00270099" w:rsidRPr="00B20E1A" w:rsidRDefault="00270099" w:rsidP="00B20E1A">
            <w:pPr>
              <w:pStyle w:val="TableText"/>
              <w:rPr>
                <w:color w:val="0070C0"/>
              </w:rPr>
            </w:pPr>
            <w:r w:rsidRPr="00B20E1A">
              <w:rPr>
                <w:color w:val="0070C0"/>
              </w:rPr>
              <w:t>257</w:t>
            </w:r>
          </w:p>
        </w:tc>
        <w:tc>
          <w:tcPr>
            <w:tcW w:w="1237" w:type="dxa"/>
          </w:tcPr>
          <w:p w14:paraId="445CE57A" w14:textId="77777777" w:rsidR="00270099" w:rsidRPr="00B20E1A" w:rsidRDefault="00270099" w:rsidP="00B20E1A">
            <w:pPr>
              <w:pStyle w:val="TableText"/>
              <w:rPr>
                <w:color w:val="0070C0"/>
              </w:rPr>
            </w:pPr>
            <w:r w:rsidRPr="00B20E1A">
              <w:rPr>
                <w:color w:val="0070C0"/>
              </w:rPr>
              <w:t>245</w:t>
            </w:r>
          </w:p>
        </w:tc>
        <w:tc>
          <w:tcPr>
            <w:tcW w:w="1237" w:type="dxa"/>
          </w:tcPr>
          <w:p w14:paraId="3ADC59C1" w14:textId="77777777" w:rsidR="00270099" w:rsidRPr="00B20E1A" w:rsidRDefault="00270099" w:rsidP="00B20E1A">
            <w:pPr>
              <w:pStyle w:val="TableText"/>
              <w:rPr>
                <w:color w:val="0070C0"/>
              </w:rPr>
            </w:pPr>
            <w:r w:rsidRPr="00B20E1A">
              <w:rPr>
                <w:color w:val="0070C0"/>
              </w:rPr>
              <w:t>249</w:t>
            </w:r>
          </w:p>
        </w:tc>
        <w:tc>
          <w:tcPr>
            <w:tcW w:w="1238" w:type="dxa"/>
          </w:tcPr>
          <w:p w14:paraId="326C1230" w14:textId="77777777" w:rsidR="00270099" w:rsidRPr="00B20E1A" w:rsidRDefault="00270099" w:rsidP="00B20E1A">
            <w:pPr>
              <w:pStyle w:val="TableText"/>
              <w:rPr>
                <w:color w:val="0070C0"/>
              </w:rPr>
            </w:pPr>
            <w:r w:rsidRPr="00B20E1A">
              <w:rPr>
                <w:color w:val="0070C0"/>
              </w:rPr>
              <w:t>245</w:t>
            </w:r>
          </w:p>
        </w:tc>
      </w:tr>
    </w:tbl>
    <w:p w14:paraId="420A810A" w14:textId="04CA5303" w:rsidR="00161DB4" w:rsidRDefault="00161DB4" w:rsidP="00270099">
      <w:pPr>
        <w:rPr>
          <w:color w:val="0070C0"/>
          <w:szCs w:val="20"/>
        </w:rPr>
      </w:pPr>
    </w:p>
    <w:p w14:paraId="7E649025"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09C6828C" w14:textId="77777777" w:rsidR="00D4249A" w:rsidRDefault="00917E53" w:rsidP="005213D6">
      <w:pPr>
        <w:rPr>
          <w:color w:val="0070C0"/>
        </w:rPr>
      </w:pPr>
      <w:proofErr w:type="spellStart"/>
      <w:r>
        <w:rPr>
          <w:color w:val="0070C0"/>
        </w:rPr>
        <w:t>MRgFUS</w:t>
      </w:r>
      <w:proofErr w:type="spellEnd"/>
      <w:r>
        <w:rPr>
          <w:color w:val="0070C0"/>
        </w:rPr>
        <w:t xml:space="preserve"> is </w:t>
      </w:r>
      <w:r w:rsidR="00D4249A">
        <w:rPr>
          <w:color w:val="0070C0"/>
        </w:rPr>
        <w:t xml:space="preserve">usually performed as </w:t>
      </w:r>
      <w:r>
        <w:rPr>
          <w:color w:val="0070C0"/>
        </w:rPr>
        <w:t xml:space="preserve">a unilateral procedure intended to treat the dominant affected side in severe medically refractory essential tremor. </w:t>
      </w:r>
      <w:r w:rsidR="00B20E1A" w:rsidRPr="00307E00">
        <w:rPr>
          <w:color w:val="0070C0"/>
        </w:rPr>
        <w:t xml:space="preserve">It is anticipated that the proposed service would be delivered once per patient </w:t>
      </w:r>
      <w:r>
        <w:rPr>
          <w:color w:val="0070C0"/>
        </w:rPr>
        <w:t xml:space="preserve">on the dominant side. The contralateral side may be treated </w:t>
      </w:r>
      <w:r w:rsidR="00B20E1A" w:rsidRPr="00307E00">
        <w:rPr>
          <w:color w:val="0070C0"/>
        </w:rPr>
        <w:t>with a minimum of 6 months between procedure</w:t>
      </w:r>
      <w:r>
        <w:rPr>
          <w:color w:val="0070C0"/>
        </w:rPr>
        <w:t>s</w:t>
      </w:r>
      <w:r w:rsidR="00B20E1A" w:rsidRPr="00307E00">
        <w:rPr>
          <w:color w:val="0070C0"/>
        </w:rPr>
        <w:t>.</w:t>
      </w:r>
      <w:r w:rsidR="00C122C9">
        <w:rPr>
          <w:color w:val="0070C0"/>
        </w:rPr>
        <w:t xml:space="preserve"> However</w:t>
      </w:r>
      <w:r w:rsidR="00D4249A">
        <w:rPr>
          <w:color w:val="0070C0"/>
        </w:rPr>
        <w:t xml:space="preserve">, as most of the clinical benefits associated with </w:t>
      </w:r>
      <w:proofErr w:type="spellStart"/>
      <w:r w:rsidR="00D4249A">
        <w:rPr>
          <w:color w:val="0070C0"/>
        </w:rPr>
        <w:t>MRgFUS</w:t>
      </w:r>
      <w:proofErr w:type="spellEnd"/>
      <w:r w:rsidR="00D4249A">
        <w:rPr>
          <w:color w:val="0070C0"/>
        </w:rPr>
        <w:t xml:space="preserve"> treatment are derived by </w:t>
      </w:r>
      <w:r w:rsidR="00D4249A">
        <w:rPr>
          <w:color w:val="0070C0"/>
        </w:rPr>
        <w:lastRenderedPageBreak/>
        <w:t xml:space="preserve">treating the dominant side, the costs and risks of a treating the contralateral side are often thought to outweigh the incremental benefits. </w:t>
      </w:r>
    </w:p>
    <w:p w14:paraId="45005097" w14:textId="6450B502" w:rsidR="00C122C9" w:rsidRPr="00307E00" w:rsidRDefault="00B20E1A" w:rsidP="005213D6">
      <w:pPr>
        <w:rPr>
          <w:color w:val="0070C0"/>
        </w:rPr>
      </w:pPr>
      <w:r w:rsidRPr="00307E00">
        <w:rPr>
          <w:color w:val="0070C0"/>
        </w:rPr>
        <w:t>While recurrence of tremor may occur</w:t>
      </w:r>
      <w:r w:rsidR="00F80E87">
        <w:rPr>
          <w:color w:val="0070C0"/>
        </w:rPr>
        <w:t xml:space="preserve"> after </w:t>
      </w:r>
      <w:proofErr w:type="spellStart"/>
      <w:r w:rsidR="00F80E87">
        <w:rPr>
          <w:color w:val="0070C0"/>
        </w:rPr>
        <w:t>MRgFUS</w:t>
      </w:r>
      <w:proofErr w:type="spellEnd"/>
      <w:r w:rsidRPr="00307E00">
        <w:rPr>
          <w:color w:val="0070C0"/>
        </w:rPr>
        <w:t>, long term data up to five years shows this to be a rare occurrence</w:t>
      </w:r>
      <w:r w:rsidR="009F10A1">
        <w:rPr>
          <w:color w:val="0070C0"/>
        </w:rPr>
        <w:t xml:space="preserve"> (Park et al., 2019)</w:t>
      </w:r>
      <w:r w:rsidRPr="00307E00">
        <w:rPr>
          <w:color w:val="0070C0"/>
        </w:rPr>
        <w:t>.</w:t>
      </w:r>
    </w:p>
    <w:p w14:paraId="72FAD9C5" w14:textId="2545DF40" w:rsidR="00382407" w:rsidRPr="00307E00" w:rsidRDefault="00B20E1A" w:rsidP="005213D6">
      <w:pPr>
        <w:rPr>
          <w:color w:val="0070C0"/>
          <w:szCs w:val="20"/>
        </w:rPr>
      </w:pPr>
      <w:r w:rsidRPr="00307E00">
        <w:rPr>
          <w:color w:val="0070C0"/>
        </w:rPr>
        <w:t xml:space="preserve">Accordingly, it is expected that, on average, </w:t>
      </w:r>
      <w:r w:rsidR="00C122C9">
        <w:rPr>
          <w:color w:val="0070C0"/>
        </w:rPr>
        <w:t xml:space="preserve">the vast majority of </w:t>
      </w:r>
      <w:r w:rsidRPr="00307E00">
        <w:rPr>
          <w:color w:val="0070C0"/>
        </w:rPr>
        <w:t>patient</w:t>
      </w:r>
      <w:r w:rsidR="00C122C9">
        <w:rPr>
          <w:color w:val="0070C0"/>
        </w:rPr>
        <w:t>s</w:t>
      </w:r>
      <w:r w:rsidRPr="00307E00">
        <w:rPr>
          <w:color w:val="0070C0"/>
        </w:rPr>
        <w:t xml:space="preserve"> will have one procedure </w:t>
      </w:r>
      <w:r w:rsidR="00917E53">
        <w:rPr>
          <w:color w:val="0070C0"/>
        </w:rPr>
        <w:t xml:space="preserve">performed </w:t>
      </w:r>
      <w:r w:rsidRPr="00307E00">
        <w:rPr>
          <w:color w:val="0070C0"/>
        </w:rPr>
        <w:t xml:space="preserve">in year 1 and no procedures thereafter. </w:t>
      </w:r>
    </w:p>
    <w:p w14:paraId="1C813E00"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25343AFA" w14:textId="2820772D" w:rsidR="00382407" w:rsidRPr="008979BB" w:rsidRDefault="00B20E1A" w:rsidP="005213D6">
      <w:pPr>
        <w:rPr>
          <w:b/>
          <w:color w:val="0070C0"/>
          <w:szCs w:val="20"/>
        </w:rPr>
      </w:pPr>
      <w:r w:rsidRPr="00307E00">
        <w:rPr>
          <w:color w:val="0070C0"/>
        </w:rPr>
        <w:t>Not applicable</w:t>
      </w:r>
      <w:r w:rsidR="00307E00" w:rsidRPr="00307E00">
        <w:rPr>
          <w:color w:val="0070C0"/>
        </w:rPr>
        <w:t xml:space="preserve">. It is anticipated that for most patients, </w:t>
      </w:r>
      <w:proofErr w:type="spellStart"/>
      <w:r w:rsidRPr="00307E00">
        <w:rPr>
          <w:color w:val="0070C0"/>
        </w:rPr>
        <w:t>MRgFUS</w:t>
      </w:r>
      <w:proofErr w:type="spellEnd"/>
      <w:r w:rsidRPr="00307E00">
        <w:rPr>
          <w:color w:val="0070C0"/>
        </w:rPr>
        <w:t xml:space="preserve"> </w:t>
      </w:r>
      <w:r w:rsidR="00307E00" w:rsidRPr="00307E00">
        <w:rPr>
          <w:color w:val="0070C0"/>
        </w:rPr>
        <w:t xml:space="preserve">will comprise </w:t>
      </w:r>
      <w:r w:rsidRPr="00307E00">
        <w:rPr>
          <w:color w:val="0070C0"/>
        </w:rPr>
        <w:t xml:space="preserve">a single </w:t>
      </w:r>
      <w:r w:rsidR="00307E00" w:rsidRPr="00307E00">
        <w:rPr>
          <w:color w:val="0070C0"/>
        </w:rPr>
        <w:t xml:space="preserve">procedure </w:t>
      </w:r>
      <w:r w:rsidRPr="00307E00">
        <w:rPr>
          <w:color w:val="0070C0"/>
        </w:rPr>
        <w:t xml:space="preserve">per </w:t>
      </w:r>
      <w:r w:rsidRPr="008979BB">
        <w:rPr>
          <w:color w:val="0070C0"/>
        </w:rPr>
        <w:t>lifetime.</w:t>
      </w:r>
    </w:p>
    <w:p w14:paraId="5FC74C67" w14:textId="77777777" w:rsidR="002A6753" w:rsidRPr="008979BB" w:rsidRDefault="000E47E7" w:rsidP="00530204">
      <w:pPr>
        <w:pStyle w:val="Heading2"/>
        <w:rPr>
          <w:b w:val="0"/>
        </w:rPr>
      </w:pPr>
      <w:r w:rsidRPr="008979BB">
        <w:t xml:space="preserve">Estimate </w:t>
      </w:r>
      <w:r w:rsidR="002A6753" w:rsidRPr="008979BB">
        <w:t xml:space="preserve">the projected number of patients who will utilise the proposed </w:t>
      </w:r>
      <w:r w:rsidRPr="008979BB">
        <w:t xml:space="preserve">medical </w:t>
      </w:r>
      <w:r w:rsidR="002A6753" w:rsidRPr="008979BB">
        <w:t>ser</w:t>
      </w:r>
      <w:r w:rsidR="00AE1188" w:rsidRPr="008979BB">
        <w:t>vice(s) for the first full year:</w:t>
      </w:r>
    </w:p>
    <w:p w14:paraId="7BCB0579" w14:textId="3FBA7F46" w:rsidR="00AE1188" w:rsidRPr="008979BB" w:rsidRDefault="001F4C7F" w:rsidP="005213D6">
      <w:pPr>
        <w:rPr>
          <w:color w:val="0070C0"/>
        </w:rPr>
      </w:pPr>
      <w:r w:rsidRPr="008979BB">
        <w:rPr>
          <w:color w:val="0070C0"/>
        </w:rPr>
        <w:t xml:space="preserve">The uptake of </w:t>
      </w:r>
      <w:proofErr w:type="spellStart"/>
      <w:r w:rsidRPr="008979BB">
        <w:rPr>
          <w:color w:val="0070C0"/>
        </w:rPr>
        <w:t>MRgFUS</w:t>
      </w:r>
      <w:proofErr w:type="spellEnd"/>
      <w:r w:rsidRPr="008979BB">
        <w:rPr>
          <w:color w:val="0070C0"/>
        </w:rPr>
        <w:t xml:space="preserve"> will be limited by accessibility given that only one centre currently provides this service requiring patients outside of the Sydney metropolitan area to travel for treatment. </w:t>
      </w:r>
      <w:r w:rsidR="008B2497" w:rsidRPr="008979BB">
        <w:rPr>
          <w:color w:val="0070C0"/>
        </w:rPr>
        <w:t>Based on expert opinion and current levels of utilisation</w:t>
      </w:r>
      <w:r w:rsidRPr="008979BB">
        <w:rPr>
          <w:color w:val="0070C0"/>
        </w:rPr>
        <w:t xml:space="preserve">, it is anticipated that approximately </w:t>
      </w:r>
      <w:r w:rsidR="008B2497" w:rsidRPr="008979BB">
        <w:rPr>
          <w:color w:val="0070C0"/>
        </w:rPr>
        <w:t>45-50</w:t>
      </w:r>
      <w:r w:rsidRPr="008979BB">
        <w:rPr>
          <w:color w:val="0070C0"/>
        </w:rPr>
        <w:t xml:space="preserve"> patients will be treated in the first year.</w:t>
      </w:r>
    </w:p>
    <w:p w14:paraId="369DEF0A" w14:textId="77777777" w:rsidR="00974D50" w:rsidRPr="008979BB" w:rsidRDefault="005A58BA" w:rsidP="00530204">
      <w:pPr>
        <w:pStyle w:val="Heading2"/>
        <w:rPr>
          <w:b w:val="0"/>
        </w:rPr>
      </w:pPr>
      <w:r w:rsidRPr="008979BB">
        <w:t>Estimate the anticipated upt</w:t>
      </w:r>
      <w:r w:rsidR="000E47E7" w:rsidRPr="008979BB">
        <w:t>a</w:t>
      </w:r>
      <w:r w:rsidR="001B171D" w:rsidRPr="008979BB">
        <w:t>k</w:t>
      </w:r>
      <w:r w:rsidR="000E47E7" w:rsidRPr="008979BB">
        <w:t>e of the proposed medical service over the next three years</w:t>
      </w:r>
      <w:r w:rsidR="001B171D" w:rsidRPr="008979BB">
        <w:t xml:space="preserve"> factoring in any constraints in the health system in meeting the needs of the proposed population (suc</w:t>
      </w:r>
      <w:r w:rsidRPr="008979BB">
        <w:t>h as supply and demand factors)</w:t>
      </w:r>
      <w:r w:rsidR="001B171D" w:rsidRPr="008979BB">
        <w:t xml:space="preserve"> as well as </w:t>
      </w:r>
      <w:r w:rsidR="009C03FB" w:rsidRPr="008979BB">
        <w:t>provide commentary on</w:t>
      </w:r>
      <w:r w:rsidR="001B171D" w:rsidRPr="008979BB">
        <w:t xml:space="preserve"> risk of ‘leakage’ to populations not targeted by the service</w:t>
      </w:r>
      <w:r w:rsidR="00AE1188" w:rsidRPr="008979BB">
        <w:t>:</w:t>
      </w:r>
    </w:p>
    <w:p w14:paraId="1D78F180" w14:textId="5265D4FD" w:rsidR="00F363B3" w:rsidRDefault="00F363B3" w:rsidP="005213D6">
      <w:pPr>
        <w:rPr>
          <w:color w:val="0070C0"/>
        </w:rPr>
      </w:pPr>
      <w:r w:rsidRPr="00F363B3">
        <w:rPr>
          <w:color w:val="0070C0"/>
        </w:rPr>
        <w:t xml:space="preserve">Current utilisation of DBS (245 procedures per annum of which the majority are for </w:t>
      </w:r>
      <w:proofErr w:type="gramStart"/>
      <w:r w:rsidRPr="00F363B3">
        <w:rPr>
          <w:color w:val="0070C0"/>
        </w:rPr>
        <w:t>Parkinson’s Disease</w:t>
      </w:r>
      <w:proofErr w:type="gramEnd"/>
      <w:r w:rsidRPr="00F363B3">
        <w:rPr>
          <w:color w:val="0070C0"/>
        </w:rPr>
        <w:t xml:space="preserve">) provides a </w:t>
      </w:r>
      <w:r w:rsidR="006858F6">
        <w:rPr>
          <w:color w:val="0070C0"/>
        </w:rPr>
        <w:t xml:space="preserve">reasonable </w:t>
      </w:r>
      <w:r w:rsidRPr="00F363B3">
        <w:rPr>
          <w:color w:val="0070C0"/>
        </w:rPr>
        <w:t xml:space="preserve">estimate for the potential demand for </w:t>
      </w:r>
      <w:proofErr w:type="spellStart"/>
      <w:r w:rsidRPr="00F363B3">
        <w:rPr>
          <w:color w:val="0070C0"/>
        </w:rPr>
        <w:t>MRgFUS</w:t>
      </w:r>
      <w:proofErr w:type="spellEnd"/>
      <w:r>
        <w:rPr>
          <w:color w:val="0070C0"/>
        </w:rPr>
        <w:t xml:space="preserve"> at less than 100 patients per annum</w:t>
      </w:r>
      <w:r w:rsidRPr="00F363B3">
        <w:rPr>
          <w:color w:val="0070C0"/>
        </w:rPr>
        <w:t>.</w:t>
      </w:r>
      <w:r>
        <w:rPr>
          <w:color w:val="0070C0"/>
        </w:rPr>
        <w:t xml:space="preserve"> In the short term there may be a higher prevalent pool of patients who have decided against DBS but would use </w:t>
      </w:r>
      <w:proofErr w:type="spellStart"/>
      <w:r>
        <w:rPr>
          <w:color w:val="0070C0"/>
        </w:rPr>
        <w:t>MRgFUS</w:t>
      </w:r>
      <w:proofErr w:type="spellEnd"/>
      <w:r>
        <w:rPr>
          <w:color w:val="0070C0"/>
        </w:rPr>
        <w:t xml:space="preserve"> should it become funded.</w:t>
      </w:r>
    </w:p>
    <w:p w14:paraId="265906CC" w14:textId="1C6B0D55" w:rsidR="00F363B3" w:rsidRDefault="00F363B3" w:rsidP="005213D6">
      <w:pPr>
        <w:rPr>
          <w:color w:val="0070C0"/>
        </w:rPr>
      </w:pPr>
      <w:r>
        <w:rPr>
          <w:color w:val="0070C0"/>
        </w:rPr>
        <w:t xml:space="preserve">Supply side constraints include access to the availability of the </w:t>
      </w:r>
      <w:proofErr w:type="spellStart"/>
      <w:r>
        <w:rPr>
          <w:color w:val="0070C0"/>
        </w:rPr>
        <w:t>MRgFUS</w:t>
      </w:r>
      <w:proofErr w:type="spellEnd"/>
      <w:r>
        <w:rPr>
          <w:color w:val="0070C0"/>
        </w:rPr>
        <w:t xml:space="preserve"> equipment and the specialist physicians to perform the procedure.</w:t>
      </w:r>
    </w:p>
    <w:p w14:paraId="5BD3FD14" w14:textId="7B6D83B5" w:rsidR="003433D1" w:rsidRDefault="00E9167F" w:rsidP="005213D6">
      <w:pPr>
        <w:rPr>
          <w:color w:val="0070C0"/>
        </w:rPr>
      </w:pPr>
      <w:r w:rsidRPr="00F363B3">
        <w:rPr>
          <w:color w:val="0070C0"/>
        </w:rPr>
        <w:t xml:space="preserve">While </w:t>
      </w:r>
      <w:proofErr w:type="spellStart"/>
      <w:r w:rsidR="00073AD4" w:rsidRPr="00F363B3">
        <w:rPr>
          <w:color w:val="0070C0"/>
        </w:rPr>
        <w:t>MRgFUS</w:t>
      </w:r>
      <w:proofErr w:type="spellEnd"/>
      <w:r w:rsidR="00073AD4" w:rsidRPr="00F363B3">
        <w:rPr>
          <w:color w:val="0070C0"/>
        </w:rPr>
        <w:t xml:space="preserve"> is perceived to be </w:t>
      </w:r>
      <w:r w:rsidRPr="00F363B3">
        <w:rPr>
          <w:color w:val="0070C0"/>
        </w:rPr>
        <w:t xml:space="preserve">minimally invasive in comparison with </w:t>
      </w:r>
      <w:r w:rsidR="00073AD4" w:rsidRPr="00F363B3">
        <w:rPr>
          <w:color w:val="0070C0"/>
        </w:rPr>
        <w:t>DBS</w:t>
      </w:r>
      <w:r w:rsidRPr="00F363B3">
        <w:rPr>
          <w:color w:val="0070C0"/>
        </w:rPr>
        <w:t xml:space="preserve">, the decision to undergo </w:t>
      </w:r>
      <w:proofErr w:type="spellStart"/>
      <w:r w:rsidRPr="00F363B3">
        <w:rPr>
          <w:color w:val="0070C0"/>
        </w:rPr>
        <w:t>MRgFUS</w:t>
      </w:r>
      <w:proofErr w:type="spellEnd"/>
      <w:r w:rsidRPr="00F363B3">
        <w:rPr>
          <w:color w:val="0070C0"/>
        </w:rPr>
        <w:t xml:space="preserve"> for the treatment of ET is unlikely to be taken lightly given the </w:t>
      </w:r>
      <w:r w:rsidR="00161DB4" w:rsidRPr="00F363B3">
        <w:rPr>
          <w:color w:val="0070C0"/>
        </w:rPr>
        <w:t>irreversible</w:t>
      </w:r>
      <w:r w:rsidRPr="00F363B3">
        <w:rPr>
          <w:color w:val="0070C0"/>
        </w:rPr>
        <w:t xml:space="preserve"> nature of the procedure. In light of this, “leakage” to less severe or non-medically refractory patients is low. </w:t>
      </w:r>
      <w:r w:rsidR="008979BB" w:rsidRPr="00F363B3">
        <w:rPr>
          <w:color w:val="0070C0"/>
        </w:rPr>
        <w:t>The low risk of leakage is a view shared by the Neurosurgery and Neurology Clinical Committee in the MBS taskforce review: “the Committee believes that existing ethical and regulatory restrictions on</w:t>
      </w:r>
      <w:r w:rsidR="008979BB" w:rsidRPr="008979BB">
        <w:rPr>
          <w:color w:val="0070C0"/>
        </w:rPr>
        <w:t xml:space="preserve"> psychosurgery (and the invasiveness of the surgery itself) will prevent inappropriate use of this item. Patients are also subject to careful selection by neurologists and neurosurgeons, and only a small number of neurosurgeons are able to perform this procedure in Australia, making inappropriate use even less likely.</w:t>
      </w:r>
      <w:r w:rsidR="008979BB">
        <w:rPr>
          <w:color w:val="0070C0"/>
        </w:rPr>
        <w:t>”</w:t>
      </w:r>
    </w:p>
    <w:p w14:paraId="3362AA98" w14:textId="77777777" w:rsidR="005213D6" w:rsidRPr="005213D6" w:rsidRDefault="005213D6" w:rsidP="005213D6">
      <w:pPr>
        <w:rPr>
          <w:color w:val="0070C0"/>
        </w:rPr>
      </w:pPr>
    </w:p>
    <w:p w14:paraId="6EA0C83F" w14:textId="77777777" w:rsidR="00951933" w:rsidRPr="00C776B1" w:rsidRDefault="001B5169" w:rsidP="0056015F">
      <w:pPr>
        <w:pStyle w:val="Heading1"/>
      </w:pPr>
      <w:r>
        <w:t>PART 8</w:t>
      </w:r>
      <w:r w:rsidR="00F93784">
        <w:t xml:space="preserve"> – </w:t>
      </w:r>
      <w:r w:rsidR="005A58BA">
        <w:t>COST</w:t>
      </w:r>
      <w:r w:rsidR="00951933" w:rsidRPr="00C776B1">
        <w:t xml:space="preserve"> INFORMATION</w:t>
      </w:r>
    </w:p>
    <w:p w14:paraId="292F0CE1"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ED3696D" w14:textId="21A66A76" w:rsidR="001F4C7F" w:rsidRDefault="001F4C7F" w:rsidP="005213D6">
      <w:pPr>
        <w:rPr>
          <w:color w:val="0070C0"/>
        </w:rPr>
      </w:pPr>
      <w:r>
        <w:rPr>
          <w:color w:val="0070C0"/>
        </w:rPr>
        <w:t>T</w:t>
      </w:r>
      <w:r w:rsidRPr="00956793">
        <w:rPr>
          <w:color w:val="0070C0"/>
        </w:rPr>
        <w:t>he likely cost will be made up of the fee and the inpatient hospital admission. There are no prostheses involved</w:t>
      </w:r>
      <w:r>
        <w:rPr>
          <w:color w:val="0070C0"/>
        </w:rPr>
        <w:t xml:space="preserve"> however the disposable patient kit (described in question 12) will require a funding stream and could be included in Part C of the prosthesis list</w:t>
      </w:r>
      <w:r w:rsidRPr="00956793">
        <w:rPr>
          <w:color w:val="0070C0"/>
        </w:rPr>
        <w:t>.</w:t>
      </w:r>
    </w:p>
    <w:p w14:paraId="75BE87A8" w14:textId="74E5ED03" w:rsidR="00AD18FC" w:rsidRDefault="00AD18FC" w:rsidP="005213D6">
      <w:pPr>
        <w:rPr>
          <w:color w:val="0070C0"/>
        </w:rPr>
      </w:pPr>
      <w:r>
        <w:rPr>
          <w:color w:val="0070C0"/>
        </w:rPr>
        <w:t>As discussed above (Question 34), the breakdown of costs (and MBS fees) is described in terms of neurosurgery, neurology and radiology components. However, it is not intended that these MBS items are restricted for use only by neurosurgeons, neurologist or radiologists respectively. Rather, the breakdown reflects the cost of performing the service, irrespective of the number and qualification of the specialist physicians providing it.</w:t>
      </w:r>
    </w:p>
    <w:p w14:paraId="2F802A54" w14:textId="160BBDC8" w:rsidR="001F4C7F" w:rsidRDefault="001F4C7F" w:rsidP="005213D6">
      <w:pPr>
        <w:rPr>
          <w:color w:val="0070C0"/>
        </w:rPr>
      </w:pPr>
      <w:r w:rsidRPr="00956793">
        <w:rPr>
          <w:color w:val="0070C0"/>
        </w:rPr>
        <w:t xml:space="preserve">It is anticipated the cost of </w:t>
      </w:r>
      <w:r>
        <w:rPr>
          <w:color w:val="0070C0"/>
        </w:rPr>
        <w:t xml:space="preserve">a </w:t>
      </w:r>
      <w:r w:rsidRPr="00956793">
        <w:rPr>
          <w:color w:val="0070C0"/>
        </w:rPr>
        <w:t xml:space="preserve">hospital admission </w:t>
      </w:r>
      <w:r>
        <w:rPr>
          <w:color w:val="0070C0"/>
        </w:rPr>
        <w:t xml:space="preserve">for </w:t>
      </w:r>
      <w:proofErr w:type="spellStart"/>
      <w:r>
        <w:rPr>
          <w:color w:val="0070C0"/>
        </w:rPr>
        <w:t>MRgFUS</w:t>
      </w:r>
      <w:proofErr w:type="spellEnd"/>
      <w:r>
        <w:rPr>
          <w:color w:val="0070C0"/>
        </w:rPr>
        <w:t xml:space="preserve"> </w:t>
      </w:r>
      <w:r w:rsidRPr="00956793">
        <w:rPr>
          <w:color w:val="0070C0"/>
        </w:rPr>
        <w:t>would incorporate a</w:t>
      </w:r>
      <w:r>
        <w:rPr>
          <w:color w:val="0070C0"/>
        </w:rPr>
        <w:t>mortisatio</w:t>
      </w:r>
      <w:r w:rsidRPr="00956793">
        <w:rPr>
          <w:color w:val="0070C0"/>
        </w:rPr>
        <w:t xml:space="preserve">n </w:t>
      </w:r>
      <w:r w:rsidR="00AD18FC">
        <w:rPr>
          <w:color w:val="0070C0"/>
        </w:rPr>
        <w:t xml:space="preserve">and maintenance </w:t>
      </w:r>
      <w:r w:rsidRPr="00956793">
        <w:rPr>
          <w:color w:val="0070C0"/>
        </w:rPr>
        <w:t>of capital equipment</w:t>
      </w:r>
      <w:r w:rsidR="00AD18FC">
        <w:rPr>
          <w:color w:val="0070C0"/>
        </w:rPr>
        <w:t>,</w:t>
      </w:r>
      <w:r w:rsidRPr="00956793">
        <w:rPr>
          <w:color w:val="0070C0"/>
        </w:rPr>
        <w:t xml:space="preserve"> operating theatre</w:t>
      </w:r>
      <w:r>
        <w:rPr>
          <w:color w:val="0070C0"/>
        </w:rPr>
        <w:t xml:space="preserve"> costs</w:t>
      </w:r>
      <w:r w:rsidR="00AD18FC">
        <w:rPr>
          <w:color w:val="0070C0"/>
        </w:rPr>
        <w:t xml:space="preserve"> and inpatient stay</w:t>
      </w:r>
      <w:r w:rsidRPr="00956793">
        <w:rPr>
          <w:color w:val="0070C0"/>
        </w:rPr>
        <w:t>.</w:t>
      </w:r>
      <w:r>
        <w:rPr>
          <w:color w:val="0070C0"/>
        </w:rPr>
        <w:t xml:space="preserve"> An overall cost breakdown for delivery of </w:t>
      </w:r>
      <w:proofErr w:type="spellStart"/>
      <w:r>
        <w:rPr>
          <w:color w:val="0070C0"/>
        </w:rPr>
        <w:t>MRgFUS</w:t>
      </w:r>
      <w:proofErr w:type="spellEnd"/>
      <w:r>
        <w:rPr>
          <w:color w:val="0070C0"/>
        </w:rPr>
        <w:t xml:space="preserve"> procedure (and compared to DBS) is presented in </w:t>
      </w:r>
      <w:r>
        <w:rPr>
          <w:color w:val="0070C0"/>
        </w:rPr>
        <w:fldChar w:fldCharType="begin"/>
      </w:r>
      <w:r>
        <w:rPr>
          <w:color w:val="0070C0"/>
        </w:rPr>
        <w:instrText xml:space="preserve"> REF _Ref23500141 \h </w:instrText>
      </w:r>
      <w:r>
        <w:rPr>
          <w:color w:val="0070C0"/>
        </w:rPr>
      </w:r>
      <w:r>
        <w:rPr>
          <w:color w:val="0070C0"/>
        </w:rPr>
        <w:fldChar w:fldCharType="separate"/>
      </w:r>
      <w:r w:rsidR="005213D6" w:rsidRPr="00B20E1A">
        <w:rPr>
          <w:color w:val="0070C0"/>
        </w:rPr>
        <w:t xml:space="preserve">Table </w:t>
      </w:r>
      <w:r w:rsidR="005213D6">
        <w:rPr>
          <w:noProof/>
          <w:color w:val="0070C0"/>
        </w:rPr>
        <w:t>5</w:t>
      </w:r>
      <w:r>
        <w:rPr>
          <w:color w:val="0070C0"/>
        </w:rPr>
        <w:fldChar w:fldCharType="end"/>
      </w:r>
      <w:r>
        <w:rPr>
          <w:color w:val="0070C0"/>
        </w:rPr>
        <w:t xml:space="preserve">. </w:t>
      </w:r>
    </w:p>
    <w:p w14:paraId="62E4A70A" w14:textId="04BB7196" w:rsidR="001F4C7F" w:rsidRPr="00B20E1A" w:rsidRDefault="001F4C7F" w:rsidP="005213D6">
      <w:pPr>
        <w:pStyle w:val="Caption"/>
        <w:rPr>
          <w:color w:val="0070C0"/>
        </w:rPr>
      </w:pPr>
      <w:bookmarkStart w:id="12" w:name="_Ref23500141"/>
      <w:r w:rsidRPr="00B20E1A">
        <w:rPr>
          <w:color w:val="0070C0"/>
        </w:rPr>
        <w:lastRenderedPageBreak/>
        <w:t xml:space="preserve">Table </w:t>
      </w:r>
      <w:r w:rsidRPr="00B20E1A">
        <w:rPr>
          <w:color w:val="0070C0"/>
        </w:rPr>
        <w:fldChar w:fldCharType="begin"/>
      </w:r>
      <w:r w:rsidRPr="00B20E1A">
        <w:rPr>
          <w:color w:val="0070C0"/>
        </w:rPr>
        <w:instrText xml:space="preserve"> SEQ Table \* ARABIC </w:instrText>
      </w:r>
      <w:r w:rsidRPr="00B20E1A">
        <w:rPr>
          <w:color w:val="0070C0"/>
        </w:rPr>
        <w:fldChar w:fldCharType="separate"/>
      </w:r>
      <w:r w:rsidR="005213D6">
        <w:rPr>
          <w:noProof/>
          <w:color w:val="0070C0"/>
        </w:rPr>
        <w:t>5</w:t>
      </w:r>
      <w:r w:rsidRPr="00B20E1A">
        <w:rPr>
          <w:noProof/>
          <w:color w:val="0070C0"/>
        </w:rPr>
        <w:fldChar w:fldCharType="end"/>
      </w:r>
      <w:bookmarkEnd w:id="12"/>
      <w:r w:rsidRPr="00B20E1A">
        <w:rPr>
          <w:color w:val="0070C0"/>
        </w:rPr>
        <w:tab/>
      </w:r>
      <w:r>
        <w:rPr>
          <w:color w:val="0070C0"/>
        </w:rPr>
        <w:t xml:space="preserve">Comparison of approximate cost profile for </w:t>
      </w:r>
      <w:proofErr w:type="spellStart"/>
      <w:r>
        <w:rPr>
          <w:color w:val="0070C0"/>
        </w:rPr>
        <w:t>MRgFUS</w:t>
      </w:r>
      <w:proofErr w:type="spellEnd"/>
      <w:r>
        <w:rPr>
          <w:color w:val="0070C0"/>
        </w:rPr>
        <w:t xml:space="preserve"> and DBS procedure</w:t>
      </w:r>
    </w:p>
    <w:tbl>
      <w:tblPr>
        <w:tblStyle w:val="TableGrid"/>
        <w:tblW w:w="5000" w:type="pct"/>
        <w:tblLook w:val="04A0" w:firstRow="1" w:lastRow="0" w:firstColumn="1" w:lastColumn="0" w:noHBand="0" w:noVBand="1"/>
        <w:tblCaption w:val="Table 5"/>
      </w:tblPr>
      <w:tblGrid>
        <w:gridCol w:w="1521"/>
        <w:gridCol w:w="1742"/>
        <w:gridCol w:w="1744"/>
        <w:gridCol w:w="2267"/>
        <w:gridCol w:w="1742"/>
      </w:tblGrid>
      <w:tr w:rsidR="001F4C7F" w14:paraId="78D33F03" w14:textId="77777777" w:rsidTr="00D041D4">
        <w:trPr>
          <w:tblHeader/>
        </w:trPr>
        <w:tc>
          <w:tcPr>
            <w:tcW w:w="902" w:type="pct"/>
          </w:tcPr>
          <w:p w14:paraId="78E91241" w14:textId="77777777" w:rsidR="001F4C7F" w:rsidRPr="00D931DD" w:rsidRDefault="001F4C7F" w:rsidP="00D64012">
            <w:pPr>
              <w:pStyle w:val="TableText"/>
              <w:rPr>
                <w:b/>
                <w:bCs/>
                <w:color w:val="0070C0"/>
              </w:rPr>
            </w:pPr>
            <w:r>
              <w:rPr>
                <w:b/>
                <w:bCs/>
                <w:color w:val="0070C0"/>
              </w:rPr>
              <w:t>Cost item</w:t>
            </w:r>
          </w:p>
        </w:tc>
        <w:tc>
          <w:tcPr>
            <w:tcW w:w="2049" w:type="pct"/>
            <w:gridSpan w:val="2"/>
          </w:tcPr>
          <w:p w14:paraId="206E4FD6" w14:textId="77777777" w:rsidR="001F4C7F" w:rsidRPr="00D931DD" w:rsidRDefault="001F4C7F" w:rsidP="00D64012">
            <w:pPr>
              <w:pStyle w:val="TableText"/>
              <w:rPr>
                <w:b/>
                <w:bCs/>
                <w:color w:val="0070C0"/>
              </w:rPr>
            </w:pPr>
            <w:r w:rsidRPr="00D931DD">
              <w:rPr>
                <w:b/>
                <w:bCs/>
                <w:color w:val="0070C0"/>
              </w:rPr>
              <w:t>MRgFUS</w:t>
            </w:r>
          </w:p>
        </w:tc>
        <w:tc>
          <w:tcPr>
            <w:tcW w:w="2049" w:type="pct"/>
            <w:gridSpan w:val="2"/>
          </w:tcPr>
          <w:p w14:paraId="42F980E9" w14:textId="77777777" w:rsidR="001F4C7F" w:rsidRPr="00D51D2A" w:rsidRDefault="001F4C7F" w:rsidP="00D64012">
            <w:pPr>
              <w:pStyle w:val="TableText"/>
              <w:rPr>
                <w:b/>
                <w:bCs/>
                <w:color w:val="0070C0"/>
                <w:vertAlign w:val="superscript"/>
              </w:rPr>
            </w:pPr>
            <w:r w:rsidRPr="00D931DD">
              <w:rPr>
                <w:b/>
                <w:bCs/>
                <w:color w:val="0070C0"/>
              </w:rPr>
              <w:t>DBS</w:t>
            </w:r>
            <w:r>
              <w:rPr>
                <w:b/>
                <w:bCs/>
                <w:color w:val="0070C0"/>
                <w:vertAlign w:val="superscript"/>
              </w:rPr>
              <w:t>a</w:t>
            </w:r>
          </w:p>
        </w:tc>
      </w:tr>
      <w:tr w:rsidR="001F4C7F" w14:paraId="723B8472" w14:textId="77777777" w:rsidTr="005213D6">
        <w:tc>
          <w:tcPr>
            <w:tcW w:w="902" w:type="pct"/>
          </w:tcPr>
          <w:p w14:paraId="5B254428" w14:textId="77777777" w:rsidR="001F4C7F" w:rsidRDefault="001F4C7F" w:rsidP="00D64012">
            <w:pPr>
              <w:pStyle w:val="TableText"/>
              <w:rPr>
                <w:color w:val="0070C0"/>
              </w:rPr>
            </w:pPr>
            <w:r>
              <w:rPr>
                <w:color w:val="0070C0"/>
              </w:rPr>
              <w:t>Resource Item</w:t>
            </w:r>
          </w:p>
        </w:tc>
        <w:tc>
          <w:tcPr>
            <w:tcW w:w="1024" w:type="pct"/>
          </w:tcPr>
          <w:p w14:paraId="3FB4AC4A" w14:textId="77777777" w:rsidR="001F4C7F" w:rsidRDefault="001F4C7F" w:rsidP="00D64012">
            <w:pPr>
              <w:pStyle w:val="TableText"/>
              <w:rPr>
                <w:color w:val="0070C0"/>
              </w:rPr>
            </w:pPr>
            <w:r>
              <w:rPr>
                <w:color w:val="0070C0"/>
              </w:rPr>
              <w:t>Cost</w:t>
            </w:r>
          </w:p>
        </w:tc>
        <w:tc>
          <w:tcPr>
            <w:tcW w:w="1025" w:type="pct"/>
          </w:tcPr>
          <w:p w14:paraId="11427318" w14:textId="77777777" w:rsidR="001F4C7F" w:rsidRDefault="001F4C7F" w:rsidP="00D64012">
            <w:pPr>
              <w:pStyle w:val="TableText"/>
              <w:rPr>
                <w:color w:val="0070C0"/>
              </w:rPr>
            </w:pPr>
            <w:r>
              <w:rPr>
                <w:color w:val="0070C0"/>
              </w:rPr>
              <w:t>Reference</w:t>
            </w:r>
          </w:p>
        </w:tc>
        <w:tc>
          <w:tcPr>
            <w:tcW w:w="1025" w:type="pct"/>
          </w:tcPr>
          <w:p w14:paraId="3D461BE3" w14:textId="77777777" w:rsidR="001F4C7F" w:rsidRDefault="001F4C7F" w:rsidP="00D64012">
            <w:pPr>
              <w:pStyle w:val="TableText"/>
              <w:rPr>
                <w:color w:val="0070C0"/>
              </w:rPr>
            </w:pPr>
            <w:r>
              <w:rPr>
                <w:color w:val="0070C0"/>
              </w:rPr>
              <w:t>Cost</w:t>
            </w:r>
          </w:p>
        </w:tc>
        <w:tc>
          <w:tcPr>
            <w:tcW w:w="1025" w:type="pct"/>
          </w:tcPr>
          <w:p w14:paraId="45A8A7D6" w14:textId="77777777" w:rsidR="001F4C7F" w:rsidRDefault="001F4C7F" w:rsidP="00D64012">
            <w:pPr>
              <w:pStyle w:val="TableText"/>
              <w:rPr>
                <w:color w:val="0070C0"/>
              </w:rPr>
            </w:pPr>
            <w:r>
              <w:rPr>
                <w:color w:val="0070C0"/>
              </w:rPr>
              <w:t>Reference</w:t>
            </w:r>
          </w:p>
        </w:tc>
      </w:tr>
      <w:tr w:rsidR="001F4C7F" w14:paraId="5F15779E" w14:textId="77777777" w:rsidTr="005213D6">
        <w:tc>
          <w:tcPr>
            <w:tcW w:w="902" w:type="pct"/>
          </w:tcPr>
          <w:p w14:paraId="70550318" w14:textId="77777777" w:rsidR="001F4C7F" w:rsidRDefault="001F4C7F" w:rsidP="00D64012">
            <w:pPr>
              <w:pStyle w:val="TableText"/>
              <w:rPr>
                <w:color w:val="0070C0"/>
              </w:rPr>
            </w:pPr>
            <w:r>
              <w:rPr>
                <w:color w:val="0070C0"/>
              </w:rPr>
              <w:t>Neurosurgeon</w:t>
            </w:r>
          </w:p>
        </w:tc>
        <w:tc>
          <w:tcPr>
            <w:tcW w:w="1024" w:type="pct"/>
          </w:tcPr>
          <w:p w14:paraId="0864AF53" w14:textId="77777777" w:rsidR="001F4C7F" w:rsidRDefault="001F4C7F" w:rsidP="00D64012">
            <w:pPr>
              <w:pStyle w:val="TableText"/>
              <w:rPr>
                <w:color w:val="0070C0"/>
              </w:rPr>
            </w:pPr>
            <w:r w:rsidRPr="00D931DD">
              <w:rPr>
                <w:color w:val="0070C0"/>
              </w:rPr>
              <w:t>$2301-$4026</w:t>
            </w:r>
          </w:p>
        </w:tc>
        <w:tc>
          <w:tcPr>
            <w:tcW w:w="1025" w:type="pct"/>
          </w:tcPr>
          <w:p w14:paraId="19A6C385" w14:textId="77777777" w:rsidR="001F4C7F" w:rsidRDefault="001F4C7F" w:rsidP="00D64012">
            <w:pPr>
              <w:pStyle w:val="TableText"/>
              <w:rPr>
                <w:color w:val="0070C0"/>
              </w:rPr>
            </w:pPr>
            <w:r>
              <w:rPr>
                <w:color w:val="0070C0"/>
              </w:rPr>
              <w:t xml:space="preserve">Based on MBS items numbers </w:t>
            </w:r>
            <w:r w:rsidRPr="008C4238">
              <w:rPr>
                <w:color w:val="0070C0"/>
              </w:rPr>
              <w:t>4085</w:t>
            </w:r>
            <w:r>
              <w:rPr>
                <w:color w:val="0070C0"/>
              </w:rPr>
              <w:t xml:space="preserve">0 and </w:t>
            </w:r>
            <w:r w:rsidRPr="008C4238">
              <w:rPr>
                <w:color w:val="0070C0"/>
              </w:rPr>
              <w:t>40851</w:t>
            </w:r>
          </w:p>
        </w:tc>
        <w:tc>
          <w:tcPr>
            <w:tcW w:w="1025" w:type="pct"/>
          </w:tcPr>
          <w:p w14:paraId="2DA779EB" w14:textId="77777777" w:rsidR="001F4C7F" w:rsidRDefault="001F4C7F" w:rsidP="00D64012">
            <w:pPr>
              <w:pStyle w:val="TableText"/>
              <w:rPr>
                <w:color w:val="0070C0"/>
              </w:rPr>
            </w:pPr>
            <w:r w:rsidRPr="00D931DD">
              <w:rPr>
                <w:color w:val="0070C0"/>
              </w:rPr>
              <w:t>$2301</w:t>
            </w:r>
            <w:r>
              <w:rPr>
                <w:color w:val="0070C0"/>
              </w:rPr>
              <w:t>-</w:t>
            </w:r>
            <w:r w:rsidRPr="00D931DD">
              <w:rPr>
                <w:color w:val="0070C0"/>
              </w:rPr>
              <w:t>$4026</w:t>
            </w:r>
          </w:p>
        </w:tc>
        <w:tc>
          <w:tcPr>
            <w:tcW w:w="1025" w:type="pct"/>
          </w:tcPr>
          <w:p w14:paraId="0CFCF37B" w14:textId="77777777" w:rsidR="001F4C7F" w:rsidRDefault="001F4C7F" w:rsidP="00D64012">
            <w:pPr>
              <w:pStyle w:val="TableText"/>
              <w:rPr>
                <w:color w:val="0070C0"/>
              </w:rPr>
            </w:pPr>
            <w:r>
              <w:rPr>
                <w:color w:val="0070C0"/>
              </w:rPr>
              <w:t xml:space="preserve">MBS items numbers </w:t>
            </w:r>
            <w:r w:rsidRPr="008C4238">
              <w:rPr>
                <w:color w:val="0070C0"/>
              </w:rPr>
              <w:t>4085</w:t>
            </w:r>
            <w:r>
              <w:rPr>
                <w:color w:val="0070C0"/>
              </w:rPr>
              <w:t xml:space="preserve">0 and </w:t>
            </w:r>
            <w:r w:rsidRPr="008C4238">
              <w:rPr>
                <w:color w:val="0070C0"/>
              </w:rPr>
              <w:t>40851</w:t>
            </w:r>
          </w:p>
        </w:tc>
      </w:tr>
      <w:tr w:rsidR="001F4C7F" w14:paraId="734D86AC" w14:textId="77777777" w:rsidTr="005213D6">
        <w:tc>
          <w:tcPr>
            <w:tcW w:w="902" w:type="pct"/>
            <w:tcBorders>
              <w:bottom w:val="single" w:sz="4" w:space="0" w:color="auto"/>
            </w:tcBorders>
          </w:tcPr>
          <w:p w14:paraId="559AE29B" w14:textId="01D463AE" w:rsidR="001F4C7F" w:rsidRDefault="001F4C7F" w:rsidP="00D64012">
            <w:pPr>
              <w:pStyle w:val="TableText"/>
              <w:rPr>
                <w:color w:val="0070C0"/>
              </w:rPr>
            </w:pPr>
            <w:r>
              <w:rPr>
                <w:color w:val="0070C0"/>
              </w:rPr>
              <w:t>Neurologist MBS fee</w:t>
            </w:r>
          </w:p>
        </w:tc>
        <w:tc>
          <w:tcPr>
            <w:tcW w:w="1024" w:type="pct"/>
            <w:tcBorders>
              <w:bottom w:val="single" w:sz="4" w:space="0" w:color="auto"/>
            </w:tcBorders>
          </w:tcPr>
          <w:p w14:paraId="31F437F7" w14:textId="77777777" w:rsidR="001F4C7F" w:rsidRDefault="001F4C7F" w:rsidP="00D64012">
            <w:pPr>
              <w:pStyle w:val="TableText"/>
              <w:rPr>
                <w:color w:val="0070C0"/>
              </w:rPr>
            </w:pPr>
            <w:r w:rsidRPr="00034C73">
              <w:rPr>
                <w:color w:val="0070C0"/>
              </w:rPr>
              <w:t>$2,055</w:t>
            </w:r>
          </w:p>
        </w:tc>
        <w:tc>
          <w:tcPr>
            <w:tcW w:w="1025" w:type="pct"/>
            <w:tcBorders>
              <w:bottom w:val="single" w:sz="4" w:space="0" w:color="auto"/>
            </w:tcBorders>
          </w:tcPr>
          <w:p w14:paraId="0113C88A" w14:textId="77777777" w:rsidR="001F4C7F" w:rsidRDefault="001F4C7F" w:rsidP="00D64012">
            <w:pPr>
              <w:pStyle w:val="TableText"/>
              <w:rPr>
                <w:color w:val="0070C0"/>
              </w:rPr>
            </w:pPr>
            <w:r>
              <w:rPr>
                <w:color w:val="0070C0"/>
              </w:rPr>
              <w:t xml:space="preserve">Based on MBS items numbers </w:t>
            </w:r>
            <w:r w:rsidRPr="008C4238">
              <w:rPr>
                <w:color w:val="0070C0"/>
              </w:rPr>
              <w:t>408</w:t>
            </w:r>
            <w:r>
              <w:rPr>
                <w:color w:val="0070C0"/>
              </w:rPr>
              <w:t>60</w:t>
            </w:r>
          </w:p>
        </w:tc>
        <w:tc>
          <w:tcPr>
            <w:tcW w:w="1025" w:type="pct"/>
            <w:tcBorders>
              <w:bottom w:val="single" w:sz="4" w:space="0" w:color="auto"/>
            </w:tcBorders>
          </w:tcPr>
          <w:p w14:paraId="6F010662" w14:textId="77777777" w:rsidR="001F4C7F" w:rsidRDefault="001F4C7F" w:rsidP="00D64012">
            <w:pPr>
              <w:pStyle w:val="TableText"/>
              <w:rPr>
                <w:color w:val="0070C0"/>
              </w:rPr>
            </w:pPr>
            <w:r w:rsidRPr="00034C73">
              <w:rPr>
                <w:color w:val="0070C0"/>
              </w:rPr>
              <w:t>$2,055</w:t>
            </w:r>
          </w:p>
        </w:tc>
        <w:tc>
          <w:tcPr>
            <w:tcW w:w="1025" w:type="pct"/>
            <w:tcBorders>
              <w:bottom w:val="single" w:sz="4" w:space="0" w:color="auto"/>
            </w:tcBorders>
          </w:tcPr>
          <w:p w14:paraId="155EDCE9" w14:textId="77777777" w:rsidR="001F4C7F" w:rsidRDefault="001F4C7F" w:rsidP="00D64012">
            <w:pPr>
              <w:pStyle w:val="TableText"/>
              <w:rPr>
                <w:color w:val="0070C0"/>
              </w:rPr>
            </w:pPr>
            <w:r>
              <w:rPr>
                <w:color w:val="0070C0"/>
              </w:rPr>
              <w:t>MBS items number 40860</w:t>
            </w:r>
          </w:p>
        </w:tc>
      </w:tr>
      <w:tr w:rsidR="001F4C7F" w14:paraId="7BCE992C" w14:textId="77777777" w:rsidTr="005213D6">
        <w:tc>
          <w:tcPr>
            <w:tcW w:w="902" w:type="pct"/>
            <w:tcBorders>
              <w:bottom w:val="single" w:sz="4" w:space="0" w:color="auto"/>
            </w:tcBorders>
          </w:tcPr>
          <w:p w14:paraId="00345EE3" w14:textId="77777777" w:rsidR="001F4C7F" w:rsidRDefault="001F4C7F" w:rsidP="00D64012">
            <w:pPr>
              <w:pStyle w:val="TableText"/>
              <w:rPr>
                <w:color w:val="0070C0"/>
              </w:rPr>
            </w:pPr>
            <w:r>
              <w:rPr>
                <w:color w:val="0070C0"/>
              </w:rPr>
              <w:t>Radiologist fees</w:t>
            </w:r>
          </w:p>
        </w:tc>
        <w:tc>
          <w:tcPr>
            <w:tcW w:w="1024" w:type="pct"/>
            <w:tcBorders>
              <w:bottom w:val="single" w:sz="4" w:space="0" w:color="auto"/>
            </w:tcBorders>
          </w:tcPr>
          <w:p w14:paraId="7428DB3E" w14:textId="77777777" w:rsidR="001F4C7F" w:rsidRPr="00034C73" w:rsidRDefault="001F4C7F" w:rsidP="00D64012">
            <w:pPr>
              <w:pStyle w:val="TableText"/>
              <w:rPr>
                <w:color w:val="0070C0"/>
              </w:rPr>
            </w:pPr>
            <w:r>
              <w:rPr>
                <w:color w:val="0070C0"/>
              </w:rPr>
              <w:t>approx $2000 to $3000</w:t>
            </w:r>
          </w:p>
        </w:tc>
        <w:tc>
          <w:tcPr>
            <w:tcW w:w="1025" w:type="pct"/>
            <w:tcBorders>
              <w:bottom w:val="single" w:sz="4" w:space="0" w:color="auto"/>
            </w:tcBorders>
          </w:tcPr>
          <w:p w14:paraId="5E6FBCE1" w14:textId="77777777" w:rsidR="001F4C7F" w:rsidRDefault="001F4C7F" w:rsidP="00D64012">
            <w:pPr>
              <w:pStyle w:val="TableText"/>
              <w:rPr>
                <w:color w:val="0070C0"/>
              </w:rPr>
            </w:pPr>
            <w:r>
              <w:rPr>
                <w:color w:val="0070C0"/>
              </w:rPr>
              <w:t>Based on MBS item numbers for MRI Scan of the Head (5 to 6 in total before, during and after the procedure; see below)</w:t>
            </w:r>
          </w:p>
        </w:tc>
        <w:tc>
          <w:tcPr>
            <w:tcW w:w="1025" w:type="pct"/>
            <w:tcBorders>
              <w:bottom w:val="single" w:sz="4" w:space="0" w:color="auto"/>
            </w:tcBorders>
          </w:tcPr>
          <w:p w14:paraId="7FADE66A" w14:textId="77777777" w:rsidR="001F4C7F" w:rsidRPr="00034C73" w:rsidRDefault="001F4C7F" w:rsidP="00D64012">
            <w:pPr>
              <w:pStyle w:val="TableText"/>
              <w:rPr>
                <w:color w:val="0070C0"/>
              </w:rPr>
            </w:pPr>
            <w:r>
              <w:rPr>
                <w:color w:val="0070C0"/>
              </w:rPr>
              <w:t>Not applicable</w:t>
            </w:r>
          </w:p>
        </w:tc>
        <w:tc>
          <w:tcPr>
            <w:tcW w:w="1025" w:type="pct"/>
            <w:tcBorders>
              <w:bottom w:val="single" w:sz="4" w:space="0" w:color="auto"/>
            </w:tcBorders>
          </w:tcPr>
          <w:p w14:paraId="4D6D792D" w14:textId="77777777" w:rsidR="001F4C7F" w:rsidRDefault="001F4C7F" w:rsidP="00D64012">
            <w:pPr>
              <w:pStyle w:val="TableText"/>
              <w:rPr>
                <w:color w:val="0070C0"/>
              </w:rPr>
            </w:pPr>
            <w:r>
              <w:rPr>
                <w:color w:val="0070C0"/>
              </w:rPr>
              <w:t>$0</w:t>
            </w:r>
          </w:p>
        </w:tc>
      </w:tr>
      <w:tr w:rsidR="001F4C7F" w14:paraId="27FB2F93" w14:textId="77777777" w:rsidTr="005213D6">
        <w:tc>
          <w:tcPr>
            <w:tcW w:w="902" w:type="pct"/>
            <w:tcBorders>
              <w:bottom w:val="nil"/>
            </w:tcBorders>
          </w:tcPr>
          <w:p w14:paraId="3FD7276B" w14:textId="77777777" w:rsidR="001F4C7F" w:rsidRDefault="001F4C7F" w:rsidP="00D64012">
            <w:pPr>
              <w:pStyle w:val="TableText"/>
              <w:rPr>
                <w:color w:val="0070C0"/>
              </w:rPr>
            </w:pPr>
            <w:r>
              <w:rPr>
                <w:color w:val="0070C0"/>
              </w:rPr>
              <w:t>Prostheses / Single use consumables</w:t>
            </w:r>
          </w:p>
          <w:p w14:paraId="3C100638" w14:textId="77777777" w:rsidR="001F4C7F" w:rsidRDefault="001F4C7F" w:rsidP="00D64012">
            <w:pPr>
              <w:pStyle w:val="TableText"/>
              <w:rPr>
                <w:color w:val="0070C0"/>
              </w:rPr>
            </w:pPr>
          </w:p>
        </w:tc>
        <w:tc>
          <w:tcPr>
            <w:tcW w:w="1024" w:type="pct"/>
            <w:tcBorders>
              <w:bottom w:val="nil"/>
            </w:tcBorders>
          </w:tcPr>
          <w:p w14:paraId="4DCB5DB9" w14:textId="77777777" w:rsidR="001F4C7F" w:rsidRDefault="001F4C7F" w:rsidP="00D64012">
            <w:pPr>
              <w:pStyle w:val="TableText"/>
              <w:rPr>
                <w:color w:val="0070C0"/>
              </w:rPr>
            </w:pPr>
            <w:r>
              <w:rPr>
                <w:color w:val="0070C0"/>
              </w:rPr>
              <w:t>Price / Fee to be determined</w:t>
            </w:r>
          </w:p>
        </w:tc>
        <w:tc>
          <w:tcPr>
            <w:tcW w:w="1025" w:type="pct"/>
            <w:tcBorders>
              <w:bottom w:val="nil"/>
            </w:tcBorders>
          </w:tcPr>
          <w:p w14:paraId="0DD751B6" w14:textId="77777777" w:rsidR="001F4C7F" w:rsidRDefault="001F4C7F" w:rsidP="00D64012">
            <w:pPr>
              <w:pStyle w:val="TableText"/>
              <w:rPr>
                <w:color w:val="0070C0"/>
              </w:rPr>
            </w:pPr>
            <w:r>
              <w:rPr>
                <w:color w:val="0070C0"/>
              </w:rPr>
              <w:t>D</w:t>
            </w:r>
            <w:r w:rsidRPr="00D51D2A">
              <w:rPr>
                <w:color w:val="0070C0"/>
              </w:rPr>
              <w:t>isposable patient kit</w:t>
            </w:r>
          </w:p>
          <w:p w14:paraId="18665BE2" w14:textId="77777777" w:rsidR="001F4C7F" w:rsidRDefault="001F4C7F" w:rsidP="00D64012">
            <w:pPr>
              <w:pStyle w:val="TableText"/>
              <w:rPr>
                <w:color w:val="0070C0"/>
              </w:rPr>
            </w:pPr>
            <w:r>
              <w:rPr>
                <w:color w:val="0070C0"/>
              </w:rPr>
              <w:t>See Question 12</w:t>
            </w:r>
          </w:p>
        </w:tc>
        <w:tc>
          <w:tcPr>
            <w:tcW w:w="1025" w:type="pct"/>
            <w:tcBorders>
              <w:bottom w:val="nil"/>
            </w:tcBorders>
          </w:tcPr>
          <w:p w14:paraId="29DF9963" w14:textId="77777777" w:rsidR="001F4C7F" w:rsidRDefault="001F4C7F" w:rsidP="00D64012">
            <w:pPr>
              <w:pStyle w:val="TableText"/>
              <w:rPr>
                <w:color w:val="0070C0"/>
              </w:rPr>
            </w:pPr>
            <w:r>
              <w:rPr>
                <w:color w:val="0070C0"/>
              </w:rPr>
              <w:t>Generator: $8598, $14307, $18193, $20,900</w:t>
            </w:r>
          </w:p>
        </w:tc>
        <w:tc>
          <w:tcPr>
            <w:tcW w:w="1025" w:type="pct"/>
            <w:tcBorders>
              <w:bottom w:val="nil"/>
            </w:tcBorders>
          </w:tcPr>
          <w:p w14:paraId="020C2BDB" w14:textId="77777777" w:rsidR="001F4C7F" w:rsidRDefault="001F4C7F" w:rsidP="00D64012">
            <w:pPr>
              <w:pStyle w:val="TableText"/>
              <w:rPr>
                <w:color w:val="0070C0"/>
              </w:rPr>
            </w:pPr>
            <w:r>
              <w:rPr>
                <w:color w:val="0070C0"/>
              </w:rPr>
              <w:t>PL number: 040401</w:t>
            </w:r>
          </w:p>
        </w:tc>
      </w:tr>
      <w:tr w:rsidR="001F4C7F" w14:paraId="02ABBB32" w14:textId="77777777" w:rsidTr="005213D6">
        <w:tc>
          <w:tcPr>
            <w:tcW w:w="902" w:type="pct"/>
            <w:tcBorders>
              <w:top w:val="nil"/>
              <w:bottom w:val="nil"/>
            </w:tcBorders>
          </w:tcPr>
          <w:p w14:paraId="6A5CEB06" w14:textId="77777777" w:rsidR="001F4C7F" w:rsidRDefault="001F4C7F" w:rsidP="00D64012">
            <w:pPr>
              <w:pStyle w:val="TableText"/>
              <w:rPr>
                <w:color w:val="0070C0"/>
              </w:rPr>
            </w:pPr>
          </w:p>
        </w:tc>
        <w:tc>
          <w:tcPr>
            <w:tcW w:w="1024" w:type="pct"/>
            <w:tcBorders>
              <w:top w:val="nil"/>
              <w:bottom w:val="nil"/>
            </w:tcBorders>
          </w:tcPr>
          <w:p w14:paraId="09B1471C" w14:textId="77777777" w:rsidR="001F4C7F" w:rsidRDefault="001F4C7F" w:rsidP="00D64012">
            <w:pPr>
              <w:pStyle w:val="TableText"/>
              <w:rPr>
                <w:color w:val="0070C0"/>
              </w:rPr>
            </w:pPr>
          </w:p>
        </w:tc>
        <w:tc>
          <w:tcPr>
            <w:tcW w:w="1025" w:type="pct"/>
            <w:tcBorders>
              <w:top w:val="nil"/>
              <w:bottom w:val="nil"/>
            </w:tcBorders>
          </w:tcPr>
          <w:p w14:paraId="7101AF4C" w14:textId="77777777" w:rsidR="001F4C7F" w:rsidRDefault="001F4C7F" w:rsidP="00D64012">
            <w:pPr>
              <w:pStyle w:val="TableText"/>
              <w:rPr>
                <w:color w:val="0070C0"/>
              </w:rPr>
            </w:pPr>
          </w:p>
        </w:tc>
        <w:tc>
          <w:tcPr>
            <w:tcW w:w="1025" w:type="pct"/>
            <w:tcBorders>
              <w:top w:val="nil"/>
              <w:bottom w:val="nil"/>
            </w:tcBorders>
          </w:tcPr>
          <w:p w14:paraId="68AEE44D" w14:textId="77777777" w:rsidR="001F4C7F" w:rsidRDefault="001F4C7F" w:rsidP="00D64012">
            <w:pPr>
              <w:pStyle w:val="TableText"/>
              <w:rPr>
                <w:color w:val="0070C0"/>
              </w:rPr>
            </w:pPr>
            <w:r>
              <w:rPr>
                <w:color w:val="0070C0"/>
              </w:rPr>
              <w:t>Leads: $1995, $3943, $4337</w:t>
            </w:r>
          </w:p>
        </w:tc>
        <w:tc>
          <w:tcPr>
            <w:tcW w:w="1025" w:type="pct"/>
            <w:tcBorders>
              <w:top w:val="nil"/>
              <w:bottom w:val="nil"/>
            </w:tcBorders>
          </w:tcPr>
          <w:p w14:paraId="18795B2E" w14:textId="77777777" w:rsidR="001F4C7F" w:rsidRDefault="001F4C7F" w:rsidP="00D64012">
            <w:pPr>
              <w:pStyle w:val="TableText"/>
              <w:rPr>
                <w:color w:val="0070C0"/>
              </w:rPr>
            </w:pPr>
            <w:r>
              <w:rPr>
                <w:color w:val="0070C0"/>
              </w:rPr>
              <w:t>PL number: 040403</w:t>
            </w:r>
          </w:p>
        </w:tc>
      </w:tr>
      <w:tr w:rsidR="001F4C7F" w14:paraId="5588D34B" w14:textId="77777777" w:rsidTr="005213D6">
        <w:tc>
          <w:tcPr>
            <w:tcW w:w="902" w:type="pct"/>
            <w:tcBorders>
              <w:top w:val="nil"/>
              <w:bottom w:val="nil"/>
            </w:tcBorders>
          </w:tcPr>
          <w:p w14:paraId="11392B95" w14:textId="77777777" w:rsidR="001F4C7F" w:rsidRDefault="001F4C7F" w:rsidP="00D64012">
            <w:pPr>
              <w:pStyle w:val="TableText"/>
              <w:rPr>
                <w:color w:val="0070C0"/>
              </w:rPr>
            </w:pPr>
          </w:p>
        </w:tc>
        <w:tc>
          <w:tcPr>
            <w:tcW w:w="1024" w:type="pct"/>
            <w:tcBorders>
              <w:top w:val="nil"/>
              <w:bottom w:val="nil"/>
            </w:tcBorders>
          </w:tcPr>
          <w:p w14:paraId="5949B25F" w14:textId="77777777" w:rsidR="001F4C7F" w:rsidRDefault="001F4C7F" w:rsidP="00D64012">
            <w:pPr>
              <w:pStyle w:val="TableText"/>
              <w:rPr>
                <w:color w:val="0070C0"/>
              </w:rPr>
            </w:pPr>
          </w:p>
        </w:tc>
        <w:tc>
          <w:tcPr>
            <w:tcW w:w="1025" w:type="pct"/>
            <w:tcBorders>
              <w:top w:val="nil"/>
              <w:bottom w:val="nil"/>
            </w:tcBorders>
          </w:tcPr>
          <w:p w14:paraId="7B4CBCAD" w14:textId="77777777" w:rsidR="001F4C7F" w:rsidRDefault="001F4C7F" w:rsidP="00D64012">
            <w:pPr>
              <w:pStyle w:val="TableText"/>
              <w:rPr>
                <w:color w:val="0070C0"/>
              </w:rPr>
            </w:pPr>
          </w:p>
        </w:tc>
        <w:tc>
          <w:tcPr>
            <w:tcW w:w="1025" w:type="pct"/>
            <w:tcBorders>
              <w:top w:val="nil"/>
              <w:bottom w:val="nil"/>
            </w:tcBorders>
          </w:tcPr>
          <w:p w14:paraId="49EF34B4" w14:textId="77777777" w:rsidR="001F4C7F" w:rsidRDefault="001F4C7F" w:rsidP="00D64012">
            <w:pPr>
              <w:pStyle w:val="TableText"/>
              <w:rPr>
                <w:color w:val="0070C0"/>
              </w:rPr>
            </w:pPr>
            <w:r>
              <w:rPr>
                <w:color w:val="0070C0"/>
              </w:rPr>
              <w:t>External programmer: $1330, $1876</w:t>
            </w:r>
          </w:p>
        </w:tc>
        <w:tc>
          <w:tcPr>
            <w:tcW w:w="1025" w:type="pct"/>
            <w:tcBorders>
              <w:top w:val="nil"/>
              <w:bottom w:val="nil"/>
            </w:tcBorders>
          </w:tcPr>
          <w:p w14:paraId="78C5C0F8" w14:textId="77777777" w:rsidR="001F4C7F" w:rsidRDefault="001F4C7F" w:rsidP="00D64012">
            <w:pPr>
              <w:pStyle w:val="TableText"/>
              <w:rPr>
                <w:color w:val="0070C0"/>
              </w:rPr>
            </w:pPr>
            <w:r>
              <w:rPr>
                <w:color w:val="0070C0"/>
              </w:rPr>
              <w:t>PL number: 040402</w:t>
            </w:r>
          </w:p>
        </w:tc>
      </w:tr>
      <w:tr w:rsidR="001F4C7F" w14:paraId="7AC1DAA7" w14:textId="77777777" w:rsidTr="005213D6">
        <w:tc>
          <w:tcPr>
            <w:tcW w:w="902" w:type="pct"/>
            <w:tcBorders>
              <w:top w:val="nil"/>
              <w:bottom w:val="nil"/>
            </w:tcBorders>
          </w:tcPr>
          <w:p w14:paraId="7D1EBEFB" w14:textId="77777777" w:rsidR="001F4C7F" w:rsidRDefault="001F4C7F" w:rsidP="00D64012">
            <w:pPr>
              <w:pStyle w:val="TableText"/>
              <w:rPr>
                <w:color w:val="0070C0"/>
              </w:rPr>
            </w:pPr>
          </w:p>
        </w:tc>
        <w:tc>
          <w:tcPr>
            <w:tcW w:w="1024" w:type="pct"/>
            <w:tcBorders>
              <w:top w:val="nil"/>
              <w:bottom w:val="nil"/>
            </w:tcBorders>
          </w:tcPr>
          <w:p w14:paraId="1F91A21D" w14:textId="77777777" w:rsidR="001F4C7F" w:rsidRDefault="001F4C7F" w:rsidP="00D64012">
            <w:pPr>
              <w:pStyle w:val="TableText"/>
              <w:rPr>
                <w:color w:val="0070C0"/>
              </w:rPr>
            </w:pPr>
          </w:p>
        </w:tc>
        <w:tc>
          <w:tcPr>
            <w:tcW w:w="1025" w:type="pct"/>
            <w:tcBorders>
              <w:top w:val="nil"/>
              <w:bottom w:val="nil"/>
            </w:tcBorders>
          </w:tcPr>
          <w:p w14:paraId="310500FC" w14:textId="77777777" w:rsidR="001F4C7F" w:rsidRDefault="001F4C7F" w:rsidP="00D64012">
            <w:pPr>
              <w:pStyle w:val="TableText"/>
              <w:rPr>
                <w:color w:val="0070C0"/>
              </w:rPr>
            </w:pPr>
          </w:p>
        </w:tc>
        <w:tc>
          <w:tcPr>
            <w:tcW w:w="1025" w:type="pct"/>
            <w:tcBorders>
              <w:top w:val="nil"/>
              <w:bottom w:val="nil"/>
            </w:tcBorders>
          </w:tcPr>
          <w:p w14:paraId="2803A435" w14:textId="77777777" w:rsidR="001F4C7F" w:rsidRDefault="001F4C7F" w:rsidP="00D64012">
            <w:pPr>
              <w:pStyle w:val="TableText"/>
              <w:rPr>
                <w:color w:val="0070C0"/>
              </w:rPr>
            </w:pPr>
            <w:r>
              <w:rPr>
                <w:color w:val="0070C0"/>
              </w:rPr>
              <w:t>Electrodes $1425</w:t>
            </w:r>
          </w:p>
        </w:tc>
        <w:tc>
          <w:tcPr>
            <w:tcW w:w="1025" w:type="pct"/>
            <w:tcBorders>
              <w:top w:val="nil"/>
              <w:bottom w:val="nil"/>
            </w:tcBorders>
          </w:tcPr>
          <w:p w14:paraId="2EBF44DF" w14:textId="77777777" w:rsidR="001F4C7F" w:rsidRDefault="001F4C7F" w:rsidP="00D64012">
            <w:pPr>
              <w:pStyle w:val="TableText"/>
              <w:rPr>
                <w:color w:val="0070C0"/>
              </w:rPr>
            </w:pPr>
            <w:r>
              <w:rPr>
                <w:color w:val="0070C0"/>
              </w:rPr>
              <w:t>PL number: 040404</w:t>
            </w:r>
          </w:p>
        </w:tc>
      </w:tr>
      <w:tr w:rsidR="001F4C7F" w14:paraId="0C7A1EDD" w14:textId="77777777" w:rsidTr="005213D6">
        <w:tc>
          <w:tcPr>
            <w:tcW w:w="902" w:type="pct"/>
            <w:tcBorders>
              <w:top w:val="nil"/>
              <w:bottom w:val="nil"/>
            </w:tcBorders>
          </w:tcPr>
          <w:p w14:paraId="79EE28FB" w14:textId="77777777" w:rsidR="001F4C7F" w:rsidRDefault="001F4C7F" w:rsidP="00D64012">
            <w:pPr>
              <w:pStyle w:val="TableText"/>
              <w:rPr>
                <w:color w:val="0070C0"/>
              </w:rPr>
            </w:pPr>
          </w:p>
        </w:tc>
        <w:tc>
          <w:tcPr>
            <w:tcW w:w="1024" w:type="pct"/>
            <w:tcBorders>
              <w:top w:val="nil"/>
              <w:bottom w:val="nil"/>
            </w:tcBorders>
          </w:tcPr>
          <w:p w14:paraId="40A7302D" w14:textId="77777777" w:rsidR="001F4C7F" w:rsidRDefault="001F4C7F" w:rsidP="00D64012">
            <w:pPr>
              <w:pStyle w:val="TableText"/>
              <w:rPr>
                <w:color w:val="0070C0"/>
              </w:rPr>
            </w:pPr>
          </w:p>
        </w:tc>
        <w:tc>
          <w:tcPr>
            <w:tcW w:w="1025" w:type="pct"/>
            <w:tcBorders>
              <w:top w:val="nil"/>
              <w:bottom w:val="nil"/>
            </w:tcBorders>
          </w:tcPr>
          <w:p w14:paraId="68F00616" w14:textId="77777777" w:rsidR="001F4C7F" w:rsidRDefault="001F4C7F" w:rsidP="00D64012">
            <w:pPr>
              <w:pStyle w:val="TableText"/>
              <w:rPr>
                <w:color w:val="0070C0"/>
              </w:rPr>
            </w:pPr>
          </w:p>
        </w:tc>
        <w:tc>
          <w:tcPr>
            <w:tcW w:w="1025" w:type="pct"/>
            <w:tcBorders>
              <w:top w:val="nil"/>
              <w:bottom w:val="nil"/>
            </w:tcBorders>
          </w:tcPr>
          <w:p w14:paraId="5B266EBB" w14:textId="77777777" w:rsidR="001F4C7F" w:rsidRDefault="001F4C7F" w:rsidP="00D64012">
            <w:pPr>
              <w:pStyle w:val="TableText"/>
              <w:rPr>
                <w:color w:val="0070C0"/>
              </w:rPr>
            </w:pPr>
            <w:r>
              <w:rPr>
                <w:color w:val="0070C0"/>
              </w:rPr>
              <w:t>Accessories: $166, $190, $523</w:t>
            </w:r>
          </w:p>
        </w:tc>
        <w:tc>
          <w:tcPr>
            <w:tcW w:w="1025" w:type="pct"/>
            <w:tcBorders>
              <w:top w:val="nil"/>
              <w:bottom w:val="nil"/>
            </w:tcBorders>
          </w:tcPr>
          <w:p w14:paraId="6C72D59F" w14:textId="77777777" w:rsidR="001F4C7F" w:rsidRDefault="001F4C7F" w:rsidP="00D64012">
            <w:pPr>
              <w:pStyle w:val="TableText"/>
              <w:rPr>
                <w:color w:val="0070C0"/>
              </w:rPr>
            </w:pPr>
            <w:r>
              <w:rPr>
                <w:color w:val="0070C0"/>
              </w:rPr>
              <w:t>PL number: 040405</w:t>
            </w:r>
          </w:p>
        </w:tc>
      </w:tr>
      <w:tr w:rsidR="001F4C7F" w14:paraId="323476CE" w14:textId="77777777" w:rsidTr="005213D6">
        <w:tc>
          <w:tcPr>
            <w:tcW w:w="902" w:type="pct"/>
            <w:tcBorders>
              <w:top w:val="nil"/>
            </w:tcBorders>
          </w:tcPr>
          <w:p w14:paraId="43FEBF8E" w14:textId="77777777" w:rsidR="001F4C7F" w:rsidRDefault="001F4C7F" w:rsidP="00D64012">
            <w:pPr>
              <w:pStyle w:val="TableText"/>
              <w:rPr>
                <w:color w:val="0070C0"/>
              </w:rPr>
            </w:pPr>
          </w:p>
        </w:tc>
        <w:tc>
          <w:tcPr>
            <w:tcW w:w="1024" w:type="pct"/>
            <w:tcBorders>
              <w:top w:val="nil"/>
            </w:tcBorders>
          </w:tcPr>
          <w:p w14:paraId="1F077810" w14:textId="77777777" w:rsidR="001F4C7F" w:rsidRDefault="001F4C7F" w:rsidP="00D64012">
            <w:pPr>
              <w:pStyle w:val="TableText"/>
              <w:rPr>
                <w:color w:val="0070C0"/>
              </w:rPr>
            </w:pPr>
          </w:p>
        </w:tc>
        <w:tc>
          <w:tcPr>
            <w:tcW w:w="1025" w:type="pct"/>
            <w:tcBorders>
              <w:top w:val="nil"/>
            </w:tcBorders>
          </w:tcPr>
          <w:p w14:paraId="7C95D09B" w14:textId="77777777" w:rsidR="001F4C7F" w:rsidRDefault="001F4C7F" w:rsidP="00D64012">
            <w:pPr>
              <w:pStyle w:val="TableText"/>
              <w:rPr>
                <w:color w:val="0070C0"/>
              </w:rPr>
            </w:pPr>
          </w:p>
        </w:tc>
        <w:tc>
          <w:tcPr>
            <w:tcW w:w="1025" w:type="pct"/>
            <w:tcBorders>
              <w:top w:val="nil"/>
            </w:tcBorders>
          </w:tcPr>
          <w:p w14:paraId="1A70BF80" w14:textId="77777777" w:rsidR="001F4C7F" w:rsidRDefault="001F4C7F" w:rsidP="00D64012">
            <w:pPr>
              <w:pStyle w:val="TableText"/>
              <w:rPr>
                <w:color w:val="0070C0"/>
              </w:rPr>
            </w:pPr>
            <w:r>
              <w:rPr>
                <w:color w:val="0070C0"/>
              </w:rPr>
              <w:t>Total: approx $30,000 to $40,000 depending on brand and quantity of various devices used</w:t>
            </w:r>
          </w:p>
        </w:tc>
        <w:tc>
          <w:tcPr>
            <w:tcW w:w="1025" w:type="pct"/>
            <w:tcBorders>
              <w:top w:val="nil"/>
            </w:tcBorders>
          </w:tcPr>
          <w:p w14:paraId="726F4845" w14:textId="77777777" w:rsidR="001F4C7F" w:rsidRDefault="001F4C7F" w:rsidP="00D64012">
            <w:pPr>
              <w:pStyle w:val="TableText"/>
              <w:rPr>
                <w:color w:val="0070C0"/>
              </w:rPr>
            </w:pPr>
          </w:p>
        </w:tc>
      </w:tr>
      <w:tr w:rsidR="001F4C7F" w14:paraId="11D83A59" w14:textId="77777777" w:rsidTr="005213D6">
        <w:tc>
          <w:tcPr>
            <w:tcW w:w="902" w:type="pct"/>
          </w:tcPr>
          <w:p w14:paraId="21BE7A81" w14:textId="77777777" w:rsidR="001F4C7F" w:rsidRDefault="001F4C7F" w:rsidP="00D64012">
            <w:pPr>
              <w:pStyle w:val="TableText"/>
              <w:rPr>
                <w:color w:val="0070C0"/>
              </w:rPr>
            </w:pPr>
            <w:r>
              <w:rPr>
                <w:color w:val="0070C0"/>
              </w:rPr>
              <w:t>Anaesthesia</w:t>
            </w:r>
          </w:p>
        </w:tc>
        <w:tc>
          <w:tcPr>
            <w:tcW w:w="1024" w:type="pct"/>
          </w:tcPr>
          <w:p w14:paraId="236E6D26" w14:textId="77777777" w:rsidR="001F4C7F" w:rsidRDefault="001F4C7F" w:rsidP="00D64012">
            <w:pPr>
              <w:pStyle w:val="TableText"/>
              <w:rPr>
                <w:color w:val="0070C0"/>
              </w:rPr>
            </w:pPr>
            <w:r>
              <w:rPr>
                <w:color w:val="0070C0"/>
              </w:rPr>
              <w:t>Variable depending on individual patient needs, but is generally very rare/minor given the patient needs to be conscious during the procedure</w:t>
            </w:r>
          </w:p>
        </w:tc>
        <w:tc>
          <w:tcPr>
            <w:tcW w:w="1025" w:type="pct"/>
          </w:tcPr>
          <w:p w14:paraId="5E5E0CD1" w14:textId="77777777" w:rsidR="001F4C7F" w:rsidRDefault="001F4C7F" w:rsidP="00D64012">
            <w:pPr>
              <w:pStyle w:val="TableText"/>
              <w:rPr>
                <w:color w:val="0070C0"/>
              </w:rPr>
            </w:pPr>
            <w:r>
              <w:rPr>
                <w:color w:val="0070C0"/>
              </w:rPr>
              <w:t>To be investigated in the ADAR</w:t>
            </w:r>
          </w:p>
        </w:tc>
        <w:tc>
          <w:tcPr>
            <w:tcW w:w="1025" w:type="pct"/>
          </w:tcPr>
          <w:p w14:paraId="591E88BD" w14:textId="77777777" w:rsidR="001F4C7F" w:rsidRDefault="001F4C7F" w:rsidP="00D64012">
            <w:pPr>
              <w:pStyle w:val="TableText"/>
              <w:rPr>
                <w:color w:val="0070C0"/>
              </w:rPr>
            </w:pPr>
            <w:r>
              <w:rPr>
                <w:color w:val="0070C0"/>
              </w:rPr>
              <w:t>Variable depending on individual patient needs</w:t>
            </w:r>
          </w:p>
        </w:tc>
        <w:tc>
          <w:tcPr>
            <w:tcW w:w="1025" w:type="pct"/>
          </w:tcPr>
          <w:p w14:paraId="03709A33" w14:textId="77777777" w:rsidR="001F4C7F" w:rsidRDefault="001F4C7F" w:rsidP="00D64012">
            <w:pPr>
              <w:pStyle w:val="TableText"/>
              <w:rPr>
                <w:color w:val="0070C0"/>
              </w:rPr>
            </w:pPr>
            <w:r>
              <w:rPr>
                <w:color w:val="0070C0"/>
              </w:rPr>
              <w:t>To be investigated in the ADAR</w:t>
            </w:r>
          </w:p>
        </w:tc>
      </w:tr>
      <w:tr w:rsidR="001F4C7F" w14:paraId="67528B5A" w14:textId="77777777" w:rsidTr="005213D6">
        <w:tc>
          <w:tcPr>
            <w:tcW w:w="902" w:type="pct"/>
          </w:tcPr>
          <w:p w14:paraId="2F431511" w14:textId="77777777" w:rsidR="001F4C7F" w:rsidRDefault="001F4C7F" w:rsidP="00D64012">
            <w:pPr>
              <w:pStyle w:val="TableText"/>
              <w:rPr>
                <w:color w:val="0070C0"/>
              </w:rPr>
            </w:pPr>
            <w:r>
              <w:rPr>
                <w:color w:val="0070C0"/>
              </w:rPr>
              <w:t>Hospital admission</w:t>
            </w:r>
          </w:p>
        </w:tc>
        <w:tc>
          <w:tcPr>
            <w:tcW w:w="1024" w:type="pct"/>
          </w:tcPr>
          <w:p w14:paraId="3B8BF183" w14:textId="77777777" w:rsidR="001F4C7F" w:rsidRDefault="001F4C7F" w:rsidP="00D64012">
            <w:pPr>
              <w:pStyle w:val="TableText"/>
              <w:rPr>
                <w:color w:val="0070C0"/>
              </w:rPr>
            </w:pPr>
            <w:r>
              <w:rPr>
                <w:color w:val="0070C0"/>
              </w:rPr>
              <w:t>To be determined</w:t>
            </w:r>
          </w:p>
        </w:tc>
        <w:tc>
          <w:tcPr>
            <w:tcW w:w="1025" w:type="pct"/>
          </w:tcPr>
          <w:p w14:paraId="02BCFB3F" w14:textId="77777777" w:rsidR="001F4C7F" w:rsidRDefault="001F4C7F" w:rsidP="00D64012">
            <w:pPr>
              <w:pStyle w:val="TableText"/>
              <w:rPr>
                <w:color w:val="0070C0"/>
              </w:rPr>
            </w:pPr>
            <w:r>
              <w:rPr>
                <w:color w:val="0070C0"/>
              </w:rPr>
              <w:t>Costs to i</w:t>
            </w:r>
            <w:r w:rsidRPr="00956793">
              <w:rPr>
                <w:color w:val="0070C0"/>
              </w:rPr>
              <w:t>ncorporate</w:t>
            </w:r>
            <w:r>
              <w:rPr>
                <w:color w:val="0070C0"/>
              </w:rPr>
              <w:t>:</w:t>
            </w:r>
          </w:p>
          <w:p w14:paraId="26FF4C65" w14:textId="77777777" w:rsidR="001F4C7F" w:rsidRDefault="001F4C7F" w:rsidP="00D64012">
            <w:pPr>
              <w:pStyle w:val="TableText"/>
              <w:rPr>
                <w:color w:val="0070C0"/>
              </w:rPr>
            </w:pPr>
            <w:r w:rsidRPr="00956793">
              <w:rPr>
                <w:color w:val="0070C0"/>
              </w:rPr>
              <w:t>operating theatre</w:t>
            </w:r>
          </w:p>
          <w:p w14:paraId="2B22947D" w14:textId="77777777" w:rsidR="001F4C7F" w:rsidRDefault="001F4C7F" w:rsidP="00D64012">
            <w:pPr>
              <w:pStyle w:val="TableText"/>
              <w:rPr>
                <w:color w:val="0070C0"/>
              </w:rPr>
            </w:pPr>
            <w:r w:rsidRPr="00956793">
              <w:rPr>
                <w:color w:val="0070C0"/>
              </w:rPr>
              <w:t>a</w:t>
            </w:r>
            <w:r>
              <w:rPr>
                <w:color w:val="0070C0"/>
              </w:rPr>
              <w:t>mortisatio</w:t>
            </w:r>
            <w:r w:rsidRPr="00956793">
              <w:rPr>
                <w:color w:val="0070C0"/>
              </w:rPr>
              <w:t>n of capital equipment</w:t>
            </w:r>
          </w:p>
          <w:p w14:paraId="68A74910" w14:textId="77777777" w:rsidR="001F4C7F" w:rsidRDefault="001F4C7F" w:rsidP="00D64012">
            <w:pPr>
              <w:pStyle w:val="TableText"/>
              <w:rPr>
                <w:color w:val="0070C0"/>
              </w:rPr>
            </w:pPr>
            <w:r>
              <w:rPr>
                <w:color w:val="0070C0"/>
              </w:rPr>
              <w:t>ALOS of 1 to 2 days</w:t>
            </w:r>
          </w:p>
        </w:tc>
        <w:tc>
          <w:tcPr>
            <w:tcW w:w="1025" w:type="pct"/>
          </w:tcPr>
          <w:p w14:paraId="74AAD9DA" w14:textId="77777777" w:rsidR="001F4C7F" w:rsidRDefault="001F4C7F" w:rsidP="00D64012">
            <w:pPr>
              <w:pStyle w:val="TableText"/>
              <w:rPr>
                <w:color w:val="0070C0"/>
              </w:rPr>
            </w:pPr>
            <w:r>
              <w:rPr>
                <w:color w:val="0070C0"/>
              </w:rPr>
              <w:t>$22,255 to $64,776</w:t>
            </w:r>
          </w:p>
          <w:p w14:paraId="597487BD" w14:textId="77777777" w:rsidR="001F4C7F" w:rsidRDefault="001F4C7F" w:rsidP="00D64012">
            <w:pPr>
              <w:pStyle w:val="TableText"/>
              <w:rPr>
                <w:color w:val="0070C0"/>
              </w:rPr>
            </w:pPr>
            <w:r>
              <w:rPr>
                <w:color w:val="0070C0"/>
              </w:rPr>
              <w:t>(depending on complexity/complications)</w:t>
            </w:r>
          </w:p>
        </w:tc>
        <w:tc>
          <w:tcPr>
            <w:tcW w:w="1025" w:type="pct"/>
          </w:tcPr>
          <w:p w14:paraId="66884E20" w14:textId="77777777" w:rsidR="001F4C7F" w:rsidRDefault="001F4C7F" w:rsidP="00D64012">
            <w:pPr>
              <w:pStyle w:val="TableText"/>
              <w:rPr>
                <w:color w:val="0070C0"/>
              </w:rPr>
            </w:pPr>
            <w:r>
              <w:rPr>
                <w:color w:val="0070C0"/>
              </w:rPr>
              <w:t>AR-DRGs B02A to B02C (as used in MSAC application 1109)</w:t>
            </w:r>
          </w:p>
          <w:p w14:paraId="162A141E" w14:textId="77777777" w:rsidR="001F4C7F" w:rsidRDefault="001F4C7F" w:rsidP="00D64012">
            <w:pPr>
              <w:pStyle w:val="TableText"/>
              <w:rPr>
                <w:color w:val="0070C0"/>
              </w:rPr>
            </w:pPr>
            <w:r>
              <w:rPr>
                <w:color w:val="0070C0"/>
              </w:rPr>
              <w:t>ALOS of 6 to 19 days</w:t>
            </w:r>
          </w:p>
        </w:tc>
      </w:tr>
    </w:tbl>
    <w:p w14:paraId="64B8EE55" w14:textId="123A09B8" w:rsidR="001F4C7F" w:rsidRPr="005213D6" w:rsidRDefault="005213D6" w:rsidP="005213D6">
      <w:pPr>
        <w:rPr>
          <w:color w:val="0070C0"/>
          <w:sz w:val="18"/>
          <w:szCs w:val="20"/>
        </w:rPr>
      </w:pPr>
      <w:r w:rsidRPr="005213D6">
        <w:rPr>
          <w:color w:val="0070C0"/>
          <w:sz w:val="18"/>
          <w:szCs w:val="20"/>
        </w:rPr>
        <w:t xml:space="preserve">Note: </w:t>
      </w:r>
      <w:r w:rsidR="001F4C7F" w:rsidRPr="005213D6">
        <w:rPr>
          <w:color w:val="0070C0"/>
          <w:sz w:val="18"/>
          <w:szCs w:val="20"/>
        </w:rPr>
        <w:t>This comparison of the cost profile is intended to compare the cost of the respective procedures themselves. It does not include costs associated with maintaining and/or replacing the DBS system and components over the lifetime of the patient. These costs will be investigated in full in the economic evaluation to be included in the ADAR.</w:t>
      </w:r>
    </w:p>
    <w:p w14:paraId="259C2FA3" w14:textId="77777777" w:rsidR="001F4C7F" w:rsidRPr="00D51D2A" w:rsidRDefault="001F4C7F" w:rsidP="001F4C7F">
      <w:pPr>
        <w:rPr>
          <w:color w:val="0070C0"/>
        </w:rPr>
      </w:pPr>
    </w:p>
    <w:p w14:paraId="73DC443F" w14:textId="77777777" w:rsidR="001F4C7F" w:rsidRPr="00154B00" w:rsidRDefault="001F4C7F" w:rsidP="001F4C7F">
      <w:pPr>
        <w:pStyle w:val="Heading2"/>
      </w:pPr>
      <w:r w:rsidRPr="00154B00">
        <w:lastRenderedPageBreak/>
        <w:t xml:space="preserve">Specify how </w:t>
      </w:r>
      <w:r w:rsidRPr="00AE1188">
        <w:t>long</w:t>
      </w:r>
      <w:r w:rsidRPr="00154B00">
        <w:t xml:space="preserve"> the proposed medical ser</w:t>
      </w:r>
      <w:r>
        <w:t>vice typically takes to perform:</w:t>
      </w:r>
    </w:p>
    <w:p w14:paraId="64332264" w14:textId="77777777" w:rsidR="001F4C7F" w:rsidRPr="008C4238" w:rsidRDefault="001F4C7F" w:rsidP="001F4C7F">
      <w:pPr>
        <w:ind w:left="360"/>
        <w:rPr>
          <w:color w:val="0070C0"/>
        </w:rPr>
      </w:pPr>
      <w:r>
        <w:rPr>
          <w:color w:val="0070C0"/>
        </w:rPr>
        <w:t xml:space="preserve">The </w:t>
      </w:r>
      <w:proofErr w:type="spellStart"/>
      <w:r>
        <w:rPr>
          <w:color w:val="0070C0"/>
        </w:rPr>
        <w:t>MRgFUS</w:t>
      </w:r>
      <w:proofErr w:type="spellEnd"/>
      <w:r w:rsidRPr="00161DB4">
        <w:rPr>
          <w:color w:val="0070C0"/>
        </w:rPr>
        <w:t xml:space="preserve"> </w:t>
      </w:r>
      <w:r w:rsidRPr="00110477">
        <w:rPr>
          <w:color w:val="0070C0"/>
        </w:rPr>
        <w:t>procedure</w:t>
      </w:r>
      <w:r w:rsidRPr="00161DB4">
        <w:rPr>
          <w:color w:val="0070C0"/>
        </w:rPr>
        <w:t xml:space="preserve"> typically takes </w:t>
      </w:r>
      <w:r>
        <w:rPr>
          <w:color w:val="0070C0"/>
        </w:rPr>
        <w:t>3-4</w:t>
      </w:r>
      <w:r w:rsidRPr="00161DB4">
        <w:rPr>
          <w:color w:val="0070C0"/>
        </w:rPr>
        <w:t xml:space="preserve"> hours.</w:t>
      </w:r>
      <w:r>
        <w:rPr>
          <w:color w:val="0070C0"/>
        </w:rPr>
        <w:t xml:space="preserve"> This is similar to the procedure time for DBS, suggesting the item descriptors for unilateral and bilateral DBS are likely to be relevant benchmarks.</w:t>
      </w:r>
    </w:p>
    <w:p w14:paraId="18BB39C3" w14:textId="77777777" w:rsidR="001F4C7F" w:rsidRDefault="001F4C7F" w:rsidP="001F4C7F">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61A3A2BD" w14:textId="77777777" w:rsidR="001F4C7F" w:rsidRDefault="001F4C7F" w:rsidP="001F4C7F">
      <w:pPr>
        <w:ind w:left="360"/>
        <w:rPr>
          <w:color w:val="0070C0"/>
        </w:rPr>
      </w:pPr>
      <w:r>
        <w:rPr>
          <w:color w:val="0070C0"/>
        </w:rPr>
        <w:t>MBS item descriptors for radiology, neurology and neurosurgery components of the service are presented below. These MBS item numbers are presented in the context of the services performed as described in Question 27. Namely:</w:t>
      </w:r>
    </w:p>
    <w:p w14:paraId="5DA70FA4" w14:textId="65AE053A" w:rsidR="001F4C7F" w:rsidRDefault="001F4C7F" w:rsidP="001F4C7F">
      <w:pPr>
        <w:pStyle w:val="ListParagraph"/>
        <w:numPr>
          <w:ilvl w:val="0"/>
          <w:numId w:val="22"/>
        </w:numPr>
        <w:rPr>
          <w:color w:val="0070C0"/>
        </w:rPr>
      </w:pPr>
      <w:r w:rsidRPr="00732E35">
        <w:rPr>
          <w:color w:val="0070C0"/>
        </w:rPr>
        <w:t>Patient preparation</w:t>
      </w:r>
      <w:r w:rsidR="00FC586C">
        <w:rPr>
          <w:color w:val="0070C0"/>
        </w:rPr>
        <w:t xml:space="preserve"> and pre-surgical planning</w:t>
      </w:r>
    </w:p>
    <w:p w14:paraId="6D0FDE64" w14:textId="5BB7FF8C" w:rsidR="001F4C7F" w:rsidRDefault="00FC586C" w:rsidP="001F4C7F">
      <w:pPr>
        <w:pStyle w:val="ListParagraph"/>
        <w:numPr>
          <w:ilvl w:val="0"/>
          <w:numId w:val="22"/>
        </w:numPr>
        <w:rPr>
          <w:color w:val="0070C0"/>
        </w:rPr>
      </w:pPr>
      <w:r>
        <w:rPr>
          <w:color w:val="0070C0"/>
        </w:rPr>
        <w:t>Planning and t</w:t>
      </w:r>
      <w:r w:rsidR="001F4C7F" w:rsidRPr="00732E35">
        <w:rPr>
          <w:color w:val="0070C0"/>
        </w:rPr>
        <w:t>arget verification</w:t>
      </w:r>
    </w:p>
    <w:p w14:paraId="14D39E0A" w14:textId="77777777" w:rsidR="001F4C7F" w:rsidRDefault="001F4C7F" w:rsidP="001F4C7F">
      <w:pPr>
        <w:pStyle w:val="ListParagraph"/>
        <w:numPr>
          <w:ilvl w:val="0"/>
          <w:numId w:val="22"/>
        </w:numPr>
        <w:rPr>
          <w:color w:val="0070C0"/>
        </w:rPr>
      </w:pPr>
      <w:r w:rsidRPr="00732E35">
        <w:rPr>
          <w:color w:val="0070C0"/>
        </w:rPr>
        <w:t>Treatment</w:t>
      </w:r>
    </w:p>
    <w:p w14:paraId="01F7A017" w14:textId="1BB25608" w:rsidR="001F4C7F" w:rsidRPr="005213D6" w:rsidRDefault="001F4C7F" w:rsidP="005213D6">
      <w:pPr>
        <w:pStyle w:val="ListParagraph"/>
        <w:numPr>
          <w:ilvl w:val="0"/>
          <w:numId w:val="22"/>
        </w:numPr>
        <w:spacing w:after="240"/>
        <w:ind w:left="1077" w:hanging="357"/>
        <w:rPr>
          <w:color w:val="0070C0"/>
        </w:rPr>
      </w:pPr>
      <w:r w:rsidRPr="00732E35">
        <w:rPr>
          <w:color w:val="0070C0"/>
        </w:rPr>
        <w:t xml:space="preserve">Assessment </w:t>
      </w:r>
    </w:p>
    <w:p w14:paraId="13C545FC" w14:textId="1D35F3B2" w:rsidR="001F4C7F" w:rsidRPr="00432487" w:rsidRDefault="001F4C7F" w:rsidP="001F4C7F">
      <w:pPr>
        <w:ind w:left="360"/>
        <w:rPr>
          <w:color w:val="0070C0"/>
          <w:u w:val="single"/>
        </w:rPr>
      </w:pPr>
      <w:r w:rsidRPr="00432487">
        <w:rPr>
          <w:color w:val="0070C0"/>
          <w:u w:val="single"/>
        </w:rPr>
        <w:t>Patient preparation</w:t>
      </w:r>
      <w:r w:rsidR="00FC586C">
        <w:rPr>
          <w:color w:val="0070C0"/>
          <w:u w:val="single"/>
        </w:rPr>
        <w:t xml:space="preserve"> and pre-surgical planning</w:t>
      </w:r>
    </w:p>
    <w:p w14:paraId="121A8DCC" w14:textId="7003117F" w:rsidR="001F4C7F" w:rsidRPr="00732E35" w:rsidRDefault="00FC586C" w:rsidP="00FC586C">
      <w:pPr>
        <w:ind w:left="360"/>
        <w:rPr>
          <w:color w:val="0070C0"/>
        </w:rPr>
      </w:pPr>
      <w:r w:rsidRPr="00732E35">
        <w:rPr>
          <w:color w:val="0070C0"/>
        </w:rPr>
        <w:t xml:space="preserve">Several days </w:t>
      </w:r>
      <w:r>
        <w:rPr>
          <w:color w:val="0070C0"/>
        </w:rPr>
        <w:t xml:space="preserve">/ months </w:t>
      </w:r>
      <w:r w:rsidRPr="00732E35">
        <w:rPr>
          <w:color w:val="0070C0"/>
        </w:rPr>
        <w:t xml:space="preserve">before treatment, a </w:t>
      </w:r>
      <w:r>
        <w:rPr>
          <w:color w:val="0070C0"/>
        </w:rPr>
        <w:t xml:space="preserve">specialised </w:t>
      </w:r>
      <w:r w:rsidRPr="00732E35">
        <w:rPr>
          <w:color w:val="0070C0"/>
        </w:rPr>
        <w:t xml:space="preserve">CT scan is </w:t>
      </w:r>
      <w:r>
        <w:rPr>
          <w:color w:val="0070C0"/>
        </w:rPr>
        <w:t>performed</w:t>
      </w:r>
      <w:r w:rsidRPr="00732E35">
        <w:rPr>
          <w:color w:val="0070C0"/>
        </w:rPr>
        <w:t xml:space="preserve"> to detail the shape, thickness and den</w:t>
      </w:r>
      <w:r>
        <w:rPr>
          <w:color w:val="0070C0"/>
        </w:rPr>
        <w:t xml:space="preserve">sity of the patient’s skull. The skull density ratio (SDR) is calculated by the radiologist to assess whether sufficient energy can be delivered during the </w:t>
      </w:r>
      <w:proofErr w:type="spellStart"/>
      <w:r>
        <w:rPr>
          <w:color w:val="0070C0"/>
        </w:rPr>
        <w:t>MRgFUS</w:t>
      </w:r>
      <w:proofErr w:type="spellEnd"/>
      <w:r>
        <w:rPr>
          <w:color w:val="0070C0"/>
        </w:rPr>
        <w:t xml:space="preserve"> procedure and </w:t>
      </w:r>
      <w:r w:rsidRPr="00732E35">
        <w:rPr>
          <w:color w:val="0070C0"/>
        </w:rPr>
        <w:t xml:space="preserve">confirm </w:t>
      </w:r>
      <w:r>
        <w:rPr>
          <w:color w:val="0070C0"/>
        </w:rPr>
        <w:t xml:space="preserve">patient suitability. </w:t>
      </w:r>
      <w:r w:rsidRPr="00732E35">
        <w:rPr>
          <w:color w:val="0070C0"/>
        </w:rPr>
        <w:t>A pre-operative MRI</w:t>
      </w:r>
      <w:r>
        <w:rPr>
          <w:color w:val="0070C0"/>
        </w:rPr>
        <w:t xml:space="preserve"> scan</w:t>
      </w:r>
      <w:r w:rsidRPr="00732E35">
        <w:rPr>
          <w:color w:val="0070C0"/>
        </w:rPr>
        <w:t xml:space="preserve"> is also performed</w:t>
      </w:r>
      <w:r>
        <w:rPr>
          <w:color w:val="0070C0"/>
        </w:rPr>
        <w:t xml:space="preserve"> to exclude contraindications, assess the patient’s anatomy and plan the treatment. The pre-operative MRI scan is fused with the CT to more accurately guide treatment. Patients with suitable imaging evaluations are progressed towards planning for the procedure.</w:t>
      </w:r>
    </w:p>
    <w:p w14:paraId="1FBE8CE6" w14:textId="77777777" w:rsidR="001F4C7F" w:rsidRDefault="001F4C7F" w:rsidP="001F4C7F">
      <w:pPr>
        <w:ind w:left="360"/>
        <w:rPr>
          <w:color w:val="0070C0"/>
        </w:rPr>
      </w:pPr>
      <w:r>
        <w:rPr>
          <w:color w:val="0070C0"/>
        </w:rPr>
        <w:t>N</w:t>
      </w:r>
      <w:r w:rsidRPr="00432487">
        <w:rPr>
          <w:color w:val="0070C0"/>
        </w:rPr>
        <w:t>ew MBS item number requested for MRI of the brain to assess suitability</w:t>
      </w:r>
      <w:r>
        <w:rPr>
          <w:color w:val="0070C0"/>
        </w:rPr>
        <w:t>.</w:t>
      </w:r>
    </w:p>
    <w:p w14:paraId="6C301976" w14:textId="77777777" w:rsidR="001F4C7F" w:rsidRPr="00432487" w:rsidRDefault="001F4C7F" w:rsidP="001F4C7F">
      <w:pPr>
        <w:ind w:left="360"/>
        <w:rPr>
          <w:color w:val="0070C0"/>
        </w:rPr>
      </w:pPr>
      <w:r>
        <w:rPr>
          <w:color w:val="0070C0"/>
        </w:rPr>
        <w:t xml:space="preserve">The proposed wording and fee of this item number is based on other MRI Scan of the Head services </w:t>
      </w:r>
    </w:p>
    <w:p w14:paraId="0C4DAFC4" w14:textId="77777777" w:rsidR="001F4C7F" w:rsidRDefault="001F4C7F" w:rsidP="001F4C7F">
      <w:pPr>
        <w:ind w:left="360"/>
        <w:rPr>
          <w:color w:val="0070C0"/>
        </w:rPr>
      </w:pPr>
    </w:p>
    <w:tbl>
      <w:tblPr>
        <w:tblStyle w:val="TableGrid"/>
        <w:tblW w:w="9072" w:type="dxa"/>
        <w:tblInd w:w="279" w:type="dxa"/>
        <w:tblLook w:val="04A0" w:firstRow="1" w:lastRow="0" w:firstColumn="1" w:lastColumn="0" w:noHBand="0" w:noVBand="1"/>
        <w:tblCaption w:val="Proposed MBS item"/>
      </w:tblPr>
      <w:tblGrid>
        <w:gridCol w:w="3827"/>
        <w:gridCol w:w="5245"/>
      </w:tblGrid>
      <w:tr w:rsidR="001F4C7F" w:rsidRPr="00923896" w14:paraId="4F88B0A3" w14:textId="77777777" w:rsidTr="00D041D4">
        <w:trPr>
          <w:tblHeader/>
        </w:trPr>
        <w:tc>
          <w:tcPr>
            <w:tcW w:w="9072" w:type="dxa"/>
            <w:gridSpan w:val="2"/>
            <w:tcBorders>
              <w:bottom w:val="single" w:sz="2" w:space="0" w:color="auto"/>
            </w:tcBorders>
          </w:tcPr>
          <w:p w14:paraId="1B5CBB43" w14:textId="77777777" w:rsidR="001F4C7F" w:rsidRPr="00923896" w:rsidRDefault="001F4C7F" w:rsidP="00D64012">
            <w:pPr>
              <w:pStyle w:val="TableText"/>
              <w:jc w:val="right"/>
            </w:pPr>
            <w:r w:rsidRPr="00923896">
              <w:t xml:space="preserve">Category </w:t>
            </w:r>
            <w:r>
              <w:t>5</w:t>
            </w:r>
            <w:r w:rsidRPr="00923896">
              <w:t xml:space="preserve"> </w:t>
            </w:r>
            <w:r>
              <w:t>–</w:t>
            </w:r>
            <w:r w:rsidRPr="00923896">
              <w:t xml:space="preserve"> </w:t>
            </w:r>
            <w:r>
              <w:t>DIAGNOSTIC IMAGING SERVICES</w:t>
            </w:r>
          </w:p>
        </w:tc>
      </w:tr>
      <w:tr w:rsidR="001F4C7F" w:rsidRPr="00923896" w14:paraId="513AC2B8" w14:textId="77777777" w:rsidTr="00D64012">
        <w:tc>
          <w:tcPr>
            <w:tcW w:w="3827" w:type="dxa"/>
            <w:tcBorders>
              <w:top w:val="single" w:sz="2" w:space="0" w:color="auto"/>
              <w:left w:val="single" w:sz="2" w:space="0" w:color="auto"/>
              <w:bottom w:val="nil"/>
              <w:right w:val="nil"/>
            </w:tcBorders>
          </w:tcPr>
          <w:p w14:paraId="49ED3900" w14:textId="77777777" w:rsidR="001F4C7F" w:rsidRPr="00923896" w:rsidRDefault="001F4C7F" w:rsidP="00D64012">
            <w:pPr>
              <w:pStyle w:val="TableText"/>
            </w:pPr>
          </w:p>
        </w:tc>
        <w:tc>
          <w:tcPr>
            <w:tcW w:w="5245" w:type="dxa"/>
            <w:tcBorders>
              <w:top w:val="single" w:sz="2" w:space="0" w:color="auto"/>
              <w:left w:val="nil"/>
              <w:bottom w:val="nil"/>
              <w:right w:val="single" w:sz="2" w:space="0" w:color="auto"/>
            </w:tcBorders>
          </w:tcPr>
          <w:p w14:paraId="2CB0A266" w14:textId="77777777" w:rsidR="001F4C7F" w:rsidRPr="00923896" w:rsidRDefault="001F4C7F" w:rsidP="00D64012">
            <w:pPr>
              <w:pStyle w:val="TableText"/>
            </w:pPr>
            <w:r w:rsidRPr="00923896">
              <w:t>Group</w:t>
            </w:r>
            <w:r>
              <w:tab/>
            </w:r>
            <w:r>
              <w:tab/>
              <w:t>I5</w:t>
            </w:r>
            <w:r w:rsidRPr="00923896">
              <w:t xml:space="preserve"> </w:t>
            </w:r>
            <w:r>
              <w:t>–</w:t>
            </w:r>
            <w:r w:rsidRPr="00923896">
              <w:t xml:space="preserve"> </w:t>
            </w:r>
            <w:r>
              <w:t>Magnetic Resonance Imaging</w:t>
            </w:r>
          </w:p>
          <w:p w14:paraId="0F52DE07" w14:textId="77777777" w:rsidR="001F4C7F" w:rsidRDefault="001F4C7F" w:rsidP="00D64012">
            <w:pPr>
              <w:pStyle w:val="TableText"/>
            </w:pPr>
            <w:r w:rsidRPr="00923896">
              <w:t>Subgroup</w:t>
            </w:r>
            <w:r>
              <w:tab/>
              <w:t>1</w:t>
            </w:r>
            <w:r w:rsidRPr="00923896">
              <w:t xml:space="preserve"> </w:t>
            </w:r>
            <w:r>
              <w:t>–</w:t>
            </w:r>
            <w:r w:rsidRPr="00923896">
              <w:t xml:space="preserve"> </w:t>
            </w:r>
            <w:r>
              <w:t>Scan of Head – For Specific Conditions</w:t>
            </w:r>
          </w:p>
          <w:p w14:paraId="791C6424" w14:textId="77777777" w:rsidR="001F4C7F" w:rsidRPr="00923896" w:rsidRDefault="001F4C7F" w:rsidP="00D64012">
            <w:pPr>
              <w:pStyle w:val="TableText"/>
            </w:pPr>
          </w:p>
        </w:tc>
      </w:tr>
      <w:tr w:rsidR="001F4C7F" w:rsidRPr="00923896" w14:paraId="1311DCE1" w14:textId="77777777" w:rsidTr="00D64012">
        <w:tc>
          <w:tcPr>
            <w:tcW w:w="9072" w:type="dxa"/>
            <w:gridSpan w:val="2"/>
            <w:tcBorders>
              <w:top w:val="nil"/>
              <w:left w:val="single" w:sz="2" w:space="0" w:color="auto"/>
              <w:bottom w:val="nil"/>
              <w:right w:val="single" w:sz="2" w:space="0" w:color="auto"/>
            </w:tcBorders>
          </w:tcPr>
          <w:p w14:paraId="564D009B" w14:textId="77777777" w:rsidR="001F4C7F" w:rsidRDefault="001F4C7F" w:rsidP="00D64012">
            <w:pPr>
              <w:pStyle w:val="TableText"/>
            </w:pPr>
            <w: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631D2C7F" w14:textId="77777777" w:rsidR="001F4C7F" w:rsidRDefault="001F4C7F" w:rsidP="00D64012">
            <w:pPr>
              <w:pStyle w:val="TableText"/>
            </w:pPr>
          </w:p>
          <w:p w14:paraId="7140FD71" w14:textId="77777777" w:rsidR="001F4C7F" w:rsidRDefault="001F4C7F" w:rsidP="00D64012">
            <w:pPr>
              <w:pStyle w:val="TableText"/>
            </w:pPr>
            <w:r>
              <w:t xml:space="preserve">- assessment of suitability for treatment of essential tremor with </w:t>
            </w:r>
            <w:r w:rsidRPr="00432487">
              <w:t xml:space="preserve">MRI </w:t>
            </w:r>
            <w:r>
              <w:t>guided focussed ultrasound</w:t>
            </w:r>
          </w:p>
          <w:p w14:paraId="6547DB2C" w14:textId="77777777" w:rsidR="001F4C7F" w:rsidRDefault="001F4C7F" w:rsidP="00D64012">
            <w:pPr>
              <w:pStyle w:val="TableText"/>
            </w:pPr>
          </w:p>
          <w:p w14:paraId="10B02265" w14:textId="77777777" w:rsidR="001F4C7F" w:rsidRDefault="001F4C7F" w:rsidP="00D64012">
            <w:pPr>
              <w:pStyle w:val="TableText"/>
            </w:pPr>
            <w:r w:rsidRPr="003E1F0B">
              <w:t>Essential tremor where</w:t>
            </w:r>
            <w:r>
              <w:t>:</w:t>
            </w:r>
          </w:p>
          <w:p w14:paraId="50243663" w14:textId="77777777" w:rsidR="001F4C7F" w:rsidRDefault="001F4C7F" w:rsidP="00D64012">
            <w:pPr>
              <w:pStyle w:val="TableText"/>
              <w:numPr>
                <w:ilvl w:val="0"/>
                <w:numId w:val="18"/>
              </w:numPr>
            </w:pPr>
            <w:r>
              <w:t>S</w:t>
            </w:r>
            <w:r w:rsidRPr="003E1F0B">
              <w:t>ymptoms cause severe disability</w:t>
            </w:r>
            <w:r>
              <w:t>,</w:t>
            </w:r>
            <w:r w:rsidRPr="003E1F0B">
              <w:t xml:space="preserve"> </w:t>
            </w:r>
            <w:r>
              <w:t>and</w:t>
            </w:r>
          </w:p>
          <w:p w14:paraId="18474890" w14:textId="77777777" w:rsidR="001F4C7F" w:rsidRDefault="001F4C7F" w:rsidP="00D64012">
            <w:pPr>
              <w:pStyle w:val="TableText"/>
              <w:numPr>
                <w:ilvl w:val="0"/>
                <w:numId w:val="18"/>
              </w:numPr>
            </w:pPr>
            <w:r>
              <w:t xml:space="preserve">Tremor has </w:t>
            </w:r>
            <w:r w:rsidRPr="00292921">
              <w:t xml:space="preserve">proven refractory to, or recurred following, </w:t>
            </w:r>
            <w:r>
              <w:t>maximal medical therapy</w:t>
            </w:r>
          </w:p>
          <w:p w14:paraId="01B77291" w14:textId="77777777" w:rsidR="001F4C7F" w:rsidRDefault="001F4C7F" w:rsidP="00D64012">
            <w:pPr>
              <w:pStyle w:val="TableText"/>
            </w:pPr>
          </w:p>
          <w:p w14:paraId="75B2C544" w14:textId="77777777" w:rsidR="001F4C7F" w:rsidRDefault="001F4C7F" w:rsidP="00D64012">
            <w:pPr>
              <w:pStyle w:val="TableText"/>
            </w:pPr>
            <w:r>
              <w:t>Bulk bill incentive</w:t>
            </w:r>
          </w:p>
          <w:p w14:paraId="6646C26E" w14:textId="77777777" w:rsidR="001F4C7F" w:rsidRDefault="001F4C7F" w:rsidP="00D64012">
            <w:pPr>
              <w:pStyle w:val="TableText"/>
            </w:pPr>
          </w:p>
          <w:p w14:paraId="439DE920" w14:textId="77777777" w:rsidR="001F4C7F" w:rsidRDefault="001F4C7F" w:rsidP="00D64012">
            <w:pPr>
              <w:pStyle w:val="TableText"/>
            </w:pPr>
            <w:r>
              <w:t>(Anaes.)</w:t>
            </w:r>
          </w:p>
          <w:p w14:paraId="1C05516F" w14:textId="77777777" w:rsidR="001F4C7F" w:rsidRPr="00923896" w:rsidRDefault="001F4C7F" w:rsidP="00D64012">
            <w:pPr>
              <w:pStyle w:val="TableText"/>
            </w:pPr>
            <w:r>
              <w:t>Fee: $403.20 Benefit: 75% = $302.40 85% = $342.75</w:t>
            </w:r>
          </w:p>
        </w:tc>
      </w:tr>
      <w:tr w:rsidR="001F4C7F" w:rsidRPr="00923896" w14:paraId="2B42CAC9" w14:textId="77777777" w:rsidTr="00D64012">
        <w:tc>
          <w:tcPr>
            <w:tcW w:w="9072" w:type="dxa"/>
            <w:gridSpan w:val="2"/>
            <w:tcBorders>
              <w:top w:val="nil"/>
              <w:left w:val="single" w:sz="2" w:space="0" w:color="auto"/>
              <w:bottom w:val="single" w:sz="2" w:space="0" w:color="auto"/>
              <w:right w:val="single" w:sz="2" w:space="0" w:color="auto"/>
            </w:tcBorders>
          </w:tcPr>
          <w:p w14:paraId="2F535724" w14:textId="77777777" w:rsidR="001F4C7F" w:rsidRPr="00923896" w:rsidRDefault="001F4C7F" w:rsidP="00D64012">
            <w:pPr>
              <w:pStyle w:val="TableText"/>
            </w:pPr>
          </w:p>
        </w:tc>
      </w:tr>
    </w:tbl>
    <w:p w14:paraId="3C6A382B" w14:textId="77777777" w:rsidR="001F4C7F" w:rsidRDefault="001F4C7F" w:rsidP="001F4C7F">
      <w:pPr>
        <w:ind w:left="360"/>
        <w:rPr>
          <w:color w:val="0070C0"/>
        </w:rPr>
      </w:pPr>
    </w:p>
    <w:p w14:paraId="51F99779" w14:textId="0AD9D79E" w:rsidR="001F4C7F" w:rsidRPr="00E80A58" w:rsidRDefault="00FC586C" w:rsidP="001F4C7F">
      <w:pPr>
        <w:ind w:left="360"/>
        <w:rPr>
          <w:color w:val="0070C0"/>
          <w:u w:val="single"/>
        </w:rPr>
      </w:pPr>
      <w:r>
        <w:rPr>
          <w:color w:val="0070C0"/>
          <w:u w:val="single"/>
        </w:rPr>
        <w:t>Planning and t</w:t>
      </w:r>
      <w:r w:rsidR="001F4C7F" w:rsidRPr="00E80A58">
        <w:rPr>
          <w:color w:val="0070C0"/>
          <w:u w:val="single"/>
        </w:rPr>
        <w:t>arget verification</w:t>
      </w:r>
    </w:p>
    <w:p w14:paraId="025B751D" w14:textId="77777777" w:rsidR="00FC586C" w:rsidRDefault="00FC586C" w:rsidP="00FC586C">
      <w:pPr>
        <w:ind w:left="360"/>
        <w:rPr>
          <w:color w:val="0070C0"/>
        </w:rPr>
      </w:pPr>
      <w:r>
        <w:rPr>
          <w:color w:val="0070C0"/>
        </w:rPr>
        <w:t xml:space="preserve">On the day of treatment new images are acquired with the patient positioned with the stereotactic frame and </w:t>
      </w:r>
      <w:proofErr w:type="spellStart"/>
      <w:r>
        <w:rPr>
          <w:color w:val="0070C0"/>
        </w:rPr>
        <w:t>MRgFUS</w:t>
      </w:r>
      <w:proofErr w:type="spellEnd"/>
      <w:r>
        <w:rPr>
          <w:color w:val="0070C0"/>
        </w:rPr>
        <w:t xml:space="preserve"> system in situ (utilising body coil). These images are co-registered with the pre-operative imaging data. </w:t>
      </w:r>
    </w:p>
    <w:p w14:paraId="578BD404" w14:textId="77777777" w:rsidR="001F4C7F" w:rsidRDefault="001F4C7F" w:rsidP="001F4C7F">
      <w:pPr>
        <w:ind w:left="360"/>
        <w:rPr>
          <w:color w:val="0070C0"/>
        </w:rPr>
      </w:pPr>
      <w:r>
        <w:rPr>
          <w:color w:val="0070C0"/>
        </w:rPr>
        <w:lastRenderedPageBreak/>
        <w:t>N</w:t>
      </w:r>
      <w:r w:rsidRPr="00432487">
        <w:rPr>
          <w:color w:val="0070C0"/>
        </w:rPr>
        <w:t xml:space="preserve">ew MBS item number requested for MRI of the brain </w:t>
      </w:r>
      <w:r>
        <w:rPr>
          <w:color w:val="0070C0"/>
        </w:rPr>
        <w:t>and associated planning reports.</w:t>
      </w:r>
    </w:p>
    <w:p w14:paraId="2A517C8A" w14:textId="77777777" w:rsidR="001F4C7F" w:rsidRPr="00432487" w:rsidRDefault="001F4C7F" w:rsidP="001F4C7F">
      <w:pPr>
        <w:ind w:left="360"/>
        <w:rPr>
          <w:color w:val="0070C0"/>
        </w:rPr>
      </w:pPr>
      <w:r>
        <w:rPr>
          <w:color w:val="0070C0"/>
        </w:rPr>
        <w:t xml:space="preserve">The proposed wording and fee of this item number is based on another MBS item for planning of stereotactic neurosurgery (MBS item 63010). It may also be the case that a new MBS item number for this service may not be required but provided here for completeness the Head services </w:t>
      </w:r>
    </w:p>
    <w:p w14:paraId="132380DE" w14:textId="77777777" w:rsidR="001F4C7F" w:rsidRDefault="001F4C7F" w:rsidP="001F4C7F">
      <w:pPr>
        <w:ind w:left="360"/>
        <w:rPr>
          <w:color w:val="0070C0"/>
        </w:rPr>
      </w:pPr>
    </w:p>
    <w:tbl>
      <w:tblPr>
        <w:tblStyle w:val="TableGrid"/>
        <w:tblW w:w="9072" w:type="dxa"/>
        <w:tblInd w:w="279" w:type="dxa"/>
        <w:tblLook w:val="04A0" w:firstRow="1" w:lastRow="0" w:firstColumn="1" w:lastColumn="0" w:noHBand="0" w:noVBand="1"/>
        <w:tblCaption w:val="MBS item"/>
      </w:tblPr>
      <w:tblGrid>
        <w:gridCol w:w="3827"/>
        <w:gridCol w:w="5245"/>
      </w:tblGrid>
      <w:tr w:rsidR="001F4C7F" w:rsidRPr="00923896" w14:paraId="0CA61643" w14:textId="77777777" w:rsidTr="00D041D4">
        <w:trPr>
          <w:tblHeader/>
        </w:trPr>
        <w:tc>
          <w:tcPr>
            <w:tcW w:w="9072" w:type="dxa"/>
            <w:gridSpan w:val="2"/>
            <w:tcBorders>
              <w:bottom w:val="single" w:sz="2" w:space="0" w:color="auto"/>
            </w:tcBorders>
          </w:tcPr>
          <w:p w14:paraId="54138A1B" w14:textId="77777777" w:rsidR="001F4C7F" w:rsidRPr="00923896" w:rsidRDefault="001F4C7F" w:rsidP="00D64012">
            <w:pPr>
              <w:pStyle w:val="TableText"/>
              <w:jc w:val="right"/>
            </w:pPr>
            <w:r w:rsidRPr="00923896">
              <w:t xml:space="preserve">Category </w:t>
            </w:r>
            <w:r>
              <w:t>5</w:t>
            </w:r>
            <w:r w:rsidRPr="00923896">
              <w:t xml:space="preserve"> </w:t>
            </w:r>
            <w:r>
              <w:t>–</w:t>
            </w:r>
            <w:r w:rsidRPr="00923896">
              <w:t xml:space="preserve"> </w:t>
            </w:r>
            <w:r>
              <w:t>DIAGNOSTIC IMAGING SERVICES</w:t>
            </w:r>
          </w:p>
        </w:tc>
      </w:tr>
      <w:tr w:rsidR="001F4C7F" w:rsidRPr="00923896" w14:paraId="7F67E870" w14:textId="77777777" w:rsidTr="00D64012">
        <w:tc>
          <w:tcPr>
            <w:tcW w:w="3827" w:type="dxa"/>
            <w:tcBorders>
              <w:top w:val="single" w:sz="2" w:space="0" w:color="auto"/>
              <w:left w:val="single" w:sz="2" w:space="0" w:color="auto"/>
              <w:bottom w:val="nil"/>
              <w:right w:val="nil"/>
            </w:tcBorders>
          </w:tcPr>
          <w:p w14:paraId="5AB0C3C2" w14:textId="77777777" w:rsidR="001F4C7F" w:rsidRPr="00923896" w:rsidRDefault="001F4C7F" w:rsidP="00D64012">
            <w:pPr>
              <w:pStyle w:val="TableText"/>
            </w:pPr>
          </w:p>
        </w:tc>
        <w:tc>
          <w:tcPr>
            <w:tcW w:w="5245" w:type="dxa"/>
            <w:tcBorders>
              <w:top w:val="single" w:sz="2" w:space="0" w:color="auto"/>
              <w:left w:val="nil"/>
              <w:bottom w:val="nil"/>
              <w:right w:val="single" w:sz="2" w:space="0" w:color="auto"/>
            </w:tcBorders>
          </w:tcPr>
          <w:p w14:paraId="4A52C4E4" w14:textId="77777777" w:rsidR="001F4C7F" w:rsidRPr="00923896" w:rsidRDefault="001F4C7F" w:rsidP="00D64012">
            <w:pPr>
              <w:pStyle w:val="TableText"/>
            </w:pPr>
            <w:r w:rsidRPr="00923896">
              <w:t>Group</w:t>
            </w:r>
            <w:r>
              <w:tab/>
            </w:r>
            <w:r>
              <w:tab/>
              <w:t>I5</w:t>
            </w:r>
            <w:r w:rsidRPr="00923896">
              <w:t xml:space="preserve"> </w:t>
            </w:r>
            <w:r>
              <w:t>–</w:t>
            </w:r>
            <w:r w:rsidRPr="00923896">
              <w:t xml:space="preserve"> </w:t>
            </w:r>
            <w:r>
              <w:t>Magnetic Resonance Imaging</w:t>
            </w:r>
          </w:p>
          <w:p w14:paraId="64582961" w14:textId="77777777" w:rsidR="001F4C7F" w:rsidRDefault="001F4C7F" w:rsidP="00D64012">
            <w:pPr>
              <w:pStyle w:val="TableText"/>
            </w:pPr>
            <w:r w:rsidRPr="00923896">
              <w:t>Subgroup</w:t>
            </w:r>
            <w:r>
              <w:tab/>
              <w:t>1</w:t>
            </w:r>
            <w:r w:rsidRPr="00923896">
              <w:t xml:space="preserve"> </w:t>
            </w:r>
            <w:r>
              <w:t>–</w:t>
            </w:r>
            <w:r w:rsidRPr="00923896">
              <w:t xml:space="preserve"> </w:t>
            </w:r>
            <w:r>
              <w:t>Scan of Head – For Specific Conditions</w:t>
            </w:r>
          </w:p>
          <w:p w14:paraId="2538642D" w14:textId="77777777" w:rsidR="001F4C7F" w:rsidRPr="00923896" w:rsidRDefault="001F4C7F" w:rsidP="00D64012">
            <w:pPr>
              <w:pStyle w:val="TableText"/>
            </w:pPr>
          </w:p>
        </w:tc>
      </w:tr>
      <w:tr w:rsidR="001F4C7F" w:rsidRPr="00923896" w14:paraId="1140F82A" w14:textId="77777777" w:rsidTr="00D64012">
        <w:tc>
          <w:tcPr>
            <w:tcW w:w="9072" w:type="dxa"/>
            <w:gridSpan w:val="2"/>
            <w:tcBorders>
              <w:top w:val="nil"/>
              <w:left w:val="single" w:sz="2" w:space="0" w:color="auto"/>
              <w:bottom w:val="nil"/>
              <w:right w:val="single" w:sz="2" w:space="0" w:color="auto"/>
            </w:tcBorders>
          </w:tcPr>
          <w:p w14:paraId="504D0593" w14:textId="77777777" w:rsidR="001F4C7F" w:rsidRDefault="001F4C7F" w:rsidP="00D64012">
            <w:pPr>
              <w:pStyle w:val="TableText"/>
            </w:pPr>
            <w: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35DBC007" w14:textId="77777777" w:rsidR="001F4C7F" w:rsidRDefault="001F4C7F" w:rsidP="00D64012">
            <w:pPr>
              <w:pStyle w:val="TableText"/>
            </w:pPr>
          </w:p>
          <w:p w14:paraId="4A62AE66" w14:textId="77777777" w:rsidR="001F4C7F" w:rsidRPr="00E80A58" w:rsidRDefault="001F4C7F" w:rsidP="00D64012">
            <w:pPr>
              <w:rPr>
                <w:rFonts w:ascii="Arial" w:hAnsi="Arial" w:cs="Times New Roman"/>
                <w:noProof/>
                <w:sz w:val="18"/>
                <w:szCs w:val="24"/>
              </w:rPr>
            </w:pPr>
            <w:r>
              <w:t xml:space="preserve">- </w:t>
            </w:r>
            <w:r w:rsidRPr="00E80A58">
              <w:rPr>
                <w:rFonts w:ascii="Arial" w:hAnsi="Arial" w:cs="Times New Roman"/>
                <w:noProof/>
                <w:sz w:val="18"/>
                <w:szCs w:val="24"/>
              </w:rPr>
              <w:t>stereotactic scan of brain, with Fiducials in place, for the sole purpose to allow planning for MRI guided focussed ultrasound</w:t>
            </w:r>
          </w:p>
          <w:p w14:paraId="46C9616F" w14:textId="77777777" w:rsidR="001F4C7F" w:rsidRDefault="001F4C7F" w:rsidP="00D64012">
            <w:pPr>
              <w:pStyle w:val="TableText"/>
            </w:pPr>
          </w:p>
          <w:p w14:paraId="36ABCC1F" w14:textId="77777777" w:rsidR="001F4C7F" w:rsidRDefault="001F4C7F" w:rsidP="00D64012">
            <w:pPr>
              <w:pStyle w:val="TableText"/>
            </w:pPr>
            <w:r>
              <w:t>Bulk bill incentive</w:t>
            </w:r>
          </w:p>
          <w:p w14:paraId="77C29135" w14:textId="77777777" w:rsidR="001F4C7F" w:rsidRDefault="001F4C7F" w:rsidP="00D64012">
            <w:pPr>
              <w:pStyle w:val="TableText"/>
            </w:pPr>
          </w:p>
          <w:p w14:paraId="7E49972F" w14:textId="77777777" w:rsidR="001F4C7F" w:rsidRDefault="001F4C7F" w:rsidP="00D64012">
            <w:pPr>
              <w:pStyle w:val="TableText"/>
            </w:pPr>
            <w:r>
              <w:t>(Anaes.)</w:t>
            </w:r>
          </w:p>
          <w:p w14:paraId="6839ECDE" w14:textId="77777777" w:rsidR="001F4C7F" w:rsidRPr="00923896" w:rsidRDefault="001F4C7F" w:rsidP="00D64012">
            <w:pPr>
              <w:pStyle w:val="TableText"/>
            </w:pPr>
            <w:r w:rsidRPr="00E80A58">
              <w:t>Fee: $336.00 Benefit: 75% = $252.00 85% = $285.60</w:t>
            </w:r>
          </w:p>
        </w:tc>
      </w:tr>
      <w:tr w:rsidR="001F4C7F" w:rsidRPr="00923896" w14:paraId="4C3D2EB8" w14:textId="77777777" w:rsidTr="00D64012">
        <w:tc>
          <w:tcPr>
            <w:tcW w:w="9072" w:type="dxa"/>
            <w:gridSpan w:val="2"/>
            <w:tcBorders>
              <w:top w:val="nil"/>
              <w:left w:val="single" w:sz="2" w:space="0" w:color="auto"/>
              <w:bottom w:val="single" w:sz="2" w:space="0" w:color="auto"/>
              <w:right w:val="single" w:sz="2" w:space="0" w:color="auto"/>
            </w:tcBorders>
          </w:tcPr>
          <w:p w14:paraId="047D0BDF" w14:textId="77777777" w:rsidR="001F4C7F" w:rsidRPr="00923896" w:rsidRDefault="001F4C7F" w:rsidP="00D64012">
            <w:pPr>
              <w:pStyle w:val="TableText"/>
            </w:pPr>
          </w:p>
        </w:tc>
      </w:tr>
    </w:tbl>
    <w:p w14:paraId="551C1FDF" w14:textId="3CD375E7" w:rsidR="001F4C7F" w:rsidRPr="005213D6" w:rsidRDefault="001F4C7F" w:rsidP="00FC586C">
      <w:pPr>
        <w:ind w:left="360"/>
        <w:rPr>
          <w:color w:val="0070C0"/>
          <w:sz w:val="18"/>
          <w:szCs w:val="20"/>
        </w:rPr>
      </w:pPr>
      <w:r w:rsidRPr="005213D6">
        <w:rPr>
          <w:color w:val="0070C0"/>
          <w:sz w:val="18"/>
          <w:szCs w:val="20"/>
        </w:rPr>
        <w:t>Note: This proposed MBS item is identical to 63010 except MRI guided focussed ultrasound replaces the words “stereotactic neurosurgery”</w:t>
      </w:r>
    </w:p>
    <w:p w14:paraId="32FF85AE" w14:textId="77777777" w:rsidR="001F4C7F" w:rsidRPr="00732E35" w:rsidRDefault="001F4C7F" w:rsidP="001F4C7F">
      <w:pPr>
        <w:ind w:left="360"/>
        <w:rPr>
          <w:color w:val="0070C0"/>
        </w:rPr>
      </w:pPr>
    </w:p>
    <w:p w14:paraId="0FB82B9F" w14:textId="74D3C8A9" w:rsidR="001F4C7F" w:rsidRDefault="001F4C7F" w:rsidP="001F4C7F">
      <w:pPr>
        <w:ind w:left="360"/>
        <w:rPr>
          <w:color w:val="0070C0"/>
          <w:u w:val="single"/>
        </w:rPr>
      </w:pPr>
      <w:r w:rsidRPr="00E80A58">
        <w:rPr>
          <w:color w:val="0070C0"/>
          <w:u w:val="single"/>
        </w:rPr>
        <w:t>Treatment</w:t>
      </w:r>
      <w:r w:rsidR="00A75644">
        <w:rPr>
          <w:color w:val="0070C0"/>
          <w:u w:val="single"/>
        </w:rPr>
        <w:t>/ Intraoperative procedure</w:t>
      </w:r>
    </w:p>
    <w:p w14:paraId="4AD12FEC" w14:textId="175EE2CE" w:rsidR="00A75644" w:rsidRPr="00FC586C" w:rsidRDefault="00A75644" w:rsidP="00FC586C">
      <w:pPr>
        <w:ind w:left="360"/>
        <w:rPr>
          <w:color w:val="0070C0"/>
        </w:rPr>
      </w:pPr>
      <w:r w:rsidRPr="00A75644">
        <w:rPr>
          <w:color w:val="0070C0"/>
        </w:rPr>
        <w:t>The intr</w:t>
      </w:r>
      <w:r>
        <w:rPr>
          <w:color w:val="0070C0"/>
        </w:rPr>
        <w:t>a</w:t>
      </w:r>
      <w:r w:rsidRPr="00A75644">
        <w:rPr>
          <w:color w:val="0070C0"/>
        </w:rPr>
        <w:t xml:space="preserve">operative procedure </w:t>
      </w:r>
      <w:r>
        <w:rPr>
          <w:color w:val="0070C0"/>
        </w:rPr>
        <w:t>requires three item numbers. One for the neurosurgery, neurology and radiology services provided respectively. Although, as noted previously, it is intended that there be no restrictions placed on the specialty of the physician(s) performing these services (provided they are adequately trained and qualified).</w:t>
      </w:r>
    </w:p>
    <w:p w14:paraId="276E2A36" w14:textId="77777777" w:rsidR="001F4C7F" w:rsidRPr="00E80A58" w:rsidRDefault="001F4C7F" w:rsidP="001F4C7F">
      <w:pPr>
        <w:ind w:firstLine="360"/>
        <w:rPr>
          <w:color w:val="0070C0"/>
        </w:rPr>
      </w:pPr>
      <w:r>
        <w:rPr>
          <w:color w:val="0070C0"/>
        </w:rPr>
        <w:t>N</w:t>
      </w:r>
      <w:r w:rsidRPr="00E80A58">
        <w:rPr>
          <w:color w:val="0070C0"/>
        </w:rPr>
        <w:t xml:space="preserve">ew MBS item number requested for </w:t>
      </w:r>
      <w:r w:rsidRPr="00CE3FEC">
        <w:rPr>
          <w:color w:val="0070C0"/>
        </w:rPr>
        <w:t>neurology</w:t>
      </w:r>
      <w:r w:rsidRPr="00E80A58">
        <w:rPr>
          <w:color w:val="0070C0"/>
        </w:rPr>
        <w:t xml:space="preserve"> services provided during the procedure</w:t>
      </w:r>
    </w:p>
    <w:p w14:paraId="48561CFA" w14:textId="77777777" w:rsidR="001F4C7F" w:rsidRDefault="001F4C7F" w:rsidP="001F4C7F">
      <w:pPr>
        <w:ind w:left="360"/>
        <w:rPr>
          <w:color w:val="0070C0"/>
        </w:rPr>
      </w:pPr>
      <w:r>
        <w:rPr>
          <w:color w:val="0070C0"/>
        </w:rPr>
        <w:t>The MBS item wording and fee is based on the analogous service provided during deep brain stimulation procedure (MBS item 40860)</w:t>
      </w:r>
    </w:p>
    <w:tbl>
      <w:tblPr>
        <w:tblStyle w:val="TableGrid"/>
        <w:tblW w:w="0" w:type="auto"/>
        <w:tblInd w:w="279" w:type="dxa"/>
        <w:tblLook w:val="04A0" w:firstRow="1" w:lastRow="0" w:firstColumn="1" w:lastColumn="0" w:noHBand="0" w:noVBand="1"/>
        <w:tblCaption w:val="MBS item"/>
      </w:tblPr>
      <w:tblGrid>
        <w:gridCol w:w="3827"/>
        <w:gridCol w:w="4910"/>
      </w:tblGrid>
      <w:tr w:rsidR="001F4C7F" w:rsidRPr="00923896" w14:paraId="38473D8A" w14:textId="77777777" w:rsidTr="00D041D4">
        <w:trPr>
          <w:tblHeader/>
        </w:trPr>
        <w:tc>
          <w:tcPr>
            <w:tcW w:w="8737" w:type="dxa"/>
            <w:gridSpan w:val="2"/>
            <w:tcBorders>
              <w:bottom w:val="single" w:sz="2" w:space="0" w:color="auto"/>
            </w:tcBorders>
          </w:tcPr>
          <w:p w14:paraId="2AA287FA" w14:textId="77777777" w:rsidR="001F4C7F" w:rsidRPr="00923896" w:rsidRDefault="001F4C7F" w:rsidP="00D64012">
            <w:pPr>
              <w:pStyle w:val="TableText"/>
              <w:jc w:val="right"/>
            </w:pPr>
            <w:r w:rsidRPr="00923896">
              <w:lastRenderedPageBreak/>
              <w:t>Category 3 - THERAPEUTIC PROCEDURES</w:t>
            </w:r>
          </w:p>
        </w:tc>
      </w:tr>
      <w:tr w:rsidR="001F4C7F" w:rsidRPr="00923896" w14:paraId="297E6D88" w14:textId="77777777" w:rsidTr="00D64012">
        <w:tc>
          <w:tcPr>
            <w:tcW w:w="3827" w:type="dxa"/>
            <w:tcBorders>
              <w:top w:val="single" w:sz="2" w:space="0" w:color="auto"/>
              <w:left w:val="single" w:sz="2" w:space="0" w:color="auto"/>
              <w:bottom w:val="nil"/>
              <w:right w:val="nil"/>
            </w:tcBorders>
          </w:tcPr>
          <w:p w14:paraId="2010A80F" w14:textId="77777777" w:rsidR="001F4C7F" w:rsidRPr="00923896" w:rsidRDefault="001F4C7F" w:rsidP="00D64012">
            <w:pPr>
              <w:pStyle w:val="TableText"/>
            </w:pPr>
          </w:p>
        </w:tc>
        <w:tc>
          <w:tcPr>
            <w:tcW w:w="4910" w:type="dxa"/>
            <w:tcBorders>
              <w:top w:val="single" w:sz="2" w:space="0" w:color="auto"/>
              <w:left w:val="nil"/>
              <w:bottom w:val="nil"/>
              <w:right w:val="single" w:sz="2" w:space="0" w:color="auto"/>
            </w:tcBorders>
          </w:tcPr>
          <w:p w14:paraId="3A0C0185" w14:textId="4476A032" w:rsidR="001F4C7F" w:rsidRPr="00923896" w:rsidRDefault="001F4C7F" w:rsidP="00D64012">
            <w:pPr>
              <w:pStyle w:val="TableText"/>
            </w:pPr>
            <w:r w:rsidRPr="00923896">
              <w:t>Group</w:t>
            </w:r>
            <w:r>
              <w:tab/>
            </w:r>
            <w:r>
              <w:tab/>
            </w:r>
            <w:r w:rsidR="00A75644">
              <w:t xml:space="preserve"># </w:t>
            </w:r>
            <w:r w:rsidRPr="00923896">
              <w:t xml:space="preserve">- </w:t>
            </w:r>
            <w:r w:rsidR="00A75644">
              <w:t>####</w:t>
            </w:r>
          </w:p>
          <w:p w14:paraId="79A31C63" w14:textId="080FEE34" w:rsidR="001F4C7F" w:rsidRPr="00923896" w:rsidRDefault="001F4C7F" w:rsidP="00D64012">
            <w:pPr>
              <w:pStyle w:val="TableText"/>
            </w:pPr>
            <w:r w:rsidRPr="00923896">
              <w:t>Subgroup</w:t>
            </w:r>
            <w:r>
              <w:tab/>
            </w:r>
            <w:r w:rsidR="00A75644">
              <w:t>#</w:t>
            </w:r>
            <w:r w:rsidRPr="00923896">
              <w:t xml:space="preserve"> - </w:t>
            </w:r>
            <w:r w:rsidR="00A75644">
              <w:t>####</w:t>
            </w:r>
          </w:p>
          <w:p w14:paraId="0184F057" w14:textId="77777777" w:rsidR="001F4C7F" w:rsidRDefault="001F4C7F" w:rsidP="00D64012">
            <w:pPr>
              <w:pStyle w:val="TableText"/>
            </w:pPr>
            <w:r w:rsidRPr="00923896">
              <w:t>Subheading</w:t>
            </w:r>
            <w:r>
              <w:tab/>
            </w:r>
            <w:r w:rsidRPr="00923896">
              <w:t>## - ####</w:t>
            </w:r>
          </w:p>
          <w:p w14:paraId="6404DC25" w14:textId="77777777" w:rsidR="001F4C7F" w:rsidRPr="00923896" w:rsidRDefault="001F4C7F" w:rsidP="00D64012">
            <w:pPr>
              <w:pStyle w:val="TableText"/>
            </w:pPr>
          </w:p>
        </w:tc>
      </w:tr>
      <w:tr w:rsidR="001F4C7F" w:rsidRPr="00923896" w14:paraId="2144491C" w14:textId="77777777" w:rsidTr="00D64012">
        <w:tc>
          <w:tcPr>
            <w:tcW w:w="8737" w:type="dxa"/>
            <w:gridSpan w:val="2"/>
            <w:tcBorders>
              <w:top w:val="nil"/>
              <w:left w:val="single" w:sz="2" w:space="0" w:color="auto"/>
              <w:bottom w:val="nil"/>
              <w:right w:val="single" w:sz="2" w:space="0" w:color="auto"/>
            </w:tcBorders>
          </w:tcPr>
          <w:p w14:paraId="723CC389" w14:textId="77777777" w:rsidR="001F4C7F" w:rsidRDefault="001F4C7F" w:rsidP="00D64012">
            <w:pPr>
              <w:pStyle w:val="TableText"/>
            </w:pPr>
            <w:r w:rsidRPr="00923896">
              <w:t xml:space="preserve">MRI </w:t>
            </w:r>
            <w:r w:rsidRPr="003E1F0B">
              <w:t>GUIDED FOCUSSED ULTRASOUND (</w:t>
            </w:r>
            <w:r>
              <w:t>unilateral)</w:t>
            </w:r>
            <w:r w:rsidRPr="003E1F0B">
              <w:t xml:space="preserve">, </w:t>
            </w:r>
            <w:r w:rsidRPr="003F464C">
              <w:t>target localisation incorporating anatomical and physiological techniques, including intra-operative clinical evaluation</w:t>
            </w:r>
          </w:p>
          <w:p w14:paraId="20264367" w14:textId="77777777" w:rsidR="001F4C7F" w:rsidRDefault="001F4C7F" w:rsidP="00D64012">
            <w:pPr>
              <w:pStyle w:val="TableText"/>
            </w:pPr>
          </w:p>
          <w:p w14:paraId="76F477CB" w14:textId="77777777" w:rsidR="001F4C7F" w:rsidRPr="003E1F0B" w:rsidRDefault="001F4C7F" w:rsidP="00D64012">
            <w:pPr>
              <w:pStyle w:val="TableText"/>
            </w:pPr>
            <w:r w:rsidRPr="003E1F0B">
              <w:t>Multiple Operation Rule</w:t>
            </w:r>
          </w:p>
          <w:p w14:paraId="1BA49B7D" w14:textId="77777777" w:rsidR="001F4C7F" w:rsidRPr="003E1F0B" w:rsidRDefault="001F4C7F" w:rsidP="00D64012">
            <w:pPr>
              <w:pStyle w:val="TableText"/>
            </w:pPr>
          </w:p>
          <w:p w14:paraId="14EDBDE4" w14:textId="77777777" w:rsidR="001F4C7F" w:rsidRPr="003E1F0B" w:rsidRDefault="001F4C7F" w:rsidP="00D64012">
            <w:pPr>
              <w:pStyle w:val="TableText"/>
            </w:pPr>
            <w:r w:rsidRPr="003E1F0B">
              <w:t>(Anaes.) (Assist.)</w:t>
            </w:r>
          </w:p>
          <w:p w14:paraId="7F9A7F22" w14:textId="77777777" w:rsidR="001F4C7F" w:rsidRPr="003E1F0B" w:rsidRDefault="001F4C7F" w:rsidP="00D64012">
            <w:pPr>
              <w:pStyle w:val="TableText"/>
            </w:pPr>
          </w:p>
          <w:p w14:paraId="650C3B1A" w14:textId="77777777" w:rsidR="001F4C7F" w:rsidRPr="00923896" w:rsidRDefault="001F4C7F" w:rsidP="00D64012">
            <w:pPr>
              <w:pStyle w:val="TableText"/>
            </w:pPr>
            <w:r w:rsidRPr="003E1F0B">
              <w:t xml:space="preserve">Fee: </w:t>
            </w:r>
            <w:r w:rsidRPr="00E67821">
              <w:t>$2,055.05</w:t>
            </w:r>
            <w:r w:rsidRPr="003E1F0B">
              <w:t xml:space="preserve"> Benefit: 75% = $</w:t>
            </w:r>
            <w:r>
              <w:t>#####</w:t>
            </w:r>
          </w:p>
        </w:tc>
      </w:tr>
      <w:tr w:rsidR="001F4C7F" w:rsidRPr="00923896" w14:paraId="7677DE0B" w14:textId="77777777" w:rsidTr="00D64012">
        <w:tc>
          <w:tcPr>
            <w:tcW w:w="8737" w:type="dxa"/>
            <w:gridSpan w:val="2"/>
            <w:tcBorders>
              <w:top w:val="nil"/>
              <w:left w:val="single" w:sz="2" w:space="0" w:color="auto"/>
              <w:bottom w:val="single" w:sz="2" w:space="0" w:color="auto"/>
              <w:right w:val="single" w:sz="2" w:space="0" w:color="auto"/>
            </w:tcBorders>
          </w:tcPr>
          <w:p w14:paraId="53B589E4" w14:textId="77777777" w:rsidR="001F4C7F" w:rsidRPr="00923896" w:rsidRDefault="001F4C7F" w:rsidP="00D64012">
            <w:pPr>
              <w:pStyle w:val="TableText"/>
            </w:pPr>
          </w:p>
        </w:tc>
      </w:tr>
    </w:tbl>
    <w:p w14:paraId="422AA58C" w14:textId="77777777" w:rsidR="001F4C7F" w:rsidRDefault="001F4C7F" w:rsidP="005213D6">
      <w:pPr>
        <w:rPr>
          <w:color w:val="0070C0"/>
        </w:rPr>
      </w:pPr>
    </w:p>
    <w:p w14:paraId="791DBAE8" w14:textId="77777777" w:rsidR="001F4C7F" w:rsidRPr="00E80A58" w:rsidRDefault="001F4C7F" w:rsidP="001F4C7F">
      <w:pPr>
        <w:ind w:firstLine="360"/>
        <w:rPr>
          <w:color w:val="0070C0"/>
        </w:rPr>
      </w:pPr>
      <w:r>
        <w:rPr>
          <w:color w:val="0070C0"/>
        </w:rPr>
        <w:t>Ne</w:t>
      </w:r>
      <w:r w:rsidRPr="00E80A58">
        <w:rPr>
          <w:color w:val="0070C0"/>
        </w:rPr>
        <w:t>w MBS item number requested for neurosurgery services provided during the procedure</w:t>
      </w:r>
    </w:p>
    <w:p w14:paraId="04984853" w14:textId="4A7E5EC2" w:rsidR="001F4C7F" w:rsidRDefault="001F4C7F" w:rsidP="001F4C7F">
      <w:pPr>
        <w:ind w:left="360"/>
        <w:rPr>
          <w:color w:val="0070C0"/>
        </w:rPr>
      </w:pPr>
      <w:r>
        <w:rPr>
          <w:color w:val="0070C0"/>
        </w:rPr>
        <w:t xml:space="preserve">The MBS item wording and fee is based on the </w:t>
      </w:r>
      <w:r w:rsidRPr="00CE3FEC">
        <w:rPr>
          <w:color w:val="0070C0"/>
        </w:rPr>
        <w:t xml:space="preserve">for the surgical component (i.e. excluding placement of the generator and revision/programming) </w:t>
      </w:r>
      <w:r>
        <w:rPr>
          <w:color w:val="0070C0"/>
        </w:rPr>
        <w:t>deep brain stimulation procedure (MBS items 40850 and 40851)</w:t>
      </w:r>
    </w:p>
    <w:p w14:paraId="6D06227F" w14:textId="77777777" w:rsidR="005213D6" w:rsidRDefault="005213D6" w:rsidP="001F4C7F">
      <w:pPr>
        <w:ind w:left="360"/>
        <w:rPr>
          <w:color w:val="0070C0"/>
        </w:rPr>
      </w:pPr>
    </w:p>
    <w:tbl>
      <w:tblPr>
        <w:tblStyle w:val="TableGrid"/>
        <w:tblW w:w="0" w:type="auto"/>
        <w:tblInd w:w="279" w:type="dxa"/>
        <w:tblLook w:val="04A0" w:firstRow="1" w:lastRow="0" w:firstColumn="1" w:lastColumn="0" w:noHBand="0" w:noVBand="1"/>
        <w:tblCaption w:val="MBS item"/>
      </w:tblPr>
      <w:tblGrid>
        <w:gridCol w:w="3827"/>
        <w:gridCol w:w="4910"/>
      </w:tblGrid>
      <w:tr w:rsidR="001F4C7F" w14:paraId="71D792A3" w14:textId="77777777" w:rsidTr="00D041D4">
        <w:trPr>
          <w:tblHeader/>
        </w:trPr>
        <w:tc>
          <w:tcPr>
            <w:tcW w:w="8737" w:type="dxa"/>
            <w:gridSpan w:val="2"/>
            <w:tcBorders>
              <w:bottom w:val="single" w:sz="2" w:space="0" w:color="auto"/>
            </w:tcBorders>
          </w:tcPr>
          <w:p w14:paraId="611B5D4F" w14:textId="77777777" w:rsidR="001F4C7F" w:rsidRPr="00923896" w:rsidRDefault="001F4C7F" w:rsidP="00D64012">
            <w:pPr>
              <w:pStyle w:val="TableText"/>
              <w:jc w:val="right"/>
            </w:pPr>
            <w:r w:rsidRPr="00923896">
              <w:t>Category 3 - THERAPEUTIC PROCEDURES</w:t>
            </w:r>
          </w:p>
        </w:tc>
      </w:tr>
      <w:tr w:rsidR="001F4C7F" w14:paraId="01AB0BEF" w14:textId="77777777" w:rsidTr="00D64012">
        <w:tc>
          <w:tcPr>
            <w:tcW w:w="3827" w:type="dxa"/>
            <w:tcBorders>
              <w:top w:val="single" w:sz="2" w:space="0" w:color="auto"/>
              <w:left w:val="single" w:sz="2" w:space="0" w:color="auto"/>
              <w:bottom w:val="nil"/>
              <w:right w:val="nil"/>
            </w:tcBorders>
          </w:tcPr>
          <w:p w14:paraId="7621697A" w14:textId="77777777" w:rsidR="001F4C7F" w:rsidRPr="00923896" w:rsidRDefault="001F4C7F" w:rsidP="00D64012">
            <w:pPr>
              <w:pStyle w:val="TableText"/>
            </w:pPr>
          </w:p>
        </w:tc>
        <w:tc>
          <w:tcPr>
            <w:tcW w:w="4910" w:type="dxa"/>
            <w:tcBorders>
              <w:top w:val="single" w:sz="2" w:space="0" w:color="auto"/>
              <w:left w:val="nil"/>
              <w:bottom w:val="nil"/>
              <w:right w:val="single" w:sz="2" w:space="0" w:color="auto"/>
            </w:tcBorders>
          </w:tcPr>
          <w:p w14:paraId="0674AF29" w14:textId="77777777" w:rsidR="00A75644" w:rsidRPr="00923896" w:rsidRDefault="00A75644" w:rsidP="00A75644">
            <w:pPr>
              <w:pStyle w:val="TableText"/>
            </w:pPr>
            <w:r w:rsidRPr="00923896">
              <w:t>Group</w:t>
            </w:r>
            <w:r>
              <w:tab/>
            </w:r>
            <w:r>
              <w:tab/>
              <w:t xml:space="preserve"># </w:t>
            </w:r>
            <w:r w:rsidRPr="00923896">
              <w:t xml:space="preserve">- </w:t>
            </w:r>
            <w:r>
              <w:t>####</w:t>
            </w:r>
          </w:p>
          <w:p w14:paraId="457077E2" w14:textId="77777777" w:rsidR="00A75644" w:rsidRPr="00923896" w:rsidRDefault="00A75644" w:rsidP="00A75644">
            <w:pPr>
              <w:pStyle w:val="TableText"/>
            </w:pPr>
            <w:r w:rsidRPr="00923896">
              <w:t>Subgroup</w:t>
            </w:r>
            <w:r>
              <w:tab/>
              <w:t>#</w:t>
            </w:r>
            <w:r w:rsidRPr="00923896">
              <w:t xml:space="preserve"> - </w:t>
            </w:r>
            <w:r>
              <w:t>####</w:t>
            </w:r>
          </w:p>
          <w:p w14:paraId="06B3F797" w14:textId="77777777" w:rsidR="00A75644" w:rsidRDefault="00A75644" w:rsidP="00A75644">
            <w:pPr>
              <w:pStyle w:val="TableText"/>
            </w:pPr>
            <w:r w:rsidRPr="00923896">
              <w:t>Subheading</w:t>
            </w:r>
            <w:r>
              <w:tab/>
            </w:r>
            <w:r w:rsidRPr="00923896">
              <w:t>## - ####</w:t>
            </w:r>
          </w:p>
          <w:p w14:paraId="544BF962" w14:textId="77777777" w:rsidR="001F4C7F" w:rsidRPr="00923896" w:rsidRDefault="001F4C7F" w:rsidP="00A75644">
            <w:pPr>
              <w:pStyle w:val="TableText"/>
            </w:pPr>
          </w:p>
        </w:tc>
      </w:tr>
      <w:tr w:rsidR="001F4C7F" w14:paraId="1DC2A8B6" w14:textId="77777777" w:rsidTr="00D64012">
        <w:tc>
          <w:tcPr>
            <w:tcW w:w="8737" w:type="dxa"/>
            <w:gridSpan w:val="2"/>
            <w:tcBorders>
              <w:top w:val="nil"/>
              <w:left w:val="single" w:sz="2" w:space="0" w:color="auto"/>
              <w:bottom w:val="nil"/>
              <w:right w:val="single" w:sz="2" w:space="0" w:color="auto"/>
            </w:tcBorders>
          </w:tcPr>
          <w:p w14:paraId="19F56F72" w14:textId="77777777" w:rsidR="001F4C7F" w:rsidRDefault="001F4C7F" w:rsidP="00D64012">
            <w:pPr>
              <w:pStyle w:val="TableText"/>
            </w:pPr>
            <w:r w:rsidRPr="00923896">
              <w:t xml:space="preserve">MRI </w:t>
            </w:r>
            <w:r w:rsidRPr="003E1F0B">
              <w:t xml:space="preserve">GUIDED FOCUSSED ULTRASOUND (unilateral) </w:t>
            </w:r>
            <w:r w:rsidRPr="00425141">
              <w:t>procedure including computer assisted anatomical localisation, physiological localisation, and lesion production in the basal ganglia, brain stem</w:t>
            </w:r>
            <w:r>
              <w:t>, thalamus</w:t>
            </w:r>
            <w:r w:rsidRPr="00425141">
              <w:t xml:space="preserve"> or deep white matter tracts, for </w:t>
            </w:r>
            <w:r>
              <w:t>the treatment of:</w:t>
            </w:r>
          </w:p>
          <w:p w14:paraId="77C134EA" w14:textId="77777777" w:rsidR="001F4C7F" w:rsidRDefault="001F4C7F" w:rsidP="00D64012">
            <w:pPr>
              <w:pStyle w:val="TableText"/>
            </w:pPr>
          </w:p>
          <w:p w14:paraId="4A17F74F" w14:textId="77777777" w:rsidR="001F4C7F" w:rsidRDefault="001F4C7F" w:rsidP="00D64012">
            <w:pPr>
              <w:pStyle w:val="TableText"/>
            </w:pPr>
            <w:r w:rsidRPr="003E1F0B">
              <w:t>Essential tremor where</w:t>
            </w:r>
            <w:r>
              <w:t>:</w:t>
            </w:r>
          </w:p>
          <w:p w14:paraId="147766BF" w14:textId="77777777" w:rsidR="001F4C7F" w:rsidRDefault="001F4C7F" w:rsidP="001F4C7F">
            <w:pPr>
              <w:pStyle w:val="TableText"/>
              <w:numPr>
                <w:ilvl w:val="0"/>
                <w:numId w:val="23"/>
              </w:numPr>
            </w:pPr>
            <w:r>
              <w:t>S</w:t>
            </w:r>
            <w:r w:rsidRPr="003E1F0B">
              <w:t>ymptoms cause severe disability</w:t>
            </w:r>
            <w:r>
              <w:t>,</w:t>
            </w:r>
            <w:r w:rsidRPr="003E1F0B">
              <w:t xml:space="preserve"> </w:t>
            </w:r>
            <w:r>
              <w:t>and</w:t>
            </w:r>
          </w:p>
          <w:p w14:paraId="43AD6715" w14:textId="77777777" w:rsidR="001F4C7F" w:rsidRDefault="001F4C7F" w:rsidP="001F4C7F">
            <w:pPr>
              <w:pStyle w:val="TableText"/>
              <w:numPr>
                <w:ilvl w:val="0"/>
                <w:numId w:val="23"/>
              </w:numPr>
            </w:pPr>
            <w:r>
              <w:t xml:space="preserve">Tremor has </w:t>
            </w:r>
            <w:r w:rsidRPr="00292921">
              <w:t xml:space="preserve">proven refractory to, or recurred following, </w:t>
            </w:r>
            <w:r>
              <w:t>maximal medical therapy</w:t>
            </w:r>
          </w:p>
          <w:p w14:paraId="6E586538" w14:textId="77777777" w:rsidR="001F4C7F" w:rsidRDefault="001F4C7F" w:rsidP="00D64012">
            <w:pPr>
              <w:pStyle w:val="TableText"/>
            </w:pPr>
          </w:p>
          <w:p w14:paraId="50301851" w14:textId="77777777" w:rsidR="001F4C7F" w:rsidRPr="003E1F0B" w:rsidRDefault="001F4C7F" w:rsidP="00D64012">
            <w:pPr>
              <w:pStyle w:val="TableText"/>
            </w:pPr>
          </w:p>
          <w:p w14:paraId="6021C8BF" w14:textId="77777777" w:rsidR="001F4C7F" w:rsidRPr="003E1F0B" w:rsidRDefault="001F4C7F" w:rsidP="00D64012">
            <w:pPr>
              <w:pStyle w:val="TableText"/>
            </w:pPr>
            <w:r w:rsidRPr="003E1F0B">
              <w:t>Multiple Operation Rule</w:t>
            </w:r>
          </w:p>
          <w:p w14:paraId="0B1F21C1" w14:textId="77777777" w:rsidR="001F4C7F" w:rsidRPr="003E1F0B" w:rsidRDefault="001F4C7F" w:rsidP="00D64012">
            <w:pPr>
              <w:pStyle w:val="TableText"/>
            </w:pPr>
          </w:p>
          <w:p w14:paraId="445E9ED6" w14:textId="77777777" w:rsidR="001F4C7F" w:rsidRPr="003E1F0B" w:rsidRDefault="001F4C7F" w:rsidP="00D64012">
            <w:pPr>
              <w:pStyle w:val="TableText"/>
            </w:pPr>
            <w:r w:rsidRPr="003E1F0B">
              <w:t>(Anaes.) (Assist.)</w:t>
            </w:r>
          </w:p>
          <w:p w14:paraId="7D005AA5" w14:textId="77777777" w:rsidR="001F4C7F" w:rsidRPr="003E1F0B" w:rsidRDefault="001F4C7F" w:rsidP="00D64012">
            <w:pPr>
              <w:pStyle w:val="TableText"/>
            </w:pPr>
          </w:p>
          <w:p w14:paraId="11A26328" w14:textId="77777777" w:rsidR="001F4C7F" w:rsidRPr="00923896" w:rsidRDefault="001F4C7F" w:rsidP="00D64012">
            <w:pPr>
              <w:pStyle w:val="TableText"/>
            </w:pPr>
            <w:r w:rsidRPr="003E1F0B">
              <w:t>Fee</w:t>
            </w:r>
            <w:r w:rsidRPr="00E67821">
              <w:t xml:space="preserve">: </w:t>
            </w:r>
            <w:r>
              <w:t xml:space="preserve">TBD (Approx </w:t>
            </w:r>
            <w:r w:rsidRPr="00E67821">
              <w:t>$2301</w:t>
            </w:r>
            <w:r>
              <w:t xml:space="preserve"> to </w:t>
            </w:r>
            <w:r w:rsidRPr="00E67821">
              <w:t>$4026</w:t>
            </w:r>
            <w:r>
              <w:t>)</w:t>
            </w:r>
            <w:r w:rsidRPr="0045661C">
              <w:rPr>
                <w:vertAlign w:val="superscript"/>
              </w:rPr>
              <w:t>a</w:t>
            </w:r>
            <w:r w:rsidRPr="00E67821">
              <w:t xml:space="preserve"> </w:t>
            </w:r>
            <w:r w:rsidRPr="003E1F0B">
              <w:t>Benefit: 75% = $</w:t>
            </w:r>
            <w:r>
              <w:t>#####</w:t>
            </w:r>
          </w:p>
        </w:tc>
      </w:tr>
      <w:tr w:rsidR="001F4C7F" w14:paraId="53D611E1" w14:textId="77777777" w:rsidTr="00D64012">
        <w:tc>
          <w:tcPr>
            <w:tcW w:w="8737" w:type="dxa"/>
            <w:gridSpan w:val="2"/>
            <w:tcBorders>
              <w:top w:val="nil"/>
              <w:left w:val="single" w:sz="2" w:space="0" w:color="auto"/>
              <w:bottom w:val="single" w:sz="2" w:space="0" w:color="auto"/>
              <w:right w:val="single" w:sz="2" w:space="0" w:color="auto"/>
            </w:tcBorders>
          </w:tcPr>
          <w:p w14:paraId="4FCF03EA" w14:textId="77777777" w:rsidR="001F4C7F" w:rsidRPr="00923896" w:rsidRDefault="001F4C7F" w:rsidP="00D64012">
            <w:pPr>
              <w:pStyle w:val="TableText"/>
            </w:pPr>
          </w:p>
        </w:tc>
      </w:tr>
    </w:tbl>
    <w:p w14:paraId="74FCB9DA" w14:textId="77777777" w:rsidR="001F4C7F" w:rsidRDefault="001F4C7F" w:rsidP="001F4C7F">
      <w:pPr>
        <w:ind w:firstLine="360"/>
        <w:rPr>
          <w:color w:val="0070C0"/>
        </w:rPr>
      </w:pPr>
    </w:p>
    <w:p w14:paraId="1E72D83C" w14:textId="77777777" w:rsidR="001F4C7F" w:rsidRDefault="001F4C7F" w:rsidP="001F4C7F">
      <w:pPr>
        <w:ind w:firstLine="360"/>
        <w:rPr>
          <w:color w:val="0070C0"/>
        </w:rPr>
      </w:pPr>
      <w:r>
        <w:rPr>
          <w:color w:val="0070C0"/>
        </w:rPr>
        <w:t>Ne</w:t>
      </w:r>
      <w:r w:rsidRPr="00E80A58">
        <w:rPr>
          <w:color w:val="0070C0"/>
        </w:rPr>
        <w:t xml:space="preserve">w MBS item number requested for </w:t>
      </w:r>
      <w:r>
        <w:rPr>
          <w:color w:val="0070C0"/>
        </w:rPr>
        <w:t>radiology</w:t>
      </w:r>
      <w:r w:rsidRPr="00E80A58">
        <w:rPr>
          <w:color w:val="0070C0"/>
        </w:rPr>
        <w:t xml:space="preserve"> services provided during the </w:t>
      </w:r>
      <w:r>
        <w:rPr>
          <w:color w:val="0070C0"/>
        </w:rPr>
        <w:t>procedure</w:t>
      </w:r>
    </w:p>
    <w:p w14:paraId="36DE28F9" w14:textId="77777777" w:rsidR="001F4C7F" w:rsidRPr="00732E35" w:rsidRDefault="001F4C7F" w:rsidP="001F4C7F">
      <w:pPr>
        <w:ind w:left="360"/>
        <w:rPr>
          <w:color w:val="0070C0"/>
        </w:rPr>
      </w:pPr>
      <w:r w:rsidRPr="00732E35">
        <w:rPr>
          <w:color w:val="0070C0"/>
        </w:rPr>
        <w:t xml:space="preserve">Intraoperative </w:t>
      </w:r>
      <w:r>
        <w:rPr>
          <w:color w:val="0070C0"/>
        </w:rPr>
        <w:t>(</w:t>
      </w:r>
      <w:r w:rsidRPr="00732E35">
        <w:rPr>
          <w:color w:val="0070C0"/>
        </w:rPr>
        <w:t xml:space="preserve">fused) MRI images are taken to plan the treatment and identify the target. </w:t>
      </w:r>
    </w:p>
    <w:p w14:paraId="03D6B49F" w14:textId="77777777" w:rsidR="001F4C7F" w:rsidRDefault="001F4C7F" w:rsidP="001F4C7F">
      <w:pPr>
        <w:ind w:left="360"/>
        <w:rPr>
          <w:color w:val="0070C0"/>
        </w:rPr>
      </w:pPr>
      <w:r>
        <w:rPr>
          <w:color w:val="0070C0"/>
        </w:rPr>
        <w:t>There do not seem to be any suitable, analogous MBS items upon which to base the wording and MBS fee for this service. It is anticipated the fee would be higher than a single MRI Scan of the Head due to the time the radiologist is with the patient and the number of scans taken during the procedure. A suitable fee will be proposed and justified in the ADAR.</w:t>
      </w:r>
    </w:p>
    <w:tbl>
      <w:tblPr>
        <w:tblStyle w:val="TableGrid"/>
        <w:tblW w:w="0" w:type="auto"/>
        <w:tblInd w:w="279" w:type="dxa"/>
        <w:tblLook w:val="04A0" w:firstRow="1" w:lastRow="0" w:firstColumn="1" w:lastColumn="0" w:noHBand="0" w:noVBand="1"/>
        <w:tblCaption w:val="MBS item"/>
      </w:tblPr>
      <w:tblGrid>
        <w:gridCol w:w="3827"/>
        <w:gridCol w:w="4910"/>
      </w:tblGrid>
      <w:tr w:rsidR="001F4C7F" w:rsidRPr="00923896" w14:paraId="0F8BCD60" w14:textId="77777777" w:rsidTr="00D041D4">
        <w:trPr>
          <w:tblHeader/>
        </w:trPr>
        <w:tc>
          <w:tcPr>
            <w:tcW w:w="8737" w:type="dxa"/>
            <w:gridSpan w:val="2"/>
            <w:tcBorders>
              <w:bottom w:val="single" w:sz="2" w:space="0" w:color="auto"/>
            </w:tcBorders>
          </w:tcPr>
          <w:p w14:paraId="38437928" w14:textId="77777777" w:rsidR="001F4C7F" w:rsidRPr="00923896" w:rsidRDefault="001F4C7F" w:rsidP="00D64012">
            <w:pPr>
              <w:pStyle w:val="TableText"/>
              <w:jc w:val="right"/>
            </w:pPr>
            <w:r w:rsidRPr="00923896">
              <w:lastRenderedPageBreak/>
              <w:t>Category 3 - THERAPEUTIC PROCEDURES</w:t>
            </w:r>
          </w:p>
        </w:tc>
      </w:tr>
      <w:tr w:rsidR="001F4C7F" w:rsidRPr="00923896" w14:paraId="15C78FCC" w14:textId="77777777" w:rsidTr="00D64012">
        <w:tc>
          <w:tcPr>
            <w:tcW w:w="3827" w:type="dxa"/>
            <w:tcBorders>
              <w:top w:val="single" w:sz="2" w:space="0" w:color="auto"/>
              <w:left w:val="single" w:sz="2" w:space="0" w:color="auto"/>
              <w:bottom w:val="nil"/>
              <w:right w:val="nil"/>
            </w:tcBorders>
          </w:tcPr>
          <w:p w14:paraId="01528730" w14:textId="77777777" w:rsidR="001F4C7F" w:rsidRPr="00923896" w:rsidRDefault="001F4C7F" w:rsidP="00D64012">
            <w:pPr>
              <w:pStyle w:val="TableText"/>
            </w:pPr>
          </w:p>
        </w:tc>
        <w:tc>
          <w:tcPr>
            <w:tcW w:w="4910" w:type="dxa"/>
            <w:tcBorders>
              <w:top w:val="single" w:sz="2" w:space="0" w:color="auto"/>
              <w:left w:val="nil"/>
              <w:bottom w:val="nil"/>
              <w:right w:val="single" w:sz="2" w:space="0" w:color="auto"/>
            </w:tcBorders>
          </w:tcPr>
          <w:p w14:paraId="412E1134" w14:textId="77777777" w:rsidR="00A75644" w:rsidRPr="00923896" w:rsidRDefault="00A75644" w:rsidP="00A75644">
            <w:pPr>
              <w:pStyle w:val="TableText"/>
            </w:pPr>
            <w:r w:rsidRPr="00923896">
              <w:t>Group</w:t>
            </w:r>
            <w:r>
              <w:tab/>
            </w:r>
            <w:r>
              <w:tab/>
              <w:t xml:space="preserve"># </w:t>
            </w:r>
            <w:r w:rsidRPr="00923896">
              <w:t xml:space="preserve">- </w:t>
            </w:r>
            <w:r>
              <w:t>####</w:t>
            </w:r>
          </w:p>
          <w:p w14:paraId="1F56DE52" w14:textId="77777777" w:rsidR="00A75644" w:rsidRPr="00923896" w:rsidRDefault="00A75644" w:rsidP="00A75644">
            <w:pPr>
              <w:pStyle w:val="TableText"/>
            </w:pPr>
            <w:r w:rsidRPr="00923896">
              <w:t>Subgroup</w:t>
            </w:r>
            <w:r>
              <w:tab/>
              <w:t>#</w:t>
            </w:r>
            <w:r w:rsidRPr="00923896">
              <w:t xml:space="preserve"> - </w:t>
            </w:r>
            <w:r>
              <w:t>####</w:t>
            </w:r>
          </w:p>
          <w:p w14:paraId="629BAEE0" w14:textId="77777777" w:rsidR="00A75644" w:rsidRDefault="00A75644" w:rsidP="00A75644">
            <w:pPr>
              <w:pStyle w:val="TableText"/>
            </w:pPr>
            <w:r w:rsidRPr="00923896">
              <w:t>Subheading</w:t>
            </w:r>
            <w:r>
              <w:tab/>
            </w:r>
            <w:r w:rsidRPr="00923896">
              <w:t>## - ####</w:t>
            </w:r>
          </w:p>
          <w:p w14:paraId="23E4A62B" w14:textId="77777777" w:rsidR="001F4C7F" w:rsidRPr="00923896" w:rsidRDefault="001F4C7F" w:rsidP="00D64012">
            <w:pPr>
              <w:pStyle w:val="TableText"/>
            </w:pPr>
          </w:p>
        </w:tc>
      </w:tr>
      <w:tr w:rsidR="001F4C7F" w:rsidRPr="00923896" w14:paraId="67440BB7" w14:textId="77777777" w:rsidTr="00D64012">
        <w:tc>
          <w:tcPr>
            <w:tcW w:w="8737" w:type="dxa"/>
            <w:gridSpan w:val="2"/>
            <w:tcBorders>
              <w:top w:val="nil"/>
              <w:left w:val="single" w:sz="2" w:space="0" w:color="auto"/>
              <w:bottom w:val="nil"/>
              <w:right w:val="single" w:sz="2" w:space="0" w:color="auto"/>
            </w:tcBorders>
          </w:tcPr>
          <w:p w14:paraId="23E44639" w14:textId="77777777" w:rsidR="001F4C7F" w:rsidRDefault="001F4C7F" w:rsidP="00D64012">
            <w:pPr>
              <w:pStyle w:val="TableText"/>
            </w:pPr>
            <w:r w:rsidRPr="00923896">
              <w:t xml:space="preserve">MRI </w:t>
            </w:r>
            <w:r w:rsidRPr="003E1F0B">
              <w:t>GUIDED FOCUSSED ULTRASOUND (</w:t>
            </w:r>
            <w:r>
              <w:t>unilateral)</w:t>
            </w:r>
            <w:r w:rsidRPr="003E1F0B">
              <w:t xml:space="preserve">, </w:t>
            </w:r>
            <w:r w:rsidRPr="003F464C">
              <w:t xml:space="preserve">target localisation incorporating anatomical and physiological techniques, including intra-operative </w:t>
            </w:r>
            <w:r>
              <w:t xml:space="preserve">MRI imaging </w:t>
            </w:r>
          </w:p>
          <w:p w14:paraId="0766CCA1" w14:textId="77777777" w:rsidR="001F4C7F" w:rsidRDefault="001F4C7F" w:rsidP="00D64012">
            <w:pPr>
              <w:pStyle w:val="TableText"/>
            </w:pPr>
          </w:p>
          <w:p w14:paraId="0DC500C0" w14:textId="77777777" w:rsidR="001F4C7F" w:rsidRPr="003E1F0B" w:rsidRDefault="001F4C7F" w:rsidP="00D64012">
            <w:pPr>
              <w:pStyle w:val="TableText"/>
            </w:pPr>
            <w:r w:rsidRPr="003E1F0B">
              <w:t>Multiple Operation Rule</w:t>
            </w:r>
          </w:p>
          <w:p w14:paraId="59BA8B6F" w14:textId="77777777" w:rsidR="001F4C7F" w:rsidRPr="003E1F0B" w:rsidRDefault="001F4C7F" w:rsidP="00D64012">
            <w:pPr>
              <w:pStyle w:val="TableText"/>
            </w:pPr>
          </w:p>
          <w:p w14:paraId="6483F850" w14:textId="77777777" w:rsidR="001F4C7F" w:rsidRPr="003E1F0B" w:rsidRDefault="001F4C7F" w:rsidP="00D64012">
            <w:pPr>
              <w:pStyle w:val="TableText"/>
            </w:pPr>
            <w:r w:rsidRPr="003E1F0B">
              <w:t>(Anaes.) (Assist.)</w:t>
            </w:r>
          </w:p>
          <w:p w14:paraId="35DA10D8" w14:textId="77777777" w:rsidR="001F4C7F" w:rsidRPr="003E1F0B" w:rsidRDefault="001F4C7F" w:rsidP="00D64012">
            <w:pPr>
              <w:pStyle w:val="TableText"/>
            </w:pPr>
          </w:p>
          <w:p w14:paraId="09C50B02" w14:textId="77777777" w:rsidR="001F4C7F" w:rsidRPr="00923896" w:rsidRDefault="001F4C7F" w:rsidP="00D64012">
            <w:pPr>
              <w:pStyle w:val="TableText"/>
            </w:pPr>
            <w:r w:rsidRPr="003E1F0B">
              <w:t xml:space="preserve">Fee: </w:t>
            </w:r>
            <w:r w:rsidRPr="00E67821">
              <w:t>$</w:t>
            </w:r>
            <w:r>
              <w:t>#####</w:t>
            </w:r>
            <w:r w:rsidRPr="003E1F0B">
              <w:t xml:space="preserve"> Benefit: 75% = $</w:t>
            </w:r>
            <w:r>
              <w:t>#####</w:t>
            </w:r>
          </w:p>
        </w:tc>
      </w:tr>
      <w:tr w:rsidR="001F4C7F" w:rsidRPr="00923896" w14:paraId="795C6471" w14:textId="77777777" w:rsidTr="00D64012">
        <w:tc>
          <w:tcPr>
            <w:tcW w:w="8737" w:type="dxa"/>
            <w:gridSpan w:val="2"/>
            <w:tcBorders>
              <w:top w:val="nil"/>
              <w:left w:val="single" w:sz="2" w:space="0" w:color="auto"/>
              <w:bottom w:val="single" w:sz="2" w:space="0" w:color="auto"/>
              <w:right w:val="single" w:sz="2" w:space="0" w:color="auto"/>
            </w:tcBorders>
          </w:tcPr>
          <w:p w14:paraId="388249F7" w14:textId="77777777" w:rsidR="001F4C7F" w:rsidRPr="00923896" w:rsidRDefault="001F4C7F" w:rsidP="00D64012">
            <w:pPr>
              <w:pStyle w:val="TableText"/>
            </w:pPr>
          </w:p>
        </w:tc>
      </w:tr>
    </w:tbl>
    <w:p w14:paraId="7DF212D8" w14:textId="77777777" w:rsidR="001F4C7F" w:rsidRPr="00732E35" w:rsidRDefault="001F4C7F" w:rsidP="001F4C7F">
      <w:pPr>
        <w:rPr>
          <w:color w:val="0070C0"/>
        </w:rPr>
      </w:pPr>
    </w:p>
    <w:p w14:paraId="4AC9ED64" w14:textId="77777777" w:rsidR="001F4C7F" w:rsidRPr="00E80A58" w:rsidRDefault="001F4C7F" w:rsidP="001F4C7F">
      <w:pPr>
        <w:ind w:left="360"/>
        <w:rPr>
          <w:color w:val="0070C0"/>
          <w:u w:val="single"/>
        </w:rPr>
      </w:pPr>
      <w:r w:rsidRPr="00E80A58">
        <w:rPr>
          <w:color w:val="0070C0"/>
          <w:u w:val="single"/>
        </w:rPr>
        <w:t xml:space="preserve">Assessment </w:t>
      </w:r>
    </w:p>
    <w:p w14:paraId="3FA4F829" w14:textId="77777777" w:rsidR="001F4C7F" w:rsidRDefault="001F4C7F" w:rsidP="001F4C7F">
      <w:pPr>
        <w:ind w:left="360"/>
        <w:rPr>
          <w:color w:val="0070C0"/>
        </w:rPr>
      </w:pPr>
      <w:r w:rsidRPr="00732E35">
        <w:rPr>
          <w:color w:val="0070C0"/>
        </w:rPr>
        <w:t xml:space="preserve">Treatment outcome is confirmed using post-treatment </w:t>
      </w:r>
      <w:r>
        <w:rPr>
          <w:color w:val="0070C0"/>
        </w:rPr>
        <w:t xml:space="preserve">MRI </w:t>
      </w:r>
      <w:r w:rsidRPr="00732E35">
        <w:rPr>
          <w:color w:val="0070C0"/>
        </w:rPr>
        <w:t>scan</w:t>
      </w:r>
      <w:r>
        <w:rPr>
          <w:color w:val="0070C0"/>
        </w:rPr>
        <w:t>s</w:t>
      </w:r>
      <w:r w:rsidRPr="00732E35">
        <w:rPr>
          <w:color w:val="0070C0"/>
        </w:rPr>
        <w:t xml:space="preserve"> </w:t>
      </w:r>
      <w:r>
        <w:rPr>
          <w:color w:val="0070C0"/>
        </w:rPr>
        <w:t>at various intervals</w:t>
      </w:r>
    </w:p>
    <w:p w14:paraId="02876FFB" w14:textId="77777777" w:rsidR="00ED7E1B" w:rsidRDefault="00ED7E1B" w:rsidP="00ED7E1B">
      <w:pPr>
        <w:ind w:left="360"/>
        <w:rPr>
          <w:color w:val="0070C0"/>
        </w:rPr>
      </w:pPr>
      <w:r>
        <w:rPr>
          <w:color w:val="0070C0"/>
        </w:rPr>
        <w:t>N</w:t>
      </w:r>
      <w:r w:rsidRPr="00432487">
        <w:rPr>
          <w:color w:val="0070C0"/>
        </w:rPr>
        <w:t xml:space="preserve">ew MBS item number requested for MRI of the brain to assess </w:t>
      </w:r>
      <w:r>
        <w:rPr>
          <w:color w:val="0070C0"/>
        </w:rPr>
        <w:t>patient outcomes and exclude potential complications.</w:t>
      </w:r>
    </w:p>
    <w:p w14:paraId="0BFDB785" w14:textId="77777777" w:rsidR="001F4C7F" w:rsidRPr="00432487" w:rsidRDefault="001F4C7F" w:rsidP="001F4C7F">
      <w:pPr>
        <w:ind w:left="360"/>
        <w:rPr>
          <w:color w:val="0070C0"/>
        </w:rPr>
      </w:pPr>
      <w:r>
        <w:rPr>
          <w:color w:val="0070C0"/>
        </w:rPr>
        <w:t>The proposed wording and fee of this item number is based on other MRI Scan of the Head services</w:t>
      </w:r>
    </w:p>
    <w:p w14:paraId="1F7617C6" w14:textId="77777777" w:rsidR="001F4C7F" w:rsidRDefault="001F4C7F" w:rsidP="001F4C7F">
      <w:pPr>
        <w:ind w:left="360"/>
        <w:rPr>
          <w:color w:val="0070C0"/>
        </w:rPr>
      </w:pPr>
    </w:p>
    <w:tbl>
      <w:tblPr>
        <w:tblStyle w:val="TableGrid"/>
        <w:tblW w:w="9072" w:type="dxa"/>
        <w:tblInd w:w="279" w:type="dxa"/>
        <w:tblLook w:val="04A0" w:firstRow="1" w:lastRow="0" w:firstColumn="1" w:lastColumn="0" w:noHBand="0" w:noVBand="1"/>
        <w:tblCaption w:val="MBS item"/>
      </w:tblPr>
      <w:tblGrid>
        <w:gridCol w:w="3827"/>
        <w:gridCol w:w="5245"/>
      </w:tblGrid>
      <w:tr w:rsidR="001F4C7F" w:rsidRPr="00923896" w14:paraId="52DA5096" w14:textId="77777777" w:rsidTr="00D041D4">
        <w:trPr>
          <w:tblHeader/>
        </w:trPr>
        <w:tc>
          <w:tcPr>
            <w:tcW w:w="9072" w:type="dxa"/>
            <w:gridSpan w:val="2"/>
            <w:tcBorders>
              <w:bottom w:val="single" w:sz="2" w:space="0" w:color="auto"/>
            </w:tcBorders>
          </w:tcPr>
          <w:p w14:paraId="107AD216" w14:textId="77777777" w:rsidR="001F4C7F" w:rsidRPr="00923896" w:rsidRDefault="001F4C7F" w:rsidP="00D64012">
            <w:pPr>
              <w:pStyle w:val="TableText"/>
              <w:jc w:val="right"/>
            </w:pPr>
            <w:r w:rsidRPr="00923896">
              <w:t xml:space="preserve">Category </w:t>
            </w:r>
            <w:r>
              <w:t>5</w:t>
            </w:r>
            <w:r w:rsidRPr="00923896">
              <w:t xml:space="preserve"> </w:t>
            </w:r>
            <w:r>
              <w:t>–</w:t>
            </w:r>
            <w:r w:rsidRPr="00923896">
              <w:t xml:space="preserve"> </w:t>
            </w:r>
            <w:r>
              <w:t>DIAGNOSTIC IMAGING SERVICES</w:t>
            </w:r>
          </w:p>
        </w:tc>
      </w:tr>
      <w:tr w:rsidR="001F4C7F" w:rsidRPr="00923896" w14:paraId="24E8ED36" w14:textId="77777777" w:rsidTr="00D64012">
        <w:tc>
          <w:tcPr>
            <w:tcW w:w="3827" w:type="dxa"/>
            <w:tcBorders>
              <w:top w:val="single" w:sz="2" w:space="0" w:color="auto"/>
              <w:left w:val="single" w:sz="2" w:space="0" w:color="auto"/>
              <w:bottom w:val="nil"/>
              <w:right w:val="nil"/>
            </w:tcBorders>
          </w:tcPr>
          <w:p w14:paraId="1C5265FB" w14:textId="77777777" w:rsidR="001F4C7F" w:rsidRPr="00923896" w:rsidRDefault="001F4C7F" w:rsidP="00D64012">
            <w:pPr>
              <w:pStyle w:val="TableText"/>
            </w:pPr>
          </w:p>
        </w:tc>
        <w:tc>
          <w:tcPr>
            <w:tcW w:w="5245" w:type="dxa"/>
            <w:tcBorders>
              <w:top w:val="single" w:sz="2" w:space="0" w:color="auto"/>
              <w:left w:val="nil"/>
              <w:bottom w:val="nil"/>
              <w:right w:val="single" w:sz="2" w:space="0" w:color="auto"/>
            </w:tcBorders>
          </w:tcPr>
          <w:p w14:paraId="201F1FB5" w14:textId="77777777" w:rsidR="001F4C7F" w:rsidRPr="00923896" w:rsidRDefault="001F4C7F" w:rsidP="00D64012">
            <w:pPr>
              <w:pStyle w:val="TableText"/>
            </w:pPr>
            <w:r w:rsidRPr="00923896">
              <w:t>Group</w:t>
            </w:r>
            <w:r>
              <w:tab/>
            </w:r>
            <w:r>
              <w:tab/>
              <w:t>I5</w:t>
            </w:r>
            <w:r w:rsidRPr="00923896">
              <w:t xml:space="preserve"> </w:t>
            </w:r>
            <w:r>
              <w:t>–</w:t>
            </w:r>
            <w:r w:rsidRPr="00923896">
              <w:t xml:space="preserve"> </w:t>
            </w:r>
            <w:r>
              <w:t>Magnetic Resonance Imaging</w:t>
            </w:r>
          </w:p>
          <w:p w14:paraId="65102E34" w14:textId="77777777" w:rsidR="001F4C7F" w:rsidRDefault="001F4C7F" w:rsidP="00D64012">
            <w:pPr>
              <w:pStyle w:val="TableText"/>
            </w:pPr>
            <w:r w:rsidRPr="00923896">
              <w:t>Subgroup</w:t>
            </w:r>
            <w:r>
              <w:tab/>
              <w:t>1</w:t>
            </w:r>
            <w:r w:rsidRPr="00923896">
              <w:t xml:space="preserve"> </w:t>
            </w:r>
            <w:r>
              <w:t>–</w:t>
            </w:r>
            <w:r w:rsidRPr="00923896">
              <w:t xml:space="preserve"> </w:t>
            </w:r>
            <w:r>
              <w:t>Scan of Head – For Specific Conditions</w:t>
            </w:r>
          </w:p>
          <w:p w14:paraId="38C97DB9" w14:textId="77777777" w:rsidR="001F4C7F" w:rsidRPr="00923896" w:rsidRDefault="001F4C7F" w:rsidP="00D64012">
            <w:pPr>
              <w:pStyle w:val="TableText"/>
            </w:pPr>
          </w:p>
        </w:tc>
      </w:tr>
      <w:tr w:rsidR="001F4C7F" w:rsidRPr="00923896" w14:paraId="4552CA4B" w14:textId="77777777" w:rsidTr="00D64012">
        <w:tc>
          <w:tcPr>
            <w:tcW w:w="9072" w:type="dxa"/>
            <w:gridSpan w:val="2"/>
            <w:tcBorders>
              <w:top w:val="nil"/>
              <w:left w:val="single" w:sz="2" w:space="0" w:color="auto"/>
              <w:bottom w:val="nil"/>
              <w:right w:val="single" w:sz="2" w:space="0" w:color="auto"/>
            </w:tcBorders>
          </w:tcPr>
          <w:p w14:paraId="16E103A4" w14:textId="77777777" w:rsidR="001F4C7F" w:rsidRDefault="001F4C7F" w:rsidP="00D64012">
            <w:pPr>
              <w:pStyle w:val="TableText"/>
            </w:pPr>
            <w: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515567F2" w14:textId="77777777" w:rsidR="001F4C7F" w:rsidRDefault="001F4C7F" w:rsidP="00D64012">
            <w:pPr>
              <w:pStyle w:val="TableText"/>
            </w:pPr>
          </w:p>
          <w:p w14:paraId="54817FB0" w14:textId="77777777" w:rsidR="001F4C7F" w:rsidRDefault="001F4C7F" w:rsidP="00D64012">
            <w:pPr>
              <w:pStyle w:val="TableText"/>
            </w:pPr>
            <w:r>
              <w:t xml:space="preserve">- assessment of treatment outcomes following </w:t>
            </w:r>
            <w:r w:rsidRPr="00432487">
              <w:t xml:space="preserve">MRI </w:t>
            </w:r>
            <w:r>
              <w:t>guided focussed ultrasound procedure</w:t>
            </w:r>
          </w:p>
          <w:p w14:paraId="070C5570" w14:textId="77777777" w:rsidR="001F4C7F" w:rsidRDefault="001F4C7F" w:rsidP="00D64012">
            <w:pPr>
              <w:pStyle w:val="TableText"/>
            </w:pPr>
          </w:p>
          <w:p w14:paraId="7F365CA3" w14:textId="77777777" w:rsidR="001F4C7F" w:rsidRDefault="001F4C7F" w:rsidP="00D64012">
            <w:pPr>
              <w:pStyle w:val="TableText"/>
            </w:pPr>
            <w:r>
              <w:t>Bulk bill incentive</w:t>
            </w:r>
          </w:p>
          <w:p w14:paraId="638CC6D5" w14:textId="77777777" w:rsidR="001F4C7F" w:rsidRDefault="001F4C7F" w:rsidP="00D64012">
            <w:pPr>
              <w:pStyle w:val="TableText"/>
            </w:pPr>
          </w:p>
          <w:p w14:paraId="2AB4CFB1" w14:textId="77777777" w:rsidR="001F4C7F" w:rsidRDefault="001F4C7F" w:rsidP="00D64012">
            <w:pPr>
              <w:pStyle w:val="TableText"/>
            </w:pPr>
            <w:r>
              <w:t>(Anaes.)</w:t>
            </w:r>
          </w:p>
          <w:p w14:paraId="75908BDE" w14:textId="77777777" w:rsidR="001F4C7F" w:rsidRPr="00923896" w:rsidRDefault="001F4C7F" w:rsidP="00D64012">
            <w:pPr>
              <w:pStyle w:val="TableText"/>
            </w:pPr>
            <w:r>
              <w:t>Fee: $403.20 Benefit: 75% = $302.40 85% = $342.75</w:t>
            </w:r>
          </w:p>
        </w:tc>
      </w:tr>
      <w:tr w:rsidR="001F4C7F" w:rsidRPr="00923896" w14:paraId="4BB8B781" w14:textId="77777777" w:rsidTr="00D64012">
        <w:tc>
          <w:tcPr>
            <w:tcW w:w="9072" w:type="dxa"/>
            <w:gridSpan w:val="2"/>
            <w:tcBorders>
              <w:top w:val="nil"/>
              <w:left w:val="single" w:sz="2" w:space="0" w:color="auto"/>
              <w:bottom w:val="single" w:sz="2" w:space="0" w:color="auto"/>
              <w:right w:val="single" w:sz="2" w:space="0" w:color="auto"/>
            </w:tcBorders>
          </w:tcPr>
          <w:p w14:paraId="142788D3" w14:textId="77777777" w:rsidR="001F4C7F" w:rsidRPr="00923896" w:rsidRDefault="001F4C7F" w:rsidP="00D64012">
            <w:pPr>
              <w:pStyle w:val="TableText"/>
            </w:pPr>
          </w:p>
        </w:tc>
      </w:tr>
    </w:tbl>
    <w:p w14:paraId="2D2D8FBC" w14:textId="139DCC41" w:rsidR="0051059C" w:rsidRDefault="0051059C" w:rsidP="00FC286B">
      <w:pPr>
        <w:pStyle w:val="Heading2"/>
        <w:numPr>
          <w:ilvl w:val="0"/>
          <w:numId w:val="0"/>
        </w:numPr>
      </w:pPr>
    </w:p>
    <w:p w14:paraId="57AF1981" w14:textId="72C39A5D" w:rsidR="00A75644" w:rsidRDefault="00A75644">
      <w:pPr>
        <w:spacing w:before="0" w:after="200" w:line="276" w:lineRule="auto"/>
      </w:pPr>
      <w:r>
        <w:br w:type="page"/>
      </w:r>
    </w:p>
    <w:p w14:paraId="03372F93" w14:textId="0F1C669D" w:rsidR="0051059C" w:rsidRDefault="0051059C" w:rsidP="0051059C">
      <w:pPr>
        <w:pStyle w:val="Heading1"/>
      </w:pPr>
      <w:r>
        <w:lastRenderedPageBreak/>
        <w:t>References</w:t>
      </w:r>
    </w:p>
    <w:p w14:paraId="1D27DAF6" w14:textId="4F3A9996" w:rsidR="0051059C" w:rsidRDefault="0051059C" w:rsidP="008E2AC1">
      <w:r w:rsidRPr="00B23AFD">
        <w:t xml:space="preserve">Bain PG, Findley LJ, Thompson PD, </w:t>
      </w:r>
      <w:proofErr w:type="spellStart"/>
      <w:r w:rsidRPr="00B23AFD">
        <w:t>Gresty</w:t>
      </w:r>
      <w:proofErr w:type="spellEnd"/>
      <w:r w:rsidRPr="00B23AFD">
        <w:t xml:space="preserve"> MA, Rothwell JC, Harding AE, et al. A study of hereditary essential tremor. Brain. 1994</w:t>
      </w:r>
      <w:proofErr w:type="gramStart"/>
      <w:r w:rsidRPr="00B23AFD">
        <w:t>;117:805</w:t>
      </w:r>
      <w:proofErr w:type="gramEnd"/>
      <w:r w:rsidRPr="00B23AFD">
        <w:t>–24.</w:t>
      </w:r>
    </w:p>
    <w:p w14:paraId="3AE3A66A" w14:textId="77777777" w:rsidR="008E2AC1" w:rsidRDefault="008E2AC1" w:rsidP="008E2AC1">
      <w:r>
        <w:t>Benito-León J, Louis ED, Mitchell AJ, Bermejo-</w:t>
      </w:r>
      <w:proofErr w:type="spellStart"/>
      <w:r>
        <w:t>Pareja</w:t>
      </w:r>
      <w:proofErr w:type="spellEnd"/>
      <w:r>
        <w:t xml:space="preserve"> F. Elderly-onset essential tremor and mild cognitive impairment: a population-based study. J Alzheimer's Dis. (2011) 23:727–35. </w:t>
      </w:r>
    </w:p>
    <w:p w14:paraId="4A740FBE" w14:textId="77777777" w:rsidR="008E2AC1" w:rsidRPr="002435A5" w:rsidRDefault="008E2AC1" w:rsidP="008E2AC1">
      <w:r w:rsidRPr="002435A5">
        <w:t xml:space="preserve">Benito-Leon J. Essential tremor: a neurodegenerative disease? Tremor Other </w:t>
      </w:r>
      <w:proofErr w:type="spellStart"/>
      <w:r w:rsidRPr="002435A5">
        <w:t>Hyperkinet</w:t>
      </w:r>
      <w:proofErr w:type="spellEnd"/>
      <w:r w:rsidRPr="002435A5">
        <w:t xml:space="preserve"> </w:t>
      </w:r>
      <w:proofErr w:type="spellStart"/>
      <w:r w:rsidRPr="002435A5">
        <w:t>Mov</w:t>
      </w:r>
      <w:proofErr w:type="spellEnd"/>
      <w:r w:rsidRPr="002435A5">
        <w:t xml:space="preserve"> (N Y). 2014</w:t>
      </w:r>
      <w:proofErr w:type="gramStart"/>
      <w:r w:rsidRPr="002435A5">
        <w:t>;4:252</w:t>
      </w:r>
      <w:proofErr w:type="gramEnd"/>
      <w:r w:rsidRPr="002435A5">
        <w:t>.</w:t>
      </w:r>
    </w:p>
    <w:p w14:paraId="618CC0B1" w14:textId="77777777" w:rsidR="008E2AC1" w:rsidRPr="002435A5" w:rsidRDefault="008E2AC1" w:rsidP="008E2AC1">
      <w:r w:rsidRPr="002435A5">
        <w:t xml:space="preserve">Benito-Leon J and Louis ED. Essential tremor: emerging views of a common disorder. Nat </w:t>
      </w:r>
      <w:proofErr w:type="spellStart"/>
      <w:r w:rsidRPr="002435A5">
        <w:t>Clin</w:t>
      </w:r>
      <w:proofErr w:type="spellEnd"/>
      <w:r w:rsidRPr="002435A5">
        <w:t xml:space="preserve"> </w:t>
      </w:r>
      <w:proofErr w:type="spellStart"/>
      <w:r w:rsidRPr="002435A5">
        <w:t>Pract</w:t>
      </w:r>
      <w:proofErr w:type="spellEnd"/>
      <w:r w:rsidRPr="002435A5">
        <w:t xml:space="preserve"> Neurol. 2006</w:t>
      </w:r>
      <w:proofErr w:type="gramStart"/>
      <w:r w:rsidRPr="002435A5">
        <w:t>;2</w:t>
      </w:r>
      <w:proofErr w:type="gramEnd"/>
      <w:r w:rsidRPr="002435A5">
        <w:t>(12):666-78.</w:t>
      </w:r>
    </w:p>
    <w:p w14:paraId="6FC929E1" w14:textId="5919509F" w:rsidR="008E2AC1" w:rsidRDefault="008E2AC1" w:rsidP="008E2AC1">
      <w:r>
        <w:t>Bermejo-</w:t>
      </w:r>
      <w:proofErr w:type="spellStart"/>
      <w:r>
        <w:t>Pareja</w:t>
      </w:r>
      <w:proofErr w:type="spellEnd"/>
      <w:r>
        <w:t xml:space="preserve"> F. Essential tremor—a neurodegenerative disorder associated with cognitive defects? Nat Rev Neurol. (2011) 7:273–82. </w:t>
      </w:r>
    </w:p>
    <w:p w14:paraId="3B36D19B" w14:textId="553543FA" w:rsidR="00522978" w:rsidRDefault="00522978" w:rsidP="00522978">
      <w:r>
        <w:t xml:space="preserve">Bhatia KP, Bain P, Bajaj N, et al, Tremor Task Force of the International Parkinson and Movement Disorder Society. Consensus Statement on the classification of tremors. </w:t>
      </w:r>
      <w:proofErr w:type="gramStart"/>
      <w:r>
        <w:t>from</w:t>
      </w:r>
      <w:proofErr w:type="gramEnd"/>
      <w:r>
        <w:t xml:space="preserve"> the task force on tremor of the International Parkinson and Movement Disorder Society. </w:t>
      </w:r>
      <w:proofErr w:type="spellStart"/>
      <w:r>
        <w:t>Mov</w:t>
      </w:r>
      <w:proofErr w:type="spellEnd"/>
      <w:r>
        <w:t xml:space="preserve"> </w:t>
      </w:r>
      <w:proofErr w:type="spellStart"/>
      <w:r>
        <w:t>Disord</w:t>
      </w:r>
      <w:proofErr w:type="spellEnd"/>
      <w:r>
        <w:t xml:space="preserve"> 2018</w:t>
      </w:r>
      <w:proofErr w:type="gramStart"/>
      <w:r>
        <w:t>;33:75</w:t>
      </w:r>
      <w:proofErr w:type="gramEnd"/>
      <w:r>
        <w:t>-87. doi:10.1002/mds.27121</w:t>
      </w:r>
    </w:p>
    <w:p w14:paraId="6C7115B9" w14:textId="77777777" w:rsidR="008E2AC1" w:rsidRDefault="008E2AC1" w:rsidP="008E2AC1">
      <w:pPr>
        <w:rPr>
          <w:shd w:val="clear" w:color="auto" w:fill="FFFFFF"/>
        </w:rPr>
      </w:pPr>
      <w:r>
        <w:rPr>
          <w:shd w:val="clear" w:color="auto" w:fill="FFFFFF"/>
        </w:rPr>
        <w:t>Critchley M. Observations of essential (</w:t>
      </w:r>
      <w:proofErr w:type="spellStart"/>
      <w:r>
        <w:rPr>
          <w:shd w:val="clear" w:color="auto" w:fill="FFFFFF"/>
        </w:rPr>
        <w:t>heredofamilial</w:t>
      </w:r>
      <w:proofErr w:type="spellEnd"/>
      <w:r>
        <w:rPr>
          <w:shd w:val="clear" w:color="auto" w:fill="FFFFFF"/>
        </w:rPr>
        <w:t>) tremor. </w:t>
      </w:r>
      <w:r>
        <w:rPr>
          <w:rStyle w:val="ref-journal"/>
          <w:color w:val="000000"/>
          <w:shd w:val="clear" w:color="auto" w:fill="FFFFFF"/>
        </w:rPr>
        <w:t>Brain. </w:t>
      </w:r>
      <w:r>
        <w:rPr>
          <w:shd w:val="clear" w:color="auto" w:fill="FFFFFF"/>
        </w:rPr>
        <w:t>1949</w:t>
      </w:r>
      <w:proofErr w:type="gramStart"/>
      <w:r>
        <w:rPr>
          <w:shd w:val="clear" w:color="auto" w:fill="FFFFFF"/>
        </w:rPr>
        <w:t>;</w:t>
      </w:r>
      <w:r>
        <w:rPr>
          <w:rStyle w:val="ref-vol"/>
          <w:color w:val="000000"/>
          <w:shd w:val="clear" w:color="auto" w:fill="FFFFFF"/>
        </w:rPr>
        <w:t>72</w:t>
      </w:r>
      <w:r>
        <w:rPr>
          <w:shd w:val="clear" w:color="auto" w:fill="FFFFFF"/>
        </w:rPr>
        <w:t>:113</w:t>
      </w:r>
      <w:proofErr w:type="gramEnd"/>
      <w:r>
        <w:rPr>
          <w:shd w:val="clear" w:color="auto" w:fill="FFFFFF"/>
        </w:rPr>
        <w:t>–39.</w:t>
      </w:r>
    </w:p>
    <w:p w14:paraId="1425C8AA" w14:textId="77777777" w:rsidR="008E2AC1" w:rsidRPr="002435A5" w:rsidRDefault="008E2AC1" w:rsidP="008E2AC1">
      <w:proofErr w:type="spellStart"/>
      <w:r w:rsidRPr="002435A5">
        <w:t>Elble</w:t>
      </w:r>
      <w:proofErr w:type="spellEnd"/>
      <w:r w:rsidRPr="002435A5">
        <w:t xml:space="preserve"> RJ. What is essential tremor? </w:t>
      </w:r>
      <w:proofErr w:type="spellStart"/>
      <w:r w:rsidRPr="002435A5">
        <w:t>Curr</w:t>
      </w:r>
      <w:proofErr w:type="spellEnd"/>
      <w:r w:rsidRPr="002435A5">
        <w:t xml:space="preserve"> </w:t>
      </w:r>
      <w:proofErr w:type="spellStart"/>
      <w:r w:rsidRPr="002435A5">
        <w:t>Neurol</w:t>
      </w:r>
      <w:proofErr w:type="spellEnd"/>
      <w:r w:rsidRPr="002435A5">
        <w:t xml:space="preserve"> </w:t>
      </w:r>
      <w:proofErr w:type="spellStart"/>
      <w:r w:rsidRPr="002435A5">
        <w:t>Neurosci</w:t>
      </w:r>
      <w:proofErr w:type="spellEnd"/>
      <w:r w:rsidRPr="002435A5">
        <w:t xml:space="preserve"> Rep. 2013</w:t>
      </w:r>
      <w:proofErr w:type="gramStart"/>
      <w:r w:rsidRPr="002435A5">
        <w:t>;13</w:t>
      </w:r>
      <w:proofErr w:type="gramEnd"/>
      <w:r w:rsidRPr="002435A5">
        <w:t>(6):353.</w:t>
      </w:r>
    </w:p>
    <w:p w14:paraId="619C1F49" w14:textId="5D754F36" w:rsidR="00533AAD" w:rsidRDefault="00533AAD" w:rsidP="00533AAD">
      <w:proofErr w:type="spellStart"/>
      <w:r>
        <w:t>Espay</w:t>
      </w:r>
      <w:proofErr w:type="spellEnd"/>
      <w:r>
        <w:t xml:space="preserve"> AJ, Lang AE, </w:t>
      </w:r>
      <w:proofErr w:type="spellStart"/>
      <w:r>
        <w:t>Erro</w:t>
      </w:r>
      <w:proofErr w:type="spellEnd"/>
      <w:r>
        <w:t xml:space="preserve"> R, et al. Essential pitfalls in "essential" tremor. </w:t>
      </w:r>
      <w:proofErr w:type="spellStart"/>
      <w:r>
        <w:t>Mov</w:t>
      </w:r>
      <w:proofErr w:type="spellEnd"/>
      <w:r>
        <w:t xml:space="preserve"> </w:t>
      </w:r>
      <w:proofErr w:type="spellStart"/>
      <w:r>
        <w:t>Disord</w:t>
      </w:r>
      <w:proofErr w:type="spellEnd"/>
      <w:r>
        <w:t>. 2017</w:t>
      </w:r>
      <w:proofErr w:type="gramStart"/>
      <w:r>
        <w:t>;32</w:t>
      </w:r>
      <w:proofErr w:type="gramEnd"/>
      <w:r>
        <w:t>(3):325-331.</w:t>
      </w:r>
    </w:p>
    <w:p w14:paraId="786CA618" w14:textId="769D3DC9" w:rsidR="005155DE" w:rsidRDefault="005155DE" w:rsidP="00533AAD">
      <w:proofErr w:type="spellStart"/>
      <w:r w:rsidRPr="005155DE">
        <w:t>Hedera</w:t>
      </w:r>
      <w:proofErr w:type="spellEnd"/>
      <w:r w:rsidRPr="005155DE">
        <w:t xml:space="preserve">, P., </w:t>
      </w:r>
      <w:proofErr w:type="spellStart"/>
      <w:r w:rsidRPr="005155DE">
        <w:t>Cibulčík</w:t>
      </w:r>
      <w:proofErr w:type="spellEnd"/>
      <w:r w:rsidRPr="005155DE">
        <w:t>, F., &amp; Davis, T. L. (2013). Pharmacotherapy of essential tremor. Journal of Central nervous system Disease, 5, JCNSD-S6561.</w:t>
      </w:r>
    </w:p>
    <w:p w14:paraId="3D6919B9" w14:textId="77777777" w:rsidR="00533AAD" w:rsidRDefault="00533AAD" w:rsidP="00533AAD">
      <w:r>
        <w:t xml:space="preserve">Jain </w:t>
      </w:r>
      <w:proofErr w:type="spellStart"/>
      <w:r>
        <w:t>S</w:t>
      </w:r>
      <w:proofErr w:type="gramStart"/>
      <w:r>
        <w:t>,Lo</w:t>
      </w:r>
      <w:proofErr w:type="spellEnd"/>
      <w:proofErr w:type="gramEnd"/>
      <w:r>
        <w:t xml:space="preserve"> SE and Louis ED. Common Misdiagnosis of a Common Neurological Disorder. Arch Neurol. 2006</w:t>
      </w:r>
      <w:proofErr w:type="gramStart"/>
      <w:r>
        <w:t>;63:1100</w:t>
      </w:r>
      <w:proofErr w:type="gramEnd"/>
      <w:r>
        <w:t>-04.</w:t>
      </w:r>
    </w:p>
    <w:p w14:paraId="22AE7740" w14:textId="70CE41BE" w:rsidR="008C5BAA" w:rsidRDefault="008C5BAA" w:rsidP="00533AAD">
      <w:r w:rsidRPr="008C5BAA">
        <w:t xml:space="preserve">Fishman, Paul S., W. Jeff Elias, </w:t>
      </w:r>
      <w:proofErr w:type="spellStart"/>
      <w:r w:rsidRPr="008C5BAA">
        <w:t>Pejman</w:t>
      </w:r>
      <w:proofErr w:type="spellEnd"/>
      <w:r w:rsidRPr="008C5BAA">
        <w:t xml:space="preserve"> </w:t>
      </w:r>
      <w:proofErr w:type="spellStart"/>
      <w:r w:rsidRPr="008C5BAA">
        <w:t>Ghanouni</w:t>
      </w:r>
      <w:proofErr w:type="spellEnd"/>
      <w:r w:rsidRPr="008C5BAA">
        <w:t xml:space="preserve">, Ryder Gwinn, </w:t>
      </w:r>
      <w:proofErr w:type="spellStart"/>
      <w:r w:rsidRPr="008C5BAA">
        <w:t>Nir</w:t>
      </w:r>
      <w:proofErr w:type="spellEnd"/>
      <w:r w:rsidRPr="008C5BAA">
        <w:t xml:space="preserve"> </w:t>
      </w:r>
      <w:proofErr w:type="spellStart"/>
      <w:r w:rsidRPr="008C5BAA">
        <w:t>Lipsman</w:t>
      </w:r>
      <w:proofErr w:type="spellEnd"/>
      <w:r w:rsidRPr="008C5BAA">
        <w:t>, Michael Schwartz</w:t>
      </w:r>
      <w:r>
        <w:t xml:space="preserve"> et al.</w:t>
      </w:r>
      <w:r w:rsidRPr="008C5BAA">
        <w:t xml:space="preserve"> Neurological Adverse Event Profile of Magnetic Resonance Imaging–Guided Focused Ultrasound </w:t>
      </w:r>
      <w:proofErr w:type="spellStart"/>
      <w:r w:rsidRPr="008C5BAA">
        <w:t>Thalamotomy</w:t>
      </w:r>
      <w:proofErr w:type="spellEnd"/>
      <w:r w:rsidRPr="008C5BAA">
        <w:t xml:space="preserve"> for Essential Tremor, Movement Disorders, 33 (2018), 843–47</w:t>
      </w:r>
    </w:p>
    <w:p w14:paraId="6C77BE75" w14:textId="6DCE6967" w:rsidR="00533AAD" w:rsidRPr="002435A5" w:rsidRDefault="00533AAD" w:rsidP="00533AAD">
      <w:proofErr w:type="spellStart"/>
      <w:r w:rsidRPr="002435A5">
        <w:t>Koller</w:t>
      </w:r>
      <w:proofErr w:type="spellEnd"/>
      <w:r w:rsidRPr="002435A5">
        <w:t xml:space="preserve"> WC and </w:t>
      </w:r>
      <w:proofErr w:type="spellStart"/>
      <w:r w:rsidRPr="002435A5">
        <w:t>Vetere-Overfield</w:t>
      </w:r>
      <w:proofErr w:type="spellEnd"/>
      <w:r w:rsidRPr="002435A5">
        <w:t xml:space="preserve"> B. Acute and chronic effects of propranolol and </w:t>
      </w:r>
      <w:proofErr w:type="spellStart"/>
      <w:r w:rsidRPr="002435A5">
        <w:t>primidone</w:t>
      </w:r>
      <w:proofErr w:type="spellEnd"/>
      <w:r w:rsidRPr="002435A5">
        <w:t xml:space="preserve"> in essential tremor. Neurology. 1989</w:t>
      </w:r>
      <w:proofErr w:type="gramStart"/>
      <w:r w:rsidRPr="002435A5">
        <w:t>;39</w:t>
      </w:r>
      <w:proofErr w:type="gramEnd"/>
      <w:r w:rsidRPr="002435A5">
        <w:t>(12):1587-8.</w:t>
      </w:r>
    </w:p>
    <w:p w14:paraId="040C9EC2" w14:textId="77777777" w:rsidR="00533AAD" w:rsidRDefault="00533AAD" w:rsidP="00533AAD">
      <w:r>
        <w:t xml:space="preserve">Louis ED and Ferreira JJ. How common is the most common adult movement disorder? Update on the worldwide prevalence of essential tremor. </w:t>
      </w:r>
      <w:proofErr w:type="spellStart"/>
      <w:r>
        <w:t>Mov</w:t>
      </w:r>
      <w:proofErr w:type="spellEnd"/>
      <w:r>
        <w:t xml:space="preserve"> </w:t>
      </w:r>
      <w:proofErr w:type="spellStart"/>
      <w:r>
        <w:t>Disord</w:t>
      </w:r>
      <w:proofErr w:type="spellEnd"/>
      <w:r>
        <w:t>. 2010</w:t>
      </w:r>
      <w:proofErr w:type="gramStart"/>
      <w:r>
        <w:t>;25</w:t>
      </w:r>
      <w:proofErr w:type="gramEnd"/>
      <w:r>
        <w:t>(5):534-41.</w:t>
      </w:r>
    </w:p>
    <w:p w14:paraId="73333611" w14:textId="77777777" w:rsidR="00533AAD" w:rsidRDefault="00533AAD" w:rsidP="00533AAD">
      <w:r>
        <w:t xml:space="preserve">Louis ED. The Roles of Age and Aging in Essential Tremor: An Epidemiological Perspective. </w:t>
      </w:r>
      <w:proofErr w:type="spellStart"/>
      <w:r>
        <w:t>Neuroepidemiology</w:t>
      </w:r>
      <w:proofErr w:type="spellEnd"/>
      <w:r>
        <w:t>. 2019</w:t>
      </w:r>
      <w:proofErr w:type="gramStart"/>
      <w:r>
        <w:t>;52</w:t>
      </w:r>
      <w:proofErr w:type="gramEnd"/>
      <w:r>
        <w:t>(1-2):111-118.</w:t>
      </w:r>
    </w:p>
    <w:p w14:paraId="2549D783" w14:textId="77777777" w:rsidR="008E2AC1" w:rsidRDefault="008E2AC1" w:rsidP="008E2AC1">
      <w:pPr>
        <w:rPr>
          <w:rFonts w:ascii="Arial" w:hAnsi="Arial" w:cs="Arial"/>
          <w:color w:val="303030"/>
          <w:shd w:val="clear" w:color="auto" w:fill="FFFFFF"/>
        </w:rPr>
      </w:pPr>
      <w:r w:rsidRPr="002435A5">
        <w:t xml:space="preserve">Louis </w:t>
      </w:r>
      <w:proofErr w:type="spellStart"/>
      <w:r w:rsidRPr="002435A5">
        <w:t>ED</w:t>
      </w:r>
      <w:proofErr w:type="gramStart"/>
      <w:r w:rsidRPr="002435A5">
        <w:t>,Wendt</w:t>
      </w:r>
      <w:proofErr w:type="spellEnd"/>
      <w:proofErr w:type="gramEnd"/>
      <w:r w:rsidRPr="002435A5">
        <w:t xml:space="preserve"> </w:t>
      </w:r>
      <w:proofErr w:type="spellStart"/>
      <w:r w:rsidRPr="002435A5">
        <w:t>KJ,Pullman</w:t>
      </w:r>
      <w:proofErr w:type="spellEnd"/>
      <w:r w:rsidRPr="002435A5">
        <w:t xml:space="preserve"> SL and Ford B. Is Essential Tremor Symmetric? Arch Neurol. 1998</w:t>
      </w:r>
      <w:proofErr w:type="gramStart"/>
      <w:r w:rsidRPr="002435A5">
        <w:t>;55:1553</w:t>
      </w:r>
      <w:proofErr w:type="gramEnd"/>
      <w:r w:rsidRPr="002435A5">
        <w:t>-1559.</w:t>
      </w:r>
    </w:p>
    <w:p w14:paraId="4470FF40" w14:textId="77777777" w:rsidR="008E2AC1" w:rsidRDefault="008E2AC1" w:rsidP="008E2AC1">
      <w:r>
        <w:rPr>
          <w:shd w:val="clear" w:color="auto" w:fill="FFFFFF"/>
        </w:rPr>
        <w:t xml:space="preserve">Louis ED, Barnes L, Albert SM, Cote L, </w:t>
      </w:r>
      <w:proofErr w:type="spellStart"/>
      <w:r>
        <w:rPr>
          <w:shd w:val="clear" w:color="auto" w:fill="FFFFFF"/>
        </w:rPr>
        <w:t>Schneier</w:t>
      </w:r>
      <w:proofErr w:type="spellEnd"/>
      <w:r>
        <w:rPr>
          <w:shd w:val="clear" w:color="auto" w:fill="FFFFFF"/>
        </w:rPr>
        <w:t xml:space="preserve"> FR, Pullman SL, et al. Correlates of functional disability in essential tremor. </w:t>
      </w:r>
      <w:proofErr w:type="spellStart"/>
      <w:r>
        <w:rPr>
          <w:rStyle w:val="ref-journal"/>
          <w:color w:val="000000"/>
          <w:shd w:val="clear" w:color="auto" w:fill="FFFFFF"/>
        </w:rPr>
        <w:t>Mov</w:t>
      </w:r>
      <w:proofErr w:type="spellEnd"/>
      <w:r>
        <w:rPr>
          <w:rStyle w:val="ref-journal"/>
          <w:color w:val="000000"/>
          <w:shd w:val="clear" w:color="auto" w:fill="FFFFFF"/>
        </w:rPr>
        <w:t xml:space="preserve"> </w:t>
      </w:r>
      <w:proofErr w:type="spellStart"/>
      <w:r>
        <w:rPr>
          <w:rStyle w:val="ref-journal"/>
          <w:color w:val="000000"/>
          <w:shd w:val="clear" w:color="auto" w:fill="FFFFFF"/>
        </w:rPr>
        <w:t>Disord</w:t>
      </w:r>
      <w:proofErr w:type="spellEnd"/>
      <w:r>
        <w:rPr>
          <w:rStyle w:val="ref-journal"/>
          <w:color w:val="000000"/>
          <w:shd w:val="clear" w:color="auto" w:fill="FFFFFF"/>
        </w:rPr>
        <w:t>. </w:t>
      </w:r>
      <w:r>
        <w:rPr>
          <w:shd w:val="clear" w:color="auto" w:fill="FFFFFF"/>
        </w:rPr>
        <w:t>2001</w:t>
      </w:r>
      <w:proofErr w:type="gramStart"/>
      <w:r>
        <w:rPr>
          <w:shd w:val="clear" w:color="auto" w:fill="FFFFFF"/>
        </w:rPr>
        <w:t>;</w:t>
      </w:r>
      <w:r>
        <w:rPr>
          <w:rStyle w:val="ref-vol"/>
          <w:color w:val="000000"/>
          <w:shd w:val="clear" w:color="auto" w:fill="FFFFFF"/>
        </w:rPr>
        <w:t>16</w:t>
      </w:r>
      <w:r>
        <w:rPr>
          <w:shd w:val="clear" w:color="auto" w:fill="FFFFFF"/>
        </w:rPr>
        <w:t>:914</w:t>
      </w:r>
      <w:proofErr w:type="gramEnd"/>
      <w:r>
        <w:rPr>
          <w:shd w:val="clear" w:color="auto" w:fill="FFFFFF"/>
        </w:rPr>
        <w:t>–20. </w:t>
      </w:r>
    </w:p>
    <w:p w14:paraId="51E8E23A" w14:textId="77777777" w:rsidR="008E2AC1" w:rsidRDefault="008E2AC1" w:rsidP="008E2AC1">
      <w:r>
        <w:t xml:space="preserve">Louis ED, Benito-LeÃ³n J, </w:t>
      </w:r>
      <w:proofErr w:type="spellStart"/>
      <w:r>
        <w:t>Ottman</w:t>
      </w:r>
      <w:proofErr w:type="spellEnd"/>
      <w:r>
        <w:t xml:space="preserve"> R, Bermejo-</w:t>
      </w:r>
      <w:proofErr w:type="spellStart"/>
      <w:r>
        <w:t>Pareja</w:t>
      </w:r>
      <w:proofErr w:type="spellEnd"/>
      <w:r>
        <w:t xml:space="preserve"> F; Neurological Disorders in Central Spain (NEDICES) Study Group. A population-based study of mortality in essential tremor. Neurology. 2007 Nov 20</w:t>
      </w:r>
      <w:proofErr w:type="gramStart"/>
      <w:r>
        <w:t>;69</w:t>
      </w:r>
      <w:proofErr w:type="gramEnd"/>
      <w:r>
        <w:t>(21):1982-9.</w:t>
      </w:r>
    </w:p>
    <w:p w14:paraId="1622F27A" w14:textId="6E3B9ED6" w:rsidR="0051059C" w:rsidRDefault="0051059C" w:rsidP="008E2AC1">
      <w:r w:rsidRPr="0051059C">
        <w:t xml:space="preserve">Louis ED, Ferreira JJ. How common is the most common adult movement disorder? Update on the worldwide prevalence of essential tremor. </w:t>
      </w:r>
      <w:proofErr w:type="spellStart"/>
      <w:r w:rsidRPr="0051059C">
        <w:t>Mov</w:t>
      </w:r>
      <w:proofErr w:type="spellEnd"/>
      <w:r w:rsidRPr="0051059C">
        <w:t xml:space="preserve"> </w:t>
      </w:r>
      <w:proofErr w:type="spellStart"/>
      <w:r w:rsidRPr="0051059C">
        <w:t>Disord</w:t>
      </w:r>
      <w:proofErr w:type="spellEnd"/>
      <w:r w:rsidRPr="0051059C">
        <w:t>. (2010) 25:534–41.</w:t>
      </w:r>
    </w:p>
    <w:p w14:paraId="491A399F" w14:textId="77777777" w:rsidR="008E2AC1" w:rsidRDefault="008E2AC1" w:rsidP="008E2AC1">
      <w:r w:rsidRPr="0051059C">
        <w:t>Louis ED, Benito-León J, Vega S, Bermejo-</w:t>
      </w:r>
      <w:proofErr w:type="spellStart"/>
      <w:r w:rsidRPr="0051059C">
        <w:t>Pareja</w:t>
      </w:r>
      <w:proofErr w:type="spellEnd"/>
      <w:r w:rsidRPr="0051059C">
        <w:t xml:space="preserve"> F. Neurological Disorders in Central Spain (NEDICES) study group. Frailty in elderly persons with essential tremor: a population-based study (NEDICES). </w:t>
      </w:r>
      <w:proofErr w:type="spellStart"/>
      <w:r w:rsidRPr="0051059C">
        <w:t>Eur</w:t>
      </w:r>
      <w:proofErr w:type="spellEnd"/>
      <w:r w:rsidRPr="0051059C">
        <w:t xml:space="preserve"> J Neurol. (2011) 18:1251–7.</w:t>
      </w:r>
    </w:p>
    <w:p w14:paraId="0BDB3C6C" w14:textId="1EBE83FA" w:rsidR="0051059C" w:rsidRDefault="0051059C" w:rsidP="008E2AC1">
      <w:r>
        <w:t xml:space="preserve">Louis ED, Rao AK, </w:t>
      </w:r>
      <w:proofErr w:type="spellStart"/>
      <w:r>
        <w:t>Gerbin</w:t>
      </w:r>
      <w:proofErr w:type="spellEnd"/>
      <w:r>
        <w:t xml:space="preserve"> M. Functional correlates of gait and balance difficulty in essential tremor: balance confidence, near misses and falls. Gait Posture (2012) 35:43–7. </w:t>
      </w:r>
    </w:p>
    <w:p w14:paraId="0DD9DE86" w14:textId="64A74264" w:rsidR="007A54A9" w:rsidRDefault="007A54A9" w:rsidP="008E2AC1">
      <w:r w:rsidRPr="007A54A9">
        <w:t xml:space="preserve">Louis, E. D. (2014). ‘Essential </w:t>
      </w:r>
      <w:proofErr w:type="spellStart"/>
      <w:r w:rsidRPr="007A54A9">
        <w:t>tremor'or</w:t>
      </w:r>
      <w:proofErr w:type="spellEnd"/>
      <w:r w:rsidRPr="007A54A9">
        <w:t xml:space="preserve"> ‘the essential tremors': is this one disease or a family of diseases</w:t>
      </w:r>
      <w:proofErr w:type="gramStart"/>
      <w:r w:rsidRPr="007A54A9">
        <w:t>?.</w:t>
      </w:r>
      <w:proofErr w:type="gramEnd"/>
      <w:r w:rsidRPr="007A54A9">
        <w:t xml:space="preserve"> </w:t>
      </w:r>
      <w:proofErr w:type="spellStart"/>
      <w:r w:rsidRPr="007A54A9">
        <w:t>Neuroepidemiology</w:t>
      </w:r>
      <w:proofErr w:type="spellEnd"/>
      <w:r w:rsidRPr="007A54A9">
        <w:t>, 42(2), 81-89.</w:t>
      </w:r>
    </w:p>
    <w:p w14:paraId="7546735E" w14:textId="7063BCD0" w:rsidR="008E2AC1" w:rsidRDefault="008E2AC1" w:rsidP="008E2AC1">
      <w:r w:rsidRPr="002435A5">
        <w:lastRenderedPageBreak/>
        <w:t xml:space="preserve">Louis ED. Medication non-adherence in essential tremor. Parkinsonism </w:t>
      </w:r>
      <w:proofErr w:type="spellStart"/>
      <w:r w:rsidRPr="002435A5">
        <w:t>Relat</w:t>
      </w:r>
      <w:proofErr w:type="spellEnd"/>
      <w:r w:rsidRPr="002435A5">
        <w:t xml:space="preserve"> </w:t>
      </w:r>
      <w:proofErr w:type="spellStart"/>
      <w:r w:rsidRPr="002435A5">
        <w:t>Disord</w:t>
      </w:r>
      <w:proofErr w:type="spellEnd"/>
      <w:r w:rsidRPr="002435A5">
        <w:t>. 2015</w:t>
      </w:r>
      <w:proofErr w:type="gramStart"/>
      <w:r w:rsidRPr="002435A5">
        <w:t>;21</w:t>
      </w:r>
      <w:proofErr w:type="gramEnd"/>
      <w:r w:rsidRPr="002435A5">
        <w:t>(2):138-41.</w:t>
      </w:r>
    </w:p>
    <w:p w14:paraId="3D4F5DFD" w14:textId="6D5B1E77" w:rsidR="009F10A1" w:rsidRPr="002435A5" w:rsidRDefault="009F10A1" w:rsidP="008E2AC1">
      <w:r w:rsidRPr="009F10A1">
        <w:t xml:space="preserve">Park, Y. S., Jung, N. Y., Na, Y. C., &amp; Chang, J. W. (2019). Four‐year follow‐up results of magnetic resonance‐guided focused ultrasound </w:t>
      </w:r>
      <w:proofErr w:type="spellStart"/>
      <w:r w:rsidRPr="009F10A1">
        <w:t>thalamotomy</w:t>
      </w:r>
      <w:proofErr w:type="spellEnd"/>
      <w:r w:rsidRPr="009F10A1">
        <w:t xml:space="preserve"> for essential tremor. Movement Disorders, 34(5), 727-734.</w:t>
      </w:r>
    </w:p>
    <w:p w14:paraId="2B83BA98" w14:textId="777DACFA" w:rsidR="0051059C" w:rsidRDefault="0051059C" w:rsidP="008E2AC1">
      <w:proofErr w:type="spellStart"/>
      <w:r>
        <w:t>Sengul</w:t>
      </w:r>
      <w:proofErr w:type="spellEnd"/>
      <w:r>
        <w:t xml:space="preserve"> Y, </w:t>
      </w:r>
      <w:proofErr w:type="spellStart"/>
      <w:r>
        <w:t>Sengul</w:t>
      </w:r>
      <w:proofErr w:type="spellEnd"/>
      <w:r>
        <w:t xml:space="preserve"> HS, </w:t>
      </w:r>
      <w:proofErr w:type="spellStart"/>
      <w:r>
        <w:t>Yucekaya</w:t>
      </w:r>
      <w:proofErr w:type="spellEnd"/>
      <w:r>
        <w:t xml:space="preserve"> SK, </w:t>
      </w:r>
      <w:proofErr w:type="spellStart"/>
      <w:r>
        <w:t>Yucel</w:t>
      </w:r>
      <w:proofErr w:type="spellEnd"/>
      <w:r>
        <w:t xml:space="preserve"> S, </w:t>
      </w:r>
      <w:proofErr w:type="spellStart"/>
      <w:r>
        <w:t>Bakim</w:t>
      </w:r>
      <w:proofErr w:type="spellEnd"/>
      <w:r>
        <w:t xml:space="preserve"> B, </w:t>
      </w:r>
      <w:proofErr w:type="spellStart"/>
      <w:r>
        <w:t>Pazarci</w:t>
      </w:r>
      <w:proofErr w:type="spellEnd"/>
      <w:r>
        <w:t xml:space="preserve"> NK, et al. Cognitive functions, fatigue, depression, anxiety, and sleep disturbances: assessment of </w:t>
      </w:r>
      <w:proofErr w:type="spellStart"/>
      <w:r>
        <w:t>nonmotor</w:t>
      </w:r>
      <w:proofErr w:type="spellEnd"/>
      <w:r>
        <w:t xml:space="preserve"> features in young patients with essential tremor. </w:t>
      </w:r>
      <w:proofErr w:type="spellStart"/>
      <w:r>
        <w:t>Acta</w:t>
      </w:r>
      <w:proofErr w:type="spellEnd"/>
      <w:r>
        <w:t xml:space="preserve"> </w:t>
      </w:r>
      <w:proofErr w:type="spellStart"/>
      <w:r>
        <w:t>Neurol</w:t>
      </w:r>
      <w:proofErr w:type="spellEnd"/>
      <w:r>
        <w:t xml:space="preserve"> Belg. (2015) 115:281–7. </w:t>
      </w:r>
    </w:p>
    <w:p w14:paraId="2B61E6E3" w14:textId="66E3E24A" w:rsidR="00522978" w:rsidRDefault="00522978" w:rsidP="00522978">
      <w:proofErr w:type="spellStart"/>
      <w:r>
        <w:t>Shanker</w:t>
      </w:r>
      <w:proofErr w:type="spellEnd"/>
      <w:r>
        <w:t xml:space="preserve"> V. Essential tremor: diagnosis and management. BMJ. 2019 Aug 5</w:t>
      </w:r>
      <w:proofErr w:type="gramStart"/>
      <w:r>
        <w:t>;366:l4485</w:t>
      </w:r>
      <w:proofErr w:type="gramEnd"/>
      <w:r>
        <w:t>.</w:t>
      </w:r>
    </w:p>
    <w:p w14:paraId="76712E5B" w14:textId="77777777" w:rsidR="008E2AC1" w:rsidRPr="002435A5" w:rsidRDefault="008E2AC1" w:rsidP="008E2AC1">
      <w:proofErr w:type="spellStart"/>
      <w:r w:rsidRPr="002435A5">
        <w:t>Zesiewicz</w:t>
      </w:r>
      <w:proofErr w:type="spellEnd"/>
      <w:r w:rsidRPr="002435A5">
        <w:t xml:space="preserve"> TA, </w:t>
      </w:r>
      <w:proofErr w:type="spellStart"/>
      <w:r w:rsidRPr="002435A5">
        <w:t>Elble</w:t>
      </w:r>
      <w:proofErr w:type="spellEnd"/>
      <w:r w:rsidRPr="002435A5">
        <w:t xml:space="preserve"> R, </w:t>
      </w:r>
      <w:proofErr w:type="gramStart"/>
      <w:r w:rsidRPr="002435A5">
        <w:t>Louis</w:t>
      </w:r>
      <w:proofErr w:type="gramEnd"/>
      <w:r w:rsidRPr="002435A5">
        <w:t xml:space="preserve"> ED, et al. Practice parameter: therapies for essential tremor: report of the Quality Standards Subcommittee of the American Academy of Neurology. Neurology. 2005</w:t>
      </w:r>
      <w:proofErr w:type="gramStart"/>
      <w:r w:rsidRPr="002435A5">
        <w:t>;64</w:t>
      </w:r>
      <w:proofErr w:type="gramEnd"/>
      <w:r w:rsidRPr="002435A5">
        <w:t>(12):2008-20.</w:t>
      </w:r>
    </w:p>
    <w:p w14:paraId="338AA9AD" w14:textId="6BC14518" w:rsidR="0051059C" w:rsidRDefault="0051059C" w:rsidP="008E2AC1">
      <w:proofErr w:type="spellStart"/>
      <w:r w:rsidRPr="002435A5">
        <w:t>Zesiewicz</w:t>
      </w:r>
      <w:proofErr w:type="spellEnd"/>
      <w:r w:rsidRPr="002435A5">
        <w:t xml:space="preserve"> TA, </w:t>
      </w:r>
      <w:proofErr w:type="spellStart"/>
      <w:r w:rsidRPr="002435A5">
        <w:t>Elble</w:t>
      </w:r>
      <w:proofErr w:type="spellEnd"/>
      <w:r w:rsidRPr="002435A5">
        <w:t xml:space="preserve"> R, </w:t>
      </w:r>
      <w:proofErr w:type="gramStart"/>
      <w:r w:rsidRPr="002435A5">
        <w:t>Louis</w:t>
      </w:r>
      <w:proofErr w:type="gramEnd"/>
      <w:r w:rsidRPr="002435A5">
        <w:t xml:space="preserve"> ED, et al. Evidence-based guideline update: Treatment of essential tremor: Report of the Quality Standards Subcommittee of the American Academy of Neurology. Neurology. 2011.</w:t>
      </w:r>
    </w:p>
    <w:p w14:paraId="4F6C1680" w14:textId="5DB83717" w:rsidR="00533AAD" w:rsidRDefault="00533AAD" w:rsidP="00533AAD">
      <w:proofErr w:type="spellStart"/>
      <w:r>
        <w:t>Zesiewicz</w:t>
      </w:r>
      <w:proofErr w:type="spellEnd"/>
      <w:r>
        <w:t xml:space="preserve"> TA and </w:t>
      </w:r>
      <w:proofErr w:type="spellStart"/>
      <w:r>
        <w:t>Kuo</w:t>
      </w:r>
      <w:proofErr w:type="spellEnd"/>
      <w:r>
        <w:t xml:space="preserve"> SH. Essential tremor. BMJ </w:t>
      </w:r>
      <w:proofErr w:type="spellStart"/>
      <w:r>
        <w:t>Clin</w:t>
      </w:r>
      <w:proofErr w:type="spellEnd"/>
      <w:r>
        <w:t xml:space="preserve"> </w:t>
      </w:r>
      <w:proofErr w:type="spellStart"/>
      <w:r>
        <w:t>Evid</w:t>
      </w:r>
      <w:proofErr w:type="spellEnd"/>
      <w:r>
        <w:t>. 2015</w:t>
      </w:r>
      <w:proofErr w:type="gramStart"/>
      <w:r>
        <w:t>;2015</w:t>
      </w:r>
      <w:proofErr w:type="gramEnd"/>
      <w:r>
        <w:t>.</w:t>
      </w:r>
    </w:p>
    <w:p w14:paraId="347CA31C" w14:textId="1DF88BC0" w:rsidR="0051059C" w:rsidRDefault="0051059C" w:rsidP="008E2AC1">
      <w:pPr>
        <w:rPr>
          <w:shd w:val="clear" w:color="auto" w:fill="FFFFFF"/>
        </w:rPr>
      </w:pPr>
      <w:proofErr w:type="spellStart"/>
      <w:r>
        <w:rPr>
          <w:shd w:val="clear" w:color="auto" w:fill="FFFFFF"/>
        </w:rPr>
        <w:t>Zubair</w:t>
      </w:r>
      <w:proofErr w:type="spellEnd"/>
      <w:r>
        <w:rPr>
          <w:shd w:val="clear" w:color="auto" w:fill="FFFFFF"/>
        </w:rPr>
        <w:t xml:space="preserve"> A, </w:t>
      </w:r>
      <w:proofErr w:type="spellStart"/>
      <w:r>
        <w:rPr>
          <w:shd w:val="clear" w:color="auto" w:fill="FFFFFF"/>
        </w:rPr>
        <w:t>Cersonsky</w:t>
      </w:r>
      <w:proofErr w:type="spellEnd"/>
      <w:r>
        <w:rPr>
          <w:shd w:val="clear" w:color="auto" w:fill="FFFFFF"/>
        </w:rPr>
        <w:t xml:space="preserve"> TEK, </w:t>
      </w:r>
      <w:proofErr w:type="spellStart"/>
      <w:r>
        <w:rPr>
          <w:shd w:val="clear" w:color="auto" w:fill="FFFFFF"/>
        </w:rPr>
        <w:t>Kellner</w:t>
      </w:r>
      <w:proofErr w:type="spellEnd"/>
      <w:r>
        <w:rPr>
          <w:shd w:val="clear" w:color="auto" w:fill="FFFFFF"/>
        </w:rPr>
        <w:t xml:space="preserve"> S, Huey ED, </w:t>
      </w:r>
      <w:proofErr w:type="spellStart"/>
      <w:r>
        <w:rPr>
          <w:shd w:val="clear" w:color="auto" w:fill="FFFFFF"/>
        </w:rPr>
        <w:t>Cosentino</w:t>
      </w:r>
      <w:proofErr w:type="spellEnd"/>
      <w:r>
        <w:rPr>
          <w:shd w:val="clear" w:color="auto" w:fill="FFFFFF"/>
        </w:rPr>
        <w:t xml:space="preserve"> S, Louis ED. What Predicts Mortality in Essential Tremor? A Prospective, Longitudinal Study of Elders. </w:t>
      </w:r>
      <w:r>
        <w:rPr>
          <w:i/>
          <w:iCs/>
          <w:shd w:val="clear" w:color="auto" w:fill="FFFFFF"/>
        </w:rPr>
        <w:t>Front Neurol</w:t>
      </w:r>
      <w:r>
        <w:rPr>
          <w:shd w:val="clear" w:color="auto" w:fill="FFFFFF"/>
        </w:rPr>
        <w:t>. 2018</w:t>
      </w:r>
      <w:proofErr w:type="gramStart"/>
      <w:r>
        <w:rPr>
          <w:shd w:val="clear" w:color="auto" w:fill="FFFFFF"/>
        </w:rPr>
        <w:t>;9:1077</w:t>
      </w:r>
      <w:proofErr w:type="gramEnd"/>
      <w:r>
        <w:rPr>
          <w:shd w:val="clear" w:color="auto" w:fill="FFFFFF"/>
        </w:rPr>
        <w:t>. Published 2018 Dec 7. doi:10.3389/fneur.2018.01077</w:t>
      </w:r>
    </w:p>
    <w:p w14:paraId="6414775A" w14:textId="77777777" w:rsidR="0051059C" w:rsidRDefault="0051059C" w:rsidP="008E2AC1"/>
    <w:sectPr w:rsidR="0051059C" w:rsidSect="00DD308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16899" w16cid:durableId="21D2C597"/>
  <w16cid:commentId w16cid:paraId="0E74EC71" w16cid:durableId="21D2C5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4D4D3" w14:textId="77777777" w:rsidR="0041089F" w:rsidRDefault="0041089F" w:rsidP="00CF2DFA">
      <w:pPr>
        <w:spacing w:after="0"/>
      </w:pPr>
      <w:r>
        <w:separator/>
      </w:r>
    </w:p>
  </w:endnote>
  <w:endnote w:type="continuationSeparator" w:id="0">
    <w:p w14:paraId="0E57B950" w14:textId="77777777" w:rsidR="0041089F" w:rsidRDefault="0041089F"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9890E" w14:textId="77777777" w:rsidR="00F26CC0" w:rsidRDefault="00F2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A3FDB14" w14:textId="45C07FB7" w:rsidR="0041089F" w:rsidRDefault="0041089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505853" w:rsidRPr="00505853">
          <w:rPr>
            <w:b/>
            <w:bCs/>
            <w:noProof/>
            <w:sz w:val="18"/>
            <w:szCs w:val="18"/>
          </w:rPr>
          <w:t>23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EC45DB0" w14:textId="77777777" w:rsidR="0041089F" w:rsidRPr="003F7CB9" w:rsidRDefault="0041089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4688" w14:textId="77777777" w:rsidR="00F26CC0" w:rsidRDefault="00F26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1A57A" w14:textId="77777777" w:rsidR="0041089F" w:rsidRDefault="0041089F" w:rsidP="00CF2DFA">
      <w:pPr>
        <w:spacing w:after="0"/>
      </w:pPr>
      <w:r>
        <w:separator/>
      </w:r>
    </w:p>
  </w:footnote>
  <w:footnote w:type="continuationSeparator" w:id="0">
    <w:p w14:paraId="1DCDFCAA" w14:textId="77777777" w:rsidR="0041089F" w:rsidRDefault="0041089F"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4C13E" w14:textId="77777777" w:rsidR="00F26CC0" w:rsidRDefault="00F26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4ACC" w14:textId="77777777" w:rsidR="00F26CC0" w:rsidRDefault="00F26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882E" w14:textId="77777777" w:rsidR="00F26CC0" w:rsidRDefault="00F26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07C"/>
    <w:multiLevelType w:val="hybridMultilevel"/>
    <w:tmpl w:val="B0F2E48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FE44B2"/>
    <w:multiLevelType w:val="hybridMultilevel"/>
    <w:tmpl w:val="65FCE9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187714"/>
    <w:multiLevelType w:val="hybridMultilevel"/>
    <w:tmpl w:val="FCD07BF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320583A"/>
    <w:multiLevelType w:val="hybridMultilevel"/>
    <w:tmpl w:val="F9B89D00"/>
    <w:lvl w:ilvl="0" w:tplc="79565306">
      <w:start w:val="2"/>
      <w:numFmt w:val="lowerLetter"/>
      <w:lvlText w:val="(%1)"/>
      <w:lvlJc w:val="left"/>
      <w:pPr>
        <w:ind w:left="720" w:hanging="360"/>
      </w:pPr>
      <w:rPr>
        <w:rFonts w:hint="default"/>
      </w:rPr>
    </w:lvl>
    <w:lvl w:ilvl="1" w:tplc="4D0E63FC">
      <w:numFmt w:val="bullet"/>
      <w:lvlText w:val="•"/>
      <w:lvlJc w:val="left"/>
      <w:pPr>
        <w:ind w:left="1515" w:hanging="435"/>
      </w:pPr>
      <w:rPr>
        <w:rFonts w:ascii="Calibri" w:eastAsiaTheme="minorHAnsi" w:hAnsi="Calibri" w:cstheme="minorBidi" w:hint="default"/>
      </w:rPr>
    </w:lvl>
    <w:lvl w:ilvl="2" w:tplc="80F22F7A">
      <w:start w:val="4"/>
      <w:numFmt w:val="bullet"/>
      <w:lvlText w:val="-"/>
      <w:lvlJc w:val="left"/>
      <w:pPr>
        <w:ind w:left="2340" w:hanging="360"/>
      </w:pPr>
      <w:rPr>
        <w:rFonts w:ascii="Calibri" w:eastAsiaTheme="minorHAnsi" w:hAnsi="Calibri" w:cstheme="minorBid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7431CEE"/>
    <w:multiLevelType w:val="hybridMultilevel"/>
    <w:tmpl w:val="66FC68AA"/>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9" w15:restartNumberingAfterBreak="0">
    <w:nsid w:val="188009BD"/>
    <w:multiLevelType w:val="hybridMultilevel"/>
    <w:tmpl w:val="90E0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62334"/>
    <w:multiLevelType w:val="hybridMultilevel"/>
    <w:tmpl w:val="9F8AEDEE"/>
    <w:lvl w:ilvl="0" w:tplc="78C004A0">
      <w:start w:val="1"/>
      <w:numFmt w:val="lowerLetter"/>
      <w:lvlText w:val="(%1)"/>
      <w:lvlJc w:val="left"/>
      <w:pPr>
        <w:ind w:left="1440" w:hanging="720"/>
      </w:pPr>
      <w:rPr>
        <w:rFonts w:ascii="Arial" w:eastAsiaTheme="minorHAnsi" w:hAnsi="Arial"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DC3ED0"/>
    <w:multiLevelType w:val="hybridMultilevel"/>
    <w:tmpl w:val="9F8AEDEE"/>
    <w:lvl w:ilvl="0" w:tplc="78C004A0">
      <w:start w:val="1"/>
      <w:numFmt w:val="lowerLetter"/>
      <w:lvlText w:val="(%1)"/>
      <w:lvlJc w:val="left"/>
      <w:pPr>
        <w:ind w:left="1440" w:hanging="720"/>
      </w:pPr>
      <w:rPr>
        <w:rFonts w:ascii="Arial" w:eastAsiaTheme="minorHAnsi" w:hAnsi="Arial"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510F6FAE"/>
    <w:multiLevelType w:val="multilevel"/>
    <w:tmpl w:val="D5FA7F4A"/>
    <w:lvl w:ilvl="0">
      <w:start w:val="1"/>
      <w:numFmt w:val="decimal"/>
      <w:pStyle w:val="Heading2"/>
      <w:lvlText w:val="%1."/>
      <w:lvlJc w:val="left"/>
      <w:pPr>
        <w:ind w:left="3054"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6A7C63"/>
    <w:multiLevelType w:val="hybridMultilevel"/>
    <w:tmpl w:val="78B40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66DA9"/>
    <w:multiLevelType w:val="hybridMultilevel"/>
    <w:tmpl w:val="6EF295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5"/>
  </w:num>
  <w:num w:numId="2">
    <w:abstractNumId w:val="22"/>
  </w:num>
  <w:num w:numId="3">
    <w:abstractNumId w:val="3"/>
  </w:num>
  <w:num w:numId="4">
    <w:abstractNumId w:val="20"/>
  </w:num>
  <w:num w:numId="5">
    <w:abstractNumId w:val="6"/>
  </w:num>
  <w:num w:numId="6">
    <w:abstractNumId w:val="16"/>
  </w:num>
  <w:num w:numId="7">
    <w:abstractNumId w:val="12"/>
  </w:num>
  <w:num w:numId="8">
    <w:abstractNumId w:val="21"/>
  </w:num>
  <w:num w:numId="9">
    <w:abstractNumId w:val="4"/>
  </w:num>
  <w:num w:numId="10">
    <w:abstractNumId w:val="18"/>
  </w:num>
  <w:num w:numId="11">
    <w:abstractNumId w:val="10"/>
  </w:num>
  <w:num w:numId="12">
    <w:abstractNumId w:val="17"/>
  </w:num>
  <w:num w:numId="13">
    <w:abstractNumId w:val="7"/>
  </w:num>
  <w:num w:numId="14">
    <w:abstractNumId w:val="14"/>
  </w:num>
  <w:num w:numId="15">
    <w:abstractNumId w:val="1"/>
  </w:num>
  <w:num w:numId="16">
    <w:abstractNumId w:val="23"/>
  </w:num>
  <w:num w:numId="17">
    <w:abstractNumId w:val="8"/>
  </w:num>
  <w:num w:numId="18">
    <w:abstractNumId w:val="13"/>
  </w:num>
  <w:num w:numId="19">
    <w:abstractNumId w:val="19"/>
  </w:num>
  <w:num w:numId="20">
    <w:abstractNumId w:val="0"/>
  </w:num>
  <w:num w:numId="21">
    <w:abstractNumId w:val="5"/>
  </w:num>
  <w:num w:numId="22">
    <w:abstractNumId w:val="2"/>
  </w:num>
  <w:num w:numId="23">
    <w:abstractNumId w:val="11"/>
  </w:num>
  <w:num w:numId="2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2743"/>
    <w:rsid w:val="00023903"/>
    <w:rsid w:val="00023E21"/>
    <w:rsid w:val="00025ABC"/>
    <w:rsid w:val="00026412"/>
    <w:rsid w:val="00026B5E"/>
    <w:rsid w:val="00031885"/>
    <w:rsid w:val="00031F6F"/>
    <w:rsid w:val="00034C73"/>
    <w:rsid w:val="00034D6E"/>
    <w:rsid w:val="00042D8E"/>
    <w:rsid w:val="00046E58"/>
    <w:rsid w:val="000476EA"/>
    <w:rsid w:val="00050007"/>
    <w:rsid w:val="0005089D"/>
    <w:rsid w:val="000525BC"/>
    <w:rsid w:val="0005340E"/>
    <w:rsid w:val="00055F85"/>
    <w:rsid w:val="00061DDD"/>
    <w:rsid w:val="00061E56"/>
    <w:rsid w:val="00073222"/>
    <w:rsid w:val="00073AD4"/>
    <w:rsid w:val="00073FD9"/>
    <w:rsid w:val="000770BA"/>
    <w:rsid w:val="00081876"/>
    <w:rsid w:val="00092580"/>
    <w:rsid w:val="000955E7"/>
    <w:rsid w:val="000A110D"/>
    <w:rsid w:val="000A478F"/>
    <w:rsid w:val="000A5B32"/>
    <w:rsid w:val="000B1D56"/>
    <w:rsid w:val="000B3CD0"/>
    <w:rsid w:val="000D066E"/>
    <w:rsid w:val="000D0831"/>
    <w:rsid w:val="000D2FD5"/>
    <w:rsid w:val="000E3477"/>
    <w:rsid w:val="000E47E7"/>
    <w:rsid w:val="000E5439"/>
    <w:rsid w:val="000E6416"/>
    <w:rsid w:val="000F457F"/>
    <w:rsid w:val="00102686"/>
    <w:rsid w:val="0011036E"/>
    <w:rsid w:val="00110477"/>
    <w:rsid w:val="00112978"/>
    <w:rsid w:val="001130B0"/>
    <w:rsid w:val="0011369B"/>
    <w:rsid w:val="0011742E"/>
    <w:rsid w:val="00122366"/>
    <w:rsid w:val="001229C7"/>
    <w:rsid w:val="00123D10"/>
    <w:rsid w:val="00126B33"/>
    <w:rsid w:val="00146094"/>
    <w:rsid w:val="001473AE"/>
    <w:rsid w:val="001504CF"/>
    <w:rsid w:val="00154B00"/>
    <w:rsid w:val="00155DAD"/>
    <w:rsid w:val="0015648A"/>
    <w:rsid w:val="00160485"/>
    <w:rsid w:val="00161DB4"/>
    <w:rsid w:val="001644E9"/>
    <w:rsid w:val="00171477"/>
    <w:rsid w:val="00174E12"/>
    <w:rsid w:val="001750FE"/>
    <w:rsid w:val="00176232"/>
    <w:rsid w:val="001845D9"/>
    <w:rsid w:val="001848C7"/>
    <w:rsid w:val="0018630F"/>
    <w:rsid w:val="001906CD"/>
    <w:rsid w:val="0019129D"/>
    <w:rsid w:val="00191B99"/>
    <w:rsid w:val="00192E03"/>
    <w:rsid w:val="0019694B"/>
    <w:rsid w:val="00197D29"/>
    <w:rsid w:val="001A02E3"/>
    <w:rsid w:val="001A0335"/>
    <w:rsid w:val="001A1ADF"/>
    <w:rsid w:val="001A365C"/>
    <w:rsid w:val="001A5C76"/>
    <w:rsid w:val="001B171D"/>
    <w:rsid w:val="001B29A1"/>
    <w:rsid w:val="001B5169"/>
    <w:rsid w:val="001B6164"/>
    <w:rsid w:val="001C3698"/>
    <w:rsid w:val="001C5B8F"/>
    <w:rsid w:val="001D054D"/>
    <w:rsid w:val="001D3389"/>
    <w:rsid w:val="001D77ED"/>
    <w:rsid w:val="001E1180"/>
    <w:rsid w:val="001E23EA"/>
    <w:rsid w:val="001E6919"/>
    <w:rsid w:val="001E6958"/>
    <w:rsid w:val="001F25AA"/>
    <w:rsid w:val="001F4C7F"/>
    <w:rsid w:val="00201924"/>
    <w:rsid w:val="00202473"/>
    <w:rsid w:val="002053F2"/>
    <w:rsid w:val="00206AB3"/>
    <w:rsid w:val="00206D63"/>
    <w:rsid w:val="0021185D"/>
    <w:rsid w:val="00214E42"/>
    <w:rsid w:val="00216AF2"/>
    <w:rsid w:val="00225313"/>
    <w:rsid w:val="00226777"/>
    <w:rsid w:val="00235BD1"/>
    <w:rsid w:val="002412EA"/>
    <w:rsid w:val="00242B0E"/>
    <w:rsid w:val="00243FEE"/>
    <w:rsid w:val="00247DF0"/>
    <w:rsid w:val="00254813"/>
    <w:rsid w:val="00257FF2"/>
    <w:rsid w:val="00265822"/>
    <w:rsid w:val="002667BD"/>
    <w:rsid w:val="00266E41"/>
    <w:rsid w:val="00270099"/>
    <w:rsid w:val="0027105F"/>
    <w:rsid w:val="002711FB"/>
    <w:rsid w:val="00282BE8"/>
    <w:rsid w:val="00283318"/>
    <w:rsid w:val="00285525"/>
    <w:rsid w:val="00292921"/>
    <w:rsid w:val="00294CD8"/>
    <w:rsid w:val="002A270B"/>
    <w:rsid w:val="002A43B2"/>
    <w:rsid w:val="002A50FD"/>
    <w:rsid w:val="002A6753"/>
    <w:rsid w:val="002B0E1F"/>
    <w:rsid w:val="002B28D7"/>
    <w:rsid w:val="002B5147"/>
    <w:rsid w:val="002B7EB6"/>
    <w:rsid w:val="002C0B61"/>
    <w:rsid w:val="002C15E6"/>
    <w:rsid w:val="002C247D"/>
    <w:rsid w:val="002C3345"/>
    <w:rsid w:val="002D409A"/>
    <w:rsid w:val="002D5D8F"/>
    <w:rsid w:val="002E3360"/>
    <w:rsid w:val="002E4DDD"/>
    <w:rsid w:val="002E7142"/>
    <w:rsid w:val="002F30E7"/>
    <w:rsid w:val="00300EEB"/>
    <w:rsid w:val="003013A9"/>
    <w:rsid w:val="00301958"/>
    <w:rsid w:val="003020B5"/>
    <w:rsid w:val="003027BB"/>
    <w:rsid w:val="0030304A"/>
    <w:rsid w:val="003039CB"/>
    <w:rsid w:val="00307E00"/>
    <w:rsid w:val="00310A10"/>
    <w:rsid w:val="00324290"/>
    <w:rsid w:val="00327D25"/>
    <w:rsid w:val="003319A7"/>
    <w:rsid w:val="00334FE3"/>
    <w:rsid w:val="00335233"/>
    <w:rsid w:val="003421AE"/>
    <w:rsid w:val="003433D1"/>
    <w:rsid w:val="00344B24"/>
    <w:rsid w:val="003456B9"/>
    <w:rsid w:val="0035067D"/>
    <w:rsid w:val="00353A16"/>
    <w:rsid w:val="0035776D"/>
    <w:rsid w:val="0036034A"/>
    <w:rsid w:val="00364FD9"/>
    <w:rsid w:val="00367C1B"/>
    <w:rsid w:val="0037317A"/>
    <w:rsid w:val="00376B61"/>
    <w:rsid w:val="00376DA6"/>
    <w:rsid w:val="00382407"/>
    <w:rsid w:val="00386A64"/>
    <w:rsid w:val="00386FA1"/>
    <w:rsid w:val="00390142"/>
    <w:rsid w:val="003902C2"/>
    <w:rsid w:val="003904AC"/>
    <w:rsid w:val="00392F00"/>
    <w:rsid w:val="0039547E"/>
    <w:rsid w:val="003968EC"/>
    <w:rsid w:val="00397377"/>
    <w:rsid w:val="003A0E67"/>
    <w:rsid w:val="003A22DE"/>
    <w:rsid w:val="003A2860"/>
    <w:rsid w:val="003A3C35"/>
    <w:rsid w:val="003A6EF5"/>
    <w:rsid w:val="003A7D30"/>
    <w:rsid w:val="003B3C5C"/>
    <w:rsid w:val="003C47CA"/>
    <w:rsid w:val="003D123C"/>
    <w:rsid w:val="003D2D18"/>
    <w:rsid w:val="003D6DE1"/>
    <w:rsid w:val="003D795C"/>
    <w:rsid w:val="003E30FB"/>
    <w:rsid w:val="003F023C"/>
    <w:rsid w:val="003F2711"/>
    <w:rsid w:val="003F3CEE"/>
    <w:rsid w:val="003F464C"/>
    <w:rsid w:val="003F6C70"/>
    <w:rsid w:val="003F7CB9"/>
    <w:rsid w:val="00403333"/>
    <w:rsid w:val="004067D1"/>
    <w:rsid w:val="0041089F"/>
    <w:rsid w:val="00411735"/>
    <w:rsid w:val="00415C74"/>
    <w:rsid w:val="00425141"/>
    <w:rsid w:val="0043654D"/>
    <w:rsid w:val="00437F60"/>
    <w:rsid w:val="00450BA0"/>
    <w:rsid w:val="00451840"/>
    <w:rsid w:val="00460C9A"/>
    <w:rsid w:val="00464924"/>
    <w:rsid w:val="004666A1"/>
    <w:rsid w:val="00466F44"/>
    <w:rsid w:val="0047269D"/>
    <w:rsid w:val="0047581D"/>
    <w:rsid w:val="00480289"/>
    <w:rsid w:val="00481279"/>
    <w:rsid w:val="00483368"/>
    <w:rsid w:val="00485A9D"/>
    <w:rsid w:val="004923DC"/>
    <w:rsid w:val="00494011"/>
    <w:rsid w:val="00495BA7"/>
    <w:rsid w:val="004A0BF4"/>
    <w:rsid w:val="004A1649"/>
    <w:rsid w:val="004A263B"/>
    <w:rsid w:val="004B68AE"/>
    <w:rsid w:val="004C35B0"/>
    <w:rsid w:val="004C49EF"/>
    <w:rsid w:val="004C4A19"/>
    <w:rsid w:val="004C5570"/>
    <w:rsid w:val="004D00C9"/>
    <w:rsid w:val="004E0188"/>
    <w:rsid w:val="004E16F5"/>
    <w:rsid w:val="004E3CC7"/>
    <w:rsid w:val="004E59EB"/>
    <w:rsid w:val="004E5B69"/>
    <w:rsid w:val="004F2A87"/>
    <w:rsid w:val="004F7F32"/>
    <w:rsid w:val="00505853"/>
    <w:rsid w:val="00507C56"/>
    <w:rsid w:val="0051059C"/>
    <w:rsid w:val="005155DE"/>
    <w:rsid w:val="005168D3"/>
    <w:rsid w:val="005213D6"/>
    <w:rsid w:val="00522978"/>
    <w:rsid w:val="0052344E"/>
    <w:rsid w:val="00526478"/>
    <w:rsid w:val="00530204"/>
    <w:rsid w:val="00531468"/>
    <w:rsid w:val="005323B6"/>
    <w:rsid w:val="00532B3F"/>
    <w:rsid w:val="00533AAD"/>
    <w:rsid w:val="00534C5F"/>
    <w:rsid w:val="00540257"/>
    <w:rsid w:val="0054192F"/>
    <w:rsid w:val="00544EB3"/>
    <w:rsid w:val="0054594B"/>
    <w:rsid w:val="0054749B"/>
    <w:rsid w:val="005476BB"/>
    <w:rsid w:val="00551CC6"/>
    <w:rsid w:val="00554E7A"/>
    <w:rsid w:val="0056015F"/>
    <w:rsid w:val="00560541"/>
    <w:rsid w:val="005672D0"/>
    <w:rsid w:val="00572B80"/>
    <w:rsid w:val="00572CEB"/>
    <w:rsid w:val="005775C3"/>
    <w:rsid w:val="00580219"/>
    <w:rsid w:val="005834C9"/>
    <w:rsid w:val="0059101B"/>
    <w:rsid w:val="005A58BA"/>
    <w:rsid w:val="005A5D30"/>
    <w:rsid w:val="005A6AB9"/>
    <w:rsid w:val="005B504F"/>
    <w:rsid w:val="005C0FD9"/>
    <w:rsid w:val="005C333E"/>
    <w:rsid w:val="005C39E8"/>
    <w:rsid w:val="005C3AE7"/>
    <w:rsid w:val="005C7E8B"/>
    <w:rsid w:val="005D0677"/>
    <w:rsid w:val="005D099F"/>
    <w:rsid w:val="005E294C"/>
    <w:rsid w:val="005E2CE3"/>
    <w:rsid w:val="005E6EA4"/>
    <w:rsid w:val="005E7E93"/>
    <w:rsid w:val="005F3F07"/>
    <w:rsid w:val="005F75A7"/>
    <w:rsid w:val="00603D04"/>
    <w:rsid w:val="00606857"/>
    <w:rsid w:val="006138E9"/>
    <w:rsid w:val="00615F42"/>
    <w:rsid w:val="006258C2"/>
    <w:rsid w:val="00626365"/>
    <w:rsid w:val="00630E22"/>
    <w:rsid w:val="0064168C"/>
    <w:rsid w:val="0064220A"/>
    <w:rsid w:val="00657B46"/>
    <w:rsid w:val="00657EC7"/>
    <w:rsid w:val="006613F2"/>
    <w:rsid w:val="006764EC"/>
    <w:rsid w:val="006835FE"/>
    <w:rsid w:val="006858F6"/>
    <w:rsid w:val="00693BFD"/>
    <w:rsid w:val="00695065"/>
    <w:rsid w:val="006A1038"/>
    <w:rsid w:val="006A649A"/>
    <w:rsid w:val="006A7748"/>
    <w:rsid w:val="006B1B49"/>
    <w:rsid w:val="006B3892"/>
    <w:rsid w:val="006B6369"/>
    <w:rsid w:val="006B6390"/>
    <w:rsid w:val="006B796D"/>
    <w:rsid w:val="006C0356"/>
    <w:rsid w:val="006C0843"/>
    <w:rsid w:val="006C5F29"/>
    <w:rsid w:val="006C61DC"/>
    <w:rsid w:val="006C74B1"/>
    <w:rsid w:val="006D022A"/>
    <w:rsid w:val="006E38D1"/>
    <w:rsid w:val="006E42D9"/>
    <w:rsid w:val="006E57AA"/>
    <w:rsid w:val="006E67F9"/>
    <w:rsid w:val="006F20CF"/>
    <w:rsid w:val="006F38ED"/>
    <w:rsid w:val="0070388B"/>
    <w:rsid w:val="00707D4D"/>
    <w:rsid w:val="00723446"/>
    <w:rsid w:val="00723503"/>
    <w:rsid w:val="00726099"/>
    <w:rsid w:val="00730C04"/>
    <w:rsid w:val="0073597B"/>
    <w:rsid w:val="007378F6"/>
    <w:rsid w:val="00737B0A"/>
    <w:rsid w:val="0074545D"/>
    <w:rsid w:val="00747FB8"/>
    <w:rsid w:val="007522E3"/>
    <w:rsid w:val="0075335B"/>
    <w:rsid w:val="00753C0A"/>
    <w:rsid w:val="00753C44"/>
    <w:rsid w:val="007540DD"/>
    <w:rsid w:val="00754383"/>
    <w:rsid w:val="007564D1"/>
    <w:rsid w:val="00757232"/>
    <w:rsid w:val="00760679"/>
    <w:rsid w:val="00763628"/>
    <w:rsid w:val="007659DA"/>
    <w:rsid w:val="00767E99"/>
    <w:rsid w:val="00772E62"/>
    <w:rsid w:val="00772F7F"/>
    <w:rsid w:val="00775A6A"/>
    <w:rsid w:val="0077789B"/>
    <w:rsid w:val="00780D29"/>
    <w:rsid w:val="00781A40"/>
    <w:rsid w:val="00782C7A"/>
    <w:rsid w:val="0079176C"/>
    <w:rsid w:val="00791C8D"/>
    <w:rsid w:val="00793495"/>
    <w:rsid w:val="0079354C"/>
    <w:rsid w:val="00794181"/>
    <w:rsid w:val="007A54A9"/>
    <w:rsid w:val="007A7F6F"/>
    <w:rsid w:val="007B4C76"/>
    <w:rsid w:val="007C2260"/>
    <w:rsid w:val="007D1E52"/>
    <w:rsid w:val="007D2358"/>
    <w:rsid w:val="007D58C6"/>
    <w:rsid w:val="007E04C1"/>
    <w:rsid w:val="007E39E4"/>
    <w:rsid w:val="007E6FB3"/>
    <w:rsid w:val="007E7120"/>
    <w:rsid w:val="007F21B4"/>
    <w:rsid w:val="008012DE"/>
    <w:rsid w:val="00802553"/>
    <w:rsid w:val="00803EAB"/>
    <w:rsid w:val="008046B5"/>
    <w:rsid w:val="00810224"/>
    <w:rsid w:val="008127C0"/>
    <w:rsid w:val="00812EDD"/>
    <w:rsid w:val="008139C5"/>
    <w:rsid w:val="0081650F"/>
    <w:rsid w:val="00831D4B"/>
    <w:rsid w:val="00832B31"/>
    <w:rsid w:val="00837081"/>
    <w:rsid w:val="008403E0"/>
    <w:rsid w:val="00844A42"/>
    <w:rsid w:val="0084657B"/>
    <w:rsid w:val="0085389C"/>
    <w:rsid w:val="00855944"/>
    <w:rsid w:val="00864798"/>
    <w:rsid w:val="00864A18"/>
    <w:rsid w:val="00870833"/>
    <w:rsid w:val="00874571"/>
    <w:rsid w:val="00881F93"/>
    <w:rsid w:val="0088288D"/>
    <w:rsid w:val="00882CB5"/>
    <w:rsid w:val="00883641"/>
    <w:rsid w:val="00884E69"/>
    <w:rsid w:val="008872AF"/>
    <w:rsid w:val="00890082"/>
    <w:rsid w:val="0089553D"/>
    <w:rsid w:val="008964D3"/>
    <w:rsid w:val="008967F4"/>
    <w:rsid w:val="00896C9B"/>
    <w:rsid w:val="008979BB"/>
    <w:rsid w:val="008A48D2"/>
    <w:rsid w:val="008A7423"/>
    <w:rsid w:val="008B2497"/>
    <w:rsid w:val="008B2610"/>
    <w:rsid w:val="008B2FD2"/>
    <w:rsid w:val="008B471D"/>
    <w:rsid w:val="008B49E4"/>
    <w:rsid w:val="008B729C"/>
    <w:rsid w:val="008C3F6D"/>
    <w:rsid w:val="008C4238"/>
    <w:rsid w:val="008C4A93"/>
    <w:rsid w:val="008C5BAA"/>
    <w:rsid w:val="008D18A5"/>
    <w:rsid w:val="008E0E49"/>
    <w:rsid w:val="008E2AC1"/>
    <w:rsid w:val="008E35FD"/>
    <w:rsid w:val="008E6227"/>
    <w:rsid w:val="008E78B9"/>
    <w:rsid w:val="00901F1C"/>
    <w:rsid w:val="0090543D"/>
    <w:rsid w:val="009056C5"/>
    <w:rsid w:val="00915735"/>
    <w:rsid w:val="00917E53"/>
    <w:rsid w:val="009256D6"/>
    <w:rsid w:val="009262F2"/>
    <w:rsid w:val="00937791"/>
    <w:rsid w:val="009445FA"/>
    <w:rsid w:val="00946927"/>
    <w:rsid w:val="00950CBE"/>
    <w:rsid w:val="00951933"/>
    <w:rsid w:val="00954343"/>
    <w:rsid w:val="00955271"/>
    <w:rsid w:val="00956793"/>
    <w:rsid w:val="00957537"/>
    <w:rsid w:val="00963C9C"/>
    <w:rsid w:val="00965B6B"/>
    <w:rsid w:val="009718AB"/>
    <w:rsid w:val="00971EDB"/>
    <w:rsid w:val="00974D50"/>
    <w:rsid w:val="00975DA0"/>
    <w:rsid w:val="00987ABE"/>
    <w:rsid w:val="00991EE4"/>
    <w:rsid w:val="009939DC"/>
    <w:rsid w:val="00993B9C"/>
    <w:rsid w:val="009B39F0"/>
    <w:rsid w:val="009B4E1E"/>
    <w:rsid w:val="009C03FB"/>
    <w:rsid w:val="009C4B4F"/>
    <w:rsid w:val="009E2993"/>
    <w:rsid w:val="009F0C02"/>
    <w:rsid w:val="009F10A1"/>
    <w:rsid w:val="009F5758"/>
    <w:rsid w:val="00A0283F"/>
    <w:rsid w:val="00A02E0C"/>
    <w:rsid w:val="00A04F4A"/>
    <w:rsid w:val="00A26343"/>
    <w:rsid w:val="00A3693F"/>
    <w:rsid w:val="00A37710"/>
    <w:rsid w:val="00A408B5"/>
    <w:rsid w:val="00A5013D"/>
    <w:rsid w:val="00A529E2"/>
    <w:rsid w:val="00A52E19"/>
    <w:rsid w:val="00A539F8"/>
    <w:rsid w:val="00A560E7"/>
    <w:rsid w:val="00A635CF"/>
    <w:rsid w:val="00A6491A"/>
    <w:rsid w:val="00A6594E"/>
    <w:rsid w:val="00A727B6"/>
    <w:rsid w:val="00A75644"/>
    <w:rsid w:val="00A8012D"/>
    <w:rsid w:val="00A81B17"/>
    <w:rsid w:val="00A81CC6"/>
    <w:rsid w:val="00A83EC6"/>
    <w:rsid w:val="00A86B59"/>
    <w:rsid w:val="00A8732C"/>
    <w:rsid w:val="00A87E9B"/>
    <w:rsid w:val="00A9062D"/>
    <w:rsid w:val="00A90648"/>
    <w:rsid w:val="00A93F58"/>
    <w:rsid w:val="00A96329"/>
    <w:rsid w:val="00AA08E5"/>
    <w:rsid w:val="00AA134B"/>
    <w:rsid w:val="00AA2CFE"/>
    <w:rsid w:val="00AA5E77"/>
    <w:rsid w:val="00AA5FDA"/>
    <w:rsid w:val="00AA6291"/>
    <w:rsid w:val="00AB18FC"/>
    <w:rsid w:val="00AC0C91"/>
    <w:rsid w:val="00AC1A82"/>
    <w:rsid w:val="00AD18FC"/>
    <w:rsid w:val="00AD37D4"/>
    <w:rsid w:val="00AD7986"/>
    <w:rsid w:val="00AE1188"/>
    <w:rsid w:val="00AE738C"/>
    <w:rsid w:val="00AF1046"/>
    <w:rsid w:val="00AF4466"/>
    <w:rsid w:val="00AF5D1E"/>
    <w:rsid w:val="00AF5D68"/>
    <w:rsid w:val="00AF7AAC"/>
    <w:rsid w:val="00B037DE"/>
    <w:rsid w:val="00B03C8B"/>
    <w:rsid w:val="00B040A9"/>
    <w:rsid w:val="00B1711E"/>
    <w:rsid w:val="00B17CBE"/>
    <w:rsid w:val="00B17E26"/>
    <w:rsid w:val="00B20E1A"/>
    <w:rsid w:val="00B231A4"/>
    <w:rsid w:val="00B23A1A"/>
    <w:rsid w:val="00B23AFD"/>
    <w:rsid w:val="00B25D20"/>
    <w:rsid w:val="00B312E5"/>
    <w:rsid w:val="00B31C99"/>
    <w:rsid w:val="00B31DB6"/>
    <w:rsid w:val="00B53BA6"/>
    <w:rsid w:val="00B5731D"/>
    <w:rsid w:val="00B6001A"/>
    <w:rsid w:val="00B6378B"/>
    <w:rsid w:val="00B63E3A"/>
    <w:rsid w:val="00B73674"/>
    <w:rsid w:val="00B75965"/>
    <w:rsid w:val="00B771AD"/>
    <w:rsid w:val="00B814CB"/>
    <w:rsid w:val="00B86D41"/>
    <w:rsid w:val="00BA0CF8"/>
    <w:rsid w:val="00BA1ADF"/>
    <w:rsid w:val="00BA2EBA"/>
    <w:rsid w:val="00BA322E"/>
    <w:rsid w:val="00BA51FC"/>
    <w:rsid w:val="00BB003A"/>
    <w:rsid w:val="00BB2795"/>
    <w:rsid w:val="00BB3358"/>
    <w:rsid w:val="00BB3382"/>
    <w:rsid w:val="00BB3643"/>
    <w:rsid w:val="00BC3DA0"/>
    <w:rsid w:val="00BC4172"/>
    <w:rsid w:val="00BC424B"/>
    <w:rsid w:val="00BE0FDE"/>
    <w:rsid w:val="00BE2E82"/>
    <w:rsid w:val="00BF6AC5"/>
    <w:rsid w:val="00C01121"/>
    <w:rsid w:val="00C030A5"/>
    <w:rsid w:val="00C05A45"/>
    <w:rsid w:val="00C0796F"/>
    <w:rsid w:val="00C07D5F"/>
    <w:rsid w:val="00C11B34"/>
    <w:rsid w:val="00C122C9"/>
    <w:rsid w:val="00C12322"/>
    <w:rsid w:val="00C12C5C"/>
    <w:rsid w:val="00C14D98"/>
    <w:rsid w:val="00C171FB"/>
    <w:rsid w:val="00C173EA"/>
    <w:rsid w:val="00C209C2"/>
    <w:rsid w:val="00C2267F"/>
    <w:rsid w:val="00C22AD8"/>
    <w:rsid w:val="00C24E4C"/>
    <w:rsid w:val="00C33401"/>
    <w:rsid w:val="00C34BB5"/>
    <w:rsid w:val="00C35209"/>
    <w:rsid w:val="00C3557E"/>
    <w:rsid w:val="00C3594B"/>
    <w:rsid w:val="00C35EE1"/>
    <w:rsid w:val="00C362A7"/>
    <w:rsid w:val="00C37179"/>
    <w:rsid w:val="00C43102"/>
    <w:rsid w:val="00C44652"/>
    <w:rsid w:val="00C4696B"/>
    <w:rsid w:val="00C50513"/>
    <w:rsid w:val="00C54503"/>
    <w:rsid w:val="00C57643"/>
    <w:rsid w:val="00C63055"/>
    <w:rsid w:val="00C73B62"/>
    <w:rsid w:val="00C776B1"/>
    <w:rsid w:val="00C815FE"/>
    <w:rsid w:val="00C81FA0"/>
    <w:rsid w:val="00C847AE"/>
    <w:rsid w:val="00C91A1C"/>
    <w:rsid w:val="00C97DC5"/>
    <w:rsid w:val="00CA04C6"/>
    <w:rsid w:val="00CA1B9A"/>
    <w:rsid w:val="00CA258C"/>
    <w:rsid w:val="00CA26DD"/>
    <w:rsid w:val="00CA36E9"/>
    <w:rsid w:val="00CB12EC"/>
    <w:rsid w:val="00CC09D7"/>
    <w:rsid w:val="00CC12B8"/>
    <w:rsid w:val="00CC5AB1"/>
    <w:rsid w:val="00CD22E3"/>
    <w:rsid w:val="00CD3CDE"/>
    <w:rsid w:val="00CD4E44"/>
    <w:rsid w:val="00CD5AE4"/>
    <w:rsid w:val="00CD6BC4"/>
    <w:rsid w:val="00CD7A7D"/>
    <w:rsid w:val="00CE2C0E"/>
    <w:rsid w:val="00CF2D8E"/>
    <w:rsid w:val="00CF2DFA"/>
    <w:rsid w:val="00CF48C3"/>
    <w:rsid w:val="00CF5AD8"/>
    <w:rsid w:val="00D00122"/>
    <w:rsid w:val="00D01D2A"/>
    <w:rsid w:val="00D041D4"/>
    <w:rsid w:val="00D10B47"/>
    <w:rsid w:val="00D11EB1"/>
    <w:rsid w:val="00D17F17"/>
    <w:rsid w:val="00D23597"/>
    <w:rsid w:val="00D24FCA"/>
    <w:rsid w:val="00D30BDC"/>
    <w:rsid w:val="00D30F4A"/>
    <w:rsid w:val="00D36CCC"/>
    <w:rsid w:val="00D41725"/>
    <w:rsid w:val="00D4249A"/>
    <w:rsid w:val="00D44C10"/>
    <w:rsid w:val="00D562BE"/>
    <w:rsid w:val="00D57F88"/>
    <w:rsid w:val="00D64012"/>
    <w:rsid w:val="00D66728"/>
    <w:rsid w:val="00D7105C"/>
    <w:rsid w:val="00D71E5E"/>
    <w:rsid w:val="00D7238E"/>
    <w:rsid w:val="00D73646"/>
    <w:rsid w:val="00D76511"/>
    <w:rsid w:val="00D777B4"/>
    <w:rsid w:val="00D77A90"/>
    <w:rsid w:val="00D8360B"/>
    <w:rsid w:val="00D85676"/>
    <w:rsid w:val="00D87375"/>
    <w:rsid w:val="00D931DD"/>
    <w:rsid w:val="00D96ADA"/>
    <w:rsid w:val="00D97105"/>
    <w:rsid w:val="00DA2886"/>
    <w:rsid w:val="00DA5E50"/>
    <w:rsid w:val="00DA7D0C"/>
    <w:rsid w:val="00DB311C"/>
    <w:rsid w:val="00DB432D"/>
    <w:rsid w:val="00DB519B"/>
    <w:rsid w:val="00DC7694"/>
    <w:rsid w:val="00DC7FBE"/>
    <w:rsid w:val="00DD130E"/>
    <w:rsid w:val="00DD2C44"/>
    <w:rsid w:val="00DD308E"/>
    <w:rsid w:val="00DE6259"/>
    <w:rsid w:val="00DF0C51"/>
    <w:rsid w:val="00DF0D47"/>
    <w:rsid w:val="00DF1652"/>
    <w:rsid w:val="00DF6D37"/>
    <w:rsid w:val="00E048ED"/>
    <w:rsid w:val="00E04FB3"/>
    <w:rsid w:val="00E058F2"/>
    <w:rsid w:val="00E05D9C"/>
    <w:rsid w:val="00E06102"/>
    <w:rsid w:val="00E14AA0"/>
    <w:rsid w:val="00E162B4"/>
    <w:rsid w:val="00E2038C"/>
    <w:rsid w:val="00E21945"/>
    <w:rsid w:val="00E23E71"/>
    <w:rsid w:val="00E26B1D"/>
    <w:rsid w:val="00E30A71"/>
    <w:rsid w:val="00E30F19"/>
    <w:rsid w:val="00E3141D"/>
    <w:rsid w:val="00E33C4A"/>
    <w:rsid w:val="00E34202"/>
    <w:rsid w:val="00E357B9"/>
    <w:rsid w:val="00E35D08"/>
    <w:rsid w:val="00E426FE"/>
    <w:rsid w:val="00E4321E"/>
    <w:rsid w:val="00E44B80"/>
    <w:rsid w:val="00E47623"/>
    <w:rsid w:val="00E53098"/>
    <w:rsid w:val="00E60529"/>
    <w:rsid w:val="00E641EF"/>
    <w:rsid w:val="00E67821"/>
    <w:rsid w:val="00E70D86"/>
    <w:rsid w:val="00E7628E"/>
    <w:rsid w:val="00E76557"/>
    <w:rsid w:val="00E803E6"/>
    <w:rsid w:val="00E82F54"/>
    <w:rsid w:val="00E8505E"/>
    <w:rsid w:val="00E8649B"/>
    <w:rsid w:val="00E871CD"/>
    <w:rsid w:val="00E90990"/>
    <w:rsid w:val="00E9167F"/>
    <w:rsid w:val="00E95D3D"/>
    <w:rsid w:val="00EA0E25"/>
    <w:rsid w:val="00EA173C"/>
    <w:rsid w:val="00EA5FED"/>
    <w:rsid w:val="00EC127A"/>
    <w:rsid w:val="00EC1FF9"/>
    <w:rsid w:val="00EC2737"/>
    <w:rsid w:val="00EC3A84"/>
    <w:rsid w:val="00ED7E1B"/>
    <w:rsid w:val="00EE2716"/>
    <w:rsid w:val="00EE4A51"/>
    <w:rsid w:val="00EE5778"/>
    <w:rsid w:val="00EE6450"/>
    <w:rsid w:val="00EF577C"/>
    <w:rsid w:val="00EF68B9"/>
    <w:rsid w:val="00F01C2C"/>
    <w:rsid w:val="00F10ED8"/>
    <w:rsid w:val="00F222BE"/>
    <w:rsid w:val="00F24179"/>
    <w:rsid w:val="00F26CC0"/>
    <w:rsid w:val="00F301F1"/>
    <w:rsid w:val="00F30C22"/>
    <w:rsid w:val="00F33F1A"/>
    <w:rsid w:val="00F363B3"/>
    <w:rsid w:val="00F365FA"/>
    <w:rsid w:val="00F36AE7"/>
    <w:rsid w:val="00F44767"/>
    <w:rsid w:val="00F4660F"/>
    <w:rsid w:val="00F47297"/>
    <w:rsid w:val="00F547F7"/>
    <w:rsid w:val="00F54CCF"/>
    <w:rsid w:val="00F61D7A"/>
    <w:rsid w:val="00F637B3"/>
    <w:rsid w:val="00F66CF7"/>
    <w:rsid w:val="00F67BCB"/>
    <w:rsid w:val="00F7666A"/>
    <w:rsid w:val="00F77A0E"/>
    <w:rsid w:val="00F77C57"/>
    <w:rsid w:val="00F80E87"/>
    <w:rsid w:val="00F813C7"/>
    <w:rsid w:val="00F81D48"/>
    <w:rsid w:val="00F8221C"/>
    <w:rsid w:val="00F83566"/>
    <w:rsid w:val="00F83A9D"/>
    <w:rsid w:val="00F84E40"/>
    <w:rsid w:val="00F906B5"/>
    <w:rsid w:val="00F91686"/>
    <w:rsid w:val="00F93784"/>
    <w:rsid w:val="00F971CC"/>
    <w:rsid w:val="00FA2CAA"/>
    <w:rsid w:val="00FA3DA1"/>
    <w:rsid w:val="00FA555D"/>
    <w:rsid w:val="00FA6554"/>
    <w:rsid w:val="00FC0C13"/>
    <w:rsid w:val="00FC286B"/>
    <w:rsid w:val="00FC586C"/>
    <w:rsid w:val="00FD6E3D"/>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76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C44"/>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paragraph" w:styleId="Heading3">
    <w:name w:val="heading 3"/>
    <w:basedOn w:val="Normal"/>
    <w:next w:val="Normal"/>
    <w:link w:val="Heading3Char"/>
    <w:uiPriority w:val="9"/>
    <w:semiHidden/>
    <w:unhideWhenUsed/>
    <w:qFormat/>
    <w:rsid w:val="008C3F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3F6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beth,Summary box,ASD Table"/>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Points"/>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
    <w:name w:val="Unresolved Mention"/>
    <w:basedOn w:val="DefaultParagraphFont"/>
    <w:uiPriority w:val="99"/>
    <w:semiHidden/>
    <w:unhideWhenUsed/>
    <w:rsid w:val="00CE2C0E"/>
    <w:rPr>
      <w:color w:val="605E5C"/>
      <w:shd w:val="clear" w:color="auto" w:fill="E1DFDD"/>
    </w:rPr>
  </w:style>
  <w:style w:type="paragraph" w:customStyle="1" w:styleId="SectionHeadings">
    <w:name w:val="Section Headings"/>
    <w:basedOn w:val="Title"/>
    <w:link w:val="SectionHeadingsChar"/>
    <w:qFormat/>
    <w:rsid w:val="00CE2C0E"/>
    <w:pPr>
      <w:spacing w:before="0" w:after="300"/>
      <w:jc w:val="left"/>
    </w:pPr>
    <w:rPr>
      <w:rFonts w:ascii="Century Gothic" w:eastAsia="Times New Roman" w:hAnsi="Century Gothic" w:cs="Times New Roman"/>
      <w:smallCaps/>
      <w:spacing w:val="5"/>
      <w:kern w:val="28"/>
      <w:sz w:val="36"/>
      <w:szCs w:val="32"/>
    </w:rPr>
  </w:style>
  <w:style w:type="character" w:customStyle="1" w:styleId="SectionHeadingsChar">
    <w:name w:val="Section Headings Char"/>
    <w:link w:val="SectionHeadings"/>
    <w:rsid w:val="00CE2C0E"/>
    <w:rPr>
      <w:rFonts w:ascii="Century Gothic" w:eastAsia="Times New Roman" w:hAnsi="Century Gothic" w:cs="Times New Roman"/>
      <w:b/>
      <w:smallCaps/>
      <w:spacing w:val="5"/>
      <w:kern w:val="28"/>
      <w:sz w:val="36"/>
      <w:szCs w:val="32"/>
    </w:rPr>
  </w:style>
  <w:style w:type="character" w:customStyle="1" w:styleId="ref-journal">
    <w:name w:val="ref-journal"/>
    <w:basedOn w:val="DefaultParagraphFont"/>
    <w:rsid w:val="00B23AFD"/>
  </w:style>
  <w:style w:type="character" w:customStyle="1" w:styleId="ref-vol">
    <w:name w:val="ref-vol"/>
    <w:basedOn w:val="DefaultParagraphFont"/>
    <w:rsid w:val="00B23AFD"/>
  </w:style>
  <w:style w:type="paragraph" w:customStyle="1" w:styleId="EndNoteBibliography">
    <w:name w:val="EndNote Bibliography"/>
    <w:basedOn w:val="Normal"/>
    <w:link w:val="EndNoteBibliographyChar"/>
    <w:rsid w:val="00D7238E"/>
    <w:pPr>
      <w:spacing w:before="0"/>
      <w:ind w:left="567"/>
    </w:pPr>
    <w:rPr>
      <w:rFonts w:ascii="Arial" w:hAnsi="Arial" w:cs="Arial"/>
      <w:noProof/>
      <w:lang w:val="en-GB" w:bidi="he-IL"/>
    </w:rPr>
  </w:style>
  <w:style w:type="character" w:customStyle="1" w:styleId="EndNoteBibliographyChar">
    <w:name w:val="EndNote Bibliography Char"/>
    <w:basedOn w:val="DefaultParagraphFont"/>
    <w:link w:val="EndNoteBibliography"/>
    <w:rsid w:val="00D7238E"/>
    <w:rPr>
      <w:rFonts w:ascii="Arial" w:hAnsi="Arial" w:cs="Arial"/>
      <w:noProof/>
      <w:sz w:val="20"/>
      <w:lang w:val="en-GB" w:bidi="he-IL"/>
    </w:rPr>
  </w:style>
  <w:style w:type="paragraph" w:styleId="Caption">
    <w:name w:val="caption"/>
    <w:basedOn w:val="Normal"/>
    <w:next w:val="Normal"/>
    <w:link w:val="CaptionChar"/>
    <w:uiPriority w:val="35"/>
    <w:unhideWhenUsed/>
    <w:qFormat/>
    <w:rsid w:val="00B20E1A"/>
    <w:pPr>
      <w:keepNext/>
      <w:keepLines/>
      <w:spacing w:before="0"/>
      <w:ind w:left="1440" w:hanging="1440"/>
    </w:pPr>
    <w:rPr>
      <w:rFonts w:cs="Times New Roman"/>
      <w:b/>
      <w:bCs/>
      <w:szCs w:val="20"/>
    </w:rPr>
  </w:style>
  <w:style w:type="character" w:customStyle="1" w:styleId="CaptionChar">
    <w:name w:val="Caption Char"/>
    <w:basedOn w:val="DefaultParagraphFont"/>
    <w:link w:val="Caption"/>
    <w:uiPriority w:val="35"/>
    <w:locked/>
    <w:rsid w:val="00B20E1A"/>
    <w:rPr>
      <w:rFonts w:cs="Times New Roman"/>
      <w:b/>
      <w:bCs/>
      <w:sz w:val="20"/>
      <w:szCs w:val="20"/>
    </w:rPr>
  </w:style>
  <w:style w:type="paragraph" w:customStyle="1" w:styleId="TableText">
    <w:name w:val="Table Text"/>
    <w:basedOn w:val="BodyText"/>
    <w:qFormat/>
    <w:rsid w:val="00F36AE7"/>
    <w:pPr>
      <w:keepNext/>
      <w:keepLines/>
      <w:spacing w:before="40" w:after="80"/>
    </w:pPr>
    <w:rPr>
      <w:rFonts w:ascii="Arial" w:hAnsi="Arial" w:cs="Times New Roman"/>
      <w:noProof/>
      <w:sz w:val="18"/>
      <w:szCs w:val="24"/>
    </w:rPr>
  </w:style>
  <w:style w:type="paragraph" w:customStyle="1" w:styleId="TableNote">
    <w:name w:val="Table Note"/>
    <w:basedOn w:val="TableText"/>
    <w:qFormat/>
    <w:rsid w:val="00F36AE7"/>
    <w:pPr>
      <w:spacing w:after="360"/>
      <w:contextualSpacing/>
    </w:pPr>
    <w:rPr>
      <w:sz w:val="16"/>
      <w:szCs w:val="18"/>
    </w:rPr>
  </w:style>
  <w:style w:type="paragraph" w:styleId="BodyText">
    <w:name w:val="Body Text"/>
    <w:basedOn w:val="Normal"/>
    <w:link w:val="BodyTextChar"/>
    <w:uiPriority w:val="99"/>
    <w:semiHidden/>
    <w:unhideWhenUsed/>
    <w:rsid w:val="00F36AE7"/>
  </w:style>
  <w:style w:type="character" w:customStyle="1" w:styleId="BodyTextChar">
    <w:name w:val="Body Text Char"/>
    <w:basedOn w:val="DefaultParagraphFont"/>
    <w:link w:val="BodyText"/>
    <w:uiPriority w:val="99"/>
    <w:semiHidden/>
    <w:rsid w:val="00F36AE7"/>
    <w:rPr>
      <w:sz w:val="20"/>
    </w:rPr>
  </w:style>
  <w:style w:type="paragraph" w:customStyle="1" w:styleId="BodyText1">
    <w:name w:val="Body Text1"/>
    <w:basedOn w:val="Normal"/>
    <w:link w:val="BodytextChar0"/>
    <w:qFormat/>
    <w:rsid w:val="00270099"/>
    <w:pPr>
      <w:spacing w:before="0" w:line="271" w:lineRule="auto"/>
      <w:jc w:val="both"/>
    </w:pPr>
    <w:rPr>
      <w:rFonts w:ascii="Arial" w:eastAsia="Times New Roman" w:hAnsi="Arial" w:cs="Times New Roman"/>
      <w:sz w:val="22"/>
      <w:szCs w:val="24"/>
    </w:rPr>
  </w:style>
  <w:style w:type="character" w:customStyle="1" w:styleId="BodytextChar0">
    <w:name w:val="Body text Char"/>
    <w:link w:val="BodyText1"/>
    <w:locked/>
    <w:rsid w:val="00270099"/>
    <w:rPr>
      <w:rFonts w:ascii="Arial" w:eastAsia="Times New Roman" w:hAnsi="Arial" w:cs="Times New Roman"/>
      <w:szCs w:val="24"/>
    </w:rPr>
  </w:style>
  <w:style w:type="character" w:customStyle="1" w:styleId="ListParagraphChar">
    <w:name w:val="List Paragraph Char"/>
    <w:aliases w:val="Bullets Points Char"/>
    <w:basedOn w:val="DefaultParagraphFont"/>
    <w:link w:val="ListParagraph"/>
    <w:uiPriority w:val="34"/>
    <w:locked/>
    <w:rsid w:val="00161DB4"/>
    <w:rPr>
      <w:sz w:val="20"/>
    </w:rPr>
  </w:style>
  <w:style w:type="paragraph" w:styleId="Revision">
    <w:name w:val="Revision"/>
    <w:hidden/>
    <w:uiPriority w:val="99"/>
    <w:semiHidden/>
    <w:rsid w:val="00155DAD"/>
    <w:pPr>
      <w:spacing w:after="0" w:line="240" w:lineRule="auto"/>
    </w:pPr>
    <w:rPr>
      <w:sz w:val="20"/>
    </w:rPr>
  </w:style>
  <w:style w:type="character" w:customStyle="1" w:styleId="Heading3Char">
    <w:name w:val="Heading 3 Char"/>
    <w:basedOn w:val="DefaultParagraphFont"/>
    <w:link w:val="Heading3"/>
    <w:uiPriority w:val="9"/>
    <w:semiHidden/>
    <w:rsid w:val="008C3F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3F6D"/>
    <w:rPr>
      <w:rFonts w:asciiTheme="majorHAnsi" w:eastAsiaTheme="majorEastAsia" w:hAnsiTheme="majorHAnsi" w:cstheme="majorBidi"/>
      <w:i/>
      <w:iCs/>
      <w:color w:val="365F91" w:themeColor="accent1" w:themeShade="BF"/>
      <w:sz w:val="20"/>
    </w:rPr>
  </w:style>
  <w:style w:type="character" w:styleId="FollowedHyperlink">
    <w:name w:val="FollowedHyperlink"/>
    <w:basedOn w:val="DefaultParagraphFont"/>
    <w:uiPriority w:val="99"/>
    <w:semiHidden/>
    <w:unhideWhenUsed/>
    <w:rsid w:val="00522978"/>
    <w:rPr>
      <w:color w:val="800080" w:themeColor="followedHyperlink"/>
      <w:u w:val="single"/>
    </w:rPr>
  </w:style>
  <w:style w:type="paragraph" w:customStyle="1" w:styleId="combined">
    <w:name w:val="combined"/>
    <w:basedOn w:val="Normal"/>
    <w:rsid w:val="0088288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3">
    <w:name w:val="Pa3"/>
    <w:basedOn w:val="Normal"/>
    <w:next w:val="Normal"/>
    <w:uiPriority w:val="99"/>
    <w:rsid w:val="00E426FE"/>
    <w:pPr>
      <w:autoSpaceDE w:val="0"/>
      <w:autoSpaceDN w:val="0"/>
      <w:adjustRightInd w:val="0"/>
      <w:spacing w:before="0" w:after="0" w:line="241" w:lineRule="atLeast"/>
    </w:pPr>
    <w:rPr>
      <w:rFonts w:ascii="Arial" w:hAnsi="Arial" w:cs="Arial"/>
      <w:sz w:val="24"/>
      <w:szCs w:val="24"/>
      <w:lang w:val="en-CA" w:bidi="he-IL"/>
    </w:rPr>
  </w:style>
  <w:style w:type="character" w:customStyle="1" w:styleId="A22">
    <w:name w:val="A22"/>
    <w:uiPriority w:val="99"/>
    <w:rsid w:val="00E426FE"/>
    <w:rPr>
      <w:color w:val="000000"/>
      <w:sz w:val="18"/>
      <w:szCs w:val="18"/>
    </w:rPr>
  </w:style>
  <w:style w:type="paragraph" w:customStyle="1" w:styleId="xmsonormal">
    <w:name w:val="x_msonormal"/>
    <w:basedOn w:val="Normal"/>
    <w:rsid w:val="00ED7E1B"/>
    <w:pPr>
      <w:spacing w:before="0" w:after="0"/>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6339">
      <w:bodyDiv w:val="1"/>
      <w:marLeft w:val="0"/>
      <w:marRight w:val="0"/>
      <w:marTop w:val="0"/>
      <w:marBottom w:val="0"/>
      <w:divBdr>
        <w:top w:val="none" w:sz="0" w:space="0" w:color="auto"/>
        <w:left w:val="none" w:sz="0" w:space="0" w:color="auto"/>
        <w:bottom w:val="none" w:sz="0" w:space="0" w:color="auto"/>
        <w:right w:val="none" w:sz="0" w:space="0" w:color="auto"/>
      </w:divBdr>
    </w:div>
    <w:div w:id="18135826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47296014">
      <w:bodyDiv w:val="1"/>
      <w:marLeft w:val="0"/>
      <w:marRight w:val="0"/>
      <w:marTop w:val="0"/>
      <w:marBottom w:val="0"/>
      <w:divBdr>
        <w:top w:val="none" w:sz="0" w:space="0" w:color="auto"/>
        <w:left w:val="none" w:sz="0" w:space="0" w:color="auto"/>
        <w:bottom w:val="none" w:sz="0" w:space="0" w:color="auto"/>
        <w:right w:val="none" w:sz="0" w:space="0" w:color="auto"/>
      </w:divBdr>
      <w:divsChild>
        <w:div w:id="355277495">
          <w:marLeft w:val="0"/>
          <w:marRight w:val="0"/>
          <w:marTop w:val="0"/>
          <w:marBottom w:val="0"/>
          <w:divBdr>
            <w:top w:val="none" w:sz="0" w:space="0" w:color="auto"/>
            <w:left w:val="none" w:sz="0" w:space="0" w:color="auto"/>
            <w:bottom w:val="none" w:sz="0" w:space="0" w:color="auto"/>
            <w:right w:val="none" w:sz="0" w:space="0" w:color="auto"/>
          </w:divBdr>
          <w:divsChild>
            <w:div w:id="1640647142">
              <w:marLeft w:val="0"/>
              <w:marRight w:val="0"/>
              <w:marTop w:val="0"/>
              <w:marBottom w:val="0"/>
              <w:divBdr>
                <w:top w:val="none" w:sz="0" w:space="0" w:color="auto"/>
                <w:left w:val="none" w:sz="0" w:space="0" w:color="auto"/>
                <w:bottom w:val="none" w:sz="0" w:space="0" w:color="auto"/>
                <w:right w:val="none" w:sz="0" w:space="0" w:color="auto"/>
              </w:divBdr>
              <w:divsChild>
                <w:div w:id="13113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73095">
          <w:marLeft w:val="0"/>
          <w:marRight w:val="0"/>
          <w:marTop w:val="0"/>
          <w:marBottom w:val="0"/>
          <w:divBdr>
            <w:top w:val="none" w:sz="0" w:space="0" w:color="auto"/>
            <w:left w:val="none" w:sz="0" w:space="0" w:color="auto"/>
            <w:bottom w:val="none" w:sz="0" w:space="0" w:color="auto"/>
            <w:right w:val="none" w:sz="0" w:space="0" w:color="auto"/>
          </w:divBdr>
          <w:divsChild>
            <w:div w:id="920676107">
              <w:marLeft w:val="0"/>
              <w:marRight w:val="0"/>
              <w:marTop w:val="0"/>
              <w:marBottom w:val="0"/>
              <w:divBdr>
                <w:top w:val="none" w:sz="0" w:space="0" w:color="auto"/>
                <w:left w:val="none" w:sz="0" w:space="0" w:color="auto"/>
                <w:bottom w:val="none" w:sz="0" w:space="0" w:color="auto"/>
                <w:right w:val="none" w:sz="0" w:space="0" w:color="auto"/>
              </w:divBdr>
              <w:divsChild>
                <w:div w:id="815293335">
                  <w:marLeft w:val="0"/>
                  <w:marRight w:val="0"/>
                  <w:marTop w:val="0"/>
                  <w:marBottom w:val="0"/>
                  <w:divBdr>
                    <w:top w:val="none" w:sz="0" w:space="0" w:color="auto"/>
                    <w:left w:val="none" w:sz="0" w:space="0" w:color="auto"/>
                    <w:bottom w:val="none" w:sz="0" w:space="0" w:color="auto"/>
                    <w:right w:val="none" w:sz="0" w:space="0" w:color="auto"/>
                  </w:divBdr>
                  <w:divsChild>
                    <w:div w:id="532883009">
                      <w:marLeft w:val="0"/>
                      <w:marRight w:val="0"/>
                      <w:marTop w:val="0"/>
                      <w:marBottom w:val="0"/>
                      <w:divBdr>
                        <w:top w:val="none" w:sz="0" w:space="0" w:color="auto"/>
                        <w:left w:val="none" w:sz="0" w:space="0" w:color="auto"/>
                        <w:bottom w:val="none" w:sz="0" w:space="0" w:color="auto"/>
                        <w:right w:val="none" w:sz="0" w:space="0" w:color="auto"/>
                      </w:divBdr>
                      <w:divsChild>
                        <w:div w:id="1035425625">
                          <w:marLeft w:val="0"/>
                          <w:marRight w:val="0"/>
                          <w:marTop w:val="0"/>
                          <w:marBottom w:val="0"/>
                          <w:divBdr>
                            <w:top w:val="none" w:sz="0" w:space="0" w:color="auto"/>
                            <w:left w:val="none" w:sz="0" w:space="0" w:color="auto"/>
                            <w:bottom w:val="none" w:sz="0" w:space="0" w:color="auto"/>
                            <w:right w:val="none" w:sz="0" w:space="0" w:color="auto"/>
                          </w:divBdr>
                          <w:divsChild>
                            <w:div w:id="628821995">
                              <w:marLeft w:val="0"/>
                              <w:marRight w:val="0"/>
                              <w:marTop w:val="0"/>
                              <w:marBottom w:val="0"/>
                              <w:divBdr>
                                <w:top w:val="none" w:sz="0" w:space="0" w:color="auto"/>
                                <w:left w:val="none" w:sz="0" w:space="0" w:color="auto"/>
                                <w:bottom w:val="none" w:sz="0" w:space="0" w:color="auto"/>
                                <w:right w:val="none" w:sz="0" w:space="0" w:color="auto"/>
                              </w:divBdr>
                              <w:divsChild>
                                <w:div w:id="1710765935">
                                  <w:marLeft w:val="0"/>
                                  <w:marRight w:val="0"/>
                                  <w:marTop w:val="0"/>
                                  <w:marBottom w:val="0"/>
                                  <w:divBdr>
                                    <w:top w:val="none" w:sz="0" w:space="0" w:color="auto"/>
                                    <w:left w:val="none" w:sz="0" w:space="0" w:color="auto"/>
                                    <w:bottom w:val="none" w:sz="0" w:space="0" w:color="auto"/>
                                    <w:right w:val="none" w:sz="0" w:space="0" w:color="auto"/>
                                  </w:divBdr>
                                  <w:divsChild>
                                    <w:div w:id="2098863626">
                                      <w:marLeft w:val="0"/>
                                      <w:marRight w:val="0"/>
                                      <w:marTop w:val="0"/>
                                      <w:marBottom w:val="0"/>
                                      <w:divBdr>
                                        <w:top w:val="none" w:sz="0" w:space="0" w:color="auto"/>
                                        <w:left w:val="none" w:sz="0" w:space="0" w:color="auto"/>
                                        <w:bottom w:val="none" w:sz="0" w:space="0" w:color="auto"/>
                                        <w:right w:val="none" w:sz="0" w:space="0" w:color="auto"/>
                                      </w:divBdr>
                                      <w:divsChild>
                                        <w:div w:id="1039667855">
                                          <w:marLeft w:val="0"/>
                                          <w:marRight w:val="0"/>
                                          <w:marTop w:val="0"/>
                                          <w:marBottom w:val="0"/>
                                          <w:divBdr>
                                            <w:top w:val="none" w:sz="0" w:space="0" w:color="auto"/>
                                            <w:left w:val="none" w:sz="0" w:space="0" w:color="auto"/>
                                            <w:bottom w:val="none" w:sz="0" w:space="0" w:color="auto"/>
                                            <w:right w:val="none" w:sz="0" w:space="0" w:color="auto"/>
                                          </w:divBdr>
                                          <w:divsChild>
                                            <w:div w:id="1803843627">
                                              <w:marLeft w:val="0"/>
                                              <w:marRight w:val="0"/>
                                              <w:marTop w:val="0"/>
                                              <w:marBottom w:val="0"/>
                                              <w:divBdr>
                                                <w:top w:val="none" w:sz="0" w:space="0" w:color="auto"/>
                                                <w:left w:val="none" w:sz="0" w:space="0" w:color="auto"/>
                                                <w:bottom w:val="none" w:sz="0" w:space="0" w:color="auto"/>
                                                <w:right w:val="none" w:sz="0" w:space="0" w:color="auto"/>
                                              </w:divBdr>
                                              <w:divsChild>
                                                <w:div w:id="1613589074">
                                                  <w:marLeft w:val="0"/>
                                                  <w:marRight w:val="0"/>
                                                  <w:marTop w:val="0"/>
                                                  <w:marBottom w:val="0"/>
                                                  <w:divBdr>
                                                    <w:top w:val="none" w:sz="0" w:space="0" w:color="auto"/>
                                                    <w:left w:val="none" w:sz="0" w:space="0" w:color="auto"/>
                                                    <w:bottom w:val="none" w:sz="0" w:space="0" w:color="auto"/>
                                                    <w:right w:val="none" w:sz="0" w:space="0" w:color="auto"/>
                                                  </w:divBdr>
                                                  <w:divsChild>
                                                    <w:div w:id="1566724351">
                                                      <w:marLeft w:val="0"/>
                                                      <w:marRight w:val="0"/>
                                                      <w:marTop w:val="0"/>
                                                      <w:marBottom w:val="0"/>
                                                      <w:divBdr>
                                                        <w:top w:val="none" w:sz="0" w:space="0" w:color="auto"/>
                                                        <w:left w:val="none" w:sz="0" w:space="0" w:color="auto"/>
                                                        <w:bottom w:val="none" w:sz="0" w:space="0" w:color="auto"/>
                                                        <w:right w:val="none" w:sz="0" w:space="0" w:color="auto"/>
                                                      </w:divBdr>
                                                      <w:divsChild>
                                                        <w:div w:id="248855582">
                                                          <w:marLeft w:val="0"/>
                                                          <w:marRight w:val="0"/>
                                                          <w:marTop w:val="0"/>
                                                          <w:marBottom w:val="0"/>
                                                          <w:divBdr>
                                                            <w:top w:val="none" w:sz="0" w:space="0" w:color="auto"/>
                                                            <w:left w:val="none" w:sz="0" w:space="0" w:color="auto"/>
                                                            <w:bottom w:val="none" w:sz="0" w:space="0" w:color="auto"/>
                                                            <w:right w:val="none" w:sz="0" w:space="0" w:color="auto"/>
                                                          </w:divBdr>
                                                          <w:divsChild>
                                                            <w:div w:id="292834955">
                                                              <w:marLeft w:val="0"/>
                                                              <w:marRight w:val="0"/>
                                                              <w:marTop w:val="240"/>
                                                              <w:marBottom w:val="240"/>
                                                              <w:divBdr>
                                                                <w:top w:val="none" w:sz="0" w:space="0" w:color="auto"/>
                                                                <w:left w:val="none" w:sz="0" w:space="0" w:color="auto"/>
                                                                <w:bottom w:val="none" w:sz="0" w:space="0" w:color="auto"/>
                                                                <w:right w:val="none" w:sz="0" w:space="0" w:color="auto"/>
                                                              </w:divBdr>
                                                              <w:divsChild>
                                                                <w:div w:id="1634869090">
                                                                  <w:marLeft w:val="0"/>
                                                                  <w:marRight w:val="0"/>
                                                                  <w:marTop w:val="0"/>
                                                                  <w:marBottom w:val="0"/>
                                                                  <w:divBdr>
                                                                    <w:top w:val="none" w:sz="0" w:space="0" w:color="auto"/>
                                                                    <w:left w:val="none" w:sz="0" w:space="0" w:color="auto"/>
                                                                    <w:bottom w:val="none" w:sz="0" w:space="0" w:color="auto"/>
                                                                    <w:right w:val="none" w:sz="0" w:space="0" w:color="auto"/>
                                                                  </w:divBdr>
                                                                  <w:divsChild>
                                                                    <w:div w:id="1095636989">
                                                                      <w:marLeft w:val="0"/>
                                                                      <w:marRight w:val="0"/>
                                                                      <w:marTop w:val="0"/>
                                                                      <w:marBottom w:val="0"/>
                                                                      <w:divBdr>
                                                                        <w:top w:val="none" w:sz="0" w:space="0" w:color="auto"/>
                                                                        <w:left w:val="none" w:sz="0" w:space="0" w:color="auto"/>
                                                                        <w:bottom w:val="none" w:sz="0" w:space="0" w:color="auto"/>
                                                                        <w:right w:val="none" w:sz="0" w:space="0" w:color="auto"/>
                                                                      </w:divBdr>
                                                                    </w:div>
                                                                    <w:div w:id="1104962378">
                                                                      <w:marLeft w:val="0"/>
                                                                      <w:marRight w:val="0"/>
                                                                      <w:marTop w:val="0"/>
                                                                      <w:marBottom w:val="0"/>
                                                                      <w:divBdr>
                                                                        <w:top w:val="none" w:sz="0" w:space="0" w:color="auto"/>
                                                                        <w:left w:val="none" w:sz="0" w:space="0" w:color="auto"/>
                                                                        <w:bottom w:val="none" w:sz="0" w:space="0" w:color="auto"/>
                                                                        <w:right w:val="none" w:sz="0" w:space="0" w:color="auto"/>
                                                                      </w:divBdr>
                                                                      <w:divsChild>
                                                                        <w:div w:id="7792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5932">
                                                              <w:marLeft w:val="0"/>
                                                              <w:marRight w:val="0"/>
                                                              <w:marTop w:val="0"/>
                                                              <w:marBottom w:val="300"/>
                                                              <w:divBdr>
                                                                <w:top w:val="none" w:sz="0" w:space="0" w:color="auto"/>
                                                                <w:left w:val="none" w:sz="0" w:space="0" w:color="auto"/>
                                                                <w:bottom w:val="none" w:sz="0" w:space="0" w:color="auto"/>
                                                                <w:right w:val="none" w:sz="0" w:space="0" w:color="auto"/>
                                                              </w:divBdr>
                                                              <w:divsChild>
                                                                <w:div w:id="1772969132">
                                                                  <w:marLeft w:val="0"/>
                                                                  <w:marRight w:val="0"/>
                                                                  <w:marTop w:val="0"/>
                                                                  <w:marBottom w:val="0"/>
                                                                  <w:divBdr>
                                                                    <w:top w:val="none" w:sz="0" w:space="0" w:color="auto"/>
                                                                    <w:left w:val="none" w:sz="0" w:space="0" w:color="auto"/>
                                                                    <w:bottom w:val="none" w:sz="0" w:space="0" w:color="auto"/>
                                                                    <w:right w:val="none" w:sz="0" w:space="0" w:color="auto"/>
                                                                  </w:divBdr>
                                                                </w:div>
                                                                <w:div w:id="2121803027">
                                                                  <w:marLeft w:val="0"/>
                                                                  <w:marRight w:val="0"/>
                                                                  <w:marTop w:val="0"/>
                                                                  <w:marBottom w:val="75"/>
                                                                  <w:divBdr>
                                                                    <w:top w:val="none" w:sz="0" w:space="0" w:color="auto"/>
                                                                    <w:left w:val="none" w:sz="0" w:space="0" w:color="auto"/>
                                                                    <w:bottom w:val="none" w:sz="0" w:space="0" w:color="auto"/>
                                                                    <w:right w:val="none" w:sz="0" w:space="0" w:color="auto"/>
                                                                  </w:divBdr>
                                                                  <w:divsChild>
                                                                    <w:div w:id="13012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5206">
                                                          <w:marLeft w:val="0"/>
                                                          <w:marRight w:val="0"/>
                                                          <w:marTop w:val="0"/>
                                                          <w:marBottom w:val="0"/>
                                                          <w:divBdr>
                                                            <w:top w:val="none" w:sz="0" w:space="0" w:color="auto"/>
                                                            <w:left w:val="none" w:sz="0" w:space="0" w:color="auto"/>
                                                            <w:bottom w:val="none" w:sz="0" w:space="0" w:color="auto"/>
                                                            <w:right w:val="none" w:sz="0" w:space="0" w:color="auto"/>
                                                          </w:divBdr>
                                                          <w:divsChild>
                                                            <w:div w:id="86583987">
                                                              <w:marLeft w:val="0"/>
                                                              <w:marRight w:val="0"/>
                                                              <w:marTop w:val="0"/>
                                                              <w:marBottom w:val="0"/>
                                                              <w:divBdr>
                                                                <w:top w:val="none" w:sz="0" w:space="0" w:color="auto"/>
                                                                <w:left w:val="none" w:sz="0" w:space="0" w:color="auto"/>
                                                                <w:bottom w:val="none" w:sz="0" w:space="0" w:color="auto"/>
                                                                <w:right w:val="none" w:sz="0" w:space="0" w:color="auto"/>
                                                              </w:divBdr>
                                                            </w:div>
                                                            <w:div w:id="474761224">
                                                              <w:marLeft w:val="0"/>
                                                              <w:marRight w:val="0"/>
                                                              <w:marTop w:val="0"/>
                                                              <w:marBottom w:val="0"/>
                                                              <w:divBdr>
                                                                <w:top w:val="none" w:sz="0" w:space="0" w:color="auto"/>
                                                                <w:left w:val="none" w:sz="0" w:space="0" w:color="auto"/>
                                                                <w:bottom w:val="none" w:sz="0" w:space="0" w:color="auto"/>
                                                                <w:right w:val="none" w:sz="0" w:space="0" w:color="auto"/>
                                                              </w:divBdr>
                                                            </w:div>
                                                            <w:div w:id="526874809">
                                                              <w:marLeft w:val="0"/>
                                                              <w:marRight w:val="0"/>
                                                              <w:marTop w:val="0"/>
                                                              <w:marBottom w:val="0"/>
                                                              <w:divBdr>
                                                                <w:top w:val="none" w:sz="0" w:space="0" w:color="auto"/>
                                                                <w:left w:val="none" w:sz="0" w:space="0" w:color="auto"/>
                                                                <w:bottom w:val="none" w:sz="0" w:space="0" w:color="auto"/>
                                                                <w:right w:val="none" w:sz="0" w:space="0" w:color="auto"/>
                                                              </w:divBdr>
                                                            </w:div>
                                                            <w:div w:id="1279873649">
                                                              <w:marLeft w:val="0"/>
                                                              <w:marRight w:val="0"/>
                                                              <w:marTop w:val="0"/>
                                                              <w:marBottom w:val="0"/>
                                                              <w:divBdr>
                                                                <w:top w:val="none" w:sz="0" w:space="0" w:color="auto"/>
                                                                <w:left w:val="none" w:sz="0" w:space="0" w:color="auto"/>
                                                                <w:bottom w:val="none" w:sz="0" w:space="0" w:color="auto"/>
                                                                <w:right w:val="none" w:sz="0" w:space="0" w:color="auto"/>
                                                              </w:divBdr>
                                                            </w:div>
                                                            <w:div w:id="1459758068">
                                                              <w:marLeft w:val="0"/>
                                                              <w:marRight w:val="0"/>
                                                              <w:marTop w:val="0"/>
                                                              <w:marBottom w:val="0"/>
                                                              <w:divBdr>
                                                                <w:top w:val="none" w:sz="0" w:space="0" w:color="auto"/>
                                                                <w:left w:val="none" w:sz="0" w:space="0" w:color="auto"/>
                                                                <w:bottom w:val="none" w:sz="0" w:space="0" w:color="auto"/>
                                                                <w:right w:val="none" w:sz="0" w:space="0" w:color="auto"/>
                                                              </w:divBdr>
                                                            </w:div>
                                                            <w:div w:id="1728334144">
                                                              <w:marLeft w:val="0"/>
                                                              <w:marRight w:val="0"/>
                                                              <w:marTop w:val="0"/>
                                                              <w:marBottom w:val="0"/>
                                                              <w:divBdr>
                                                                <w:top w:val="none" w:sz="0" w:space="0" w:color="auto"/>
                                                                <w:left w:val="none" w:sz="0" w:space="0" w:color="auto"/>
                                                                <w:bottom w:val="none" w:sz="0" w:space="0" w:color="auto"/>
                                                                <w:right w:val="none" w:sz="0" w:space="0" w:color="auto"/>
                                                              </w:divBdr>
                                                            </w:div>
                                                            <w:div w:id="1874801808">
                                                              <w:marLeft w:val="0"/>
                                                              <w:marRight w:val="0"/>
                                                              <w:marTop w:val="0"/>
                                                              <w:marBottom w:val="0"/>
                                                              <w:divBdr>
                                                                <w:top w:val="none" w:sz="0" w:space="0" w:color="auto"/>
                                                                <w:left w:val="none" w:sz="0" w:space="0" w:color="auto"/>
                                                                <w:bottom w:val="none" w:sz="0" w:space="0" w:color="auto"/>
                                                                <w:right w:val="none" w:sz="0" w:space="0" w:color="auto"/>
                                                              </w:divBdr>
                                                            </w:div>
                                                            <w:div w:id="2047632970">
                                                              <w:marLeft w:val="0"/>
                                                              <w:marRight w:val="0"/>
                                                              <w:marTop w:val="0"/>
                                                              <w:marBottom w:val="0"/>
                                                              <w:divBdr>
                                                                <w:top w:val="none" w:sz="0" w:space="0" w:color="auto"/>
                                                                <w:left w:val="none" w:sz="0" w:space="0" w:color="auto"/>
                                                                <w:bottom w:val="none" w:sz="0" w:space="0" w:color="auto"/>
                                                                <w:right w:val="none" w:sz="0" w:space="0" w:color="auto"/>
                                                              </w:divBdr>
                                                            </w:div>
                                                            <w:div w:id="2087340240">
                                                              <w:marLeft w:val="0"/>
                                                              <w:marRight w:val="0"/>
                                                              <w:marTop w:val="0"/>
                                                              <w:marBottom w:val="0"/>
                                                              <w:divBdr>
                                                                <w:top w:val="none" w:sz="0" w:space="0" w:color="auto"/>
                                                                <w:left w:val="none" w:sz="0" w:space="0" w:color="auto"/>
                                                                <w:bottom w:val="none" w:sz="0" w:space="0" w:color="auto"/>
                                                                <w:right w:val="none" w:sz="0" w:space="0" w:color="auto"/>
                                                              </w:divBdr>
                                                              <w:divsChild>
                                                                <w:div w:id="587926580">
                                                                  <w:marLeft w:val="0"/>
                                                                  <w:marRight w:val="0"/>
                                                                  <w:marTop w:val="0"/>
                                                                  <w:marBottom w:val="0"/>
                                                                  <w:divBdr>
                                                                    <w:top w:val="none" w:sz="0" w:space="0" w:color="auto"/>
                                                                    <w:left w:val="none" w:sz="0" w:space="0" w:color="auto"/>
                                                                    <w:bottom w:val="none" w:sz="0" w:space="0" w:color="auto"/>
                                                                    <w:right w:val="none" w:sz="0" w:space="0" w:color="auto"/>
                                                                  </w:divBdr>
                                                                </w:div>
                                                                <w:div w:id="893931098">
                                                                  <w:marLeft w:val="0"/>
                                                                  <w:marRight w:val="0"/>
                                                                  <w:marTop w:val="0"/>
                                                                  <w:marBottom w:val="0"/>
                                                                  <w:divBdr>
                                                                    <w:top w:val="none" w:sz="0" w:space="0" w:color="auto"/>
                                                                    <w:left w:val="none" w:sz="0" w:space="0" w:color="auto"/>
                                                                    <w:bottom w:val="none" w:sz="0" w:space="0" w:color="auto"/>
                                                                    <w:right w:val="none" w:sz="0" w:space="0" w:color="auto"/>
                                                                  </w:divBdr>
                                                                </w:div>
                                                                <w:div w:id="1069617603">
                                                                  <w:marLeft w:val="0"/>
                                                                  <w:marRight w:val="0"/>
                                                                  <w:marTop w:val="0"/>
                                                                  <w:marBottom w:val="0"/>
                                                                  <w:divBdr>
                                                                    <w:top w:val="none" w:sz="0" w:space="0" w:color="auto"/>
                                                                    <w:left w:val="none" w:sz="0" w:space="0" w:color="auto"/>
                                                                    <w:bottom w:val="none" w:sz="0" w:space="0" w:color="auto"/>
                                                                    <w:right w:val="none" w:sz="0" w:space="0" w:color="auto"/>
                                                                  </w:divBdr>
                                                                </w:div>
                                                                <w:div w:id="1121613890">
                                                                  <w:marLeft w:val="0"/>
                                                                  <w:marRight w:val="0"/>
                                                                  <w:marTop w:val="0"/>
                                                                  <w:marBottom w:val="0"/>
                                                                  <w:divBdr>
                                                                    <w:top w:val="none" w:sz="0" w:space="0" w:color="auto"/>
                                                                    <w:left w:val="none" w:sz="0" w:space="0" w:color="auto"/>
                                                                    <w:bottom w:val="none" w:sz="0" w:space="0" w:color="auto"/>
                                                                    <w:right w:val="none" w:sz="0" w:space="0" w:color="auto"/>
                                                                  </w:divBdr>
                                                                </w:div>
                                                                <w:div w:id="16325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2888">
                                                          <w:marLeft w:val="0"/>
                                                          <w:marRight w:val="0"/>
                                                          <w:marTop w:val="0"/>
                                                          <w:marBottom w:val="0"/>
                                                          <w:divBdr>
                                                            <w:top w:val="none" w:sz="0" w:space="0" w:color="auto"/>
                                                            <w:left w:val="none" w:sz="0" w:space="0" w:color="auto"/>
                                                            <w:bottom w:val="none" w:sz="0" w:space="0" w:color="auto"/>
                                                            <w:right w:val="none" w:sz="0" w:space="0" w:color="auto"/>
                                                          </w:divBdr>
                                                        </w:div>
                                                        <w:div w:id="1300574126">
                                                          <w:marLeft w:val="0"/>
                                                          <w:marRight w:val="0"/>
                                                          <w:marTop w:val="0"/>
                                                          <w:marBottom w:val="240"/>
                                                          <w:divBdr>
                                                            <w:top w:val="none" w:sz="0" w:space="0" w:color="auto"/>
                                                            <w:left w:val="none" w:sz="0" w:space="0" w:color="auto"/>
                                                            <w:bottom w:val="none" w:sz="0" w:space="0" w:color="auto"/>
                                                            <w:right w:val="none" w:sz="0" w:space="0" w:color="auto"/>
                                                          </w:divBdr>
                                                        </w:div>
                                                        <w:div w:id="1833595060">
                                                          <w:marLeft w:val="0"/>
                                                          <w:marRight w:val="0"/>
                                                          <w:marTop w:val="0"/>
                                                          <w:marBottom w:val="150"/>
                                                          <w:divBdr>
                                                            <w:top w:val="none" w:sz="0" w:space="0" w:color="auto"/>
                                                            <w:left w:val="none" w:sz="0" w:space="0" w:color="auto"/>
                                                            <w:bottom w:val="single" w:sz="6" w:space="8" w:color="D6D6D6"/>
                                                            <w:right w:val="none" w:sz="0" w:space="0" w:color="auto"/>
                                                          </w:divBdr>
                                                        </w:div>
                                                        <w:div w:id="2026325532">
                                                          <w:marLeft w:val="0"/>
                                                          <w:marRight w:val="0"/>
                                                          <w:marTop w:val="0"/>
                                                          <w:marBottom w:val="0"/>
                                                          <w:divBdr>
                                                            <w:top w:val="none" w:sz="0" w:space="0" w:color="auto"/>
                                                            <w:left w:val="none" w:sz="0" w:space="0" w:color="auto"/>
                                                            <w:bottom w:val="none" w:sz="0" w:space="0" w:color="auto"/>
                                                            <w:right w:val="none" w:sz="0" w:space="0" w:color="auto"/>
                                                          </w:divBdr>
                                                        </w:div>
                                                        <w:div w:id="20600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517578">
          <w:marLeft w:val="0"/>
          <w:marRight w:val="0"/>
          <w:marTop w:val="0"/>
          <w:marBottom w:val="0"/>
          <w:divBdr>
            <w:top w:val="none" w:sz="0" w:space="0" w:color="auto"/>
            <w:left w:val="none" w:sz="0" w:space="0" w:color="auto"/>
            <w:bottom w:val="none" w:sz="0" w:space="0" w:color="auto"/>
            <w:right w:val="none" w:sz="0" w:space="0" w:color="auto"/>
          </w:divBdr>
          <w:divsChild>
            <w:div w:id="2076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674">
      <w:bodyDiv w:val="1"/>
      <w:marLeft w:val="0"/>
      <w:marRight w:val="0"/>
      <w:marTop w:val="0"/>
      <w:marBottom w:val="0"/>
      <w:divBdr>
        <w:top w:val="none" w:sz="0" w:space="0" w:color="auto"/>
        <w:left w:val="none" w:sz="0" w:space="0" w:color="auto"/>
        <w:bottom w:val="none" w:sz="0" w:space="0" w:color="auto"/>
        <w:right w:val="none" w:sz="0" w:space="0" w:color="auto"/>
      </w:divBdr>
    </w:div>
    <w:div w:id="469594114">
      <w:bodyDiv w:val="1"/>
      <w:marLeft w:val="0"/>
      <w:marRight w:val="0"/>
      <w:marTop w:val="0"/>
      <w:marBottom w:val="0"/>
      <w:divBdr>
        <w:top w:val="none" w:sz="0" w:space="0" w:color="auto"/>
        <w:left w:val="none" w:sz="0" w:space="0" w:color="auto"/>
        <w:bottom w:val="none" w:sz="0" w:space="0" w:color="auto"/>
        <w:right w:val="none" w:sz="0" w:space="0" w:color="auto"/>
      </w:divBdr>
    </w:div>
    <w:div w:id="560136782">
      <w:bodyDiv w:val="1"/>
      <w:marLeft w:val="0"/>
      <w:marRight w:val="0"/>
      <w:marTop w:val="0"/>
      <w:marBottom w:val="0"/>
      <w:divBdr>
        <w:top w:val="none" w:sz="0" w:space="0" w:color="auto"/>
        <w:left w:val="none" w:sz="0" w:space="0" w:color="auto"/>
        <w:bottom w:val="none" w:sz="0" w:space="0" w:color="auto"/>
        <w:right w:val="none" w:sz="0" w:space="0" w:color="auto"/>
      </w:divBdr>
    </w:div>
    <w:div w:id="772287347">
      <w:bodyDiv w:val="1"/>
      <w:marLeft w:val="0"/>
      <w:marRight w:val="0"/>
      <w:marTop w:val="0"/>
      <w:marBottom w:val="0"/>
      <w:divBdr>
        <w:top w:val="none" w:sz="0" w:space="0" w:color="auto"/>
        <w:left w:val="none" w:sz="0" w:space="0" w:color="auto"/>
        <w:bottom w:val="none" w:sz="0" w:space="0" w:color="auto"/>
        <w:right w:val="none" w:sz="0" w:space="0" w:color="auto"/>
      </w:divBdr>
    </w:div>
    <w:div w:id="846753915">
      <w:bodyDiv w:val="1"/>
      <w:marLeft w:val="0"/>
      <w:marRight w:val="0"/>
      <w:marTop w:val="0"/>
      <w:marBottom w:val="0"/>
      <w:divBdr>
        <w:top w:val="none" w:sz="0" w:space="0" w:color="auto"/>
        <w:left w:val="none" w:sz="0" w:space="0" w:color="auto"/>
        <w:bottom w:val="none" w:sz="0" w:space="0" w:color="auto"/>
        <w:right w:val="none" w:sz="0" w:space="0" w:color="auto"/>
      </w:divBdr>
    </w:div>
    <w:div w:id="1156340792">
      <w:bodyDiv w:val="1"/>
      <w:marLeft w:val="0"/>
      <w:marRight w:val="0"/>
      <w:marTop w:val="0"/>
      <w:marBottom w:val="0"/>
      <w:divBdr>
        <w:top w:val="none" w:sz="0" w:space="0" w:color="auto"/>
        <w:left w:val="none" w:sz="0" w:space="0" w:color="auto"/>
        <w:bottom w:val="none" w:sz="0" w:space="0" w:color="auto"/>
        <w:right w:val="none" w:sz="0" w:space="0" w:color="auto"/>
      </w:divBdr>
    </w:div>
    <w:div w:id="1444882932">
      <w:bodyDiv w:val="1"/>
      <w:marLeft w:val="0"/>
      <w:marRight w:val="0"/>
      <w:marTop w:val="0"/>
      <w:marBottom w:val="0"/>
      <w:divBdr>
        <w:top w:val="none" w:sz="0" w:space="0" w:color="auto"/>
        <w:left w:val="none" w:sz="0" w:space="0" w:color="auto"/>
        <w:bottom w:val="none" w:sz="0" w:space="0" w:color="auto"/>
        <w:right w:val="none" w:sz="0" w:space="0" w:color="auto"/>
      </w:divBdr>
    </w:div>
    <w:div w:id="1751388825">
      <w:bodyDiv w:val="1"/>
      <w:marLeft w:val="0"/>
      <w:marRight w:val="0"/>
      <w:marTop w:val="0"/>
      <w:marBottom w:val="0"/>
      <w:divBdr>
        <w:top w:val="none" w:sz="0" w:space="0" w:color="auto"/>
        <w:left w:val="none" w:sz="0" w:space="0" w:color="auto"/>
        <w:bottom w:val="none" w:sz="0" w:space="0" w:color="auto"/>
        <w:right w:val="none" w:sz="0" w:space="0" w:color="auto"/>
      </w:divBdr>
    </w:div>
    <w:div w:id="193470017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onlinelibrary.wiley.com/doi/abs/10.1002/mds.27637" TargetMode="External"/><Relationship Id="rId26" Type="http://schemas.openxmlformats.org/officeDocument/2006/relationships/hyperlink" Target="https://www.ncbi.nlm.nih.gov/pmc/articles/PMC5963668/"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ncbi.nlm.nih.gov/pubmed/2829802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nlinelibrary.wiley.com/doi/abs/10.1002/ana.25126" TargetMode="External"/><Relationship Id="rId25" Type="http://schemas.openxmlformats.org/officeDocument/2006/relationships/hyperlink" Target="https://onlinelibrary.wiley.com/doi/abs/10.1002/mds.2645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jm.org/doi/full/10.1056/NEJMoa1600159" TargetMode="External"/><Relationship Id="rId20" Type="http://schemas.openxmlformats.org/officeDocument/2006/relationships/hyperlink" Target="https://www.nejm.org/doi/full/10.1056/NEJMoa1300962" TargetMode="External"/><Relationship Id="rId29" Type="http://schemas.openxmlformats.org/officeDocument/2006/relationships/hyperlink" Target="mailto:ben@jonker.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cbi.nlm.nih.gov/pubmed/3031461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thejns.org/focus/view/journals/neurosurg-focus/44/2/article-pE4.xml" TargetMode="External"/><Relationship Id="rId28" Type="http://schemas.openxmlformats.org/officeDocument/2006/relationships/hyperlink" Target="https://www.essentialtremor.org/wp-content/uploads/2019/08/annual-report-2018-19.pdf" TargetMode="External"/><Relationship Id="rId10" Type="http://schemas.openxmlformats.org/officeDocument/2006/relationships/header" Target="header1.xml"/><Relationship Id="rId19" Type="http://schemas.openxmlformats.org/officeDocument/2006/relationships/hyperlink" Target="https://www.ncbi.nlm.nih.gov/pubmed/31277064"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1.health.gov.au/internet/main/publishing.nsf/Content/mbs-review-2018-taskforce-reports-cp/$File/Neurosurgery-and-Neurology-Clinical-Committee.docx" TargetMode="External"/><Relationship Id="rId14" Type="http://schemas.openxmlformats.org/officeDocument/2006/relationships/header" Target="header3.xml"/><Relationship Id="rId22" Type="http://schemas.openxmlformats.org/officeDocument/2006/relationships/hyperlink" Target="https://onlinelibrary.wiley.com/doi/abs/10.1002/mds.27401" TargetMode="External"/><Relationship Id="rId27" Type="http://schemas.openxmlformats.org/officeDocument/2006/relationships/hyperlink" Target="https://clinicaltrials.gov/ct2/show/NCT01827904" TargetMode="External"/><Relationship Id="rId30" Type="http://schemas.openxmlformats.org/officeDocument/2006/relationships/hyperlink" Target="mailto:yael.barnett@svh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7CB4-0DFC-4E9E-AC11-9F031952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12020</Words>
  <Characters>68517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2020-02-11T03:45:00Z</dcterms:created>
  <dcterms:modified xsi:type="dcterms:W3CDTF">2020-03-18T04:21:00Z</dcterms:modified>
</cp:coreProperties>
</file>