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9841B"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0847C4BF" wp14:editId="44538451">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88DD633"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545F4CED" w14:textId="77777777" w:rsidR="00BC1364" w:rsidRPr="00F715D1" w:rsidRDefault="00BC1364" w:rsidP="00F715D1">
      <w:pPr>
        <w:pStyle w:val="Subtitle"/>
      </w:pPr>
      <w:r w:rsidRPr="00F715D1">
        <w:t xml:space="preserve">Application No. </w:t>
      </w:r>
      <w:r w:rsidR="00B35595" w:rsidRPr="00F715D1">
        <w:t>1</w:t>
      </w:r>
      <w:r w:rsidR="00102893">
        <w:t>541</w:t>
      </w:r>
      <w:r w:rsidRPr="00F715D1">
        <w:t xml:space="preserve"> – </w:t>
      </w:r>
      <w:r w:rsidR="00102893">
        <w:t>Micr</w:t>
      </w:r>
      <w:r w:rsidR="00142C14">
        <w:t>o-bypass glaucoma surgery</w:t>
      </w:r>
      <w:r w:rsidR="00102893">
        <w:t xml:space="preserve"> device implantation as a standalone procedure in patient</w:t>
      </w:r>
      <w:r w:rsidR="00142C14">
        <w:t>s with</w:t>
      </w:r>
      <w:r w:rsidR="00142C14">
        <w:br/>
        <w:t xml:space="preserve"> open angle glaucoma</w:t>
      </w:r>
    </w:p>
    <w:p w14:paraId="6716F73D" w14:textId="1123FF41" w:rsidR="00BC1364" w:rsidRPr="00F715D1" w:rsidRDefault="00B35595" w:rsidP="00102893">
      <w:pPr>
        <w:tabs>
          <w:tab w:val="left" w:pos="3686"/>
        </w:tabs>
        <w:spacing w:after="240"/>
        <w:ind w:left="3686" w:hanging="3686"/>
        <w:rPr>
          <w:rFonts w:ascii="Arial" w:hAnsi="Arial" w:cs="Arial"/>
          <w:b/>
          <w:szCs w:val="24"/>
        </w:rPr>
      </w:pPr>
      <w:r w:rsidRPr="00F715D1">
        <w:rPr>
          <w:rFonts w:ascii="Arial" w:hAnsi="Arial" w:cs="Arial"/>
          <w:b/>
          <w:szCs w:val="24"/>
        </w:rPr>
        <w:t>Applicant</w:t>
      </w:r>
      <w:r w:rsidR="00102893">
        <w:rPr>
          <w:rFonts w:ascii="Arial" w:hAnsi="Arial" w:cs="Arial"/>
          <w:b/>
          <w:szCs w:val="24"/>
        </w:rPr>
        <w:t>:</w:t>
      </w:r>
      <w:r w:rsidR="00102893">
        <w:rPr>
          <w:rFonts w:ascii="Arial" w:hAnsi="Arial" w:cs="Arial"/>
          <w:b/>
          <w:szCs w:val="24"/>
        </w:rPr>
        <w:tab/>
      </w:r>
      <w:r w:rsidR="00C01C92">
        <w:rPr>
          <w:rFonts w:ascii="Arial" w:hAnsi="Arial" w:cs="Arial"/>
          <w:b/>
          <w:szCs w:val="24"/>
        </w:rPr>
        <w:t>Australian Society of Op</w:t>
      </w:r>
      <w:r w:rsidR="00D15903">
        <w:rPr>
          <w:rFonts w:ascii="Arial" w:hAnsi="Arial" w:cs="Arial"/>
          <w:b/>
          <w:szCs w:val="24"/>
        </w:rPr>
        <w:t>h</w:t>
      </w:r>
      <w:r w:rsidR="00C01C92">
        <w:rPr>
          <w:rFonts w:ascii="Arial" w:hAnsi="Arial" w:cs="Arial"/>
          <w:b/>
          <w:szCs w:val="24"/>
        </w:rPr>
        <w:t>thalmologists,</w:t>
      </w:r>
      <w:r w:rsidR="00C01C92" w:rsidRPr="00102893">
        <w:rPr>
          <w:rFonts w:ascii="Arial" w:hAnsi="Arial" w:cs="Arial"/>
          <w:b/>
          <w:szCs w:val="24"/>
        </w:rPr>
        <w:t xml:space="preserve"> </w:t>
      </w:r>
      <w:r w:rsidR="00102893" w:rsidRPr="00102893">
        <w:rPr>
          <w:rFonts w:ascii="Arial" w:hAnsi="Arial" w:cs="Arial"/>
          <w:b/>
          <w:szCs w:val="24"/>
        </w:rPr>
        <w:t>Aust</w:t>
      </w:r>
      <w:r w:rsidR="00102893">
        <w:rPr>
          <w:rFonts w:ascii="Arial" w:hAnsi="Arial" w:cs="Arial"/>
          <w:b/>
          <w:szCs w:val="24"/>
        </w:rPr>
        <w:t xml:space="preserve">ralian and New Zealand </w:t>
      </w:r>
      <w:r w:rsidR="00B32061">
        <w:rPr>
          <w:rFonts w:ascii="Arial" w:hAnsi="Arial" w:cs="Arial"/>
          <w:b/>
          <w:szCs w:val="24"/>
        </w:rPr>
        <w:t xml:space="preserve">Glaucoma </w:t>
      </w:r>
      <w:r w:rsidR="00102893" w:rsidRPr="00102893">
        <w:rPr>
          <w:rFonts w:ascii="Arial" w:hAnsi="Arial" w:cs="Arial"/>
          <w:b/>
          <w:szCs w:val="24"/>
        </w:rPr>
        <w:t xml:space="preserve">Society </w:t>
      </w:r>
      <w:r w:rsidR="00C01C92">
        <w:rPr>
          <w:rFonts w:ascii="Arial" w:hAnsi="Arial" w:cs="Arial"/>
          <w:b/>
          <w:szCs w:val="24"/>
        </w:rPr>
        <w:t xml:space="preserve">and </w:t>
      </w:r>
      <w:r w:rsidR="00102893" w:rsidRPr="00102893">
        <w:rPr>
          <w:rFonts w:ascii="Arial" w:hAnsi="Arial" w:cs="Arial"/>
          <w:b/>
          <w:szCs w:val="24"/>
        </w:rPr>
        <w:t>the Royal Australian &amp; New Zealand College of Ophthalmologists</w:t>
      </w:r>
    </w:p>
    <w:p w14:paraId="38452928" w14:textId="77777777" w:rsidR="00B5346A" w:rsidRDefault="00BC1364" w:rsidP="00925793">
      <w:pPr>
        <w:tabs>
          <w:tab w:val="left" w:pos="3686"/>
        </w:tabs>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B5346A">
        <w:rPr>
          <w:rFonts w:ascii="Arial" w:hAnsi="Arial" w:cs="Arial"/>
          <w:b/>
          <w:szCs w:val="24"/>
        </w:rPr>
        <w:t>MSAC 76</w:t>
      </w:r>
      <w:r w:rsidR="00B5346A" w:rsidRPr="00B165A2">
        <w:rPr>
          <w:rFonts w:ascii="Arial" w:hAnsi="Arial" w:cs="Arial"/>
          <w:b/>
          <w:szCs w:val="24"/>
          <w:vertAlign w:val="superscript"/>
        </w:rPr>
        <w:t>th</w:t>
      </w:r>
      <w:r w:rsidR="00B5346A">
        <w:rPr>
          <w:rFonts w:ascii="Arial" w:hAnsi="Arial" w:cs="Arial"/>
          <w:b/>
          <w:szCs w:val="24"/>
        </w:rPr>
        <w:t xml:space="preserve"> Meeting, 1-2 August 2019</w:t>
      </w:r>
    </w:p>
    <w:p w14:paraId="7717C283" w14:textId="1C6AA67A" w:rsidR="00BC1364" w:rsidRPr="00F715D1" w:rsidRDefault="00B5346A" w:rsidP="00D64355">
      <w:pPr>
        <w:tabs>
          <w:tab w:val="left" w:pos="3686"/>
        </w:tabs>
        <w:spacing w:after="240"/>
        <w:rPr>
          <w:rFonts w:ascii="Arial" w:hAnsi="Arial" w:cs="Arial"/>
          <w:b/>
          <w:szCs w:val="24"/>
        </w:rPr>
      </w:pPr>
      <w:r>
        <w:rPr>
          <w:rFonts w:ascii="Arial" w:hAnsi="Arial" w:cs="Arial"/>
          <w:b/>
          <w:szCs w:val="24"/>
        </w:rPr>
        <w:tab/>
      </w:r>
      <w:r w:rsidR="00C67DD2" w:rsidRPr="00F715D1">
        <w:rPr>
          <w:rFonts w:ascii="Arial" w:hAnsi="Arial" w:cs="Arial"/>
          <w:b/>
          <w:szCs w:val="24"/>
        </w:rPr>
        <w:t xml:space="preserve">MSAC </w:t>
      </w:r>
      <w:r w:rsidR="00102893">
        <w:rPr>
          <w:rFonts w:ascii="Arial" w:hAnsi="Arial" w:cs="Arial"/>
          <w:b/>
          <w:szCs w:val="24"/>
        </w:rPr>
        <w:t>74th</w:t>
      </w:r>
      <w:r w:rsidR="00EB6B6F" w:rsidRPr="00F715D1">
        <w:rPr>
          <w:rFonts w:ascii="Arial" w:hAnsi="Arial" w:cs="Arial"/>
          <w:b/>
          <w:szCs w:val="24"/>
        </w:rPr>
        <w:t xml:space="preserve"> </w:t>
      </w:r>
      <w:r w:rsidR="00BC1364" w:rsidRPr="00F715D1">
        <w:rPr>
          <w:rFonts w:ascii="Arial" w:hAnsi="Arial" w:cs="Arial"/>
          <w:b/>
          <w:szCs w:val="24"/>
        </w:rPr>
        <w:t xml:space="preserve">Meeting, </w:t>
      </w:r>
      <w:r w:rsidR="00102893">
        <w:rPr>
          <w:rFonts w:ascii="Arial" w:hAnsi="Arial" w:cs="Arial"/>
          <w:b/>
          <w:szCs w:val="24"/>
        </w:rPr>
        <w:t>22-23 November 2018</w:t>
      </w:r>
    </w:p>
    <w:p w14:paraId="658E163F" w14:textId="2B0CF85B"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8" w:tooltip="Link to Medical Services Advisory Committee website" w:history="1">
        <w:r w:rsidR="00F715D1" w:rsidRPr="00F715D1">
          <w:rPr>
            <w:rStyle w:val="Hyperlink"/>
            <w:szCs w:val="24"/>
          </w:rPr>
          <w:t>visit the MSAC website</w:t>
        </w:r>
      </w:hyperlink>
    </w:p>
    <w:p w14:paraId="16F85611" w14:textId="77777777" w:rsidR="003D7F29" w:rsidRPr="00F715D1" w:rsidRDefault="003D7F29" w:rsidP="00F715D1">
      <w:pPr>
        <w:pStyle w:val="Heading1"/>
      </w:pPr>
      <w:r w:rsidRPr="00F715D1">
        <w:t>Purpose of application</w:t>
      </w:r>
      <w:r w:rsidR="00822C7E" w:rsidRPr="00F715D1">
        <w:t xml:space="preserve"> </w:t>
      </w:r>
    </w:p>
    <w:p w14:paraId="6B176F76" w14:textId="15C91FCF" w:rsidR="00B5346A" w:rsidRPr="00B165A2" w:rsidRDefault="00B5346A" w:rsidP="00A345B5">
      <w:pPr>
        <w:pStyle w:val="Heading2"/>
        <w:spacing w:before="120" w:after="120"/>
        <w:rPr>
          <w:b/>
        </w:rPr>
      </w:pPr>
      <w:r w:rsidRPr="00B165A2">
        <w:rPr>
          <w:b/>
        </w:rPr>
        <w:t>August 2019 MSAC consideration</w:t>
      </w:r>
    </w:p>
    <w:p w14:paraId="2CCAB920" w14:textId="11F39EFD" w:rsidR="00B5346A" w:rsidRPr="00B1593A" w:rsidRDefault="00B1593A" w:rsidP="00A345B5">
      <w:pPr>
        <w:spacing w:after="240"/>
        <w:rPr>
          <w:iCs/>
        </w:rPr>
      </w:pPr>
      <w:r>
        <w:rPr>
          <w:iCs/>
        </w:rPr>
        <w:t>A resubmission</w:t>
      </w:r>
      <w:r w:rsidR="00007C3B">
        <w:rPr>
          <w:iCs/>
        </w:rPr>
        <w:t xml:space="preserve"> </w:t>
      </w:r>
      <w:r w:rsidRPr="00B1593A">
        <w:rPr>
          <w:iCs/>
        </w:rPr>
        <w:t>addressing the key issues identified by MSAC in its November 2018 consideration</w:t>
      </w:r>
      <w:r w:rsidR="00647D5C">
        <w:rPr>
          <w:iCs/>
        </w:rPr>
        <w:t>,</w:t>
      </w:r>
      <w:r w:rsidRPr="00B1593A">
        <w:rPr>
          <w:iCs/>
        </w:rPr>
        <w:t xml:space="preserve"> as outlined in the PSD</w:t>
      </w:r>
      <w:r w:rsidR="00647D5C">
        <w:rPr>
          <w:iCs/>
        </w:rPr>
        <w:t>,</w:t>
      </w:r>
      <w:r w:rsidRPr="00B1593A">
        <w:rPr>
          <w:iCs/>
        </w:rPr>
        <w:t xml:space="preserve"> and at the March 2019 Stakeholder meeting </w:t>
      </w:r>
      <w:r>
        <w:rPr>
          <w:iCs/>
        </w:rPr>
        <w:t xml:space="preserve">was received by the Department of Health. </w:t>
      </w:r>
      <w:r w:rsidR="00563C43">
        <w:rPr>
          <w:iCs/>
        </w:rPr>
        <w:t>The Australian Society of Op</w:t>
      </w:r>
      <w:r w:rsidR="00D15903">
        <w:rPr>
          <w:iCs/>
        </w:rPr>
        <w:t>h</w:t>
      </w:r>
      <w:r w:rsidR="00563C43">
        <w:rPr>
          <w:iCs/>
        </w:rPr>
        <w:t xml:space="preserve">thalmologists was the applicant for this resubmission. </w:t>
      </w:r>
    </w:p>
    <w:p w14:paraId="4A680235" w14:textId="6ADAE887" w:rsidR="00B5346A" w:rsidRPr="00B165A2" w:rsidRDefault="00B5346A" w:rsidP="00A345B5">
      <w:pPr>
        <w:pStyle w:val="Heading2"/>
        <w:spacing w:before="120" w:after="120"/>
        <w:rPr>
          <w:b/>
        </w:rPr>
      </w:pPr>
      <w:r w:rsidRPr="00B165A2">
        <w:rPr>
          <w:b/>
        </w:rPr>
        <w:t>November 2018 MSAC consideration</w:t>
      </w:r>
    </w:p>
    <w:p w14:paraId="500A8239" w14:textId="6910F3DB" w:rsidR="00102893" w:rsidRPr="00142C14" w:rsidRDefault="00102893" w:rsidP="00102893">
      <w:pPr>
        <w:rPr>
          <w:iCs/>
        </w:rPr>
      </w:pPr>
      <w:r w:rsidRPr="009768F4">
        <w:rPr>
          <w:iCs/>
        </w:rPr>
        <w:t xml:space="preserve">An application requesting Medicare Benefit Schedule (MBS) listing for </w:t>
      </w:r>
      <w:r>
        <w:rPr>
          <w:color w:val="000000"/>
          <w:szCs w:val="24"/>
        </w:rPr>
        <w:t>t</w:t>
      </w:r>
      <w:r w:rsidRPr="00A31A71">
        <w:rPr>
          <w:color w:val="000000"/>
          <w:szCs w:val="24"/>
        </w:rPr>
        <w:t>rabecular</w:t>
      </w:r>
      <w:r>
        <w:rPr>
          <w:color w:val="000000"/>
          <w:szCs w:val="24"/>
        </w:rPr>
        <w:t xml:space="preserve"> micro-bypass glaucoma surgery </w:t>
      </w:r>
      <w:r w:rsidRPr="00E070EB">
        <w:rPr>
          <w:color w:val="000000"/>
          <w:szCs w:val="24"/>
        </w:rPr>
        <w:t xml:space="preserve">and </w:t>
      </w:r>
      <w:r>
        <w:rPr>
          <w:color w:val="000000"/>
          <w:szCs w:val="24"/>
        </w:rPr>
        <w:t>suprachoroidal m</w:t>
      </w:r>
      <w:r w:rsidRPr="00A31A71">
        <w:rPr>
          <w:color w:val="000000"/>
          <w:szCs w:val="24"/>
        </w:rPr>
        <w:t xml:space="preserve">icro-invasive </w:t>
      </w:r>
      <w:r w:rsidR="0051582C">
        <w:rPr>
          <w:color w:val="000000"/>
          <w:szCs w:val="24"/>
        </w:rPr>
        <w:t>g</w:t>
      </w:r>
      <w:r w:rsidRPr="00A31A71">
        <w:rPr>
          <w:color w:val="000000"/>
          <w:szCs w:val="24"/>
        </w:rPr>
        <w:t xml:space="preserve">laucoma </w:t>
      </w:r>
      <w:r w:rsidR="0051582C">
        <w:rPr>
          <w:color w:val="000000"/>
          <w:szCs w:val="24"/>
        </w:rPr>
        <w:t>s</w:t>
      </w:r>
      <w:r w:rsidRPr="00A31A71">
        <w:rPr>
          <w:color w:val="000000"/>
          <w:szCs w:val="24"/>
        </w:rPr>
        <w:t>urgery</w:t>
      </w:r>
      <w:r w:rsidR="0051582C">
        <w:rPr>
          <w:color w:val="000000"/>
          <w:szCs w:val="24"/>
        </w:rPr>
        <w:t xml:space="preserve"> using stent implantation</w:t>
      </w:r>
      <w:r w:rsidRPr="00E070EB">
        <w:rPr>
          <w:color w:val="000000"/>
          <w:szCs w:val="24"/>
        </w:rPr>
        <w:t xml:space="preserve"> in the standalone population (i.e. not in conjunction with cataract surgery) </w:t>
      </w:r>
      <w:r w:rsidRPr="009768F4">
        <w:rPr>
          <w:iCs/>
        </w:rPr>
        <w:t xml:space="preserve">was received from </w:t>
      </w:r>
      <w:r w:rsidRPr="00A008AA">
        <w:rPr>
          <w:iCs/>
        </w:rPr>
        <w:t>the Australian and N</w:t>
      </w:r>
      <w:r w:rsidR="00B32061">
        <w:rPr>
          <w:iCs/>
        </w:rPr>
        <w:t xml:space="preserve">ew </w:t>
      </w:r>
      <w:r w:rsidRPr="00A008AA">
        <w:rPr>
          <w:iCs/>
        </w:rPr>
        <w:t>Z</w:t>
      </w:r>
      <w:r w:rsidR="00B32061">
        <w:rPr>
          <w:iCs/>
        </w:rPr>
        <w:t xml:space="preserve">ealand </w:t>
      </w:r>
      <w:r w:rsidRPr="00A008AA">
        <w:rPr>
          <w:iCs/>
        </w:rPr>
        <w:t>Glaucoma Society</w:t>
      </w:r>
      <w:r w:rsidR="00B32061">
        <w:rPr>
          <w:iCs/>
        </w:rPr>
        <w:t xml:space="preserve"> (ANZGS)</w:t>
      </w:r>
      <w:r w:rsidRPr="00A008AA">
        <w:rPr>
          <w:iCs/>
        </w:rPr>
        <w:t xml:space="preserve"> and the </w:t>
      </w:r>
      <w:r w:rsidR="00B32061">
        <w:rPr>
          <w:iCs/>
        </w:rPr>
        <w:t xml:space="preserve">Royal Australian and </w:t>
      </w:r>
      <w:r w:rsidRPr="00A008AA">
        <w:rPr>
          <w:iCs/>
        </w:rPr>
        <w:t>N</w:t>
      </w:r>
      <w:r w:rsidR="00B32061">
        <w:rPr>
          <w:iCs/>
        </w:rPr>
        <w:t xml:space="preserve">ew </w:t>
      </w:r>
      <w:r w:rsidRPr="00A008AA">
        <w:rPr>
          <w:iCs/>
        </w:rPr>
        <w:t>Z</w:t>
      </w:r>
      <w:r w:rsidR="00B32061">
        <w:rPr>
          <w:iCs/>
        </w:rPr>
        <w:t>ealand</w:t>
      </w:r>
      <w:r w:rsidRPr="00A008AA">
        <w:rPr>
          <w:iCs/>
        </w:rPr>
        <w:t xml:space="preserve"> College of Ophthalmologists</w:t>
      </w:r>
      <w:r w:rsidR="00B32061">
        <w:rPr>
          <w:iCs/>
        </w:rPr>
        <w:t xml:space="preserve"> (RANZCO)</w:t>
      </w:r>
      <w:r w:rsidRPr="00A008AA">
        <w:rPr>
          <w:iCs/>
        </w:rPr>
        <w:t xml:space="preserve"> </w:t>
      </w:r>
      <w:r w:rsidRPr="009768F4">
        <w:rPr>
          <w:iCs/>
        </w:rPr>
        <w:t>by the Department of Health.</w:t>
      </w:r>
    </w:p>
    <w:p w14:paraId="3E329974" w14:textId="630528CD" w:rsidR="00E977EE" w:rsidRPr="00F715D1" w:rsidRDefault="00E977EE" w:rsidP="00F715D1">
      <w:pPr>
        <w:pStyle w:val="Heading1"/>
      </w:pPr>
      <w:r w:rsidRPr="00F715D1">
        <w:t>MSAC’s advice to the Minister</w:t>
      </w:r>
      <w:r w:rsidR="00925793">
        <w:t xml:space="preserve"> – August 2019 consideration</w:t>
      </w:r>
    </w:p>
    <w:p w14:paraId="1B6B4A3F" w14:textId="0EA1A79B" w:rsidR="00B23686" w:rsidRPr="00B23686" w:rsidRDefault="00B23686" w:rsidP="00B23686">
      <w:pPr>
        <w:spacing w:after="240"/>
        <w:rPr>
          <w:color w:val="000000"/>
        </w:rPr>
      </w:pPr>
      <w:r w:rsidRPr="00B23686">
        <w:rPr>
          <w:color w:val="000000"/>
        </w:rPr>
        <w:t>After considering the strength of the available evidence in relation to comparative safety, clinical effectiveness and cost-effectiveness, MSAC supported a new MBS item for micro-bypass glaucoma surgery (MBGS) as a standalone procedure for patients with open-angle glaucoma. MSAC considered that MBGS has an acceptable safety profile and may delay or avoid the need for trabeculectomy in some patients not adequately controlled with medical therapy.</w:t>
      </w:r>
    </w:p>
    <w:p w14:paraId="1FA9EFB0" w14:textId="19CB7311" w:rsidR="00B5346A" w:rsidRDefault="00B23686" w:rsidP="00B23686">
      <w:pPr>
        <w:spacing w:after="240"/>
        <w:rPr>
          <w:color w:val="000000"/>
        </w:rPr>
      </w:pPr>
      <w:r w:rsidRPr="00B23686">
        <w:rPr>
          <w:color w:val="000000"/>
        </w:rPr>
        <w:t>MSAC considered this new MBS item should be reviewed in two years.</w:t>
      </w:r>
    </w:p>
    <w:tbl>
      <w:tblPr>
        <w:tblStyle w:val="TableGrid"/>
        <w:tblW w:w="0" w:type="auto"/>
        <w:tblLook w:val="04A0" w:firstRow="1" w:lastRow="0" w:firstColumn="1" w:lastColumn="0" w:noHBand="0" w:noVBand="1"/>
        <w:tblDescription w:val="Consumer summary of MSAC consideration"/>
      </w:tblPr>
      <w:tblGrid>
        <w:gridCol w:w="9016"/>
      </w:tblGrid>
      <w:tr w:rsidR="00A345B5" w14:paraId="6D5A9EF1" w14:textId="77777777" w:rsidTr="001833F6">
        <w:trPr>
          <w:tblHeader/>
        </w:trPr>
        <w:tc>
          <w:tcPr>
            <w:tcW w:w="9016" w:type="dxa"/>
          </w:tcPr>
          <w:p w14:paraId="6EB5F6FB" w14:textId="77777777" w:rsidR="00A345B5" w:rsidRPr="003A48A9" w:rsidRDefault="00A345B5" w:rsidP="00A345B5">
            <w:pPr>
              <w:pStyle w:val="Heading2"/>
              <w:keepNext w:val="0"/>
              <w:keepLines w:val="0"/>
              <w:spacing w:before="120" w:after="120"/>
              <w:outlineLvl w:val="1"/>
              <w:rPr>
                <w:rFonts w:ascii="Times New Roman" w:hAnsi="Times New Roman" w:cs="Times New Roman"/>
                <w:b/>
                <w:i w:val="0"/>
              </w:rPr>
            </w:pPr>
            <w:r w:rsidRPr="003A48A9">
              <w:rPr>
                <w:rFonts w:ascii="Times New Roman" w:hAnsi="Times New Roman" w:cs="Times New Roman"/>
                <w:b/>
                <w:i w:val="0"/>
              </w:rPr>
              <w:lastRenderedPageBreak/>
              <w:t>Consumer summary</w:t>
            </w:r>
          </w:p>
          <w:p w14:paraId="38C80A1A" w14:textId="18569E57" w:rsidR="00A345B5" w:rsidRPr="00A345B5" w:rsidRDefault="00A345B5" w:rsidP="00A345B5">
            <w:pPr>
              <w:spacing w:after="240"/>
              <w:rPr>
                <w:rFonts w:ascii="Times New Roman" w:hAnsi="Times New Roman" w:cs="Times New Roman"/>
                <w:iCs/>
              </w:rPr>
            </w:pPr>
            <w:r>
              <w:rPr>
                <w:rFonts w:ascii="Times New Roman" w:hAnsi="Times New Roman" w:cs="Times New Roman"/>
                <w:color w:val="000000"/>
                <w:szCs w:val="24"/>
              </w:rPr>
              <w:t xml:space="preserve">The </w:t>
            </w:r>
            <w:r w:rsidRPr="00A345B5">
              <w:rPr>
                <w:rFonts w:ascii="Times New Roman" w:hAnsi="Times New Roman" w:cs="Times New Roman"/>
                <w:color w:val="000000"/>
                <w:szCs w:val="24"/>
              </w:rPr>
              <w:t>Australian and New Zealand Glaucoma Society and the Royal Australian &amp; New Zealand College of Ophthalmologists</w:t>
            </w:r>
            <w:r>
              <w:rPr>
                <w:rFonts w:ascii="Times New Roman" w:hAnsi="Times New Roman" w:cs="Times New Roman"/>
                <w:color w:val="000000"/>
                <w:szCs w:val="24"/>
              </w:rPr>
              <w:t xml:space="preserve"> </w:t>
            </w:r>
            <w:r w:rsidRPr="00AB562F">
              <w:rPr>
                <w:rFonts w:ascii="Times New Roman" w:hAnsi="Times New Roman" w:cs="Times New Roman"/>
                <w:iCs/>
              </w:rPr>
              <w:t>applied for public funding for</w:t>
            </w:r>
            <w:r>
              <w:rPr>
                <w:rFonts w:ascii="Times New Roman" w:hAnsi="Times New Roman" w:cs="Times New Roman"/>
                <w:iCs/>
              </w:rPr>
              <w:t xml:space="preserve"> m</w:t>
            </w:r>
            <w:r w:rsidRPr="00A345B5">
              <w:rPr>
                <w:rFonts w:ascii="Times New Roman" w:hAnsi="Times New Roman" w:cs="Times New Roman"/>
                <w:iCs/>
              </w:rPr>
              <w:t xml:space="preserve">icro-bypass glaucoma surgery </w:t>
            </w:r>
            <w:r>
              <w:rPr>
                <w:rFonts w:ascii="Times New Roman" w:hAnsi="Times New Roman" w:cs="Times New Roman"/>
                <w:iCs/>
              </w:rPr>
              <w:t xml:space="preserve">(MBGS) </w:t>
            </w:r>
            <w:r w:rsidRPr="00A345B5">
              <w:rPr>
                <w:rFonts w:ascii="Times New Roman" w:hAnsi="Times New Roman" w:cs="Times New Roman"/>
                <w:iCs/>
              </w:rPr>
              <w:t>device implantation as a standa</w:t>
            </w:r>
            <w:r>
              <w:rPr>
                <w:rFonts w:ascii="Times New Roman" w:hAnsi="Times New Roman" w:cs="Times New Roman"/>
                <w:iCs/>
              </w:rPr>
              <w:t xml:space="preserve">lone procedure in patients with </w:t>
            </w:r>
            <w:r w:rsidRPr="00A345B5">
              <w:rPr>
                <w:rFonts w:ascii="Times New Roman" w:hAnsi="Times New Roman" w:cs="Times New Roman"/>
                <w:iCs/>
              </w:rPr>
              <w:t>open angle glaucoma</w:t>
            </w:r>
            <w:r>
              <w:rPr>
                <w:rFonts w:ascii="Times New Roman" w:hAnsi="Times New Roman" w:cs="Times New Roman"/>
                <w:iCs/>
              </w:rPr>
              <w:t>.</w:t>
            </w:r>
          </w:p>
          <w:p w14:paraId="6D3858F7" w14:textId="71BA3F7C" w:rsidR="00A345B5" w:rsidRPr="00A345B5" w:rsidRDefault="00A345B5" w:rsidP="00A345B5">
            <w:pPr>
              <w:spacing w:after="240"/>
              <w:rPr>
                <w:rFonts w:ascii="Times New Roman" w:hAnsi="Times New Roman" w:cs="Times New Roman"/>
                <w:color w:val="000000"/>
                <w:szCs w:val="24"/>
              </w:rPr>
            </w:pPr>
            <w:r w:rsidRPr="00A345B5">
              <w:rPr>
                <w:rFonts w:ascii="Times New Roman" w:hAnsi="Times New Roman" w:cs="Times New Roman"/>
                <w:color w:val="000000"/>
                <w:szCs w:val="24"/>
              </w:rPr>
              <w:t xml:space="preserve">MBGS is used to lower the pressure within the eye in patients with glaucoma. It involves placing a small device inside the eye to help fluid in the eye to drain away, and thus lower the pressure. In trabecular (TB) MBGS, the device is placed in the part of the eye called the trabecular meshwork. TB MBGS is intended to be used in patients for whom glaucoma eye drops don’t work. TB MBGS is an alternative to doing a procedure called trabeculectomy, which involves making a small opening in the outer layer of the eye to help lower the pressure. </w:t>
            </w:r>
          </w:p>
          <w:p w14:paraId="25B9ED8C" w14:textId="76743AF9" w:rsidR="00A345B5" w:rsidRDefault="00A345B5" w:rsidP="00A345B5">
            <w:pPr>
              <w:spacing w:after="240"/>
              <w:rPr>
                <w:rFonts w:ascii="Times New Roman" w:hAnsi="Times New Roman" w:cs="Times New Roman"/>
                <w:color w:val="000000"/>
                <w:szCs w:val="24"/>
              </w:rPr>
            </w:pPr>
            <w:r w:rsidRPr="00A345B5">
              <w:rPr>
                <w:rFonts w:ascii="Times New Roman" w:hAnsi="Times New Roman" w:cs="Times New Roman"/>
                <w:color w:val="000000"/>
                <w:szCs w:val="24"/>
              </w:rPr>
              <w:t>TB MBGS is already listed on the MBS for use at the same time as cataract surgery. This application is requesting MBS listing for TB MBGS to be done as a standalone procedure. To work out if TB MBGS is safe, effective and cost-effective, it was compared with trabeculectomy.</w:t>
            </w:r>
          </w:p>
          <w:p w14:paraId="64074D4E" w14:textId="0DA5008B" w:rsidR="00A345B5" w:rsidRPr="00A345B5" w:rsidRDefault="00A345B5" w:rsidP="00A345B5">
            <w:pPr>
              <w:spacing w:after="120"/>
              <w:rPr>
                <w:rFonts w:ascii="Times New Roman" w:hAnsi="Times New Roman" w:cs="Times New Roman"/>
                <w:b/>
              </w:rPr>
            </w:pPr>
            <w:r>
              <w:rPr>
                <w:rFonts w:ascii="Times New Roman" w:hAnsi="Times New Roman" w:cs="Times New Roman"/>
                <w:b/>
              </w:rPr>
              <w:t>MSAC’s recommendation</w:t>
            </w:r>
            <w:r w:rsidRPr="000A0160">
              <w:rPr>
                <w:rFonts w:ascii="Times New Roman" w:hAnsi="Times New Roman" w:cs="Times New Roman"/>
                <w:b/>
              </w:rPr>
              <w:t xml:space="preserve"> to the Commonwealth Health Minister</w:t>
            </w:r>
          </w:p>
          <w:p w14:paraId="1695012B" w14:textId="68DAEA66" w:rsidR="00A345B5" w:rsidRDefault="00A345B5" w:rsidP="00A345B5">
            <w:pPr>
              <w:spacing w:after="240"/>
              <w:rPr>
                <w:color w:val="000000"/>
                <w:szCs w:val="24"/>
              </w:rPr>
            </w:pPr>
            <w:r w:rsidRPr="00A345B5">
              <w:rPr>
                <w:rFonts w:ascii="Times New Roman" w:hAnsi="Times New Roman" w:cs="Times New Roman"/>
                <w:color w:val="000000"/>
                <w:szCs w:val="24"/>
              </w:rPr>
              <w:t>MSAC concluded that TB MBGS is slightly less effective than trabeculectomy but safer, and may allow some patients to delay or avoid trabeculectomy. MSAC therefore supported public funding for TB MBGS as a standalone procedure. MSAC will review the use of TB MBGS after 2 years to see what effect it has on the number of trabeculectomies being done and make sure it is still cost-effective.</w:t>
            </w:r>
          </w:p>
        </w:tc>
      </w:tr>
    </w:tbl>
    <w:p w14:paraId="6DCD773F" w14:textId="6A7D0F6B" w:rsidR="00925793" w:rsidRDefault="00550354" w:rsidP="00925793">
      <w:pPr>
        <w:pStyle w:val="Heading1"/>
        <w:numPr>
          <w:ilvl w:val="0"/>
          <w:numId w:val="0"/>
        </w:numPr>
        <w:ind w:left="720" w:hanging="720"/>
      </w:pPr>
      <w:r w:rsidRPr="00F715D1">
        <w:t>Summary of consideration and rationale for MSAC’s advice</w:t>
      </w:r>
      <w:r w:rsidR="00925793">
        <w:t xml:space="preserve"> – August 2019</w:t>
      </w:r>
    </w:p>
    <w:p w14:paraId="0390DA65" w14:textId="77777777" w:rsidR="00925793" w:rsidRPr="001531DC" w:rsidRDefault="00925793" w:rsidP="00925793">
      <w:pPr>
        <w:spacing w:after="240"/>
        <w:rPr>
          <w:color w:val="000000"/>
          <w:szCs w:val="24"/>
        </w:rPr>
      </w:pPr>
      <w:r w:rsidRPr="001531DC">
        <w:rPr>
          <w:color w:val="000000"/>
          <w:szCs w:val="24"/>
        </w:rPr>
        <w:t>MSAC recalled that this application was considered at the November 2018 MSAC meeting, but funding was not supported because of unclear eligibility criteria and high leakage risk</w:t>
      </w:r>
      <w:r>
        <w:rPr>
          <w:color w:val="000000"/>
          <w:szCs w:val="24"/>
        </w:rPr>
        <w:t xml:space="preserve"> to other populations</w:t>
      </w:r>
      <w:r w:rsidRPr="001531DC">
        <w:rPr>
          <w:color w:val="000000"/>
          <w:szCs w:val="24"/>
        </w:rPr>
        <w:t>, poor comparative safety data, poor comparative efficacy, and unsatisfactory economic assessment. MSAC recalled that a stakeholder meeting was convened in March 2019 to address the concerns raised by MSAC.</w:t>
      </w:r>
    </w:p>
    <w:p w14:paraId="6717034B" w14:textId="5E01CD29" w:rsidR="00925793" w:rsidRPr="001531DC" w:rsidRDefault="00925793" w:rsidP="00925793">
      <w:pPr>
        <w:spacing w:after="240"/>
        <w:rPr>
          <w:color w:val="000000"/>
          <w:szCs w:val="24"/>
        </w:rPr>
      </w:pPr>
      <w:r w:rsidRPr="001531DC">
        <w:rPr>
          <w:color w:val="000000"/>
          <w:szCs w:val="24"/>
        </w:rPr>
        <w:t>MSAC noted that the application originally also included suprachoroidal microinvasive glaucoma surgery (SC MIGS). However, after the withdrawal from market of the SC stent previously available in Australia due to safety concerns, SC MIGS/M</w:t>
      </w:r>
      <w:r w:rsidR="00F16235">
        <w:rPr>
          <w:color w:val="000000"/>
          <w:szCs w:val="24"/>
        </w:rPr>
        <w:t>BG</w:t>
      </w:r>
      <w:r w:rsidRPr="001531DC">
        <w:rPr>
          <w:color w:val="000000"/>
          <w:szCs w:val="24"/>
        </w:rPr>
        <w:t xml:space="preserve">S was excluded from the current resubmission. </w:t>
      </w:r>
    </w:p>
    <w:p w14:paraId="78E653B2" w14:textId="77777777" w:rsidR="00925793" w:rsidRPr="001531DC" w:rsidRDefault="00925793" w:rsidP="00925793">
      <w:pPr>
        <w:spacing w:after="240"/>
        <w:rPr>
          <w:color w:val="000000"/>
          <w:szCs w:val="24"/>
        </w:rPr>
      </w:pPr>
      <w:r w:rsidRPr="001531DC">
        <w:rPr>
          <w:color w:val="000000"/>
          <w:szCs w:val="24"/>
        </w:rPr>
        <w:t>TB and SC MBGS are already MBS listed for use in association with cataract surgery. Patients without cataracts or who have already had cataracts removed currently have no access to TB MBGS.</w:t>
      </w:r>
    </w:p>
    <w:p w14:paraId="3725D2BE" w14:textId="77777777" w:rsidR="00925793" w:rsidRPr="001531DC" w:rsidRDefault="00925793" w:rsidP="00925793">
      <w:pPr>
        <w:spacing w:after="240"/>
        <w:rPr>
          <w:color w:val="000000"/>
          <w:szCs w:val="24"/>
          <w:lang w:val="en-US"/>
        </w:rPr>
      </w:pPr>
      <w:r w:rsidRPr="001531DC">
        <w:rPr>
          <w:color w:val="000000"/>
          <w:szCs w:val="24"/>
        </w:rPr>
        <w:t xml:space="preserve">MSAC acknowledged the risk of leakage arising from non-compliance with </w:t>
      </w:r>
      <w:r w:rsidRPr="001531DC">
        <w:rPr>
          <w:color w:val="000000"/>
          <w:szCs w:val="24"/>
          <w:lang w:val="en-US"/>
        </w:rPr>
        <w:t xml:space="preserve">topical </w:t>
      </w:r>
      <w:r>
        <w:rPr>
          <w:color w:val="000000"/>
          <w:szCs w:val="24"/>
          <w:lang w:val="en-US"/>
        </w:rPr>
        <w:t xml:space="preserve">ocular </w:t>
      </w:r>
      <w:r w:rsidRPr="001531DC">
        <w:rPr>
          <w:color w:val="000000"/>
          <w:szCs w:val="24"/>
          <w:lang w:val="en-US"/>
        </w:rPr>
        <w:t xml:space="preserve">hypotensive medicines (drops) in 15–30% of patients. </w:t>
      </w:r>
      <w:r w:rsidRPr="001531DC">
        <w:rPr>
          <w:color w:val="000000"/>
          <w:szCs w:val="24"/>
        </w:rPr>
        <w:t xml:space="preserve">MSAC noted that the proposed MBS item descriptor has been modified following feedback from the stakeholder meeting to further reinforce the requirement that </w:t>
      </w:r>
      <w:r w:rsidRPr="001531DC">
        <w:rPr>
          <w:iCs/>
          <w:color w:val="000000"/>
          <w:szCs w:val="24"/>
        </w:rPr>
        <w:t xml:space="preserve">patients must not only have failed, be likely to fail or be contraindicated to conservative </w:t>
      </w:r>
      <w:r>
        <w:rPr>
          <w:iCs/>
          <w:color w:val="000000"/>
          <w:szCs w:val="24"/>
        </w:rPr>
        <w:t xml:space="preserve">medical </w:t>
      </w:r>
      <w:r w:rsidRPr="001531DC">
        <w:rPr>
          <w:iCs/>
          <w:color w:val="000000"/>
          <w:szCs w:val="24"/>
        </w:rPr>
        <w:t xml:space="preserve">therapies such as drops, but they must also be </w:t>
      </w:r>
      <w:r w:rsidRPr="001531DC">
        <w:rPr>
          <w:color w:val="000000"/>
          <w:szCs w:val="24"/>
          <w:lang w:val="en-US"/>
        </w:rPr>
        <w:t>otherwise considered candidates for incisional glaucoma surgery such as trabeculectomy.</w:t>
      </w:r>
    </w:p>
    <w:p w14:paraId="41129F43" w14:textId="517ED706" w:rsidR="00925793" w:rsidRPr="001531DC" w:rsidRDefault="00925793" w:rsidP="00925793">
      <w:pPr>
        <w:spacing w:after="240"/>
        <w:rPr>
          <w:color w:val="000000"/>
          <w:szCs w:val="24"/>
        </w:rPr>
      </w:pPr>
      <w:r w:rsidRPr="001531DC">
        <w:rPr>
          <w:color w:val="000000"/>
          <w:szCs w:val="24"/>
        </w:rPr>
        <w:lastRenderedPageBreak/>
        <w:t>MSAC noted the suggestion from the stakeholder meeting that leakage could also be minimised by establishing a register of selected practitioners to ensure this procedure is confined to those who genuinely need it (i.e. those who need trabeculectomy, but do not want or cannot have it). A</w:t>
      </w:r>
      <w:r w:rsidRPr="001531DC">
        <w:rPr>
          <w:color w:val="000000"/>
          <w:szCs w:val="24"/>
          <w:lang w:val="en-US"/>
        </w:rPr>
        <w:t xml:space="preserve"> Conjoint Committee comprising representatives from the Australian and New Zealand Glaucoma Society (ANZGS) and Royal Australian and New Zealand College of Ophthalmologists (RANZCO) would oversee and maintain t</w:t>
      </w:r>
      <w:r w:rsidRPr="001531DC">
        <w:rPr>
          <w:color w:val="000000"/>
          <w:szCs w:val="24"/>
        </w:rPr>
        <w:t>he register and certification of training requirements</w:t>
      </w:r>
      <w:r w:rsidRPr="001531DC">
        <w:rPr>
          <w:color w:val="000000"/>
          <w:szCs w:val="24"/>
          <w:lang w:val="en-US"/>
        </w:rPr>
        <w:t>. A</w:t>
      </w:r>
      <w:r w:rsidRPr="001531DC">
        <w:rPr>
          <w:color w:val="000000"/>
          <w:szCs w:val="24"/>
        </w:rPr>
        <w:t xml:space="preserve"> statement that the service is to be performed by a specialist</w:t>
      </w:r>
      <w:r w:rsidR="002E60E7">
        <w:rPr>
          <w:color w:val="000000"/>
          <w:szCs w:val="24"/>
        </w:rPr>
        <w:t xml:space="preserve"> </w:t>
      </w:r>
      <w:r w:rsidRPr="001531DC">
        <w:rPr>
          <w:color w:val="000000"/>
          <w:szCs w:val="24"/>
        </w:rPr>
        <w:t xml:space="preserve">with training recognised by the Conjoint Committee has been added to the MBS item descriptor. MSAC noted that these requirements reflect current standards and practice. MSAC noted that it should be made clear that TB MBGS is intended for use instead of, not in addition to, trabeculectomy, </w:t>
      </w:r>
      <w:bookmarkStart w:id="1" w:name="_Hlk22042421"/>
      <w:r w:rsidRPr="001531DC">
        <w:rPr>
          <w:color w:val="000000"/>
          <w:szCs w:val="24"/>
        </w:rPr>
        <w:t xml:space="preserve">and that the procedure should be performed only by ophthalmologists who regularly </w:t>
      </w:r>
      <w:r>
        <w:rPr>
          <w:color w:val="000000"/>
          <w:szCs w:val="24"/>
        </w:rPr>
        <w:t>perform</w:t>
      </w:r>
      <w:r w:rsidRPr="001531DC">
        <w:rPr>
          <w:color w:val="000000"/>
          <w:szCs w:val="24"/>
        </w:rPr>
        <w:t xml:space="preserve"> trabeculectomies, and not by general glaucoma surgeons</w:t>
      </w:r>
      <w:r w:rsidR="001F439A">
        <w:rPr>
          <w:color w:val="000000"/>
          <w:szCs w:val="24"/>
        </w:rPr>
        <w:t>.</w:t>
      </w:r>
      <w:bookmarkEnd w:id="1"/>
    </w:p>
    <w:p w14:paraId="027497D3" w14:textId="77777777" w:rsidR="00925793" w:rsidRPr="001531DC" w:rsidRDefault="00925793" w:rsidP="00925793">
      <w:pPr>
        <w:spacing w:after="240"/>
        <w:rPr>
          <w:color w:val="000000"/>
          <w:szCs w:val="24"/>
        </w:rPr>
      </w:pPr>
      <w:r w:rsidRPr="001531DC">
        <w:rPr>
          <w:color w:val="000000"/>
          <w:szCs w:val="24"/>
        </w:rPr>
        <w:t>MSAC noted that the fee proposed by the applicant ($710.65) is in line with that for goniotomy (item 42758). However, MSAC considers the TB MBGS procedure to be less complicated than goniotomy and cataract procedures (</w:t>
      </w:r>
      <w:r w:rsidRPr="001531DC">
        <w:rPr>
          <w:color w:val="000000"/>
          <w:szCs w:val="24"/>
          <w:lang w:val="en-US"/>
        </w:rPr>
        <w:t xml:space="preserve">item 42702; $772.80). </w:t>
      </w:r>
      <w:bookmarkStart w:id="2" w:name="_Hlk22042435"/>
      <w:r w:rsidRPr="001531DC">
        <w:rPr>
          <w:color w:val="000000"/>
          <w:szCs w:val="24"/>
          <w:lang w:val="en-US"/>
        </w:rPr>
        <w:t xml:space="preserve">MSAC suggested a fee of $305.55, in line with </w:t>
      </w:r>
      <w:r w:rsidRPr="001531DC">
        <w:rPr>
          <w:color w:val="000000"/>
          <w:szCs w:val="24"/>
        </w:rPr>
        <w:t>the previously listed item for removal and/or replacement of an MBGS device (item 42505).</w:t>
      </w:r>
      <w:r w:rsidRPr="001531DC">
        <w:rPr>
          <w:color w:val="000000"/>
          <w:szCs w:val="24"/>
          <w:lang w:val="en-US"/>
        </w:rPr>
        <w:t xml:space="preserve"> </w:t>
      </w:r>
    </w:p>
    <w:bookmarkEnd w:id="2"/>
    <w:p w14:paraId="4DF11BE5" w14:textId="77777777" w:rsidR="00925793" w:rsidRPr="001531DC" w:rsidRDefault="00925793" w:rsidP="00925793">
      <w:pPr>
        <w:spacing w:after="240"/>
        <w:rPr>
          <w:color w:val="000000"/>
          <w:szCs w:val="24"/>
        </w:rPr>
      </w:pPr>
      <w:r w:rsidRPr="001531DC">
        <w:rPr>
          <w:color w:val="000000"/>
          <w:szCs w:val="24"/>
        </w:rPr>
        <w:t xml:space="preserve">MSAC accepted the decision of the stakeholder meeting </w:t>
      </w:r>
      <w:r w:rsidRPr="001531DC">
        <w:rPr>
          <w:color w:val="000000"/>
          <w:szCs w:val="24"/>
          <w:lang w:val="en-US"/>
        </w:rPr>
        <w:t xml:space="preserve">that, given eligible patients should be candidates for incisional surgery, and have failed or be ineligible for </w:t>
      </w:r>
      <w:r w:rsidRPr="001531DC">
        <w:rPr>
          <w:iCs/>
          <w:color w:val="000000"/>
          <w:szCs w:val="24"/>
        </w:rPr>
        <w:t xml:space="preserve">conservative </w:t>
      </w:r>
      <w:r>
        <w:rPr>
          <w:iCs/>
          <w:color w:val="000000"/>
          <w:szCs w:val="24"/>
        </w:rPr>
        <w:t xml:space="preserve">medical </w:t>
      </w:r>
      <w:r w:rsidRPr="001531DC">
        <w:rPr>
          <w:iCs/>
          <w:color w:val="000000"/>
          <w:szCs w:val="24"/>
        </w:rPr>
        <w:t>therapies</w:t>
      </w:r>
      <w:r w:rsidRPr="001531DC">
        <w:rPr>
          <w:color w:val="000000"/>
          <w:szCs w:val="24"/>
          <w:lang w:val="en-US"/>
        </w:rPr>
        <w:t xml:space="preserve"> such as drops, the appropriate comparator is trabeculectomy rather than drops.</w:t>
      </w:r>
      <w:r w:rsidRPr="001531DC">
        <w:rPr>
          <w:color w:val="000000"/>
          <w:szCs w:val="24"/>
        </w:rPr>
        <w:t xml:space="preserve"> </w:t>
      </w:r>
    </w:p>
    <w:p w14:paraId="35C7FA69" w14:textId="77777777" w:rsidR="00925793" w:rsidRPr="001531DC" w:rsidRDefault="00925793" w:rsidP="00925793">
      <w:pPr>
        <w:spacing w:after="240"/>
        <w:rPr>
          <w:color w:val="000000"/>
          <w:szCs w:val="24"/>
        </w:rPr>
      </w:pPr>
      <w:r w:rsidRPr="001531DC">
        <w:rPr>
          <w:color w:val="000000"/>
          <w:szCs w:val="24"/>
        </w:rPr>
        <w:t>MSAC noted that there are no randomised controlled trials directly comparing standalone TB MBGS with trabeculectomy. Clinical claims of inferior effectiveness but superior safety continue to be based on informal indirect comparison as in the previous submission.</w:t>
      </w:r>
    </w:p>
    <w:p w14:paraId="53DE4CEF" w14:textId="77777777" w:rsidR="00925793" w:rsidRPr="001531DC" w:rsidRDefault="00925793" w:rsidP="00925793">
      <w:pPr>
        <w:spacing w:after="240"/>
        <w:rPr>
          <w:color w:val="000000"/>
        </w:rPr>
      </w:pPr>
      <w:r w:rsidRPr="001531DC">
        <w:rPr>
          <w:color w:val="000000"/>
        </w:rPr>
        <w:t xml:space="preserve">MSAC noted the different risk profiles of TB MBGS and trabeculectomy, but concluded that TB MBGS has an acceptable risk profile. </w:t>
      </w:r>
      <w:r w:rsidRPr="001531DC">
        <w:rPr>
          <w:color w:val="000000"/>
          <w:szCs w:val="24"/>
        </w:rPr>
        <w:t>Complications are mild and consistent with ocular surgery.</w:t>
      </w:r>
      <w:r w:rsidRPr="001531DC">
        <w:rPr>
          <w:color w:val="000000"/>
        </w:rPr>
        <w:t xml:space="preserve"> MSAC noted that the </w:t>
      </w:r>
      <w:r w:rsidRPr="001531DC">
        <w:rPr>
          <w:color w:val="000000"/>
          <w:lang w:val="en-US"/>
        </w:rPr>
        <w:t xml:space="preserve">SC stent was withdrawn due to endothelial cell loss (ECL). The different mechanism and </w:t>
      </w:r>
      <w:r w:rsidRPr="001531DC">
        <w:rPr>
          <w:color w:val="000000"/>
          <w:szCs w:val="24"/>
          <w:lang w:val="en-US"/>
        </w:rPr>
        <w:t>location</w:t>
      </w:r>
      <w:r w:rsidRPr="001531DC">
        <w:rPr>
          <w:color w:val="000000"/>
          <w:lang w:val="en-US"/>
        </w:rPr>
        <w:t xml:space="preserve"> of TB stents theoretically eliminates the ECL risk for TB MBGS.</w:t>
      </w:r>
    </w:p>
    <w:p w14:paraId="123A4EE9" w14:textId="77777777" w:rsidR="00925793" w:rsidRPr="001531DC" w:rsidRDefault="00925793" w:rsidP="00925793">
      <w:pPr>
        <w:tabs>
          <w:tab w:val="num" w:pos="720"/>
        </w:tabs>
        <w:spacing w:after="240"/>
        <w:rPr>
          <w:color w:val="000000"/>
          <w:szCs w:val="24"/>
        </w:rPr>
      </w:pPr>
      <w:r w:rsidRPr="001531DC">
        <w:rPr>
          <w:color w:val="000000"/>
          <w:szCs w:val="24"/>
        </w:rPr>
        <w:t xml:space="preserve">MSAC noted the heterogeneity in trial inclusion criteria and outcomes of included studies, which made studies difficult to compare. However, MSAC noted that, overall, </w:t>
      </w:r>
      <w:r w:rsidRPr="001531DC">
        <w:rPr>
          <w:color w:val="000000"/>
          <w:lang w:val="en-US"/>
        </w:rPr>
        <w:t xml:space="preserve">TB MBGS appears to be effective in reducing </w:t>
      </w:r>
      <w:r w:rsidRPr="001531DC">
        <w:rPr>
          <w:color w:val="000000"/>
          <w:szCs w:val="24"/>
        </w:rPr>
        <w:t>intraocular pressure</w:t>
      </w:r>
      <w:r w:rsidRPr="001531DC">
        <w:rPr>
          <w:color w:val="000000"/>
          <w:lang w:val="en-US"/>
        </w:rPr>
        <w:t xml:space="preserve"> (IOP) in open-angle glaucoma. T</w:t>
      </w:r>
      <w:r w:rsidRPr="001531DC">
        <w:rPr>
          <w:color w:val="000000"/>
          <w:szCs w:val="24"/>
        </w:rPr>
        <w:t>he reduction in intraocular pressure</w:t>
      </w:r>
      <w:r w:rsidRPr="001531DC">
        <w:rPr>
          <w:color w:val="000000"/>
          <w:lang w:val="en-US"/>
        </w:rPr>
        <w:t xml:space="preserve"> (IOP) achieved by TB MBGS (5–8 mmHg) is equivalent to that achieved by about 1 drop per day, and &gt;90% of patients had IOP control at 6–12 months. </w:t>
      </w:r>
      <w:r w:rsidRPr="001531DC">
        <w:rPr>
          <w:color w:val="000000"/>
          <w:szCs w:val="24"/>
        </w:rPr>
        <w:t xml:space="preserve">MSAC noted new evidence in the resubmission with longer-term follow-up (Fechtner, 2019) suggesting that </w:t>
      </w:r>
      <w:r w:rsidRPr="001531DC">
        <w:rPr>
          <w:color w:val="000000"/>
          <w:lang w:val="en-US"/>
        </w:rPr>
        <w:t>TB MBGS</w:t>
      </w:r>
      <w:r w:rsidRPr="001531DC">
        <w:rPr>
          <w:color w:val="000000"/>
          <w:szCs w:val="24"/>
        </w:rPr>
        <w:t xml:space="preserve"> is effective for at least 4–5 years. </w:t>
      </w:r>
      <w:r w:rsidRPr="001531DC">
        <w:rPr>
          <w:color w:val="000000"/>
        </w:rPr>
        <w:t>MSAC also noted that reduction in IOP, although less than the reduction achieved by trabeculectomy, would reduce the need for ocular hypotensive medicine.</w:t>
      </w:r>
    </w:p>
    <w:p w14:paraId="61F1EB34" w14:textId="77777777" w:rsidR="00925793" w:rsidRPr="001531DC" w:rsidRDefault="00925793" w:rsidP="00925793">
      <w:pPr>
        <w:tabs>
          <w:tab w:val="num" w:pos="720"/>
        </w:tabs>
        <w:spacing w:after="240"/>
        <w:rPr>
          <w:color w:val="000000"/>
          <w:szCs w:val="24"/>
        </w:rPr>
      </w:pPr>
      <w:r w:rsidRPr="001531DC">
        <w:rPr>
          <w:color w:val="000000"/>
          <w:lang w:val="en-US"/>
        </w:rPr>
        <w:t xml:space="preserve">MSAC noted that there is uncertainty regarding MBGS efficacy in preventing the need for trabeculectomy. In studies included in the resubmission, &gt;80% of patients did not require incisional surgery. </w:t>
      </w:r>
      <w:r w:rsidRPr="001531DC">
        <w:rPr>
          <w:color w:val="000000"/>
          <w:szCs w:val="24"/>
        </w:rPr>
        <w:t>MSAC considered that TB MBGS m</w:t>
      </w:r>
      <w:r w:rsidRPr="001531DC">
        <w:rPr>
          <w:color w:val="000000"/>
        </w:rPr>
        <w:t xml:space="preserve">ay delay or avoid the need for trabeculectomy in some patients whose IOP is not adequately controlled with drops. </w:t>
      </w:r>
    </w:p>
    <w:p w14:paraId="18D90A53" w14:textId="77777777" w:rsidR="00925793" w:rsidRPr="001531DC" w:rsidRDefault="00925793" w:rsidP="00925793">
      <w:pPr>
        <w:spacing w:after="240"/>
        <w:rPr>
          <w:color w:val="000000"/>
          <w:szCs w:val="24"/>
        </w:rPr>
      </w:pPr>
      <w:r w:rsidRPr="001531DC">
        <w:rPr>
          <w:color w:val="000000"/>
          <w:szCs w:val="24"/>
        </w:rPr>
        <w:t xml:space="preserve">MSAC noted that the stakeholder meeting clarified that a cost-minimisation analysis (as provided in the original submission) was appropriate. At its November 2018 meeting, MSAC had requested a cost-utility analysis considering the perceived inferior efficacy of TB MBGS compared with trabeculectomy. However, MSAC noted that the cost-minimisation analysis was updated in the resubmission to address concerns raised by MSAC. The revised analysis </w:t>
      </w:r>
      <w:r w:rsidRPr="001531DC">
        <w:rPr>
          <w:color w:val="000000"/>
          <w:szCs w:val="24"/>
        </w:rPr>
        <w:lastRenderedPageBreak/>
        <w:t xml:space="preserve">assumes that all patients with an unsuccessful MBGS procedure will go on to receive trabeculectomy and that all trabeculectomies are successful. </w:t>
      </w:r>
    </w:p>
    <w:p w14:paraId="596DE339" w14:textId="77777777" w:rsidR="00925793" w:rsidRPr="001531DC" w:rsidRDefault="00925793" w:rsidP="00A345B5">
      <w:pPr>
        <w:keepNext/>
        <w:spacing w:before="120" w:after="120"/>
        <w:rPr>
          <w:color w:val="000000"/>
        </w:rPr>
      </w:pPr>
      <w:r w:rsidRPr="001531DC">
        <w:rPr>
          <w:color w:val="000000"/>
        </w:rPr>
        <w:t>MSAC noted that the main inputs in the economic evaluation are the:</w:t>
      </w:r>
    </w:p>
    <w:p w14:paraId="67B2F013" w14:textId="77777777" w:rsidR="00925793" w:rsidRPr="00925793" w:rsidRDefault="00925793" w:rsidP="00A345B5">
      <w:pPr>
        <w:pStyle w:val="ListParagraph"/>
        <w:numPr>
          <w:ilvl w:val="0"/>
          <w:numId w:val="46"/>
        </w:numPr>
        <w:tabs>
          <w:tab w:val="num" w:pos="360"/>
        </w:tabs>
        <w:spacing w:before="120" w:after="120"/>
        <w:contextualSpacing w:val="0"/>
        <w:rPr>
          <w:color w:val="000000"/>
        </w:rPr>
      </w:pPr>
      <w:r w:rsidRPr="00925793">
        <w:rPr>
          <w:color w:val="000000"/>
        </w:rPr>
        <w:t>costs of the procedure (MBGS less than trabeculectomy)</w:t>
      </w:r>
    </w:p>
    <w:p w14:paraId="56B0F818" w14:textId="77777777" w:rsidR="00925793" w:rsidRPr="00925793" w:rsidRDefault="00925793" w:rsidP="00A345B5">
      <w:pPr>
        <w:pStyle w:val="ListParagraph"/>
        <w:numPr>
          <w:ilvl w:val="0"/>
          <w:numId w:val="46"/>
        </w:numPr>
        <w:tabs>
          <w:tab w:val="num" w:pos="360"/>
        </w:tabs>
        <w:spacing w:before="120" w:after="120"/>
        <w:contextualSpacing w:val="0"/>
        <w:rPr>
          <w:color w:val="000000"/>
        </w:rPr>
      </w:pPr>
      <w:r w:rsidRPr="00925793">
        <w:rPr>
          <w:color w:val="000000"/>
        </w:rPr>
        <w:t>incidence and cost of adverse events (MBGS less than trabeculectomy)</w:t>
      </w:r>
    </w:p>
    <w:p w14:paraId="5E2A9FD6" w14:textId="77777777" w:rsidR="00925793" w:rsidRPr="00925793" w:rsidRDefault="00925793" w:rsidP="00A345B5">
      <w:pPr>
        <w:pStyle w:val="ListParagraph"/>
        <w:numPr>
          <w:ilvl w:val="0"/>
          <w:numId w:val="46"/>
        </w:numPr>
        <w:tabs>
          <w:tab w:val="num" w:pos="360"/>
        </w:tabs>
        <w:spacing w:before="120" w:after="120"/>
        <w:contextualSpacing w:val="0"/>
        <w:rPr>
          <w:color w:val="000000"/>
        </w:rPr>
      </w:pPr>
      <w:r w:rsidRPr="00925793">
        <w:rPr>
          <w:color w:val="000000"/>
        </w:rPr>
        <w:t xml:space="preserve">proportion of MBGS patients requiring subsequent trabeculectomy (20% trabeculectomy rate at 4 years). </w:t>
      </w:r>
    </w:p>
    <w:p w14:paraId="2442BCE5" w14:textId="77777777" w:rsidR="00925793" w:rsidRPr="001531DC" w:rsidRDefault="00925793" w:rsidP="00925793">
      <w:pPr>
        <w:spacing w:after="240"/>
        <w:rPr>
          <w:color w:val="000000"/>
        </w:rPr>
      </w:pPr>
      <w:r w:rsidRPr="001531DC">
        <w:rPr>
          <w:color w:val="000000"/>
        </w:rPr>
        <w:t>With these inputs, the cost per patient is slightly lower (by $130) for TB MBGS than for trabeculectomy. However, MSAC noted that if the MBGS failure rate is higher than 20–25% it will no longer be cost-minimised.</w:t>
      </w:r>
    </w:p>
    <w:p w14:paraId="2F55631A" w14:textId="77777777" w:rsidR="00925793" w:rsidRPr="001531DC" w:rsidRDefault="00925793" w:rsidP="00925793">
      <w:pPr>
        <w:spacing w:after="240"/>
        <w:rPr>
          <w:color w:val="000000"/>
        </w:rPr>
      </w:pPr>
      <w:r w:rsidRPr="001531DC">
        <w:rPr>
          <w:color w:val="000000"/>
          <w:szCs w:val="24"/>
        </w:rPr>
        <w:t>MSAC</w:t>
      </w:r>
      <w:r w:rsidRPr="001531DC">
        <w:rPr>
          <w:color w:val="000000"/>
        </w:rPr>
        <w:t xml:space="preserve"> noted possible minor cost offsets if TB MBGS replaces trabeculectomy. For example, MBGS requires only 2 follow-up visits whereas trabeculectomy requires 10. MSAC considered the reduction in use of drops could produce a further possible cost offset, but this was not costed. </w:t>
      </w:r>
    </w:p>
    <w:p w14:paraId="79C7A1FA" w14:textId="77777777" w:rsidR="00925793" w:rsidRPr="001531DC" w:rsidRDefault="00925793" w:rsidP="00925793">
      <w:pPr>
        <w:spacing w:after="240"/>
        <w:rPr>
          <w:color w:val="000000"/>
        </w:rPr>
      </w:pPr>
      <w:r w:rsidRPr="001531DC">
        <w:rPr>
          <w:color w:val="000000"/>
          <w:szCs w:val="24"/>
        </w:rPr>
        <w:t>MSAC noted that the impact on the MBS would be relatively small, with an estimated saving to the MBS of around $500,000 per year by year 5 (assuming 25% uptake in year 1 rising to 40% in year 5). MSAC noted, however, that the true financial impact will depend on the efficacy of TB MBGS in reducing trabeculectomies, which is uncertain. MSAC considered i</w:t>
      </w:r>
      <w:r w:rsidRPr="001531DC">
        <w:rPr>
          <w:color w:val="000000"/>
        </w:rPr>
        <w:t>t possible that MBGS is not indicated where trabeculectomy is indicated. If the cost of TB MBGS cannot be offset by reductions in trabeculectomies, the total budget impact could be high (&gt;$3.7 million if there is no reduction in trabeculectomies).</w:t>
      </w:r>
    </w:p>
    <w:p w14:paraId="7A9DE33C" w14:textId="77777777" w:rsidR="00925793" w:rsidRPr="001531DC" w:rsidRDefault="00925793" w:rsidP="00925793">
      <w:pPr>
        <w:spacing w:after="240"/>
        <w:rPr>
          <w:color w:val="000000"/>
          <w:szCs w:val="24"/>
        </w:rPr>
      </w:pPr>
      <w:bookmarkStart w:id="3" w:name="_Hlk22042567"/>
      <w:r w:rsidRPr="001531DC">
        <w:rPr>
          <w:color w:val="000000"/>
          <w:szCs w:val="24"/>
        </w:rPr>
        <w:t>MSAC therefore considered that establishing a registry to record TB MBGS outcomes would be important to monitor use of TB MBGS and rates of trabeculectomy over time. MSAC suggested that these data and use of the new item number should be reviewed after 2 years.</w:t>
      </w:r>
    </w:p>
    <w:bookmarkEnd w:id="3"/>
    <w:p w14:paraId="162378E6" w14:textId="77777777" w:rsidR="00925793" w:rsidRPr="001531DC" w:rsidRDefault="00925793" w:rsidP="00925793">
      <w:pPr>
        <w:spacing w:after="240"/>
        <w:rPr>
          <w:color w:val="000000"/>
          <w:szCs w:val="24"/>
        </w:rPr>
      </w:pPr>
      <w:r w:rsidRPr="001531DC">
        <w:rPr>
          <w:color w:val="000000"/>
          <w:szCs w:val="24"/>
        </w:rPr>
        <w:t>MSAC noted that the Conjoint Committee would ensure equity of access by providing outreach clinics and making sure patients are referred to appropriate specialists when necessary.</w:t>
      </w:r>
    </w:p>
    <w:p w14:paraId="16B04F45" w14:textId="504302D6" w:rsidR="00925793" w:rsidRDefault="00925793" w:rsidP="00925793">
      <w:pPr>
        <w:pStyle w:val="Heading1"/>
      </w:pPr>
      <w:r w:rsidRPr="00F715D1">
        <w:t>MSAC’s advice to the Minister</w:t>
      </w:r>
      <w:r>
        <w:t xml:space="preserve"> – November 2018 consideration</w:t>
      </w:r>
    </w:p>
    <w:p w14:paraId="1378C02C" w14:textId="77777777" w:rsidR="00925793" w:rsidRPr="005C001B" w:rsidRDefault="00925793" w:rsidP="00925793">
      <w:r w:rsidRPr="005C001B">
        <w:t xml:space="preserve">After considering the strength of the available evidence in relation to comparative safety, clinical effectiveness and cost effectiveness, </w:t>
      </w:r>
      <w:r w:rsidRPr="00C577A8">
        <w:t xml:space="preserve">MSAC did not support public funding for </w:t>
      </w:r>
      <w:r>
        <w:t>micro-bypass glaucoma surgery (</w:t>
      </w:r>
      <w:r w:rsidRPr="00C577A8">
        <w:t>MBGS</w:t>
      </w:r>
      <w:r>
        <w:t>)</w:t>
      </w:r>
      <w:r w:rsidRPr="00C577A8">
        <w:t xml:space="preserve"> device implantation as a standalone procedure in patients with </w:t>
      </w:r>
      <w:r>
        <w:t>open angle glaucoma (</w:t>
      </w:r>
      <w:r w:rsidRPr="00C577A8">
        <w:t>OAG</w:t>
      </w:r>
      <w:r>
        <w:t>)</w:t>
      </w:r>
      <w:r w:rsidRPr="00C577A8">
        <w:t>. MSAC considered that patient population and eligibility criteria were poorly defined with uncertain comparative safety, clinical effectiveness and cost-effectiveness.</w:t>
      </w:r>
    </w:p>
    <w:p w14:paraId="025F4488" w14:textId="2B81A275" w:rsidR="00925793" w:rsidRDefault="00925793" w:rsidP="00A345B5">
      <w:pPr>
        <w:pStyle w:val="Heading1"/>
        <w:keepNext w:val="0"/>
        <w:keepLines w:val="0"/>
        <w:numPr>
          <w:ilvl w:val="0"/>
          <w:numId w:val="0"/>
        </w:numPr>
        <w:ind w:left="720" w:hanging="720"/>
      </w:pPr>
      <w:r w:rsidRPr="00F715D1">
        <w:t>Summary of consideration and rationale for MSAC’s advice</w:t>
      </w:r>
      <w:r>
        <w:t xml:space="preserve"> – November 2018</w:t>
      </w:r>
    </w:p>
    <w:p w14:paraId="7626668B" w14:textId="021DED76" w:rsidR="00142C14" w:rsidRPr="001833F6" w:rsidRDefault="00142C14" w:rsidP="001833F6">
      <w:pPr>
        <w:spacing w:after="240"/>
      </w:pPr>
      <w:r w:rsidRPr="001833F6">
        <w:t xml:space="preserve">MSAC noted that Application 1541 is a submission for reconsideration of a previously unsuccessful component of Applications 1483 and 1496 for micro-invasive glaucoma surgery (MIGS). MSAC recalled that, in November 2017, it had recommended trabecular MIGS (TB MIGS) and suprachoroidal MIGS (SC MIGS) performed in conjunction with cataract surgery. However, it had not supported MIGS as a standalone procedure due to insufficient evidence of effectiveness and because the population who would be eligible for the service could not be adequately defined. The MSAC Executive had determined that a resubmission </w:t>
      </w:r>
      <w:r w:rsidRPr="001833F6">
        <w:lastRenderedPageBreak/>
        <w:t>for the standalone procedure could be considered in a fit-for-purpose pathway and the PICO did not need to be assessed by PASC.</w:t>
      </w:r>
    </w:p>
    <w:p w14:paraId="3A38DDE7" w14:textId="77777777" w:rsidR="00142C14" w:rsidRDefault="00142C14" w:rsidP="00142C14">
      <w:pPr>
        <w:spacing w:after="240"/>
      </w:pPr>
      <w:r>
        <w:t>MSAC noted that the application included poorly defined eligibility criteria and patient population, with the potential for leakage.</w:t>
      </w:r>
    </w:p>
    <w:p w14:paraId="678A8CCC" w14:textId="1C8CC1B3" w:rsidR="00BB2D14" w:rsidRDefault="00BB2D14" w:rsidP="00BB2D14">
      <w:pPr>
        <w:spacing w:after="240"/>
      </w:pPr>
      <w:r>
        <w:t>MSAC expressed concern about the application’s claim that MBGS was potentially inferior to trabeculectomy in ter</w:t>
      </w:r>
      <w:r w:rsidR="0019152F">
        <w:t>ms of comparative effectiveness</w:t>
      </w:r>
      <w:r>
        <w:t>, but superior in terms of comparative safety. ​MSAC considered that both claims were highly uncertain.</w:t>
      </w:r>
    </w:p>
    <w:p w14:paraId="494860E6" w14:textId="77777777" w:rsidR="00BB2D14" w:rsidRDefault="00BB2D14" w:rsidP="00BB2D14">
      <w:pPr>
        <w:spacing w:after="240"/>
      </w:pPr>
      <w:r>
        <w:t xml:space="preserve">MSAC had several concerns about the economic evaluation and costs. The application put forward a cost analysis, which is </w:t>
      </w:r>
      <w:r w:rsidRPr="00C323E0">
        <w:t>inappropriate for the clinical claim of inferior effectiveness and superior safety</w:t>
      </w:r>
      <w:r>
        <w:t>. A</w:t>
      </w:r>
      <w:r w:rsidRPr="00C323E0">
        <w:t xml:space="preserve"> cost-utility analysis would </w:t>
      </w:r>
      <w:r>
        <w:t xml:space="preserve">have </w:t>
      </w:r>
      <w:r w:rsidRPr="00C323E0">
        <w:t>better inform</w:t>
      </w:r>
      <w:r>
        <w:t>ed</w:t>
      </w:r>
      <w:r w:rsidRPr="00C323E0">
        <w:t xml:space="preserve"> MSAC decision-making. </w:t>
      </w:r>
    </w:p>
    <w:p w14:paraId="1CD2194A" w14:textId="3B47E6CE" w:rsidR="00142C14" w:rsidRPr="000074B5" w:rsidRDefault="00142C14" w:rsidP="00142C14">
      <w:pPr>
        <w:spacing w:after="240"/>
        <w:rPr>
          <w:strike/>
        </w:rPr>
      </w:pPr>
      <w:r>
        <w:t xml:space="preserve">MSAC was also concerned about recent safety issues. In August 2018, Alcon recommended an </w:t>
      </w:r>
      <w:r w:rsidRPr="005E55FD">
        <w:t xml:space="preserve">immediate, voluntary market withdrawal of </w:t>
      </w:r>
      <w:r>
        <w:t>its product</w:t>
      </w:r>
      <w:r w:rsidRPr="005E55FD">
        <w:t xml:space="preserve"> SC MBGS CyPass Micro-Stent from the global market, advising surgeons to immediately cease further implantation of the stent and to return any unused devices to Alcon</w:t>
      </w:r>
      <w:r>
        <w:t xml:space="preserve">. </w:t>
      </w:r>
      <w:r w:rsidR="0080477D" w:rsidRPr="0080477D">
        <w:rPr>
          <w:b/>
        </w:rPr>
        <w:t>Redacted</w:t>
      </w:r>
      <w:r w:rsidRPr="00F66D01">
        <w:t xml:space="preserve">. </w:t>
      </w:r>
    </w:p>
    <w:p w14:paraId="4320DE03" w14:textId="07C3B069" w:rsidR="00142C14" w:rsidRDefault="00142C14" w:rsidP="00142C14">
      <w:pPr>
        <w:spacing w:after="240"/>
      </w:pPr>
      <w:r>
        <w:t xml:space="preserve">MSAC noted that </w:t>
      </w:r>
      <w:r w:rsidR="00BB2D14">
        <w:t xml:space="preserve">some </w:t>
      </w:r>
      <w:r>
        <w:t xml:space="preserve">of the clinical evidence from the initial submission was from </w:t>
      </w:r>
      <w:r w:rsidRPr="005E55FD">
        <w:t>SC M</w:t>
      </w:r>
      <w:r>
        <w:t>B</w:t>
      </w:r>
      <w:r w:rsidRPr="005E55FD">
        <w:t>GS</w:t>
      </w:r>
      <w:r>
        <w:t xml:space="preserve"> (CyPass) as opposed to </w:t>
      </w:r>
      <w:r w:rsidRPr="005E55FD">
        <w:t>TB M</w:t>
      </w:r>
      <w:r>
        <w:t>B</w:t>
      </w:r>
      <w:r w:rsidRPr="005E55FD">
        <w:t>GS</w:t>
      </w:r>
      <w:r>
        <w:t xml:space="preserve"> (iStent). The previous application separated these two products, but the current submission groups them together as MBGS. </w:t>
      </w:r>
      <w:r w:rsidR="005045DF">
        <w:t>Hence,</w:t>
      </w:r>
      <w:r w:rsidR="00B9661C">
        <w:t xml:space="preserve"> </w:t>
      </w:r>
      <w:r>
        <w:t>MSAC was concerned that it could not rely on the evidence presented, due to the safety concerns regarding CyPass. MSAC also noted that there were no high-quality randomised controlled trials on which to base decision-making for MBGS.</w:t>
      </w:r>
    </w:p>
    <w:p w14:paraId="1C38E756" w14:textId="78E6F436" w:rsidR="00BB2D14" w:rsidRPr="00F66D01" w:rsidRDefault="00BB2D14" w:rsidP="00142C14">
      <w:pPr>
        <w:spacing w:after="240"/>
      </w:pPr>
      <w:r w:rsidRPr="00F66D01">
        <w:t>MSAC evaluated evidence for clinical effectiveness, cost-effectiveness and safety of MB</w:t>
      </w:r>
      <w:r w:rsidR="004239F3">
        <w:t>G</w:t>
      </w:r>
      <w:r w:rsidRPr="00F66D01">
        <w:t>S within the parameters defined in the agreed PICO confirmation. During consideration, MSAC also discussed if the comparator presented – trabeculectomy (incision therapy) – was appropriate, and if continued topical medical therapy (eye drops) might be an appropriate comparator. The clinical effectiveness of topical medical therapy, and of incisional surgery compared with topical medical therapy, are unknown. MSAC noted a trial comparing the effectiveness of incisional surgery with topical medical drop therapy is currently recruiting until 2020, with results not expected for several years.</w:t>
      </w:r>
    </w:p>
    <w:p w14:paraId="5EF1E06C" w14:textId="4A195C74" w:rsidR="00142C14" w:rsidRPr="00D97F6C" w:rsidRDefault="00142C14" w:rsidP="00142C14">
      <w:pPr>
        <w:spacing w:after="240"/>
        <w:rPr>
          <w:color w:val="FF0000"/>
        </w:rPr>
      </w:pPr>
      <w:r>
        <w:t xml:space="preserve">MSAC considered that intraocular pressure (IOP) as an endpoint </w:t>
      </w:r>
      <w:r w:rsidR="00F000AB">
        <w:t xml:space="preserve">may not be </w:t>
      </w:r>
      <w:r>
        <w:t>appropriate, as IO</w:t>
      </w:r>
      <w:r w:rsidR="00B32061">
        <w:t>P</w:t>
      </w:r>
      <w:r>
        <w:t xml:space="preserve"> is a surrogate endpoint to </w:t>
      </w:r>
      <w:r w:rsidRPr="00C323E0">
        <w:t xml:space="preserve">predict clinically relevant outcomes </w:t>
      </w:r>
      <w:r>
        <w:t>such as</w:t>
      </w:r>
      <w:r w:rsidRPr="00C323E0">
        <w:t xml:space="preserve"> vision loss and </w:t>
      </w:r>
      <w:r>
        <w:t xml:space="preserve">quality of life (QoL). Elevated IOP is </w:t>
      </w:r>
      <w:r w:rsidRPr="00C323E0">
        <w:t xml:space="preserve">a risk factor for the development and progression of glaucoma, and predictive of future </w:t>
      </w:r>
      <w:r w:rsidRPr="00D97F6C">
        <w:rPr>
          <w:color w:val="000000" w:themeColor="text1"/>
        </w:rPr>
        <w:t xml:space="preserve">visual field loss, but </w:t>
      </w:r>
      <w:r>
        <w:rPr>
          <w:color w:val="000000" w:themeColor="text1"/>
        </w:rPr>
        <w:t xml:space="preserve">is </w:t>
      </w:r>
      <w:r w:rsidRPr="00D97F6C">
        <w:rPr>
          <w:color w:val="000000" w:themeColor="text1"/>
        </w:rPr>
        <w:t>not the only risk factor and predictor.</w:t>
      </w:r>
    </w:p>
    <w:p w14:paraId="6A39882A" w14:textId="75366135" w:rsidR="00142C14" w:rsidRDefault="00142C14" w:rsidP="00142C14">
      <w:pPr>
        <w:spacing w:after="240"/>
      </w:pPr>
      <w:r>
        <w:t>The Department suggested a cost of $300 per implantation; the application states $700 per implantation. In addition, patients may require hypotensive medicines following MBGS implantation. This affect</w:t>
      </w:r>
      <w:r w:rsidR="005045DF">
        <w:t>s</w:t>
      </w:r>
      <w:r>
        <w:t xml:space="preserve"> the economic evaluation and create</w:t>
      </w:r>
      <w:r w:rsidR="004E5BEE">
        <w:t>s</w:t>
      </w:r>
      <w:r>
        <w:t xml:space="preserve"> uncertainties in ongoing costs and financial impact. MSAC also considered that there </w:t>
      </w:r>
      <w:r w:rsidR="00182C9E">
        <w:t>is</w:t>
      </w:r>
      <w:r>
        <w:t xml:space="preserve"> no data regarding failure rates of MBGS devices,</w:t>
      </w:r>
      <w:r w:rsidR="00BB2D14">
        <w:t xml:space="preserve"> </w:t>
      </w:r>
      <w:r w:rsidR="005045DF">
        <w:t xml:space="preserve">and the need or not for replacement. </w:t>
      </w:r>
    </w:p>
    <w:p w14:paraId="3C29A73C" w14:textId="2FD6FB53" w:rsidR="00142C14" w:rsidRDefault="00142C14" w:rsidP="00142C14">
      <w:pPr>
        <w:spacing w:after="240"/>
      </w:pPr>
      <w:r>
        <w:t xml:space="preserve">MSAC acknowledged the varied support from the ophthalmology community for MBGS, and that consumer organisation claims of unparalleled safety and advanced technology </w:t>
      </w:r>
      <w:r w:rsidR="00182C9E">
        <w:t xml:space="preserve">however, they </w:t>
      </w:r>
      <w:r>
        <w:t>are not supported by clinical trial data.</w:t>
      </w:r>
    </w:p>
    <w:p w14:paraId="130F2387" w14:textId="653FA463" w:rsidR="009E0815" w:rsidRDefault="009E0815" w:rsidP="00142C14">
      <w:pPr>
        <w:spacing w:after="240"/>
      </w:pPr>
      <w:r>
        <w:lastRenderedPageBreak/>
        <w:t>MSAC concluded that MBGS may offer a very small potential cost saving</w:t>
      </w:r>
      <w:r w:rsidR="00ED5B19">
        <w:t xml:space="preserve"> </w:t>
      </w:r>
      <w:r w:rsidR="00655756">
        <w:t xml:space="preserve">for </w:t>
      </w:r>
      <w:r w:rsidR="000A5E3C">
        <w:t>the health system</w:t>
      </w:r>
      <w:r w:rsidR="00655756">
        <w:t xml:space="preserve"> </w:t>
      </w:r>
      <w:r>
        <w:t>compar</w:t>
      </w:r>
      <w:r w:rsidR="00F66D01">
        <w:t>e</w:t>
      </w:r>
      <w:r>
        <w:t xml:space="preserve">d </w:t>
      </w:r>
      <w:r w:rsidR="00F66D01">
        <w:t xml:space="preserve">with </w:t>
      </w:r>
      <w:r w:rsidR="00F66D01" w:rsidRPr="00F66D01">
        <w:t>trabeculectomy</w:t>
      </w:r>
      <w:r>
        <w:t>, but these savings are sensitive to several uncertainties, including the number of follow-up visits, adverse events and the possibility of device failure or dislodgement. MSAC also acknowledged the concern about long-term safety for at least one device and recommend</w:t>
      </w:r>
      <w:r w:rsidR="00616CD3">
        <w:t>ed</w:t>
      </w:r>
      <w:r>
        <w:t xml:space="preserve"> that advice be sought from TGA about the implications for other devices</w:t>
      </w:r>
      <w:r w:rsidRPr="006655F9">
        <w:t xml:space="preserve">. </w:t>
      </w:r>
      <w:r w:rsidR="00303BC7" w:rsidRPr="00303BC7">
        <w:t>MSAC suggested that the applicant and other stakeholders with an interest in the outcomes of the Public Summary Document (PSD) may require a meeting to discuss the reasons leading to the decision not to recommend the service for public funding</w:t>
      </w:r>
      <w:r w:rsidR="00303BC7">
        <w:t>.</w:t>
      </w:r>
    </w:p>
    <w:p w14:paraId="4708CCDC" w14:textId="65EBD486" w:rsidR="00BC1364" w:rsidRPr="00F715D1" w:rsidRDefault="009E0815" w:rsidP="009E0815">
      <w:pPr>
        <w:pStyle w:val="Heading1"/>
      </w:pPr>
      <w:r w:rsidRPr="00F715D1">
        <w:t>Background</w:t>
      </w:r>
      <w:r>
        <w:t xml:space="preserve"> </w:t>
      </w:r>
    </w:p>
    <w:p w14:paraId="405643A4" w14:textId="2103EABC" w:rsidR="00005445" w:rsidRDefault="002159F8" w:rsidP="0019152F">
      <w:pPr>
        <w:spacing w:after="240"/>
      </w:pPr>
      <w:r>
        <w:t>In November 2017, the MSAC recomme</w:t>
      </w:r>
      <w:r w:rsidR="00142C14">
        <w:t xml:space="preserve">nded the listing of </w:t>
      </w:r>
      <w:r>
        <w:t>TB MIGS and SC MIGS on the MBS (MSAC Applications 1483 and 1496, respectively) for pat</w:t>
      </w:r>
      <w:r w:rsidR="008A11FE">
        <w:t>ients with OAG</w:t>
      </w:r>
      <w:r>
        <w:t xml:space="preserve"> undergoing concomitant cataract surgery. Whilst the applications were under consideration, MIGS services performed in conjunction with cataract surgery were allocated an interim item number (MBS item 42705); this has since </w:t>
      </w:r>
      <w:r w:rsidR="00303BC7">
        <w:t>become an</w:t>
      </w:r>
      <w:r w:rsidR="0040632E">
        <w:t xml:space="preserve"> ongoing MBS</w:t>
      </w:r>
      <w:r>
        <w:t xml:space="preserve"> listing taking effect on 1</w:t>
      </w:r>
      <w:r w:rsidR="001D1929">
        <w:t> </w:t>
      </w:r>
      <w:r>
        <w:t xml:space="preserve">November 2018. There is no </w:t>
      </w:r>
      <w:r w:rsidR="0040632E">
        <w:t>MBS item</w:t>
      </w:r>
      <w:r w:rsidR="009E0815">
        <w:t xml:space="preserve"> </w:t>
      </w:r>
      <w:r>
        <w:t>for MIGS not performed in con</w:t>
      </w:r>
      <w:r w:rsidR="00005445">
        <w:t>junction with cataract surgery.</w:t>
      </w:r>
    </w:p>
    <w:p w14:paraId="486DC817" w14:textId="77777777" w:rsidR="00EB6217" w:rsidRDefault="002159F8" w:rsidP="002159F8">
      <w:r>
        <w:t xml:space="preserve">MSAC did not support </w:t>
      </w:r>
      <w:r w:rsidR="00142C14">
        <w:t xml:space="preserve">TB MIGS and SC MIGS as a standalone procedure </w:t>
      </w:r>
      <w:r>
        <w:t>due to insufficient evidence of effectiveness and because the population who would be eligible for the service co</w:t>
      </w:r>
      <w:r w:rsidR="00142C14">
        <w:t>uld not be adequately defined.</w:t>
      </w:r>
    </w:p>
    <w:p w14:paraId="36A1E835" w14:textId="77777777" w:rsidR="00BC1364" w:rsidRPr="00F715D1" w:rsidRDefault="00BC1364" w:rsidP="00F715D1">
      <w:pPr>
        <w:pStyle w:val="Heading1"/>
      </w:pPr>
      <w:r w:rsidRPr="00F715D1">
        <w:t>Prerequisites to implementation of any funding advice</w:t>
      </w:r>
    </w:p>
    <w:p w14:paraId="6DD4A6DF" w14:textId="77777777" w:rsidR="00B1593A" w:rsidRPr="006F0C7D" w:rsidRDefault="00B1593A" w:rsidP="00A345B5">
      <w:pPr>
        <w:pStyle w:val="Heading2"/>
        <w:spacing w:before="120" w:after="120"/>
        <w:rPr>
          <w:b/>
        </w:rPr>
      </w:pPr>
      <w:r w:rsidRPr="006F0C7D">
        <w:rPr>
          <w:b/>
        </w:rPr>
        <w:t>August 2019 MSAC consideration</w:t>
      </w:r>
    </w:p>
    <w:p w14:paraId="13B71BA8" w14:textId="22DB470C" w:rsidR="00B1593A" w:rsidRDefault="00B1593A" w:rsidP="00BB3AD6">
      <w:pPr>
        <w:spacing w:after="240"/>
        <w:rPr>
          <w:iCs/>
        </w:rPr>
      </w:pPr>
      <w:r w:rsidRPr="00B1593A">
        <w:rPr>
          <w:iCs/>
        </w:rPr>
        <w:t>Two of the three devices dependent on the proposed MBS service are currently listed</w:t>
      </w:r>
      <w:r>
        <w:rPr>
          <w:iCs/>
        </w:rPr>
        <w:t xml:space="preserve"> on the Prostheses List (Table </w:t>
      </w:r>
      <w:r w:rsidR="001D1929">
        <w:rPr>
          <w:iCs/>
        </w:rPr>
        <w:t>1</w:t>
      </w:r>
      <w:r w:rsidRPr="00B1593A">
        <w:rPr>
          <w:iCs/>
        </w:rPr>
        <w:t>), with costs updated to reflect the current listings as of June 2019. The iStent trabecular bypass stent has been largely superseded by the second generation iStent inject system in clinical practice and is therefore no longer listed on the Prosthesis List.</w:t>
      </w:r>
    </w:p>
    <w:p w14:paraId="5DE5CB41" w14:textId="7705EF53" w:rsidR="00B1593A" w:rsidRDefault="00B1593A" w:rsidP="00A345B5">
      <w:pPr>
        <w:pStyle w:val="Caption"/>
        <w:spacing w:after="0"/>
      </w:pPr>
      <w:r>
        <w:t xml:space="preserve">Table </w:t>
      </w:r>
      <w:r w:rsidR="001D1929">
        <w:t>1</w:t>
      </w:r>
      <w:r>
        <w:tab/>
        <w:t>Prostheses listing for devices relevant to the proposed MBS service</w:t>
      </w:r>
    </w:p>
    <w:tbl>
      <w:tblPr>
        <w:tblStyle w:val="TableGrid2"/>
        <w:tblW w:w="5000" w:type="pct"/>
        <w:tblLook w:val="04A0" w:firstRow="1" w:lastRow="0" w:firstColumn="1" w:lastColumn="0" w:noHBand="0" w:noVBand="1"/>
        <w:tblDescription w:val="Prostheses listing for devices relevant to the proposed MBS service"/>
      </w:tblPr>
      <w:tblGrid>
        <w:gridCol w:w="2971"/>
        <w:gridCol w:w="1275"/>
        <w:gridCol w:w="3118"/>
        <w:gridCol w:w="1652"/>
      </w:tblGrid>
      <w:tr w:rsidR="00B1593A" w14:paraId="6C64C8BA" w14:textId="77777777" w:rsidTr="00B1593A">
        <w:trPr>
          <w:cnfStyle w:val="100000000000" w:firstRow="1" w:lastRow="0" w:firstColumn="0" w:lastColumn="0" w:oddVBand="0" w:evenVBand="0" w:oddHBand="0" w:evenHBand="0" w:firstRowFirstColumn="0" w:firstRowLastColumn="0" w:lastRowFirstColumn="0" w:lastRowLastColumn="0"/>
          <w:tblHeader/>
        </w:trPr>
        <w:tc>
          <w:tcPr>
            <w:tcW w:w="1648" w:type="pct"/>
          </w:tcPr>
          <w:p w14:paraId="53B35ED8" w14:textId="77777777" w:rsidR="00B1593A" w:rsidRDefault="00B1593A" w:rsidP="00B1593A">
            <w:pPr>
              <w:pStyle w:val="TableHeading"/>
              <w:ind w:left="29"/>
            </w:pPr>
            <w:r>
              <w:t>Product group/sub-group</w:t>
            </w:r>
          </w:p>
        </w:tc>
        <w:tc>
          <w:tcPr>
            <w:tcW w:w="707" w:type="pct"/>
          </w:tcPr>
          <w:p w14:paraId="234A6354" w14:textId="77777777" w:rsidR="00B1593A" w:rsidRPr="00252925" w:rsidRDefault="00B1593A" w:rsidP="00B1593A">
            <w:pPr>
              <w:pStyle w:val="TableHeading"/>
            </w:pPr>
            <w:r>
              <w:t>Billing code</w:t>
            </w:r>
          </w:p>
        </w:tc>
        <w:tc>
          <w:tcPr>
            <w:tcW w:w="1729" w:type="pct"/>
          </w:tcPr>
          <w:p w14:paraId="77D165B4" w14:textId="77777777" w:rsidR="00B1593A" w:rsidRDefault="00B1593A" w:rsidP="00B1593A">
            <w:pPr>
              <w:pStyle w:val="TableHeading"/>
            </w:pPr>
            <w:r>
              <w:t>Product name</w:t>
            </w:r>
          </w:p>
        </w:tc>
        <w:tc>
          <w:tcPr>
            <w:tcW w:w="916" w:type="pct"/>
          </w:tcPr>
          <w:p w14:paraId="3737A294" w14:textId="77777777" w:rsidR="00B1593A" w:rsidRDefault="00B1593A" w:rsidP="00B1593A">
            <w:pPr>
              <w:pStyle w:val="TableHeading"/>
            </w:pPr>
            <w:r>
              <w:t>Minimum benefit</w:t>
            </w:r>
          </w:p>
        </w:tc>
      </w:tr>
      <w:tr w:rsidR="00B1593A" w14:paraId="0F08EADD" w14:textId="77777777" w:rsidTr="00B1593A">
        <w:tc>
          <w:tcPr>
            <w:tcW w:w="1648" w:type="pct"/>
          </w:tcPr>
          <w:p w14:paraId="717573EA" w14:textId="77777777" w:rsidR="00B1593A" w:rsidRDefault="00B1593A" w:rsidP="00B1593A">
            <w:pPr>
              <w:pStyle w:val="Tabletext"/>
              <w:ind w:left="29"/>
            </w:pPr>
            <w:r>
              <w:t>01.05.03.01 – Ab interno glaucoma drainage device at Schlemm’s canal</w:t>
            </w:r>
          </w:p>
        </w:tc>
        <w:tc>
          <w:tcPr>
            <w:tcW w:w="707" w:type="pct"/>
          </w:tcPr>
          <w:p w14:paraId="41ECCB06" w14:textId="77777777" w:rsidR="00B1593A" w:rsidRDefault="00B1593A" w:rsidP="00B1593A">
            <w:pPr>
              <w:pStyle w:val="Tabletext"/>
            </w:pPr>
            <w:r>
              <w:t>RQ075</w:t>
            </w:r>
          </w:p>
        </w:tc>
        <w:tc>
          <w:tcPr>
            <w:tcW w:w="1729" w:type="pct"/>
          </w:tcPr>
          <w:p w14:paraId="34357820" w14:textId="77777777" w:rsidR="00B1593A" w:rsidRDefault="00B1593A" w:rsidP="00B1593A">
            <w:pPr>
              <w:pStyle w:val="Tabletext"/>
            </w:pPr>
            <w:r>
              <w:t xml:space="preserve">iStent </w:t>
            </w:r>
            <w:r w:rsidRPr="00EA1812">
              <w:t>inject s</w:t>
            </w:r>
            <w:r>
              <w:t>ystem</w:t>
            </w:r>
          </w:p>
        </w:tc>
        <w:tc>
          <w:tcPr>
            <w:tcW w:w="916" w:type="pct"/>
          </w:tcPr>
          <w:p w14:paraId="024E4064" w14:textId="77777777" w:rsidR="00B1593A" w:rsidRDefault="00B1593A" w:rsidP="00B1593A">
            <w:pPr>
              <w:pStyle w:val="Tabletext"/>
            </w:pPr>
            <w:r>
              <w:t>$1,520.00</w:t>
            </w:r>
          </w:p>
        </w:tc>
      </w:tr>
      <w:tr w:rsidR="00B1593A" w14:paraId="6EE82D23" w14:textId="77777777" w:rsidTr="00B1593A">
        <w:tc>
          <w:tcPr>
            <w:tcW w:w="1648" w:type="pct"/>
          </w:tcPr>
          <w:p w14:paraId="6426CC0B" w14:textId="77777777" w:rsidR="00B1593A" w:rsidRDefault="00B1593A" w:rsidP="00B1593A">
            <w:pPr>
              <w:pStyle w:val="Tabletext"/>
              <w:ind w:left="29"/>
            </w:pPr>
            <w:r>
              <w:t>01.05.03.01 – Ab interno glaucoma drainage device at Schlemm’s canal</w:t>
            </w:r>
          </w:p>
        </w:tc>
        <w:tc>
          <w:tcPr>
            <w:tcW w:w="707" w:type="pct"/>
          </w:tcPr>
          <w:p w14:paraId="3F6EB5D6" w14:textId="77777777" w:rsidR="00B1593A" w:rsidRDefault="00B1593A" w:rsidP="00B1593A">
            <w:pPr>
              <w:pStyle w:val="Tabletext"/>
            </w:pPr>
            <w:r>
              <w:t>OQ002</w:t>
            </w:r>
          </w:p>
        </w:tc>
        <w:tc>
          <w:tcPr>
            <w:tcW w:w="1729" w:type="pct"/>
          </w:tcPr>
          <w:p w14:paraId="1542A58A" w14:textId="77777777" w:rsidR="00B1593A" w:rsidRDefault="00B1593A" w:rsidP="00B1593A">
            <w:pPr>
              <w:pStyle w:val="Tabletext"/>
            </w:pPr>
            <w:r>
              <w:t>Hydrus Microstent</w:t>
            </w:r>
          </w:p>
        </w:tc>
        <w:tc>
          <w:tcPr>
            <w:tcW w:w="916" w:type="pct"/>
          </w:tcPr>
          <w:p w14:paraId="38D56DF5" w14:textId="77777777" w:rsidR="00B1593A" w:rsidRDefault="00B1593A" w:rsidP="00B1593A">
            <w:pPr>
              <w:pStyle w:val="Tabletext"/>
            </w:pPr>
            <w:r>
              <w:t>$1,330.00</w:t>
            </w:r>
          </w:p>
        </w:tc>
      </w:tr>
    </w:tbl>
    <w:p w14:paraId="5C188F73" w14:textId="2BA0858A" w:rsidR="00B1593A" w:rsidRDefault="00B1593A" w:rsidP="00B1593A">
      <w:pPr>
        <w:pStyle w:val="Tablenotes"/>
      </w:pPr>
      <w:r>
        <w:t xml:space="preserve">Source: </w:t>
      </w:r>
      <w:hyperlink r:id="rId9" w:history="1">
        <w:r>
          <w:rPr>
            <w:rStyle w:val="Hyperlink"/>
          </w:rPr>
          <w:t>Prosthesis List Part A http://www.health.gov.au/internet/main/publishing.nsf/content/health-privatehealth-prostheseslist.htm</w:t>
        </w:r>
      </w:hyperlink>
    </w:p>
    <w:p w14:paraId="354412CF" w14:textId="77777777" w:rsidR="00B1593A" w:rsidRDefault="00B1593A" w:rsidP="00925793">
      <w:pPr>
        <w:pStyle w:val="Tablenotes"/>
        <w:spacing w:after="240"/>
      </w:pPr>
      <w:r>
        <w:t>– accessed 5 June 2019</w:t>
      </w:r>
    </w:p>
    <w:p w14:paraId="7E8F97BD" w14:textId="4B84A2B1" w:rsidR="00B1593A" w:rsidRPr="00B1593A" w:rsidRDefault="00067E87" w:rsidP="00B1593A">
      <w:pPr>
        <w:rPr>
          <w:iCs/>
        </w:rPr>
      </w:pPr>
      <w:r>
        <w:rPr>
          <w:iCs/>
        </w:rPr>
        <w:t>Note, the resubmission excluded the Cypass SC MGBS device.</w:t>
      </w:r>
    </w:p>
    <w:p w14:paraId="73D0FF4B" w14:textId="77777777" w:rsidR="00B1593A" w:rsidRPr="006F0C7D" w:rsidRDefault="00B1593A" w:rsidP="00BB3AD6">
      <w:pPr>
        <w:pStyle w:val="Heading2"/>
        <w:spacing w:before="240" w:after="120"/>
        <w:rPr>
          <w:b/>
        </w:rPr>
      </w:pPr>
      <w:r w:rsidRPr="006F0C7D">
        <w:rPr>
          <w:b/>
        </w:rPr>
        <w:t>November 2018 MSAC consideration</w:t>
      </w:r>
    </w:p>
    <w:p w14:paraId="0B9203A1" w14:textId="6ACCAE90" w:rsidR="0093739E" w:rsidRDefault="0093739E" w:rsidP="0093739E">
      <w:r w:rsidRPr="0093739E">
        <w:t>Australian Register of Therapeutic Goods (ARTG) listings that are relevant to this application are provided in</w:t>
      </w:r>
      <w:r>
        <w:t xml:space="preserve"> </w:t>
      </w:r>
      <w:r w:rsidR="001D1929">
        <w:t>Table 2</w:t>
      </w:r>
      <w:r w:rsidRPr="0093739E">
        <w:t>.</w:t>
      </w:r>
    </w:p>
    <w:p w14:paraId="7BA1F035" w14:textId="4C22873E" w:rsidR="0093739E" w:rsidRPr="009C1455" w:rsidRDefault="0093739E" w:rsidP="00E669AD">
      <w:pPr>
        <w:pStyle w:val="Caption"/>
        <w:keepNext/>
        <w:keepLines/>
        <w:spacing w:after="0"/>
      </w:pPr>
      <w:bookmarkStart w:id="4" w:name="_Ref364240778"/>
      <w:bookmarkStart w:id="5" w:name="_Toc381969859"/>
      <w:bookmarkStart w:id="6" w:name="_Toc516244366"/>
      <w:r w:rsidRPr="009C1455">
        <w:lastRenderedPageBreak/>
        <w:t xml:space="preserve">Table </w:t>
      </w:r>
      <w:bookmarkEnd w:id="4"/>
      <w:r w:rsidR="001D1929">
        <w:rPr>
          <w:noProof/>
        </w:rPr>
        <w:t>2</w:t>
      </w:r>
      <w:r w:rsidRPr="009C1455">
        <w:tab/>
      </w:r>
      <w:r>
        <w:t xml:space="preserve">Items relevant to the proposed MBS service </w:t>
      </w:r>
      <w:r w:rsidRPr="009C1455">
        <w:t>listed on the ARTG</w:t>
      </w:r>
      <w:bookmarkEnd w:id="5"/>
      <w:bookmarkEnd w:id="6"/>
    </w:p>
    <w:tbl>
      <w:tblPr>
        <w:tblStyle w:val="TableGrid13"/>
        <w:tblW w:w="0" w:type="auto"/>
        <w:tblLook w:val="04A0" w:firstRow="1" w:lastRow="0" w:firstColumn="1" w:lastColumn="0" w:noHBand="0" w:noVBand="1"/>
        <w:tblCaption w:val="Items relevant to the proposed MBS service listed on the ARTG"/>
        <w:tblDescription w:val="Description of items relevant to the proposed MBS service listed on the ARTG"/>
      </w:tblPr>
      <w:tblGrid>
        <w:gridCol w:w="891"/>
        <w:gridCol w:w="959"/>
        <w:gridCol w:w="1134"/>
        <w:gridCol w:w="992"/>
        <w:gridCol w:w="992"/>
        <w:gridCol w:w="1137"/>
        <w:gridCol w:w="2911"/>
      </w:tblGrid>
      <w:tr w:rsidR="0093739E" w:rsidRPr="009C1455" w14:paraId="0F68A77C" w14:textId="77777777" w:rsidTr="0014441A">
        <w:trPr>
          <w:cnfStyle w:val="100000000000" w:firstRow="1" w:lastRow="0" w:firstColumn="0" w:lastColumn="0" w:oddVBand="0" w:evenVBand="0" w:oddHBand="0" w:evenHBand="0" w:firstRowFirstColumn="0" w:firstRowLastColumn="0" w:lastRowFirstColumn="0" w:lastRowLastColumn="0"/>
          <w:tblHeader/>
        </w:trPr>
        <w:tc>
          <w:tcPr>
            <w:tcW w:w="879" w:type="dxa"/>
          </w:tcPr>
          <w:p w14:paraId="0E890E5A" w14:textId="77777777" w:rsidR="0093739E" w:rsidRPr="009C1455" w:rsidRDefault="0093739E" w:rsidP="004859F6">
            <w:pPr>
              <w:pStyle w:val="TableHeading"/>
              <w:keepLines/>
            </w:pPr>
            <w:r w:rsidRPr="009C1455">
              <w:t>ARTG no.</w:t>
            </w:r>
          </w:p>
        </w:tc>
        <w:tc>
          <w:tcPr>
            <w:tcW w:w="959" w:type="dxa"/>
          </w:tcPr>
          <w:p w14:paraId="3AF85828" w14:textId="77777777" w:rsidR="0093739E" w:rsidRPr="009C1455" w:rsidRDefault="0093739E" w:rsidP="004859F6">
            <w:pPr>
              <w:pStyle w:val="TableHeading"/>
              <w:keepLines/>
            </w:pPr>
            <w:r w:rsidRPr="009C1455">
              <w:t>Product no.</w:t>
            </w:r>
          </w:p>
        </w:tc>
        <w:tc>
          <w:tcPr>
            <w:tcW w:w="1134" w:type="dxa"/>
          </w:tcPr>
          <w:p w14:paraId="645AB89E" w14:textId="77777777" w:rsidR="0093739E" w:rsidRPr="009C1455" w:rsidRDefault="0093739E" w:rsidP="004859F6">
            <w:pPr>
              <w:pStyle w:val="TableHeading"/>
              <w:keepLines/>
            </w:pPr>
            <w:r w:rsidRPr="009C1455">
              <w:t>Product description</w:t>
            </w:r>
          </w:p>
        </w:tc>
        <w:tc>
          <w:tcPr>
            <w:tcW w:w="992" w:type="dxa"/>
          </w:tcPr>
          <w:p w14:paraId="0769672F" w14:textId="77777777" w:rsidR="0093739E" w:rsidRPr="009C1455" w:rsidRDefault="0093739E" w:rsidP="004859F6">
            <w:pPr>
              <w:pStyle w:val="TableHeading"/>
              <w:keepLines/>
            </w:pPr>
            <w:r>
              <w:t xml:space="preserve">GMDN </w:t>
            </w:r>
          </w:p>
        </w:tc>
        <w:tc>
          <w:tcPr>
            <w:tcW w:w="993" w:type="dxa"/>
          </w:tcPr>
          <w:p w14:paraId="71A82B1F" w14:textId="77777777" w:rsidR="0093739E" w:rsidRPr="009C1455" w:rsidRDefault="0093739E" w:rsidP="004859F6">
            <w:pPr>
              <w:pStyle w:val="TableHeading"/>
              <w:keepLines/>
            </w:pPr>
            <w:r w:rsidRPr="009C1455">
              <w:t>Product category</w:t>
            </w:r>
          </w:p>
        </w:tc>
        <w:tc>
          <w:tcPr>
            <w:tcW w:w="1137" w:type="dxa"/>
          </w:tcPr>
          <w:p w14:paraId="5B8B352D" w14:textId="77777777" w:rsidR="0093739E" w:rsidRPr="009C1455" w:rsidRDefault="0093739E" w:rsidP="004859F6">
            <w:pPr>
              <w:pStyle w:val="TableHeading"/>
              <w:keepLines/>
            </w:pPr>
            <w:r w:rsidRPr="009C1455">
              <w:t>Sponsor</w:t>
            </w:r>
          </w:p>
        </w:tc>
        <w:tc>
          <w:tcPr>
            <w:tcW w:w="2925" w:type="dxa"/>
          </w:tcPr>
          <w:p w14:paraId="0683F55D" w14:textId="77777777" w:rsidR="0093739E" w:rsidRPr="009C1455" w:rsidRDefault="0093739E" w:rsidP="004859F6">
            <w:pPr>
              <w:pStyle w:val="TableHeading"/>
              <w:keepLines/>
            </w:pPr>
            <w:r>
              <w:t xml:space="preserve">Intended purpose </w:t>
            </w:r>
          </w:p>
        </w:tc>
      </w:tr>
      <w:tr w:rsidR="0093739E" w:rsidRPr="009C1455" w14:paraId="150C5893" w14:textId="77777777" w:rsidTr="0014441A">
        <w:tc>
          <w:tcPr>
            <w:tcW w:w="879" w:type="dxa"/>
          </w:tcPr>
          <w:p w14:paraId="3CEE0A74" w14:textId="77777777" w:rsidR="0093739E" w:rsidRPr="00E2538B" w:rsidRDefault="0093739E" w:rsidP="004859F6">
            <w:pPr>
              <w:pStyle w:val="Tabletext"/>
              <w:keepLines/>
            </w:pPr>
            <w:r>
              <w:t>219246</w:t>
            </w:r>
          </w:p>
        </w:tc>
        <w:tc>
          <w:tcPr>
            <w:tcW w:w="959" w:type="dxa"/>
          </w:tcPr>
          <w:p w14:paraId="1313C5C8" w14:textId="77777777" w:rsidR="0093739E" w:rsidRDefault="0093739E" w:rsidP="004859F6">
            <w:pPr>
              <w:pStyle w:val="Tabletext"/>
              <w:keepLines/>
            </w:pPr>
            <w:r>
              <w:t>GTS100L</w:t>
            </w:r>
          </w:p>
          <w:p w14:paraId="789741A0" w14:textId="77777777" w:rsidR="0093739E" w:rsidRPr="009C1455" w:rsidRDefault="0093739E" w:rsidP="004859F6">
            <w:pPr>
              <w:pStyle w:val="Tabletext"/>
              <w:keepLines/>
            </w:pPr>
            <w:r>
              <w:t>GTS100R</w:t>
            </w:r>
          </w:p>
        </w:tc>
        <w:tc>
          <w:tcPr>
            <w:tcW w:w="1134" w:type="dxa"/>
          </w:tcPr>
          <w:p w14:paraId="5DBD8B43" w14:textId="77777777" w:rsidR="0093739E" w:rsidRPr="009C1455" w:rsidRDefault="0093739E" w:rsidP="004859F6">
            <w:pPr>
              <w:pStyle w:val="Tabletext"/>
              <w:keepLines/>
            </w:pPr>
            <w:r w:rsidRPr="00E51F37">
              <w:t>iStent trabecular micro-bypass stent system</w:t>
            </w:r>
          </w:p>
        </w:tc>
        <w:tc>
          <w:tcPr>
            <w:tcW w:w="992" w:type="dxa"/>
          </w:tcPr>
          <w:p w14:paraId="4B947829" w14:textId="77777777" w:rsidR="0093739E" w:rsidRPr="009C1455" w:rsidRDefault="0093739E" w:rsidP="004859F6">
            <w:pPr>
              <w:pStyle w:val="Tabletext"/>
              <w:keepLines/>
            </w:pPr>
            <w:r>
              <w:t xml:space="preserve">61127 Glaucoma shunt </w:t>
            </w:r>
          </w:p>
        </w:tc>
        <w:tc>
          <w:tcPr>
            <w:tcW w:w="993" w:type="dxa"/>
          </w:tcPr>
          <w:p w14:paraId="19D2892D" w14:textId="77777777" w:rsidR="0093739E" w:rsidRPr="009C1455" w:rsidRDefault="0093739E" w:rsidP="004859F6">
            <w:pPr>
              <w:pStyle w:val="Tabletext"/>
              <w:keepLines/>
            </w:pPr>
            <w:r w:rsidRPr="009C1455">
              <w:t>Medical Device Class III</w:t>
            </w:r>
          </w:p>
        </w:tc>
        <w:tc>
          <w:tcPr>
            <w:tcW w:w="1137" w:type="dxa"/>
          </w:tcPr>
          <w:p w14:paraId="3CE53361" w14:textId="77777777" w:rsidR="0093739E" w:rsidRPr="009C1455" w:rsidRDefault="0093739E" w:rsidP="004859F6">
            <w:pPr>
              <w:pStyle w:val="Tabletext"/>
              <w:keepLines/>
            </w:pPr>
            <w:r>
              <w:t>RQSolutions Medical Devices Distribution Support *</w:t>
            </w:r>
          </w:p>
        </w:tc>
        <w:tc>
          <w:tcPr>
            <w:tcW w:w="2925" w:type="dxa"/>
          </w:tcPr>
          <w:p w14:paraId="3FF0D446" w14:textId="77777777" w:rsidR="0093739E" w:rsidRDefault="0093739E" w:rsidP="004859F6">
            <w:pPr>
              <w:pStyle w:val="Tabletext"/>
              <w:keepLines/>
            </w:pPr>
            <w:r>
              <w:t>The iStent Trabecular Micro-Bypass System is intended to reduce intraocular pressure in adult patients diagnosed with mild to moderate primary open-angle glaucoma (POAG) currently treated with ocular hypotensive medication. The device can be implanted with or without cataract surgery.</w:t>
            </w:r>
          </w:p>
        </w:tc>
      </w:tr>
      <w:tr w:rsidR="0093739E" w:rsidRPr="009C1455" w14:paraId="7D261C40" w14:textId="77777777" w:rsidTr="0014441A">
        <w:tc>
          <w:tcPr>
            <w:tcW w:w="879" w:type="dxa"/>
          </w:tcPr>
          <w:p w14:paraId="15AEBC66" w14:textId="77777777" w:rsidR="0093739E" w:rsidRDefault="0093739E" w:rsidP="0093739E">
            <w:pPr>
              <w:pStyle w:val="Tabletext"/>
            </w:pPr>
            <w:r>
              <w:t>250914</w:t>
            </w:r>
          </w:p>
        </w:tc>
        <w:tc>
          <w:tcPr>
            <w:tcW w:w="959" w:type="dxa"/>
          </w:tcPr>
          <w:p w14:paraId="65DCA4A5" w14:textId="2C5C9105" w:rsidR="0093739E" w:rsidRPr="009C1455" w:rsidRDefault="00BB3AD6" w:rsidP="0093739E">
            <w:pPr>
              <w:pStyle w:val="Tabletext"/>
            </w:pPr>
            <w:r>
              <w:t>G2-M-IS AS.</w:t>
            </w:r>
          </w:p>
        </w:tc>
        <w:tc>
          <w:tcPr>
            <w:tcW w:w="1134" w:type="dxa"/>
          </w:tcPr>
          <w:p w14:paraId="5CA54BBF" w14:textId="77777777" w:rsidR="0093739E" w:rsidRPr="009C1455" w:rsidRDefault="0093739E" w:rsidP="0093739E">
            <w:pPr>
              <w:pStyle w:val="Tabletext"/>
            </w:pPr>
            <w:r>
              <w:t xml:space="preserve">iStent </w:t>
            </w:r>
            <w:r w:rsidRPr="00BC6EB5">
              <w:t xml:space="preserve">Inject </w:t>
            </w:r>
            <w:r>
              <w:t xml:space="preserve">trabecular micro bypass system </w:t>
            </w:r>
          </w:p>
        </w:tc>
        <w:tc>
          <w:tcPr>
            <w:tcW w:w="992" w:type="dxa"/>
          </w:tcPr>
          <w:p w14:paraId="4C57B740" w14:textId="77777777" w:rsidR="0093739E" w:rsidRPr="009C1455" w:rsidRDefault="0093739E" w:rsidP="0093739E">
            <w:pPr>
              <w:pStyle w:val="Tabletext"/>
            </w:pPr>
            <w:r>
              <w:t xml:space="preserve">61127 Glaucoma shunt </w:t>
            </w:r>
          </w:p>
        </w:tc>
        <w:tc>
          <w:tcPr>
            <w:tcW w:w="993" w:type="dxa"/>
          </w:tcPr>
          <w:p w14:paraId="5C1DFC6C" w14:textId="77777777" w:rsidR="0093739E" w:rsidRPr="009C1455" w:rsidRDefault="0093739E" w:rsidP="0093739E">
            <w:pPr>
              <w:pStyle w:val="Tabletext"/>
            </w:pPr>
            <w:r w:rsidRPr="009C1455">
              <w:t>Medical Device Class III</w:t>
            </w:r>
          </w:p>
        </w:tc>
        <w:tc>
          <w:tcPr>
            <w:tcW w:w="1137" w:type="dxa"/>
          </w:tcPr>
          <w:p w14:paraId="0569A3D7" w14:textId="77777777" w:rsidR="0093739E" w:rsidRDefault="0093739E" w:rsidP="0093739E">
            <w:pPr>
              <w:pStyle w:val="Tabletext"/>
            </w:pPr>
            <w:r>
              <w:t>RQSolutions Medical Devices Distribution Support *</w:t>
            </w:r>
          </w:p>
        </w:tc>
        <w:tc>
          <w:tcPr>
            <w:tcW w:w="2925" w:type="dxa"/>
          </w:tcPr>
          <w:p w14:paraId="40BF1219" w14:textId="77777777" w:rsidR="0093739E" w:rsidRDefault="0093739E" w:rsidP="0093739E">
            <w:pPr>
              <w:pStyle w:val="Tabletext"/>
            </w:pPr>
            <w:r>
              <w:t>The iStent inject Trabecular Micro-Bypass System is intended to reduce intraocular pressure in adult patients diagnosed with mild to moderate primary open-angle glaucoma (POAG) currently treated with ocular hypotensive medication. The device can be implanted with or without cataract surgery.</w:t>
            </w:r>
          </w:p>
        </w:tc>
      </w:tr>
      <w:tr w:rsidR="0093739E" w:rsidRPr="009C1455" w14:paraId="0B52B6FF" w14:textId="77777777" w:rsidTr="0014441A">
        <w:tc>
          <w:tcPr>
            <w:tcW w:w="879" w:type="dxa"/>
          </w:tcPr>
          <w:p w14:paraId="3A16B4EB" w14:textId="77777777" w:rsidR="0093739E" w:rsidRDefault="0093739E" w:rsidP="0093739E">
            <w:pPr>
              <w:pStyle w:val="Tabletext"/>
            </w:pPr>
            <w:r>
              <w:t>301403**</w:t>
            </w:r>
          </w:p>
        </w:tc>
        <w:tc>
          <w:tcPr>
            <w:tcW w:w="959" w:type="dxa"/>
          </w:tcPr>
          <w:p w14:paraId="142763FB" w14:textId="77777777" w:rsidR="0093739E" w:rsidRPr="009C1455" w:rsidRDefault="0093739E" w:rsidP="0093739E">
            <w:pPr>
              <w:pStyle w:val="Tabletext"/>
            </w:pPr>
            <w:r>
              <w:t>N/A</w:t>
            </w:r>
          </w:p>
        </w:tc>
        <w:tc>
          <w:tcPr>
            <w:tcW w:w="1134" w:type="dxa"/>
          </w:tcPr>
          <w:p w14:paraId="46334809" w14:textId="77777777" w:rsidR="0093739E" w:rsidRPr="009C1455" w:rsidRDefault="0093739E" w:rsidP="0093739E">
            <w:pPr>
              <w:pStyle w:val="Tabletext"/>
            </w:pPr>
            <w:r>
              <w:t xml:space="preserve">Hydrus microstent </w:t>
            </w:r>
          </w:p>
        </w:tc>
        <w:tc>
          <w:tcPr>
            <w:tcW w:w="992" w:type="dxa"/>
          </w:tcPr>
          <w:p w14:paraId="385F4F6C" w14:textId="77777777" w:rsidR="0093739E" w:rsidRPr="009C1455" w:rsidRDefault="0093739E" w:rsidP="0093739E">
            <w:pPr>
              <w:pStyle w:val="Tabletext"/>
            </w:pPr>
            <w:r>
              <w:t>62945 Glaucoma micro-stent</w:t>
            </w:r>
          </w:p>
        </w:tc>
        <w:tc>
          <w:tcPr>
            <w:tcW w:w="993" w:type="dxa"/>
          </w:tcPr>
          <w:p w14:paraId="3B76A705" w14:textId="77777777" w:rsidR="0093739E" w:rsidRPr="009C1455" w:rsidRDefault="0093739E" w:rsidP="0093739E">
            <w:pPr>
              <w:pStyle w:val="Tabletext"/>
            </w:pPr>
            <w:r w:rsidRPr="009C1455">
              <w:t>Medical Device Class IIb</w:t>
            </w:r>
          </w:p>
        </w:tc>
        <w:tc>
          <w:tcPr>
            <w:tcW w:w="1137" w:type="dxa"/>
          </w:tcPr>
          <w:p w14:paraId="51F23AEA" w14:textId="77777777" w:rsidR="0093739E" w:rsidRDefault="0093739E" w:rsidP="0093739E">
            <w:pPr>
              <w:pStyle w:val="Tabletext"/>
            </w:pPr>
            <w:r w:rsidRPr="00BC6EB5">
              <w:t>Emergo Asia Pacific Pty Ltd T/a Emergo Australia</w:t>
            </w:r>
          </w:p>
        </w:tc>
        <w:tc>
          <w:tcPr>
            <w:tcW w:w="2925" w:type="dxa"/>
          </w:tcPr>
          <w:p w14:paraId="54CB0384" w14:textId="77777777" w:rsidR="0093739E" w:rsidRPr="009C1455" w:rsidRDefault="0093739E" w:rsidP="0093739E">
            <w:pPr>
              <w:pStyle w:val="Tabletext"/>
            </w:pPr>
            <w:r>
              <w:t>The Hydrus Microstent is intended for the reduction of intraocular pressure (IOP) in patients with primary open angle glaucoma (POAG) as a standalone treatment or in conjunction with cataract surgery.</w:t>
            </w:r>
          </w:p>
        </w:tc>
      </w:tr>
      <w:tr w:rsidR="0093739E" w:rsidRPr="009C1455" w14:paraId="2C3FFBDA" w14:textId="77777777" w:rsidTr="0014441A">
        <w:tc>
          <w:tcPr>
            <w:tcW w:w="879" w:type="dxa"/>
          </w:tcPr>
          <w:p w14:paraId="7F431885" w14:textId="77777777" w:rsidR="0093739E" w:rsidRDefault="0093739E" w:rsidP="0093739E">
            <w:pPr>
              <w:pStyle w:val="Tabletext"/>
            </w:pPr>
            <w:r>
              <w:t>163624</w:t>
            </w:r>
          </w:p>
        </w:tc>
        <w:tc>
          <w:tcPr>
            <w:tcW w:w="959" w:type="dxa"/>
          </w:tcPr>
          <w:p w14:paraId="4C1095E2" w14:textId="77777777" w:rsidR="0093739E" w:rsidRDefault="0093739E" w:rsidP="0093739E">
            <w:pPr>
              <w:pStyle w:val="Tabletext"/>
            </w:pPr>
            <w:r>
              <w:t>N/A</w:t>
            </w:r>
          </w:p>
        </w:tc>
        <w:tc>
          <w:tcPr>
            <w:tcW w:w="1134" w:type="dxa"/>
          </w:tcPr>
          <w:p w14:paraId="3352EAC6" w14:textId="77777777" w:rsidR="0093739E" w:rsidRDefault="0093739E" w:rsidP="0093739E">
            <w:pPr>
              <w:pStyle w:val="Tabletext"/>
            </w:pPr>
            <w:r>
              <w:t>CyPass System</w:t>
            </w:r>
          </w:p>
        </w:tc>
        <w:tc>
          <w:tcPr>
            <w:tcW w:w="992" w:type="dxa"/>
          </w:tcPr>
          <w:p w14:paraId="0F058872" w14:textId="77777777" w:rsidR="0093739E" w:rsidRDefault="0093739E" w:rsidP="0093739E">
            <w:pPr>
              <w:pStyle w:val="Tabletext"/>
            </w:pPr>
            <w:r>
              <w:t>61127 Glaucoma shunt</w:t>
            </w:r>
          </w:p>
        </w:tc>
        <w:tc>
          <w:tcPr>
            <w:tcW w:w="993" w:type="dxa"/>
          </w:tcPr>
          <w:p w14:paraId="62504113" w14:textId="77777777" w:rsidR="0093739E" w:rsidRPr="009C1455" w:rsidRDefault="0093739E" w:rsidP="0093739E">
            <w:pPr>
              <w:pStyle w:val="Tabletext"/>
            </w:pPr>
            <w:r w:rsidRPr="009C1455">
              <w:t>Medical Device Class IIb</w:t>
            </w:r>
          </w:p>
        </w:tc>
        <w:tc>
          <w:tcPr>
            <w:tcW w:w="1137" w:type="dxa"/>
          </w:tcPr>
          <w:p w14:paraId="3BDD5091" w14:textId="77777777" w:rsidR="0093739E" w:rsidRPr="00BC6EB5" w:rsidRDefault="0093739E" w:rsidP="0093739E">
            <w:pPr>
              <w:pStyle w:val="Tabletext"/>
            </w:pPr>
            <w:r w:rsidRPr="006437F2">
              <w:t>Alcon Laboratories Australia Pty Ltd</w:t>
            </w:r>
          </w:p>
        </w:tc>
        <w:tc>
          <w:tcPr>
            <w:tcW w:w="2925" w:type="dxa"/>
          </w:tcPr>
          <w:p w14:paraId="34689C46" w14:textId="77777777" w:rsidR="0093739E" w:rsidRDefault="0093739E" w:rsidP="0093739E">
            <w:pPr>
              <w:pStyle w:val="Tabletext"/>
            </w:pPr>
            <w:r>
              <w:t>The device is intended for use in conjunction with cataract surgery for the reduction of intraocular pressure (IOP) in adult patients with mild to moderate primary open-angle glaucoma; and for use in conjunction with cataract surgery or in a standalone procedure for the reduction of IOP in adult patients with primary open-angle glaucoma where previous medical treatments have failed.</w:t>
            </w:r>
          </w:p>
        </w:tc>
      </w:tr>
    </w:tbl>
    <w:p w14:paraId="2DADAC8B" w14:textId="77777777" w:rsidR="0093739E" w:rsidRDefault="0093739E" w:rsidP="0093739E">
      <w:pPr>
        <w:pStyle w:val="Tablenotes"/>
      </w:pPr>
      <w:r w:rsidRPr="009C1455">
        <w:t>Source: Therapeutic Goods Administration</w:t>
      </w:r>
      <w:r>
        <w:t xml:space="preserve"> (</w:t>
      </w:r>
      <w:r w:rsidRPr="00BC6EB5">
        <w:t>https://www.tga.gov.au/australian-register-therapeutic-goods</w:t>
      </w:r>
      <w:r>
        <w:t>);</w:t>
      </w:r>
      <w:r w:rsidRPr="009C1455">
        <w:t xml:space="preserve"> accessed </w:t>
      </w:r>
      <w:r>
        <w:t>29 May 2018</w:t>
      </w:r>
    </w:p>
    <w:p w14:paraId="7AC11BDF" w14:textId="77777777" w:rsidR="0093739E" w:rsidRDefault="0093739E" w:rsidP="0093739E">
      <w:pPr>
        <w:pStyle w:val="Tablenotes"/>
      </w:pPr>
      <w:r>
        <w:t xml:space="preserve">* </w:t>
      </w:r>
      <w:r w:rsidRPr="00E51F37">
        <w:t>RQSolutions is the nominated TGA sponsor and holds the registration on behalf of Glaukos Corporation, with a wholly owned subsidiary Glaukos Australia Pty Ltd conducting business in Australia.</w:t>
      </w:r>
    </w:p>
    <w:p w14:paraId="5D572FDF" w14:textId="77777777" w:rsidR="0093739E" w:rsidRPr="009368B8" w:rsidRDefault="0093739E" w:rsidP="009368B8">
      <w:pPr>
        <w:pStyle w:val="Tablenotes"/>
        <w:rPr>
          <w:color w:val="0000FF"/>
          <w:u w:val="single"/>
        </w:rPr>
      </w:pPr>
      <w:r>
        <w:t>**</w:t>
      </w:r>
      <w:r w:rsidRPr="00BC6EB5">
        <w:t xml:space="preserve"> This reflects recent updates to the ARTG listing for Hydrus Microstent, effective 29/3/2018. The superseded ARTG listing is 212194. </w:t>
      </w:r>
    </w:p>
    <w:p w14:paraId="74D47392" w14:textId="77777777" w:rsidR="00BC1364" w:rsidRPr="00F715D1" w:rsidRDefault="00BC1364" w:rsidP="00F715D1">
      <w:pPr>
        <w:pStyle w:val="Heading1"/>
      </w:pPr>
      <w:r w:rsidRPr="00F715D1">
        <w:t>Proposal for public funding</w:t>
      </w:r>
    </w:p>
    <w:p w14:paraId="1D4642F6" w14:textId="77777777" w:rsidR="00B1593A" w:rsidRPr="006F0C7D" w:rsidRDefault="00B1593A" w:rsidP="00A345B5">
      <w:pPr>
        <w:pStyle w:val="Heading2"/>
        <w:spacing w:before="120" w:after="120"/>
        <w:rPr>
          <w:b/>
        </w:rPr>
      </w:pPr>
      <w:r w:rsidRPr="006F0C7D">
        <w:rPr>
          <w:b/>
        </w:rPr>
        <w:t>August 2019 MSAC consideration</w:t>
      </w:r>
    </w:p>
    <w:p w14:paraId="64736BAB" w14:textId="0F78AE49" w:rsidR="00B1593A" w:rsidRPr="00B1593A" w:rsidRDefault="00B1593A" w:rsidP="00B165A2">
      <w:bookmarkStart w:id="7" w:name="_Ref13397373"/>
      <w:bookmarkStart w:id="8" w:name="_Toc13577884"/>
      <w:r>
        <w:t xml:space="preserve">The </w:t>
      </w:r>
      <w:r w:rsidR="00A749B4">
        <w:t xml:space="preserve">applicant </w:t>
      </w:r>
      <w:r w:rsidRPr="00B1593A">
        <w:t>proposed MBS item descriptor for TB MBGS standalone is provided in</w:t>
      </w:r>
      <w:r>
        <w:t xml:space="preserve"> Table</w:t>
      </w:r>
      <w:r w:rsidR="00A749B4">
        <w:t> </w:t>
      </w:r>
      <w:r w:rsidR="001D1929">
        <w:t>3</w:t>
      </w:r>
      <w:r>
        <w:t>.</w:t>
      </w:r>
      <w:r w:rsidR="004A2658">
        <w:t xml:space="preserve"> The </w:t>
      </w:r>
      <w:r w:rsidR="00135961">
        <w:t>current resubmission</w:t>
      </w:r>
      <w:r w:rsidR="004A2658">
        <w:t xml:space="preserve"> stated that modifications were made to reinforce the </w:t>
      </w:r>
      <w:r w:rsidR="004A2658" w:rsidRPr="000D1A85">
        <w:t xml:space="preserve">requirement that patients must </w:t>
      </w:r>
      <w:r w:rsidR="004A2658">
        <w:t xml:space="preserve">not only have failed, be likely to fail or be contraindicated to conservative therapies, but they must also be considered </w:t>
      </w:r>
      <w:r w:rsidR="004A2658" w:rsidRPr="000D1A85">
        <w:t>candidates for incisional glaucoma surgery</w:t>
      </w:r>
      <w:r w:rsidR="004A2658">
        <w:t xml:space="preserve">. </w:t>
      </w:r>
      <w:r w:rsidR="004A2658" w:rsidRPr="004A2658">
        <w:t>As a secondary means of restricting use of MBGS standalone to the intended population, the Applicant proposes implementing a register of selected practitioners whose patients are able to receive a Medicare rebate for undergoing MBGS as a standalone procedure.</w:t>
      </w:r>
    </w:p>
    <w:p w14:paraId="0543CB21" w14:textId="32C736A8" w:rsidR="00B1593A" w:rsidRDefault="00B1593A" w:rsidP="00A345B5">
      <w:pPr>
        <w:pStyle w:val="Caption"/>
        <w:keepNext/>
        <w:keepLines/>
        <w:spacing w:after="0"/>
      </w:pPr>
      <w:r>
        <w:lastRenderedPageBreak/>
        <w:t xml:space="preserve">Table </w:t>
      </w:r>
      <w:bookmarkEnd w:id="7"/>
      <w:r w:rsidR="001D1929">
        <w:rPr>
          <w:noProof/>
        </w:rPr>
        <w:t>3</w:t>
      </w:r>
      <w:r>
        <w:tab/>
      </w:r>
      <w:r w:rsidR="0009127E">
        <w:t xml:space="preserve">Applicant </w:t>
      </w:r>
      <w:r w:rsidRPr="00D6121F">
        <w:t xml:space="preserve">Proposed MBS item descriptor for </w:t>
      </w:r>
      <w:r>
        <w:t>TB MBGS standalone</w:t>
      </w:r>
      <w:bookmarkEnd w:id="8"/>
      <w:r>
        <w:t xml:space="preserve"> </w:t>
      </w:r>
    </w:p>
    <w:tbl>
      <w:tblPr>
        <w:tblStyle w:val="TableGrid5"/>
        <w:tblW w:w="0" w:type="auto"/>
        <w:tblBorders>
          <w:insideH w:val="none" w:sz="0" w:space="0" w:color="auto"/>
          <w:insideV w:val="none" w:sz="0" w:space="0" w:color="auto"/>
        </w:tblBorders>
        <w:tblLook w:val="04A0" w:firstRow="1" w:lastRow="0" w:firstColumn="1" w:lastColumn="0" w:noHBand="0" w:noVBand="1"/>
        <w:tblCaption w:val="Proposed MBS item descriptor for TB MBGS standalone "/>
        <w:tblDescription w:val="Applicant's proposed MBS item descriptor"/>
      </w:tblPr>
      <w:tblGrid>
        <w:gridCol w:w="9016"/>
      </w:tblGrid>
      <w:tr w:rsidR="00B1593A" w:rsidRPr="004A2658" w14:paraId="320B0752" w14:textId="77777777" w:rsidTr="00B165A2">
        <w:trPr>
          <w:tblHeader/>
        </w:trPr>
        <w:tc>
          <w:tcPr>
            <w:tcW w:w="9016" w:type="dxa"/>
            <w:tcBorders>
              <w:top w:val="single" w:sz="4" w:space="0" w:color="auto"/>
              <w:bottom w:val="single" w:sz="4" w:space="0" w:color="auto"/>
            </w:tcBorders>
          </w:tcPr>
          <w:p w14:paraId="14D45D46" w14:textId="77777777" w:rsidR="00B1593A" w:rsidRPr="00B165A2" w:rsidRDefault="00B1593A" w:rsidP="00925793">
            <w:pPr>
              <w:keepNext/>
              <w:keepLines/>
              <w:jc w:val="right"/>
              <w:rPr>
                <w:rFonts w:ascii="Arial Narrow" w:hAnsi="Arial Narrow"/>
                <w:sz w:val="20"/>
              </w:rPr>
            </w:pPr>
            <w:r w:rsidRPr="00B165A2">
              <w:rPr>
                <w:rFonts w:ascii="Arial Narrow" w:hAnsi="Arial Narrow"/>
                <w:sz w:val="20"/>
              </w:rPr>
              <w:t>Category 3 – THERAPEUTIC PROCEDURES</w:t>
            </w:r>
          </w:p>
        </w:tc>
      </w:tr>
      <w:tr w:rsidR="00B1593A" w:rsidRPr="004A2658" w14:paraId="77A5F654" w14:textId="77777777" w:rsidTr="00B1593A">
        <w:tc>
          <w:tcPr>
            <w:tcW w:w="9016" w:type="dxa"/>
            <w:tcBorders>
              <w:top w:val="single" w:sz="4" w:space="0" w:color="auto"/>
              <w:bottom w:val="single" w:sz="4" w:space="0" w:color="auto"/>
            </w:tcBorders>
          </w:tcPr>
          <w:p w14:paraId="52471675" w14:textId="16034C20" w:rsidR="00B1593A" w:rsidRPr="00B165A2" w:rsidRDefault="00B1593A" w:rsidP="00925793">
            <w:pPr>
              <w:keepNext/>
              <w:keepLines/>
              <w:jc w:val="both"/>
              <w:rPr>
                <w:rFonts w:ascii="Arial Narrow" w:hAnsi="Arial Narrow"/>
                <w:color w:val="000000"/>
                <w:sz w:val="20"/>
              </w:rPr>
            </w:pPr>
            <w:r w:rsidRPr="00B165A2">
              <w:rPr>
                <w:rFonts w:ascii="Arial Narrow" w:hAnsi="Arial Narrow"/>
                <w:color w:val="000000"/>
                <w:sz w:val="20"/>
              </w:rPr>
              <w:t>MBS item #####</w:t>
            </w:r>
          </w:p>
          <w:p w14:paraId="0C35716E" w14:textId="77777777" w:rsidR="00B1593A" w:rsidRPr="00B165A2" w:rsidRDefault="00B1593A" w:rsidP="00925793">
            <w:pPr>
              <w:keepNext/>
              <w:keepLines/>
              <w:jc w:val="both"/>
              <w:rPr>
                <w:rFonts w:ascii="Arial Narrow" w:hAnsi="Arial Narrow"/>
                <w:color w:val="FF0000"/>
                <w:sz w:val="20"/>
              </w:rPr>
            </w:pPr>
            <w:r w:rsidRPr="00B165A2">
              <w:rPr>
                <w:rFonts w:ascii="Arial Narrow" w:hAnsi="Arial Narrow"/>
                <w:color w:val="000000"/>
                <w:sz w:val="20"/>
              </w:rPr>
              <w:t xml:space="preserve">GLAUCOMA, </w:t>
            </w:r>
            <w:r w:rsidRPr="00B165A2">
              <w:rPr>
                <w:rFonts w:ascii="Arial Narrow" w:hAnsi="Arial Narrow"/>
                <w:color w:val="FF0000"/>
                <w:sz w:val="20"/>
              </w:rPr>
              <w:t>implantation of a micro-bypass glaucoma surgery stent system into the trabecular meshwork, if:</w:t>
            </w:r>
          </w:p>
          <w:p w14:paraId="794D4427" w14:textId="77777777" w:rsidR="00B1593A" w:rsidRPr="00B165A2" w:rsidRDefault="00B1593A" w:rsidP="00925793">
            <w:pPr>
              <w:pStyle w:val="ListParagraph"/>
              <w:keepNext/>
              <w:keepLines/>
              <w:numPr>
                <w:ilvl w:val="0"/>
                <w:numId w:val="43"/>
              </w:numPr>
              <w:spacing w:after="120" w:line="288" w:lineRule="auto"/>
              <w:contextualSpacing w:val="0"/>
              <w:jc w:val="both"/>
              <w:rPr>
                <w:rFonts w:ascii="Arial Narrow" w:hAnsi="Arial Narrow"/>
                <w:color w:val="FF0000"/>
                <w:sz w:val="20"/>
              </w:rPr>
            </w:pPr>
            <w:r w:rsidRPr="00B165A2">
              <w:rPr>
                <w:rFonts w:ascii="Arial Narrow" w:hAnsi="Arial Narrow"/>
                <w:color w:val="FF0000"/>
                <w:sz w:val="20"/>
              </w:rPr>
              <w:t>the service is performed in patients diagnosed with glaucoma,</w:t>
            </w:r>
            <w:r w:rsidRPr="00B165A2">
              <w:rPr>
                <w:rFonts w:ascii="Arial Narrow" w:hAnsi="Arial Narrow"/>
                <w:sz w:val="20"/>
              </w:rPr>
              <w:t xml:space="preserve"> where conservative therapies have failed, are likely to fail, or are contraindicated </w:t>
            </w:r>
            <w:r w:rsidRPr="00B165A2">
              <w:rPr>
                <w:rFonts w:ascii="Arial Narrow" w:hAnsi="Arial Narrow"/>
                <w:color w:val="FF0000"/>
                <w:sz w:val="20"/>
              </w:rPr>
              <w:t xml:space="preserve">and are now considered patients who are candidates for incisional glaucoma surgery; and </w:t>
            </w:r>
          </w:p>
          <w:p w14:paraId="1434105A" w14:textId="7D4297DD" w:rsidR="007B027E" w:rsidRPr="00091B9D" w:rsidRDefault="00B1593A" w:rsidP="00091B9D">
            <w:pPr>
              <w:pStyle w:val="ListParagraph"/>
              <w:keepNext/>
              <w:keepLines/>
              <w:numPr>
                <w:ilvl w:val="0"/>
                <w:numId w:val="43"/>
              </w:numPr>
              <w:spacing w:after="120" w:line="288" w:lineRule="auto"/>
              <w:contextualSpacing w:val="0"/>
              <w:jc w:val="both"/>
              <w:rPr>
                <w:rFonts w:ascii="Arial Narrow" w:hAnsi="Arial Narrow"/>
                <w:color w:val="FF0000"/>
                <w:sz w:val="20"/>
              </w:rPr>
            </w:pPr>
            <w:r w:rsidRPr="00B165A2">
              <w:rPr>
                <w:rFonts w:ascii="Arial Narrow" w:hAnsi="Arial Narrow"/>
                <w:color w:val="FF0000"/>
                <w:sz w:val="20"/>
              </w:rPr>
              <w:t>the service is performed by a specialist or consultant physician</w:t>
            </w:r>
          </w:p>
          <w:p w14:paraId="3EFC4BA0" w14:textId="77AFCFA6" w:rsidR="00B1593A" w:rsidRPr="00091B9D" w:rsidRDefault="00B1593A" w:rsidP="00925793">
            <w:pPr>
              <w:pStyle w:val="ListParagraph"/>
              <w:keepNext/>
              <w:keepLines/>
              <w:numPr>
                <w:ilvl w:val="0"/>
                <w:numId w:val="43"/>
              </w:numPr>
              <w:spacing w:after="120" w:line="288" w:lineRule="auto"/>
              <w:contextualSpacing w:val="0"/>
              <w:jc w:val="both"/>
              <w:rPr>
                <w:rFonts w:ascii="Arial Narrow" w:hAnsi="Arial Narrow"/>
                <w:color w:val="FF0000"/>
                <w:sz w:val="20"/>
              </w:rPr>
            </w:pPr>
            <w:r w:rsidRPr="00B165A2">
              <w:rPr>
                <w:rFonts w:ascii="Arial Narrow" w:hAnsi="Arial Narrow"/>
                <w:color w:val="FF0000"/>
                <w:sz w:val="20"/>
              </w:rPr>
              <w:t xml:space="preserve"> with training that is recognised by The Conjoint Committee for the Recognition of Training in Micro-Bypass Glaucoma Surgery</w:t>
            </w:r>
          </w:p>
          <w:p w14:paraId="6FEE0E8A" w14:textId="77777777" w:rsidR="00B1593A" w:rsidRPr="00B165A2" w:rsidRDefault="00B1593A" w:rsidP="00925793">
            <w:pPr>
              <w:keepNext/>
              <w:keepLines/>
              <w:jc w:val="both"/>
              <w:rPr>
                <w:rFonts w:ascii="Arial Narrow" w:hAnsi="Arial Narrow"/>
                <w:sz w:val="20"/>
              </w:rPr>
            </w:pPr>
            <w:r w:rsidRPr="00B165A2">
              <w:rPr>
                <w:rFonts w:ascii="Arial Narrow" w:hAnsi="Arial Narrow"/>
                <w:sz w:val="20"/>
              </w:rPr>
              <w:t>Multiple Services Rule</w:t>
            </w:r>
          </w:p>
          <w:p w14:paraId="1AB0C709" w14:textId="77777777" w:rsidR="00B1593A" w:rsidRPr="00B165A2" w:rsidRDefault="00B1593A" w:rsidP="00925793">
            <w:pPr>
              <w:keepNext/>
              <w:keepLines/>
              <w:jc w:val="both"/>
              <w:rPr>
                <w:rFonts w:ascii="Arial Narrow" w:hAnsi="Arial Narrow"/>
                <w:sz w:val="20"/>
              </w:rPr>
            </w:pPr>
            <w:r w:rsidRPr="00B165A2">
              <w:rPr>
                <w:rFonts w:ascii="Arial Narrow" w:hAnsi="Arial Narrow"/>
                <w:sz w:val="20"/>
              </w:rPr>
              <w:t xml:space="preserve">(Anaes.) (Assist.) </w:t>
            </w:r>
          </w:p>
          <w:p w14:paraId="0AD06456" w14:textId="77777777" w:rsidR="00B1593A" w:rsidRPr="00B165A2" w:rsidRDefault="00B1593A" w:rsidP="00925793">
            <w:pPr>
              <w:keepNext/>
              <w:keepLines/>
              <w:jc w:val="both"/>
              <w:rPr>
                <w:rFonts w:ascii="Arial Narrow" w:hAnsi="Arial Narrow"/>
                <w:sz w:val="20"/>
              </w:rPr>
            </w:pPr>
            <w:r w:rsidRPr="00B165A2">
              <w:rPr>
                <w:rFonts w:ascii="Arial Narrow" w:hAnsi="Arial Narrow"/>
                <w:color w:val="FF0000"/>
                <w:sz w:val="20"/>
              </w:rPr>
              <w:t>Fee: $710.65</w:t>
            </w:r>
            <w:r w:rsidRPr="00B165A2">
              <w:rPr>
                <w:rFonts w:ascii="Arial Narrow" w:hAnsi="Arial Narrow"/>
                <w:color w:val="FF0000"/>
                <w:sz w:val="20"/>
              </w:rPr>
              <w:tab/>
            </w:r>
            <w:r w:rsidRPr="00B165A2">
              <w:rPr>
                <w:rFonts w:ascii="Arial Narrow" w:hAnsi="Arial Narrow"/>
                <w:color w:val="FF0000"/>
                <w:sz w:val="20"/>
              </w:rPr>
              <w:tab/>
              <w:t xml:space="preserve">Benefit: 75% = $533.00 </w:t>
            </w:r>
          </w:p>
        </w:tc>
      </w:tr>
      <w:tr w:rsidR="00B1593A" w:rsidRPr="004A2658" w14:paraId="60AA007E" w14:textId="77777777" w:rsidTr="00B1593A">
        <w:tc>
          <w:tcPr>
            <w:tcW w:w="9016" w:type="dxa"/>
            <w:tcBorders>
              <w:top w:val="single" w:sz="4" w:space="0" w:color="auto"/>
            </w:tcBorders>
          </w:tcPr>
          <w:p w14:paraId="34E7F279" w14:textId="77777777" w:rsidR="00B1593A" w:rsidRPr="00B165A2" w:rsidRDefault="00B1593A" w:rsidP="00B1593A">
            <w:pPr>
              <w:keepNext/>
              <w:keepLines/>
              <w:rPr>
                <w:rFonts w:ascii="Arial Narrow" w:hAnsi="Arial Narrow"/>
                <w:color w:val="FF0000"/>
                <w:sz w:val="20"/>
              </w:rPr>
            </w:pPr>
            <w:r w:rsidRPr="00B165A2">
              <w:rPr>
                <w:rFonts w:ascii="Arial Narrow" w:hAnsi="Arial Narrow"/>
                <w:color w:val="FF0000"/>
                <w:sz w:val="20"/>
              </w:rPr>
              <w:t xml:space="preserve">Explanatory notes: </w:t>
            </w:r>
          </w:p>
          <w:p w14:paraId="414DCC78" w14:textId="77777777" w:rsidR="00B1593A" w:rsidRPr="00B165A2" w:rsidRDefault="00B1593A" w:rsidP="00B1593A">
            <w:pPr>
              <w:keepNext/>
              <w:keepLines/>
              <w:spacing w:before="40"/>
              <w:rPr>
                <w:rFonts w:ascii="Arial Narrow" w:hAnsi="Arial Narrow"/>
                <w:color w:val="FF0000"/>
                <w:sz w:val="20"/>
              </w:rPr>
            </w:pPr>
            <w:r w:rsidRPr="00B165A2">
              <w:rPr>
                <w:rFonts w:ascii="Arial Narrow" w:hAnsi="Arial Narrow"/>
                <w:color w:val="FF0000"/>
                <w:sz w:val="20"/>
              </w:rPr>
              <w:t>The Conjoint Committee comprises representatives from the Australian and New Zealand Glaucoma Society (ANZGS) and the Royal Australian and New Zealand College of Ophthalmologists (RANZCO). For the purposes of MBS item #####, specialists or consultant physicians performing this procedure must have certification and training recognised by The Conjoint Committee for the Recognition of Training in Micro-Bypass Glaucoma Surgery, and the Department of Human Services notified of that recognition.</w:t>
            </w:r>
          </w:p>
        </w:tc>
      </w:tr>
    </w:tbl>
    <w:p w14:paraId="2B838C0B" w14:textId="729F721F" w:rsidR="00B1593A" w:rsidRDefault="00B1593A" w:rsidP="00A345B5">
      <w:pPr>
        <w:pStyle w:val="Tablenotes"/>
        <w:spacing w:after="240"/>
        <w:rPr>
          <w:color w:val="FF0000"/>
        </w:rPr>
      </w:pPr>
      <w:r w:rsidRPr="009B1359">
        <w:rPr>
          <w:color w:val="FF0000"/>
        </w:rPr>
        <w:t>* Red text indicates changes to the wording of the trabeculectomy descriptor (MBS item 42746)</w:t>
      </w:r>
    </w:p>
    <w:p w14:paraId="077DF9BE" w14:textId="73218143" w:rsidR="0009127E" w:rsidRPr="001531DC" w:rsidRDefault="0009127E" w:rsidP="0009127E">
      <w:pPr>
        <w:spacing w:after="240"/>
        <w:rPr>
          <w:color w:val="000000"/>
          <w:szCs w:val="24"/>
        </w:rPr>
      </w:pPr>
      <w:r w:rsidRPr="001531DC">
        <w:rPr>
          <w:color w:val="000000"/>
          <w:szCs w:val="24"/>
        </w:rPr>
        <w:t>MSAC noted that the fee proposed by the applicant ($710.65) is in line with that for goniotomy (item</w:t>
      </w:r>
      <w:r>
        <w:rPr>
          <w:color w:val="000000"/>
          <w:szCs w:val="24"/>
        </w:rPr>
        <w:t xml:space="preserve"> 42758). However, MSAC considered</w:t>
      </w:r>
      <w:r w:rsidRPr="001531DC">
        <w:rPr>
          <w:color w:val="000000"/>
          <w:szCs w:val="24"/>
        </w:rPr>
        <w:t xml:space="preserve"> the TB MBGS procedure to be less complicated than goniotomy and cataract procedures (</w:t>
      </w:r>
      <w:r w:rsidRPr="001531DC">
        <w:rPr>
          <w:color w:val="000000"/>
          <w:szCs w:val="24"/>
          <w:lang w:val="en-US"/>
        </w:rPr>
        <w:t xml:space="preserve">item 42702; $772.80). MSAC suggested a fee of $305.55, in line with </w:t>
      </w:r>
      <w:r w:rsidRPr="001531DC">
        <w:rPr>
          <w:color w:val="000000"/>
          <w:szCs w:val="24"/>
        </w:rPr>
        <w:t>the previously listed item for removal and/or replacement of an MBGS device (item 42505).</w:t>
      </w:r>
      <w:r w:rsidRPr="001531DC">
        <w:rPr>
          <w:color w:val="000000"/>
          <w:szCs w:val="24"/>
          <w:lang w:val="en-US"/>
        </w:rPr>
        <w:t xml:space="preserve"> </w:t>
      </w:r>
    </w:p>
    <w:p w14:paraId="70A05012" w14:textId="77777777" w:rsidR="00B1593A" w:rsidRPr="006F0C7D" w:rsidRDefault="00B1593A" w:rsidP="00A345B5">
      <w:pPr>
        <w:pStyle w:val="Heading2"/>
        <w:spacing w:before="240" w:after="120"/>
        <w:rPr>
          <w:b/>
        </w:rPr>
      </w:pPr>
      <w:r w:rsidRPr="006F0C7D">
        <w:rPr>
          <w:b/>
        </w:rPr>
        <w:t>November 2018 MSAC consideration</w:t>
      </w:r>
    </w:p>
    <w:p w14:paraId="1562A805" w14:textId="50B4163A" w:rsidR="001D3D13" w:rsidRDefault="001D3D13" w:rsidP="001D3D13">
      <w:r w:rsidRPr="001D3D13">
        <w:t>The wording of the item descriptor for MBGS stent implantation as a standalone procedure has been revised to more adequately define the patient population who would meet eligibility for the intervention in clinical practice</w:t>
      </w:r>
      <w:r w:rsidR="00CC37CD">
        <w:t>. The proposed MBS item descriptor</w:t>
      </w:r>
      <w:r>
        <w:t xml:space="preserve"> (</w:t>
      </w:r>
      <w:r w:rsidR="001D1929">
        <w:t>Table 4</w:t>
      </w:r>
      <w:r>
        <w:t>)</w:t>
      </w:r>
      <w:r w:rsidR="00CC37CD">
        <w:t xml:space="preserve"> and proposed alternative MBS item descriptor (</w:t>
      </w:r>
      <w:r w:rsidR="001D1929">
        <w:t>Table 5</w:t>
      </w:r>
      <w:r w:rsidR="00CC37CD">
        <w:t>) were based on MBS item 42746 and MBS item 42705, respectively</w:t>
      </w:r>
      <w:r w:rsidRPr="001D3D13">
        <w:t>.</w:t>
      </w:r>
    </w:p>
    <w:p w14:paraId="04D48496" w14:textId="49D1479B" w:rsidR="001D3D13" w:rsidRPr="00F36A11" w:rsidRDefault="001D3D13" w:rsidP="00925793">
      <w:pPr>
        <w:keepLines/>
        <w:spacing w:before="240"/>
        <w:ind w:left="1134" w:hanging="1134"/>
        <w:rPr>
          <w:rFonts w:ascii="Arial Narrow" w:hAnsi="Arial Narrow"/>
          <w:b/>
          <w:bCs/>
          <w:sz w:val="20"/>
        </w:rPr>
      </w:pPr>
      <w:bookmarkStart w:id="9" w:name="_Ref484164733"/>
      <w:bookmarkStart w:id="10" w:name="_Toc482868575"/>
      <w:bookmarkStart w:id="11" w:name="_Toc484603705"/>
      <w:bookmarkStart w:id="12" w:name="_Toc516244354"/>
      <w:r w:rsidRPr="00F36A11">
        <w:rPr>
          <w:rFonts w:ascii="Arial Narrow" w:hAnsi="Arial Narrow"/>
          <w:b/>
          <w:bCs/>
          <w:sz w:val="20"/>
        </w:rPr>
        <w:t xml:space="preserve">Table </w:t>
      </w:r>
      <w:bookmarkEnd w:id="9"/>
      <w:r w:rsidR="001D1929">
        <w:rPr>
          <w:rFonts w:ascii="Arial Narrow" w:hAnsi="Arial Narrow"/>
          <w:b/>
          <w:bCs/>
          <w:sz w:val="20"/>
        </w:rPr>
        <w:t>4</w:t>
      </w:r>
      <w:r w:rsidRPr="00F36A11">
        <w:rPr>
          <w:rFonts w:ascii="Arial Narrow" w:hAnsi="Arial Narrow"/>
          <w:b/>
          <w:bCs/>
          <w:sz w:val="20"/>
        </w:rPr>
        <w:tab/>
        <w:t>Proposed MBS item descriptor</w:t>
      </w:r>
      <w:bookmarkEnd w:id="10"/>
      <w:bookmarkEnd w:id="11"/>
      <w:bookmarkEnd w:id="12"/>
      <w:r w:rsidR="00CC37CD">
        <w:rPr>
          <w:rFonts w:ascii="Arial Narrow" w:hAnsi="Arial Narrow"/>
          <w:b/>
          <w:bCs/>
          <w:sz w:val="20"/>
        </w:rPr>
        <w:t xml:space="preserve"> for MGBS stent implantation</w:t>
      </w:r>
    </w:p>
    <w:tbl>
      <w:tblPr>
        <w:tblStyle w:val="TableGrid13"/>
        <w:tblW w:w="5000" w:type="pct"/>
        <w:tblLook w:val="04A0" w:firstRow="1" w:lastRow="0" w:firstColumn="1" w:lastColumn="0" w:noHBand="0" w:noVBand="1"/>
        <w:tblCaption w:val="Proposed MBS item descriptor"/>
        <w:tblDescription w:val="Desciption of proposed MBS item descriptor for public funding"/>
      </w:tblPr>
      <w:tblGrid>
        <w:gridCol w:w="9016"/>
      </w:tblGrid>
      <w:tr w:rsidR="001D3D13" w:rsidRPr="00F36A11" w14:paraId="5DC00434" w14:textId="77777777" w:rsidTr="0014441A">
        <w:trPr>
          <w:cnfStyle w:val="100000000000" w:firstRow="1" w:lastRow="0" w:firstColumn="0" w:lastColumn="0" w:oddVBand="0" w:evenVBand="0" w:oddHBand="0" w:evenHBand="0" w:firstRowFirstColumn="0" w:firstRowLastColumn="0" w:lastRowFirstColumn="0" w:lastRowLastColumn="0"/>
          <w:tblHeader/>
        </w:trPr>
        <w:tc>
          <w:tcPr>
            <w:tcW w:w="5000" w:type="pct"/>
            <w:hideMark/>
          </w:tcPr>
          <w:p w14:paraId="67EF2DE1" w14:textId="77777777" w:rsidR="001D3D13" w:rsidRPr="00F36A11" w:rsidRDefault="001D3D13" w:rsidP="00925793">
            <w:pPr>
              <w:keepLines/>
              <w:jc w:val="right"/>
              <w:rPr>
                <w:rFonts w:ascii="Arial Narrow" w:hAnsi="Arial Narrow"/>
                <w:sz w:val="20"/>
              </w:rPr>
            </w:pPr>
            <w:r w:rsidRPr="00F36A11">
              <w:rPr>
                <w:rFonts w:ascii="Arial Narrow" w:hAnsi="Arial Narrow"/>
                <w:sz w:val="20"/>
              </w:rPr>
              <w:t>Category 3 – THERAPEUTIC PROCEDURES</w:t>
            </w:r>
          </w:p>
        </w:tc>
      </w:tr>
      <w:tr w:rsidR="001D3D13" w:rsidRPr="00F36A11" w14:paraId="7EC5E585" w14:textId="77777777" w:rsidTr="0014441A">
        <w:tc>
          <w:tcPr>
            <w:tcW w:w="5000" w:type="pct"/>
          </w:tcPr>
          <w:p w14:paraId="2A6E1536" w14:textId="77777777" w:rsidR="001D3D13" w:rsidRPr="00F36A11" w:rsidRDefault="001D3D13" w:rsidP="00925793">
            <w:pPr>
              <w:keepLines/>
              <w:spacing w:after="120"/>
              <w:jc w:val="both"/>
              <w:rPr>
                <w:sz w:val="20"/>
              </w:rPr>
            </w:pPr>
            <w:r w:rsidRPr="00F36A11">
              <w:rPr>
                <w:sz w:val="20"/>
              </w:rPr>
              <w:t>MBS item number</w:t>
            </w:r>
          </w:p>
          <w:p w14:paraId="5C3075AF" w14:textId="77777777" w:rsidR="001D3D13" w:rsidRPr="00F36A11" w:rsidRDefault="001D3D13" w:rsidP="00925793">
            <w:pPr>
              <w:keepLines/>
              <w:spacing w:after="120"/>
              <w:jc w:val="both"/>
              <w:rPr>
                <w:sz w:val="20"/>
              </w:rPr>
            </w:pPr>
            <w:r w:rsidRPr="00F36A11">
              <w:rPr>
                <w:sz w:val="20"/>
              </w:rPr>
              <w:t>GLAUCOMA, implantation of, a micro-bypass glaucoma surgery stent system into the trabecular meshwork/suprachoroidal space, in patients diagnosed with open-angle glaucoma, where conservative therapies have failed, are likely to fail, or are contraindicated.</w:t>
            </w:r>
          </w:p>
          <w:p w14:paraId="4A1F95D6" w14:textId="77777777" w:rsidR="001D3D13" w:rsidRPr="00F36A11" w:rsidRDefault="001D3D13" w:rsidP="00925793">
            <w:pPr>
              <w:keepLines/>
              <w:spacing w:after="120"/>
              <w:jc w:val="both"/>
              <w:rPr>
                <w:sz w:val="20"/>
              </w:rPr>
            </w:pPr>
            <w:r w:rsidRPr="00F36A11">
              <w:rPr>
                <w:sz w:val="20"/>
              </w:rPr>
              <w:t>Multiple Services Rule</w:t>
            </w:r>
          </w:p>
          <w:p w14:paraId="38C415B9" w14:textId="77777777" w:rsidR="001D3D13" w:rsidRPr="004859F6" w:rsidRDefault="001D3D13" w:rsidP="00925793">
            <w:pPr>
              <w:keepLines/>
              <w:spacing w:after="120"/>
              <w:jc w:val="both"/>
              <w:rPr>
                <w:sz w:val="20"/>
              </w:rPr>
            </w:pPr>
            <w:r w:rsidRPr="00F36A11">
              <w:rPr>
                <w:sz w:val="20"/>
              </w:rPr>
              <w:t xml:space="preserve">(Anaes.) (Assist.) </w:t>
            </w:r>
          </w:p>
          <w:p w14:paraId="55823206" w14:textId="77777777" w:rsidR="001D3D13" w:rsidRPr="00F36A11" w:rsidRDefault="001D3D13" w:rsidP="00925793">
            <w:pPr>
              <w:keepLines/>
              <w:spacing w:after="120"/>
              <w:jc w:val="both"/>
              <w:rPr>
                <w:sz w:val="20"/>
              </w:rPr>
            </w:pPr>
            <w:r w:rsidRPr="00F36A11">
              <w:rPr>
                <w:b/>
                <w:sz w:val="20"/>
              </w:rPr>
              <w:t>Fee:</w:t>
            </w:r>
            <w:r w:rsidRPr="00F36A11">
              <w:rPr>
                <w:sz w:val="20"/>
              </w:rPr>
              <w:t xml:space="preserve"> $699.45</w:t>
            </w:r>
            <w:r w:rsidRPr="00F36A11">
              <w:rPr>
                <w:sz w:val="20"/>
              </w:rPr>
              <w:tab/>
            </w:r>
            <w:r w:rsidRPr="00F36A11">
              <w:rPr>
                <w:b/>
                <w:sz w:val="20"/>
              </w:rPr>
              <w:t>Benefit</w:t>
            </w:r>
            <w:r w:rsidRPr="00F36A11">
              <w:rPr>
                <w:sz w:val="20"/>
              </w:rPr>
              <w:t>: 75% = $524.60</w:t>
            </w:r>
          </w:p>
        </w:tc>
      </w:tr>
    </w:tbl>
    <w:p w14:paraId="22D3D486" w14:textId="57A9D333" w:rsidR="0009127E" w:rsidRDefault="0009127E">
      <w:pPr>
        <w:rPr>
          <w:rFonts w:ascii="Arial Narrow" w:hAnsi="Arial Narrow"/>
          <w:b/>
          <w:bCs/>
          <w:sz w:val="20"/>
          <w:szCs w:val="18"/>
        </w:rPr>
      </w:pPr>
      <w:bookmarkStart w:id="13" w:name="_Ref515371246"/>
      <w:bookmarkStart w:id="14" w:name="_Toc516244369"/>
      <w:r>
        <w:br w:type="page"/>
      </w:r>
    </w:p>
    <w:p w14:paraId="57392A82" w14:textId="620CDEFF" w:rsidR="00CC37CD" w:rsidRDefault="00CC37CD" w:rsidP="00A345B5">
      <w:pPr>
        <w:pStyle w:val="Caption"/>
        <w:spacing w:before="240" w:after="0"/>
      </w:pPr>
      <w:r>
        <w:lastRenderedPageBreak/>
        <w:t xml:space="preserve">Table </w:t>
      </w:r>
      <w:bookmarkEnd w:id="13"/>
      <w:r w:rsidR="001D1929">
        <w:rPr>
          <w:noProof/>
        </w:rPr>
        <w:t>5</w:t>
      </w:r>
      <w:r>
        <w:tab/>
        <w:t>Proposed alternative MBS item descriptor for MGBS stent implantation</w:t>
      </w:r>
      <w:bookmarkEnd w:id="14"/>
    </w:p>
    <w:tbl>
      <w:tblPr>
        <w:tblStyle w:val="TableGrid13"/>
        <w:tblW w:w="5000" w:type="pct"/>
        <w:tblLook w:val="04A0" w:firstRow="1" w:lastRow="0" w:firstColumn="1" w:lastColumn="0" w:noHBand="0" w:noVBand="1"/>
        <w:tblCaption w:val="Proposed alternative MBS item descriptor for MGBS stent implantation"/>
        <w:tblDescription w:val="Description of proposed alternative MBS item descriptor for MGBS stent implantation"/>
      </w:tblPr>
      <w:tblGrid>
        <w:gridCol w:w="9016"/>
      </w:tblGrid>
      <w:tr w:rsidR="00CC37CD" w:rsidRPr="003F0749" w14:paraId="4B0AB96C" w14:textId="77777777" w:rsidTr="0014441A">
        <w:trPr>
          <w:cnfStyle w:val="100000000000" w:firstRow="1" w:lastRow="0" w:firstColumn="0" w:lastColumn="0" w:oddVBand="0" w:evenVBand="0" w:oddHBand="0" w:evenHBand="0" w:firstRowFirstColumn="0" w:firstRowLastColumn="0" w:lastRowFirstColumn="0" w:lastRowLastColumn="0"/>
          <w:tblHeader/>
        </w:trPr>
        <w:tc>
          <w:tcPr>
            <w:tcW w:w="5000" w:type="pct"/>
            <w:hideMark/>
          </w:tcPr>
          <w:p w14:paraId="4720A946" w14:textId="77777777" w:rsidR="00CC37CD" w:rsidRPr="003F0749" w:rsidRDefault="00CC37CD" w:rsidP="00A345B5">
            <w:pPr>
              <w:jc w:val="right"/>
              <w:rPr>
                <w:rFonts w:ascii="Arial Narrow" w:hAnsi="Arial Narrow"/>
                <w:sz w:val="20"/>
              </w:rPr>
            </w:pPr>
            <w:r w:rsidRPr="003F0749">
              <w:rPr>
                <w:rFonts w:ascii="Arial Narrow" w:hAnsi="Arial Narrow"/>
                <w:sz w:val="20"/>
              </w:rPr>
              <w:t>Category 3 – THERAPEUTIC PROCEDURES</w:t>
            </w:r>
          </w:p>
        </w:tc>
      </w:tr>
      <w:tr w:rsidR="00CC37CD" w:rsidRPr="003F0749" w14:paraId="42E84551" w14:textId="77777777" w:rsidTr="0014441A">
        <w:tc>
          <w:tcPr>
            <w:tcW w:w="5000" w:type="pct"/>
          </w:tcPr>
          <w:p w14:paraId="757839A6" w14:textId="77777777" w:rsidR="00CC37CD" w:rsidRPr="003F0749" w:rsidRDefault="00CC37CD" w:rsidP="00A345B5">
            <w:pPr>
              <w:spacing w:after="120"/>
              <w:jc w:val="both"/>
              <w:rPr>
                <w:sz w:val="20"/>
              </w:rPr>
            </w:pPr>
            <w:r w:rsidRPr="003F0749">
              <w:rPr>
                <w:sz w:val="20"/>
              </w:rPr>
              <w:t>MBS item number</w:t>
            </w:r>
          </w:p>
          <w:p w14:paraId="20489835" w14:textId="77777777" w:rsidR="00CC37CD" w:rsidRPr="003F0749" w:rsidRDefault="00CC37CD" w:rsidP="00A345B5">
            <w:pPr>
              <w:spacing w:after="120"/>
              <w:jc w:val="both"/>
              <w:rPr>
                <w:sz w:val="20"/>
              </w:rPr>
            </w:pPr>
            <w:r w:rsidRPr="003F0749">
              <w:rPr>
                <w:sz w:val="20"/>
              </w:rPr>
              <w:t>GLAUCOMA, implantation of, a micro-bypass glaucoma surgery stent system into the trabecular meshwork/suprachoroidal space, in a patient diagnosed with open-angle glaucoma, who is not adequately responsive to topical anti-glaucoma medications or who is intolerant of anti-glaucoma medication.</w:t>
            </w:r>
          </w:p>
          <w:p w14:paraId="1C03E952" w14:textId="77777777" w:rsidR="00CC37CD" w:rsidRPr="003F0749" w:rsidRDefault="00CC37CD" w:rsidP="00A345B5">
            <w:pPr>
              <w:spacing w:after="120"/>
              <w:jc w:val="both"/>
              <w:rPr>
                <w:sz w:val="20"/>
              </w:rPr>
            </w:pPr>
            <w:r w:rsidRPr="003F0749">
              <w:rPr>
                <w:sz w:val="20"/>
              </w:rPr>
              <w:t>Multiple Services Rule</w:t>
            </w:r>
          </w:p>
          <w:p w14:paraId="5D1AADE1" w14:textId="77777777" w:rsidR="00CC37CD" w:rsidRPr="004859F6" w:rsidRDefault="00CC37CD" w:rsidP="00A345B5">
            <w:pPr>
              <w:spacing w:after="120"/>
              <w:jc w:val="both"/>
              <w:rPr>
                <w:sz w:val="20"/>
              </w:rPr>
            </w:pPr>
            <w:r w:rsidRPr="003F0749">
              <w:rPr>
                <w:sz w:val="20"/>
              </w:rPr>
              <w:t xml:space="preserve">(Anaes.) (Assist.) </w:t>
            </w:r>
          </w:p>
          <w:p w14:paraId="638D6854" w14:textId="77777777" w:rsidR="00CC37CD" w:rsidRPr="003F0749" w:rsidRDefault="00CC37CD" w:rsidP="00A345B5">
            <w:pPr>
              <w:spacing w:after="120"/>
              <w:jc w:val="both"/>
              <w:rPr>
                <w:sz w:val="20"/>
              </w:rPr>
            </w:pPr>
            <w:r w:rsidRPr="003F0749">
              <w:rPr>
                <w:b/>
                <w:sz w:val="20"/>
              </w:rPr>
              <w:t>Fee:</w:t>
            </w:r>
            <w:r w:rsidRPr="003F0749">
              <w:rPr>
                <w:sz w:val="20"/>
              </w:rPr>
              <w:t xml:space="preserve"> $699.45</w:t>
            </w:r>
            <w:r w:rsidRPr="003F0749">
              <w:rPr>
                <w:sz w:val="20"/>
              </w:rPr>
              <w:tab/>
            </w:r>
            <w:r w:rsidRPr="003F0749">
              <w:rPr>
                <w:b/>
                <w:sz w:val="20"/>
              </w:rPr>
              <w:t>Benefit</w:t>
            </w:r>
            <w:r w:rsidRPr="003F0749">
              <w:rPr>
                <w:sz w:val="20"/>
              </w:rPr>
              <w:t>: 75% = $524.60</w:t>
            </w:r>
          </w:p>
        </w:tc>
      </w:tr>
    </w:tbl>
    <w:p w14:paraId="0250A076" w14:textId="120395BD" w:rsidR="00747D56" w:rsidRDefault="00CC37CD" w:rsidP="00A345B5">
      <w:pPr>
        <w:spacing w:before="240" w:after="240"/>
      </w:pPr>
      <w:r>
        <w:t xml:space="preserve">As per </w:t>
      </w:r>
      <w:r w:rsidR="00747D56">
        <w:t xml:space="preserve">the </w:t>
      </w:r>
      <w:r w:rsidR="008D0A28">
        <w:t>previous</w:t>
      </w:r>
      <w:r w:rsidR="00747D56">
        <w:t xml:space="preserve"> submissions</w:t>
      </w:r>
      <w:r w:rsidR="009368B8">
        <w:t xml:space="preserve"> (i.e. MSAC 1483 and 1496)</w:t>
      </w:r>
      <w:r w:rsidR="00747D56">
        <w:t>, an item descriptor was proposed</w:t>
      </w:r>
      <w:r w:rsidR="008D0A28">
        <w:t xml:space="preserve"> in the resubmission</w:t>
      </w:r>
      <w:r w:rsidR="00747D56">
        <w:t xml:space="preserve"> for MGBS stent removal</w:t>
      </w:r>
      <w:r w:rsidR="008D0A28">
        <w:t xml:space="preserve"> (</w:t>
      </w:r>
      <w:r w:rsidR="001D1929">
        <w:t>Table 6</w:t>
      </w:r>
      <w:r w:rsidR="008D0A28">
        <w:t>)</w:t>
      </w:r>
      <w:r w:rsidR="00747D56">
        <w:t>.</w:t>
      </w:r>
    </w:p>
    <w:p w14:paraId="6A2878D3" w14:textId="593B8A1D" w:rsidR="00747D56" w:rsidRDefault="00747D56" w:rsidP="00A345B5">
      <w:pPr>
        <w:pStyle w:val="Caption"/>
        <w:spacing w:after="0"/>
      </w:pPr>
      <w:bookmarkStart w:id="15" w:name="_Ref515371260"/>
      <w:bookmarkStart w:id="16" w:name="_Toc516244370"/>
      <w:r>
        <w:t xml:space="preserve">Table </w:t>
      </w:r>
      <w:bookmarkEnd w:id="15"/>
      <w:r w:rsidR="001D1929">
        <w:rPr>
          <w:noProof/>
        </w:rPr>
        <w:t>6</w:t>
      </w:r>
      <w:r>
        <w:tab/>
        <w:t>Proposed MBS item descriptor for MGBS stent removal</w:t>
      </w:r>
      <w:bookmarkEnd w:id="16"/>
      <w:r>
        <w:t xml:space="preserve"> </w:t>
      </w:r>
    </w:p>
    <w:tbl>
      <w:tblPr>
        <w:tblStyle w:val="TableGrid13"/>
        <w:tblW w:w="5000" w:type="pct"/>
        <w:tblLook w:val="04A0" w:firstRow="1" w:lastRow="0" w:firstColumn="1" w:lastColumn="0" w:noHBand="0" w:noVBand="1"/>
        <w:tblCaption w:val="Proposed MBS item descriptor for MGBS stent removal "/>
        <w:tblDescription w:val="Description of MBS item descriptor for MGBS stent removal "/>
      </w:tblPr>
      <w:tblGrid>
        <w:gridCol w:w="9016"/>
      </w:tblGrid>
      <w:tr w:rsidR="00747D56" w:rsidRPr="003F0749" w14:paraId="5A976ADB" w14:textId="77777777" w:rsidTr="0014441A">
        <w:trPr>
          <w:cnfStyle w:val="100000000000" w:firstRow="1" w:lastRow="0" w:firstColumn="0" w:lastColumn="0" w:oddVBand="0" w:evenVBand="0" w:oddHBand="0" w:evenHBand="0" w:firstRowFirstColumn="0" w:firstRowLastColumn="0" w:lastRowFirstColumn="0" w:lastRowLastColumn="0"/>
          <w:tblHeader/>
        </w:trPr>
        <w:tc>
          <w:tcPr>
            <w:tcW w:w="5000" w:type="pct"/>
            <w:hideMark/>
          </w:tcPr>
          <w:p w14:paraId="2DB02C12" w14:textId="77777777" w:rsidR="00747D56" w:rsidRPr="003F0749" w:rsidRDefault="00747D56" w:rsidP="00A345B5">
            <w:pPr>
              <w:jc w:val="right"/>
              <w:rPr>
                <w:rFonts w:ascii="Arial Narrow" w:hAnsi="Arial Narrow"/>
                <w:sz w:val="20"/>
              </w:rPr>
            </w:pPr>
            <w:r w:rsidRPr="003F0749">
              <w:rPr>
                <w:rFonts w:ascii="Arial Narrow" w:hAnsi="Arial Narrow"/>
                <w:sz w:val="20"/>
              </w:rPr>
              <w:t>Category 3 – THERAPEUTIC PROCEDURES</w:t>
            </w:r>
          </w:p>
        </w:tc>
      </w:tr>
      <w:tr w:rsidR="00747D56" w:rsidRPr="003F0749" w14:paraId="5F2FBD10" w14:textId="77777777" w:rsidTr="0014441A">
        <w:tc>
          <w:tcPr>
            <w:tcW w:w="5000" w:type="pct"/>
          </w:tcPr>
          <w:p w14:paraId="7DEB35DC" w14:textId="77777777" w:rsidR="00747D56" w:rsidRPr="003F0749" w:rsidRDefault="00747D56" w:rsidP="00A345B5">
            <w:pPr>
              <w:spacing w:after="120"/>
              <w:jc w:val="both"/>
              <w:rPr>
                <w:sz w:val="20"/>
              </w:rPr>
            </w:pPr>
            <w:r w:rsidRPr="003F0749">
              <w:rPr>
                <w:sz w:val="20"/>
              </w:rPr>
              <w:t>MBS item number</w:t>
            </w:r>
          </w:p>
          <w:p w14:paraId="437E451D" w14:textId="77777777" w:rsidR="00747D56" w:rsidRPr="003F0749" w:rsidRDefault="00747D56" w:rsidP="00A345B5">
            <w:pPr>
              <w:spacing w:after="120"/>
              <w:jc w:val="both"/>
              <w:rPr>
                <w:sz w:val="20"/>
              </w:rPr>
            </w:pPr>
            <w:r w:rsidRPr="003F0749">
              <w:rPr>
                <w:sz w:val="20"/>
              </w:rPr>
              <w:t>GLAUCOMA, removal of a micro-bypass glaucoma surgery stent system from the trabecular meshwork/suprachoroidal space.</w:t>
            </w:r>
          </w:p>
          <w:p w14:paraId="5E2E3DAE" w14:textId="77777777" w:rsidR="00747D56" w:rsidRPr="003F0749" w:rsidRDefault="00747D56" w:rsidP="00A345B5">
            <w:pPr>
              <w:spacing w:after="120"/>
              <w:jc w:val="both"/>
              <w:rPr>
                <w:sz w:val="20"/>
              </w:rPr>
            </w:pPr>
            <w:r w:rsidRPr="003F0749">
              <w:rPr>
                <w:sz w:val="20"/>
              </w:rPr>
              <w:t>Multiple Services Rule</w:t>
            </w:r>
          </w:p>
          <w:p w14:paraId="2F011561" w14:textId="77777777" w:rsidR="00747D56" w:rsidRPr="003F0749" w:rsidRDefault="00747D56" w:rsidP="00A345B5">
            <w:pPr>
              <w:spacing w:after="120"/>
              <w:jc w:val="both"/>
              <w:rPr>
                <w:sz w:val="20"/>
              </w:rPr>
            </w:pPr>
            <w:r w:rsidRPr="003F0749">
              <w:rPr>
                <w:sz w:val="20"/>
              </w:rPr>
              <w:t>(Anaes.)</w:t>
            </w:r>
          </w:p>
          <w:p w14:paraId="579DE38F" w14:textId="77777777" w:rsidR="00747D56" w:rsidRPr="003F0749" w:rsidRDefault="00747D56" w:rsidP="00A345B5">
            <w:pPr>
              <w:spacing w:after="120"/>
              <w:jc w:val="both"/>
              <w:rPr>
                <w:sz w:val="20"/>
              </w:rPr>
            </w:pPr>
            <w:r w:rsidRPr="003F0749">
              <w:rPr>
                <w:b/>
                <w:sz w:val="20"/>
              </w:rPr>
              <w:t>Fee:</w:t>
            </w:r>
            <w:r w:rsidRPr="003F0749">
              <w:rPr>
                <w:sz w:val="20"/>
              </w:rPr>
              <w:t xml:space="preserve"> </w:t>
            </w:r>
            <w:r w:rsidRPr="003F0749">
              <w:rPr>
                <w:b/>
                <w:sz w:val="20"/>
              </w:rPr>
              <w:t>[Fee to be determined]</w:t>
            </w:r>
          </w:p>
        </w:tc>
      </w:tr>
    </w:tbl>
    <w:p w14:paraId="348EF7FE" w14:textId="77777777" w:rsidR="009368B8" w:rsidRPr="004859F6" w:rsidRDefault="004859F6" w:rsidP="0019152F">
      <w:pPr>
        <w:pStyle w:val="BodyText"/>
        <w:spacing w:before="240" w:line="240" w:lineRule="auto"/>
        <w:jc w:val="left"/>
        <w:rPr>
          <w:rFonts w:ascii="Times New Roman" w:hAnsi="Times New Roman" w:cs="Times New Roman"/>
          <w:sz w:val="24"/>
          <w:szCs w:val="24"/>
        </w:rPr>
      </w:pPr>
      <w:r>
        <w:rPr>
          <w:rFonts w:ascii="Times New Roman" w:hAnsi="Times New Roman" w:cs="Times New Roman"/>
          <w:sz w:val="24"/>
          <w:szCs w:val="24"/>
        </w:rPr>
        <w:t>For</w:t>
      </w:r>
      <w:r w:rsidRPr="004859F6">
        <w:rPr>
          <w:rFonts w:ascii="Times New Roman" w:hAnsi="Times New Roman" w:cs="Times New Roman"/>
          <w:sz w:val="24"/>
          <w:szCs w:val="24"/>
        </w:rPr>
        <w:t xml:space="preserve"> Applications 1483 and 1496 (PSD Applications 1483 and 1496, page 1)</w:t>
      </w:r>
      <w:r>
        <w:rPr>
          <w:rFonts w:ascii="Times New Roman" w:hAnsi="Times New Roman" w:cs="Times New Roman"/>
          <w:sz w:val="24"/>
          <w:szCs w:val="24"/>
        </w:rPr>
        <w:t xml:space="preserve">, </w:t>
      </w:r>
      <w:r w:rsidR="009368B8" w:rsidRPr="004859F6">
        <w:rPr>
          <w:rFonts w:ascii="Times New Roman" w:hAnsi="Times New Roman" w:cs="Times New Roman"/>
          <w:sz w:val="24"/>
          <w:szCs w:val="24"/>
        </w:rPr>
        <w:t>MSAC recommended the item at a fee of $300.75 for stent removal regardless of whether it is undertaken with or without stent replacement. The resubmission stated that the recommended item descriptor would therefore also be relevant to the removal of a MBGS device in the current context, i.e., regardless of whether stent implantation was performed as a standalone procedure or in con</w:t>
      </w:r>
      <w:r w:rsidR="001D2D70" w:rsidRPr="004859F6">
        <w:rPr>
          <w:rFonts w:ascii="Times New Roman" w:hAnsi="Times New Roman" w:cs="Times New Roman"/>
          <w:sz w:val="24"/>
          <w:szCs w:val="24"/>
        </w:rPr>
        <w:t>junction with cataract surgery.</w:t>
      </w:r>
    </w:p>
    <w:p w14:paraId="6BCC90E1"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21DEFE21" w14:textId="169D4EED" w:rsidR="000C2B84" w:rsidRPr="000C2B84" w:rsidRDefault="000C2B84" w:rsidP="00F715D1">
      <w:pPr>
        <w:spacing w:after="240"/>
        <w:rPr>
          <w:szCs w:val="24"/>
        </w:rPr>
      </w:pPr>
      <w:r>
        <w:rPr>
          <w:szCs w:val="24"/>
        </w:rPr>
        <w:t>Letters of support for MBS funding of M</w:t>
      </w:r>
      <w:r w:rsidR="00F16235">
        <w:rPr>
          <w:szCs w:val="24"/>
        </w:rPr>
        <w:t>BG</w:t>
      </w:r>
      <w:r>
        <w:rPr>
          <w:szCs w:val="24"/>
        </w:rPr>
        <w:t xml:space="preserve">S </w:t>
      </w:r>
      <w:r w:rsidR="004859F6">
        <w:rPr>
          <w:szCs w:val="24"/>
        </w:rPr>
        <w:t>were</w:t>
      </w:r>
      <w:r>
        <w:rPr>
          <w:szCs w:val="24"/>
        </w:rPr>
        <w:t xml:space="preserve"> provided by </w:t>
      </w:r>
      <w:r w:rsidR="004859F6">
        <w:rPr>
          <w:szCs w:val="24"/>
        </w:rPr>
        <w:t>two professional organisations and one consumer organisation</w:t>
      </w:r>
      <w:r w:rsidR="00BF16D5">
        <w:rPr>
          <w:szCs w:val="24"/>
        </w:rPr>
        <w:t>.</w:t>
      </w:r>
    </w:p>
    <w:p w14:paraId="02C7EB2B" w14:textId="77777777" w:rsidR="00BC1364" w:rsidRPr="00F715D1" w:rsidRDefault="00BC1364" w:rsidP="00F715D1">
      <w:pPr>
        <w:pStyle w:val="Heading1"/>
      </w:pPr>
      <w:r w:rsidRPr="00F715D1">
        <w:t>Proposed intervention’s place in clinical management</w:t>
      </w:r>
    </w:p>
    <w:p w14:paraId="6552A0BF" w14:textId="58BEFB20" w:rsidR="00B34881" w:rsidRDefault="001D3D13" w:rsidP="001D3D13">
      <w:r w:rsidRPr="001D3D13">
        <w:t>The clinical management algorithm</w:t>
      </w:r>
      <w:r w:rsidR="00F368A7">
        <w:t>,</w:t>
      </w:r>
      <w:r w:rsidR="00B34881">
        <w:t xml:space="preserve"> which was </w:t>
      </w:r>
      <w:r w:rsidRPr="001D3D13">
        <w:t>adapted from relevant clinical guidelines</w:t>
      </w:r>
      <w:r w:rsidR="00F368A7">
        <w:t xml:space="preserve"> </w:t>
      </w:r>
      <w:r w:rsidR="00F368A7" w:rsidRPr="009368B8">
        <w:t>(ANZGS Guidelines, 2018; N</w:t>
      </w:r>
      <w:r w:rsidR="009368B8" w:rsidRPr="009368B8">
        <w:t>ational Health and Medical Research Council (NHMRC)</w:t>
      </w:r>
      <w:r w:rsidR="00F368A7" w:rsidRPr="009368B8">
        <w:t xml:space="preserve"> Glaucoma Guidelines, 2010)</w:t>
      </w:r>
      <w:r w:rsidR="007D1631" w:rsidRPr="009368B8">
        <w:t>,</w:t>
      </w:r>
      <w:r w:rsidR="007D1631">
        <w:t xml:space="preserve"> </w:t>
      </w:r>
      <w:r w:rsidRPr="001D3D13">
        <w:t>depicts the intended use of MBGS implantation</w:t>
      </w:r>
      <w:r w:rsidR="00B34881">
        <w:t xml:space="preserve"> (highlighted red)</w:t>
      </w:r>
      <w:r w:rsidRPr="001D3D13">
        <w:t xml:space="preserve"> as a standalone procedure within the current </w:t>
      </w:r>
      <w:r w:rsidR="00B34881" w:rsidRPr="001D3D13">
        <w:t>OAG</w:t>
      </w:r>
      <w:r w:rsidR="00F368A7">
        <w:t xml:space="preserve"> </w:t>
      </w:r>
      <w:r w:rsidR="007D1631" w:rsidRPr="009368B8">
        <w:t>treatment pathway</w:t>
      </w:r>
      <w:r w:rsidR="00B34881" w:rsidRPr="009368B8">
        <w:t>.</w:t>
      </w:r>
      <w:r w:rsidR="007D1631" w:rsidRPr="009368B8">
        <w:t xml:space="preserve"> Specifically, MBGS is expected to be provided as a substitute and/or in addition to other </w:t>
      </w:r>
      <w:r w:rsidR="00002B4E" w:rsidRPr="009368B8">
        <w:t xml:space="preserve">second-line </w:t>
      </w:r>
      <w:r w:rsidR="007D1631" w:rsidRPr="009368B8">
        <w:t>treatment options for patients with OAG</w:t>
      </w:r>
      <w:r w:rsidR="00F368A7" w:rsidRPr="009368B8">
        <w:t xml:space="preserve"> (</w:t>
      </w:r>
      <w:r w:rsidR="00F368A7" w:rsidRPr="009368B8">
        <w:fldChar w:fldCharType="begin"/>
      </w:r>
      <w:r w:rsidR="00F368A7" w:rsidRPr="009368B8">
        <w:instrText xml:space="preserve"> REF _Ref516243617 \h  \* MERGEFORMAT </w:instrText>
      </w:r>
      <w:r w:rsidR="00F368A7" w:rsidRPr="009368B8">
        <w:fldChar w:fldCharType="separate"/>
      </w:r>
      <w:r w:rsidR="00231B02" w:rsidRPr="00BB3AD6">
        <w:t>Figure 1</w:t>
      </w:r>
      <w:r w:rsidR="00F368A7" w:rsidRPr="009368B8">
        <w:fldChar w:fldCharType="end"/>
      </w:r>
      <w:r w:rsidR="00F368A7" w:rsidRPr="009368B8">
        <w:t>)</w:t>
      </w:r>
      <w:r w:rsidR="000A1DCA" w:rsidRPr="009368B8">
        <w:t>, noting that patients can undergo an MBGS standalone procedure following trabeculectomy or further incisional surgery/aqueous tube shunt implantation</w:t>
      </w:r>
      <w:r w:rsidR="000A1DCA">
        <w:t>.</w:t>
      </w:r>
    </w:p>
    <w:p w14:paraId="2DEDA31E" w14:textId="77777777" w:rsidR="00B34881" w:rsidRPr="00F36A11" w:rsidRDefault="00B34881" w:rsidP="00B34881">
      <w:pPr>
        <w:keepNext/>
        <w:spacing w:before="40" w:after="40"/>
        <w:rPr>
          <w:rFonts w:ascii="Arial Narrow" w:hAnsi="Arial Narrow"/>
          <w:sz w:val="20"/>
        </w:rPr>
      </w:pPr>
      <w:r w:rsidRPr="00F36A11">
        <w:rPr>
          <w:rFonts w:ascii="Arial Narrow" w:hAnsi="Arial Narrow"/>
          <w:noProof/>
          <w:sz w:val="20"/>
        </w:rPr>
        <w:lastRenderedPageBreak/>
        <w:drawing>
          <wp:inline distT="0" distB="0" distL="0" distR="0" wp14:anchorId="5307E25A" wp14:editId="7083891C">
            <wp:extent cx="4800600" cy="4547965"/>
            <wp:effectExtent l="0" t="0" r="0" b="5080"/>
            <wp:docPr id="9" name="Picture 9" descr="Schematic of proposed clinical management algorithm" title="Clinical management algorithm for trabecular bypass MBGS stent implantation in the standalone patient population, as it fits into the current treat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06288" cy="4553354"/>
                    </a:xfrm>
                    <a:prstGeom prst="rect">
                      <a:avLst/>
                    </a:prstGeom>
                  </pic:spPr>
                </pic:pic>
              </a:graphicData>
            </a:graphic>
          </wp:inline>
        </w:drawing>
      </w:r>
    </w:p>
    <w:p w14:paraId="109786AD" w14:textId="2B49F1E7" w:rsidR="00BC1364" w:rsidRPr="00E74CC7" w:rsidRDefault="00B34881" w:rsidP="00E74CC7">
      <w:pPr>
        <w:keepNext/>
        <w:spacing w:before="240"/>
        <w:ind w:left="1134" w:hanging="1134"/>
        <w:rPr>
          <w:rFonts w:ascii="Arial Narrow" w:hAnsi="Arial Narrow"/>
          <w:b/>
          <w:bCs/>
          <w:sz w:val="20"/>
        </w:rPr>
      </w:pPr>
      <w:bookmarkStart w:id="17" w:name="_Ref516243617"/>
      <w:bookmarkStart w:id="18" w:name="_Toc516244409"/>
      <w:r w:rsidRPr="00F36A11">
        <w:rPr>
          <w:rFonts w:ascii="Arial Narrow" w:hAnsi="Arial Narrow"/>
          <w:b/>
          <w:bCs/>
          <w:sz w:val="20"/>
        </w:rPr>
        <w:t xml:space="preserve">Figure </w:t>
      </w:r>
      <w:r w:rsidRPr="00F36A11">
        <w:rPr>
          <w:rFonts w:ascii="Arial Narrow" w:hAnsi="Arial Narrow"/>
          <w:b/>
          <w:bCs/>
          <w:sz w:val="20"/>
        </w:rPr>
        <w:fldChar w:fldCharType="begin"/>
      </w:r>
      <w:r w:rsidRPr="00F36A11">
        <w:rPr>
          <w:rFonts w:ascii="Arial Narrow" w:hAnsi="Arial Narrow"/>
          <w:b/>
          <w:bCs/>
          <w:sz w:val="20"/>
        </w:rPr>
        <w:instrText xml:space="preserve"> SEQ Figure \* ARABIC </w:instrText>
      </w:r>
      <w:r w:rsidRPr="00F36A11">
        <w:rPr>
          <w:rFonts w:ascii="Arial Narrow" w:hAnsi="Arial Narrow"/>
          <w:b/>
          <w:bCs/>
          <w:sz w:val="20"/>
        </w:rPr>
        <w:fldChar w:fldCharType="separate"/>
      </w:r>
      <w:r w:rsidR="00231B02">
        <w:rPr>
          <w:rFonts w:ascii="Arial Narrow" w:hAnsi="Arial Narrow"/>
          <w:b/>
          <w:bCs/>
          <w:noProof/>
          <w:sz w:val="20"/>
        </w:rPr>
        <w:t>1</w:t>
      </w:r>
      <w:r w:rsidRPr="00F36A11">
        <w:rPr>
          <w:rFonts w:ascii="Arial Narrow" w:hAnsi="Arial Narrow"/>
          <w:b/>
          <w:bCs/>
          <w:noProof/>
          <w:sz w:val="20"/>
        </w:rPr>
        <w:fldChar w:fldCharType="end"/>
      </w:r>
      <w:bookmarkEnd w:id="17"/>
      <w:r w:rsidRPr="00F36A11">
        <w:rPr>
          <w:rFonts w:ascii="Arial Narrow" w:hAnsi="Arial Narrow"/>
          <w:b/>
          <w:bCs/>
          <w:sz w:val="20"/>
        </w:rPr>
        <w:tab/>
        <w:t>Clinical management algorithm for trabecular bypass MBGS stent implantation in the standalone patient population, as it fits into the current treatment algorithm</w:t>
      </w:r>
      <w:bookmarkEnd w:id="18"/>
    </w:p>
    <w:p w14:paraId="201646FC" w14:textId="77777777" w:rsidR="00BC1364" w:rsidRPr="00F715D1" w:rsidRDefault="00BC1364" w:rsidP="00F715D1">
      <w:pPr>
        <w:pStyle w:val="Heading1"/>
      </w:pPr>
      <w:r w:rsidRPr="00F715D1">
        <w:t xml:space="preserve">Comparator </w:t>
      </w:r>
    </w:p>
    <w:p w14:paraId="11ADE480" w14:textId="77777777" w:rsidR="002159F8" w:rsidRPr="00A008AA" w:rsidRDefault="002159F8" w:rsidP="00F368A7">
      <w:pPr>
        <w:tabs>
          <w:tab w:val="left" w:pos="284"/>
        </w:tabs>
        <w:spacing w:after="80"/>
      </w:pPr>
      <w:r w:rsidRPr="00A008AA">
        <w:rPr>
          <w:szCs w:val="24"/>
        </w:rPr>
        <w:t>T</w:t>
      </w:r>
      <w:r w:rsidRPr="00A008AA">
        <w:t>h</w:t>
      </w:r>
      <w:r w:rsidRPr="00F36A11">
        <w:t xml:space="preserve">e </w:t>
      </w:r>
      <w:r>
        <w:t xml:space="preserve">proposed </w:t>
      </w:r>
      <w:r w:rsidRPr="00F36A11">
        <w:t xml:space="preserve">comparator to MBGS is trabeculectomy, a common incisional surgical procedure for OAG. </w:t>
      </w:r>
      <w:r w:rsidR="00F368A7">
        <w:t xml:space="preserve">The </w:t>
      </w:r>
      <w:r w:rsidR="00CC37CD">
        <w:t>resubmission</w:t>
      </w:r>
      <w:r w:rsidR="00F368A7">
        <w:t xml:space="preserve"> stated that the</w:t>
      </w:r>
      <w:r w:rsidRPr="00F36A11">
        <w:t xml:space="preserve"> decision to undertake MBGS stent implantation as a standalone procedure will be made on the basis of a favourable risk versus benefit profile of MBGS relative to alternative incisional surgical procedures such as trabeculectomy when conservative first-line therapies have failed, are likely to fail or are contraindicated.</w:t>
      </w:r>
    </w:p>
    <w:p w14:paraId="5723C9C1" w14:textId="77777777" w:rsidR="006C62CE" w:rsidRDefault="00BC1364" w:rsidP="00CD0BF4">
      <w:pPr>
        <w:pStyle w:val="Heading1"/>
      </w:pPr>
      <w:r w:rsidRPr="00F715D1">
        <w:t>Comparative safety</w:t>
      </w:r>
    </w:p>
    <w:p w14:paraId="006518BA" w14:textId="77777777" w:rsidR="008548AB" w:rsidRPr="006F0C7D" w:rsidRDefault="008548AB" w:rsidP="008548AB">
      <w:pPr>
        <w:pStyle w:val="Heading2"/>
        <w:rPr>
          <w:b/>
        </w:rPr>
      </w:pPr>
      <w:r w:rsidRPr="006F0C7D">
        <w:rPr>
          <w:b/>
        </w:rPr>
        <w:t>August 2019 MSAC consideration</w:t>
      </w:r>
    </w:p>
    <w:p w14:paraId="41725623" w14:textId="18E55D2A" w:rsidR="008548AB" w:rsidRDefault="00067E87" w:rsidP="008548AB">
      <w:pPr>
        <w:rPr>
          <w:iCs/>
        </w:rPr>
      </w:pPr>
      <w:r>
        <w:rPr>
          <w:iCs/>
        </w:rPr>
        <w:t xml:space="preserve">Direct randomised controlled trials (RCTs) </w:t>
      </w:r>
      <w:r w:rsidR="00231B02" w:rsidRPr="001531DC">
        <w:rPr>
          <w:color w:val="000000"/>
          <w:szCs w:val="24"/>
        </w:rPr>
        <w:t>comparing standalone TB MBGS with trabeculectomy</w:t>
      </w:r>
      <w:r w:rsidR="00231B02">
        <w:rPr>
          <w:iCs/>
        </w:rPr>
        <w:t xml:space="preserve"> </w:t>
      </w:r>
      <w:r>
        <w:rPr>
          <w:iCs/>
        </w:rPr>
        <w:t>r</w:t>
      </w:r>
      <w:r w:rsidR="00BB3AD6">
        <w:rPr>
          <w:iCs/>
        </w:rPr>
        <w:t xml:space="preserve">emains to be lacking. However, </w:t>
      </w:r>
      <w:r>
        <w:rPr>
          <w:iCs/>
        </w:rPr>
        <w:t>n</w:t>
      </w:r>
      <w:r w:rsidR="00D13880">
        <w:rPr>
          <w:iCs/>
        </w:rPr>
        <w:t>ew evidence was presented in the resubmission</w:t>
      </w:r>
      <w:r w:rsidR="0097341B">
        <w:rPr>
          <w:iCs/>
        </w:rPr>
        <w:t>:</w:t>
      </w:r>
    </w:p>
    <w:p w14:paraId="46B17D14" w14:textId="5205CB5E" w:rsidR="0097341B" w:rsidRDefault="0097341B" w:rsidP="00A345B5">
      <w:pPr>
        <w:pStyle w:val="ListParagraph"/>
        <w:numPr>
          <w:ilvl w:val="0"/>
          <w:numId w:val="44"/>
        </w:numPr>
        <w:spacing w:before="120" w:after="120"/>
        <w:ind w:left="714" w:hanging="357"/>
        <w:contextualSpacing w:val="0"/>
        <w:rPr>
          <w:iCs/>
        </w:rPr>
      </w:pPr>
      <w:r>
        <w:rPr>
          <w:iCs/>
        </w:rPr>
        <w:t>Recent results from the COMPARE study were no</w:t>
      </w:r>
      <w:r w:rsidR="00067E87">
        <w:rPr>
          <w:iCs/>
        </w:rPr>
        <w:t>w published (Ahmed et al. 2019); and</w:t>
      </w:r>
    </w:p>
    <w:p w14:paraId="2BF5E843" w14:textId="4BDDE9F2" w:rsidR="00D17153" w:rsidRDefault="0097341B" w:rsidP="00A345B5">
      <w:pPr>
        <w:pStyle w:val="ListParagraph"/>
        <w:numPr>
          <w:ilvl w:val="0"/>
          <w:numId w:val="44"/>
        </w:numPr>
        <w:spacing w:before="120" w:after="120"/>
        <w:ind w:left="714" w:hanging="357"/>
        <w:contextualSpacing w:val="0"/>
        <w:rPr>
          <w:iCs/>
        </w:rPr>
      </w:pPr>
      <w:r>
        <w:rPr>
          <w:iCs/>
        </w:rPr>
        <w:t>Recent res</w:t>
      </w:r>
      <w:r w:rsidR="00067E87">
        <w:rPr>
          <w:iCs/>
        </w:rPr>
        <w:t>ults from two studies</w:t>
      </w:r>
      <w:r w:rsidR="00136720">
        <w:rPr>
          <w:iCs/>
        </w:rPr>
        <w:t xml:space="preserve">: </w:t>
      </w:r>
      <w:r w:rsidR="00067E87">
        <w:rPr>
          <w:iCs/>
        </w:rPr>
        <w:t>Fechtner 2019</w:t>
      </w:r>
      <w:r w:rsidR="00136720">
        <w:rPr>
          <w:iCs/>
        </w:rPr>
        <w:t xml:space="preserve">, which reports 60-month outcomes from </w:t>
      </w:r>
      <w:r w:rsidR="00067E87">
        <w:rPr>
          <w:iCs/>
        </w:rPr>
        <w:t>Vold 2016</w:t>
      </w:r>
      <w:r w:rsidR="00136720">
        <w:rPr>
          <w:iCs/>
        </w:rPr>
        <w:t xml:space="preserve"> RCT</w:t>
      </w:r>
      <w:r>
        <w:rPr>
          <w:iCs/>
        </w:rPr>
        <w:t>;</w:t>
      </w:r>
      <w:r w:rsidR="00136720">
        <w:rPr>
          <w:iCs/>
        </w:rPr>
        <w:t xml:space="preserve"> and</w:t>
      </w:r>
      <w:r>
        <w:rPr>
          <w:iCs/>
        </w:rPr>
        <w:t xml:space="preserve"> Ferguson 2019</w:t>
      </w:r>
      <w:r w:rsidR="00136720">
        <w:rPr>
          <w:iCs/>
        </w:rPr>
        <w:t xml:space="preserve">, a retrospective study which expands on 48-month outcomes from </w:t>
      </w:r>
      <w:r w:rsidR="00871BB7">
        <w:rPr>
          <w:iCs/>
        </w:rPr>
        <w:t xml:space="preserve">Ferguson 2016 </w:t>
      </w:r>
    </w:p>
    <w:p w14:paraId="29D7CD84" w14:textId="7BAB4E91" w:rsidR="00871BB7" w:rsidRDefault="00D17153" w:rsidP="00135961">
      <w:pPr>
        <w:rPr>
          <w:iCs/>
        </w:rPr>
      </w:pPr>
      <w:r>
        <w:rPr>
          <w:iCs/>
        </w:rPr>
        <w:lastRenderedPageBreak/>
        <w:t xml:space="preserve">The </w:t>
      </w:r>
      <w:r w:rsidR="00135961">
        <w:rPr>
          <w:iCs/>
        </w:rPr>
        <w:t>current resubmission</w:t>
      </w:r>
      <w:r>
        <w:rPr>
          <w:iCs/>
        </w:rPr>
        <w:t xml:space="preserve"> stated; overall, low rates of advers</w:t>
      </w:r>
      <w:r w:rsidR="001F439A">
        <w:rPr>
          <w:iCs/>
        </w:rPr>
        <w:t>e events includ</w:t>
      </w:r>
      <w:r>
        <w:rPr>
          <w:iCs/>
        </w:rPr>
        <w:t xml:space="preserve">ing retinal complications, hyphaema and hypotony were reported in the new evidence for MGBS standalone </w:t>
      </w:r>
      <w:r w:rsidR="00871BB7" w:rsidRPr="00135961">
        <w:rPr>
          <w:iCs/>
        </w:rPr>
        <w:t xml:space="preserve">(Table </w:t>
      </w:r>
      <w:r w:rsidR="001D1929">
        <w:rPr>
          <w:iCs/>
        </w:rPr>
        <w:t>7</w:t>
      </w:r>
      <w:r w:rsidRPr="00135961">
        <w:rPr>
          <w:iCs/>
        </w:rPr>
        <w:t>).</w:t>
      </w:r>
    </w:p>
    <w:p w14:paraId="0F3C6874" w14:textId="1A65F8FE" w:rsidR="00871BB7" w:rsidRPr="004521C7" w:rsidRDefault="00871BB7" w:rsidP="00BB3AD6">
      <w:pPr>
        <w:pStyle w:val="Caption"/>
        <w:keepNext/>
        <w:spacing w:before="240" w:after="0"/>
      </w:pPr>
      <w:bookmarkStart w:id="19" w:name="_Ref482363972"/>
      <w:bookmarkStart w:id="20" w:name="_Toc516244375"/>
      <w:bookmarkStart w:id="21" w:name="_Toc13577897"/>
      <w:r w:rsidRPr="004521C7">
        <w:t>Table</w:t>
      </w:r>
      <w:bookmarkEnd w:id="19"/>
      <w:r>
        <w:t xml:space="preserve"> </w:t>
      </w:r>
      <w:r w:rsidR="001D1929">
        <w:rPr>
          <w:noProof/>
        </w:rPr>
        <w:t>7</w:t>
      </w:r>
      <w:r w:rsidRPr="004521C7">
        <w:tab/>
        <w:t xml:space="preserve">Safety outcomes reported in the included RCTs </w:t>
      </w:r>
      <w:bookmarkEnd w:id="20"/>
      <w:r w:rsidRPr="004521C7">
        <w:t>of MBGS (</w:t>
      </w:r>
      <w:bookmarkEnd w:id="21"/>
      <w:r>
        <w:t>new studies only</w:t>
      </w:r>
      <w:r w:rsidR="00D17153">
        <w:t xml:space="preserve"> presented</w:t>
      </w:r>
      <w:r>
        <w:t>)</w:t>
      </w:r>
    </w:p>
    <w:tbl>
      <w:tblPr>
        <w:tblStyle w:val="TableGrid1"/>
        <w:tblW w:w="5000" w:type="pct"/>
        <w:tblLook w:val="04A0" w:firstRow="1" w:lastRow="0" w:firstColumn="1" w:lastColumn="0" w:noHBand="0" w:noVBand="1"/>
        <w:tblDescription w:val="Adverse events and surgical complications reported in the included RCTs – Standalone population"/>
      </w:tblPr>
      <w:tblGrid>
        <w:gridCol w:w="2947"/>
        <w:gridCol w:w="1345"/>
        <w:gridCol w:w="1846"/>
        <w:gridCol w:w="1535"/>
        <w:gridCol w:w="1343"/>
      </w:tblGrid>
      <w:tr w:rsidR="00871BB7" w:rsidRPr="004521C7" w14:paraId="72F01A09" w14:textId="77777777" w:rsidTr="00B165A2">
        <w:trPr>
          <w:cnfStyle w:val="100000000000" w:firstRow="1" w:lastRow="0" w:firstColumn="0" w:lastColumn="0" w:oddVBand="0" w:evenVBand="0" w:oddHBand="0" w:evenHBand="0" w:firstRowFirstColumn="0" w:firstRowLastColumn="0" w:lastRowFirstColumn="0" w:lastRowLastColumn="0"/>
          <w:tblHeader/>
        </w:trPr>
        <w:tc>
          <w:tcPr>
            <w:tcW w:w="1634" w:type="pct"/>
            <w:tcBorders>
              <w:top w:val="single" w:sz="4" w:space="0" w:color="auto"/>
              <w:bottom w:val="nil"/>
            </w:tcBorders>
          </w:tcPr>
          <w:p w14:paraId="1B7FD501" w14:textId="77777777" w:rsidR="00871BB7" w:rsidRPr="004521C7" w:rsidRDefault="00871BB7" w:rsidP="001F439A">
            <w:pPr>
              <w:keepNext/>
              <w:spacing w:before="0" w:after="0"/>
              <w:rPr>
                <w:rFonts w:ascii="Arial Narrow" w:hAnsi="Arial Narrow"/>
                <w:b/>
                <w:sz w:val="20"/>
              </w:rPr>
            </w:pPr>
          </w:p>
        </w:tc>
        <w:tc>
          <w:tcPr>
            <w:tcW w:w="1770" w:type="pct"/>
            <w:gridSpan w:val="2"/>
          </w:tcPr>
          <w:p w14:paraId="3917A281" w14:textId="77777777" w:rsidR="00871BB7" w:rsidRPr="004521C7" w:rsidRDefault="00871BB7" w:rsidP="001F439A">
            <w:pPr>
              <w:keepNext/>
              <w:spacing w:before="0" w:after="0"/>
              <w:jc w:val="center"/>
              <w:rPr>
                <w:rFonts w:ascii="Arial Narrow" w:hAnsi="Arial Narrow"/>
                <w:b/>
                <w:sz w:val="20"/>
              </w:rPr>
            </w:pPr>
            <w:r w:rsidRPr="004521C7">
              <w:rPr>
                <w:rFonts w:ascii="Arial Narrow" w:hAnsi="Arial Narrow"/>
                <w:b/>
                <w:sz w:val="20"/>
              </w:rPr>
              <w:t xml:space="preserve">Vold 2016/Fechtner 2019 </w:t>
            </w:r>
            <w:r w:rsidRPr="004521C7">
              <w:rPr>
                <w:rFonts w:ascii="Arial Narrow" w:hAnsi="Arial Narrow"/>
                <w:b/>
                <w:sz w:val="20"/>
              </w:rPr>
              <w:br/>
              <w:t>(60 months)</w:t>
            </w:r>
          </w:p>
        </w:tc>
        <w:tc>
          <w:tcPr>
            <w:tcW w:w="1596" w:type="pct"/>
            <w:gridSpan w:val="2"/>
          </w:tcPr>
          <w:p w14:paraId="5E620F41" w14:textId="77777777" w:rsidR="00871BB7" w:rsidRPr="004521C7" w:rsidRDefault="00871BB7" w:rsidP="001F439A">
            <w:pPr>
              <w:keepNext/>
              <w:spacing w:before="0" w:after="0"/>
              <w:jc w:val="center"/>
              <w:rPr>
                <w:rFonts w:ascii="Arial Narrow" w:hAnsi="Arial Narrow"/>
                <w:b/>
                <w:sz w:val="20"/>
              </w:rPr>
            </w:pPr>
            <w:r w:rsidRPr="004521C7">
              <w:rPr>
                <w:rFonts w:ascii="Arial Narrow" w:hAnsi="Arial Narrow"/>
                <w:b/>
                <w:sz w:val="20"/>
              </w:rPr>
              <w:t>Ahmed 2019</w:t>
            </w:r>
            <w:r w:rsidRPr="004521C7">
              <w:rPr>
                <w:rFonts w:ascii="Arial Narrow" w:hAnsi="Arial Narrow"/>
                <w:b/>
                <w:sz w:val="20"/>
              </w:rPr>
              <w:br/>
              <w:t>(12 months)</w:t>
            </w:r>
          </w:p>
        </w:tc>
      </w:tr>
      <w:tr w:rsidR="00871BB7" w:rsidRPr="004521C7" w14:paraId="7713E5A9" w14:textId="77777777" w:rsidTr="00B165A2">
        <w:tc>
          <w:tcPr>
            <w:tcW w:w="1634" w:type="pct"/>
            <w:tcBorders>
              <w:top w:val="nil"/>
              <w:bottom w:val="single" w:sz="4" w:space="0" w:color="auto"/>
            </w:tcBorders>
            <w:vAlign w:val="bottom"/>
          </w:tcPr>
          <w:p w14:paraId="0023BAEB" w14:textId="77777777" w:rsidR="00871BB7" w:rsidRPr="004521C7" w:rsidRDefault="00871BB7" w:rsidP="001F439A">
            <w:pPr>
              <w:keepNext/>
              <w:spacing w:before="0" w:after="0"/>
              <w:rPr>
                <w:b/>
                <w:sz w:val="20"/>
              </w:rPr>
            </w:pPr>
            <w:r w:rsidRPr="004521C7">
              <w:rPr>
                <w:b/>
                <w:sz w:val="20"/>
              </w:rPr>
              <w:t>Adverse event, n (%)</w:t>
            </w:r>
          </w:p>
        </w:tc>
        <w:tc>
          <w:tcPr>
            <w:tcW w:w="746" w:type="pct"/>
            <w:vAlign w:val="center"/>
          </w:tcPr>
          <w:p w14:paraId="323D6252" w14:textId="77777777" w:rsidR="00871BB7" w:rsidRPr="004521C7" w:rsidRDefault="00871BB7" w:rsidP="001F439A">
            <w:pPr>
              <w:keepNext/>
              <w:spacing w:before="0" w:after="0"/>
              <w:jc w:val="center"/>
              <w:rPr>
                <w:b/>
                <w:sz w:val="20"/>
              </w:rPr>
            </w:pPr>
            <w:r w:rsidRPr="004521C7">
              <w:rPr>
                <w:b/>
                <w:sz w:val="20"/>
              </w:rPr>
              <w:t>TB MBGS (iStent)</w:t>
            </w:r>
          </w:p>
        </w:tc>
        <w:tc>
          <w:tcPr>
            <w:tcW w:w="1024" w:type="pct"/>
            <w:vAlign w:val="center"/>
          </w:tcPr>
          <w:p w14:paraId="77F1B682" w14:textId="77777777" w:rsidR="00871BB7" w:rsidRPr="004521C7" w:rsidRDefault="00871BB7" w:rsidP="001F439A">
            <w:pPr>
              <w:keepNext/>
              <w:spacing w:before="0" w:after="0"/>
              <w:jc w:val="center"/>
              <w:rPr>
                <w:b/>
                <w:sz w:val="20"/>
              </w:rPr>
            </w:pPr>
            <w:r w:rsidRPr="004521C7">
              <w:rPr>
                <w:b/>
                <w:sz w:val="20"/>
              </w:rPr>
              <w:t>Medication</w:t>
            </w:r>
          </w:p>
        </w:tc>
        <w:tc>
          <w:tcPr>
            <w:tcW w:w="851" w:type="pct"/>
            <w:vAlign w:val="center"/>
          </w:tcPr>
          <w:p w14:paraId="653263F9" w14:textId="77777777" w:rsidR="00871BB7" w:rsidRPr="004521C7" w:rsidRDefault="00871BB7" w:rsidP="001F439A">
            <w:pPr>
              <w:keepNext/>
              <w:spacing w:before="0" w:after="0"/>
              <w:jc w:val="center"/>
              <w:rPr>
                <w:b/>
                <w:sz w:val="20"/>
              </w:rPr>
            </w:pPr>
            <w:r w:rsidRPr="004521C7">
              <w:rPr>
                <w:b/>
                <w:sz w:val="20"/>
              </w:rPr>
              <w:t>TB MBGS (Hydrus)</w:t>
            </w:r>
          </w:p>
        </w:tc>
        <w:tc>
          <w:tcPr>
            <w:tcW w:w="746" w:type="pct"/>
            <w:vAlign w:val="center"/>
          </w:tcPr>
          <w:p w14:paraId="59323B25" w14:textId="77777777" w:rsidR="00871BB7" w:rsidRPr="004521C7" w:rsidRDefault="00871BB7" w:rsidP="001F439A">
            <w:pPr>
              <w:keepNext/>
              <w:spacing w:before="0" w:after="0"/>
              <w:jc w:val="center"/>
              <w:rPr>
                <w:b/>
                <w:sz w:val="20"/>
              </w:rPr>
            </w:pPr>
            <w:r w:rsidRPr="004521C7">
              <w:rPr>
                <w:b/>
                <w:sz w:val="20"/>
              </w:rPr>
              <w:t>TB MBGS (iStent)</w:t>
            </w:r>
          </w:p>
        </w:tc>
      </w:tr>
      <w:tr w:rsidR="00871BB7" w:rsidRPr="004521C7" w14:paraId="030A3841" w14:textId="77777777" w:rsidTr="00B165A2">
        <w:tc>
          <w:tcPr>
            <w:tcW w:w="1634" w:type="pct"/>
            <w:tcBorders>
              <w:top w:val="nil"/>
              <w:bottom w:val="single" w:sz="4" w:space="0" w:color="auto"/>
            </w:tcBorders>
            <w:vAlign w:val="bottom"/>
          </w:tcPr>
          <w:p w14:paraId="515E81D3" w14:textId="77777777" w:rsidR="00871BB7" w:rsidRPr="004521C7" w:rsidRDefault="00871BB7" w:rsidP="001F439A">
            <w:pPr>
              <w:keepNext/>
              <w:spacing w:before="0" w:after="0"/>
              <w:rPr>
                <w:b/>
                <w:sz w:val="20"/>
              </w:rPr>
            </w:pPr>
            <w:r w:rsidRPr="004521C7">
              <w:rPr>
                <w:b/>
                <w:sz w:val="20"/>
              </w:rPr>
              <w:t>N</w:t>
            </w:r>
          </w:p>
        </w:tc>
        <w:tc>
          <w:tcPr>
            <w:tcW w:w="746" w:type="pct"/>
          </w:tcPr>
          <w:p w14:paraId="1D3D96DF" w14:textId="77777777" w:rsidR="00871BB7" w:rsidRPr="004521C7" w:rsidRDefault="00871BB7" w:rsidP="001F439A">
            <w:pPr>
              <w:keepNext/>
              <w:spacing w:before="0" w:after="0"/>
              <w:jc w:val="center"/>
              <w:rPr>
                <w:b/>
                <w:sz w:val="20"/>
              </w:rPr>
            </w:pPr>
            <w:r w:rsidRPr="004521C7">
              <w:rPr>
                <w:b/>
                <w:sz w:val="20"/>
              </w:rPr>
              <w:t>54</w:t>
            </w:r>
          </w:p>
        </w:tc>
        <w:tc>
          <w:tcPr>
            <w:tcW w:w="1024" w:type="pct"/>
          </w:tcPr>
          <w:p w14:paraId="5ED19E6F" w14:textId="77777777" w:rsidR="00871BB7" w:rsidRPr="004521C7" w:rsidRDefault="00871BB7" w:rsidP="001F439A">
            <w:pPr>
              <w:keepNext/>
              <w:spacing w:before="0" w:after="0"/>
              <w:jc w:val="center"/>
              <w:rPr>
                <w:b/>
                <w:sz w:val="20"/>
              </w:rPr>
            </w:pPr>
            <w:r w:rsidRPr="004521C7">
              <w:rPr>
                <w:b/>
                <w:sz w:val="20"/>
              </w:rPr>
              <w:t>47</w:t>
            </w:r>
          </w:p>
        </w:tc>
        <w:tc>
          <w:tcPr>
            <w:tcW w:w="851" w:type="pct"/>
          </w:tcPr>
          <w:p w14:paraId="11E13B7F" w14:textId="77777777" w:rsidR="00871BB7" w:rsidRPr="004521C7" w:rsidRDefault="00871BB7" w:rsidP="001F439A">
            <w:pPr>
              <w:keepNext/>
              <w:spacing w:before="0" w:after="0"/>
              <w:jc w:val="center"/>
              <w:rPr>
                <w:b/>
                <w:sz w:val="20"/>
              </w:rPr>
            </w:pPr>
            <w:r w:rsidRPr="004521C7">
              <w:rPr>
                <w:b/>
                <w:sz w:val="20"/>
              </w:rPr>
              <w:t>74</w:t>
            </w:r>
          </w:p>
        </w:tc>
        <w:tc>
          <w:tcPr>
            <w:tcW w:w="746" w:type="pct"/>
          </w:tcPr>
          <w:p w14:paraId="08B42C0A" w14:textId="77777777" w:rsidR="00871BB7" w:rsidRPr="004521C7" w:rsidRDefault="00871BB7" w:rsidP="001F439A">
            <w:pPr>
              <w:keepNext/>
              <w:spacing w:before="0" w:after="0"/>
              <w:jc w:val="center"/>
              <w:rPr>
                <w:b/>
                <w:sz w:val="20"/>
              </w:rPr>
            </w:pPr>
            <w:r w:rsidRPr="004521C7">
              <w:rPr>
                <w:b/>
                <w:sz w:val="20"/>
              </w:rPr>
              <w:t>76</w:t>
            </w:r>
          </w:p>
        </w:tc>
      </w:tr>
      <w:tr w:rsidR="00871BB7" w:rsidRPr="004521C7" w14:paraId="3C0777F6" w14:textId="77777777" w:rsidTr="00B165A2">
        <w:tc>
          <w:tcPr>
            <w:tcW w:w="1634" w:type="pct"/>
            <w:tcBorders>
              <w:top w:val="nil"/>
              <w:bottom w:val="single" w:sz="4" w:space="0" w:color="auto"/>
            </w:tcBorders>
            <w:vAlign w:val="bottom"/>
          </w:tcPr>
          <w:p w14:paraId="3A1CC711" w14:textId="77777777" w:rsidR="00871BB7" w:rsidRPr="004521C7" w:rsidRDefault="00871BB7" w:rsidP="001F439A">
            <w:pPr>
              <w:keepNext/>
              <w:spacing w:before="0" w:after="0"/>
              <w:rPr>
                <w:bCs/>
                <w:sz w:val="20"/>
              </w:rPr>
            </w:pPr>
            <w:r w:rsidRPr="004521C7">
              <w:rPr>
                <w:bCs/>
                <w:sz w:val="20"/>
              </w:rPr>
              <w:t>Intraoperative AEs</w:t>
            </w:r>
          </w:p>
        </w:tc>
        <w:tc>
          <w:tcPr>
            <w:tcW w:w="746" w:type="pct"/>
          </w:tcPr>
          <w:p w14:paraId="723223F2" w14:textId="77777777" w:rsidR="00871BB7" w:rsidRPr="004521C7" w:rsidRDefault="00871BB7" w:rsidP="001F439A">
            <w:pPr>
              <w:keepNext/>
              <w:spacing w:before="0" w:after="0"/>
              <w:jc w:val="center"/>
              <w:rPr>
                <w:bCs/>
                <w:sz w:val="20"/>
              </w:rPr>
            </w:pPr>
            <w:r w:rsidRPr="004521C7">
              <w:rPr>
                <w:bCs/>
                <w:sz w:val="20"/>
              </w:rPr>
              <w:t>2 (3.7)</w:t>
            </w:r>
          </w:p>
        </w:tc>
        <w:tc>
          <w:tcPr>
            <w:tcW w:w="1024" w:type="pct"/>
          </w:tcPr>
          <w:p w14:paraId="0899E0D2" w14:textId="77777777" w:rsidR="00871BB7" w:rsidRPr="004521C7" w:rsidRDefault="00871BB7" w:rsidP="001F439A">
            <w:pPr>
              <w:keepNext/>
              <w:spacing w:before="0" w:after="0"/>
              <w:jc w:val="center"/>
              <w:rPr>
                <w:bCs/>
                <w:sz w:val="20"/>
              </w:rPr>
            </w:pPr>
            <w:r w:rsidRPr="004521C7">
              <w:rPr>
                <w:bCs/>
                <w:sz w:val="20"/>
              </w:rPr>
              <w:t>NA</w:t>
            </w:r>
          </w:p>
        </w:tc>
        <w:tc>
          <w:tcPr>
            <w:tcW w:w="851" w:type="pct"/>
          </w:tcPr>
          <w:p w14:paraId="464C19AC" w14:textId="77777777" w:rsidR="00871BB7" w:rsidRPr="004521C7" w:rsidRDefault="00871BB7" w:rsidP="001F439A">
            <w:pPr>
              <w:keepNext/>
              <w:spacing w:before="0" w:after="0"/>
              <w:jc w:val="center"/>
              <w:rPr>
                <w:bCs/>
                <w:sz w:val="20"/>
              </w:rPr>
            </w:pPr>
            <w:r w:rsidRPr="004521C7">
              <w:rPr>
                <w:bCs/>
                <w:sz w:val="20"/>
              </w:rPr>
              <w:t>0 (0)</w:t>
            </w:r>
          </w:p>
        </w:tc>
        <w:tc>
          <w:tcPr>
            <w:tcW w:w="746" w:type="pct"/>
          </w:tcPr>
          <w:p w14:paraId="7081BB9D" w14:textId="77777777" w:rsidR="00871BB7" w:rsidRPr="004521C7" w:rsidRDefault="00871BB7" w:rsidP="001F439A">
            <w:pPr>
              <w:keepNext/>
              <w:spacing w:before="0" w:after="0"/>
              <w:jc w:val="center"/>
              <w:rPr>
                <w:bCs/>
                <w:sz w:val="20"/>
              </w:rPr>
            </w:pPr>
            <w:r w:rsidRPr="004521C7">
              <w:rPr>
                <w:bCs/>
                <w:sz w:val="20"/>
              </w:rPr>
              <w:t>0 (0)</w:t>
            </w:r>
          </w:p>
        </w:tc>
      </w:tr>
      <w:tr w:rsidR="00871BB7" w:rsidRPr="004521C7" w14:paraId="6DAA6179" w14:textId="77777777" w:rsidTr="00B165A2">
        <w:tc>
          <w:tcPr>
            <w:tcW w:w="1634" w:type="pct"/>
            <w:tcBorders>
              <w:top w:val="single" w:sz="4" w:space="0" w:color="auto"/>
              <w:bottom w:val="single" w:sz="4" w:space="0" w:color="auto"/>
            </w:tcBorders>
            <w:vAlign w:val="bottom"/>
          </w:tcPr>
          <w:p w14:paraId="0591F103" w14:textId="77777777" w:rsidR="00871BB7" w:rsidRPr="004521C7" w:rsidRDefault="00871BB7" w:rsidP="001F439A">
            <w:pPr>
              <w:keepNext/>
              <w:spacing w:before="0" w:after="0"/>
              <w:rPr>
                <w:sz w:val="20"/>
              </w:rPr>
            </w:pPr>
            <w:r w:rsidRPr="004521C7">
              <w:rPr>
                <w:sz w:val="20"/>
              </w:rPr>
              <w:t>Mild eye burning</w:t>
            </w:r>
          </w:p>
        </w:tc>
        <w:tc>
          <w:tcPr>
            <w:tcW w:w="746" w:type="pct"/>
          </w:tcPr>
          <w:p w14:paraId="602A5B64" w14:textId="77777777" w:rsidR="00871BB7" w:rsidRPr="004521C7" w:rsidRDefault="00871BB7" w:rsidP="001F439A">
            <w:pPr>
              <w:keepNext/>
              <w:spacing w:before="0" w:after="0"/>
              <w:jc w:val="center"/>
              <w:rPr>
                <w:sz w:val="20"/>
              </w:rPr>
            </w:pPr>
            <w:r w:rsidRPr="004521C7">
              <w:rPr>
                <w:sz w:val="20"/>
              </w:rPr>
              <w:t>-</w:t>
            </w:r>
          </w:p>
        </w:tc>
        <w:tc>
          <w:tcPr>
            <w:tcW w:w="1024" w:type="pct"/>
          </w:tcPr>
          <w:p w14:paraId="5400E910" w14:textId="77777777" w:rsidR="00871BB7" w:rsidRPr="004521C7" w:rsidRDefault="00871BB7" w:rsidP="001F439A">
            <w:pPr>
              <w:keepNext/>
              <w:spacing w:before="0" w:after="0"/>
              <w:jc w:val="center"/>
              <w:rPr>
                <w:sz w:val="20"/>
              </w:rPr>
            </w:pPr>
            <w:r w:rsidRPr="004521C7">
              <w:rPr>
                <w:sz w:val="20"/>
              </w:rPr>
              <w:t>-</w:t>
            </w:r>
          </w:p>
        </w:tc>
        <w:tc>
          <w:tcPr>
            <w:tcW w:w="851" w:type="pct"/>
          </w:tcPr>
          <w:p w14:paraId="2CCF72FE" w14:textId="77777777" w:rsidR="00871BB7" w:rsidRPr="004521C7" w:rsidRDefault="00871BB7" w:rsidP="001F439A">
            <w:pPr>
              <w:keepNext/>
              <w:spacing w:before="0" w:after="0"/>
              <w:jc w:val="center"/>
              <w:rPr>
                <w:sz w:val="20"/>
              </w:rPr>
            </w:pPr>
            <w:r w:rsidRPr="004521C7">
              <w:rPr>
                <w:sz w:val="20"/>
              </w:rPr>
              <w:t>-</w:t>
            </w:r>
          </w:p>
        </w:tc>
        <w:tc>
          <w:tcPr>
            <w:tcW w:w="746" w:type="pct"/>
          </w:tcPr>
          <w:p w14:paraId="2D7B48F3" w14:textId="77777777" w:rsidR="00871BB7" w:rsidRPr="004521C7" w:rsidRDefault="00871BB7" w:rsidP="001F439A">
            <w:pPr>
              <w:keepNext/>
              <w:spacing w:before="0" w:after="0"/>
              <w:jc w:val="center"/>
              <w:rPr>
                <w:sz w:val="20"/>
              </w:rPr>
            </w:pPr>
            <w:r w:rsidRPr="004521C7">
              <w:rPr>
                <w:sz w:val="20"/>
              </w:rPr>
              <w:t>-</w:t>
            </w:r>
          </w:p>
        </w:tc>
      </w:tr>
      <w:tr w:rsidR="00871BB7" w:rsidRPr="004521C7" w14:paraId="7CF70A00" w14:textId="77777777" w:rsidTr="00B165A2">
        <w:tc>
          <w:tcPr>
            <w:tcW w:w="1634" w:type="pct"/>
            <w:tcBorders>
              <w:top w:val="single" w:sz="4" w:space="0" w:color="auto"/>
              <w:bottom w:val="single" w:sz="4" w:space="0" w:color="auto"/>
            </w:tcBorders>
            <w:vAlign w:val="bottom"/>
          </w:tcPr>
          <w:p w14:paraId="3C6A5EEF" w14:textId="77777777" w:rsidR="00871BB7" w:rsidRPr="004521C7" w:rsidRDefault="00871BB7" w:rsidP="001F439A">
            <w:pPr>
              <w:keepNext/>
              <w:spacing w:before="0" w:after="0"/>
              <w:rPr>
                <w:sz w:val="20"/>
              </w:rPr>
            </w:pPr>
            <w:r w:rsidRPr="004521C7">
              <w:rPr>
                <w:sz w:val="20"/>
              </w:rPr>
              <w:t>IOP decompensation with elevated IOP / IOP spike</w:t>
            </w:r>
          </w:p>
        </w:tc>
        <w:tc>
          <w:tcPr>
            <w:tcW w:w="746" w:type="pct"/>
          </w:tcPr>
          <w:p w14:paraId="6F7F2ECA" w14:textId="77777777" w:rsidR="00871BB7" w:rsidRPr="004521C7" w:rsidRDefault="00871BB7" w:rsidP="001F439A">
            <w:pPr>
              <w:keepNext/>
              <w:spacing w:before="0" w:after="0"/>
              <w:jc w:val="center"/>
              <w:rPr>
                <w:sz w:val="20"/>
              </w:rPr>
            </w:pPr>
            <w:r w:rsidRPr="004521C7">
              <w:rPr>
                <w:sz w:val="20"/>
              </w:rPr>
              <w:t>-</w:t>
            </w:r>
          </w:p>
        </w:tc>
        <w:tc>
          <w:tcPr>
            <w:tcW w:w="1024" w:type="pct"/>
          </w:tcPr>
          <w:p w14:paraId="7D32F80F" w14:textId="77777777" w:rsidR="00871BB7" w:rsidRPr="004521C7" w:rsidRDefault="00871BB7" w:rsidP="001F439A">
            <w:pPr>
              <w:keepNext/>
              <w:spacing w:before="0" w:after="0"/>
              <w:jc w:val="center"/>
              <w:rPr>
                <w:sz w:val="20"/>
              </w:rPr>
            </w:pPr>
            <w:r w:rsidRPr="004521C7">
              <w:rPr>
                <w:sz w:val="20"/>
              </w:rPr>
              <w:t>-</w:t>
            </w:r>
          </w:p>
        </w:tc>
        <w:tc>
          <w:tcPr>
            <w:tcW w:w="851" w:type="pct"/>
          </w:tcPr>
          <w:p w14:paraId="5EABEDB4" w14:textId="77777777" w:rsidR="00871BB7" w:rsidRPr="004521C7" w:rsidRDefault="00871BB7" w:rsidP="001F439A">
            <w:pPr>
              <w:keepNext/>
              <w:spacing w:before="0" w:after="0"/>
              <w:jc w:val="center"/>
              <w:rPr>
                <w:sz w:val="20"/>
              </w:rPr>
            </w:pPr>
            <w:r w:rsidRPr="004521C7">
              <w:rPr>
                <w:sz w:val="20"/>
              </w:rPr>
              <w:t>3 (4.1)</w:t>
            </w:r>
          </w:p>
        </w:tc>
        <w:tc>
          <w:tcPr>
            <w:tcW w:w="746" w:type="pct"/>
          </w:tcPr>
          <w:p w14:paraId="04CB0E7A" w14:textId="77777777" w:rsidR="00871BB7" w:rsidRPr="004521C7" w:rsidRDefault="00871BB7" w:rsidP="001F439A">
            <w:pPr>
              <w:keepNext/>
              <w:spacing w:before="0" w:after="0"/>
              <w:jc w:val="center"/>
              <w:rPr>
                <w:sz w:val="20"/>
              </w:rPr>
            </w:pPr>
            <w:r w:rsidRPr="004521C7">
              <w:rPr>
                <w:sz w:val="20"/>
              </w:rPr>
              <w:t>4 (5.3)</w:t>
            </w:r>
          </w:p>
        </w:tc>
      </w:tr>
      <w:tr w:rsidR="00871BB7" w:rsidRPr="004521C7" w14:paraId="1423E2DB" w14:textId="77777777" w:rsidTr="00B165A2">
        <w:tc>
          <w:tcPr>
            <w:tcW w:w="1634" w:type="pct"/>
            <w:tcBorders>
              <w:top w:val="single" w:sz="4" w:space="0" w:color="auto"/>
              <w:bottom w:val="single" w:sz="4" w:space="0" w:color="auto"/>
            </w:tcBorders>
            <w:vAlign w:val="bottom"/>
          </w:tcPr>
          <w:p w14:paraId="2C479E3C" w14:textId="77777777" w:rsidR="00871BB7" w:rsidRPr="004521C7" w:rsidRDefault="00871BB7" w:rsidP="001F439A">
            <w:pPr>
              <w:keepNext/>
              <w:spacing w:before="0" w:after="0"/>
              <w:rPr>
                <w:sz w:val="20"/>
              </w:rPr>
            </w:pPr>
            <w:r w:rsidRPr="004521C7">
              <w:rPr>
                <w:sz w:val="20"/>
              </w:rPr>
              <w:t>Medication allergy</w:t>
            </w:r>
          </w:p>
        </w:tc>
        <w:tc>
          <w:tcPr>
            <w:tcW w:w="746" w:type="pct"/>
          </w:tcPr>
          <w:p w14:paraId="78E83FA6" w14:textId="77777777" w:rsidR="00871BB7" w:rsidRPr="004521C7" w:rsidRDefault="00871BB7" w:rsidP="001F439A">
            <w:pPr>
              <w:keepNext/>
              <w:spacing w:before="0" w:after="0"/>
              <w:jc w:val="center"/>
              <w:rPr>
                <w:sz w:val="20"/>
              </w:rPr>
            </w:pPr>
            <w:r w:rsidRPr="004521C7">
              <w:rPr>
                <w:sz w:val="20"/>
              </w:rPr>
              <w:t>-</w:t>
            </w:r>
          </w:p>
        </w:tc>
        <w:tc>
          <w:tcPr>
            <w:tcW w:w="1024" w:type="pct"/>
          </w:tcPr>
          <w:p w14:paraId="00DEB101" w14:textId="77777777" w:rsidR="00871BB7" w:rsidRPr="004521C7" w:rsidRDefault="00871BB7" w:rsidP="001F439A">
            <w:pPr>
              <w:keepNext/>
              <w:spacing w:before="0" w:after="0"/>
              <w:jc w:val="center"/>
              <w:rPr>
                <w:sz w:val="20"/>
              </w:rPr>
            </w:pPr>
            <w:r w:rsidRPr="004521C7">
              <w:rPr>
                <w:sz w:val="20"/>
              </w:rPr>
              <w:t>-</w:t>
            </w:r>
          </w:p>
        </w:tc>
        <w:tc>
          <w:tcPr>
            <w:tcW w:w="851" w:type="pct"/>
          </w:tcPr>
          <w:p w14:paraId="74A619D8" w14:textId="77777777" w:rsidR="00871BB7" w:rsidRPr="004521C7" w:rsidRDefault="00871BB7" w:rsidP="001F439A">
            <w:pPr>
              <w:keepNext/>
              <w:spacing w:before="0" w:after="0"/>
              <w:jc w:val="center"/>
              <w:rPr>
                <w:sz w:val="20"/>
              </w:rPr>
            </w:pPr>
            <w:r w:rsidRPr="004521C7">
              <w:rPr>
                <w:sz w:val="20"/>
              </w:rPr>
              <w:t>-</w:t>
            </w:r>
          </w:p>
        </w:tc>
        <w:tc>
          <w:tcPr>
            <w:tcW w:w="746" w:type="pct"/>
          </w:tcPr>
          <w:p w14:paraId="233A7193" w14:textId="77777777" w:rsidR="00871BB7" w:rsidRPr="004521C7" w:rsidRDefault="00871BB7" w:rsidP="001F439A">
            <w:pPr>
              <w:keepNext/>
              <w:spacing w:before="0" w:after="0"/>
              <w:jc w:val="center"/>
              <w:rPr>
                <w:sz w:val="20"/>
              </w:rPr>
            </w:pPr>
            <w:r w:rsidRPr="004521C7">
              <w:rPr>
                <w:sz w:val="20"/>
              </w:rPr>
              <w:t>-</w:t>
            </w:r>
          </w:p>
        </w:tc>
      </w:tr>
      <w:tr w:rsidR="00871BB7" w:rsidRPr="004521C7" w14:paraId="0C04B417" w14:textId="77777777" w:rsidTr="00B165A2">
        <w:tc>
          <w:tcPr>
            <w:tcW w:w="1634" w:type="pct"/>
            <w:tcBorders>
              <w:top w:val="single" w:sz="4" w:space="0" w:color="auto"/>
              <w:bottom w:val="single" w:sz="4" w:space="0" w:color="auto"/>
            </w:tcBorders>
            <w:vAlign w:val="bottom"/>
          </w:tcPr>
          <w:p w14:paraId="3FC2A5DA" w14:textId="77777777" w:rsidR="00871BB7" w:rsidRPr="004521C7" w:rsidRDefault="00871BB7" w:rsidP="001F439A">
            <w:pPr>
              <w:keepNext/>
              <w:spacing w:before="0" w:after="0"/>
              <w:rPr>
                <w:sz w:val="20"/>
              </w:rPr>
            </w:pPr>
            <w:r w:rsidRPr="004521C7">
              <w:rPr>
                <w:sz w:val="20"/>
              </w:rPr>
              <w:t>Stent obstruction</w:t>
            </w:r>
          </w:p>
        </w:tc>
        <w:tc>
          <w:tcPr>
            <w:tcW w:w="746" w:type="pct"/>
          </w:tcPr>
          <w:p w14:paraId="4DC4E13A" w14:textId="77777777" w:rsidR="00871BB7" w:rsidRPr="004521C7" w:rsidRDefault="00871BB7" w:rsidP="001F439A">
            <w:pPr>
              <w:keepNext/>
              <w:spacing w:before="0" w:after="0"/>
              <w:jc w:val="center"/>
              <w:rPr>
                <w:sz w:val="20"/>
              </w:rPr>
            </w:pPr>
            <w:r w:rsidRPr="004521C7">
              <w:rPr>
                <w:sz w:val="20"/>
              </w:rPr>
              <w:t>-</w:t>
            </w:r>
          </w:p>
        </w:tc>
        <w:tc>
          <w:tcPr>
            <w:tcW w:w="1024" w:type="pct"/>
          </w:tcPr>
          <w:p w14:paraId="150152A1" w14:textId="77777777" w:rsidR="00871BB7" w:rsidRPr="004521C7" w:rsidRDefault="00871BB7" w:rsidP="001F439A">
            <w:pPr>
              <w:keepNext/>
              <w:spacing w:before="0" w:after="0"/>
              <w:jc w:val="center"/>
              <w:rPr>
                <w:sz w:val="20"/>
              </w:rPr>
            </w:pPr>
            <w:r w:rsidRPr="004521C7">
              <w:rPr>
                <w:sz w:val="20"/>
              </w:rPr>
              <w:t>-</w:t>
            </w:r>
          </w:p>
        </w:tc>
        <w:tc>
          <w:tcPr>
            <w:tcW w:w="851" w:type="pct"/>
          </w:tcPr>
          <w:p w14:paraId="47C710B0" w14:textId="77777777" w:rsidR="00871BB7" w:rsidRPr="004521C7" w:rsidRDefault="00871BB7" w:rsidP="001F439A">
            <w:pPr>
              <w:keepNext/>
              <w:spacing w:before="0" w:after="0"/>
              <w:jc w:val="center"/>
              <w:rPr>
                <w:sz w:val="20"/>
              </w:rPr>
            </w:pPr>
            <w:r w:rsidRPr="004521C7">
              <w:rPr>
                <w:sz w:val="20"/>
              </w:rPr>
              <w:t>9 (12.2)</w:t>
            </w:r>
          </w:p>
        </w:tc>
        <w:tc>
          <w:tcPr>
            <w:tcW w:w="746" w:type="pct"/>
          </w:tcPr>
          <w:p w14:paraId="3AD80355" w14:textId="77777777" w:rsidR="00871BB7" w:rsidRPr="004521C7" w:rsidRDefault="00871BB7" w:rsidP="001F439A">
            <w:pPr>
              <w:keepNext/>
              <w:spacing w:before="0" w:after="0"/>
              <w:jc w:val="center"/>
              <w:rPr>
                <w:sz w:val="20"/>
              </w:rPr>
            </w:pPr>
            <w:r w:rsidRPr="004521C7">
              <w:rPr>
                <w:sz w:val="20"/>
              </w:rPr>
              <w:t>10 (13.2)</w:t>
            </w:r>
          </w:p>
        </w:tc>
      </w:tr>
      <w:tr w:rsidR="00871BB7" w:rsidRPr="004521C7" w14:paraId="39B25710" w14:textId="77777777" w:rsidTr="00B165A2">
        <w:tc>
          <w:tcPr>
            <w:tcW w:w="1634" w:type="pct"/>
            <w:tcBorders>
              <w:top w:val="single" w:sz="4" w:space="0" w:color="auto"/>
              <w:bottom w:val="single" w:sz="4" w:space="0" w:color="auto"/>
            </w:tcBorders>
            <w:vAlign w:val="bottom"/>
          </w:tcPr>
          <w:p w14:paraId="2B7D9286" w14:textId="77777777" w:rsidR="00871BB7" w:rsidRPr="004521C7" w:rsidRDefault="00871BB7" w:rsidP="001F439A">
            <w:pPr>
              <w:keepNext/>
              <w:spacing w:before="0" w:after="0"/>
              <w:rPr>
                <w:sz w:val="20"/>
              </w:rPr>
            </w:pPr>
            <w:r w:rsidRPr="004521C7">
              <w:rPr>
                <w:sz w:val="20"/>
              </w:rPr>
              <w:t>Soreness/discomfort</w:t>
            </w:r>
          </w:p>
        </w:tc>
        <w:tc>
          <w:tcPr>
            <w:tcW w:w="746" w:type="pct"/>
          </w:tcPr>
          <w:p w14:paraId="5872AC48" w14:textId="77777777" w:rsidR="00871BB7" w:rsidRPr="004521C7" w:rsidRDefault="00871BB7" w:rsidP="001F439A">
            <w:pPr>
              <w:keepNext/>
              <w:spacing w:before="0" w:after="0"/>
              <w:jc w:val="center"/>
              <w:rPr>
                <w:sz w:val="20"/>
              </w:rPr>
            </w:pPr>
            <w:r w:rsidRPr="004521C7">
              <w:rPr>
                <w:sz w:val="20"/>
              </w:rPr>
              <w:t>-</w:t>
            </w:r>
          </w:p>
        </w:tc>
        <w:tc>
          <w:tcPr>
            <w:tcW w:w="1024" w:type="pct"/>
          </w:tcPr>
          <w:p w14:paraId="42481F65" w14:textId="77777777" w:rsidR="00871BB7" w:rsidRPr="004521C7" w:rsidRDefault="00871BB7" w:rsidP="001F439A">
            <w:pPr>
              <w:keepNext/>
              <w:spacing w:before="0" w:after="0"/>
              <w:jc w:val="center"/>
              <w:rPr>
                <w:sz w:val="20"/>
              </w:rPr>
            </w:pPr>
            <w:r w:rsidRPr="004521C7">
              <w:rPr>
                <w:sz w:val="20"/>
              </w:rPr>
              <w:t>-</w:t>
            </w:r>
          </w:p>
        </w:tc>
        <w:tc>
          <w:tcPr>
            <w:tcW w:w="851" w:type="pct"/>
          </w:tcPr>
          <w:p w14:paraId="746F4BED" w14:textId="77777777" w:rsidR="00871BB7" w:rsidRPr="004521C7" w:rsidRDefault="00871BB7" w:rsidP="001F439A">
            <w:pPr>
              <w:keepNext/>
              <w:spacing w:before="0" w:after="0"/>
              <w:jc w:val="center"/>
              <w:rPr>
                <w:sz w:val="20"/>
              </w:rPr>
            </w:pPr>
            <w:r w:rsidRPr="004521C7">
              <w:rPr>
                <w:sz w:val="20"/>
              </w:rPr>
              <w:t>-</w:t>
            </w:r>
          </w:p>
        </w:tc>
        <w:tc>
          <w:tcPr>
            <w:tcW w:w="746" w:type="pct"/>
          </w:tcPr>
          <w:p w14:paraId="6CC0C0D3" w14:textId="77777777" w:rsidR="00871BB7" w:rsidRPr="004521C7" w:rsidRDefault="00871BB7" w:rsidP="001F439A">
            <w:pPr>
              <w:keepNext/>
              <w:spacing w:before="0" w:after="0"/>
              <w:jc w:val="center"/>
              <w:rPr>
                <w:sz w:val="20"/>
              </w:rPr>
            </w:pPr>
            <w:r w:rsidRPr="004521C7">
              <w:rPr>
                <w:sz w:val="20"/>
              </w:rPr>
              <w:t>-</w:t>
            </w:r>
          </w:p>
        </w:tc>
      </w:tr>
      <w:tr w:rsidR="00871BB7" w:rsidRPr="004521C7" w14:paraId="1E1718C1" w14:textId="77777777" w:rsidTr="00B165A2">
        <w:tc>
          <w:tcPr>
            <w:tcW w:w="1634" w:type="pct"/>
            <w:tcBorders>
              <w:top w:val="single" w:sz="4" w:space="0" w:color="auto"/>
              <w:bottom w:val="single" w:sz="4" w:space="0" w:color="auto"/>
            </w:tcBorders>
            <w:vAlign w:val="bottom"/>
          </w:tcPr>
          <w:p w14:paraId="09C2D6C2" w14:textId="77777777" w:rsidR="00871BB7" w:rsidRPr="004521C7" w:rsidRDefault="00871BB7" w:rsidP="001F439A">
            <w:pPr>
              <w:keepNext/>
              <w:spacing w:before="0" w:after="0"/>
              <w:rPr>
                <w:sz w:val="20"/>
              </w:rPr>
            </w:pPr>
            <w:r w:rsidRPr="004521C7">
              <w:rPr>
                <w:sz w:val="20"/>
              </w:rPr>
              <w:t xml:space="preserve">Decrease in BCVA </w:t>
            </w:r>
          </w:p>
        </w:tc>
        <w:tc>
          <w:tcPr>
            <w:tcW w:w="746" w:type="pct"/>
          </w:tcPr>
          <w:p w14:paraId="21F2AE52" w14:textId="77777777" w:rsidR="00871BB7" w:rsidRPr="004521C7" w:rsidRDefault="00871BB7" w:rsidP="001F439A">
            <w:pPr>
              <w:keepNext/>
              <w:spacing w:before="0" w:after="0"/>
              <w:jc w:val="center"/>
              <w:rPr>
                <w:sz w:val="20"/>
              </w:rPr>
            </w:pPr>
            <w:r w:rsidRPr="004521C7">
              <w:rPr>
                <w:sz w:val="20"/>
              </w:rPr>
              <w:t>-</w:t>
            </w:r>
          </w:p>
        </w:tc>
        <w:tc>
          <w:tcPr>
            <w:tcW w:w="1024" w:type="pct"/>
          </w:tcPr>
          <w:p w14:paraId="761642D9" w14:textId="77777777" w:rsidR="00871BB7" w:rsidRPr="004521C7" w:rsidRDefault="00871BB7" w:rsidP="001F439A">
            <w:pPr>
              <w:keepNext/>
              <w:spacing w:before="0" w:after="0"/>
              <w:jc w:val="center"/>
              <w:rPr>
                <w:sz w:val="20"/>
              </w:rPr>
            </w:pPr>
            <w:r w:rsidRPr="004521C7">
              <w:rPr>
                <w:sz w:val="20"/>
              </w:rPr>
              <w:t>-</w:t>
            </w:r>
          </w:p>
        </w:tc>
        <w:tc>
          <w:tcPr>
            <w:tcW w:w="851" w:type="pct"/>
          </w:tcPr>
          <w:p w14:paraId="20D055C0" w14:textId="77777777" w:rsidR="00871BB7" w:rsidRPr="004521C7" w:rsidRDefault="00871BB7" w:rsidP="001F439A">
            <w:pPr>
              <w:keepNext/>
              <w:spacing w:before="0" w:after="0"/>
              <w:jc w:val="center"/>
              <w:rPr>
                <w:sz w:val="20"/>
              </w:rPr>
            </w:pPr>
            <w:r w:rsidRPr="004521C7">
              <w:rPr>
                <w:sz w:val="20"/>
              </w:rPr>
              <w:t>2 (2.7)</w:t>
            </w:r>
          </w:p>
        </w:tc>
        <w:tc>
          <w:tcPr>
            <w:tcW w:w="746" w:type="pct"/>
          </w:tcPr>
          <w:p w14:paraId="737657E6" w14:textId="77777777" w:rsidR="00871BB7" w:rsidRPr="004521C7" w:rsidRDefault="00871BB7" w:rsidP="001F439A">
            <w:pPr>
              <w:keepNext/>
              <w:spacing w:before="0" w:after="0"/>
              <w:jc w:val="center"/>
              <w:rPr>
                <w:sz w:val="20"/>
              </w:rPr>
            </w:pPr>
            <w:r w:rsidRPr="004521C7">
              <w:rPr>
                <w:sz w:val="20"/>
              </w:rPr>
              <w:t>1 (1.3)</w:t>
            </w:r>
          </w:p>
        </w:tc>
      </w:tr>
      <w:tr w:rsidR="00871BB7" w:rsidRPr="004521C7" w14:paraId="173FC112" w14:textId="77777777" w:rsidTr="00B165A2">
        <w:tc>
          <w:tcPr>
            <w:tcW w:w="1634" w:type="pct"/>
            <w:tcBorders>
              <w:top w:val="single" w:sz="4" w:space="0" w:color="auto"/>
              <w:bottom w:val="single" w:sz="4" w:space="0" w:color="auto"/>
            </w:tcBorders>
            <w:vAlign w:val="bottom"/>
          </w:tcPr>
          <w:p w14:paraId="771D63E0" w14:textId="77777777" w:rsidR="00871BB7" w:rsidRPr="004521C7" w:rsidRDefault="00871BB7" w:rsidP="001F439A">
            <w:pPr>
              <w:keepNext/>
              <w:spacing w:before="0" w:after="0"/>
              <w:rPr>
                <w:sz w:val="20"/>
              </w:rPr>
            </w:pPr>
            <w:r w:rsidRPr="004521C7">
              <w:rPr>
                <w:sz w:val="20"/>
              </w:rPr>
              <w:t>Hyphaema</w:t>
            </w:r>
          </w:p>
        </w:tc>
        <w:tc>
          <w:tcPr>
            <w:tcW w:w="746" w:type="pct"/>
          </w:tcPr>
          <w:p w14:paraId="788C0A8B" w14:textId="77777777" w:rsidR="00871BB7" w:rsidRPr="004521C7" w:rsidRDefault="00871BB7" w:rsidP="001F439A">
            <w:pPr>
              <w:keepNext/>
              <w:spacing w:before="0" w:after="0"/>
              <w:jc w:val="center"/>
              <w:rPr>
                <w:sz w:val="20"/>
              </w:rPr>
            </w:pPr>
            <w:r w:rsidRPr="004521C7">
              <w:rPr>
                <w:sz w:val="20"/>
              </w:rPr>
              <w:t>1 (1.9)</w:t>
            </w:r>
          </w:p>
        </w:tc>
        <w:tc>
          <w:tcPr>
            <w:tcW w:w="1024" w:type="pct"/>
          </w:tcPr>
          <w:p w14:paraId="2F7D5E6C" w14:textId="77777777" w:rsidR="00871BB7" w:rsidRPr="004521C7" w:rsidRDefault="00871BB7" w:rsidP="001F439A">
            <w:pPr>
              <w:keepNext/>
              <w:spacing w:before="0" w:after="0"/>
              <w:jc w:val="center"/>
              <w:rPr>
                <w:sz w:val="20"/>
              </w:rPr>
            </w:pPr>
            <w:r w:rsidRPr="004521C7">
              <w:rPr>
                <w:sz w:val="20"/>
              </w:rPr>
              <w:t>0 (0)</w:t>
            </w:r>
          </w:p>
        </w:tc>
        <w:tc>
          <w:tcPr>
            <w:tcW w:w="851" w:type="pct"/>
          </w:tcPr>
          <w:p w14:paraId="7825B839" w14:textId="77777777" w:rsidR="00871BB7" w:rsidRPr="004521C7" w:rsidRDefault="00871BB7" w:rsidP="001F439A">
            <w:pPr>
              <w:keepNext/>
              <w:spacing w:before="0" w:after="0"/>
              <w:jc w:val="center"/>
              <w:rPr>
                <w:sz w:val="20"/>
              </w:rPr>
            </w:pPr>
            <w:r w:rsidRPr="004521C7">
              <w:rPr>
                <w:sz w:val="20"/>
              </w:rPr>
              <w:t>-</w:t>
            </w:r>
          </w:p>
        </w:tc>
        <w:tc>
          <w:tcPr>
            <w:tcW w:w="746" w:type="pct"/>
          </w:tcPr>
          <w:p w14:paraId="5A194A2F" w14:textId="77777777" w:rsidR="00871BB7" w:rsidRPr="004521C7" w:rsidRDefault="00871BB7" w:rsidP="001F439A">
            <w:pPr>
              <w:keepNext/>
              <w:spacing w:before="0" w:after="0"/>
              <w:jc w:val="center"/>
              <w:rPr>
                <w:sz w:val="20"/>
              </w:rPr>
            </w:pPr>
            <w:r w:rsidRPr="004521C7">
              <w:rPr>
                <w:sz w:val="20"/>
              </w:rPr>
              <w:t>-</w:t>
            </w:r>
          </w:p>
        </w:tc>
      </w:tr>
      <w:tr w:rsidR="00871BB7" w:rsidRPr="004521C7" w14:paraId="4ED8DCA9" w14:textId="77777777" w:rsidTr="00B165A2">
        <w:tc>
          <w:tcPr>
            <w:tcW w:w="1634" w:type="pct"/>
            <w:tcBorders>
              <w:top w:val="single" w:sz="4" w:space="0" w:color="auto"/>
              <w:bottom w:val="single" w:sz="4" w:space="0" w:color="auto"/>
            </w:tcBorders>
            <w:vAlign w:val="bottom"/>
          </w:tcPr>
          <w:p w14:paraId="03DE9AC5" w14:textId="77777777" w:rsidR="00871BB7" w:rsidRPr="004521C7" w:rsidRDefault="00871BB7" w:rsidP="001F439A">
            <w:pPr>
              <w:keepNext/>
              <w:spacing w:before="0" w:after="0"/>
              <w:rPr>
                <w:sz w:val="20"/>
              </w:rPr>
            </w:pPr>
            <w:r w:rsidRPr="004521C7">
              <w:rPr>
                <w:sz w:val="20"/>
              </w:rPr>
              <w:t>Iridodialysis</w:t>
            </w:r>
          </w:p>
        </w:tc>
        <w:tc>
          <w:tcPr>
            <w:tcW w:w="746" w:type="pct"/>
          </w:tcPr>
          <w:p w14:paraId="01AC3AF6" w14:textId="77777777" w:rsidR="00871BB7" w:rsidRPr="004521C7" w:rsidRDefault="00871BB7" w:rsidP="001F439A">
            <w:pPr>
              <w:keepNext/>
              <w:spacing w:before="0" w:after="0"/>
              <w:jc w:val="center"/>
              <w:rPr>
                <w:sz w:val="20"/>
              </w:rPr>
            </w:pPr>
            <w:r w:rsidRPr="004521C7">
              <w:rPr>
                <w:sz w:val="20"/>
              </w:rPr>
              <w:t>1 (1.9)</w:t>
            </w:r>
          </w:p>
        </w:tc>
        <w:tc>
          <w:tcPr>
            <w:tcW w:w="1024" w:type="pct"/>
          </w:tcPr>
          <w:p w14:paraId="475E90EF" w14:textId="77777777" w:rsidR="00871BB7" w:rsidRPr="004521C7" w:rsidRDefault="00871BB7" w:rsidP="001F439A">
            <w:pPr>
              <w:keepNext/>
              <w:spacing w:before="0" w:after="0"/>
              <w:jc w:val="center"/>
              <w:rPr>
                <w:sz w:val="20"/>
              </w:rPr>
            </w:pPr>
            <w:r w:rsidRPr="004521C7">
              <w:rPr>
                <w:sz w:val="20"/>
              </w:rPr>
              <w:t>0 (0)</w:t>
            </w:r>
          </w:p>
        </w:tc>
        <w:tc>
          <w:tcPr>
            <w:tcW w:w="851" w:type="pct"/>
          </w:tcPr>
          <w:p w14:paraId="0D64144A" w14:textId="77777777" w:rsidR="00871BB7" w:rsidRPr="004521C7" w:rsidRDefault="00871BB7" w:rsidP="001F439A">
            <w:pPr>
              <w:keepNext/>
              <w:spacing w:before="0" w:after="0"/>
              <w:jc w:val="center"/>
              <w:rPr>
                <w:sz w:val="20"/>
              </w:rPr>
            </w:pPr>
            <w:r w:rsidRPr="004521C7">
              <w:rPr>
                <w:sz w:val="20"/>
              </w:rPr>
              <w:t>-</w:t>
            </w:r>
          </w:p>
        </w:tc>
        <w:tc>
          <w:tcPr>
            <w:tcW w:w="746" w:type="pct"/>
          </w:tcPr>
          <w:p w14:paraId="536B1A32" w14:textId="77777777" w:rsidR="00871BB7" w:rsidRPr="004521C7" w:rsidRDefault="00871BB7" w:rsidP="001F439A">
            <w:pPr>
              <w:keepNext/>
              <w:spacing w:before="0" w:after="0"/>
              <w:jc w:val="center"/>
              <w:rPr>
                <w:sz w:val="20"/>
              </w:rPr>
            </w:pPr>
            <w:r w:rsidRPr="004521C7">
              <w:rPr>
                <w:sz w:val="20"/>
              </w:rPr>
              <w:t>-</w:t>
            </w:r>
          </w:p>
        </w:tc>
      </w:tr>
      <w:tr w:rsidR="00871BB7" w:rsidRPr="004521C7" w14:paraId="4791FC9A" w14:textId="77777777" w:rsidTr="00B165A2">
        <w:tc>
          <w:tcPr>
            <w:tcW w:w="1634" w:type="pct"/>
            <w:tcBorders>
              <w:top w:val="single" w:sz="4" w:space="0" w:color="auto"/>
              <w:bottom w:val="single" w:sz="4" w:space="0" w:color="auto"/>
            </w:tcBorders>
            <w:vAlign w:val="bottom"/>
          </w:tcPr>
          <w:p w14:paraId="709619D5" w14:textId="77777777" w:rsidR="00871BB7" w:rsidRPr="004521C7" w:rsidRDefault="00871BB7" w:rsidP="001F439A">
            <w:pPr>
              <w:keepNext/>
              <w:spacing w:before="0" w:after="0"/>
              <w:rPr>
                <w:sz w:val="20"/>
              </w:rPr>
            </w:pPr>
            <w:r w:rsidRPr="004521C7">
              <w:rPr>
                <w:sz w:val="20"/>
              </w:rPr>
              <w:t xml:space="preserve">Conjunctival hyperemia </w:t>
            </w:r>
          </w:p>
        </w:tc>
        <w:tc>
          <w:tcPr>
            <w:tcW w:w="746" w:type="pct"/>
          </w:tcPr>
          <w:p w14:paraId="03AEDB24" w14:textId="77777777" w:rsidR="00871BB7" w:rsidRPr="004521C7" w:rsidRDefault="00871BB7" w:rsidP="001F439A">
            <w:pPr>
              <w:keepNext/>
              <w:spacing w:before="0" w:after="0"/>
              <w:jc w:val="center"/>
              <w:rPr>
                <w:sz w:val="20"/>
              </w:rPr>
            </w:pPr>
            <w:r w:rsidRPr="004521C7">
              <w:rPr>
                <w:sz w:val="20"/>
              </w:rPr>
              <w:t>0 (0)</w:t>
            </w:r>
          </w:p>
        </w:tc>
        <w:tc>
          <w:tcPr>
            <w:tcW w:w="1024" w:type="pct"/>
          </w:tcPr>
          <w:p w14:paraId="66199B90" w14:textId="77777777" w:rsidR="00871BB7" w:rsidRPr="004521C7" w:rsidRDefault="00871BB7" w:rsidP="001F439A">
            <w:pPr>
              <w:keepNext/>
              <w:spacing w:before="0" w:after="0"/>
              <w:jc w:val="center"/>
              <w:rPr>
                <w:sz w:val="20"/>
              </w:rPr>
            </w:pPr>
            <w:r w:rsidRPr="004521C7">
              <w:rPr>
                <w:sz w:val="20"/>
              </w:rPr>
              <w:t>1 (2.1)</w:t>
            </w:r>
          </w:p>
        </w:tc>
        <w:tc>
          <w:tcPr>
            <w:tcW w:w="851" w:type="pct"/>
          </w:tcPr>
          <w:p w14:paraId="31EC8076" w14:textId="77777777" w:rsidR="00871BB7" w:rsidRPr="004521C7" w:rsidRDefault="00871BB7" w:rsidP="001F439A">
            <w:pPr>
              <w:keepNext/>
              <w:spacing w:before="0" w:after="0"/>
              <w:jc w:val="center"/>
              <w:rPr>
                <w:sz w:val="20"/>
              </w:rPr>
            </w:pPr>
            <w:r w:rsidRPr="004521C7">
              <w:rPr>
                <w:sz w:val="20"/>
              </w:rPr>
              <w:t>-</w:t>
            </w:r>
          </w:p>
        </w:tc>
        <w:tc>
          <w:tcPr>
            <w:tcW w:w="746" w:type="pct"/>
          </w:tcPr>
          <w:p w14:paraId="5908F453" w14:textId="77777777" w:rsidR="00871BB7" w:rsidRPr="004521C7" w:rsidRDefault="00871BB7" w:rsidP="001F439A">
            <w:pPr>
              <w:keepNext/>
              <w:spacing w:before="0" w:after="0"/>
              <w:jc w:val="center"/>
              <w:rPr>
                <w:sz w:val="20"/>
              </w:rPr>
            </w:pPr>
            <w:r w:rsidRPr="004521C7">
              <w:rPr>
                <w:sz w:val="20"/>
              </w:rPr>
              <w:t>-</w:t>
            </w:r>
          </w:p>
        </w:tc>
      </w:tr>
      <w:tr w:rsidR="00871BB7" w:rsidRPr="004521C7" w14:paraId="78BDE3ED" w14:textId="77777777" w:rsidTr="00B165A2">
        <w:tc>
          <w:tcPr>
            <w:tcW w:w="1634" w:type="pct"/>
            <w:tcBorders>
              <w:top w:val="single" w:sz="4" w:space="0" w:color="auto"/>
              <w:bottom w:val="single" w:sz="4" w:space="0" w:color="auto"/>
            </w:tcBorders>
            <w:vAlign w:val="bottom"/>
          </w:tcPr>
          <w:p w14:paraId="469481BA" w14:textId="77777777" w:rsidR="00871BB7" w:rsidRPr="004521C7" w:rsidRDefault="00871BB7" w:rsidP="001F439A">
            <w:pPr>
              <w:keepNext/>
              <w:spacing w:before="0" w:after="0"/>
              <w:rPr>
                <w:sz w:val="20"/>
              </w:rPr>
            </w:pPr>
            <w:r w:rsidRPr="004521C7">
              <w:rPr>
                <w:sz w:val="20"/>
              </w:rPr>
              <w:t>Progression of cataract</w:t>
            </w:r>
          </w:p>
        </w:tc>
        <w:tc>
          <w:tcPr>
            <w:tcW w:w="746" w:type="pct"/>
          </w:tcPr>
          <w:p w14:paraId="607CDA04" w14:textId="77777777" w:rsidR="00871BB7" w:rsidRPr="004521C7" w:rsidRDefault="00871BB7" w:rsidP="001F439A">
            <w:pPr>
              <w:keepNext/>
              <w:spacing w:before="0" w:after="0"/>
              <w:jc w:val="center"/>
              <w:rPr>
                <w:sz w:val="20"/>
              </w:rPr>
            </w:pPr>
            <w:r w:rsidRPr="004521C7">
              <w:rPr>
                <w:sz w:val="20"/>
              </w:rPr>
              <w:t>16 (29.6)</w:t>
            </w:r>
          </w:p>
        </w:tc>
        <w:tc>
          <w:tcPr>
            <w:tcW w:w="1024" w:type="pct"/>
          </w:tcPr>
          <w:p w14:paraId="30C4C7E9" w14:textId="77777777" w:rsidR="00871BB7" w:rsidRPr="004521C7" w:rsidRDefault="00871BB7" w:rsidP="001F439A">
            <w:pPr>
              <w:keepNext/>
              <w:spacing w:before="0" w:after="0"/>
              <w:jc w:val="center"/>
              <w:rPr>
                <w:sz w:val="20"/>
              </w:rPr>
            </w:pPr>
            <w:r w:rsidRPr="004521C7">
              <w:rPr>
                <w:sz w:val="20"/>
              </w:rPr>
              <w:t>15 (31.9)</w:t>
            </w:r>
          </w:p>
        </w:tc>
        <w:tc>
          <w:tcPr>
            <w:tcW w:w="851" w:type="pct"/>
          </w:tcPr>
          <w:p w14:paraId="5C851A67" w14:textId="77777777" w:rsidR="00871BB7" w:rsidRPr="004521C7" w:rsidRDefault="00871BB7" w:rsidP="001F439A">
            <w:pPr>
              <w:keepNext/>
              <w:spacing w:before="0" w:after="0"/>
              <w:jc w:val="center"/>
              <w:rPr>
                <w:sz w:val="20"/>
              </w:rPr>
            </w:pPr>
            <w:r w:rsidRPr="004521C7">
              <w:rPr>
                <w:sz w:val="20"/>
              </w:rPr>
              <w:t>2 (2.7)</w:t>
            </w:r>
          </w:p>
        </w:tc>
        <w:tc>
          <w:tcPr>
            <w:tcW w:w="746" w:type="pct"/>
          </w:tcPr>
          <w:p w14:paraId="7952CE36" w14:textId="77777777" w:rsidR="00871BB7" w:rsidRPr="004521C7" w:rsidRDefault="00871BB7" w:rsidP="001F439A">
            <w:pPr>
              <w:keepNext/>
              <w:spacing w:before="0" w:after="0"/>
              <w:jc w:val="center"/>
              <w:rPr>
                <w:sz w:val="20"/>
              </w:rPr>
            </w:pPr>
            <w:r w:rsidRPr="004521C7">
              <w:rPr>
                <w:sz w:val="20"/>
              </w:rPr>
              <w:t>1 (1.3)</w:t>
            </w:r>
          </w:p>
        </w:tc>
      </w:tr>
      <w:tr w:rsidR="00871BB7" w:rsidRPr="004521C7" w14:paraId="0BD52A12" w14:textId="77777777" w:rsidTr="00B165A2">
        <w:tc>
          <w:tcPr>
            <w:tcW w:w="1634" w:type="pct"/>
            <w:tcBorders>
              <w:top w:val="single" w:sz="4" w:space="0" w:color="auto"/>
              <w:bottom w:val="single" w:sz="4" w:space="0" w:color="auto"/>
            </w:tcBorders>
            <w:vAlign w:val="bottom"/>
          </w:tcPr>
          <w:p w14:paraId="27DDF41C" w14:textId="77777777" w:rsidR="00871BB7" w:rsidRPr="004521C7" w:rsidRDefault="00871BB7" w:rsidP="001F439A">
            <w:pPr>
              <w:keepNext/>
              <w:spacing w:before="0" w:after="0"/>
              <w:rPr>
                <w:sz w:val="20"/>
              </w:rPr>
            </w:pPr>
            <w:r w:rsidRPr="004521C7">
              <w:rPr>
                <w:sz w:val="20"/>
              </w:rPr>
              <w:t xml:space="preserve">Cataract surgery </w:t>
            </w:r>
          </w:p>
        </w:tc>
        <w:tc>
          <w:tcPr>
            <w:tcW w:w="746" w:type="pct"/>
          </w:tcPr>
          <w:p w14:paraId="77F6A287" w14:textId="77777777" w:rsidR="00871BB7" w:rsidRPr="004521C7" w:rsidRDefault="00871BB7" w:rsidP="001F439A">
            <w:pPr>
              <w:keepNext/>
              <w:spacing w:before="0" w:after="0"/>
              <w:jc w:val="center"/>
              <w:rPr>
                <w:sz w:val="20"/>
              </w:rPr>
            </w:pPr>
            <w:r w:rsidRPr="004521C7">
              <w:rPr>
                <w:sz w:val="20"/>
              </w:rPr>
              <w:t>16 (29.6)</w:t>
            </w:r>
          </w:p>
        </w:tc>
        <w:tc>
          <w:tcPr>
            <w:tcW w:w="1024" w:type="pct"/>
          </w:tcPr>
          <w:p w14:paraId="4BC60057" w14:textId="77777777" w:rsidR="00871BB7" w:rsidRPr="004521C7" w:rsidRDefault="00871BB7" w:rsidP="001F439A">
            <w:pPr>
              <w:keepNext/>
              <w:spacing w:before="0" w:after="0"/>
              <w:jc w:val="center"/>
              <w:rPr>
                <w:sz w:val="20"/>
              </w:rPr>
            </w:pPr>
            <w:r w:rsidRPr="004521C7">
              <w:rPr>
                <w:sz w:val="20"/>
              </w:rPr>
              <w:t>9 (19.1)</w:t>
            </w:r>
          </w:p>
        </w:tc>
        <w:tc>
          <w:tcPr>
            <w:tcW w:w="851" w:type="pct"/>
          </w:tcPr>
          <w:p w14:paraId="25AD4842" w14:textId="77777777" w:rsidR="00871BB7" w:rsidRPr="004521C7" w:rsidRDefault="00871BB7" w:rsidP="001F439A">
            <w:pPr>
              <w:keepNext/>
              <w:spacing w:before="0" w:after="0"/>
              <w:jc w:val="center"/>
              <w:rPr>
                <w:sz w:val="20"/>
              </w:rPr>
            </w:pPr>
            <w:r w:rsidRPr="004521C7">
              <w:rPr>
                <w:sz w:val="20"/>
              </w:rPr>
              <w:t>0 (0)</w:t>
            </w:r>
          </w:p>
        </w:tc>
        <w:tc>
          <w:tcPr>
            <w:tcW w:w="746" w:type="pct"/>
          </w:tcPr>
          <w:p w14:paraId="03B9D962" w14:textId="77777777" w:rsidR="00871BB7" w:rsidRPr="004521C7" w:rsidRDefault="00871BB7" w:rsidP="001F439A">
            <w:pPr>
              <w:keepNext/>
              <w:spacing w:before="0" w:after="0"/>
              <w:jc w:val="center"/>
              <w:rPr>
                <w:sz w:val="20"/>
              </w:rPr>
            </w:pPr>
            <w:r w:rsidRPr="004521C7">
              <w:rPr>
                <w:sz w:val="20"/>
              </w:rPr>
              <w:t>1 (1.3)</w:t>
            </w:r>
          </w:p>
        </w:tc>
      </w:tr>
      <w:tr w:rsidR="00871BB7" w:rsidRPr="004521C7" w14:paraId="550303E9" w14:textId="77777777" w:rsidTr="00B165A2">
        <w:tc>
          <w:tcPr>
            <w:tcW w:w="1634" w:type="pct"/>
            <w:tcBorders>
              <w:top w:val="single" w:sz="4" w:space="0" w:color="auto"/>
              <w:bottom w:val="single" w:sz="4" w:space="0" w:color="auto"/>
            </w:tcBorders>
            <w:vAlign w:val="bottom"/>
          </w:tcPr>
          <w:p w14:paraId="0BBBA120" w14:textId="77777777" w:rsidR="00871BB7" w:rsidRPr="004521C7" w:rsidRDefault="00871BB7" w:rsidP="001F439A">
            <w:pPr>
              <w:keepNext/>
              <w:spacing w:before="0" w:after="0"/>
              <w:rPr>
                <w:sz w:val="20"/>
              </w:rPr>
            </w:pPr>
            <w:r w:rsidRPr="004521C7">
              <w:rPr>
                <w:sz w:val="20"/>
              </w:rPr>
              <w:t xml:space="preserve">YAG laser </w:t>
            </w:r>
          </w:p>
        </w:tc>
        <w:tc>
          <w:tcPr>
            <w:tcW w:w="746" w:type="pct"/>
          </w:tcPr>
          <w:p w14:paraId="27F9D107" w14:textId="77777777" w:rsidR="00871BB7" w:rsidRPr="004521C7" w:rsidRDefault="00871BB7" w:rsidP="001F439A">
            <w:pPr>
              <w:keepNext/>
              <w:spacing w:before="0" w:after="0"/>
              <w:jc w:val="center"/>
              <w:rPr>
                <w:sz w:val="20"/>
              </w:rPr>
            </w:pPr>
            <w:r w:rsidRPr="004521C7">
              <w:rPr>
                <w:sz w:val="20"/>
              </w:rPr>
              <w:t>-</w:t>
            </w:r>
          </w:p>
        </w:tc>
        <w:tc>
          <w:tcPr>
            <w:tcW w:w="1024" w:type="pct"/>
          </w:tcPr>
          <w:p w14:paraId="35D4B004" w14:textId="77777777" w:rsidR="00871BB7" w:rsidRPr="004521C7" w:rsidRDefault="00871BB7" w:rsidP="001F439A">
            <w:pPr>
              <w:keepNext/>
              <w:spacing w:before="0" w:after="0"/>
              <w:jc w:val="center"/>
              <w:rPr>
                <w:sz w:val="20"/>
              </w:rPr>
            </w:pPr>
            <w:r w:rsidRPr="004521C7">
              <w:rPr>
                <w:sz w:val="20"/>
              </w:rPr>
              <w:t>-</w:t>
            </w:r>
          </w:p>
        </w:tc>
        <w:tc>
          <w:tcPr>
            <w:tcW w:w="851" w:type="pct"/>
          </w:tcPr>
          <w:p w14:paraId="48D4398A" w14:textId="77777777" w:rsidR="00871BB7" w:rsidRPr="004521C7" w:rsidRDefault="00871BB7" w:rsidP="001F439A">
            <w:pPr>
              <w:keepNext/>
              <w:spacing w:before="0" w:after="0"/>
              <w:jc w:val="center"/>
              <w:rPr>
                <w:sz w:val="20"/>
              </w:rPr>
            </w:pPr>
            <w:r w:rsidRPr="004521C7">
              <w:rPr>
                <w:sz w:val="20"/>
              </w:rPr>
              <w:t>1 (1.4)</w:t>
            </w:r>
          </w:p>
        </w:tc>
        <w:tc>
          <w:tcPr>
            <w:tcW w:w="746" w:type="pct"/>
          </w:tcPr>
          <w:p w14:paraId="10B042E5" w14:textId="77777777" w:rsidR="00871BB7" w:rsidRPr="004521C7" w:rsidRDefault="00871BB7" w:rsidP="001F439A">
            <w:pPr>
              <w:keepNext/>
              <w:spacing w:before="0" w:after="0"/>
              <w:jc w:val="center"/>
              <w:rPr>
                <w:sz w:val="20"/>
              </w:rPr>
            </w:pPr>
            <w:r w:rsidRPr="004521C7">
              <w:rPr>
                <w:sz w:val="20"/>
              </w:rPr>
              <w:t>0 (0)</w:t>
            </w:r>
          </w:p>
        </w:tc>
      </w:tr>
      <w:tr w:rsidR="00871BB7" w:rsidRPr="004521C7" w14:paraId="3E005C29" w14:textId="77777777" w:rsidTr="00B165A2">
        <w:tc>
          <w:tcPr>
            <w:tcW w:w="1634" w:type="pct"/>
            <w:tcBorders>
              <w:top w:val="single" w:sz="4" w:space="0" w:color="auto"/>
              <w:bottom w:val="single" w:sz="4" w:space="0" w:color="auto"/>
            </w:tcBorders>
            <w:vAlign w:val="bottom"/>
          </w:tcPr>
          <w:p w14:paraId="6FB9EEBD" w14:textId="77777777" w:rsidR="00871BB7" w:rsidRPr="004521C7" w:rsidRDefault="00871BB7" w:rsidP="001F439A">
            <w:pPr>
              <w:keepNext/>
              <w:spacing w:before="0" w:after="0"/>
              <w:rPr>
                <w:sz w:val="20"/>
              </w:rPr>
            </w:pPr>
            <w:r w:rsidRPr="004521C7">
              <w:rPr>
                <w:sz w:val="20"/>
              </w:rPr>
              <w:t>Secondary incisional surgery (excl cataract surgery)</w:t>
            </w:r>
          </w:p>
        </w:tc>
        <w:tc>
          <w:tcPr>
            <w:tcW w:w="746" w:type="pct"/>
          </w:tcPr>
          <w:p w14:paraId="3F1AC901" w14:textId="77777777" w:rsidR="00871BB7" w:rsidRPr="004521C7" w:rsidRDefault="00871BB7" w:rsidP="001F439A">
            <w:pPr>
              <w:keepNext/>
              <w:spacing w:before="0" w:after="0"/>
              <w:jc w:val="center"/>
              <w:rPr>
                <w:sz w:val="20"/>
              </w:rPr>
            </w:pPr>
            <w:r w:rsidRPr="004521C7">
              <w:rPr>
                <w:sz w:val="20"/>
              </w:rPr>
              <w:t>0 (0)</w:t>
            </w:r>
          </w:p>
        </w:tc>
        <w:tc>
          <w:tcPr>
            <w:tcW w:w="1024" w:type="pct"/>
          </w:tcPr>
          <w:p w14:paraId="019E02A9" w14:textId="77777777" w:rsidR="00871BB7" w:rsidRPr="004521C7" w:rsidRDefault="00871BB7" w:rsidP="001F439A">
            <w:pPr>
              <w:keepNext/>
              <w:spacing w:before="0" w:after="0"/>
              <w:jc w:val="center"/>
              <w:rPr>
                <w:sz w:val="20"/>
              </w:rPr>
            </w:pPr>
            <w:r w:rsidRPr="004521C7">
              <w:rPr>
                <w:sz w:val="20"/>
              </w:rPr>
              <w:t>0 (0)</w:t>
            </w:r>
          </w:p>
        </w:tc>
        <w:tc>
          <w:tcPr>
            <w:tcW w:w="851" w:type="pct"/>
          </w:tcPr>
          <w:p w14:paraId="474B1BC1" w14:textId="77777777" w:rsidR="00871BB7" w:rsidRPr="004521C7" w:rsidRDefault="00871BB7" w:rsidP="001F439A">
            <w:pPr>
              <w:keepNext/>
              <w:spacing w:before="0" w:after="0"/>
              <w:jc w:val="center"/>
              <w:rPr>
                <w:sz w:val="20"/>
              </w:rPr>
            </w:pPr>
            <w:r w:rsidRPr="004521C7">
              <w:rPr>
                <w:sz w:val="20"/>
              </w:rPr>
              <w:t>0 (0)</w:t>
            </w:r>
          </w:p>
        </w:tc>
        <w:tc>
          <w:tcPr>
            <w:tcW w:w="746" w:type="pct"/>
          </w:tcPr>
          <w:p w14:paraId="2774918B" w14:textId="77777777" w:rsidR="00871BB7" w:rsidRPr="004521C7" w:rsidRDefault="00871BB7" w:rsidP="001F439A">
            <w:pPr>
              <w:keepNext/>
              <w:spacing w:before="0" w:after="0"/>
              <w:jc w:val="center"/>
              <w:rPr>
                <w:sz w:val="20"/>
              </w:rPr>
            </w:pPr>
            <w:r w:rsidRPr="004521C7">
              <w:rPr>
                <w:sz w:val="20"/>
              </w:rPr>
              <w:t>2 (2.6)</w:t>
            </w:r>
          </w:p>
        </w:tc>
      </w:tr>
    </w:tbl>
    <w:p w14:paraId="2EDC627E" w14:textId="77777777" w:rsidR="00871BB7" w:rsidRPr="004521C7" w:rsidRDefault="00871BB7" w:rsidP="00871BB7">
      <w:pPr>
        <w:keepLines/>
        <w:spacing w:after="360"/>
        <w:contextualSpacing/>
        <w:jc w:val="both"/>
        <w:rPr>
          <w:rFonts w:ascii="Arial Narrow" w:hAnsi="Arial Narrow" w:cs="Arial"/>
          <w:snapToGrid w:val="0"/>
          <w:sz w:val="18"/>
          <w:lang w:eastAsia="en-US"/>
        </w:rPr>
      </w:pPr>
      <w:r w:rsidRPr="004521C7">
        <w:rPr>
          <w:rFonts w:ascii="Arial Narrow" w:hAnsi="Arial Narrow" w:cs="Arial"/>
          <w:snapToGrid w:val="0"/>
          <w:sz w:val="18"/>
          <w:lang w:eastAsia="en-US"/>
        </w:rPr>
        <w:t>Abbreviations: IOP, intraocular pressure; Nd:YAG, neodymium-doped yttrium aluminium garnet</w:t>
      </w:r>
    </w:p>
    <w:p w14:paraId="57BB4E32" w14:textId="77777777" w:rsidR="00871BB7" w:rsidRPr="004521C7" w:rsidRDefault="00871BB7" w:rsidP="00871BB7">
      <w:pPr>
        <w:keepLines/>
        <w:spacing w:after="360"/>
        <w:contextualSpacing/>
        <w:jc w:val="both"/>
        <w:rPr>
          <w:rFonts w:ascii="Arial Narrow" w:hAnsi="Arial Narrow" w:cs="Arial"/>
          <w:snapToGrid w:val="0"/>
          <w:sz w:val="18"/>
          <w:lang w:eastAsia="en-US"/>
        </w:rPr>
      </w:pPr>
      <w:r>
        <w:rPr>
          <w:rFonts w:ascii="Arial Narrow" w:hAnsi="Arial Narrow" w:cs="Arial"/>
          <w:snapToGrid w:val="0"/>
          <w:sz w:val="18"/>
          <w:lang w:eastAsia="en-US"/>
        </w:rPr>
        <w:t>N</w:t>
      </w:r>
      <w:r w:rsidRPr="004521C7">
        <w:rPr>
          <w:rFonts w:ascii="Arial Narrow" w:hAnsi="Arial Narrow" w:cs="Arial"/>
          <w:snapToGrid w:val="0"/>
          <w:sz w:val="18"/>
          <w:lang w:eastAsia="en-US"/>
        </w:rPr>
        <w:t>otes:</w:t>
      </w:r>
    </w:p>
    <w:p w14:paraId="47B3A683" w14:textId="77777777" w:rsidR="00871BB7" w:rsidRPr="004521C7" w:rsidRDefault="00871BB7" w:rsidP="00871BB7">
      <w:pPr>
        <w:keepLines/>
        <w:numPr>
          <w:ilvl w:val="0"/>
          <w:numId w:val="45"/>
        </w:numPr>
        <w:spacing w:after="360"/>
        <w:contextualSpacing/>
        <w:jc w:val="both"/>
        <w:rPr>
          <w:rFonts w:ascii="Arial Narrow" w:hAnsi="Arial Narrow" w:cs="Arial"/>
          <w:snapToGrid w:val="0"/>
          <w:sz w:val="18"/>
          <w:lang w:eastAsia="en-US"/>
        </w:rPr>
      </w:pPr>
      <w:r w:rsidRPr="004521C7">
        <w:rPr>
          <w:rFonts w:ascii="Arial Narrow" w:hAnsi="Arial Narrow" w:cs="Arial"/>
          <w:snapToGrid w:val="0"/>
          <w:sz w:val="18"/>
          <w:lang w:eastAsia="en-US"/>
        </w:rPr>
        <w:t xml:space="preserve">Dashes represent events that were either not reported or did not occur </w:t>
      </w:r>
    </w:p>
    <w:p w14:paraId="5207BAF8" w14:textId="77777777" w:rsidR="00871BB7" w:rsidRPr="004521C7" w:rsidRDefault="00871BB7" w:rsidP="00871BB7">
      <w:pPr>
        <w:keepLines/>
        <w:numPr>
          <w:ilvl w:val="0"/>
          <w:numId w:val="45"/>
        </w:numPr>
        <w:spacing w:after="360"/>
        <w:contextualSpacing/>
        <w:jc w:val="both"/>
        <w:rPr>
          <w:rFonts w:ascii="Arial Narrow" w:hAnsi="Arial Narrow" w:cs="Arial"/>
          <w:snapToGrid w:val="0"/>
          <w:sz w:val="18"/>
          <w:lang w:eastAsia="en-US"/>
        </w:rPr>
      </w:pPr>
      <w:r w:rsidRPr="004521C7">
        <w:rPr>
          <w:rFonts w:ascii="Arial Narrow" w:hAnsi="Arial Narrow" w:cs="Arial"/>
          <w:snapToGrid w:val="0"/>
          <w:sz w:val="18"/>
          <w:lang w:eastAsia="en-US"/>
        </w:rPr>
        <w:t xml:space="preserve">BCVA loss was reported as ‘slight’ in the Vold study, as &gt;= 1 line in the Katz study and as &gt;2 lines in the Ahmed 2019 study </w:t>
      </w:r>
    </w:p>
    <w:p w14:paraId="0D9C8B99" w14:textId="77777777" w:rsidR="00871BB7" w:rsidRDefault="00871BB7" w:rsidP="00871BB7">
      <w:pPr>
        <w:keepLines/>
        <w:numPr>
          <w:ilvl w:val="0"/>
          <w:numId w:val="45"/>
        </w:numPr>
        <w:spacing w:after="360"/>
        <w:contextualSpacing/>
        <w:jc w:val="both"/>
        <w:rPr>
          <w:rFonts w:ascii="Arial Narrow" w:hAnsi="Arial Narrow" w:cs="Arial"/>
          <w:snapToGrid w:val="0"/>
          <w:sz w:val="18"/>
          <w:lang w:eastAsia="en-US"/>
        </w:rPr>
      </w:pPr>
      <w:r w:rsidRPr="00EB315D">
        <w:rPr>
          <w:rFonts w:ascii="Arial Narrow" w:hAnsi="Arial Narrow" w:cs="Arial"/>
          <w:snapToGrid w:val="0"/>
          <w:sz w:val="18"/>
          <w:u w:val="single"/>
          <w:lang w:eastAsia="en-US"/>
        </w:rPr>
        <w:t>Fea 2014</w:t>
      </w:r>
      <w:r>
        <w:rPr>
          <w:rFonts w:ascii="Arial Narrow" w:hAnsi="Arial Narrow" w:cs="Arial"/>
          <w:snapToGrid w:val="0"/>
          <w:sz w:val="18"/>
          <w:u w:val="single"/>
          <w:lang w:eastAsia="en-US"/>
        </w:rPr>
        <w:t>:</w:t>
      </w:r>
      <w:r w:rsidRPr="004521C7">
        <w:rPr>
          <w:rFonts w:ascii="Arial Narrow" w:hAnsi="Arial Narrow" w:cs="Arial"/>
          <w:snapToGrid w:val="0"/>
          <w:sz w:val="18"/>
          <w:lang w:eastAsia="en-US"/>
        </w:rPr>
        <w:t xml:space="preserve"> </w:t>
      </w:r>
      <w:r>
        <w:rPr>
          <w:rFonts w:ascii="Arial Narrow" w:hAnsi="Arial Narrow" w:cs="Arial"/>
          <w:snapToGrid w:val="0"/>
          <w:sz w:val="18"/>
          <w:lang w:eastAsia="en-US"/>
        </w:rPr>
        <w:t xml:space="preserve">eye with IOP spike treated with medication, eye with </w:t>
      </w:r>
      <w:r w:rsidRPr="004521C7">
        <w:rPr>
          <w:rFonts w:ascii="Arial Narrow" w:hAnsi="Arial Narrow" w:cs="Arial"/>
          <w:snapToGrid w:val="0"/>
          <w:sz w:val="18"/>
          <w:lang w:eastAsia="en-US"/>
        </w:rPr>
        <w:t>stent obstruction treated with YAG laser treatment</w:t>
      </w:r>
      <w:r>
        <w:rPr>
          <w:rFonts w:ascii="Arial Narrow" w:hAnsi="Arial Narrow" w:cs="Arial"/>
          <w:snapToGrid w:val="0"/>
          <w:sz w:val="18"/>
          <w:lang w:eastAsia="en-US"/>
        </w:rPr>
        <w:t>; eye with soreness treated with medication (NSAID)</w:t>
      </w:r>
    </w:p>
    <w:p w14:paraId="49A41558" w14:textId="77777777" w:rsidR="00871BB7" w:rsidRDefault="00871BB7" w:rsidP="00871BB7">
      <w:pPr>
        <w:keepLines/>
        <w:numPr>
          <w:ilvl w:val="0"/>
          <w:numId w:val="45"/>
        </w:numPr>
        <w:spacing w:after="360"/>
        <w:contextualSpacing/>
        <w:jc w:val="both"/>
        <w:rPr>
          <w:rFonts w:ascii="Arial Narrow" w:hAnsi="Arial Narrow" w:cs="Arial"/>
          <w:snapToGrid w:val="0"/>
          <w:sz w:val="18"/>
          <w:lang w:eastAsia="en-US"/>
        </w:rPr>
      </w:pPr>
      <w:r>
        <w:rPr>
          <w:rFonts w:ascii="Arial Narrow" w:hAnsi="Arial Narrow" w:cs="Arial"/>
          <w:snapToGrid w:val="0"/>
          <w:sz w:val="18"/>
          <w:u w:val="single"/>
          <w:lang w:eastAsia="en-US"/>
        </w:rPr>
        <w:t xml:space="preserve">Vold 2016/Fechtner 2019: </w:t>
      </w:r>
      <w:r w:rsidRPr="00EB315D">
        <w:rPr>
          <w:rFonts w:ascii="Arial Narrow" w:hAnsi="Arial Narrow" w:cs="Arial"/>
          <w:snapToGrid w:val="0"/>
          <w:sz w:val="18"/>
          <w:lang w:eastAsia="en-US"/>
        </w:rPr>
        <w:t xml:space="preserve">Both </w:t>
      </w:r>
      <w:r>
        <w:rPr>
          <w:rFonts w:ascii="Arial Narrow" w:hAnsi="Arial Narrow" w:cs="Arial"/>
          <w:snapToGrid w:val="0"/>
          <w:sz w:val="18"/>
          <w:lang w:eastAsia="en-US"/>
        </w:rPr>
        <w:t xml:space="preserve">intraoperative AEs </w:t>
      </w:r>
      <w:r w:rsidRPr="00EB315D">
        <w:rPr>
          <w:rFonts w:ascii="Arial Narrow" w:hAnsi="Arial Narrow" w:cs="Arial"/>
          <w:snapToGrid w:val="0"/>
          <w:sz w:val="18"/>
          <w:lang w:eastAsia="en-US"/>
        </w:rPr>
        <w:t>were due to unexpected subject movement during surgery</w:t>
      </w:r>
      <w:r>
        <w:rPr>
          <w:rFonts w:ascii="Arial Narrow" w:hAnsi="Arial Narrow" w:cs="Arial"/>
          <w:snapToGrid w:val="0"/>
          <w:sz w:val="18"/>
          <w:lang w:eastAsia="en-US"/>
        </w:rPr>
        <w:t>, hyphaema resolved by day 1 post-surgery, iridodialysis resulted in no post-operative sequelae</w:t>
      </w:r>
    </w:p>
    <w:p w14:paraId="36D3A39E" w14:textId="77777777" w:rsidR="00871BB7" w:rsidRDefault="00871BB7" w:rsidP="00871BB7">
      <w:pPr>
        <w:keepLines/>
        <w:numPr>
          <w:ilvl w:val="0"/>
          <w:numId w:val="45"/>
        </w:numPr>
        <w:spacing w:after="360"/>
        <w:contextualSpacing/>
        <w:jc w:val="both"/>
        <w:rPr>
          <w:rFonts w:ascii="Arial Narrow" w:hAnsi="Arial Narrow" w:cs="Arial"/>
          <w:snapToGrid w:val="0"/>
          <w:sz w:val="18"/>
          <w:lang w:eastAsia="en-US"/>
        </w:rPr>
      </w:pPr>
      <w:r w:rsidRPr="00EB315D">
        <w:rPr>
          <w:rFonts w:ascii="Arial Narrow" w:hAnsi="Arial Narrow" w:cs="Arial"/>
          <w:snapToGrid w:val="0"/>
          <w:sz w:val="18"/>
          <w:u w:val="single"/>
          <w:lang w:eastAsia="en-US"/>
        </w:rPr>
        <w:t>Katz 2015/2018</w:t>
      </w:r>
      <w:r>
        <w:rPr>
          <w:rFonts w:ascii="Arial Narrow" w:hAnsi="Arial Narrow" w:cs="Arial"/>
          <w:snapToGrid w:val="0"/>
          <w:sz w:val="18"/>
          <w:lang w:eastAsia="en-US"/>
        </w:rPr>
        <w:t>: Two eyes had trabeculectomy due to elevated IOP</w:t>
      </w:r>
    </w:p>
    <w:p w14:paraId="5E430C88" w14:textId="224BFF8E" w:rsidR="0097341B" w:rsidRPr="00A345B5" w:rsidRDefault="00871BB7" w:rsidP="00A345B5">
      <w:pPr>
        <w:keepLines/>
        <w:numPr>
          <w:ilvl w:val="0"/>
          <w:numId w:val="45"/>
        </w:numPr>
        <w:spacing w:after="240"/>
        <w:ind w:left="714" w:hanging="357"/>
        <w:contextualSpacing/>
        <w:jc w:val="both"/>
        <w:rPr>
          <w:rFonts w:ascii="Arial Narrow" w:hAnsi="Arial Narrow" w:cs="Arial"/>
          <w:snapToGrid w:val="0"/>
          <w:sz w:val="18"/>
          <w:u w:val="single"/>
          <w:lang w:eastAsia="en-US"/>
        </w:rPr>
      </w:pPr>
      <w:r w:rsidRPr="00EB315D">
        <w:rPr>
          <w:rFonts w:ascii="Arial Narrow" w:hAnsi="Arial Narrow" w:cs="Arial"/>
          <w:snapToGrid w:val="0"/>
          <w:sz w:val="18"/>
          <w:u w:val="single"/>
          <w:lang w:eastAsia="en-US"/>
        </w:rPr>
        <w:t>Ahmed 2019</w:t>
      </w:r>
      <w:r>
        <w:rPr>
          <w:rFonts w:ascii="Arial Narrow" w:hAnsi="Arial Narrow" w:cs="Arial"/>
          <w:snapToGrid w:val="0"/>
          <w:sz w:val="18"/>
          <w:u w:val="single"/>
          <w:lang w:eastAsia="en-US"/>
        </w:rPr>
        <w:t>:</w:t>
      </w:r>
      <w:r w:rsidRPr="00EB315D">
        <w:rPr>
          <w:rFonts w:ascii="Arial Narrow" w:hAnsi="Arial Narrow" w:cs="Arial"/>
          <w:snapToGrid w:val="0"/>
          <w:sz w:val="18"/>
          <w:lang w:eastAsia="en-US"/>
        </w:rPr>
        <w:t xml:space="preserve"> No stent migration</w:t>
      </w:r>
      <w:r>
        <w:rPr>
          <w:rFonts w:ascii="Arial Narrow" w:hAnsi="Arial Narrow" w:cs="Arial"/>
          <w:snapToGrid w:val="0"/>
          <w:sz w:val="18"/>
          <w:lang w:eastAsia="en-US"/>
        </w:rPr>
        <w:t>/</w:t>
      </w:r>
      <w:r w:rsidRPr="00EB315D">
        <w:rPr>
          <w:rFonts w:ascii="Arial Narrow" w:hAnsi="Arial Narrow" w:cs="Arial"/>
          <w:snapToGrid w:val="0"/>
          <w:sz w:val="18"/>
          <w:lang w:eastAsia="en-US"/>
        </w:rPr>
        <w:t>repositioning/removal surgery was required in either group</w:t>
      </w:r>
    </w:p>
    <w:p w14:paraId="5A5F49E4" w14:textId="77777777" w:rsidR="008548AB" w:rsidRPr="006F0C7D" w:rsidRDefault="008548AB" w:rsidP="00A345B5">
      <w:pPr>
        <w:pStyle w:val="Heading2"/>
        <w:spacing w:before="240" w:after="120"/>
        <w:rPr>
          <w:b/>
        </w:rPr>
      </w:pPr>
      <w:r w:rsidRPr="006F0C7D">
        <w:rPr>
          <w:b/>
        </w:rPr>
        <w:t>November 2018 MSAC consideration</w:t>
      </w:r>
    </w:p>
    <w:p w14:paraId="12FFE75A" w14:textId="7AFE09C1" w:rsidR="006C62CE" w:rsidRDefault="00595171" w:rsidP="00CD0BF4">
      <w:r w:rsidRPr="00CD0BF4">
        <w:t xml:space="preserve">No head-to-head </w:t>
      </w:r>
      <w:r w:rsidR="005351C0">
        <w:t>RCTs</w:t>
      </w:r>
      <w:r w:rsidRPr="00CD0BF4">
        <w:t xml:space="preserve"> were identified comparing MBGS stent implantation versus trabeculectomy. </w:t>
      </w:r>
      <w:r>
        <w:t xml:space="preserve">The SBA (resubmission) presented a </w:t>
      </w:r>
      <w:r w:rsidRPr="00CD0BF4">
        <w:t>naïve indirect comparison</w:t>
      </w:r>
      <w:r>
        <w:t>,</w:t>
      </w:r>
      <w:r w:rsidRPr="00CD0BF4">
        <w:t xml:space="preserve"> </w:t>
      </w:r>
      <w:r>
        <w:t>consisting of</w:t>
      </w:r>
      <w:r w:rsidR="006C62CE">
        <w:t xml:space="preserve"> </w:t>
      </w:r>
      <w:r w:rsidR="00052DDE">
        <w:t xml:space="preserve">two </w:t>
      </w:r>
      <w:r w:rsidR="00D05FED">
        <w:t>RCTs</w:t>
      </w:r>
      <w:r w:rsidR="00052DDE">
        <w:t xml:space="preserve"> (3 publications) and 11</w:t>
      </w:r>
      <w:r w:rsidR="00CD0BF4" w:rsidRPr="00F36A11">
        <w:t xml:space="preserve"> non-randomised studies</w:t>
      </w:r>
      <w:r w:rsidR="00052DDE">
        <w:t xml:space="preserve"> (12</w:t>
      </w:r>
      <w:r w:rsidR="0019152F">
        <w:t> </w:t>
      </w:r>
      <w:r w:rsidR="00052DDE">
        <w:t>publications)</w:t>
      </w:r>
      <w:r w:rsidR="00CD0BF4" w:rsidRPr="00F36A11">
        <w:t xml:space="preserve"> of MBGS in the standalone setting</w:t>
      </w:r>
      <w:r w:rsidR="00CD0BF4">
        <w:t xml:space="preserve">, together with a </w:t>
      </w:r>
      <w:r>
        <w:t xml:space="preserve">systematic review including a </w:t>
      </w:r>
      <w:r w:rsidR="00CD0BF4">
        <w:t>meta-analysis of</w:t>
      </w:r>
      <w:r w:rsidR="00CD0BF4" w:rsidRPr="00F36A11">
        <w:t xml:space="preserve"> trabeculectomy </w:t>
      </w:r>
      <w:r w:rsidR="00CD0BF4">
        <w:t>and a UK National T</w:t>
      </w:r>
      <w:r w:rsidR="00CD0BF4" w:rsidRPr="00F36A11">
        <w:t>rabeculectomy</w:t>
      </w:r>
      <w:r w:rsidR="00CD0BF4">
        <w:t xml:space="preserve"> Survey</w:t>
      </w:r>
      <w:r w:rsidR="00AB4D6F">
        <w:t xml:space="preserve">. </w:t>
      </w:r>
    </w:p>
    <w:p w14:paraId="7E5B334B" w14:textId="6B037A88" w:rsidR="00CD0BF4" w:rsidRDefault="006C62CE" w:rsidP="0019152F">
      <w:pPr>
        <w:spacing w:before="240" w:after="240"/>
      </w:pPr>
      <w:r w:rsidRPr="006C62CE">
        <w:t>Relative to trabeculectomy, MBGS stent implantation demonstrates a different profile of potential adverse events consistent with the less invasive nature of the procedure. MBGS reported any surgical complications in 3.2 to 3.7% of procedures whereas the RCTs for trabeculectomy reported event rates for a number of single events of over 10% (</w:t>
      </w:r>
      <w:r w:rsidR="00AB4D6F" w:rsidRPr="00AB4D6F">
        <w:t xml:space="preserve">Collaborative Initial Treatment of Glaucoma Study </w:t>
      </w:r>
      <w:r w:rsidR="00AB4D6F">
        <w:t>(</w:t>
      </w:r>
      <w:r w:rsidRPr="006C62CE">
        <w:t>CIGTS)</w:t>
      </w:r>
      <w:r w:rsidR="00AB4D6F">
        <w:t>)</w:t>
      </w:r>
      <w:r w:rsidRPr="006C62CE">
        <w:t xml:space="preserve"> and the UK National Sur</w:t>
      </w:r>
      <w:r>
        <w:t xml:space="preserve">vey reported event rates of 20% </w:t>
      </w:r>
      <w:r w:rsidR="00CD0BF4">
        <w:t>(</w:t>
      </w:r>
      <w:r w:rsidR="005A0419">
        <w:t xml:space="preserve">Table </w:t>
      </w:r>
      <w:r w:rsidR="001D1929">
        <w:t>8</w:t>
      </w:r>
      <w:r w:rsidR="00CD0BF4">
        <w:t>)</w:t>
      </w:r>
      <w:r w:rsidR="00CD0BF4" w:rsidRPr="00CD0BF4">
        <w:t>.</w:t>
      </w:r>
    </w:p>
    <w:p w14:paraId="0BCBCF04" w14:textId="02CD8EB7" w:rsidR="00CD0BF4" w:rsidRPr="00F36A11" w:rsidRDefault="00CD0BF4" w:rsidP="00CD0BF4">
      <w:pPr>
        <w:keepNext/>
        <w:spacing w:before="240"/>
        <w:ind w:left="1134" w:hanging="1134"/>
        <w:rPr>
          <w:rFonts w:ascii="Arial Narrow" w:hAnsi="Arial Narrow"/>
          <w:b/>
          <w:bCs/>
          <w:sz w:val="20"/>
        </w:rPr>
      </w:pPr>
      <w:bookmarkStart w:id="22" w:name="_Ref516243655"/>
      <w:bookmarkStart w:id="23" w:name="_Toc516244355"/>
      <w:r w:rsidRPr="00F36A11">
        <w:rPr>
          <w:rFonts w:ascii="Arial Narrow" w:hAnsi="Arial Narrow"/>
          <w:b/>
          <w:bCs/>
          <w:sz w:val="20"/>
        </w:rPr>
        <w:lastRenderedPageBreak/>
        <w:t xml:space="preserve">Table </w:t>
      </w:r>
      <w:bookmarkEnd w:id="22"/>
      <w:r w:rsidR="001D1929">
        <w:rPr>
          <w:rFonts w:ascii="Arial Narrow" w:hAnsi="Arial Narrow"/>
          <w:b/>
          <w:bCs/>
          <w:noProof/>
          <w:sz w:val="20"/>
        </w:rPr>
        <w:t>8</w:t>
      </w:r>
      <w:r w:rsidRPr="00F36A11">
        <w:rPr>
          <w:rFonts w:ascii="Arial Narrow" w:hAnsi="Arial Narrow"/>
          <w:b/>
          <w:bCs/>
          <w:sz w:val="20"/>
        </w:rPr>
        <w:tab/>
      </w:r>
      <w:r w:rsidRPr="00FD26D6">
        <w:rPr>
          <w:rStyle w:val="TableHeadingChar"/>
        </w:rPr>
        <w:t>Summary of adverse events across the trabeculectomy and MBGS studies</w:t>
      </w:r>
      <w:bookmarkEnd w:id="23"/>
    </w:p>
    <w:tbl>
      <w:tblPr>
        <w:tblStyle w:val="TableGrid13"/>
        <w:tblW w:w="0" w:type="auto"/>
        <w:tblLook w:val="04A0" w:firstRow="1" w:lastRow="0" w:firstColumn="1" w:lastColumn="0" w:noHBand="0" w:noVBand="1"/>
        <w:tblCaption w:val="Summary of adverse events across the trabeculectomy and MBGS studies"/>
        <w:tblDescription w:val="Description of AEs in patients impalanted with MGBS vs trabeculectomy in standalone OAG population"/>
      </w:tblPr>
      <w:tblGrid>
        <w:gridCol w:w="3326"/>
        <w:gridCol w:w="2000"/>
        <w:gridCol w:w="1845"/>
        <w:gridCol w:w="1845"/>
      </w:tblGrid>
      <w:tr w:rsidR="00CD0BF4" w:rsidRPr="00F36A11" w14:paraId="06C22148" w14:textId="77777777" w:rsidTr="00005445">
        <w:trPr>
          <w:cnfStyle w:val="100000000000" w:firstRow="1" w:lastRow="0" w:firstColumn="0" w:lastColumn="0" w:oddVBand="0" w:evenVBand="0" w:oddHBand="0" w:evenHBand="0" w:firstRowFirstColumn="0" w:firstRowLastColumn="0" w:lastRowFirstColumn="0" w:lastRowLastColumn="0"/>
          <w:tblHeader/>
        </w:trPr>
        <w:tc>
          <w:tcPr>
            <w:tcW w:w="3326" w:type="dxa"/>
            <w:tcBorders>
              <w:bottom w:val="nil"/>
            </w:tcBorders>
            <w:shd w:val="clear" w:color="auto" w:fill="auto"/>
          </w:tcPr>
          <w:p w14:paraId="24D18F37" w14:textId="77777777" w:rsidR="00CD0BF4" w:rsidRPr="00F36A11" w:rsidRDefault="00CD0BF4" w:rsidP="001F439A">
            <w:pPr>
              <w:keepNext/>
              <w:spacing w:before="0" w:after="0"/>
              <w:rPr>
                <w:rFonts w:ascii="Arial Narrow" w:hAnsi="Arial Narrow"/>
                <w:b/>
                <w:sz w:val="20"/>
              </w:rPr>
            </w:pPr>
          </w:p>
        </w:tc>
        <w:tc>
          <w:tcPr>
            <w:tcW w:w="2000" w:type="dxa"/>
            <w:shd w:val="clear" w:color="auto" w:fill="auto"/>
            <w:vAlign w:val="bottom"/>
          </w:tcPr>
          <w:p w14:paraId="167004C1" w14:textId="77777777" w:rsidR="00CD0BF4" w:rsidRPr="00F36A11" w:rsidRDefault="00CD0BF4" w:rsidP="001F439A">
            <w:pPr>
              <w:keepNext/>
              <w:spacing w:before="0" w:after="0"/>
              <w:jc w:val="center"/>
              <w:rPr>
                <w:rFonts w:ascii="Arial Narrow" w:hAnsi="Arial Narrow"/>
                <w:b/>
                <w:sz w:val="20"/>
              </w:rPr>
            </w:pPr>
            <w:r w:rsidRPr="00F36A11">
              <w:rPr>
                <w:rFonts w:ascii="Arial Narrow" w:hAnsi="Arial Narrow"/>
                <w:b/>
                <w:sz w:val="20"/>
              </w:rPr>
              <w:t>CIGTS</w:t>
            </w:r>
          </w:p>
        </w:tc>
        <w:tc>
          <w:tcPr>
            <w:tcW w:w="1845" w:type="dxa"/>
            <w:shd w:val="clear" w:color="auto" w:fill="auto"/>
          </w:tcPr>
          <w:p w14:paraId="6273166F" w14:textId="77777777" w:rsidR="00CD0BF4" w:rsidRPr="00F36A11" w:rsidRDefault="00CD0BF4" w:rsidP="001F439A">
            <w:pPr>
              <w:keepNext/>
              <w:spacing w:before="0" w:after="0"/>
              <w:jc w:val="center"/>
              <w:rPr>
                <w:rFonts w:ascii="Arial Narrow" w:hAnsi="Arial Narrow"/>
                <w:b/>
                <w:sz w:val="20"/>
              </w:rPr>
            </w:pPr>
            <w:r w:rsidRPr="00F36A11">
              <w:rPr>
                <w:rFonts w:ascii="Arial Narrow" w:hAnsi="Arial Narrow"/>
                <w:b/>
                <w:sz w:val="20"/>
              </w:rPr>
              <w:t>UK National Survey</w:t>
            </w:r>
          </w:p>
        </w:tc>
        <w:tc>
          <w:tcPr>
            <w:tcW w:w="1845" w:type="dxa"/>
            <w:shd w:val="clear" w:color="auto" w:fill="auto"/>
          </w:tcPr>
          <w:p w14:paraId="7430949C" w14:textId="77777777" w:rsidR="00CD0BF4" w:rsidRPr="00F36A11" w:rsidRDefault="00CD0BF4" w:rsidP="001F439A">
            <w:pPr>
              <w:keepNext/>
              <w:spacing w:before="0" w:after="0"/>
              <w:jc w:val="center"/>
              <w:rPr>
                <w:rFonts w:ascii="Arial Narrow" w:hAnsi="Arial Narrow"/>
                <w:b/>
                <w:sz w:val="20"/>
                <w:vertAlign w:val="superscript"/>
              </w:rPr>
            </w:pPr>
            <w:r w:rsidRPr="00F36A11">
              <w:rPr>
                <w:rFonts w:ascii="Arial Narrow" w:hAnsi="Arial Narrow"/>
                <w:b/>
                <w:sz w:val="20"/>
              </w:rPr>
              <w:t>MBGS</w:t>
            </w:r>
          </w:p>
        </w:tc>
      </w:tr>
      <w:tr w:rsidR="00CD0BF4" w:rsidRPr="00F36A11" w14:paraId="15E0E43E" w14:textId="77777777" w:rsidTr="00005445">
        <w:trPr>
          <w:cnfStyle w:val="100000000000" w:firstRow="1" w:lastRow="0" w:firstColumn="0" w:lastColumn="0" w:oddVBand="0" w:evenVBand="0" w:oddHBand="0" w:evenHBand="0" w:firstRowFirstColumn="0" w:firstRowLastColumn="0" w:lastRowFirstColumn="0" w:lastRowLastColumn="0"/>
          <w:tblHeader/>
        </w:trPr>
        <w:tc>
          <w:tcPr>
            <w:tcW w:w="3326" w:type="dxa"/>
            <w:tcBorders>
              <w:top w:val="nil"/>
            </w:tcBorders>
            <w:shd w:val="clear" w:color="auto" w:fill="auto"/>
          </w:tcPr>
          <w:p w14:paraId="60837D54" w14:textId="77777777" w:rsidR="00CD0BF4" w:rsidRPr="00595171" w:rsidRDefault="00CD0BF4" w:rsidP="001F439A">
            <w:pPr>
              <w:pStyle w:val="Tabletext"/>
              <w:spacing w:before="0" w:after="0"/>
              <w:rPr>
                <w:b/>
              </w:rPr>
            </w:pPr>
            <w:r w:rsidRPr="00595171">
              <w:rPr>
                <w:b/>
              </w:rPr>
              <w:t>Adverse event</w:t>
            </w:r>
          </w:p>
        </w:tc>
        <w:tc>
          <w:tcPr>
            <w:tcW w:w="2000" w:type="dxa"/>
            <w:shd w:val="clear" w:color="auto" w:fill="auto"/>
            <w:vAlign w:val="bottom"/>
          </w:tcPr>
          <w:p w14:paraId="2F6BE5DE" w14:textId="77777777" w:rsidR="00CD0BF4" w:rsidRPr="00595171" w:rsidRDefault="00CD0BF4" w:rsidP="001F439A">
            <w:pPr>
              <w:pStyle w:val="Tabletext"/>
              <w:spacing w:before="0" w:after="0"/>
              <w:jc w:val="center"/>
              <w:rPr>
                <w:b/>
              </w:rPr>
            </w:pPr>
            <w:r w:rsidRPr="00595171">
              <w:rPr>
                <w:b/>
              </w:rPr>
              <w:t>N= 517</w:t>
            </w:r>
          </w:p>
        </w:tc>
        <w:tc>
          <w:tcPr>
            <w:tcW w:w="1845" w:type="dxa"/>
            <w:shd w:val="clear" w:color="auto" w:fill="auto"/>
          </w:tcPr>
          <w:p w14:paraId="595E5422" w14:textId="77777777" w:rsidR="00CD0BF4" w:rsidRPr="00595171" w:rsidRDefault="00CD0BF4" w:rsidP="001F439A">
            <w:pPr>
              <w:pStyle w:val="Tabletext"/>
              <w:spacing w:before="0" w:after="0"/>
              <w:jc w:val="center"/>
              <w:rPr>
                <w:b/>
              </w:rPr>
            </w:pPr>
            <w:r w:rsidRPr="00595171">
              <w:rPr>
                <w:b/>
              </w:rPr>
              <w:t>N=1240</w:t>
            </w:r>
          </w:p>
        </w:tc>
        <w:tc>
          <w:tcPr>
            <w:tcW w:w="1845" w:type="dxa"/>
            <w:shd w:val="clear" w:color="auto" w:fill="auto"/>
          </w:tcPr>
          <w:p w14:paraId="12CE7811" w14:textId="77777777" w:rsidR="00CD0BF4" w:rsidRPr="00F36A11" w:rsidRDefault="00CD0BF4" w:rsidP="001F439A">
            <w:pPr>
              <w:keepNext/>
              <w:spacing w:before="0" w:after="0"/>
              <w:jc w:val="center"/>
              <w:rPr>
                <w:b/>
                <w:sz w:val="20"/>
              </w:rPr>
            </w:pPr>
          </w:p>
        </w:tc>
      </w:tr>
      <w:tr w:rsidR="00CD0BF4" w:rsidRPr="00F36A11" w14:paraId="28C690C9" w14:textId="77777777" w:rsidTr="009368B8">
        <w:tc>
          <w:tcPr>
            <w:tcW w:w="3326" w:type="dxa"/>
            <w:tcBorders>
              <w:top w:val="nil"/>
            </w:tcBorders>
            <w:shd w:val="clear" w:color="auto" w:fill="auto"/>
          </w:tcPr>
          <w:p w14:paraId="6FA0DD9C" w14:textId="77777777" w:rsidR="00CD0BF4" w:rsidRPr="00F36A11" w:rsidRDefault="00CD0BF4" w:rsidP="001F439A">
            <w:pPr>
              <w:keepNext/>
              <w:spacing w:before="0" w:after="0"/>
              <w:rPr>
                <w:b/>
                <w:sz w:val="20"/>
              </w:rPr>
            </w:pPr>
            <w:r w:rsidRPr="00F36A11">
              <w:rPr>
                <w:b/>
                <w:sz w:val="20"/>
              </w:rPr>
              <w:t>Any</w:t>
            </w:r>
          </w:p>
        </w:tc>
        <w:tc>
          <w:tcPr>
            <w:tcW w:w="2000" w:type="dxa"/>
            <w:shd w:val="clear" w:color="auto" w:fill="auto"/>
            <w:vAlign w:val="bottom"/>
          </w:tcPr>
          <w:p w14:paraId="0962A7A1" w14:textId="77777777" w:rsidR="00CD0BF4" w:rsidRPr="00F36A11" w:rsidRDefault="00CD0BF4" w:rsidP="001F439A">
            <w:pPr>
              <w:keepNext/>
              <w:spacing w:before="0" w:after="0"/>
              <w:jc w:val="center"/>
              <w:rPr>
                <w:b/>
                <w:sz w:val="20"/>
              </w:rPr>
            </w:pPr>
          </w:p>
        </w:tc>
        <w:tc>
          <w:tcPr>
            <w:tcW w:w="1845" w:type="dxa"/>
            <w:shd w:val="clear" w:color="auto" w:fill="auto"/>
          </w:tcPr>
          <w:p w14:paraId="28C58C01" w14:textId="77777777" w:rsidR="00CD0BF4" w:rsidRPr="00F36A11" w:rsidRDefault="00CD0BF4" w:rsidP="001F439A">
            <w:pPr>
              <w:keepNext/>
              <w:spacing w:before="0" w:after="0"/>
              <w:jc w:val="center"/>
              <w:rPr>
                <w:b/>
                <w:sz w:val="20"/>
              </w:rPr>
            </w:pPr>
          </w:p>
        </w:tc>
        <w:tc>
          <w:tcPr>
            <w:tcW w:w="1845" w:type="dxa"/>
            <w:shd w:val="clear" w:color="auto" w:fill="auto"/>
          </w:tcPr>
          <w:p w14:paraId="3D98C4E6" w14:textId="77777777" w:rsidR="00CD0BF4" w:rsidRPr="00F36A11" w:rsidRDefault="00CD0BF4" w:rsidP="001F439A">
            <w:pPr>
              <w:keepNext/>
              <w:spacing w:before="0" w:after="0"/>
              <w:jc w:val="center"/>
              <w:rPr>
                <w:sz w:val="20"/>
                <w:vertAlign w:val="superscript"/>
              </w:rPr>
            </w:pPr>
          </w:p>
        </w:tc>
      </w:tr>
      <w:tr w:rsidR="00CD0BF4" w:rsidRPr="00F36A11" w14:paraId="3379594A" w14:textId="77777777" w:rsidTr="009368B8">
        <w:tc>
          <w:tcPr>
            <w:tcW w:w="3326" w:type="dxa"/>
            <w:tcBorders>
              <w:top w:val="nil"/>
            </w:tcBorders>
            <w:shd w:val="clear" w:color="auto" w:fill="auto"/>
          </w:tcPr>
          <w:p w14:paraId="64AD31B4" w14:textId="77777777" w:rsidR="00CD0BF4" w:rsidRPr="00F36A11" w:rsidRDefault="00CD0BF4" w:rsidP="001F439A">
            <w:pPr>
              <w:keepNext/>
              <w:spacing w:before="0" w:after="0"/>
              <w:ind w:left="171"/>
              <w:rPr>
                <w:sz w:val="20"/>
              </w:rPr>
            </w:pPr>
            <w:r w:rsidRPr="00F36A11">
              <w:rPr>
                <w:sz w:val="20"/>
              </w:rPr>
              <w:t>Surgical complications</w:t>
            </w:r>
            <w:r w:rsidRPr="00F36A11">
              <w:rPr>
                <w:sz w:val="20"/>
                <w:vertAlign w:val="superscript"/>
              </w:rPr>
              <w:t>3</w:t>
            </w:r>
          </w:p>
        </w:tc>
        <w:tc>
          <w:tcPr>
            <w:tcW w:w="2000" w:type="dxa"/>
            <w:shd w:val="clear" w:color="auto" w:fill="auto"/>
            <w:vAlign w:val="bottom"/>
          </w:tcPr>
          <w:p w14:paraId="6358B98E" w14:textId="77777777" w:rsidR="00CD0BF4" w:rsidRPr="00F36A11" w:rsidRDefault="00CD0BF4" w:rsidP="001F439A">
            <w:pPr>
              <w:keepNext/>
              <w:spacing w:before="0" w:after="0"/>
              <w:jc w:val="center"/>
              <w:rPr>
                <w:b/>
                <w:sz w:val="20"/>
              </w:rPr>
            </w:pPr>
          </w:p>
        </w:tc>
        <w:tc>
          <w:tcPr>
            <w:tcW w:w="1845" w:type="dxa"/>
            <w:shd w:val="clear" w:color="auto" w:fill="auto"/>
          </w:tcPr>
          <w:p w14:paraId="5DD35D64" w14:textId="77777777" w:rsidR="00CD0BF4" w:rsidRPr="00F36A11" w:rsidRDefault="00CD0BF4" w:rsidP="001F439A">
            <w:pPr>
              <w:keepNext/>
              <w:spacing w:before="0" w:after="0"/>
              <w:jc w:val="center"/>
              <w:rPr>
                <w:b/>
                <w:sz w:val="20"/>
              </w:rPr>
            </w:pPr>
          </w:p>
        </w:tc>
        <w:tc>
          <w:tcPr>
            <w:tcW w:w="1845" w:type="dxa"/>
            <w:shd w:val="clear" w:color="auto" w:fill="auto"/>
          </w:tcPr>
          <w:p w14:paraId="10B2B93F" w14:textId="77777777" w:rsidR="00CD0BF4" w:rsidRPr="00F36A11" w:rsidRDefault="00CD0BF4" w:rsidP="001F439A">
            <w:pPr>
              <w:keepNext/>
              <w:spacing w:before="0" w:after="0"/>
              <w:jc w:val="center"/>
              <w:rPr>
                <w:b/>
                <w:sz w:val="20"/>
              </w:rPr>
            </w:pPr>
            <w:r w:rsidRPr="00F36A11">
              <w:rPr>
                <w:sz w:val="20"/>
              </w:rPr>
              <w:t>3.2 to 3.7%</w:t>
            </w:r>
          </w:p>
        </w:tc>
      </w:tr>
      <w:tr w:rsidR="00CD0BF4" w:rsidRPr="00F36A11" w14:paraId="3423B932" w14:textId="77777777" w:rsidTr="009368B8">
        <w:tc>
          <w:tcPr>
            <w:tcW w:w="3326" w:type="dxa"/>
            <w:tcBorders>
              <w:top w:val="nil"/>
            </w:tcBorders>
            <w:shd w:val="clear" w:color="auto" w:fill="auto"/>
          </w:tcPr>
          <w:p w14:paraId="51633696" w14:textId="77777777" w:rsidR="00CD0BF4" w:rsidRPr="00F36A11" w:rsidRDefault="00CD0BF4" w:rsidP="001F439A">
            <w:pPr>
              <w:keepNext/>
              <w:spacing w:before="0" w:after="0"/>
              <w:rPr>
                <w:b/>
                <w:sz w:val="20"/>
              </w:rPr>
            </w:pPr>
            <w:r w:rsidRPr="00F36A11">
              <w:rPr>
                <w:b/>
                <w:sz w:val="20"/>
              </w:rPr>
              <w:t>Early complications</w:t>
            </w:r>
          </w:p>
        </w:tc>
        <w:tc>
          <w:tcPr>
            <w:tcW w:w="2000" w:type="dxa"/>
            <w:shd w:val="clear" w:color="auto" w:fill="auto"/>
            <w:vAlign w:val="bottom"/>
          </w:tcPr>
          <w:p w14:paraId="6631F600" w14:textId="77777777" w:rsidR="00CD0BF4" w:rsidRPr="00F36A11" w:rsidRDefault="00CD0BF4" w:rsidP="001F439A">
            <w:pPr>
              <w:keepNext/>
              <w:spacing w:before="0" w:after="0"/>
              <w:jc w:val="center"/>
              <w:rPr>
                <w:b/>
                <w:sz w:val="20"/>
              </w:rPr>
            </w:pPr>
          </w:p>
        </w:tc>
        <w:tc>
          <w:tcPr>
            <w:tcW w:w="1845" w:type="dxa"/>
            <w:shd w:val="clear" w:color="auto" w:fill="auto"/>
          </w:tcPr>
          <w:p w14:paraId="25B75237" w14:textId="77777777" w:rsidR="00CD0BF4" w:rsidRPr="00F36A11" w:rsidRDefault="00CD0BF4" w:rsidP="001F439A">
            <w:pPr>
              <w:keepNext/>
              <w:spacing w:before="0" w:after="0"/>
              <w:jc w:val="center"/>
              <w:rPr>
                <w:b/>
                <w:sz w:val="20"/>
              </w:rPr>
            </w:pPr>
          </w:p>
        </w:tc>
        <w:tc>
          <w:tcPr>
            <w:tcW w:w="1845" w:type="dxa"/>
            <w:shd w:val="clear" w:color="auto" w:fill="auto"/>
          </w:tcPr>
          <w:p w14:paraId="04D9D742" w14:textId="77777777" w:rsidR="00CD0BF4" w:rsidRPr="00F36A11" w:rsidRDefault="00CD0BF4" w:rsidP="001F439A">
            <w:pPr>
              <w:keepNext/>
              <w:spacing w:before="0" w:after="0"/>
              <w:jc w:val="center"/>
              <w:rPr>
                <w:b/>
                <w:sz w:val="20"/>
              </w:rPr>
            </w:pPr>
          </w:p>
        </w:tc>
      </w:tr>
      <w:tr w:rsidR="00CD0BF4" w:rsidRPr="00F36A11" w14:paraId="0C40E00E" w14:textId="77777777" w:rsidTr="009368B8">
        <w:tc>
          <w:tcPr>
            <w:tcW w:w="3326" w:type="dxa"/>
            <w:tcBorders>
              <w:top w:val="nil"/>
            </w:tcBorders>
            <w:shd w:val="clear" w:color="auto" w:fill="auto"/>
          </w:tcPr>
          <w:p w14:paraId="5984922C" w14:textId="77777777" w:rsidR="00CD0BF4" w:rsidRPr="00F36A11" w:rsidRDefault="00CD0BF4" w:rsidP="001F439A">
            <w:pPr>
              <w:keepNext/>
              <w:spacing w:before="0" w:after="0"/>
              <w:ind w:left="171"/>
              <w:rPr>
                <w:sz w:val="20"/>
              </w:rPr>
            </w:pPr>
            <w:r w:rsidRPr="00F36A11">
              <w:rPr>
                <w:sz w:val="20"/>
              </w:rPr>
              <w:t>Hyphaema</w:t>
            </w:r>
          </w:p>
        </w:tc>
        <w:tc>
          <w:tcPr>
            <w:tcW w:w="2000" w:type="dxa"/>
            <w:shd w:val="clear" w:color="auto" w:fill="auto"/>
            <w:vAlign w:val="bottom"/>
          </w:tcPr>
          <w:p w14:paraId="4DE8881C" w14:textId="77777777" w:rsidR="00CD0BF4" w:rsidRPr="00F36A11" w:rsidRDefault="00CD0BF4" w:rsidP="001F439A">
            <w:pPr>
              <w:keepNext/>
              <w:spacing w:before="0" w:after="0"/>
              <w:jc w:val="center"/>
              <w:rPr>
                <w:sz w:val="20"/>
              </w:rPr>
            </w:pPr>
            <w:r w:rsidRPr="00F36A11">
              <w:rPr>
                <w:sz w:val="20"/>
              </w:rPr>
              <w:t>54 (10.4%)</w:t>
            </w:r>
          </w:p>
        </w:tc>
        <w:tc>
          <w:tcPr>
            <w:tcW w:w="1845" w:type="dxa"/>
            <w:shd w:val="clear" w:color="auto" w:fill="auto"/>
          </w:tcPr>
          <w:p w14:paraId="6CBA8A1D" w14:textId="77777777" w:rsidR="00CD0BF4" w:rsidRPr="00F36A11" w:rsidRDefault="00CD0BF4" w:rsidP="001F439A">
            <w:pPr>
              <w:keepNext/>
              <w:spacing w:before="0" w:after="0"/>
              <w:jc w:val="center"/>
              <w:rPr>
                <w:sz w:val="20"/>
              </w:rPr>
            </w:pPr>
            <w:r w:rsidRPr="00F36A11">
              <w:rPr>
                <w:sz w:val="20"/>
              </w:rPr>
              <w:t>304 (24.6%)</w:t>
            </w:r>
          </w:p>
        </w:tc>
        <w:tc>
          <w:tcPr>
            <w:tcW w:w="1845" w:type="dxa"/>
            <w:shd w:val="clear" w:color="auto" w:fill="auto"/>
          </w:tcPr>
          <w:p w14:paraId="4B51629C" w14:textId="77777777" w:rsidR="00CD0BF4" w:rsidRPr="00F36A11" w:rsidRDefault="00CD0BF4" w:rsidP="001F439A">
            <w:pPr>
              <w:keepNext/>
              <w:spacing w:before="0" w:after="0"/>
              <w:jc w:val="center"/>
              <w:rPr>
                <w:sz w:val="20"/>
                <w:vertAlign w:val="superscript"/>
              </w:rPr>
            </w:pPr>
            <w:r w:rsidRPr="00F36A11">
              <w:rPr>
                <w:sz w:val="20"/>
              </w:rPr>
              <w:t>1.3 to 6.2%</w:t>
            </w:r>
          </w:p>
        </w:tc>
      </w:tr>
      <w:tr w:rsidR="00CD0BF4" w:rsidRPr="00F36A11" w14:paraId="12FF25E1" w14:textId="77777777" w:rsidTr="009368B8">
        <w:tc>
          <w:tcPr>
            <w:tcW w:w="3326" w:type="dxa"/>
            <w:tcBorders>
              <w:top w:val="nil"/>
            </w:tcBorders>
            <w:shd w:val="clear" w:color="auto" w:fill="auto"/>
          </w:tcPr>
          <w:p w14:paraId="2FE02359" w14:textId="77777777" w:rsidR="00CD0BF4" w:rsidRPr="00F36A11" w:rsidRDefault="00CD0BF4" w:rsidP="001F439A">
            <w:pPr>
              <w:keepNext/>
              <w:spacing w:before="0" w:after="0"/>
              <w:ind w:left="171"/>
              <w:rPr>
                <w:sz w:val="20"/>
              </w:rPr>
            </w:pPr>
            <w:r w:rsidRPr="00F36A11">
              <w:rPr>
                <w:sz w:val="20"/>
              </w:rPr>
              <w:t>Shallow/flat anterior chamber</w:t>
            </w:r>
          </w:p>
        </w:tc>
        <w:tc>
          <w:tcPr>
            <w:tcW w:w="2000" w:type="dxa"/>
            <w:shd w:val="clear" w:color="auto" w:fill="auto"/>
            <w:vAlign w:val="bottom"/>
          </w:tcPr>
          <w:p w14:paraId="44B8D1E4" w14:textId="77777777" w:rsidR="00CD0BF4" w:rsidRPr="00F36A11" w:rsidRDefault="00CD0BF4" w:rsidP="001F439A">
            <w:pPr>
              <w:keepNext/>
              <w:spacing w:before="0" w:after="0"/>
              <w:jc w:val="center"/>
              <w:rPr>
                <w:sz w:val="20"/>
              </w:rPr>
            </w:pPr>
            <w:r w:rsidRPr="00F36A11">
              <w:rPr>
                <w:sz w:val="20"/>
              </w:rPr>
              <w:t>73 (14.1%)</w:t>
            </w:r>
          </w:p>
        </w:tc>
        <w:tc>
          <w:tcPr>
            <w:tcW w:w="1845" w:type="dxa"/>
            <w:shd w:val="clear" w:color="auto" w:fill="auto"/>
          </w:tcPr>
          <w:p w14:paraId="0158F964" w14:textId="77777777" w:rsidR="00CD0BF4" w:rsidRPr="00F36A11" w:rsidRDefault="00CD0BF4" w:rsidP="001F439A">
            <w:pPr>
              <w:keepNext/>
              <w:spacing w:before="0" w:after="0"/>
              <w:jc w:val="center"/>
              <w:rPr>
                <w:sz w:val="20"/>
              </w:rPr>
            </w:pPr>
            <w:r w:rsidRPr="00F36A11">
              <w:rPr>
                <w:sz w:val="20"/>
              </w:rPr>
              <w:t>299 (24.1%)</w:t>
            </w:r>
          </w:p>
        </w:tc>
        <w:tc>
          <w:tcPr>
            <w:tcW w:w="1845" w:type="dxa"/>
            <w:shd w:val="clear" w:color="auto" w:fill="auto"/>
          </w:tcPr>
          <w:p w14:paraId="4D641179" w14:textId="77777777" w:rsidR="00CD0BF4" w:rsidRPr="00F36A11" w:rsidRDefault="00CD0BF4" w:rsidP="001F439A">
            <w:pPr>
              <w:keepNext/>
              <w:spacing w:before="0" w:after="0"/>
              <w:jc w:val="center"/>
              <w:rPr>
                <w:sz w:val="20"/>
              </w:rPr>
            </w:pPr>
          </w:p>
        </w:tc>
      </w:tr>
      <w:tr w:rsidR="00CD0BF4" w:rsidRPr="00F36A11" w14:paraId="4ABF0FF8" w14:textId="77777777" w:rsidTr="009368B8">
        <w:tc>
          <w:tcPr>
            <w:tcW w:w="3326" w:type="dxa"/>
            <w:tcBorders>
              <w:top w:val="nil"/>
            </w:tcBorders>
            <w:shd w:val="clear" w:color="auto" w:fill="auto"/>
          </w:tcPr>
          <w:p w14:paraId="615CDC4A" w14:textId="77777777" w:rsidR="00CD0BF4" w:rsidRPr="00F36A11" w:rsidRDefault="00CD0BF4" w:rsidP="001F439A">
            <w:pPr>
              <w:keepNext/>
              <w:spacing w:before="0" w:after="0"/>
              <w:ind w:left="171"/>
              <w:rPr>
                <w:sz w:val="20"/>
              </w:rPr>
            </w:pPr>
            <w:r w:rsidRPr="00F36A11">
              <w:rPr>
                <w:sz w:val="20"/>
              </w:rPr>
              <w:t xml:space="preserve">Hypotony </w:t>
            </w:r>
          </w:p>
        </w:tc>
        <w:tc>
          <w:tcPr>
            <w:tcW w:w="2000" w:type="dxa"/>
            <w:shd w:val="clear" w:color="auto" w:fill="auto"/>
            <w:vAlign w:val="bottom"/>
          </w:tcPr>
          <w:p w14:paraId="427BDB86" w14:textId="77777777" w:rsidR="00CD0BF4" w:rsidRPr="00F36A11" w:rsidRDefault="00CD0BF4" w:rsidP="001F439A">
            <w:pPr>
              <w:keepNext/>
              <w:spacing w:before="0" w:after="0"/>
              <w:jc w:val="center"/>
              <w:rPr>
                <w:sz w:val="20"/>
              </w:rPr>
            </w:pPr>
          </w:p>
        </w:tc>
        <w:tc>
          <w:tcPr>
            <w:tcW w:w="1845" w:type="dxa"/>
            <w:shd w:val="clear" w:color="auto" w:fill="auto"/>
          </w:tcPr>
          <w:p w14:paraId="24A178F3" w14:textId="77777777" w:rsidR="00CD0BF4" w:rsidRPr="00F36A11" w:rsidRDefault="00CD0BF4" w:rsidP="001F439A">
            <w:pPr>
              <w:keepNext/>
              <w:spacing w:before="0" w:after="0"/>
              <w:jc w:val="center"/>
              <w:rPr>
                <w:sz w:val="20"/>
              </w:rPr>
            </w:pPr>
            <w:r w:rsidRPr="00F36A11">
              <w:rPr>
                <w:sz w:val="20"/>
              </w:rPr>
              <w:t xml:space="preserve">296 (24.3%) </w:t>
            </w:r>
          </w:p>
        </w:tc>
        <w:tc>
          <w:tcPr>
            <w:tcW w:w="1845" w:type="dxa"/>
            <w:shd w:val="clear" w:color="auto" w:fill="auto"/>
          </w:tcPr>
          <w:p w14:paraId="61A9D0E0" w14:textId="77777777" w:rsidR="00CD0BF4" w:rsidRPr="00F36A11" w:rsidRDefault="00CD0BF4" w:rsidP="001F439A">
            <w:pPr>
              <w:keepNext/>
              <w:spacing w:before="0" w:after="0"/>
              <w:jc w:val="center"/>
              <w:rPr>
                <w:sz w:val="20"/>
              </w:rPr>
            </w:pPr>
            <w:r w:rsidRPr="00F36A11">
              <w:rPr>
                <w:sz w:val="20"/>
              </w:rPr>
              <w:t>0.0 to 2.6%</w:t>
            </w:r>
          </w:p>
        </w:tc>
      </w:tr>
      <w:tr w:rsidR="00CD0BF4" w:rsidRPr="00F36A11" w14:paraId="5DAF5001" w14:textId="77777777" w:rsidTr="009368B8">
        <w:tc>
          <w:tcPr>
            <w:tcW w:w="3326" w:type="dxa"/>
            <w:tcBorders>
              <w:top w:val="nil"/>
            </w:tcBorders>
            <w:shd w:val="clear" w:color="auto" w:fill="auto"/>
          </w:tcPr>
          <w:p w14:paraId="1ED47AD5" w14:textId="77777777" w:rsidR="00CD0BF4" w:rsidRPr="00F36A11" w:rsidRDefault="00CD0BF4" w:rsidP="001F439A">
            <w:pPr>
              <w:keepNext/>
              <w:spacing w:before="0" w:after="0"/>
              <w:ind w:left="171"/>
              <w:rPr>
                <w:sz w:val="20"/>
              </w:rPr>
            </w:pPr>
            <w:r w:rsidRPr="00F36A11">
              <w:rPr>
                <w:sz w:val="20"/>
              </w:rPr>
              <w:t xml:space="preserve">Bleb leak </w:t>
            </w:r>
          </w:p>
        </w:tc>
        <w:tc>
          <w:tcPr>
            <w:tcW w:w="2000" w:type="dxa"/>
            <w:shd w:val="clear" w:color="auto" w:fill="auto"/>
            <w:vAlign w:val="bottom"/>
          </w:tcPr>
          <w:p w14:paraId="5878F9C5" w14:textId="77777777" w:rsidR="00CD0BF4" w:rsidRPr="00F36A11" w:rsidRDefault="00CD0BF4" w:rsidP="001F439A">
            <w:pPr>
              <w:keepNext/>
              <w:spacing w:before="0" w:after="0"/>
              <w:jc w:val="center"/>
              <w:rPr>
                <w:sz w:val="20"/>
              </w:rPr>
            </w:pPr>
          </w:p>
        </w:tc>
        <w:tc>
          <w:tcPr>
            <w:tcW w:w="1845" w:type="dxa"/>
            <w:shd w:val="clear" w:color="auto" w:fill="auto"/>
          </w:tcPr>
          <w:p w14:paraId="3412E3D7" w14:textId="77777777" w:rsidR="00CD0BF4" w:rsidRPr="00F36A11" w:rsidRDefault="00CD0BF4" w:rsidP="001F439A">
            <w:pPr>
              <w:keepNext/>
              <w:spacing w:before="0" w:after="0"/>
              <w:jc w:val="center"/>
              <w:rPr>
                <w:sz w:val="20"/>
              </w:rPr>
            </w:pPr>
            <w:r w:rsidRPr="00F36A11">
              <w:rPr>
                <w:sz w:val="20"/>
              </w:rPr>
              <w:t>216 (17.6%)</w:t>
            </w:r>
          </w:p>
        </w:tc>
        <w:tc>
          <w:tcPr>
            <w:tcW w:w="1845" w:type="dxa"/>
            <w:shd w:val="clear" w:color="auto" w:fill="auto"/>
          </w:tcPr>
          <w:p w14:paraId="53BB90D0" w14:textId="77777777" w:rsidR="00CD0BF4" w:rsidRPr="00F36A11" w:rsidRDefault="00CD0BF4" w:rsidP="001F439A">
            <w:pPr>
              <w:keepNext/>
              <w:spacing w:before="0" w:after="0"/>
              <w:jc w:val="center"/>
              <w:rPr>
                <w:b/>
                <w:sz w:val="20"/>
              </w:rPr>
            </w:pPr>
          </w:p>
        </w:tc>
      </w:tr>
      <w:tr w:rsidR="00CD0BF4" w:rsidRPr="00F36A11" w14:paraId="31A4D82C" w14:textId="77777777" w:rsidTr="009368B8">
        <w:tc>
          <w:tcPr>
            <w:tcW w:w="3326" w:type="dxa"/>
            <w:tcBorders>
              <w:top w:val="nil"/>
            </w:tcBorders>
            <w:shd w:val="clear" w:color="auto" w:fill="auto"/>
          </w:tcPr>
          <w:p w14:paraId="299D2B67" w14:textId="77777777" w:rsidR="00CD0BF4" w:rsidRPr="00F36A11" w:rsidRDefault="00CD0BF4" w:rsidP="001F439A">
            <w:pPr>
              <w:keepNext/>
              <w:spacing w:before="0" w:after="0"/>
              <w:ind w:left="171"/>
              <w:rPr>
                <w:sz w:val="20"/>
              </w:rPr>
            </w:pPr>
            <w:r w:rsidRPr="00F36A11">
              <w:rPr>
                <w:sz w:val="20"/>
              </w:rPr>
              <w:t>Choroidal detachment</w:t>
            </w:r>
          </w:p>
        </w:tc>
        <w:tc>
          <w:tcPr>
            <w:tcW w:w="2000" w:type="dxa"/>
            <w:shd w:val="clear" w:color="auto" w:fill="auto"/>
            <w:vAlign w:val="bottom"/>
          </w:tcPr>
          <w:p w14:paraId="0D96DD9F" w14:textId="77777777" w:rsidR="00CD0BF4" w:rsidRPr="00F36A11" w:rsidRDefault="00CD0BF4" w:rsidP="001F439A">
            <w:pPr>
              <w:keepNext/>
              <w:spacing w:before="0" w:after="0"/>
              <w:jc w:val="center"/>
              <w:rPr>
                <w:sz w:val="20"/>
              </w:rPr>
            </w:pPr>
            <w:r w:rsidRPr="00F36A11">
              <w:rPr>
                <w:sz w:val="20"/>
              </w:rPr>
              <w:t>58 (11.2%)</w:t>
            </w:r>
          </w:p>
        </w:tc>
        <w:tc>
          <w:tcPr>
            <w:tcW w:w="1845" w:type="dxa"/>
            <w:shd w:val="clear" w:color="auto" w:fill="auto"/>
          </w:tcPr>
          <w:p w14:paraId="6FC0D003" w14:textId="77777777" w:rsidR="00CD0BF4" w:rsidRPr="00F36A11" w:rsidRDefault="00CD0BF4" w:rsidP="001F439A">
            <w:pPr>
              <w:keepNext/>
              <w:spacing w:before="0" w:after="0"/>
              <w:jc w:val="center"/>
              <w:rPr>
                <w:sz w:val="20"/>
              </w:rPr>
            </w:pPr>
            <w:r w:rsidRPr="00F36A11">
              <w:rPr>
                <w:sz w:val="20"/>
              </w:rPr>
              <w:t>175 (14.1%)</w:t>
            </w:r>
          </w:p>
        </w:tc>
        <w:tc>
          <w:tcPr>
            <w:tcW w:w="1845" w:type="dxa"/>
            <w:shd w:val="clear" w:color="auto" w:fill="auto"/>
          </w:tcPr>
          <w:p w14:paraId="52F8E638" w14:textId="77777777" w:rsidR="00CD0BF4" w:rsidRPr="00F36A11" w:rsidRDefault="00CD0BF4" w:rsidP="001F439A">
            <w:pPr>
              <w:keepNext/>
              <w:spacing w:before="0" w:after="0"/>
              <w:jc w:val="center"/>
              <w:rPr>
                <w:sz w:val="20"/>
              </w:rPr>
            </w:pPr>
          </w:p>
        </w:tc>
      </w:tr>
      <w:tr w:rsidR="00CD0BF4" w:rsidRPr="00F36A11" w14:paraId="4FBB518C" w14:textId="77777777" w:rsidTr="009368B8">
        <w:tc>
          <w:tcPr>
            <w:tcW w:w="3326" w:type="dxa"/>
            <w:shd w:val="clear" w:color="auto" w:fill="auto"/>
          </w:tcPr>
          <w:p w14:paraId="1C05E40E" w14:textId="77777777" w:rsidR="00CD0BF4" w:rsidRPr="00F36A11" w:rsidRDefault="00CD0BF4" w:rsidP="001F439A">
            <w:pPr>
              <w:keepNext/>
              <w:spacing w:before="0" w:after="0"/>
              <w:ind w:left="171"/>
              <w:rPr>
                <w:sz w:val="20"/>
              </w:rPr>
            </w:pPr>
            <w:r w:rsidRPr="00F36A11">
              <w:rPr>
                <w:sz w:val="20"/>
              </w:rPr>
              <w:t xml:space="preserve">Malignant glaucoma </w:t>
            </w:r>
          </w:p>
        </w:tc>
        <w:tc>
          <w:tcPr>
            <w:tcW w:w="2000" w:type="dxa"/>
            <w:shd w:val="clear" w:color="auto" w:fill="auto"/>
            <w:vAlign w:val="bottom"/>
          </w:tcPr>
          <w:p w14:paraId="290ABF49" w14:textId="77777777" w:rsidR="00CD0BF4" w:rsidRPr="00F36A11" w:rsidRDefault="00CD0BF4" w:rsidP="001F439A">
            <w:pPr>
              <w:keepNext/>
              <w:spacing w:before="0" w:after="0"/>
              <w:jc w:val="center"/>
              <w:rPr>
                <w:sz w:val="20"/>
              </w:rPr>
            </w:pPr>
          </w:p>
        </w:tc>
        <w:tc>
          <w:tcPr>
            <w:tcW w:w="1845" w:type="dxa"/>
            <w:shd w:val="clear" w:color="auto" w:fill="auto"/>
          </w:tcPr>
          <w:p w14:paraId="1C5910F7" w14:textId="77777777" w:rsidR="00CD0BF4" w:rsidRPr="00F36A11" w:rsidRDefault="00CD0BF4" w:rsidP="001F439A">
            <w:pPr>
              <w:keepNext/>
              <w:spacing w:before="0" w:after="0"/>
              <w:jc w:val="center"/>
              <w:rPr>
                <w:sz w:val="20"/>
              </w:rPr>
            </w:pPr>
            <w:r w:rsidRPr="00F36A11">
              <w:rPr>
                <w:sz w:val="20"/>
              </w:rPr>
              <w:t>2 (0.2%)</w:t>
            </w:r>
          </w:p>
        </w:tc>
        <w:tc>
          <w:tcPr>
            <w:tcW w:w="1845" w:type="dxa"/>
            <w:shd w:val="clear" w:color="auto" w:fill="auto"/>
          </w:tcPr>
          <w:p w14:paraId="1FEC851C" w14:textId="77777777" w:rsidR="00CD0BF4" w:rsidRPr="00F36A11" w:rsidRDefault="00CD0BF4" w:rsidP="001F439A">
            <w:pPr>
              <w:keepNext/>
              <w:spacing w:before="0" w:after="0"/>
              <w:jc w:val="center"/>
              <w:rPr>
                <w:sz w:val="20"/>
              </w:rPr>
            </w:pPr>
          </w:p>
        </w:tc>
      </w:tr>
      <w:tr w:rsidR="00CD0BF4" w:rsidRPr="00F36A11" w14:paraId="7C0B4818" w14:textId="77777777" w:rsidTr="009368B8">
        <w:tc>
          <w:tcPr>
            <w:tcW w:w="3326" w:type="dxa"/>
            <w:shd w:val="clear" w:color="auto" w:fill="auto"/>
          </w:tcPr>
          <w:p w14:paraId="6034418C" w14:textId="77777777" w:rsidR="00CD0BF4" w:rsidRPr="00F36A11" w:rsidRDefault="00CD0BF4" w:rsidP="001F439A">
            <w:pPr>
              <w:keepNext/>
              <w:spacing w:before="0" w:after="0"/>
              <w:ind w:left="171"/>
              <w:rPr>
                <w:sz w:val="20"/>
              </w:rPr>
            </w:pPr>
            <w:r w:rsidRPr="00F36A11">
              <w:rPr>
                <w:sz w:val="20"/>
              </w:rPr>
              <w:t xml:space="preserve">Endophthalmitis (early) </w:t>
            </w:r>
          </w:p>
        </w:tc>
        <w:tc>
          <w:tcPr>
            <w:tcW w:w="2000" w:type="dxa"/>
            <w:shd w:val="clear" w:color="auto" w:fill="auto"/>
            <w:vAlign w:val="bottom"/>
          </w:tcPr>
          <w:p w14:paraId="4FC381F5" w14:textId="77777777" w:rsidR="00CD0BF4" w:rsidRPr="00F36A11" w:rsidRDefault="00CD0BF4" w:rsidP="001F439A">
            <w:pPr>
              <w:keepNext/>
              <w:spacing w:before="0" w:after="0"/>
              <w:jc w:val="center"/>
              <w:rPr>
                <w:sz w:val="20"/>
              </w:rPr>
            </w:pPr>
          </w:p>
        </w:tc>
        <w:tc>
          <w:tcPr>
            <w:tcW w:w="1845" w:type="dxa"/>
            <w:shd w:val="clear" w:color="auto" w:fill="auto"/>
          </w:tcPr>
          <w:p w14:paraId="1A5D75A3" w14:textId="77777777" w:rsidR="00CD0BF4" w:rsidRPr="00F36A11" w:rsidRDefault="00CD0BF4" w:rsidP="001F439A">
            <w:pPr>
              <w:keepNext/>
              <w:spacing w:before="0" w:after="0"/>
              <w:jc w:val="center"/>
              <w:rPr>
                <w:sz w:val="20"/>
              </w:rPr>
            </w:pPr>
            <w:r w:rsidRPr="00F36A11">
              <w:rPr>
                <w:sz w:val="20"/>
              </w:rPr>
              <w:t>1 (0.1%)</w:t>
            </w:r>
          </w:p>
        </w:tc>
        <w:tc>
          <w:tcPr>
            <w:tcW w:w="1845" w:type="dxa"/>
            <w:shd w:val="clear" w:color="auto" w:fill="auto"/>
          </w:tcPr>
          <w:p w14:paraId="0E76BBB2" w14:textId="77777777" w:rsidR="00CD0BF4" w:rsidRPr="00F36A11" w:rsidRDefault="00CD0BF4" w:rsidP="001F439A">
            <w:pPr>
              <w:keepNext/>
              <w:spacing w:before="0" w:after="0"/>
              <w:jc w:val="center"/>
              <w:rPr>
                <w:sz w:val="20"/>
              </w:rPr>
            </w:pPr>
          </w:p>
        </w:tc>
      </w:tr>
      <w:tr w:rsidR="00CD0BF4" w:rsidRPr="00F36A11" w14:paraId="5ADE1820" w14:textId="77777777" w:rsidTr="009368B8">
        <w:tc>
          <w:tcPr>
            <w:tcW w:w="3326" w:type="dxa"/>
            <w:shd w:val="clear" w:color="auto" w:fill="auto"/>
          </w:tcPr>
          <w:p w14:paraId="57D9B5E8" w14:textId="77777777" w:rsidR="00CD0BF4" w:rsidRPr="00F36A11" w:rsidRDefault="00CD0BF4" w:rsidP="001F439A">
            <w:pPr>
              <w:keepNext/>
              <w:spacing w:before="0" w:after="0"/>
              <w:rPr>
                <w:b/>
                <w:sz w:val="20"/>
              </w:rPr>
            </w:pPr>
            <w:r w:rsidRPr="00F36A11">
              <w:rPr>
                <w:b/>
                <w:sz w:val="20"/>
              </w:rPr>
              <w:t xml:space="preserve">Late complications </w:t>
            </w:r>
          </w:p>
        </w:tc>
        <w:tc>
          <w:tcPr>
            <w:tcW w:w="2000" w:type="dxa"/>
            <w:shd w:val="clear" w:color="auto" w:fill="auto"/>
            <w:vAlign w:val="bottom"/>
          </w:tcPr>
          <w:p w14:paraId="5624626B" w14:textId="77777777" w:rsidR="00CD0BF4" w:rsidRPr="00F36A11" w:rsidRDefault="00CD0BF4" w:rsidP="001F439A">
            <w:pPr>
              <w:keepNext/>
              <w:spacing w:before="0" w:after="0"/>
              <w:jc w:val="center"/>
              <w:rPr>
                <w:sz w:val="20"/>
              </w:rPr>
            </w:pPr>
          </w:p>
        </w:tc>
        <w:tc>
          <w:tcPr>
            <w:tcW w:w="1845" w:type="dxa"/>
            <w:shd w:val="clear" w:color="auto" w:fill="auto"/>
          </w:tcPr>
          <w:p w14:paraId="4CE0743E" w14:textId="77777777" w:rsidR="00CD0BF4" w:rsidRPr="00F36A11" w:rsidRDefault="00CD0BF4" w:rsidP="001F439A">
            <w:pPr>
              <w:keepNext/>
              <w:spacing w:before="0" w:after="0"/>
              <w:jc w:val="center"/>
              <w:rPr>
                <w:sz w:val="20"/>
              </w:rPr>
            </w:pPr>
          </w:p>
        </w:tc>
        <w:tc>
          <w:tcPr>
            <w:tcW w:w="1845" w:type="dxa"/>
            <w:shd w:val="clear" w:color="auto" w:fill="auto"/>
          </w:tcPr>
          <w:p w14:paraId="59D85267" w14:textId="77777777" w:rsidR="00CD0BF4" w:rsidRPr="00F36A11" w:rsidRDefault="00CD0BF4" w:rsidP="001F439A">
            <w:pPr>
              <w:keepNext/>
              <w:spacing w:before="0" w:after="0"/>
              <w:jc w:val="center"/>
              <w:rPr>
                <w:sz w:val="20"/>
              </w:rPr>
            </w:pPr>
          </w:p>
        </w:tc>
      </w:tr>
      <w:tr w:rsidR="00CD0BF4" w:rsidRPr="00F36A11" w14:paraId="4DEB3E06" w14:textId="77777777" w:rsidTr="009368B8">
        <w:tc>
          <w:tcPr>
            <w:tcW w:w="3326" w:type="dxa"/>
            <w:shd w:val="clear" w:color="auto" w:fill="auto"/>
          </w:tcPr>
          <w:p w14:paraId="1550743F" w14:textId="77777777" w:rsidR="00CD0BF4" w:rsidRPr="00F36A11" w:rsidRDefault="00CD0BF4" w:rsidP="001F439A">
            <w:pPr>
              <w:keepNext/>
              <w:spacing w:before="0" w:after="0"/>
              <w:ind w:left="171"/>
              <w:rPr>
                <w:sz w:val="20"/>
              </w:rPr>
            </w:pPr>
            <w:r w:rsidRPr="00F36A11">
              <w:rPr>
                <w:sz w:val="20"/>
              </w:rPr>
              <w:t>Cataract</w:t>
            </w:r>
          </w:p>
        </w:tc>
        <w:tc>
          <w:tcPr>
            <w:tcW w:w="2000" w:type="dxa"/>
            <w:shd w:val="clear" w:color="auto" w:fill="auto"/>
            <w:vAlign w:val="bottom"/>
          </w:tcPr>
          <w:p w14:paraId="4A884896" w14:textId="77777777" w:rsidR="00CD0BF4" w:rsidRPr="00F36A11" w:rsidRDefault="00CD0BF4" w:rsidP="001F439A">
            <w:pPr>
              <w:keepNext/>
              <w:spacing w:before="0" w:after="0"/>
              <w:jc w:val="center"/>
              <w:rPr>
                <w:sz w:val="20"/>
              </w:rPr>
            </w:pPr>
          </w:p>
        </w:tc>
        <w:tc>
          <w:tcPr>
            <w:tcW w:w="1845" w:type="dxa"/>
            <w:shd w:val="clear" w:color="auto" w:fill="auto"/>
          </w:tcPr>
          <w:p w14:paraId="69558911" w14:textId="77777777" w:rsidR="00CD0BF4" w:rsidRPr="00F36A11" w:rsidRDefault="00CD0BF4" w:rsidP="001F439A">
            <w:pPr>
              <w:keepNext/>
              <w:spacing w:before="0" w:after="0"/>
              <w:jc w:val="center"/>
              <w:rPr>
                <w:sz w:val="20"/>
              </w:rPr>
            </w:pPr>
            <w:r w:rsidRPr="00F36A11">
              <w:rPr>
                <w:sz w:val="20"/>
              </w:rPr>
              <w:t>251 (20.2%)</w:t>
            </w:r>
          </w:p>
        </w:tc>
        <w:tc>
          <w:tcPr>
            <w:tcW w:w="1845" w:type="dxa"/>
            <w:shd w:val="clear" w:color="auto" w:fill="auto"/>
          </w:tcPr>
          <w:p w14:paraId="11784492" w14:textId="77777777" w:rsidR="00CD0BF4" w:rsidRPr="00F36A11" w:rsidRDefault="00CD0BF4" w:rsidP="001F439A">
            <w:pPr>
              <w:keepNext/>
              <w:spacing w:before="0" w:after="0"/>
              <w:jc w:val="center"/>
              <w:rPr>
                <w:sz w:val="20"/>
                <w:vertAlign w:val="superscript"/>
              </w:rPr>
            </w:pPr>
            <w:r w:rsidRPr="00F36A11">
              <w:rPr>
                <w:sz w:val="20"/>
              </w:rPr>
              <w:t>29.6% (5 years)</w:t>
            </w:r>
          </w:p>
        </w:tc>
      </w:tr>
      <w:tr w:rsidR="00CD0BF4" w:rsidRPr="00F36A11" w14:paraId="7F3A704D" w14:textId="77777777" w:rsidTr="009368B8">
        <w:tc>
          <w:tcPr>
            <w:tcW w:w="3326" w:type="dxa"/>
            <w:shd w:val="clear" w:color="auto" w:fill="auto"/>
          </w:tcPr>
          <w:p w14:paraId="54B753BB" w14:textId="77777777" w:rsidR="00CD0BF4" w:rsidRPr="00F36A11" w:rsidRDefault="00CD0BF4" w:rsidP="001F439A">
            <w:pPr>
              <w:keepNext/>
              <w:spacing w:before="0" w:after="0"/>
              <w:ind w:left="171"/>
              <w:rPr>
                <w:sz w:val="20"/>
              </w:rPr>
            </w:pPr>
            <w:r w:rsidRPr="00F36A11">
              <w:rPr>
                <w:sz w:val="20"/>
              </w:rPr>
              <w:t>Encapsulated belb</w:t>
            </w:r>
          </w:p>
        </w:tc>
        <w:tc>
          <w:tcPr>
            <w:tcW w:w="2000" w:type="dxa"/>
            <w:shd w:val="clear" w:color="auto" w:fill="auto"/>
            <w:vAlign w:val="bottom"/>
          </w:tcPr>
          <w:p w14:paraId="181407D3" w14:textId="77777777" w:rsidR="00CD0BF4" w:rsidRPr="00F36A11" w:rsidRDefault="00CD0BF4" w:rsidP="001F439A">
            <w:pPr>
              <w:keepNext/>
              <w:spacing w:before="0" w:after="0"/>
              <w:jc w:val="center"/>
              <w:rPr>
                <w:sz w:val="20"/>
              </w:rPr>
            </w:pPr>
            <w:r w:rsidRPr="00F36A11">
              <w:rPr>
                <w:sz w:val="20"/>
              </w:rPr>
              <w:t>61 (11.8%)</w:t>
            </w:r>
          </w:p>
        </w:tc>
        <w:tc>
          <w:tcPr>
            <w:tcW w:w="1845" w:type="dxa"/>
            <w:shd w:val="clear" w:color="auto" w:fill="auto"/>
          </w:tcPr>
          <w:p w14:paraId="537CE9CA" w14:textId="77777777" w:rsidR="00CD0BF4" w:rsidRPr="00F36A11" w:rsidRDefault="00CD0BF4" w:rsidP="001F439A">
            <w:pPr>
              <w:keepNext/>
              <w:spacing w:before="0" w:after="0"/>
              <w:jc w:val="center"/>
              <w:rPr>
                <w:sz w:val="20"/>
              </w:rPr>
            </w:pPr>
            <w:r w:rsidRPr="00F36A11">
              <w:rPr>
                <w:sz w:val="20"/>
              </w:rPr>
              <w:t>42 (3.4%)</w:t>
            </w:r>
          </w:p>
        </w:tc>
        <w:tc>
          <w:tcPr>
            <w:tcW w:w="1845" w:type="dxa"/>
            <w:shd w:val="clear" w:color="auto" w:fill="auto"/>
          </w:tcPr>
          <w:p w14:paraId="7A21D6CD" w14:textId="77777777" w:rsidR="00CD0BF4" w:rsidRPr="00F36A11" w:rsidRDefault="00CD0BF4" w:rsidP="001F439A">
            <w:pPr>
              <w:keepNext/>
              <w:spacing w:before="0" w:after="0"/>
              <w:jc w:val="center"/>
              <w:rPr>
                <w:sz w:val="20"/>
              </w:rPr>
            </w:pPr>
          </w:p>
        </w:tc>
      </w:tr>
      <w:tr w:rsidR="00CD0BF4" w:rsidRPr="00F36A11" w14:paraId="211910F3" w14:textId="77777777" w:rsidTr="009368B8">
        <w:tc>
          <w:tcPr>
            <w:tcW w:w="3326" w:type="dxa"/>
            <w:shd w:val="clear" w:color="auto" w:fill="auto"/>
          </w:tcPr>
          <w:p w14:paraId="7FF347A9" w14:textId="77777777" w:rsidR="00CD0BF4" w:rsidRPr="00F36A11" w:rsidRDefault="00CD0BF4" w:rsidP="001F439A">
            <w:pPr>
              <w:keepNext/>
              <w:spacing w:before="0" w:after="0"/>
              <w:ind w:left="171"/>
              <w:rPr>
                <w:sz w:val="20"/>
              </w:rPr>
            </w:pPr>
            <w:r w:rsidRPr="00F36A11">
              <w:rPr>
                <w:sz w:val="20"/>
              </w:rPr>
              <w:t>Ptosis</w:t>
            </w:r>
          </w:p>
        </w:tc>
        <w:tc>
          <w:tcPr>
            <w:tcW w:w="2000" w:type="dxa"/>
            <w:shd w:val="clear" w:color="auto" w:fill="auto"/>
            <w:vAlign w:val="bottom"/>
          </w:tcPr>
          <w:p w14:paraId="33110AD1" w14:textId="77777777" w:rsidR="00CD0BF4" w:rsidRPr="00F36A11" w:rsidRDefault="00CD0BF4" w:rsidP="001F439A">
            <w:pPr>
              <w:keepNext/>
              <w:spacing w:before="0" w:after="0"/>
              <w:jc w:val="center"/>
              <w:rPr>
                <w:sz w:val="20"/>
              </w:rPr>
            </w:pPr>
            <w:r w:rsidRPr="00F36A11">
              <w:rPr>
                <w:sz w:val="20"/>
              </w:rPr>
              <w:t>61 (11.8%)</w:t>
            </w:r>
          </w:p>
        </w:tc>
        <w:tc>
          <w:tcPr>
            <w:tcW w:w="1845" w:type="dxa"/>
            <w:shd w:val="clear" w:color="auto" w:fill="auto"/>
          </w:tcPr>
          <w:p w14:paraId="2FD8C779" w14:textId="77777777" w:rsidR="00CD0BF4" w:rsidRPr="00F36A11" w:rsidRDefault="00CD0BF4" w:rsidP="001F439A">
            <w:pPr>
              <w:keepNext/>
              <w:spacing w:before="0" w:after="0"/>
              <w:jc w:val="center"/>
              <w:rPr>
                <w:sz w:val="20"/>
              </w:rPr>
            </w:pPr>
          </w:p>
        </w:tc>
        <w:tc>
          <w:tcPr>
            <w:tcW w:w="1845" w:type="dxa"/>
            <w:shd w:val="clear" w:color="auto" w:fill="auto"/>
          </w:tcPr>
          <w:p w14:paraId="2A6934BD" w14:textId="77777777" w:rsidR="00CD0BF4" w:rsidRPr="00F36A11" w:rsidRDefault="00CD0BF4" w:rsidP="001F439A">
            <w:pPr>
              <w:keepNext/>
              <w:spacing w:before="0" w:after="0"/>
              <w:jc w:val="center"/>
              <w:rPr>
                <w:sz w:val="20"/>
              </w:rPr>
            </w:pPr>
          </w:p>
        </w:tc>
      </w:tr>
      <w:tr w:rsidR="00CD0BF4" w:rsidRPr="00F36A11" w14:paraId="5313CCF1" w14:textId="77777777" w:rsidTr="009368B8">
        <w:tc>
          <w:tcPr>
            <w:tcW w:w="3326" w:type="dxa"/>
            <w:shd w:val="clear" w:color="auto" w:fill="auto"/>
          </w:tcPr>
          <w:p w14:paraId="59AC0F65" w14:textId="77777777" w:rsidR="00CD0BF4" w:rsidRPr="00F36A11" w:rsidRDefault="00CD0BF4" w:rsidP="001F439A">
            <w:pPr>
              <w:keepNext/>
              <w:spacing w:before="0" w:after="0"/>
              <w:ind w:left="171"/>
              <w:rPr>
                <w:sz w:val="20"/>
              </w:rPr>
            </w:pPr>
            <w:r w:rsidRPr="00F36A11">
              <w:rPr>
                <w:sz w:val="20"/>
              </w:rPr>
              <w:t>Endophthalmitis (late)</w:t>
            </w:r>
          </w:p>
        </w:tc>
        <w:tc>
          <w:tcPr>
            <w:tcW w:w="2000" w:type="dxa"/>
            <w:shd w:val="clear" w:color="auto" w:fill="auto"/>
            <w:vAlign w:val="bottom"/>
          </w:tcPr>
          <w:p w14:paraId="38D77CB8" w14:textId="77777777" w:rsidR="00CD0BF4" w:rsidRPr="00F36A11" w:rsidRDefault="00CD0BF4" w:rsidP="001F439A">
            <w:pPr>
              <w:keepNext/>
              <w:spacing w:before="0" w:after="0"/>
              <w:jc w:val="center"/>
              <w:rPr>
                <w:sz w:val="20"/>
              </w:rPr>
            </w:pPr>
          </w:p>
        </w:tc>
        <w:tc>
          <w:tcPr>
            <w:tcW w:w="1845" w:type="dxa"/>
            <w:shd w:val="clear" w:color="auto" w:fill="auto"/>
          </w:tcPr>
          <w:p w14:paraId="3DD86F51" w14:textId="77777777" w:rsidR="00CD0BF4" w:rsidRPr="00F36A11" w:rsidRDefault="00CD0BF4" w:rsidP="001F439A">
            <w:pPr>
              <w:keepNext/>
              <w:spacing w:before="0" w:after="0"/>
              <w:jc w:val="center"/>
              <w:rPr>
                <w:sz w:val="20"/>
              </w:rPr>
            </w:pPr>
            <w:r w:rsidRPr="00F36A11">
              <w:rPr>
                <w:sz w:val="20"/>
              </w:rPr>
              <w:t>3 (0.2)</w:t>
            </w:r>
          </w:p>
        </w:tc>
        <w:tc>
          <w:tcPr>
            <w:tcW w:w="1845" w:type="dxa"/>
            <w:shd w:val="clear" w:color="auto" w:fill="auto"/>
          </w:tcPr>
          <w:p w14:paraId="3333536A" w14:textId="77777777" w:rsidR="00CD0BF4" w:rsidRPr="00F36A11" w:rsidRDefault="00CD0BF4" w:rsidP="001F439A">
            <w:pPr>
              <w:keepNext/>
              <w:spacing w:before="0" w:after="0"/>
              <w:jc w:val="center"/>
              <w:rPr>
                <w:sz w:val="20"/>
              </w:rPr>
            </w:pPr>
          </w:p>
        </w:tc>
      </w:tr>
    </w:tbl>
    <w:p w14:paraId="4F741572" w14:textId="77777777" w:rsidR="00595171" w:rsidRDefault="005351C0" w:rsidP="0019152F">
      <w:pPr>
        <w:spacing w:before="240" w:after="80"/>
      </w:pPr>
      <w:r>
        <w:t xml:space="preserve">The </w:t>
      </w:r>
      <w:r w:rsidR="00595171">
        <w:t>resubmission stated that despite</w:t>
      </w:r>
      <w:r w:rsidR="00595171" w:rsidRPr="00F36A11">
        <w:t xml:space="preserve"> the lack of formal statistical comparison, this summary shows MBGS to be superior to trabeculectomy in the incidence of surgical complications and other adverse effects.</w:t>
      </w:r>
    </w:p>
    <w:p w14:paraId="336787B6" w14:textId="77777777" w:rsidR="00BC1364" w:rsidRPr="00F715D1" w:rsidRDefault="00BC1364" w:rsidP="00F715D1">
      <w:pPr>
        <w:pStyle w:val="Heading1"/>
      </w:pPr>
      <w:r w:rsidRPr="00F715D1">
        <w:t>Comparative effectiveness</w:t>
      </w:r>
    </w:p>
    <w:p w14:paraId="4CF1FF3A" w14:textId="77777777" w:rsidR="00D17153" w:rsidRPr="006F0C7D" w:rsidRDefault="00D17153" w:rsidP="00A345B5">
      <w:pPr>
        <w:pStyle w:val="Heading2"/>
        <w:spacing w:before="120" w:after="120"/>
        <w:rPr>
          <w:b/>
        </w:rPr>
      </w:pPr>
      <w:r w:rsidRPr="006F0C7D">
        <w:rPr>
          <w:b/>
        </w:rPr>
        <w:t>August 2019 MSAC consideration</w:t>
      </w:r>
    </w:p>
    <w:p w14:paraId="6D000074" w14:textId="0DF9BFB6" w:rsidR="00D17153" w:rsidRPr="00BB3AD6" w:rsidRDefault="00D17153" w:rsidP="00BB3AD6">
      <w:pPr>
        <w:spacing w:after="240"/>
      </w:pPr>
      <w:r>
        <w:rPr>
          <w:iCs/>
        </w:rPr>
        <w:t xml:space="preserve">The </w:t>
      </w:r>
      <w:r w:rsidR="00EA31E3">
        <w:rPr>
          <w:iCs/>
        </w:rPr>
        <w:t>current resubmission</w:t>
      </w:r>
      <w:r>
        <w:rPr>
          <w:iCs/>
        </w:rPr>
        <w:t xml:space="preserve"> stated that the </w:t>
      </w:r>
      <w:r w:rsidRPr="00F204BA">
        <w:t>results from the</w:t>
      </w:r>
      <w:r>
        <w:t xml:space="preserve"> new studies demonstrate IOP reductions from baseline at 12 months in studies ranging from 1 mmHg (Ahmed 2019) to 11.8 mmHg (Vold 2016), at 12 months. Notably, </w:t>
      </w:r>
      <w:r w:rsidRPr="006975E5">
        <w:t>the study producing the smallest reduction in IOP (</w:t>
      </w:r>
      <w:r>
        <w:t>Ahmed 2019</w:t>
      </w:r>
      <w:r w:rsidRPr="006975E5">
        <w:t xml:space="preserve">) also observed the lowest mean </w:t>
      </w:r>
      <w:r>
        <w:t xml:space="preserve">medicated </w:t>
      </w:r>
      <w:r w:rsidRPr="006975E5">
        <w:t xml:space="preserve">baseline IOP of </w:t>
      </w:r>
      <w:r>
        <w:t xml:space="preserve">19.1 mmHg (iStent arm) and 19.0 mmHg (Hydrus arm), whilst the study producing the largest reduction in IOP (Vold 2016) observed the highest mean baseline IOP (although patients in this study were treatment naïve at baseline). This is </w:t>
      </w:r>
      <w:r w:rsidRPr="006975E5">
        <w:t>consistent with reports of smaller treatment effects being observed with lower baseline IOP measurements.</w:t>
      </w:r>
      <w:r w:rsidR="00EA31E3">
        <w:t xml:space="preserve"> The IOP reduction was 9.0mmHg</w:t>
      </w:r>
      <w:r w:rsidR="00BB3AD6">
        <w:t xml:space="preserve"> at 60 months in Fechtner 2019.</w:t>
      </w:r>
    </w:p>
    <w:p w14:paraId="44650975" w14:textId="52D805A4" w:rsidR="00EA31E3" w:rsidRDefault="00EA31E3" w:rsidP="00EA31E3">
      <w:pPr>
        <w:rPr>
          <w:iCs/>
        </w:rPr>
      </w:pPr>
      <w:r>
        <w:rPr>
          <w:iCs/>
        </w:rPr>
        <w:t xml:space="preserve">For treatment success, the application stated that MGBS standalone </w:t>
      </w:r>
      <w:r w:rsidRPr="00EA31E3">
        <w:rPr>
          <w:iCs/>
        </w:rPr>
        <w:t>demonstrated greater than 90% of subjects were able to maintain IOP control (IOP ≤ 18 mmHg) at 12 months, with a high proportion of patients maintaining this level of IOP without the requirement for additional medication. In addition, the studies revealed that secondary incisional surgery was not required in &gt;80% of cases.</w:t>
      </w:r>
    </w:p>
    <w:p w14:paraId="0DF76AD2" w14:textId="446700FC" w:rsidR="00EA31E3" w:rsidRDefault="00EA31E3" w:rsidP="00EA31E3">
      <w:pPr>
        <w:keepNext/>
        <w:tabs>
          <w:tab w:val="left" w:pos="720"/>
          <w:tab w:val="left" w:pos="1140"/>
        </w:tabs>
        <w:spacing w:before="240" w:after="120"/>
        <w:rPr>
          <w:b/>
          <w:szCs w:val="24"/>
        </w:rPr>
      </w:pPr>
      <w:r w:rsidRPr="00F37B9C">
        <w:rPr>
          <w:b/>
          <w:szCs w:val="24"/>
        </w:rPr>
        <w:t>Clinical Claim</w:t>
      </w:r>
    </w:p>
    <w:p w14:paraId="3E9D96DE" w14:textId="4E121D10" w:rsidR="00EA31E3" w:rsidRPr="00B165A2" w:rsidRDefault="005A0419" w:rsidP="00A345B5">
      <w:pPr>
        <w:keepNext/>
        <w:tabs>
          <w:tab w:val="left" w:pos="720"/>
          <w:tab w:val="left" w:pos="1140"/>
        </w:tabs>
        <w:spacing w:before="120" w:after="120"/>
        <w:rPr>
          <w:szCs w:val="24"/>
        </w:rPr>
      </w:pPr>
      <w:r>
        <w:rPr>
          <w:szCs w:val="24"/>
        </w:rPr>
        <w:t>This was unchanged; however, the current resubmission added that r</w:t>
      </w:r>
      <w:r w:rsidRPr="005A0419">
        <w:rPr>
          <w:szCs w:val="24"/>
        </w:rPr>
        <w:t>elative to trabeculectomy, MBGS stent implantation demonstrates a different profile of potential adverse events consistent with the less invasive nature of the procedure. Specifically, patients receiving the MBGS stent are not at risk of complications associated with filtering surgeries such as bleb leak or bleb-related infection.</w:t>
      </w:r>
      <w:r>
        <w:rPr>
          <w:szCs w:val="24"/>
        </w:rPr>
        <w:t xml:space="preserve"> </w:t>
      </w:r>
    </w:p>
    <w:p w14:paraId="770E28F9" w14:textId="77777777" w:rsidR="00D17153" w:rsidRPr="006F0C7D" w:rsidRDefault="00D17153" w:rsidP="00A345B5">
      <w:pPr>
        <w:pStyle w:val="Heading2"/>
        <w:spacing w:before="240" w:after="120"/>
        <w:rPr>
          <w:b/>
        </w:rPr>
      </w:pPr>
      <w:r w:rsidRPr="006F0C7D">
        <w:rPr>
          <w:b/>
        </w:rPr>
        <w:t>November 2018 MSAC consideration</w:t>
      </w:r>
    </w:p>
    <w:p w14:paraId="25CE2E08" w14:textId="77777777" w:rsidR="001E6425" w:rsidRDefault="005351C0" w:rsidP="001E6425">
      <w:r>
        <w:t xml:space="preserve">The </w:t>
      </w:r>
      <w:r w:rsidR="001E6425">
        <w:t>resubmission</w:t>
      </w:r>
      <w:r w:rsidR="001E6425" w:rsidRPr="001E6425">
        <w:t xml:space="preserve"> claimed that the standalone MBGS procedure was associated with a reduction in </w:t>
      </w:r>
      <w:r w:rsidR="00595171">
        <w:t>intraocular pressure (</w:t>
      </w:r>
      <w:r w:rsidR="001E6425" w:rsidRPr="001E6425">
        <w:t>IOP</w:t>
      </w:r>
      <w:r w:rsidR="00595171">
        <w:t>)</w:t>
      </w:r>
      <w:r w:rsidR="001E6425" w:rsidRPr="001E6425">
        <w:t xml:space="preserve"> as well as a reduced need for ocular hypotensive therapy. The reduction in IOP was maintained until 5 years post implantation. Efficacy outcomes for trabeculectomy versus medical therapy reported in the included systematic </w:t>
      </w:r>
      <w:r w:rsidR="001E6425" w:rsidRPr="001E6425">
        <w:lastRenderedPageBreak/>
        <w:t>review (Burr 2012) showed trabeculectomy to be associated with a significantly greater mean change in IOP from baseline compared to medical therapy. On the basis of this single outcome, the SBA</w:t>
      </w:r>
      <w:r w:rsidR="001E6425">
        <w:t xml:space="preserve"> (resubmission)</w:t>
      </w:r>
      <w:r w:rsidR="001E6425" w:rsidRPr="001E6425">
        <w:t xml:space="preserve"> claimed that trabeculectomy is likely to be superior to MBGS standalone procedure in terms of comparative effectiveness</w:t>
      </w:r>
      <w:r>
        <w:t>.</w:t>
      </w:r>
    </w:p>
    <w:p w14:paraId="71C8A55F" w14:textId="77777777" w:rsidR="00F37B9C" w:rsidRDefault="00F37B9C" w:rsidP="005351C0">
      <w:pPr>
        <w:keepNext/>
        <w:tabs>
          <w:tab w:val="left" w:pos="720"/>
          <w:tab w:val="left" w:pos="1140"/>
        </w:tabs>
        <w:spacing w:before="240" w:after="120"/>
        <w:rPr>
          <w:b/>
          <w:szCs w:val="24"/>
        </w:rPr>
      </w:pPr>
      <w:r w:rsidRPr="00F37B9C">
        <w:rPr>
          <w:b/>
          <w:szCs w:val="24"/>
        </w:rPr>
        <w:t>Clinical Claim</w:t>
      </w:r>
    </w:p>
    <w:p w14:paraId="397D1DC1" w14:textId="77777777" w:rsidR="00542FD5" w:rsidRPr="00F36A11" w:rsidRDefault="005351C0" w:rsidP="005351C0">
      <w:pPr>
        <w:spacing w:after="80"/>
      </w:pPr>
      <w:r>
        <w:t xml:space="preserve">The </w:t>
      </w:r>
      <w:r w:rsidR="00634969">
        <w:t>resubmission stated that b</w:t>
      </w:r>
      <w:r w:rsidR="00542FD5" w:rsidRPr="00F36A11">
        <w:t>ased on an assessment of clinical evidence of MBGS stent implantation versus trabeculectomy, MBGS is likely to be:</w:t>
      </w:r>
    </w:p>
    <w:p w14:paraId="0FEB52DA" w14:textId="77777777" w:rsidR="00542FD5" w:rsidRPr="00F36A11" w:rsidRDefault="00542FD5" w:rsidP="005351C0">
      <w:pPr>
        <w:numPr>
          <w:ilvl w:val="0"/>
          <w:numId w:val="39"/>
        </w:numPr>
        <w:spacing w:after="80"/>
      </w:pPr>
      <w:r w:rsidRPr="00F36A11">
        <w:t>Potentially inferior to trabeculectomy in terms of comparative effectiveness</w:t>
      </w:r>
      <w:r w:rsidR="004F2698">
        <w:t>; and</w:t>
      </w:r>
      <w:r w:rsidRPr="00F36A11">
        <w:t xml:space="preserve"> </w:t>
      </w:r>
    </w:p>
    <w:p w14:paraId="51D63196" w14:textId="77777777" w:rsidR="00542FD5" w:rsidRPr="00634969" w:rsidRDefault="00542FD5" w:rsidP="005351C0">
      <w:pPr>
        <w:numPr>
          <w:ilvl w:val="0"/>
          <w:numId w:val="39"/>
        </w:numPr>
        <w:spacing w:after="80"/>
      </w:pPr>
      <w:r w:rsidRPr="00F36A11">
        <w:t xml:space="preserve">Superior in terms of comparative safety. </w:t>
      </w:r>
    </w:p>
    <w:p w14:paraId="213930C5" w14:textId="77777777" w:rsidR="00BC1364" w:rsidRPr="00F715D1" w:rsidRDefault="00BC1364" w:rsidP="00F715D1">
      <w:pPr>
        <w:pStyle w:val="Heading1"/>
      </w:pPr>
      <w:r w:rsidRPr="00F715D1">
        <w:t>Economic evaluation</w:t>
      </w:r>
    </w:p>
    <w:p w14:paraId="67D6417D" w14:textId="77777777" w:rsidR="005A0419" w:rsidRPr="006F0C7D" w:rsidRDefault="005A0419" w:rsidP="00A345B5">
      <w:pPr>
        <w:pStyle w:val="Heading2"/>
        <w:spacing w:before="120" w:after="120"/>
        <w:rPr>
          <w:b/>
        </w:rPr>
      </w:pPr>
      <w:r w:rsidRPr="006F0C7D">
        <w:rPr>
          <w:b/>
        </w:rPr>
        <w:t>August 2019 MSAC consideration</w:t>
      </w:r>
    </w:p>
    <w:p w14:paraId="5B12F1B0" w14:textId="32FCABAD" w:rsidR="005A0419" w:rsidRDefault="005A0419" w:rsidP="00BB3AD6">
      <w:pPr>
        <w:spacing w:after="240"/>
        <w:rPr>
          <w:iCs/>
        </w:rPr>
      </w:pPr>
      <w:r>
        <w:rPr>
          <w:iCs/>
        </w:rPr>
        <w:t xml:space="preserve">A cost-minimisation analysis (CMA) was now presented, which includes </w:t>
      </w:r>
      <w:r w:rsidRPr="005A0419">
        <w:rPr>
          <w:iCs/>
        </w:rPr>
        <w:t>the costs of the respective procedures (MBGS and trabeculectomy), the costs to manage adverse effects associated with these procedures, and in the case of MBGS, the cost of subsequent trabeculectomy for patients who do not achieve treatment success with MBGS</w:t>
      </w:r>
      <w:r>
        <w:rPr>
          <w:iCs/>
        </w:rPr>
        <w:t xml:space="preserve"> (Table </w:t>
      </w:r>
      <w:r w:rsidR="001D1929">
        <w:rPr>
          <w:iCs/>
        </w:rPr>
        <w:t>9</w:t>
      </w:r>
      <w:r>
        <w:rPr>
          <w:iCs/>
        </w:rPr>
        <w:t>)</w:t>
      </w:r>
      <w:r w:rsidRPr="005A0419">
        <w:rPr>
          <w:iCs/>
        </w:rPr>
        <w:t>.</w:t>
      </w:r>
    </w:p>
    <w:p w14:paraId="32EC2F4B" w14:textId="1CF20D86" w:rsidR="005A0419" w:rsidRDefault="005A0419" w:rsidP="00A345B5">
      <w:pPr>
        <w:pStyle w:val="Caption"/>
        <w:spacing w:after="0"/>
      </w:pPr>
      <w:bookmarkStart w:id="24" w:name="_Ref12963387"/>
      <w:bookmarkStart w:id="25" w:name="_Toc13577905"/>
      <w:r>
        <w:t>Table</w:t>
      </w:r>
      <w:bookmarkEnd w:id="24"/>
      <w:r>
        <w:t xml:space="preserve"> </w:t>
      </w:r>
      <w:r w:rsidR="001D1929">
        <w:rPr>
          <w:noProof/>
        </w:rPr>
        <w:t>9</w:t>
      </w:r>
      <w:r>
        <w:tab/>
        <w:t>Cost-minimisation analysis comparing MBGS with trabeculectomy</w:t>
      </w:r>
      <w:bookmarkEnd w:id="25"/>
    </w:p>
    <w:tbl>
      <w:tblPr>
        <w:tblStyle w:val="TableGrid2"/>
        <w:tblW w:w="5000" w:type="pct"/>
        <w:tblLayout w:type="fixed"/>
        <w:tblLook w:val="04A0" w:firstRow="1" w:lastRow="0" w:firstColumn="1" w:lastColumn="0" w:noHBand="0" w:noVBand="1"/>
        <w:tblDescription w:val="Summary of the cost minimisation analysis comparing MBGS with trabeculectomy"/>
      </w:tblPr>
      <w:tblGrid>
        <w:gridCol w:w="658"/>
        <w:gridCol w:w="2350"/>
        <w:gridCol w:w="1246"/>
        <w:gridCol w:w="1246"/>
        <w:gridCol w:w="1244"/>
        <w:gridCol w:w="2272"/>
      </w:tblGrid>
      <w:tr w:rsidR="005A0419" w:rsidRPr="00E04F53" w14:paraId="74941604" w14:textId="77777777" w:rsidTr="001833F6">
        <w:trPr>
          <w:cnfStyle w:val="100000000000" w:firstRow="1" w:lastRow="0" w:firstColumn="0" w:lastColumn="0" w:oddVBand="0" w:evenVBand="0" w:oddHBand="0" w:evenHBand="0" w:firstRowFirstColumn="0" w:firstRowLastColumn="0" w:lastRowFirstColumn="0" w:lastRowLastColumn="0"/>
          <w:trHeight w:val="629"/>
          <w:tblHeader/>
        </w:trPr>
        <w:tc>
          <w:tcPr>
            <w:tcW w:w="365" w:type="pct"/>
          </w:tcPr>
          <w:p w14:paraId="29DF1675" w14:textId="77777777" w:rsidR="005A0419" w:rsidRPr="00E04F53" w:rsidRDefault="005A0419" w:rsidP="001F439A">
            <w:pPr>
              <w:pStyle w:val="Tabletext"/>
              <w:spacing w:before="0" w:after="0"/>
              <w:rPr>
                <w:b/>
              </w:rPr>
            </w:pPr>
            <w:r w:rsidRPr="00E04F53">
              <w:rPr>
                <w:b/>
              </w:rPr>
              <w:t>Row</w:t>
            </w:r>
          </w:p>
        </w:tc>
        <w:tc>
          <w:tcPr>
            <w:tcW w:w="1303" w:type="pct"/>
            <w:noWrap/>
          </w:tcPr>
          <w:p w14:paraId="6E6D418B" w14:textId="77777777" w:rsidR="005A0419" w:rsidRPr="00E04F53" w:rsidRDefault="005A0419" w:rsidP="001F439A">
            <w:pPr>
              <w:pStyle w:val="Tabletext"/>
              <w:spacing w:before="0" w:after="0"/>
              <w:rPr>
                <w:b/>
              </w:rPr>
            </w:pPr>
            <w:r w:rsidRPr="00E04F53">
              <w:rPr>
                <w:b/>
              </w:rPr>
              <w:t>Parameter</w:t>
            </w:r>
          </w:p>
        </w:tc>
        <w:tc>
          <w:tcPr>
            <w:tcW w:w="691" w:type="pct"/>
            <w:noWrap/>
          </w:tcPr>
          <w:p w14:paraId="707876CA" w14:textId="77777777" w:rsidR="005A0419" w:rsidRPr="00E04F53" w:rsidRDefault="005A0419" w:rsidP="001F439A">
            <w:pPr>
              <w:pStyle w:val="Tabletext"/>
              <w:spacing w:before="0" w:after="0"/>
              <w:rPr>
                <w:b/>
              </w:rPr>
            </w:pPr>
            <w:r>
              <w:rPr>
                <w:b/>
              </w:rPr>
              <w:t>MBGS</w:t>
            </w:r>
          </w:p>
        </w:tc>
        <w:tc>
          <w:tcPr>
            <w:tcW w:w="691" w:type="pct"/>
          </w:tcPr>
          <w:p w14:paraId="587228FB" w14:textId="77777777" w:rsidR="005A0419" w:rsidRPr="00E04F53" w:rsidRDefault="005A0419" w:rsidP="001F439A">
            <w:pPr>
              <w:pStyle w:val="Tabletext"/>
              <w:spacing w:before="0" w:after="0"/>
              <w:rPr>
                <w:b/>
              </w:rPr>
            </w:pPr>
            <w:r w:rsidRPr="00E04F53">
              <w:rPr>
                <w:b/>
              </w:rPr>
              <w:t>Trab</w:t>
            </w:r>
          </w:p>
        </w:tc>
        <w:tc>
          <w:tcPr>
            <w:tcW w:w="690" w:type="pct"/>
            <w:noWrap/>
          </w:tcPr>
          <w:p w14:paraId="2E9AF9EE" w14:textId="77777777" w:rsidR="005A0419" w:rsidRPr="00E04F53" w:rsidRDefault="005A0419" w:rsidP="001F439A">
            <w:pPr>
              <w:pStyle w:val="Tabletext"/>
              <w:spacing w:before="0" w:after="0"/>
              <w:rPr>
                <w:b/>
              </w:rPr>
            </w:pPr>
            <w:r w:rsidRPr="00E04F53">
              <w:rPr>
                <w:b/>
              </w:rPr>
              <w:t>Difference</w:t>
            </w:r>
          </w:p>
        </w:tc>
        <w:tc>
          <w:tcPr>
            <w:tcW w:w="1260" w:type="pct"/>
          </w:tcPr>
          <w:p w14:paraId="0A72E3A6" w14:textId="77777777" w:rsidR="005A0419" w:rsidRPr="00E04F53" w:rsidRDefault="005A0419" w:rsidP="001F439A">
            <w:pPr>
              <w:pStyle w:val="Tabletext"/>
              <w:spacing w:before="0" w:after="0"/>
              <w:rPr>
                <w:b/>
              </w:rPr>
            </w:pPr>
            <w:r w:rsidRPr="00E04F53">
              <w:rPr>
                <w:b/>
              </w:rPr>
              <w:t>Reference</w:t>
            </w:r>
          </w:p>
        </w:tc>
      </w:tr>
      <w:tr w:rsidR="005A0419" w:rsidRPr="00E04F53" w14:paraId="63C5C593" w14:textId="77777777" w:rsidTr="001833F6">
        <w:trPr>
          <w:trHeight w:val="255"/>
        </w:trPr>
        <w:tc>
          <w:tcPr>
            <w:tcW w:w="365" w:type="pct"/>
          </w:tcPr>
          <w:p w14:paraId="701D98ED" w14:textId="77777777" w:rsidR="005A0419" w:rsidRPr="00E04F53" w:rsidRDefault="005A0419" w:rsidP="001F439A">
            <w:pPr>
              <w:pStyle w:val="Tabletext"/>
              <w:spacing w:before="0" w:after="0"/>
            </w:pPr>
            <w:r w:rsidRPr="00E04F53">
              <w:t>A</w:t>
            </w:r>
          </w:p>
        </w:tc>
        <w:tc>
          <w:tcPr>
            <w:tcW w:w="1303" w:type="pct"/>
            <w:noWrap/>
            <w:hideMark/>
          </w:tcPr>
          <w:p w14:paraId="3A80B781" w14:textId="77777777" w:rsidR="005A0419" w:rsidRPr="00E04F53" w:rsidRDefault="005A0419" w:rsidP="001F439A">
            <w:pPr>
              <w:pStyle w:val="Tabletext"/>
              <w:spacing w:before="0" w:after="0"/>
            </w:pPr>
            <w:r w:rsidRPr="00E04F53">
              <w:t>Cost per initial procedure</w:t>
            </w:r>
            <w:r>
              <w:t xml:space="preserve"> (inclusive of follow-up costs)</w:t>
            </w:r>
          </w:p>
        </w:tc>
        <w:tc>
          <w:tcPr>
            <w:tcW w:w="691" w:type="pct"/>
            <w:noWrap/>
            <w:hideMark/>
          </w:tcPr>
          <w:p w14:paraId="770CAFFE" w14:textId="77777777" w:rsidR="005A0419" w:rsidRPr="00951578" w:rsidRDefault="005A0419" w:rsidP="001F439A">
            <w:pPr>
              <w:pStyle w:val="Tabletext"/>
              <w:spacing w:before="0" w:after="0"/>
              <w:rPr>
                <w:bCs/>
              </w:rPr>
            </w:pPr>
            <w:r w:rsidRPr="00951578">
              <w:rPr>
                <w:bCs/>
              </w:rPr>
              <w:t>$3,497.72</w:t>
            </w:r>
          </w:p>
        </w:tc>
        <w:tc>
          <w:tcPr>
            <w:tcW w:w="691" w:type="pct"/>
            <w:noWrap/>
            <w:hideMark/>
          </w:tcPr>
          <w:p w14:paraId="3CC8A533" w14:textId="77777777" w:rsidR="005A0419" w:rsidRPr="00951578" w:rsidRDefault="005A0419" w:rsidP="001F439A">
            <w:pPr>
              <w:pStyle w:val="Tabletext"/>
              <w:spacing w:before="0" w:after="0"/>
              <w:rPr>
                <w:bCs/>
              </w:rPr>
            </w:pPr>
            <w:r w:rsidRPr="00951578">
              <w:rPr>
                <w:bCs/>
              </w:rPr>
              <w:t>$4,416.19</w:t>
            </w:r>
          </w:p>
        </w:tc>
        <w:tc>
          <w:tcPr>
            <w:tcW w:w="690" w:type="pct"/>
            <w:noWrap/>
            <w:hideMark/>
          </w:tcPr>
          <w:p w14:paraId="78766E2A" w14:textId="77777777" w:rsidR="005A0419" w:rsidRPr="00CB31A2" w:rsidRDefault="005A0419" w:rsidP="001F439A">
            <w:pPr>
              <w:pStyle w:val="Tabletext"/>
              <w:spacing w:before="0" w:after="0"/>
            </w:pPr>
            <w:r w:rsidRPr="00CB31A2">
              <w:t>-$</w:t>
            </w:r>
            <w:r w:rsidRPr="00951578">
              <w:t>918.47</w:t>
            </w:r>
          </w:p>
        </w:tc>
        <w:tc>
          <w:tcPr>
            <w:tcW w:w="1260" w:type="pct"/>
          </w:tcPr>
          <w:p w14:paraId="726D3CE3" w14:textId="201949F8" w:rsidR="005A0419" w:rsidRPr="00E04F53" w:rsidRDefault="00D15903" w:rsidP="001F439A">
            <w:pPr>
              <w:pStyle w:val="Tabletext"/>
              <w:spacing w:before="0" w:after="0"/>
            </w:pPr>
            <w:r>
              <w:t>Resubmission assessment report</w:t>
            </w:r>
          </w:p>
        </w:tc>
      </w:tr>
      <w:tr w:rsidR="005A0419" w:rsidRPr="00E04F53" w14:paraId="6660283E" w14:textId="77777777" w:rsidTr="001833F6">
        <w:trPr>
          <w:trHeight w:val="255"/>
        </w:trPr>
        <w:tc>
          <w:tcPr>
            <w:tcW w:w="365" w:type="pct"/>
          </w:tcPr>
          <w:p w14:paraId="35399502" w14:textId="77777777" w:rsidR="005A0419" w:rsidRPr="00E04F53" w:rsidRDefault="005A0419" w:rsidP="001F439A">
            <w:pPr>
              <w:pStyle w:val="Tabletext"/>
              <w:spacing w:before="0" w:after="0"/>
            </w:pPr>
            <w:r>
              <w:t>B</w:t>
            </w:r>
          </w:p>
        </w:tc>
        <w:tc>
          <w:tcPr>
            <w:tcW w:w="1303" w:type="pct"/>
            <w:noWrap/>
          </w:tcPr>
          <w:p w14:paraId="7D164A2F" w14:textId="77777777" w:rsidR="005A0419" w:rsidRDefault="005A0419" w:rsidP="001F439A">
            <w:pPr>
              <w:pStyle w:val="Tabletext"/>
              <w:spacing w:before="0" w:after="0"/>
            </w:pPr>
            <w:r>
              <w:t>Adverse event costs</w:t>
            </w:r>
          </w:p>
        </w:tc>
        <w:tc>
          <w:tcPr>
            <w:tcW w:w="691" w:type="pct"/>
            <w:noWrap/>
          </w:tcPr>
          <w:p w14:paraId="5B28F2D2" w14:textId="77777777" w:rsidR="005A0419" w:rsidRPr="00231C10" w:rsidRDefault="005A0419" w:rsidP="001F439A">
            <w:pPr>
              <w:pStyle w:val="Tabletext"/>
              <w:spacing w:before="0" w:after="0"/>
              <w:rPr>
                <w:bCs/>
              </w:rPr>
            </w:pPr>
            <w:r w:rsidRPr="00231C10">
              <w:rPr>
                <w:bCs/>
              </w:rPr>
              <w:t>$45.65</w:t>
            </w:r>
          </w:p>
        </w:tc>
        <w:tc>
          <w:tcPr>
            <w:tcW w:w="691" w:type="pct"/>
            <w:noWrap/>
          </w:tcPr>
          <w:p w14:paraId="4CF844F8" w14:textId="77777777" w:rsidR="005A0419" w:rsidRPr="00231C10" w:rsidRDefault="005A0419" w:rsidP="001F439A">
            <w:pPr>
              <w:pStyle w:val="Tabletext"/>
              <w:spacing w:before="0" w:after="0"/>
              <w:rPr>
                <w:bCs/>
              </w:rPr>
            </w:pPr>
            <w:r w:rsidRPr="00231C10">
              <w:rPr>
                <w:bCs/>
              </w:rPr>
              <w:t>$153.04</w:t>
            </w:r>
          </w:p>
        </w:tc>
        <w:tc>
          <w:tcPr>
            <w:tcW w:w="690" w:type="pct"/>
            <w:noWrap/>
          </w:tcPr>
          <w:p w14:paraId="6B7AC066" w14:textId="77777777" w:rsidR="005A0419" w:rsidRPr="00231C10" w:rsidRDefault="005A0419" w:rsidP="001F439A">
            <w:pPr>
              <w:pStyle w:val="Tabletext"/>
              <w:spacing w:before="0" w:after="0"/>
              <w:rPr>
                <w:bCs/>
              </w:rPr>
            </w:pPr>
            <w:r w:rsidRPr="00231C10">
              <w:rPr>
                <w:bCs/>
              </w:rPr>
              <w:t>-$107.40</w:t>
            </w:r>
          </w:p>
        </w:tc>
        <w:tc>
          <w:tcPr>
            <w:tcW w:w="1260" w:type="pct"/>
          </w:tcPr>
          <w:p w14:paraId="5F33EEE1" w14:textId="6B1548C1" w:rsidR="005A0419" w:rsidRDefault="00D15903" w:rsidP="001F439A">
            <w:pPr>
              <w:pStyle w:val="Tabletext"/>
              <w:spacing w:before="0" w:after="0"/>
            </w:pPr>
            <w:r>
              <w:t>Resubmission assessment report</w:t>
            </w:r>
          </w:p>
        </w:tc>
      </w:tr>
      <w:tr w:rsidR="005A0419" w:rsidRPr="00E04F53" w14:paraId="36D9FB05" w14:textId="77777777" w:rsidTr="001833F6">
        <w:trPr>
          <w:trHeight w:val="255"/>
        </w:trPr>
        <w:tc>
          <w:tcPr>
            <w:tcW w:w="365" w:type="pct"/>
          </w:tcPr>
          <w:p w14:paraId="11F4D20E" w14:textId="77777777" w:rsidR="005A0419" w:rsidRPr="00E04F53" w:rsidRDefault="005A0419" w:rsidP="001F439A">
            <w:pPr>
              <w:pStyle w:val="Tabletext"/>
              <w:spacing w:before="0" w:after="0"/>
            </w:pPr>
            <w:r>
              <w:t>C</w:t>
            </w:r>
          </w:p>
        </w:tc>
        <w:tc>
          <w:tcPr>
            <w:tcW w:w="1303" w:type="pct"/>
            <w:noWrap/>
          </w:tcPr>
          <w:p w14:paraId="782B1C67" w14:textId="77777777" w:rsidR="005A0419" w:rsidRDefault="005A0419" w:rsidP="001F439A">
            <w:pPr>
              <w:pStyle w:val="Tabletext"/>
              <w:spacing w:before="0" w:after="0"/>
            </w:pPr>
            <w:r>
              <w:t>Total cost of the procedure per patient</w:t>
            </w:r>
          </w:p>
        </w:tc>
        <w:tc>
          <w:tcPr>
            <w:tcW w:w="691" w:type="pct"/>
            <w:noWrap/>
          </w:tcPr>
          <w:p w14:paraId="28ED99E6" w14:textId="77777777" w:rsidR="005A0419" w:rsidRPr="00231C10" w:rsidRDefault="005A0419" w:rsidP="001F439A">
            <w:pPr>
              <w:pStyle w:val="Tabletext"/>
              <w:spacing w:before="0" w:after="0"/>
              <w:rPr>
                <w:bCs/>
              </w:rPr>
            </w:pPr>
            <w:r w:rsidRPr="00231C10">
              <w:rPr>
                <w:bCs/>
              </w:rPr>
              <w:t>$3,543.37</w:t>
            </w:r>
          </w:p>
        </w:tc>
        <w:tc>
          <w:tcPr>
            <w:tcW w:w="691" w:type="pct"/>
            <w:noWrap/>
          </w:tcPr>
          <w:p w14:paraId="3E35D769" w14:textId="77777777" w:rsidR="005A0419" w:rsidRPr="00231C10" w:rsidRDefault="005A0419" w:rsidP="001F439A">
            <w:pPr>
              <w:pStyle w:val="Tabletext"/>
              <w:spacing w:before="0" w:after="0"/>
              <w:rPr>
                <w:bCs/>
              </w:rPr>
            </w:pPr>
            <w:r w:rsidRPr="00231C10">
              <w:rPr>
                <w:bCs/>
              </w:rPr>
              <w:t>$4,569.23</w:t>
            </w:r>
          </w:p>
        </w:tc>
        <w:tc>
          <w:tcPr>
            <w:tcW w:w="690" w:type="pct"/>
            <w:noWrap/>
          </w:tcPr>
          <w:p w14:paraId="32959C3B" w14:textId="77777777" w:rsidR="005A0419" w:rsidRPr="00231C10" w:rsidRDefault="005A0419" w:rsidP="001F439A">
            <w:pPr>
              <w:pStyle w:val="Tabletext"/>
              <w:spacing w:before="0" w:after="0"/>
              <w:rPr>
                <w:bCs/>
              </w:rPr>
            </w:pPr>
            <w:r w:rsidRPr="00231C10">
              <w:rPr>
                <w:bCs/>
              </w:rPr>
              <w:t>-$1,025.87</w:t>
            </w:r>
          </w:p>
        </w:tc>
        <w:tc>
          <w:tcPr>
            <w:tcW w:w="1260" w:type="pct"/>
          </w:tcPr>
          <w:p w14:paraId="3097490B" w14:textId="77777777" w:rsidR="005A0419" w:rsidRDefault="005A0419" w:rsidP="001F439A">
            <w:pPr>
              <w:pStyle w:val="Tabletext"/>
              <w:spacing w:before="0" w:after="0"/>
            </w:pPr>
            <w:r>
              <w:t>A+B</w:t>
            </w:r>
          </w:p>
        </w:tc>
      </w:tr>
      <w:tr w:rsidR="005A0419" w:rsidRPr="00E04F53" w14:paraId="186FDCCF" w14:textId="77777777" w:rsidTr="001833F6">
        <w:trPr>
          <w:trHeight w:val="255"/>
        </w:trPr>
        <w:tc>
          <w:tcPr>
            <w:tcW w:w="365" w:type="pct"/>
          </w:tcPr>
          <w:p w14:paraId="637FC85B" w14:textId="77777777" w:rsidR="005A0419" w:rsidRPr="00E04F53" w:rsidRDefault="005A0419" w:rsidP="001F439A">
            <w:pPr>
              <w:pStyle w:val="Tabletext"/>
              <w:spacing w:before="0" w:after="0"/>
            </w:pPr>
            <w:r>
              <w:t>D</w:t>
            </w:r>
          </w:p>
        </w:tc>
        <w:tc>
          <w:tcPr>
            <w:tcW w:w="1303" w:type="pct"/>
            <w:noWrap/>
          </w:tcPr>
          <w:p w14:paraId="38362739" w14:textId="77777777" w:rsidR="005A0419" w:rsidRPr="00E04F53" w:rsidRDefault="005A0419" w:rsidP="001F439A">
            <w:pPr>
              <w:pStyle w:val="Tabletext"/>
              <w:spacing w:before="0" w:after="0"/>
            </w:pPr>
            <w:r>
              <w:t xml:space="preserve">Costs of </w:t>
            </w:r>
            <w:r w:rsidRPr="00E04F53">
              <w:t>subsequent trabeculectomy due to treatment failure</w:t>
            </w:r>
          </w:p>
        </w:tc>
        <w:tc>
          <w:tcPr>
            <w:tcW w:w="691" w:type="pct"/>
            <w:noWrap/>
          </w:tcPr>
          <w:p w14:paraId="108B7938" w14:textId="77777777" w:rsidR="005A0419" w:rsidRPr="00CB31A2" w:rsidRDefault="005A0419" w:rsidP="001F439A">
            <w:pPr>
              <w:pStyle w:val="Tabletext"/>
              <w:spacing w:before="0" w:after="0"/>
            </w:pPr>
            <w:r w:rsidRPr="00231C10">
              <w:t>$895.57</w:t>
            </w:r>
          </w:p>
        </w:tc>
        <w:tc>
          <w:tcPr>
            <w:tcW w:w="691" w:type="pct"/>
            <w:noWrap/>
          </w:tcPr>
          <w:p w14:paraId="51B62612" w14:textId="77777777" w:rsidR="005A0419" w:rsidRPr="00CB31A2" w:rsidRDefault="005A0419" w:rsidP="001F439A">
            <w:pPr>
              <w:pStyle w:val="Tabletext"/>
              <w:spacing w:before="0" w:after="0"/>
            </w:pPr>
            <w:r>
              <w:t>-</w:t>
            </w:r>
          </w:p>
        </w:tc>
        <w:tc>
          <w:tcPr>
            <w:tcW w:w="690" w:type="pct"/>
            <w:noWrap/>
          </w:tcPr>
          <w:p w14:paraId="53DF5A61" w14:textId="77777777" w:rsidR="005A0419" w:rsidRPr="00CB31A2" w:rsidRDefault="005A0419" w:rsidP="001F439A">
            <w:pPr>
              <w:pStyle w:val="Tabletext"/>
              <w:spacing w:before="0" w:after="0"/>
            </w:pPr>
            <w:r w:rsidRPr="00231C10">
              <w:t>$895.57</w:t>
            </w:r>
          </w:p>
        </w:tc>
        <w:tc>
          <w:tcPr>
            <w:tcW w:w="1260" w:type="pct"/>
          </w:tcPr>
          <w:p w14:paraId="3A9B0CE9" w14:textId="77777777" w:rsidR="005A0419" w:rsidRDefault="005A0419" w:rsidP="001F439A">
            <w:pPr>
              <w:pStyle w:val="Tabletext"/>
              <w:spacing w:before="0" w:after="0"/>
            </w:pPr>
            <w:r>
              <w:t>MBGS:</w:t>
            </w:r>
          </w:p>
          <w:p w14:paraId="694B2008" w14:textId="77777777" w:rsidR="005A0419" w:rsidRDefault="005A0419" w:rsidP="001F439A">
            <w:pPr>
              <w:pStyle w:val="Tabletext"/>
              <w:spacing w:before="0" w:after="0"/>
            </w:pPr>
            <w:r>
              <w:t>19.6% of patients at $4569.23 per trabeculectomy</w:t>
            </w:r>
          </w:p>
          <w:p w14:paraId="0218C780" w14:textId="77777777" w:rsidR="005A0419" w:rsidRDefault="005A0419" w:rsidP="001F439A">
            <w:pPr>
              <w:pStyle w:val="Tabletext"/>
              <w:spacing w:before="0" w:after="0"/>
            </w:pPr>
            <w:r>
              <w:t>Trab:</w:t>
            </w:r>
          </w:p>
          <w:p w14:paraId="0BAA1EE5" w14:textId="77777777" w:rsidR="005A0419" w:rsidRPr="00E04F53" w:rsidRDefault="005A0419" w:rsidP="001F439A">
            <w:pPr>
              <w:pStyle w:val="Tabletext"/>
              <w:spacing w:before="0" w:after="0"/>
            </w:pPr>
            <w:r>
              <w:t>Assume not required</w:t>
            </w:r>
          </w:p>
        </w:tc>
      </w:tr>
      <w:tr w:rsidR="005A0419" w:rsidRPr="00E04F53" w14:paraId="7074D74D" w14:textId="77777777" w:rsidTr="001833F6">
        <w:trPr>
          <w:trHeight w:val="255"/>
        </w:trPr>
        <w:tc>
          <w:tcPr>
            <w:tcW w:w="365" w:type="pct"/>
          </w:tcPr>
          <w:p w14:paraId="1676C2B7" w14:textId="77777777" w:rsidR="005A0419" w:rsidRPr="00E04F53" w:rsidRDefault="005A0419" w:rsidP="001F439A">
            <w:pPr>
              <w:pStyle w:val="Tabletext"/>
              <w:spacing w:before="0" w:after="0"/>
              <w:rPr>
                <w:b/>
              </w:rPr>
            </w:pPr>
            <w:r>
              <w:rPr>
                <w:b/>
              </w:rPr>
              <w:t>E</w:t>
            </w:r>
          </w:p>
        </w:tc>
        <w:tc>
          <w:tcPr>
            <w:tcW w:w="1303" w:type="pct"/>
            <w:noWrap/>
          </w:tcPr>
          <w:p w14:paraId="6518A2AF" w14:textId="77777777" w:rsidR="005A0419" w:rsidRPr="00E04F53" w:rsidRDefault="005A0419" w:rsidP="001F439A">
            <w:pPr>
              <w:pStyle w:val="Tabletext"/>
              <w:spacing w:before="0" w:after="0"/>
              <w:rPr>
                <w:b/>
              </w:rPr>
            </w:pPr>
            <w:r w:rsidRPr="00E04F53">
              <w:rPr>
                <w:b/>
              </w:rPr>
              <w:t xml:space="preserve">Total cost per </w:t>
            </w:r>
            <w:r>
              <w:rPr>
                <w:b/>
              </w:rPr>
              <w:t>patient</w:t>
            </w:r>
            <w:r>
              <w:rPr>
                <w:b/>
              </w:rPr>
              <w:br/>
              <w:t>(to reach a successful outcome)</w:t>
            </w:r>
          </w:p>
        </w:tc>
        <w:tc>
          <w:tcPr>
            <w:tcW w:w="691" w:type="pct"/>
            <w:noWrap/>
          </w:tcPr>
          <w:p w14:paraId="7D25FE9B" w14:textId="77777777" w:rsidR="005A0419" w:rsidRPr="00231C10" w:rsidRDefault="005A0419" w:rsidP="001F439A">
            <w:pPr>
              <w:pStyle w:val="Tabletext"/>
              <w:spacing w:before="0" w:after="0"/>
              <w:rPr>
                <w:b/>
                <w:bCs/>
              </w:rPr>
            </w:pPr>
            <w:r w:rsidRPr="00231C10">
              <w:rPr>
                <w:b/>
                <w:bCs/>
              </w:rPr>
              <w:t>$4,438.94</w:t>
            </w:r>
          </w:p>
        </w:tc>
        <w:tc>
          <w:tcPr>
            <w:tcW w:w="691" w:type="pct"/>
            <w:noWrap/>
          </w:tcPr>
          <w:p w14:paraId="35A57F8A" w14:textId="77777777" w:rsidR="005A0419" w:rsidRPr="00231C10" w:rsidRDefault="005A0419" w:rsidP="001F439A">
            <w:pPr>
              <w:pStyle w:val="Tabletext"/>
              <w:spacing w:before="0" w:after="0"/>
              <w:rPr>
                <w:b/>
                <w:bCs/>
              </w:rPr>
            </w:pPr>
            <w:r w:rsidRPr="00231C10">
              <w:rPr>
                <w:b/>
                <w:bCs/>
              </w:rPr>
              <w:t>$4,569.23</w:t>
            </w:r>
          </w:p>
        </w:tc>
        <w:tc>
          <w:tcPr>
            <w:tcW w:w="690" w:type="pct"/>
            <w:noWrap/>
          </w:tcPr>
          <w:p w14:paraId="291A9518" w14:textId="77777777" w:rsidR="005A0419" w:rsidRPr="00231C10" w:rsidRDefault="005A0419" w:rsidP="001F439A">
            <w:pPr>
              <w:pStyle w:val="Tabletext"/>
              <w:spacing w:before="0" w:after="0"/>
              <w:rPr>
                <w:b/>
                <w:bCs/>
              </w:rPr>
            </w:pPr>
            <w:r w:rsidRPr="00231C10">
              <w:rPr>
                <w:b/>
                <w:bCs/>
              </w:rPr>
              <w:t>-$130.30</w:t>
            </w:r>
          </w:p>
        </w:tc>
        <w:tc>
          <w:tcPr>
            <w:tcW w:w="1260" w:type="pct"/>
          </w:tcPr>
          <w:p w14:paraId="7BD689E4" w14:textId="77777777" w:rsidR="005A0419" w:rsidRPr="00E04F53" w:rsidRDefault="005A0419" w:rsidP="001F439A">
            <w:pPr>
              <w:pStyle w:val="Tabletext"/>
              <w:spacing w:before="0" w:after="0"/>
              <w:rPr>
                <w:b/>
              </w:rPr>
            </w:pPr>
            <w:r>
              <w:rPr>
                <w:b/>
              </w:rPr>
              <w:t>C</w:t>
            </w:r>
            <w:r w:rsidRPr="00E04F53">
              <w:rPr>
                <w:b/>
              </w:rPr>
              <w:t xml:space="preserve"> + </w:t>
            </w:r>
            <w:r>
              <w:rPr>
                <w:b/>
              </w:rPr>
              <w:t>D</w:t>
            </w:r>
          </w:p>
        </w:tc>
      </w:tr>
    </w:tbl>
    <w:p w14:paraId="4D749F54" w14:textId="77777777" w:rsidR="005A0419" w:rsidRDefault="005A0419" w:rsidP="001F439A">
      <w:pPr>
        <w:pStyle w:val="Tablenotes"/>
        <w:spacing w:after="240"/>
      </w:pPr>
      <w:r>
        <w:t>See provided spreadsheet for calculation details (</w:t>
      </w:r>
      <w:r w:rsidRPr="00304558">
        <w:t>MBGS</w:t>
      </w:r>
      <w:r>
        <w:t>standalone</w:t>
      </w:r>
      <w:r w:rsidRPr="00FF4740">
        <w:t>_costmin&amp;budgetimpact</w:t>
      </w:r>
      <w:r>
        <w:t>_July2019</w:t>
      </w:r>
      <w:r w:rsidRPr="00FF4740">
        <w:t>.xls</w:t>
      </w:r>
      <w:r>
        <w:t>)</w:t>
      </w:r>
    </w:p>
    <w:p w14:paraId="649BB71D" w14:textId="18EF9977" w:rsidR="005A0419" w:rsidRPr="00D75DA3" w:rsidRDefault="005A0419" w:rsidP="00D75DA3">
      <w:pPr>
        <w:rPr>
          <w:iCs/>
        </w:rPr>
      </w:pPr>
      <w:r>
        <w:rPr>
          <w:iCs/>
        </w:rPr>
        <w:t xml:space="preserve">Sensitivity analysis </w:t>
      </w:r>
      <w:r w:rsidR="00D75DA3">
        <w:rPr>
          <w:iCs/>
        </w:rPr>
        <w:t xml:space="preserve">investigated three variables identified by ESC (number of follow-up visits, rate of adverse events, and probability of MGBS failure requiring subsequent trabeculectomy). The </w:t>
      </w:r>
      <w:r w:rsidR="00135961">
        <w:rPr>
          <w:iCs/>
        </w:rPr>
        <w:t>current resubmission</w:t>
      </w:r>
      <w:r w:rsidR="00D75DA3">
        <w:rPr>
          <w:iCs/>
        </w:rPr>
        <w:t xml:space="preserve"> stated that t</w:t>
      </w:r>
      <w:r w:rsidR="00D75DA3" w:rsidRPr="00D75DA3">
        <w:rPr>
          <w:iCs/>
        </w:rPr>
        <w:t>he multiway sensitivity analyses show that costs have a small impact on the results with MBGS remaining cost saving relative to trabeculectomy even when they are removed from the analysis.</w:t>
      </w:r>
    </w:p>
    <w:p w14:paraId="5D2AED28" w14:textId="77777777" w:rsidR="005A0419" w:rsidRPr="006F0C7D" w:rsidRDefault="005A0419" w:rsidP="00A345B5">
      <w:pPr>
        <w:pStyle w:val="Heading2"/>
        <w:spacing w:before="240" w:after="120"/>
        <w:rPr>
          <w:b/>
        </w:rPr>
      </w:pPr>
      <w:r w:rsidRPr="006F0C7D">
        <w:rPr>
          <w:b/>
        </w:rPr>
        <w:t>November 2018 MSAC consideration</w:t>
      </w:r>
    </w:p>
    <w:p w14:paraId="32CE6B8B" w14:textId="132E50D2" w:rsidR="001F439A" w:rsidRPr="001F439A" w:rsidRDefault="00E43D73" w:rsidP="001F439A">
      <w:pPr>
        <w:spacing w:after="240"/>
      </w:pPr>
      <w:r w:rsidRPr="00E43D73">
        <w:t xml:space="preserve">The economic evaluation </w:t>
      </w:r>
      <w:r>
        <w:t>was</w:t>
      </w:r>
      <w:r w:rsidRPr="00E43D73">
        <w:t xml:space="preserve"> a cost-analysis of MBGS compared to trabeculectomy</w:t>
      </w:r>
      <w:r w:rsidR="00634969">
        <w:t xml:space="preserve"> (</w:t>
      </w:r>
      <w:r w:rsidR="00091B9D">
        <w:t>Table </w:t>
      </w:r>
      <w:r w:rsidR="001D1929">
        <w:t>10</w:t>
      </w:r>
      <w:r w:rsidR="00634969">
        <w:t>)</w:t>
      </w:r>
      <w:r w:rsidRPr="00E43D73">
        <w:t xml:space="preserve">. </w:t>
      </w:r>
      <w:bookmarkStart w:id="26" w:name="_Ref522642971"/>
      <w:bookmarkStart w:id="27" w:name="_Ref394419656"/>
      <w:bookmarkStart w:id="28" w:name="_Toc399251123"/>
      <w:bookmarkStart w:id="29" w:name="_Toc521083530"/>
      <w:bookmarkStart w:id="30" w:name="_Toc522706001"/>
      <w:r w:rsidR="001F439A">
        <w:br w:type="page"/>
      </w:r>
    </w:p>
    <w:p w14:paraId="3ACCD408" w14:textId="3B5E7C2C" w:rsidR="00634969" w:rsidRPr="00183E4D" w:rsidRDefault="00634969" w:rsidP="00E669AD">
      <w:pPr>
        <w:pStyle w:val="Caption"/>
        <w:keepNext/>
        <w:keepLines/>
        <w:spacing w:after="0"/>
      </w:pPr>
      <w:r>
        <w:lastRenderedPageBreak/>
        <w:t xml:space="preserve">Table </w:t>
      </w:r>
      <w:bookmarkEnd w:id="26"/>
      <w:r w:rsidR="001D1929">
        <w:t>10</w:t>
      </w:r>
      <w:r>
        <w:tab/>
      </w:r>
      <w:r>
        <w:tab/>
      </w:r>
      <w:r w:rsidRPr="00183E4D">
        <w:t>Summary of the economic evaluation</w:t>
      </w:r>
      <w:bookmarkEnd w:id="27"/>
      <w:bookmarkEnd w:id="28"/>
      <w:bookmarkEnd w:id="29"/>
      <w:bookmarkEnd w:id="30"/>
      <w:r w:rsidRPr="00183E4D">
        <w:t xml:space="preserve"> </w:t>
      </w:r>
    </w:p>
    <w:tbl>
      <w:tblPr>
        <w:tblStyle w:val="TableGrid13"/>
        <w:tblW w:w="0" w:type="auto"/>
        <w:tblLook w:val="01E0" w:firstRow="1" w:lastRow="1" w:firstColumn="1" w:lastColumn="1" w:noHBand="0" w:noVBand="0"/>
        <w:tblCaption w:val="Summary of the economic evaluation"/>
        <w:tblDescription w:val="This table describes the key constructs of the economic evaluation that is provided in the assessment report."/>
      </w:tblPr>
      <w:tblGrid>
        <w:gridCol w:w="3181"/>
        <w:gridCol w:w="5835"/>
      </w:tblGrid>
      <w:tr w:rsidR="00634969" w:rsidRPr="00183E4D" w14:paraId="6D57F95D" w14:textId="77777777" w:rsidTr="0014441A">
        <w:trPr>
          <w:cnfStyle w:val="100000000000" w:firstRow="1" w:lastRow="0" w:firstColumn="0" w:lastColumn="0" w:oddVBand="0" w:evenVBand="0" w:oddHBand="0" w:evenHBand="0" w:firstRowFirstColumn="0" w:firstRowLastColumn="0" w:lastRowFirstColumn="0" w:lastRowLastColumn="0"/>
          <w:trHeight w:val="20"/>
          <w:tblHeader/>
        </w:trPr>
        <w:tc>
          <w:tcPr>
            <w:tcW w:w="3183" w:type="dxa"/>
          </w:tcPr>
          <w:p w14:paraId="5EEF061B" w14:textId="77777777" w:rsidR="00634969" w:rsidRPr="00183E4D" w:rsidRDefault="00634969" w:rsidP="001F439A">
            <w:pPr>
              <w:pStyle w:val="Tabletext"/>
              <w:keepNext w:val="0"/>
              <w:widowControl w:val="0"/>
              <w:spacing w:before="0" w:after="0"/>
            </w:pPr>
            <w:r w:rsidRPr="00183E4D">
              <w:t>Perspective</w:t>
            </w:r>
          </w:p>
        </w:tc>
        <w:tc>
          <w:tcPr>
            <w:tcW w:w="5838" w:type="dxa"/>
          </w:tcPr>
          <w:p w14:paraId="12CA136D" w14:textId="77777777" w:rsidR="00634969" w:rsidRPr="00183E4D" w:rsidRDefault="00634969" w:rsidP="001F439A">
            <w:pPr>
              <w:pStyle w:val="Tabletext"/>
              <w:keepNext w:val="0"/>
              <w:widowControl w:val="0"/>
              <w:spacing w:before="0" w:after="0"/>
            </w:pPr>
            <w:r>
              <w:t>Australian health care system</w:t>
            </w:r>
          </w:p>
        </w:tc>
      </w:tr>
      <w:tr w:rsidR="00634969" w:rsidRPr="00183E4D" w14:paraId="09195CDC" w14:textId="77777777" w:rsidTr="0014441A">
        <w:trPr>
          <w:trHeight w:val="20"/>
        </w:trPr>
        <w:tc>
          <w:tcPr>
            <w:tcW w:w="3183" w:type="dxa"/>
          </w:tcPr>
          <w:p w14:paraId="63064A89" w14:textId="77777777" w:rsidR="00634969" w:rsidRPr="00183E4D" w:rsidRDefault="00634969" w:rsidP="001F439A">
            <w:pPr>
              <w:pStyle w:val="Tabletext"/>
              <w:keepNext w:val="0"/>
              <w:widowControl w:val="0"/>
              <w:spacing w:before="0" w:after="0"/>
            </w:pPr>
            <w:r w:rsidRPr="00183E4D">
              <w:t>Comparator</w:t>
            </w:r>
          </w:p>
        </w:tc>
        <w:tc>
          <w:tcPr>
            <w:tcW w:w="5838" w:type="dxa"/>
          </w:tcPr>
          <w:p w14:paraId="03665D63" w14:textId="77777777" w:rsidR="00634969" w:rsidRPr="005E4DDE" w:rsidRDefault="00634969" w:rsidP="001F439A">
            <w:pPr>
              <w:pStyle w:val="Tabletext"/>
              <w:keepNext w:val="0"/>
              <w:widowControl w:val="0"/>
              <w:spacing w:before="0" w:after="0"/>
              <w:rPr>
                <w:b/>
                <w:bCs/>
              </w:rPr>
            </w:pPr>
            <w:r w:rsidRPr="00184D2A">
              <w:rPr>
                <w:rStyle w:val="Emphasis"/>
                <w:b w:val="0"/>
                <w:bCs w:val="0"/>
              </w:rPr>
              <w:t>Trabeculectomy procedure</w:t>
            </w:r>
          </w:p>
        </w:tc>
      </w:tr>
      <w:tr w:rsidR="00634969" w:rsidRPr="00183E4D" w14:paraId="55A6ABFE" w14:textId="77777777" w:rsidTr="0014441A">
        <w:trPr>
          <w:trHeight w:val="20"/>
        </w:trPr>
        <w:tc>
          <w:tcPr>
            <w:tcW w:w="3183" w:type="dxa"/>
          </w:tcPr>
          <w:p w14:paraId="2D0C18BF" w14:textId="77777777" w:rsidR="00634969" w:rsidRPr="00183E4D" w:rsidRDefault="00634969" w:rsidP="001F439A">
            <w:pPr>
              <w:pStyle w:val="Tabletext"/>
              <w:keepNext w:val="0"/>
              <w:widowControl w:val="0"/>
              <w:spacing w:before="0" w:after="0"/>
            </w:pPr>
            <w:r w:rsidRPr="00183E4D">
              <w:t>Type of economic evaluation</w:t>
            </w:r>
          </w:p>
        </w:tc>
        <w:tc>
          <w:tcPr>
            <w:tcW w:w="5838" w:type="dxa"/>
          </w:tcPr>
          <w:p w14:paraId="441E3366" w14:textId="77777777" w:rsidR="00634969" w:rsidRPr="00184D2A" w:rsidRDefault="00634969" w:rsidP="001F439A">
            <w:pPr>
              <w:pStyle w:val="Tabletext"/>
              <w:keepNext w:val="0"/>
              <w:widowControl w:val="0"/>
              <w:spacing w:before="0" w:after="0"/>
            </w:pPr>
            <w:r w:rsidRPr="00184D2A">
              <w:t>Cost</w:t>
            </w:r>
            <w:r>
              <w:t xml:space="preserve"> analysis</w:t>
            </w:r>
          </w:p>
        </w:tc>
      </w:tr>
      <w:tr w:rsidR="00634969" w:rsidRPr="00183E4D" w14:paraId="57413AD3" w14:textId="77777777" w:rsidTr="0014441A">
        <w:trPr>
          <w:trHeight w:val="20"/>
        </w:trPr>
        <w:tc>
          <w:tcPr>
            <w:tcW w:w="3183" w:type="dxa"/>
          </w:tcPr>
          <w:p w14:paraId="7621043D" w14:textId="77777777" w:rsidR="00634969" w:rsidRPr="00183E4D" w:rsidRDefault="00634969" w:rsidP="001F439A">
            <w:pPr>
              <w:pStyle w:val="Tabletext"/>
              <w:keepNext w:val="0"/>
              <w:widowControl w:val="0"/>
              <w:spacing w:before="0" w:after="0"/>
            </w:pPr>
            <w:r w:rsidRPr="00183E4D">
              <w:t>Sources of evidence</w:t>
            </w:r>
          </w:p>
        </w:tc>
        <w:tc>
          <w:tcPr>
            <w:tcW w:w="5838" w:type="dxa"/>
          </w:tcPr>
          <w:p w14:paraId="6BAC979C" w14:textId="77777777" w:rsidR="00634969" w:rsidRPr="00183E4D" w:rsidRDefault="00634969" w:rsidP="001F439A">
            <w:pPr>
              <w:pStyle w:val="Tabletext"/>
              <w:keepNext w:val="0"/>
              <w:widowControl w:val="0"/>
              <w:spacing w:before="0" w:after="0"/>
            </w:pPr>
            <w:r>
              <w:t>Clinical evidence presented in Section B.6</w:t>
            </w:r>
          </w:p>
        </w:tc>
      </w:tr>
      <w:tr w:rsidR="00634969" w:rsidRPr="00183E4D" w14:paraId="1AF46E08" w14:textId="77777777" w:rsidTr="0014441A">
        <w:trPr>
          <w:trHeight w:val="20"/>
        </w:trPr>
        <w:tc>
          <w:tcPr>
            <w:tcW w:w="3183" w:type="dxa"/>
            <w:hideMark/>
          </w:tcPr>
          <w:p w14:paraId="7C7A93EE" w14:textId="77777777" w:rsidR="00634969" w:rsidRPr="00183E4D" w:rsidRDefault="00634969" w:rsidP="001F439A">
            <w:pPr>
              <w:pStyle w:val="Tabletext"/>
              <w:keepNext w:val="0"/>
              <w:widowControl w:val="0"/>
              <w:spacing w:before="0" w:after="0"/>
            </w:pPr>
            <w:r w:rsidRPr="00183E4D">
              <w:t>Time horizon</w:t>
            </w:r>
          </w:p>
        </w:tc>
        <w:tc>
          <w:tcPr>
            <w:tcW w:w="5838" w:type="dxa"/>
            <w:hideMark/>
          </w:tcPr>
          <w:p w14:paraId="058A0527" w14:textId="77777777" w:rsidR="00634969" w:rsidRPr="00183E4D" w:rsidRDefault="00634969" w:rsidP="001F439A">
            <w:pPr>
              <w:pStyle w:val="Tabletext"/>
              <w:keepNext w:val="0"/>
              <w:widowControl w:val="0"/>
              <w:spacing w:before="0" w:after="0"/>
            </w:pPr>
            <w:r>
              <w:t>Not specified</w:t>
            </w:r>
          </w:p>
        </w:tc>
      </w:tr>
      <w:tr w:rsidR="00634969" w:rsidRPr="00183E4D" w14:paraId="5A7BA1DD" w14:textId="77777777" w:rsidTr="0014441A">
        <w:trPr>
          <w:trHeight w:val="20"/>
        </w:trPr>
        <w:tc>
          <w:tcPr>
            <w:tcW w:w="3183" w:type="dxa"/>
            <w:hideMark/>
          </w:tcPr>
          <w:p w14:paraId="2E2DD99C" w14:textId="77777777" w:rsidR="00634969" w:rsidRPr="00183E4D" w:rsidRDefault="00634969" w:rsidP="001F439A">
            <w:pPr>
              <w:pStyle w:val="Tabletext"/>
              <w:keepNext w:val="0"/>
              <w:widowControl w:val="0"/>
              <w:spacing w:before="0" w:after="0"/>
            </w:pPr>
            <w:r w:rsidRPr="00183E4D">
              <w:t>Outcomes</w:t>
            </w:r>
          </w:p>
        </w:tc>
        <w:tc>
          <w:tcPr>
            <w:tcW w:w="5838" w:type="dxa"/>
          </w:tcPr>
          <w:p w14:paraId="3002120F" w14:textId="77777777" w:rsidR="00634969" w:rsidRPr="00183E4D" w:rsidRDefault="00634969" w:rsidP="001F439A">
            <w:pPr>
              <w:pStyle w:val="Tabletext"/>
              <w:keepNext w:val="0"/>
              <w:widowControl w:val="0"/>
              <w:spacing w:before="0" w:after="0"/>
            </w:pPr>
            <w:r>
              <w:t>Not specified</w:t>
            </w:r>
          </w:p>
        </w:tc>
      </w:tr>
      <w:tr w:rsidR="00634969" w:rsidRPr="00183E4D" w14:paraId="017D4832" w14:textId="77777777" w:rsidTr="0014441A">
        <w:trPr>
          <w:trHeight w:val="20"/>
        </w:trPr>
        <w:tc>
          <w:tcPr>
            <w:tcW w:w="3183" w:type="dxa"/>
            <w:hideMark/>
          </w:tcPr>
          <w:p w14:paraId="53FD8203" w14:textId="77777777" w:rsidR="00634969" w:rsidRPr="00183E4D" w:rsidRDefault="00634969" w:rsidP="001F439A">
            <w:pPr>
              <w:pStyle w:val="Tabletext"/>
              <w:keepNext w:val="0"/>
              <w:widowControl w:val="0"/>
              <w:spacing w:before="0" w:after="0"/>
            </w:pPr>
            <w:r w:rsidRPr="00183E4D">
              <w:t>Methods used to generate results</w:t>
            </w:r>
          </w:p>
        </w:tc>
        <w:tc>
          <w:tcPr>
            <w:tcW w:w="5838" w:type="dxa"/>
          </w:tcPr>
          <w:p w14:paraId="3F71880E" w14:textId="77777777" w:rsidR="00634969" w:rsidRPr="00183E4D" w:rsidRDefault="00634969" w:rsidP="001F439A">
            <w:pPr>
              <w:pStyle w:val="Tabletext"/>
              <w:keepNext w:val="0"/>
              <w:widowControl w:val="0"/>
              <w:spacing w:before="0" w:after="0"/>
            </w:pPr>
            <w:r>
              <w:t>Cost analysis</w:t>
            </w:r>
          </w:p>
        </w:tc>
      </w:tr>
      <w:tr w:rsidR="00634969" w:rsidRPr="00183E4D" w14:paraId="2179E301" w14:textId="77777777" w:rsidTr="0014441A">
        <w:trPr>
          <w:trHeight w:val="20"/>
        </w:trPr>
        <w:tc>
          <w:tcPr>
            <w:tcW w:w="3183" w:type="dxa"/>
            <w:hideMark/>
          </w:tcPr>
          <w:p w14:paraId="3E47681A" w14:textId="77777777" w:rsidR="00634969" w:rsidRPr="00183E4D" w:rsidRDefault="00634969" w:rsidP="001F439A">
            <w:pPr>
              <w:pStyle w:val="Tabletext"/>
              <w:keepNext w:val="0"/>
              <w:widowControl w:val="0"/>
              <w:spacing w:before="0" w:after="0"/>
            </w:pPr>
            <w:r w:rsidRPr="00183E4D">
              <w:t>Discount rate</w:t>
            </w:r>
          </w:p>
        </w:tc>
        <w:tc>
          <w:tcPr>
            <w:tcW w:w="5838" w:type="dxa"/>
          </w:tcPr>
          <w:p w14:paraId="5471814A" w14:textId="77777777" w:rsidR="00634969" w:rsidRPr="00183E4D" w:rsidRDefault="00634969" w:rsidP="001F439A">
            <w:pPr>
              <w:pStyle w:val="Tabletext"/>
              <w:keepNext w:val="0"/>
              <w:widowControl w:val="0"/>
              <w:spacing w:before="0" w:after="0"/>
            </w:pPr>
            <w:r>
              <w:t>Not specified</w:t>
            </w:r>
          </w:p>
        </w:tc>
      </w:tr>
      <w:tr w:rsidR="00634969" w:rsidRPr="00183E4D" w14:paraId="0A6AC1CD" w14:textId="77777777" w:rsidTr="0014441A">
        <w:trPr>
          <w:trHeight w:val="20"/>
        </w:trPr>
        <w:tc>
          <w:tcPr>
            <w:tcW w:w="3183" w:type="dxa"/>
            <w:hideMark/>
          </w:tcPr>
          <w:p w14:paraId="5C065F26" w14:textId="77777777" w:rsidR="00634969" w:rsidRPr="00183E4D" w:rsidRDefault="00634969" w:rsidP="001F439A">
            <w:pPr>
              <w:pStyle w:val="Tabletext"/>
              <w:keepNext w:val="0"/>
              <w:widowControl w:val="0"/>
              <w:spacing w:before="0" w:after="0"/>
            </w:pPr>
            <w:r w:rsidRPr="00183E4D">
              <w:t>Software packages used</w:t>
            </w:r>
          </w:p>
        </w:tc>
        <w:tc>
          <w:tcPr>
            <w:tcW w:w="5838" w:type="dxa"/>
          </w:tcPr>
          <w:p w14:paraId="7B7D2113" w14:textId="77777777" w:rsidR="00634969" w:rsidRPr="00183E4D" w:rsidRDefault="00634969" w:rsidP="001F439A">
            <w:pPr>
              <w:pStyle w:val="Tabletext"/>
              <w:keepNext w:val="0"/>
              <w:widowControl w:val="0"/>
              <w:spacing w:before="0" w:after="0"/>
            </w:pPr>
            <w:r>
              <w:t>Microsoft Excel</w:t>
            </w:r>
            <w:r w:rsidRPr="00E31619">
              <w:rPr>
                <w:vertAlign w:val="superscript"/>
              </w:rPr>
              <w:t>®</w:t>
            </w:r>
          </w:p>
        </w:tc>
      </w:tr>
    </w:tbl>
    <w:p w14:paraId="6C637EB3" w14:textId="7BAF2ACB" w:rsidR="00E43D73" w:rsidRDefault="00E43D73" w:rsidP="0019152F">
      <w:pPr>
        <w:spacing w:before="240"/>
      </w:pPr>
      <w:r w:rsidRPr="00E43D73">
        <w:t>Before accounting for adverse events, a single MBGS procedure is estimated to cost $3,564.20 per eye compared to $4,311.59 for trabeculectomy.</w:t>
      </w:r>
      <w:r w:rsidR="00B442EA">
        <w:t xml:space="preserve"> </w:t>
      </w:r>
      <w:r w:rsidR="00B442EA" w:rsidRPr="00B442EA">
        <w:t>A single MBGS procedure was estimated to accrue adverse event costs of $34.82 compared to $139.95 for trabeculectomy.</w:t>
      </w:r>
      <w:r w:rsidR="00B442EA">
        <w:t xml:space="preserve"> The cost analysis, including the costs of the respective procedures, the costs of managing adverse events, and the costs associated with any subsequent procedures (e.g. trabeculectomy due to treatment failure) is summarised in </w:t>
      </w:r>
      <w:r w:rsidR="00091B9D">
        <w:t xml:space="preserve">Table </w:t>
      </w:r>
      <w:r w:rsidR="001D1929">
        <w:t>11</w:t>
      </w:r>
      <w:r w:rsidR="00B442EA">
        <w:t>.</w:t>
      </w:r>
    </w:p>
    <w:p w14:paraId="40009B2E" w14:textId="000FBDD9" w:rsidR="00B442EA" w:rsidRPr="00F36A11" w:rsidRDefault="00B442EA" w:rsidP="00B442EA">
      <w:pPr>
        <w:keepNext/>
        <w:spacing w:before="240"/>
        <w:ind w:left="1134" w:hanging="1134"/>
        <w:rPr>
          <w:rFonts w:ascii="Arial Narrow" w:hAnsi="Arial Narrow"/>
          <w:b/>
          <w:bCs/>
          <w:sz w:val="20"/>
        </w:rPr>
      </w:pPr>
      <w:bookmarkStart w:id="31" w:name="_Ref516244209"/>
      <w:bookmarkStart w:id="32" w:name="_Toc516244358"/>
      <w:r w:rsidRPr="00F36A11">
        <w:rPr>
          <w:rFonts w:ascii="Arial Narrow" w:hAnsi="Arial Narrow"/>
          <w:b/>
          <w:bCs/>
          <w:sz w:val="20"/>
        </w:rPr>
        <w:t xml:space="preserve">Table </w:t>
      </w:r>
      <w:bookmarkEnd w:id="31"/>
      <w:r w:rsidR="001D1929">
        <w:rPr>
          <w:rFonts w:ascii="Arial Narrow" w:hAnsi="Arial Narrow"/>
          <w:b/>
          <w:bCs/>
          <w:sz w:val="20"/>
        </w:rPr>
        <w:t>11</w:t>
      </w:r>
      <w:r w:rsidRPr="00F36A11">
        <w:rPr>
          <w:rFonts w:ascii="Arial Narrow" w:hAnsi="Arial Narrow"/>
          <w:b/>
          <w:bCs/>
          <w:sz w:val="20"/>
        </w:rPr>
        <w:tab/>
      </w:r>
      <w:bookmarkEnd w:id="32"/>
      <w:r w:rsidR="00705BFF" w:rsidRPr="00705BFF">
        <w:rPr>
          <w:rFonts w:ascii="Arial Narrow" w:hAnsi="Arial Narrow"/>
          <w:b/>
          <w:bCs/>
          <w:sz w:val="20"/>
        </w:rPr>
        <w:t>Cost analysis comparing MBGS versus trabeculectomy</w:t>
      </w:r>
    </w:p>
    <w:tbl>
      <w:tblPr>
        <w:tblStyle w:val="TableGrid13"/>
        <w:tblW w:w="5000" w:type="pct"/>
        <w:tblLayout w:type="fixed"/>
        <w:tblLook w:val="04A0" w:firstRow="1" w:lastRow="0" w:firstColumn="1" w:lastColumn="0" w:noHBand="0" w:noVBand="1"/>
        <w:tblDescription w:val="Cost analysis comparing CCH versus surgery; including healthcare, rehabilitation, out-of-pocket and productivity costs"/>
      </w:tblPr>
      <w:tblGrid>
        <w:gridCol w:w="2691"/>
        <w:gridCol w:w="1369"/>
        <w:gridCol w:w="1370"/>
        <w:gridCol w:w="1370"/>
        <w:gridCol w:w="2216"/>
      </w:tblGrid>
      <w:tr w:rsidR="00B442EA" w:rsidRPr="00F36A11" w14:paraId="508AB5EE" w14:textId="77777777" w:rsidTr="0014441A">
        <w:trPr>
          <w:cnfStyle w:val="100000000000" w:firstRow="1" w:lastRow="0" w:firstColumn="0" w:lastColumn="0" w:oddVBand="0" w:evenVBand="0" w:oddHBand="0" w:evenHBand="0" w:firstRowFirstColumn="0" w:firstRowLastColumn="0" w:lastRowFirstColumn="0" w:lastRowLastColumn="0"/>
          <w:trHeight w:val="629"/>
          <w:tblHeader/>
        </w:trPr>
        <w:tc>
          <w:tcPr>
            <w:tcW w:w="1492" w:type="pct"/>
            <w:noWrap/>
            <w:hideMark/>
          </w:tcPr>
          <w:p w14:paraId="724DFAD1" w14:textId="77777777" w:rsidR="00B442EA" w:rsidRPr="00F36A11" w:rsidRDefault="00B442EA" w:rsidP="001F439A">
            <w:pPr>
              <w:keepNext/>
              <w:keepLines/>
              <w:spacing w:before="0" w:after="0"/>
              <w:rPr>
                <w:rFonts w:ascii="Arial Narrow" w:hAnsi="Arial Narrow"/>
                <w:b/>
                <w:sz w:val="20"/>
              </w:rPr>
            </w:pPr>
            <w:r w:rsidRPr="00F36A11">
              <w:rPr>
                <w:rFonts w:ascii="Arial Narrow" w:hAnsi="Arial Narrow"/>
                <w:b/>
                <w:sz w:val="20"/>
              </w:rPr>
              <w:t>Parameter</w:t>
            </w:r>
          </w:p>
        </w:tc>
        <w:tc>
          <w:tcPr>
            <w:tcW w:w="759" w:type="pct"/>
            <w:noWrap/>
            <w:hideMark/>
          </w:tcPr>
          <w:p w14:paraId="349C0C3A" w14:textId="77777777" w:rsidR="00B442EA" w:rsidRPr="00F36A11" w:rsidRDefault="00B442EA" w:rsidP="001F439A">
            <w:pPr>
              <w:keepNext/>
              <w:keepLines/>
              <w:spacing w:before="0" w:after="0"/>
              <w:rPr>
                <w:rFonts w:ascii="Arial Narrow" w:hAnsi="Arial Narrow"/>
                <w:b/>
                <w:sz w:val="20"/>
              </w:rPr>
            </w:pPr>
            <w:r w:rsidRPr="00F36A11">
              <w:rPr>
                <w:rFonts w:ascii="Arial Narrow" w:hAnsi="Arial Narrow"/>
                <w:b/>
                <w:sz w:val="20"/>
              </w:rPr>
              <w:t>MBGS</w:t>
            </w:r>
          </w:p>
        </w:tc>
        <w:tc>
          <w:tcPr>
            <w:tcW w:w="760" w:type="pct"/>
          </w:tcPr>
          <w:p w14:paraId="618DE0EA" w14:textId="77777777" w:rsidR="00B442EA" w:rsidRPr="00F36A11" w:rsidRDefault="00B442EA" w:rsidP="001F439A">
            <w:pPr>
              <w:keepNext/>
              <w:keepLines/>
              <w:spacing w:before="0" w:after="0"/>
              <w:rPr>
                <w:rFonts w:ascii="Arial Narrow" w:hAnsi="Arial Narrow"/>
                <w:b/>
                <w:sz w:val="20"/>
              </w:rPr>
            </w:pPr>
            <w:r w:rsidRPr="00F36A11">
              <w:rPr>
                <w:rFonts w:ascii="Arial Narrow" w:hAnsi="Arial Narrow"/>
                <w:b/>
                <w:sz w:val="20"/>
              </w:rPr>
              <w:t>Trab</w:t>
            </w:r>
          </w:p>
        </w:tc>
        <w:tc>
          <w:tcPr>
            <w:tcW w:w="760" w:type="pct"/>
            <w:noWrap/>
            <w:hideMark/>
          </w:tcPr>
          <w:p w14:paraId="1AFA54AA" w14:textId="77777777" w:rsidR="00B442EA" w:rsidRPr="00F36A11" w:rsidRDefault="00B442EA" w:rsidP="001F439A">
            <w:pPr>
              <w:keepNext/>
              <w:keepLines/>
              <w:spacing w:before="0" w:after="0"/>
              <w:rPr>
                <w:rFonts w:ascii="Arial Narrow" w:hAnsi="Arial Narrow"/>
                <w:b/>
                <w:sz w:val="20"/>
              </w:rPr>
            </w:pPr>
            <w:r w:rsidRPr="00F36A11">
              <w:rPr>
                <w:rFonts w:ascii="Arial Narrow" w:hAnsi="Arial Narrow"/>
                <w:b/>
                <w:sz w:val="20"/>
              </w:rPr>
              <w:t>Difference</w:t>
            </w:r>
          </w:p>
        </w:tc>
        <w:tc>
          <w:tcPr>
            <w:tcW w:w="1229" w:type="pct"/>
            <w:hideMark/>
          </w:tcPr>
          <w:p w14:paraId="108EC791" w14:textId="77777777" w:rsidR="00B442EA" w:rsidRPr="00F36A11" w:rsidRDefault="00B442EA" w:rsidP="001F439A">
            <w:pPr>
              <w:keepNext/>
              <w:keepLines/>
              <w:spacing w:before="0" w:after="0"/>
              <w:rPr>
                <w:rFonts w:ascii="Arial Narrow" w:hAnsi="Arial Narrow"/>
                <w:b/>
                <w:sz w:val="20"/>
              </w:rPr>
            </w:pPr>
            <w:r w:rsidRPr="00F36A11">
              <w:rPr>
                <w:rFonts w:ascii="Arial Narrow" w:hAnsi="Arial Narrow"/>
                <w:b/>
                <w:sz w:val="20"/>
              </w:rPr>
              <w:t>Reference</w:t>
            </w:r>
          </w:p>
        </w:tc>
      </w:tr>
      <w:tr w:rsidR="00B442EA" w:rsidRPr="00F36A11" w14:paraId="5F2E26E4" w14:textId="77777777" w:rsidTr="0014441A">
        <w:trPr>
          <w:trHeight w:val="255"/>
        </w:trPr>
        <w:tc>
          <w:tcPr>
            <w:tcW w:w="1492" w:type="pct"/>
            <w:noWrap/>
            <w:hideMark/>
          </w:tcPr>
          <w:p w14:paraId="74724466" w14:textId="77777777" w:rsidR="00B442EA" w:rsidRPr="00F36A11" w:rsidRDefault="00B442EA" w:rsidP="001F439A">
            <w:pPr>
              <w:keepNext/>
              <w:keepLines/>
              <w:spacing w:before="0" w:after="0"/>
              <w:rPr>
                <w:sz w:val="20"/>
              </w:rPr>
            </w:pPr>
            <w:r w:rsidRPr="00F36A11">
              <w:rPr>
                <w:sz w:val="20"/>
              </w:rPr>
              <w:t>Total cost per initial procedure</w:t>
            </w:r>
          </w:p>
        </w:tc>
        <w:tc>
          <w:tcPr>
            <w:tcW w:w="759" w:type="pct"/>
            <w:noWrap/>
            <w:hideMark/>
          </w:tcPr>
          <w:p w14:paraId="5EB6EE32" w14:textId="77777777" w:rsidR="00B442EA" w:rsidRPr="00F36A11" w:rsidRDefault="00B442EA" w:rsidP="001F439A">
            <w:pPr>
              <w:keepNext/>
              <w:keepLines/>
              <w:spacing w:before="0" w:after="0"/>
              <w:rPr>
                <w:sz w:val="20"/>
              </w:rPr>
            </w:pPr>
            <w:r w:rsidRPr="00F36A11">
              <w:rPr>
                <w:sz w:val="20"/>
              </w:rPr>
              <w:t>$3,599.02</w:t>
            </w:r>
          </w:p>
        </w:tc>
        <w:tc>
          <w:tcPr>
            <w:tcW w:w="760" w:type="pct"/>
            <w:noWrap/>
            <w:hideMark/>
          </w:tcPr>
          <w:p w14:paraId="2ADCD8CB" w14:textId="77777777" w:rsidR="00B442EA" w:rsidRPr="00F36A11" w:rsidRDefault="00B442EA" w:rsidP="001F439A">
            <w:pPr>
              <w:keepNext/>
              <w:keepLines/>
              <w:spacing w:before="0" w:after="0"/>
              <w:rPr>
                <w:sz w:val="20"/>
              </w:rPr>
            </w:pPr>
            <w:r w:rsidRPr="00F36A11">
              <w:rPr>
                <w:sz w:val="20"/>
              </w:rPr>
              <w:t>$4,451.54</w:t>
            </w:r>
          </w:p>
        </w:tc>
        <w:tc>
          <w:tcPr>
            <w:tcW w:w="760" w:type="pct"/>
            <w:noWrap/>
            <w:hideMark/>
          </w:tcPr>
          <w:p w14:paraId="7575BB69" w14:textId="77777777" w:rsidR="00B442EA" w:rsidRPr="00F36A11" w:rsidRDefault="00B442EA" w:rsidP="001F439A">
            <w:pPr>
              <w:keepNext/>
              <w:keepLines/>
              <w:spacing w:before="0" w:after="0"/>
              <w:rPr>
                <w:sz w:val="20"/>
              </w:rPr>
            </w:pPr>
            <w:r w:rsidRPr="00F36A11">
              <w:rPr>
                <w:sz w:val="20"/>
              </w:rPr>
              <w:t>-$852.52</w:t>
            </w:r>
          </w:p>
        </w:tc>
        <w:tc>
          <w:tcPr>
            <w:tcW w:w="1229" w:type="pct"/>
            <w:hideMark/>
          </w:tcPr>
          <w:p w14:paraId="40A398EA" w14:textId="77777777" w:rsidR="00B442EA" w:rsidRPr="00F36A11" w:rsidRDefault="00B442EA" w:rsidP="001F439A">
            <w:pPr>
              <w:keepNext/>
              <w:keepLines/>
              <w:spacing w:before="0" w:after="0"/>
              <w:rPr>
                <w:sz w:val="20"/>
              </w:rPr>
            </w:pPr>
            <w:r w:rsidRPr="00F36A11">
              <w:rPr>
                <w:sz w:val="20"/>
              </w:rPr>
              <w:t>Sum of hospital admission, professional services, prosthesis, post-op consultations</w:t>
            </w:r>
            <w:r>
              <w:rPr>
                <w:sz w:val="20"/>
              </w:rPr>
              <w:t xml:space="preserve"> and adverse events</w:t>
            </w:r>
          </w:p>
        </w:tc>
      </w:tr>
      <w:tr w:rsidR="00B442EA" w:rsidRPr="00F36A11" w14:paraId="68487A0D" w14:textId="77777777" w:rsidTr="0014441A">
        <w:trPr>
          <w:trHeight w:val="255"/>
        </w:trPr>
        <w:tc>
          <w:tcPr>
            <w:tcW w:w="1492" w:type="pct"/>
            <w:noWrap/>
            <w:hideMark/>
          </w:tcPr>
          <w:p w14:paraId="0896E986" w14:textId="77777777" w:rsidR="00B442EA" w:rsidRPr="00F36A11" w:rsidRDefault="00B442EA" w:rsidP="001F439A">
            <w:pPr>
              <w:keepNext/>
              <w:keepLines/>
              <w:spacing w:before="0" w:after="0"/>
              <w:rPr>
                <w:sz w:val="20"/>
              </w:rPr>
            </w:pPr>
            <w:r w:rsidRPr="00F36A11">
              <w:rPr>
                <w:sz w:val="20"/>
              </w:rPr>
              <w:t>Patients requiring subsequent trabeculectomy due to treatment failure</w:t>
            </w:r>
          </w:p>
        </w:tc>
        <w:tc>
          <w:tcPr>
            <w:tcW w:w="759" w:type="pct"/>
            <w:noWrap/>
            <w:hideMark/>
          </w:tcPr>
          <w:p w14:paraId="2089745A" w14:textId="77777777" w:rsidR="00B442EA" w:rsidRPr="00F36A11" w:rsidRDefault="00B442EA" w:rsidP="001F439A">
            <w:pPr>
              <w:keepNext/>
              <w:keepLines/>
              <w:spacing w:before="0" w:after="0"/>
              <w:rPr>
                <w:sz w:val="20"/>
              </w:rPr>
            </w:pPr>
            <w:r w:rsidRPr="00F36A11">
              <w:rPr>
                <w:sz w:val="20"/>
              </w:rPr>
              <w:t>17%</w:t>
            </w:r>
            <w:r w:rsidRPr="00F36A11">
              <w:rPr>
                <w:sz w:val="20"/>
              </w:rPr>
              <w:br/>
              <w:t>(11/64)</w:t>
            </w:r>
          </w:p>
        </w:tc>
        <w:tc>
          <w:tcPr>
            <w:tcW w:w="760" w:type="pct"/>
            <w:noWrap/>
            <w:hideMark/>
          </w:tcPr>
          <w:p w14:paraId="54415CC9" w14:textId="77777777" w:rsidR="00B442EA" w:rsidRPr="00F36A11" w:rsidRDefault="00B442EA" w:rsidP="001F439A">
            <w:pPr>
              <w:keepNext/>
              <w:keepLines/>
              <w:spacing w:before="0" w:after="0"/>
              <w:rPr>
                <w:sz w:val="20"/>
              </w:rPr>
            </w:pPr>
            <w:r w:rsidRPr="00F36A11">
              <w:rPr>
                <w:sz w:val="20"/>
              </w:rPr>
              <w:t>0%</w:t>
            </w:r>
          </w:p>
        </w:tc>
        <w:tc>
          <w:tcPr>
            <w:tcW w:w="760" w:type="pct"/>
            <w:noWrap/>
            <w:hideMark/>
          </w:tcPr>
          <w:p w14:paraId="6A917EC8" w14:textId="77777777" w:rsidR="00B442EA" w:rsidRPr="00F36A11" w:rsidRDefault="00B442EA" w:rsidP="001F439A">
            <w:pPr>
              <w:keepNext/>
              <w:keepLines/>
              <w:spacing w:before="0" w:after="0"/>
              <w:rPr>
                <w:sz w:val="20"/>
              </w:rPr>
            </w:pPr>
            <w:r w:rsidRPr="00F36A11">
              <w:rPr>
                <w:sz w:val="20"/>
              </w:rPr>
              <w:t>-13.3%</w:t>
            </w:r>
          </w:p>
        </w:tc>
        <w:tc>
          <w:tcPr>
            <w:tcW w:w="1229" w:type="pct"/>
            <w:hideMark/>
          </w:tcPr>
          <w:p w14:paraId="6AB9B0D8" w14:textId="77777777" w:rsidR="00B442EA" w:rsidRPr="00F36A11" w:rsidRDefault="00B442EA" w:rsidP="001F439A">
            <w:pPr>
              <w:keepNext/>
              <w:keepLines/>
              <w:spacing w:before="0" w:after="0"/>
              <w:rPr>
                <w:sz w:val="20"/>
              </w:rPr>
            </w:pPr>
            <w:r w:rsidRPr="00F36A11">
              <w:rPr>
                <w:sz w:val="20"/>
              </w:rPr>
              <w:t>Section C based on the DUETTE study</w:t>
            </w:r>
          </w:p>
          <w:p w14:paraId="70C247C6" w14:textId="77777777" w:rsidR="00B442EA" w:rsidRPr="00F36A11" w:rsidRDefault="00B442EA" w:rsidP="001F439A">
            <w:pPr>
              <w:keepNext/>
              <w:keepLines/>
              <w:spacing w:before="0" w:after="0"/>
              <w:rPr>
                <w:sz w:val="20"/>
              </w:rPr>
            </w:pPr>
            <w:r w:rsidRPr="00F36A11">
              <w:rPr>
                <w:sz w:val="20"/>
              </w:rPr>
              <w:t>Assumed 0% for trabeculectomy arm</w:t>
            </w:r>
          </w:p>
        </w:tc>
      </w:tr>
      <w:tr w:rsidR="00B442EA" w:rsidRPr="00F36A11" w14:paraId="09521668" w14:textId="77777777" w:rsidTr="0014441A">
        <w:trPr>
          <w:trHeight w:val="255"/>
        </w:trPr>
        <w:tc>
          <w:tcPr>
            <w:tcW w:w="1492" w:type="pct"/>
            <w:noWrap/>
            <w:hideMark/>
          </w:tcPr>
          <w:p w14:paraId="3F7F4021" w14:textId="77777777" w:rsidR="00B442EA" w:rsidRPr="00F36A11" w:rsidRDefault="00B442EA" w:rsidP="001F439A">
            <w:pPr>
              <w:keepNext/>
              <w:keepLines/>
              <w:spacing w:before="0" w:after="0"/>
              <w:rPr>
                <w:sz w:val="20"/>
              </w:rPr>
            </w:pPr>
            <w:r w:rsidRPr="00F36A11">
              <w:rPr>
                <w:sz w:val="20"/>
              </w:rPr>
              <w:t>Expected total cost of subsequent trabeculectomy</w:t>
            </w:r>
          </w:p>
        </w:tc>
        <w:tc>
          <w:tcPr>
            <w:tcW w:w="759" w:type="pct"/>
            <w:noWrap/>
            <w:hideMark/>
          </w:tcPr>
          <w:p w14:paraId="0FCC120D" w14:textId="77777777" w:rsidR="00B442EA" w:rsidRPr="00F36A11" w:rsidRDefault="00B442EA" w:rsidP="001F439A">
            <w:pPr>
              <w:keepNext/>
              <w:keepLines/>
              <w:spacing w:before="0" w:after="0"/>
              <w:rPr>
                <w:sz w:val="20"/>
              </w:rPr>
            </w:pPr>
            <w:r w:rsidRPr="00F36A11">
              <w:rPr>
                <w:sz w:val="20"/>
              </w:rPr>
              <w:t>$765.11</w:t>
            </w:r>
          </w:p>
        </w:tc>
        <w:tc>
          <w:tcPr>
            <w:tcW w:w="760" w:type="pct"/>
            <w:noWrap/>
            <w:hideMark/>
          </w:tcPr>
          <w:p w14:paraId="22DD2AF5" w14:textId="77777777" w:rsidR="00B442EA" w:rsidRPr="00F36A11" w:rsidRDefault="00B442EA" w:rsidP="001F439A">
            <w:pPr>
              <w:keepNext/>
              <w:keepLines/>
              <w:spacing w:before="0" w:after="0"/>
              <w:rPr>
                <w:sz w:val="20"/>
              </w:rPr>
            </w:pPr>
            <w:r w:rsidRPr="00F36A11">
              <w:rPr>
                <w:sz w:val="20"/>
              </w:rPr>
              <w:t>$0.00</w:t>
            </w:r>
          </w:p>
        </w:tc>
        <w:tc>
          <w:tcPr>
            <w:tcW w:w="760" w:type="pct"/>
            <w:noWrap/>
            <w:hideMark/>
          </w:tcPr>
          <w:p w14:paraId="19C5AF41" w14:textId="77777777" w:rsidR="00B442EA" w:rsidRPr="00F36A11" w:rsidRDefault="00B442EA" w:rsidP="001F439A">
            <w:pPr>
              <w:keepNext/>
              <w:keepLines/>
              <w:spacing w:before="0" w:after="0"/>
              <w:rPr>
                <w:sz w:val="20"/>
              </w:rPr>
            </w:pPr>
            <w:r w:rsidRPr="00F36A11">
              <w:rPr>
                <w:sz w:val="20"/>
              </w:rPr>
              <w:t>$765.11</w:t>
            </w:r>
          </w:p>
        </w:tc>
        <w:tc>
          <w:tcPr>
            <w:tcW w:w="1229" w:type="pct"/>
            <w:hideMark/>
          </w:tcPr>
          <w:p w14:paraId="4FE11792" w14:textId="77777777" w:rsidR="00B442EA" w:rsidRPr="00F36A11" w:rsidRDefault="00B442EA" w:rsidP="001F439A">
            <w:pPr>
              <w:keepNext/>
              <w:keepLines/>
              <w:spacing w:before="0" w:after="0"/>
              <w:rPr>
                <w:sz w:val="20"/>
              </w:rPr>
            </w:pPr>
            <w:r w:rsidRPr="00F36A11">
              <w:rPr>
                <w:sz w:val="20"/>
              </w:rPr>
              <w:t>$4451.54 x 17%</w:t>
            </w:r>
          </w:p>
        </w:tc>
      </w:tr>
      <w:tr w:rsidR="00B442EA" w:rsidRPr="00F36A11" w14:paraId="3C5AA631" w14:textId="77777777" w:rsidTr="0014441A">
        <w:trPr>
          <w:trHeight w:val="255"/>
        </w:trPr>
        <w:tc>
          <w:tcPr>
            <w:tcW w:w="1492" w:type="pct"/>
            <w:noWrap/>
            <w:hideMark/>
          </w:tcPr>
          <w:p w14:paraId="2D324982" w14:textId="77777777" w:rsidR="00B442EA" w:rsidRPr="00F36A11" w:rsidRDefault="00B442EA" w:rsidP="001F439A">
            <w:pPr>
              <w:keepNext/>
              <w:keepLines/>
              <w:spacing w:before="0" w:after="0"/>
              <w:rPr>
                <w:sz w:val="20"/>
              </w:rPr>
            </w:pPr>
            <w:r w:rsidRPr="00F36A11">
              <w:rPr>
                <w:sz w:val="20"/>
              </w:rPr>
              <w:t>Total cost per patient</w:t>
            </w:r>
          </w:p>
        </w:tc>
        <w:tc>
          <w:tcPr>
            <w:tcW w:w="759" w:type="pct"/>
            <w:noWrap/>
            <w:hideMark/>
          </w:tcPr>
          <w:p w14:paraId="7D3ABCC4" w14:textId="77777777" w:rsidR="00B442EA" w:rsidRPr="00F36A11" w:rsidRDefault="00B442EA" w:rsidP="001F439A">
            <w:pPr>
              <w:keepNext/>
              <w:keepLines/>
              <w:spacing w:before="0" w:after="0"/>
              <w:rPr>
                <w:sz w:val="20"/>
              </w:rPr>
            </w:pPr>
            <w:r w:rsidRPr="00F36A11">
              <w:rPr>
                <w:sz w:val="20"/>
              </w:rPr>
              <w:t>$4,364.13</w:t>
            </w:r>
          </w:p>
        </w:tc>
        <w:tc>
          <w:tcPr>
            <w:tcW w:w="760" w:type="pct"/>
            <w:noWrap/>
            <w:hideMark/>
          </w:tcPr>
          <w:p w14:paraId="5168A26A" w14:textId="77777777" w:rsidR="00B442EA" w:rsidRPr="00F36A11" w:rsidRDefault="00B442EA" w:rsidP="001F439A">
            <w:pPr>
              <w:keepNext/>
              <w:keepLines/>
              <w:spacing w:before="0" w:after="0"/>
              <w:rPr>
                <w:sz w:val="20"/>
              </w:rPr>
            </w:pPr>
            <w:r w:rsidRPr="00F36A11">
              <w:rPr>
                <w:sz w:val="20"/>
              </w:rPr>
              <w:t>$4,451.54</w:t>
            </w:r>
          </w:p>
        </w:tc>
        <w:tc>
          <w:tcPr>
            <w:tcW w:w="760" w:type="pct"/>
            <w:noWrap/>
            <w:hideMark/>
          </w:tcPr>
          <w:p w14:paraId="362B960C" w14:textId="77777777" w:rsidR="00B442EA" w:rsidRPr="00F36A11" w:rsidRDefault="00B442EA" w:rsidP="001F439A">
            <w:pPr>
              <w:keepNext/>
              <w:keepLines/>
              <w:spacing w:before="0" w:after="0"/>
              <w:rPr>
                <w:sz w:val="20"/>
              </w:rPr>
            </w:pPr>
            <w:r w:rsidRPr="00F36A11">
              <w:rPr>
                <w:sz w:val="20"/>
              </w:rPr>
              <w:t>-$87.41</w:t>
            </w:r>
          </w:p>
        </w:tc>
        <w:tc>
          <w:tcPr>
            <w:tcW w:w="1229" w:type="pct"/>
            <w:hideMark/>
          </w:tcPr>
          <w:p w14:paraId="41282685" w14:textId="77777777" w:rsidR="00B442EA" w:rsidRPr="00F36A11" w:rsidRDefault="00B442EA" w:rsidP="001F439A">
            <w:pPr>
              <w:keepNext/>
              <w:keepLines/>
              <w:spacing w:before="0" w:after="0"/>
              <w:rPr>
                <w:sz w:val="20"/>
              </w:rPr>
            </w:pPr>
            <w:r w:rsidRPr="00F36A11">
              <w:rPr>
                <w:sz w:val="20"/>
              </w:rPr>
              <w:t>Sum of initial procedure and repeat trab.</w:t>
            </w:r>
          </w:p>
        </w:tc>
      </w:tr>
    </w:tbl>
    <w:p w14:paraId="7CA67286" w14:textId="77777777" w:rsidR="00BC1364" w:rsidRPr="00F715D1" w:rsidRDefault="00BC1364" w:rsidP="00F715D1">
      <w:pPr>
        <w:pStyle w:val="Heading1"/>
      </w:pPr>
      <w:r w:rsidRPr="00F715D1">
        <w:t>Financial/budgetary impacts</w:t>
      </w:r>
    </w:p>
    <w:p w14:paraId="1F7CDDC9" w14:textId="77777777" w:rsidR="00D75DA3" w:rsidRPr="006F0C7D" w:rsidRDefault="00D75DA3" w:rsidP="00A345B5">
      <w:pPr>
        <w:pStyle w:val="Heading2"/>
        <w:spacing w:before="120" w:after="120"/>
        <w:rPr>
          <w:b/>
        </w:rPr>
      </w:pPr>
      <w:bookmarkStart w:id="33" w:name="_Ref516244320"/>
      <w:bookmarkStart w:id="34" w:name="_Toc516244360"/>
      <w:r w:rsidRPr="006F0C7D">
        <w:rPr>
          <w:b/>
        </w:rPr>
        <w:t>August 2019 MSAC consideration</w:t>
      </w:r>
    </w:p>
    <w:p w14:paraId="3C32D88E" w14:textId="41E0BF65" w:rsidR="00D75DA3" w:rsidRDefault="00D75DA3" w:rsidP="00D75DA3">
      <w:pPr>
        <w:rPr>
          <w:iCs/>
        </w:rPr>
      </w:pPr>
      <w:r>
        <w:rPr>
          <w:iCs/>
        </w:rPr>
        <w:t xml:space="preserve">The current resubmission presented an updated budget impact analysis using a </w:t>
      </w:r>
      <w:r w:rsidRPr="00D75DA3">
        <w:rPr>
          <w:iCs/>
        </w:rPr>
        <w:t>market share approach given the intended positioning of MBGS as a standalone procedure is in patients otherwise considered candidates for incisional glaucoma surgery and therefore utilisation would be expected to substitute largely from trabeculectomy services, which are currently the most commonly performed incisional surgery.</w:t>
      </w:r>
    </w:p>
    <w:p w14:paraId="3718C33B" w14:textId="47134A4C" w:rsidR="00BE6F39" w:rsidRDefault="00BE6F39" w:rsidP="0006248B">
      <w:pPr>
        <w:spacing w:before="240"/>
      </w:pPr>
      <w:r>
        <w:t xml:space="preserve">Projections over 2019-2025 were based on linear extrapolations of historical utilisation data of MBS items 42746 and 42749. The application stated that the proposed listing for MBGS is projected to save the MBS approximately $500,000 per annum by the fourth year of listing. This saving is driven by fewer initial and revision trabeculectomy services (Table </w:t>
      </w:r>
      <w:r w:rsidR="001D1929">
        <w:t>12</w:t>
      </w:r>
      <w:r>
        <w:t>)</w:t>
      </w:r>
    </w:p>
    <w:p w14:paraId="24B624A2" w14:textId="3E7790EF" w:rsidR="00BE6F39" w:rsidRDefault="00BE6F39" w:rsidP="001F439A">
      <w:pPr>
        <w:pStyle w:val="Caption"/>
        <w:keepNext/>
        <w:keepLines/>
        <w:spacing w:before="240" w:after="0"/>
      </w:pPr>
      <w:bookmarkStart w:id="35" w:name="_Ref516142596"/>
      <w:bookmarkStart w:id="36" w:name="_Toc13577908"/>
      <w:r>
        <w:lastRenderedPageBreak/>
        <w:t>Table</w:t>
      </w:r>
      <w:bookmarkEnd w:id="35"/>
      <w:r>
        <w:t xml:space="preserve"> </w:t>
      </w:r>
      <w:r w:rsidR="001D1929">
        <w:rPr>
          <w:noProof/>
        </w:rPr>
        <w:t>12</w:t>
      </w:r>
      <w:r>
        <w:tab/>
        <w:t xml:space="preserve">Summary of the projected </w:t>
      </w:r>
      <w:r w:rsidR="001833F6">
        <w:t>utilisation and costs to the MB</w:t>
      </w:r>
      <w:r>
        <w:t>S of TB-MBGS listing</w:t>
      </w:r>
      <w:bookmarkEnd w:id="36"/>
      <w:r>
        <w:t xml:space="preserve"> </w:t>
      </w:r>
    </w:p>
    <w:tbl>
      <w:tblPr>
        <w:tblStyle w:val="TableGrid2"/>
        <w:tblW w:w="5028" w:type="pct"/>
        <w:tblLayout w:type="fixed"/>
        <w:tblLook w:val="04A0" w:firstRow="1" w:lastRow="0" w:firstColumn="1" w:lastColumn="0" w:noHBand="0" w:noVBand="1"/>
        <w:tblDescription w:val="Summary of the estimated utilisation and associated costs to the MBS if TB-MBGS is listed"/>
      </w:tblPr>
      <w:tblGrid>
        <w:gridCol w:w="355"/>
        <w:gridCol w:w="1627"/>
        <w:gridCol w:w="968"/>
        <w:gridCol w:w="968"/>
        <w:gridCol w:w="968"/>
        <w:gridCol w:w="968"/>
        <w:gridCol w:w="968"/>
        <w:gridCol w:w="968"/>
        <w:gridCol w:w="1276"/>
      </w:tblGrid>
      <w:tr w:rsidR="00BE6F39" w:rsidRPr="003E3F59" w14:paraId="7CB58332" w14:textId="77777777" w:rsidTr="001833F6">
        <w:trPr>
          <w:cnfStyle w:val="100000000000" w:firstRow="1" w:lastRow="0" w:firstColumn="0" w:lastColumn="0" w:oddVBand="0" w:evenVBand="0" w:oddHBand="0" w:evenHBand="0" w:firstRowFirstColumn="0" w:firstRowLastColumn="0" w:lastRowFirstColumn="0" w:lastRowLastColumn="0"/>
          <w:trHeight w:val="300"/>
          <w:tblHeader/>
        </w:trPr>
        <w:tc>
          <w:tcPr>
            <w:tcW w:w="195" w:type="pct"/>
          </w:tcPr>
          <w:p w14:paraId="7AA82B3F" w14:textId="77777777" w:rsidR="00BE6F39" w:rsidRPr="00A71C83" w:rsidRDefault="00BE6F39" w:rsidP="001F439A">
            <w:pPr>
              <w:pStyle w:val="Tabletext"/>
              <w:keepLines/>
              <w:spacing w:before="0" w:after="0"/>
            </w:pPr>
          </w:p>
        </w:tc>
        <w:tc>
          <w:tcPr>
            <w:tcW w:w="897" w:type="pct"/>
            <w:noWrap/>
            <w:hideMark/>
          </w:tcPr>
          <w:p w14:paraId="20900C45" w14:textId="77777777" w:rsidR="00BE6F39" w:rsidRPr="002D3DE0" w:rsidRDefault="00BE6F39" w:rsidP="001F439A">
            <w:pPr>
              <w:pStyle w:val="Tabletext"/>
              <w:keepLines/>
              <w:spacing w:before="0" w:after="0"/>
              <w:rPr>
                <w:b/>
                <w:bCs/>
              </w:rPr>
            </w:pPr>
          </w:p>
        </w:tc>
        <w:tc>
          <w:tcPr>
            <w:tcW w:w="534" w:type="pct"/>
            <w:noWrap/>
          </w:tcPr>
          <w:p w14:paraId="51337A9F" w14:textId="77777777" w:rsidR="00BE6F39" w:rsidRPr="003E3F59" w:rsidRDefault="00BE6F39" w:rsidP="001F439A">
            <w:pPr>
              <w:pStyle w:val="Tabletext"/>
              <w:keepLines/>
              <w:spacing w:before="0" w:after="0"/>
              <w:rPr>
                <w:b/>
                <w:bCs/>
              </w:rPr>
            </w:pPr>
            <w:r w:rsidRPr="003E3F59">
              <w:rPr>
                <w:b/>
                <w:bCs/>
              </w:rPr>
              <w:t>2020</w:t>
            </w:r>
          </w:p>
        </w:tc>
        <w:tc>
          <w:tcPr>
            <w:tcW w:w="534" w:type="pct"/>
            <w:noWrap/>
          </w:tcPr>
          <w:p w14:paraId="3EF41182" w14:textId="77777777" w:rsidR="00BE6F39" w:rsidRPr="003E3F59" w:rsidRDefault="00BE6F39" w:rsidP="001F439A">
            <w:pPr>
              <w:pStyle w:val="Tabletext"/>
              <w:keepLines/>
              <w:spacing w:before="0" w:after="0"/>
              <w:rPr>
                <w:b/>
                <w:bCs/>
              </w:rPr>
            </w:pPr>
            <w:r w:rsidRPr="003E3F59">
              <w:rPr>
                <w:b/>
                <w:bCs/>
              </w:rPr>
              <w:t>2021</w:t>
            </w:r>
          </w:p>
        </w:tc>
        <w:tc>
          <w:tcPr>
            <w:tcW w:w="534" w:type="pct"/>
            <w:noWrap/>
          </w:tcPr>
          <w:p w14:paraId="345089B6" w14:textId="77777777" w:rsidR="00BE6F39" w:rsidRPr="003E3F59" w:rsidRDefault="00BE6F39" w:rsidP="001F439A">
            <w:pPr>
              <w:pStyle w:val="Tabletext"/>
              <w:keepLines/>
              <w:spacing w:before="0" w:after="0"/>
              <w:rPr>
                <w:b/>
                <w:bCs/>
              </w:rPr>
            </w:pPr>
            <w:r w:rsidRPr="003E3F59">
              <w:rPr>
                <w:b/>
                <w:bCs/>
              </w:rPr>
              <w:t>2022</w:t>
            </w:r>
          </w:p>
        </w:tc>
        <w:tc>
          <w:tcPr>
            <w:tcW w:w="534" w:type="pct"/>
            <w:noWrap/>
          </w:tcPr>
          <w:p w14:paraId="10BFCAA9" w14:textId="77777777" w:rsidR="00BE6F39" w:rsidRPr="003E3F59" w:rsidRDefault="00BE6F39" w:rsidP="001F439A">
            <w:pPr>
              <w:pStyle w:val="Tabletext"/>
              <w:keepLines/>
              <w:spacing w:before="0" w:after="0"/>
              <w:rPr>
                <w:b/>
                <w:bCs/>
              </w:rPr>
            </w:pPr>
            <w:r w:rsidRPr="003E3F59">
              <w:rPr>
                <w:b/>
                <w:bCs/>
              </w:rPr>
              <w:t>2023</w:t>
            </w:r>
          </w:p>
        </w:tc>
        <w:tc>
          <w:tcPr>
            <w:tcW w:w="534" w:type="pct"/>
            <w:noWrap/>
          </w:tcPr>
          <w:p w14:paraId="28CE6A12" w14:textId="77777777" w:rsidR="00BE6F39" w:rsidRPr="003E3F59" w:rsidRDefault="00BE6F39" w:rsidP="001F439A">
            <w:pPr>
              <w:pStyle w:val="Tabletext"/>
              <w:keepLines/>
              <w:spacing w:before="0" w:after="0"/>
              <w:rPr>
                <w:b/>
                <w:bCs/>
              </w:rPr>
            </w:pPr>
            <w:r w:rsidRPr="003E3F59">
              <w:rPr>
                <w:b/>
                <w:bCs/>
              </w:rPr>
              <w:t>2024</w:t>
            </w:r>
          </w:p>
        </w:tc>
        <w:tc>
          <w:tcPr>
            <w:tcW w:w="534" w:type="pct"/>
          </w:tcPr>
          <w:p w14:paraId="11C8029E" w14:textId="77777777" w:rsidR="00BE6F39" w:rsidRDefault="00BE6F39" w:rsidP="001F439A">
            <w:pPr>
              <w:pStyle w:val="Tabletext"/>
              <w:keepLines/>
              <w:spacing w:before="0" w:after="0"/>
              <w:rPr>
                <w:b/>
                <w:bCs/>
              </w:rPr>
            </w:pPr>
            <w:r>
              <w:rPr>
                <w:b/>
                <w:bCs/>
              </w:rPr>
              <w:t>2025</w:t>
            </w:r>
          </w:p>
        </w:tc>
        <w:tc>
          <w:tcPr>
            <w:tcW w:w="704" w:type="pct"/>
            <w:noWrap/>
          </w:tcPr>
          <w:p w14:paraId="41192537" w14:textId="77777777" w:rsidR="00BE6F39" w:rsidRPr="003E3F59" w:rsidRDefault="00BE6F39" w:rsidP="001F439A">
            <w:pPr>
              <w:pStyle w:val="Tabletext"/>
              <w:keepLines/>
              <w:spacing w:before="0" w:after="0"/>
              <w:rPr>
                <w:b/>
                <w:bCs/>
              </w:rPr>
            </w:pPr>
            <w:r>
              <w:rPr>
                <w:b/>
                <w:bCs/>
              </w:rPr>
              <w:t>Source</w:t>
            </w:r>
          </w:p>
        </w:tc>
      </w:tr>
      <w:tr w:rsidR="00BE6F39" w:rsidRPr="003E3F59" w14:paraId="266CFE09" w14:textId="77777777" w:rsidTr="001833F6">
        <w:trPr>
          <w:trHeight w:val="300"/>
        </w:trPr>
        <w:tc>
          <w:tcPr>
            <w:tcW w:w="5000" w:type="pct"/>
            <w:gridSpan w:val="9"/>
          </w:tcPr>
          <w:p w14:paraId="5A771BA9" w14:textId="77777777" w:rsidR="00BE6F39" w:rsidRDefault="00BE6F39" w:rsidP="001F439A">
            <w:pPr>
              <w:pStyle w:val="Tabletext"/>
              <w:keepLines/>
              <w:spacing w:before="0" w:after="0"/>
              <w:rPr>
                <w:b/>
                <w:bCs/>
              </w:rPr>
            </w:pPr>
            <w:r>
              <w:rPr>
                <w:b/>
                <w:bCs/>
              </w:rPr>
              <w:t>Projected utilisation of trabeculectomy</w:t>
            </w:r>
          </w:p>
        </w:tc>
      </w:tr>
      <w:tr w:rsidR="00BE6F39" w:rsidRPr="00A71C83" w14:paraId="6A805BCB" w14:textId="77777777" w:rsidTr="001833F6">
        <w:trPr>
          <w:trHeight w:val="300"/>
        </w:trPr>
        <w:tc>
          <w:tcPr>
            <w:tcW w:w="195" w:type="pct"/>
          </w:tcPr>
          <w:p w14:paraId="3E5A585E" w14:textId="77777777" w:rsidR="00BE6F39" w:rsidRPr="00A71C83" w:rsidRDefault="00BE6F39" w:rsidP="001F439A">
            <w:pPr>
              <w:pStyle w:val="Tabletext"/>
              <w:keepLines/>
              <w:spacing w:before="0" w:after="0"/>
              <w:rPr>
                <w:color w:val="000000"/>
              </w:rPr>
            </w:pPr>
            <w:r>
              <w:rPr>
                <w:color w:val="000000"/>
              </w:rPr>
              <w:t>A</w:t>
            </w:r>
          </w:p>
        </w:tc>
        <w:tc>
          <w:tcPr>
            <w:tcW w:w="897" w:type="pct"/>
            <w:noWrap/>
          </w:tcPr>
          <w:p w14:paraId="2AFCD15C" w14:textId="77777777" w:rsidR="00BE6F39" w:rsidRPr="002C400B" w:rsidRDefault="00BE6F39" w:rsidP="001F439A">
            <w:pPr>
              <w:pStyle w:val="Tabletext"/>
              <w:keepLines/>
              <w:spacing w:before="0" w:after="0"/>
            </w:pPr>
            <w:r>
              <w:t xml:space="preserve">Projected number of </w:t>
            </w:r>
            <w:r w:rsidRPr="002C400B">
              <w:t>Initial trabeculectomies</w:t>
            </w:r>
          </w:p>
        </w:tc>
        <w:tc>
          <w:tcPr>
            <w:tcW w:w="534" w:type="pct"/>
            <w:noWrap/>
          </w:tcPr>
          <w:p w14:paraId="3FF88DA4" w14:textId="77777777" w:rsidR="00BE6F39" w:rsidRPr="00622E7C" w:rsidRDefault="00BE6F39" w:rsidP="001F439A">
            <w:pPr>
              <w:pStyle w:val="Tabletext"/>
              <w:keepLines/>
              <w:spacing w:before="0" w:after="0"/>
            </w:pPr>
            <w:r w:rsidRPr="00622E7C">
              <w:t>2,204</w:t>
            </w:r>
          </w:p>
        </w:tc>
        <w:tc>
          <w:tcPr>
            <w:tcW w:w="534" w:type="pct"/>
            <w:noWrap/>
          </w:tcPr>
          <w:p w14:paraId="3D5E908A" w14:textId="77777777" w:rsidR="00BE6F39" w:rsidRPr="00622E7C" w:rsidRDefault="00BE6F39" w:rsidP="001F439A">
            <w:pPr>
              <w:pStyle w:val="Tabletext"/>
              <w:keepLines/>
              <w:spacing w:before="0" w:after="0"/>
            </w:pPr>
            <w:r w:rsidRPr="00622E7C">
              <w:t>2,282</w:t>
            </w:r>
          </w:p>
        </w:tc>
        <w:tc>
          <w:tcPr>
            <w:tcW w:w="534" w:type="pct"/>
            <w:noWrap/>
          </w:tcPr>
          <w:p w14:paraId="6FDBCE4E" w14:textId="77777777" w:rsidR="00BE6F39" w:rsidRPr="00622E7C" w:rsidRDefault="00BE6F39" w:rsidP="001F439A">
            <w:pPr>
              <w:pStyle w:val="Tabletext"/>
              <w:keepLines/>
              <w:spacing w:before="0" w:after="0"/>
            </w:pPr>
            <w:r w:rsidRPr="00622E7C">
              <w:t>2,360</w:t>
            </w:r>
          </w:p>
        </w:tc>
        <w:tc>
          <w:tcPr>
            <w:tcW w:w="534" w:type="pct"/>
            <w:noWrap/>
          </w:tcPr>
          <w:p w14:paraId="5E866DCF" w14:textId="77777777" w:rsidR="00BE6F39" w:rsidRPr="00622E7C" w:rsidRDefault="00BE6F39" w:rsidP="001F439A">
            <w:pPr>
              <w:pStyle w:val="Tabletext"/>
              <w:keepLines/>
              <w:spacing w:before="0" w:after="0"/>
            </w:pPr>
            <w:r w:rsidRPr="00622E7C">
              <w:t>2,438</w:t>
            </w:r>
          </w:p>
        </w:tc>
        <w:tc>
          <w:tcPr>
            <w:tcW w:w="534" w:type="pct"/>
            <w:noWrap/>
          </w:tcPr>
          <w:p w14:paraId="662F988E" w14:textId="77777777" w:rsidR="00BE6F39" w:rsidRPr="00622E7C" w:rsidRDefault="00BE6F39" w:rsidP="001F439A">
            <w:pPr>
              <w:pStyle w:val="Tabletext"/>
              <w:keepLines/>
              <w:spacing w:before="0" w:after="0"/>
            </w:pPr>
            <w:r w:rsidRPr="00622E7C">
              <w:t>2,516</w:t>
            </w:r>
          </w:p>
        </w:tc>
        <w:tc>
          <w:tcPr>
            <w:tcW w:w="534" w:type="pct"/>
          </w:tcPr>
          <w:p w14:paraId="4AFC712D" w14:textId="77777777" w:rsidR="00BE6F39" w:rsidRPr="00622E7C" w:rsidRDefault="00BE6F39" w:rsidP="001F439A">
            <w:pPr>
              <w:pStyle w:val="Tabletext"/>
              <w:keepLines/>
              <w:spacing w:before="0" w:after="0"/>
            </w:pPr>
            <w:r w:rsidRPr="00622E7C">
              <w:t>2,594</w:t>
            </w:r>
          </w:p>
        </w:tc>
        <w:tc>
          <w:tcPr>
            <w:tcW w:w="704" w:type="pct"/>
            <w:noWrap/>
          </w:tcPr>
          <w:p w14:paraId="518EB346" w14:textId="54AFA9A3" w:rsidR="00BE6F39" w:rsidRPr="002C400B" w:rsidRDefault="00BE6F39" w:rsidP="00D15903">
            <w:pPr>
              <w:pStyle w:val="Tabletext"/>
              <w:keepLines/>
              <w:spacing w:before="0" w:after="0"/>
            </w:pPr>
            <w:r w:rsidRPr="002C400B">
              <w:t>Projection (</w:t>
            </w:r>
            <w:r w:rsidR="00D15903">
              <w:t>resubmission assessment report</w:t>
            </w:r>
            <w:r w:rsidRPr="002C400B">
              <w:t>)</w:t>
            </w:r>
          </w:p>
        </w:tc>
      </w:tr>
      <w:tr w:rsidR="00BE6F39" w:rsidRPr="00A71C83" w14:paraId="116564D4" w14:textId="77777777" w:rsidTr="001833F6">
        <w:trPr>
          <w:trHeight w:val="300"/>
        </w:trPr>
        <w:tc>
          <w:tcPr>
            <w:tcW w:w="195" w:type="pct"/>
          </w:tcPr>
          <w:p w14:paraId="594E7301" w14:textId="77777777" w:rsidR="00BE6F39" w:rsidRPr="00A71C83" w:rsidRDefault="00BE6F39" w:rsidP="001F439A">
            <w:pPr>
              <w:pStyle w:val="Tabletext"/>
              <w:spacing w:before="0" w:after="0"/>
              <w:rPr>
                <w:color w:val="000000"/>
              </w:rPr>
            </w:pPr>
            <w:r>
              <w:rPr>
                <w:color w:val="000000"/>
              </w:rPr>
              <w:t>B</w:t>
            </w:r>
          </w:p>
        </w:tc>
        <w:tc>
          <w:tcPr>
            <w:tcW w:w="897" w:type="pct"/>
            <w:noWrap/>
          </w:tcPr>
          <w:p w14:paraId="319EDBA9" w14:textId="77777777" w:rsidR="00BE6F39" w:rsidRPr="002C400B" w:rsidRDefault="00BE6F39" w:rsidP="001F439A">
            <w:pPr>
              <w:pStyle w:val="Tabletext"/>
              <w:spacing w:before="0" w:after="0"/>
            </w:pPr>
            <w:r>
              <w:t xml:space="preserve">Projected number of revision </w:t>
            </w:r>
            <w:r w:rsidRPr="002C400B">
              <w:t>trabeculectomies</w:t>
            </w:r>
          </w:p>
        </w:tc>
        <w:tc>
          <w:tcPr>
            <w:tcW w:w="534" w:type="pct"/>
            <w:noWrap/>
          </w:tcPr>
          <w:p w14:paraId="365DA442" w14:textId="77777777" w:rsidR="00BE6F39" w:rsidRPr="00622E7C" w:rsidRDefault="00BE6F39" w:rsidP="001F439A">
            <w:pPr>
              <w:pStyle w:val="Tabletext"/>
              <w:spacing w:before="0" w:after="0"/>
            </w:pPr>
            <w:r w:rsidRPr="00622E7C">
              <w:t>468</w:t>
            </w:r>
          </w:p>
        </w:tc>
        <w:tc>
          <w:tcPr>
            <w:tcW w:w="534" w:type="pct"/>
            <w:noWrap/>
          </w:tcPr>
          <w:p w14:paraId="417344DA" w14:textId="77777777" w:rsidR="00BE6F39" w:rsidRPr="00622E7C" w:rsidRDefault="00BE6F39" w:rsidP="001F439A">
            <w:pPr>
              <w:pStyle w:val="Tabletext"/>
              <w:spacing w:before="0" w:after="0"/>
            </w:pPr>
            <w:r w:rsidRPr="00622E7C">
              <w:t>484</w:t>
            </w:r>
          </w:p>
        </w:tc>
        <w:tc>
          <w:tcPr>
            <w:tcW w:w="534" w:type="pct"/>
            <w:noWrap/>
          </w:tcPr>
          <w:p w14:paraId="7E2546F8" w14:textId="77777777" w:rsidR="00BE6F39" w:rsidRPr="00622E7C" w:rsidRDefault="00BE6F39" w:rsidP="001F439A">
            <w:pPr>
              <w:pStyle w:val="Tabletext"/>
              <w:spacing w:before="0" w:after="0"/>
            </w:pPr>
            <w:r w:rsidRPr="00622E7C">
              <w:t>501</w:t>
            </w:r>
          </w:p>
        </w:tc>
        <w:tc>
          <w:tcPr>
            <w:tcW w:w="534" w:type="pct"/>
            <w:noWrap/>
          </w:tcPr>
          <w:p w14:paraId="772087E2" w14:textId="77777777" w:rsidR="00BE6F39" w:rsidRPr="00622E7C" w:rsidRDefault="00BE6F39" w:rsidP="001F439A">
            <w:pPr>
              <w:pStyle w:val="Tabletext"/>
              <w:spacing w:before="0" w:after="0"/>
            </w:pPr>
            <w:r w:rsidRPr="00622E7C">
              <w:t>517</w:t>
            </w:r>
          </w:p>
        </w:tc>
        <w:tc>
          <w:tcPr>
            <w:tcW w:w="534" w:type="pct"/>
            <w:noWrap/>
          </w:tcPr>
          <w:p w14:paraId="3609E99B" w14:textId="77777777" w:rsidR="00BE6F39" w:rsidRPr="00622E7C" w:rsidRDefault="00BE6F39" w:rsidP="001F439A">
            <w:pPr>
              <w:pStyle w:val="Tabletext"/>
              <w:spacing w:before="0" w:after="0"/>
            </w:pPr>
            <w:r w:rsidRPr="00622E7C">
              <w:t>534</w:t>
            </w:r>
          </w:p>
        </w:tc>
        <w:tc>
          <w:tcPr>
            <w:tcW w:w="534" w:type="pct"/>
          </w:tcPr>
          <w:p w14:paraId="3553A691" w14:textId="77777777" w:rsidR="00BE6F39" w:rsidRPr="00622E7C" w:rsidRDefault="00BE6F39" w:rsidP="001F439A">
            <w:pPr>
              <w:pStyle w:val="Tabletext"/>
              <w:spacing w:before="0" w:after="0"/>
            </w:pPr>
            <w:r w:rsidRPr="00622E7C">
              <w:t>550</w:t>
            </w:r>
          </w:p>
        </w:tc>
        <w:tc>
          <w:tcPr>
            <w:tcW w:w="704" w:type="pct"/>
            <w:noWrap/>
          </w:tcPr>
          <w:p w14:paraId="6529D88C" w14:textId="77777777" w:rsidR="00BE6F39" w:rsidRPr="002C400B" w:rsidRDefault="00BE6F39" w:rsidP="001F439A">
            <w:pPr>
              <w:pStyle w:val="Tabletext"/>
              <w:spacing w:before="0" w:after="0"/>
            </w:pPr>
            <w:r>
              <w:t>A * 21%</w:t>
            </w:r>
          </w:p>
        </w:tc>
      </w:tr>
      <w:tr w:rsidR="00BE6F39" w:rsidRPr="00A71C83" w14:paraId="351C1D36" w14:textId="77777777" w:rsidTr="001833F6">
        <w:trPr>
          <w:trHeight w:val="300"/>
        </w:trPr>
        <w:tc>
          <w:tcPr>
            <w:tcW w:w="5000" w:type="pct"/>
            <w:gridSpan w:val="9"/>
          </w:tcPr>
          <w:p w14:paraId="79D9D70E" w14:textId="77777777" w:rsidR="00BE6F39" w:rsidRDefault="00BE6F39" w:rsidP="001F439A">
            <w:pPr>
              <w:pStyle w:val="Tabletext"/>
              <w:spacing w:before="0" w:after="0"/>
            </w:pPr>
            <w:r>
              <w:rPr>
                <w:b/>
                <w:bCs/>
              </w:rPr>
              <w:t>Projected utilisation of MBGS</w:t>
            </w:r>
          </w:p>
        </w:tc>
      </w:tr>
      <w:tr w:rsidR="00BE6F39" w:rsidRPr="00A71C83" w14:paraId="60C8D958" w14:textId="77777777" w:rsidTr="001833F6">
        <w:trPr>
          <w:trHeight w:val="300"/>
        </w:trPr>
        <w:tc>
          <w:tcPr>
            <w:tcW w:w="195" w:type="pct"/>
          </w:tcPr>
          <w:p w14:paraId="12997477" w14:textId="77777777" w:rsidR="00BE6F39" w:rsidRDefault="00BE6F39" w:rsidP="001F439A">
            <w:pPr>
              <w:pStyle w:val="Tabletext"/>
              <w:spacing w:before="0" w:after="0"/>
              <w:rPr>
                <w:color w:val="000000"/>
              </w:rPr>
            </w:pPr>
            <w:r>
              <w:rPr>
                <w:color w:val="000000"/>
              </w:rPr>
              <w:t>C</w:t>
            </w:r>
          </w:p>
        </w:tc>
        <w:tc>
          <w:tcPr>
            <w:tcW w:w="897" w:type="pct"/>
            <w:noWrap/>
          </w:tcPr>
          <w:p w14:paraId="2415B686" w14:textId="77777777" w:rsidR="00BE6F39" w:rsidRPr="002C400B" w:rsidRDefault="00BE6F39" w:rsidP="001F439A">
            <w:pPr>
              <w:pStyle w:val="Tabletext"/>
              <w:spacing w:before="0" w:after="0"/>
            </w:pPr>
            <w:r>
              <w:t xml:space="preserve">MBGS services market growth </w:t>
            </w:r>
          </w:p>
        </w:tc>
        <w:tc>
          <w:tcPr>
            <w:tcW w:w="534" w:type="pct"/>
            <w:noWrap/>
          </w:tcPr>
          <w:p w14:paraId="7007FC7B" w14:textId="77777777" w:rsidR="00BE6F39" w:rsidRPr="002C400B" w:rsidRDefault="00BE6F39" w:rsidP="001F439A">
            <w:pPr>
              <w:pStyle w:val="Tabletext"/>
              <w:spacing w:before="0" w:after="0"/>
            </w:pPr>
            <w:r w:rsidRPr="002F759C">
              <w:t>8</w:t>
            </w:r>
          </w:p>
        </w:tc>
        <w:tc>
          <w:tcPr>
            <w:tcW w:w="534" w:type="pct"/>
            <w:noWrap/>
          </w:tcPr>
          <w:p w14:paraId="7D6DF7A9" w14:textId="77777777" w:rsidR="00BE6F39" w:rsidRPr="002C400B" w:rsidRDefault="00BE6F39" w:rsidP="001F439A">
            <w:pPr>
              <w:pStyle w:val="Tabletext"/>
              <w:spacing w:before="0" w:after="0"/>
            </w:pPr>
            <w:r w:rsidRPr="002F759C">
              <w:t>16</w:t>
            </w:r>
          </w:p>
        </w:tc>
        <w:tc>
          <w:tcPr>
            <w:tcW w:w="534" w:type="pct"/>
            <w:noWrap/>
          </w:tcPr>
          <w:p w14:paraId="7EC30DB2" w14:textId="77777777" w:rsidR="00BE6F39" w:rsidRPr="002C400B" w:rsidRDefault="00BE6F39" w:rsidP="001F439A">
            <w:pPr>
              <w:pStyle w:val="Tabletext"/>
              <w:spacing w:before="0" w:after="0"/>
            </w:pPr>
            <w:r w:rsidRPr="002F759C">
              <w:t>23</w:t>
            </w:r>
          </w:p>
        </w:tc>
        <w:tc>
          <w:tcPr>
            <w:tcW w:w="534" w:type="pct"/>
            <w:noWrap/>
          </w:tcPr>
          <w:p w14:paraId="1BF156E2" w14:textId="77777777" w:rsidR="00BE6F39" w:rsidRPr="002C400B" w:rsidRDefault="00BE6F39" w:rsidP="001F439A">
            <w:pPr>
              <w:pStyle w:val="Tabletext"/>
              <w:spacing w:before="0" w:after="0"/>
            </w:pPr>
            <w:r w:rsidRPr="002F759C">
              <w:t>31</w:t>
            </w:r>
          </w:p>
        </w:tc>
        <w:tc>
          <w:tcPr>
            <w:tcW w:w="534" w:type="pct"/>
            <w:noWrap/>
          </w:tcPr>
          <w:p w14:paraId="149EE143" w14:textId="77777777" w:rsidR="00BE6F39" w:rsidRPr="002C400B" w:rsidRDefault="00BE6F39" w:rsidP="001F439A">
            <w:pPr>
              <w:pStyle w:val="Tabletext"/>
              <w:spacing w:before="0" w:after="0"/>
            </w:pPr>
            <w:r w:rsidRPr="002F759C">
              <w:t>39</w:t>
            </w:r>
          </w:p>
        </w:tc>
        <w:tc>
          <w:tcPr>
            <w:tcW w:w="534" w:type="pct"/>
          </w:tcPr>
          <w:p w14:paraId="2E3493EB" w14:textId="77777777" w:rsidR="00BE6F39" w:rsidRDefault="00BE6F39" w:rsidP="001F439A">
            <w:pPr>
              <w:pStyle w:val="Tabletext"/>
              <w:spacing w:before="0" w:after="0"/>
            </w:pPr>
            <w:r w:rsidRPr="002F759C">
              <w:t>47</w:t>
            </w:r>
          </w:p>
        </w:tc>
        <w:tc>
          <w:tcPr>
            <w:tcW w:w="704" w:type="pct"/>
            <w:noWrap/>
          </w:tcPr>
          <w:p w14:paraId="321B6A46" w14:textId="77777777" w:rsidR="00BE6F39" w:rsidRDefault="00BE6F39" w:rsidP="001F439A">
            <w:pPr>
              <w:pStyle w:val="Tabletext"/>
              <w:spacing w:before="0" w:after="0"/>
            </w:pPr>
            <w:r>
              <w:t>See spreadsheet</w:t>
            </w:r>
          </w:p>
        </w:tc>
      </w:tr>
      <w:tr w:rsidR="00BE6F39" w:rsidRPr="00A71C83" w14:paraId="73E74334" w14:textId="77777777" w:rsidTr="001833F6">
        <w:trPr>
          <w:trHeight w:val="300"/>
        </w:trPr>
        <w:tc>
          <w:tcPr>
            <w:tcW w:w="195" w:type="pct"/>
          </w:tcPr>
          <w:p w14:paraId="1446DD9D" w14:textId="77777777" w:rsidR="00BE6F39" w:rsidRDefault="00BE6F39" w:rsidP="001F439A">
            <w:pPr>
              <w:pStyle w:val="Tabletext"/>
              <w:spacing w:before="0" w:after="0"/>
              <w:rPr>
                <w:color w:val="000000"/>
              </w:rPr>
            </w:pPr>
            <w:r>
              <w:rPr>
                <w:color w:val="000000"/>
              </w:rPr>
              <w:t>D</w:t>
            </w:r>
          </w:p>
        </w:tc>
        <w:tc>
          <w:tcPr>
            <w:tcW w:w="897" w:type="pct"/>
            <w:noWrap/>
          </w:tcPr>
          <w:p w14:paraId="7DB07EF0" w14:textId="77777777" w:rsidR="00BE6F39" w:rsidRPr="00012F0B" w:rsidRDefault="00BE6F39" w:rsidP="001F439A">
            <w:pPr>
              <w:pStyle w:val="Tabletext"/>
              <w:spacing w:before="0" w:after="0"/>
            </w:pPr>
            <w:r>
              <w:t>Uptake rate in those otherwise receiving trabeculectomy</w:t>
            </w:r>
          </w:p>
        </w:tc>
        <w:tc>
          <w:tcPr>
            <w:tcW w:w="534" w:type="pct"/>
            <w:noWrap/>
          </w:tcPr>
          <w:p w14:paraId="7702B226" w14:textId="77777777" w:rsidR="00BE6F39" w:rsidRPr="008C554B" w:rsidRDefault="00BE6F39" w:rsidP="001F439A">
            <w:pPr>
              <w:pStyle w:val="Tabletext"/>
              <w:spacing w:before="0" w:after="0"/>
            </w:pPr>
            <w:r w:rsidRPr="002F759C">
              <w:t>25%</w:t>
            </w:r>
          </w:p>
        </w:tc>
        <w:tc>
          <w:tcPr>
            <w:tcW w:w="534" w:type="pct"/>
            <w:noWrap/>
          </w:tcPr>
          <w:p w14:paraId="3D794A79" w14:textId="77777777" w:rsidR="00BE6F39" w:rsidRPr="008C554B" w:rsidRDefault="00BE6F39" w:rsidP="001F439A">
            <w:pPr>
              <w:pStyle w:val="Tabletext"/>
              <w:spacing w:before="0" w:after="0"/>
            </w:pPr>
            <w:r w:rsidRPr="002F759C">
              <w:t>30%</w:t>
            </w:r>
          </w:p>
        </w:tc>
        <w:tc>
          <w:tcPr>
            <w:tcW w:w="534" w:type="pct"/>
            <w:noWrap/>
          </w:tcPr>
          <w:p w14:paraId="712AE8BC" w14:textId="77777777" w:rsidR="00BE6F39" w:rsidRPr="008C554B" w:rsidRDefault="00BE6F39" w:rsidP="001F439A">
            <w:pPr>
              <w:pStyle w:val="Tabletext"/>
              <w:spacing w:before="0" w:after="0"/>
            </w:pPr>
            <w:r w:rsidRPr="002F759C">
              <w:t>35%</w:t>
            </w:r>
          </w:p>
        </w:tc>
        <w:tc>
          <w:tcPr>
            <w:tcW w:w="534" w:type="pct"/>
            <w:noWrap/>
          </w:tcPr>
          <w:p w14:paraId="162F59E7" w14:textId="77777777" w:rsidR="00BE6F39" w:rsidRPr="008C554B" w:rsidRDefault="00BE6F39" w:rsidP="001F439A">
            <w:pPr>
              <w:pStyle w:val="Tabletext"/>
              <w:spacing w:before="0" w:after="0"/>
            </w:pPr>
            <w:r w:rsidRPr="002F759C">
              <w:t>40%</w:t>
            </w:r>
          </w:p>
        </w:tc>
        <w:tc>
          <w:tcPr>
            <w:tcW w:w="534" w:type="pct"/>
            <w:noWrap/>
          </w:tcPr>
          <w:p w14:paraId="3198B215" w14:textId="77777777" w:rsidR="00BE6F39" w:rsidRPr="008C554B" w:rsidRDefault="00BE6F39" w:rsidP="001F439A">
            <w:pPr>
              <w:pStyle w:val="Tabletext"/>
              <w:spacing w:before="0" w:after="0"/>
            </w:pPr>
            <w:r w:rsidRPr="002F759C">
              <w:t>40%</w:t>
            </w:r>
          </w:p>
        </w:tc>
        <w:tc>
          <w:tcPr>
            <w:tcW w:w="534" w:type="pct"/>
          </w:tcPr>
          <w:p w14:paraId="49F4AE30" w14:textId="77777777" w:rsidR="00BE6F39" w:rsidRDefault="00BE6F39" w:rsidP="001F439A">
            <w:pPr>
              <w:pStyle w:val="Tabletext"/>
              <w:spacing w:before="0" w:after="0"/>
            </w:pPr>
            <w:r w:rsidRPr="002F759C">
              <w:t>40%</w:t>
            </w:r>
          </w:p>
        </w:tc>
        <w:tc>
          <w:tcPr>
            <w:tcW w:w="704" w:type="pct"/>
            <w:noWrap/>
          </w:tcPr>
          <w:p w14:paraId="4ACB4A1E" w14:textId="77777777" w:rsidR="00BE6F39" w:rsidRDefault="00BE6F39" w:rsidP="001F439A">
            <w:pPr>
              <w:pStyle w:val="Tabletext"/>
              <w:spacing w:before="0" w:after="0"/>
            </w:pPr>
            <w:r>
              <w:t xml:space="preserve">Assumption </w:t>
            </w:r>
          </w:p>
        </w:tc>
      </w:tr>
      <w:tr w:rsidR="00BE6F39" w:rsidRPr="00A71C83" w14:paraId="0CE13BD5" w14:textId="77777777" w:rsidTr="001833F6">
        <w:trPr>
          <w:trHeight w:val="300"/>
        </w:trPr>
        <w:tc>
          <w:tcPr>
            <w:tcW w:w="195" w:type="pct"/>
          </w:tcPr>
          <w:p w14:paraId="0A0A07B9" w14:textId="77777777" w:rsidR="00BE6F39" w:rsidRDefault="00BE6F39" w:rsidP="001F439A">
            <w:pPr>
              <w:pStyle w:val="Tabletext"/>
              <w:spacing w:before="0" w:after="0"/>
              <w:rPr>
                <w:color w:val="000000"/>
              </w:rPr>
            </w:pPr>
            <w:r>
              <w:rPr>
                <w:color w:val="000000"/>
              </w:rPr>
              <w:t>E</w:t>
            </w:r>
          </w:p>
        </w:tc>
        <w:tc>
          <w:tcPr>
            <w:tcW w:w="897" w:type="pct"/>
            <w:noWrap/>
          </w:tcPr>
          <w:p w14:paraId="3DD6F1FD" w14:textId="77777777" w:rsidR="00BE6F39" w:rsidRPr="00012F0B" w:rsidRDefault="00BE6F39" w:rsidP="001F439A">
            <w:pPr>
              <w:pStyle w:val="Tabletext"/>
              <w:spacing w:before="0" w:after="0"/>
            </w:pPr>
            <w:r>
              <w:t>MBGS services due to trabeculectomy substitution</w:t>
            </w:r>
          </w:p>
        </w:tc>
        <w:tc>
          <w:tcPr>
            <w:tcW w:w="534" w:type="pct"/>
            <w:noWrap/>
          </w:tcPr>
          <w:p w14:paraId="7A0E5012" w14:textId="77777777" w:rsidR="00BE6F39" w:rsidRPr="008C554B" w:rsidRDefault="00BE6F39" w:rsidP="001F439A">
            <w:pPr>
              <w:pStyle w:val="Tabletext"/>
              <w:spacing w:before="0" w:after="0"/>
            </w:pPr>
            <w:r w:rsidRPr="002F759C">
              <w:t>551</w:t>
            </w:r>
          </w:p>
        </w:tc>
        <w:tc>
          <w:tcPr>
            <w:tcW w:w="534" w:type="pct"/>
            <w:noWrap/>
          </w:tcPr>
          <w:p w14:paraId="1222C897" w14:textId="77777777" w:rsidR="00BE6F39" w:rsidRPr="008C554B" w:rsidRDefault="00BE6F39" w:rsidP="001F439A">
            <w:pPr>
              <w:pStyle w:val="Tabletext"/>
              <w:spacing w:before="0" w:after="0"/>
            </w:pPr>
            <w:r w:rsidRPr="002F759C">
              <w:t>685</w:t>
            </w:r>
          </w:p>
        </w:tc>
        <w:tc>
          <w:tcPr>
            <w:tcW w:w="534" w:type="pct"/>
            <w:noWrap/>
          </w:tcPr>
          <w:p w14:paraId="5B75FAAE" w14:textId="77777777" w:rsidR="00BE6F39" w:rsidRPr="008C554B" w:rsidRDefault="00BE6F39" w:rsidP="001F439A">
            <w:pPr>
              <w:pStyle w:val="Tabletext"/>
              <w:spacing w:before="0" w:after="0"/>
            </w:pPr>
            <w:r w:rsidRPr="002F759C">
              <w:t>826</w:t>
            </w:r>
          </w:p>
        </w:tc>
        <w:tc>
          <w:tcPr>
            <w:tcW w:w="534" w:type="pct"/>
            <w:noWrap/>
          </w:tcPr>
          <w:p w14:paraId="581EDD65" w14:textId="77777777" w:rsidR="00BE6F39" w:rsidRPr="008C554B" w:rsidRDefault="00BE6F39" w:rsidP="001F439A">
            <w:pPr>
              <w:pStyle w:val="Tabletext"/>
              <w:spacing w:before="0" w:after="0"/>
            </w:pPr>
            <w:r w:rsidRPr="002F759C">
              <w:t>975</w:t>
            </w:r>
          </w:p>
        </w:tc>
        <w:tc>
          <w:tcPr>
            <w:tcW w:w="534" w:type="pct"/>
            <w:noWrap/>
          </w:tcPr>
          <w:p w14:paraId="33205305" w14:textId="77777777" w:rsidR="00BE6F39" w:rsidRPr="008C554B" w:rsidRDefault="00BE6F39" w:rsidP="001F439A">
            <w:pPr>
              <w:pStyle w:val="Tabletext"/>
              <w:spacing w:before="0" w:after="0"/>
            </w:pPr>
            <w:r w:rsidRPr="002F759C">
              <w:t>1,006</w:t>
            </w:r>
          </w:p>
        </w:tc>
        <w:tc>
          <w:tcPr>
            <w:tcW w:w="534" w:type="pct"/>
          </w:tcPr>
          <w:p w14:paraId="7A1DACCC" w14:textId="77777777" w:rsidR="00BE6F39" w:rsidRDefault="00BE6F39" w:rsidP="001F439A">
            <w:pPr>
              <w:pStyle w:val="Tabletext"/>
              <w:spacing w:before="0" w:after="0"/>
            </w:pPr>
            <w:r w:rsidRPr="002F759C">
              <w:t>1,038</w:t>
            </w:r>
          </w:p>
        </w:tc>
        <w:tc>
          <w:tcPr>
            <w:tcW w:w="704" w:type="pct"/>
            <w:noWrap/>
          </w:tcPr>
          <w:p w14:paraId="5F7B00F9" w14:textId="77777777" w:rsidR="00BE6F39" w:rsidRDefault="00BE6F39" w:rsidP="001F439A">
            <w:pPr>
              <w:pStyle w:val="Tabletext"/>
              <w:spacing w:before="0" w:after="0"/>
            </w:pPr>
            <w:r>
              <w:t>A * D</w:t>
            </w:r>
          </w:p>
        </w:tc>
      </w:tr>
      <w:tr w:rsidR="00BE6F39" w:rsidRPr="00A71C83" w14:paraId="6E996659" w14:textId="77777777" w:rsidTr="001833F6">
        <w:trPr>
          <w:trHeight w:val="300"/>
        </w:trPr>
        <w:tc>
          <w:tcPr>
            <w:tcW w:w="195" w:type="pct"/>
          </w:tcPr>
          <w:p w14:paraId="37C11905" w14:textId="77777777" w:rsidR="00BE6F39" w:rsidRDefault="00BE6F39" w:rsidP="001F439A">
            <w:pPr>
              <w:pStyle w:val="Tabletext"/>
              <w:spacing w:before="0" w:after="0"/>
              <w:rPr>
                <w:color w:val="000000"/>
              </w:rPr>
            </w:pPr>
            <w:r>
              <w:rPr>
                <w:color w:val="000000"/>
              </w:rPr>
              <w:t>F</w:t>
            </w:r>
          </w:p>
        </w:tc>
        <w:tc>
          <w:tcPr>
            <w:tcW w:w="897" w:type="pct"/>
            <w:noWrap/>
          </w:tcPr>
          <w:p w14:paraId="05E9A8F7" w14:textId="77777777" w:rsidR="00BE6F39" w:rsidRPr="00012F0B" w:rsidRDefault="00BE6F39" w:rsidP="001F439A">
            <w:pPr>
              <w:pStyle w:val="Tabletext"/>
              <w:spacing w:before="0" w:after="0"/>
            </w:pPr>
            <w:r>
              <w:t xml:space="preserve">TOTAL number of MBGS services </w:t>
            </w:r>
          </w:p>
        </w:tc>
        <w:tc>
          <w:tcPr>
            <w:tcW w:w="534" w:type="pct"/>
            <w:noWrap/>
          </w:tcPr>
          <w:p w14:paraId="7003BE87" w14:textId="77777777" w:rsidR="00BE6F39" w:rsidRPr="008C554B" w:rsidRDefault="00BE6F39" w:rsidP="001F439A">
            <w:pPr>
              <w:pStyle w:val="Tabletext"/>
              <w:spacing w:before="0" w:after="0"/>
            </w:pPr>
            <w:r w:rsidRPr="002F759C">
              <w:t>559</w:t>
            </w:r>
          </w:p>
        </w:tc>
        <w:tc>
          <w:tcPr>
            <w:tcW w:w="534" w:type="pct"/>
            <w:noWrap/>
          </w:tcPr>
          <w:p w14:paraId="5AB14717" w14:textId="77777777" w:rsidR="00BE6F39" w:rsidRPr="008C554B" w:rsidRDefault="00BE6F39" w:rsidP="001F439A">
            <w:pPr>
              <w:pStyle w:val="Tabletext"/>
              <w:spacing w:before="0" w:after="0"/>
            </w:pPr>
            <w:r w:rsidRPr="002F759C">
              <w:t>700</w:t>
            </w:r>
          </w:p>
        </w:tc>
        <w:tc>
          <w:tcPr>
            <w:tcW w:w="534" w:type="pct"/>
            <w:noWrap/>
          </w:tcPr>
          <w:p w14:paraId="5E01158B" w14:textId="77777777" w:rsidR="00BE6F39" w:rsidRPr="008C554B" w:rsidRDefault="00BE6F39" w:rsidP="001F439A">
            <w:pPr>
              <w:pStyle w:val="Tabletext"/>
              <w:spacing w:before="0" w:after="0"/>
            </w:pPr>
            <w:r w:rsidRPr="002F759C">
              <w:t>849</w:t>
            </w:r>
          </w:p>
        </w:tc>
        <w:tc>
          <w:tcPr>
            <w:tcW w:w="534" w:type="pct"/>
            <w:noWrap/>
          </w:tcPr>
          <w:p w14:paraId="6AA46DAE" w14:textId="77777777" w:rsidR="00BE6F39" w:rsidRPr="008C554B" w:rsidRDefault="00BE6F39" w:rsidP="001F439A">
            <w:pPr>
              <w:pStyle w:val="Tabletext"/>
              <w:spacing w:before="0" w:after="0"/>
            </w:pPr>
            <w:r w:rsidRPr="002F759C">
              <w:t>1,006</w:t>
            </w:r>
          </w:p>
        </w:tc>
        <w:tc>
          <w:tcPr>
            <w:tcW w:w="534" w:type="pct"/>
            <w:noWrap/>
          </w:tcPr>
          <w:p w14:paraId="4110938A" w14:textId="77777777" w:rsidR="00BE6F39" w:rsidRPr="008C554B" w:rsidRDefault="00BE6F39" w:rsidP="001F439A">
            <w:pPr>
              <w:pStyle w:val="Tabletext"/>
              <w:spacing w:before="0" w:after="0"/>
            </w:pPr>
            <w:r w:rsidRPr="002F759C">
              <w:t>1,045</w:t>
            </w:r>
          </w:p>
        </w:tc>
        <w:tc>
          <w:tcPr>
            <w:tcW w:w="534" w:type="pct"/>
          </w:tcPr>
          <w:p w14:paraId="33F8DB1E" w14:textId="77777777" w:rsidR="00BE6F39" w:rsidRDefault="00BE6F39" w:rsidP="001F439A">
            <w:pPr>
              <w:pStyle w:val="Tabletext"/>
              <w:spacing w:before="0" w:after="0"/>
            </w:pPr>
            <w:r w:rsidRPr="002F759C">
              <w:t>1,084</w:t>
            </w:r>
          </w:p>
        </w:tc>
        <w:tc>
          <w:tcPr>
            <w:tcW w:w="704" w:type="pct"/>
            <w:noWrap/>
          </w:tcPr>
          <w:p w14:paraId="6CFADA66" w14:textId="77777777" w:rsidR="00BE6F39" w:rsidRDefault="00BE6F39" w:rsidP="001F439A">
            <w:pPr>
              <w:pStyle w:val="Tabletext"/>
              <w:spacing w:before="0" w:after="0"/>
            </w:pPr>
            <w:r>
              <w:t xml:space="preserve">C + E </w:t>
            </w:r>
          </w:p>
        </w:tc>
      </w:tr>
      <w:tr w:rsidR="00BE6F39" w:rsidRPr="00A71C83" w14:paraId="0DD6A647" w14:textId="77777777" w:rsidTr="001833F6">
        <w:trPr>
          <w:trHeight w:val="300"/>
        </w:trPr>
        <w:tc>
          <w:tcPr>
            <w:tcW w:w="5000" w:type="pct"/>
            <w:gridSpan w:val="9"/>
          </w:tcPr>
          <w:p w14:paraId="0DF868BC" w14:textId="77777777" w:rsidR="00BE6F39" w:rsidRPr="00F97326" w:rsidRDefault="00BE6F39" w:rsidP="001F439A">
            <w:pPr>
              <w:pStyle w:val="Tabletext"/>
              <w:spacing w:before="0" w:after="0"/>
              <w:rPr>
                <w:b/>
                <w:bCs/>
              </w:rPr>
            </w:pPr>
            <w:r w:rsidRPr="00F97326">
              <w:rPr>
                <w:b/>
                <w:bCs/>
              </w:rPr>
              <w:t xml:space="preserve">Impact of MBGS on trabeculectomy </w:t>
            </w:r>
            <w:r>
              <w:rPr>
                <w:b/>
                <w:bCs/>
              </w:rPr>
              <w:t>and follow-up items</w:t>
            </w:r>
          </w:p>
        </w:tc>
      </w:tr>
      <w:tr w:rsidR="00BE6F39" w:rsidRPr="00A71C83" w14:paraId="2D8BC5ED" w14:textId="77777777" w:rsidTr="001833F6">
        <w:trPr>
          <w:trHeight w:val="300"/>
        </w:trPr>
        <w:tc>
          <w:tcPr>
            <w:tcW w:w="195" w:type="pct"/>
          </w:tcPr>
          <w:p w14:paraId="7EB5AB2F" w14:textId="77777777" w:rsidR="00BE6F39" w:rsidRDefault="00BE6F39" w:rsidP="001F439A">
            <w:pPr>
              <w:pStyle w:val="Tabletext"/>
              <w:spacing w:before="0" w:after="0"/>
              <w:rPr>
                <w:color w:val="000000"/>
              </w:rPr>
            </w:pPr>
            <w:r>
              <w:rPr>
                <w:color w:val="000000"/>
              </w:rPr>
              <w:t>G</w:t>
            </w:r>
          </w:p>
        </w:tc>
        <w:tc>
          <w:tcPr>
            <w:tcW w:w="897" w:type="pct"/>
            <w:noWrap/>
          </w:tcPr>
          <w:p w14:paraId="1A752F86" w14:textId="77777777" w:rsidR="00BE6F39" w:rsidRPr="00012F0B" w:rsidRDefault="00BE6F39" w:rsidP="001F439A">
            <w:pPr>
              <w:pStyle w:val="Tabletext"/>
              <w:spacing w:before="0" w:after="0"/>
            </w:pPr>
            <w:r>
              <w:t>Trabeculectomy initial</w:t>
            </w:r>
          </w:p>
        </w:tc>
        <w:tc>
          <w:tcPr>
            <w:tcW w:w="534" w:type="pct"/>
            <w:noWrap/>
          </w:tcPr>
          <w:p w14:paraId="1CACEE7D" w14:textId="77777777" w:rsidR="00BE6F39" w:rsidRPr="008C554B" w:rsidRDefault="00BE6F39" w:rsidP="001F439A">
            <w:pPr>
              <w:pStyle w:val="Tabletext"/>
              <w:spacing w:before="0" w:after="0"/>
            </w:pPr>
            <w:r w:rsidRPr="002F759C">
              <w:t>-443</w:t>
            </w:r>
          </w:p>
        </w:tc>
        <w:tc>
          <w:tcPr>
            <w:tcW w:w="534" w:type="pct"/>
            <w:noWrap/>
          </w:tcPr>
          <w:p w14:paraId="3145FDD7" w14:textId="77777777" w:rsidR="00BE6F39" w:rsidRPr="008C554B" w:rsidRDefault="00BE6F39" w:rsidP="001F439A">
            <w:pPr>
              <w:pStyle w:val="Tabletext"/>
              <w:spacing w:before="0" w:after="0"/>
            </w:pPr>
            <w:r w:rsidRPr="002F759C">
              <w:t>-550</w:t>
            </w:r>
          </w:p>
        </w:tc>
        <w:tc>
          <w:tcPr>
            <w:tcW w:w="534" w:type="pct"/>
            <w:noWrap/>
          </w:tcPr>
          <w:p w14:paraId="6527DF12" w14:textId="77777777" w:rsidR="00BE6F39" w:rsidRPr="008C554B" w:rsidRDefault="00BE6F39" w:rsidP="001F439A">
            <w:pPr>
              <w:pStyle w:val="Tabletext"/>
              <w:spacing w:before="0" w:after="0"/>
            </w:pPr>
            <w:r w:rsidRPr="002F759C">
              <w:t>-664</w:t>
            </w:r>
          </w:p>
        </w:tc>
        <w:tc>
          <w:tcPr>
            <w:tcW w:w="534" w:type="pct"/>
            <w:noWrap/>
          </w:tcPr>
          <w:p w14:paraId="45A597B2" w14:textId="77777777" w:rsidR="00BE6F39" w:rsidRPr="008C554B" w:rsidRDefault="00BE6F39" w:rsidP="001F439A">
            <w:pPr>
              <w:pStyle w:val="Tabletext"/>
              <w:spacing w:before="0" w:after="0"/>
            </w:pPr>
            <w:r w:rsidRPr="002F759C">
              <w:t>-784</w:t>
            </w:r>
          </w:p>
        </w:tc>
        <w:tc>
          <w:tcPr>
            <w:tcW w:w="534" w:type="pct"/>
            <w:noWrap/>
          </w:tcPr>
          <w:p w14:paraId="7CB95F8D" w14:textId="77777777" w:rsidR="00BE6F39" w:rsidRPr="008C554B" w:rsidRDefault="00BE6F39" w:rsidP="001F439A">
            <w:pPr>
              <w:pStyle w:val="Tabletext"/>
              <w:spacing w:before="0" w:after="0"/>
            </w:pPr>
            <w:r w:rsidRPr="002F759C">
              <w:t>-809</w:t>
            </w:r>
          </w:p>
        </w:tc>
        <w:tc>
          <w:tcPr>
            <w:tcW w:w="534" w:type="pct"/>
          </w:tcPr>
          <w:p w14:paraId="6E93A6E5" w14:textId="77777777" w:rsidR="00BE6F39" w:rsidRDefault="00BE6F39" w:rsidP="001F439A">
            <w:pPr>
              <w:pStyle w:val="Tabletext"/>
              <w:spacing w:before="0" w:after="0"/>
            </w:pPr>
            <w:r w:rsidRPr="002F759C">
              <w:t>-834</w:t>
            </w:r>
          </w:p>
        </w:tc>
        <w:tc>
          <w:tcPr>
            <w:tcW w:w="704" w:type="pct"/>
            <w:noWrap/>
          </w:tcPr>
          <w:p w14:paraId="31769701" w14:textId="77777777" w:rsidR="00BE6F39" w:rsidRDefault="00BE6F39" w:rsidP="001F439A">
            <w:pPr>
              <w:pStyle w:val="Tabletext"/>
              <w:spacing w:before="0" w:after="0"/>
            </w:pPr>
            <w:r>
              <w:t>-E + 19.6%xE</w:t>
            </w:r>
          </w:p>
        </w:tc>
      </w:tr>
      <w:tr w:rsidR="00BE6F39" w:rsidRPr="00A71C83" w14:paraId="6A621453" w14:textId="77777777" w:rsidTr="001833F6">
        <w:trPr>
          <w:trHeight w:val="300"/>
        </w:trPr>
        <w:tc>
          <w:tcPr>
            <w:tcW w:w="195" w:type="pct"/>
          </w:tcPr>
          <w:p w14:paraId="6634D04A" w14:textId="77777777" w:rsidR="00BE6F39" w:rsidRDefault="00BE6F39" w:rsidP="001F439A">
            <w:pPr>
              <w:pStyle w:val="Tabletext"/>
              <w:spacing w:before="0" w:after="0"/>
              <w:rPr>
                <w:color w:val="000000"/>
              </w:rPr>
            </w:pPr>
            <w:r>
              <w:rPr>
                <w:color w:val="000000"/>
              </w:rPr>
              <w:t>H</w:t>
            </w:r>
          </w:p>
        </w:tc>
        <w:tc>
          <w:tcPr>
            <w:tcW w:w="897" w:type="pct"/>
            <w:noWrap/>
          </w:tcPr>
          <w:p w14:paraId="132793C2" w14:textId="77777777" w:rsidR="00BE6F39" w:rsidRPr="00012F0B" w:rsidRDefault="00BE6F39" w:rsidP="001F439A">
            <w:pPr>
              <w:pStyle w:val="Tabletext"/>
              <w:spacing w:before="0" w:after="0"/>
            </w:pPr>
            <w:r>
              <w:t>Trabeculectomy revision</w:t>
            </w:r>
          </w:p>
        </w:tc>
        <w:tc>
          <w:tcPr>
            <w:tcW w:w="534" w:type="pct"/>
            <w:noWrap/>
          </w:tcPr>
          <w:p w14:paraId="705C2A07" w14:textId="77777777" w:rsidR="00BE6F39" w:rsidRPr="008C554B" w:rsidRDefault="00BE6F39" w:rsidP="001F439A">
            <w:pPr>
              <w:pStyle w:val="Tabletext"/>
              <w:spacing w:before="0" w:after="0"/>
            </w:pPr>
            <w:r w:rsidRPr="002F759C">
              <w:t>-94</w:t>
            </w:r>
          </w:p>
        </w:tc>
        <w:tc>
          <w:tcPr>
            <w:tcW w:w="534" w:type="pct"/>
            <w:noWrap/>
          </w:tcPr>
          <w:p w14:paraId="1AC5435C" w14:textId="77777777" w:rsidR="00BE6F39" w:rsidRPr="008C554B" w:rsidRDefault="00BE6F39" w:rsidP="001F439A">
            <w:pPr>
              <w:pStyle w:val="Tabletext"/>
              <w:spacing w:before="0" w:after="0"/>
            </w:pPr>
            <w:r w:rsidRPr="002F759C">
              <w:t>-117</w:t>
            </w:r>
          </w:p>
        </w:tc>
        <w:tc>
          <w:tcPr>
            <w:tcW w:w="534" w:type="pct"/>
            <w:noWrap/>
          </w:tcPr>
          <w:p w14:paraId="1CB5DACB" w14:textId="77777777" w:rsidR="00BE6F39" w:rsidRPr="008C554B" w:rsidRDefault="00BE6F39" w:rsidP="001F439A">
            <w:pPr>
              <w:pStyle w:val="Tabletext"/>
              <w:spacing w:before="0" w:after="0"/>
            </w:pPr>
            <w:r w:rsidRPr="002F759C">
              <w:t>-141</w:t>
            </w:r>
          </w:p>
        </w:tc>
        <w:tc>
          <w:tcPr>
            <w:tcW w:w="534" w:type="pct"/>
            <w:noWrap/>
          </w:tcPr>
          <w:p w14:paraId="07976455" w14:textId="77777777" w:rsidR="00BE6F39" w:rsidRPr="008C554B" w:rsidRDefault="00BE6F39" w:rsidP="001F439A">
            <w:pPr>
              <w:pStyle w:val="Tabletext"/>
              <w:spacing w:before="0" w:after="0"/>
            </w:pPr>
            <w:r w:rsidRPr="002F759C">
              <w:t>-166</w:t>
            </w:r>
          </w:p>
        </w:tc>
        <w:tc>
          <w:tcPr>
            <w:tcW w:w="534" w:type="pct"/>
            <w:noWrap/>
          </w:tcPr>
          <w:p w14:paraId="55F0C866" w14:textId="77777777" w:rsidR="00BE6F39" w:rsidRPr="008C554B" w:rsidRDefault="00BE6F39" w:rsidP="001F439A">
            <w:pPr>
              <w:pStyle w:val="Tabletext"/>
              <w:spacing w:before="0" w:after="0"/>
            </w:pPr>
            <w:r w:rsidRPr="002F759C">
              <w:t>-172</w:t>
            </w:r>
          </w:p>
        </w:tc>
        <w:tc>
          <w:tcPr>
            <w:tcW w:w="534" w:type="pct"/>
          </w:tcPr>
          <w:p w14:paraId="1144E1C0" w14:textId="77777777" w:rsidR="00BE6F39" w:rsidRDefault="00BE6F39" w:rsidP="001F439A">
            <w:pPr>
              <w:pStyle w:val="Tabletext"/>
              <w:spacing w:before="0" w:after="0"/>
            </w:pPr>
            <w:r w:rsidRPr="002F759C">
              <w:t>-177</w:t>
            </w:r>
          </w:p>
        </w:tc>
        <w:tc>
          <w:tcPr>
            <w:tcW w:w="704" w:type="pct"/>
            <w:noWrap/>
          </w:tcPr>
          <w:p w14:paraId="1A953D6C" w14:textId="77777777" w:rsidR="00BE6F39" w:rsidRDefault="00BE6F39" w:rsidP="001F439A">
            <w:pPr>
              <w:pStyle w:val="Tabletext"/>
              <w:spacing w:before="0" w:after="0"/>
            </w:pPr>
            <w:r>
              <w:t>G x 21%</w:t>
            </w:r>
          </w:p>
        </w:tc>
      </w:tr>
      <w:tr w:rsidR="00BE6F39" w:rsidRPr="00A71C83" w14:paraId="3A18D631" w14:textId="77777777" w:rsidTr="001833F6">
        <w:trPr>
          <w:trHeight w:val="300"/>
        </w:trPr>
        <w:tc>
          <w:tcPr>
            <w:tcW w:w="195" w:type="pct"/>
          </w:tcPr>
          <w:p w14:paraId="4FB2A7EA" w14:textId="77777777" w:rsidR="00BE6F39" w:rsidRDefault="00BE6F39" w:rsidP="001F439A">
            <w:pPr>
              <w:pStyle w:val="Tabletext"/>
              <w:spacing w:before="0" w:after="0"/>
              <w:rPr>
                <w:color w:val="000000"/>
              </w:rPr>
            </w:pPr>
            <w:r>
              <w:rPr>
                <w:color w:val="000000"/>
              </w:rPr>
              <w:t>I</w:t>
            </w:r>
          </w:p>
        </w:tc>
        <w:tc>
          <w:tcPr>
            <w:tcW w:w="897" w:type="pct"/>
            <w:noWrap/>
          </w:tcPr>
          <w:p w14:paraId="13E0AE34" w14:textId="77777777" w:rsidR="00BE6F39" w:rsidRPr="00012F0B" w:rsidRDefault="00BE6F39" w:rsidP="001F439A">
            <w:pPr>
              <w:pStyle w:val="Tabletext"/>
              <w:spacing w:before="0" w:after="0"/>
            </w:pPr>
            <w:r>
              <w:t xml:space="preserve">Follow-up items </w:t>
            </w:r>
          </w:p>
        </w:tc>
        <w:tc>
          <w:tcPr>
            <w:tcW w:w="534" w:type="pct"/>
            <w:noWrap/>
          </w:tcPr>
          <w:p w14:paraId="2D87AD79" w14:textId="77777777" w:rsidR="00BE6F39" w:rsidRPr="008C554B" w:rsidRDefault="00BE6F39" w:rsidP="001F439A">
            <w:pPr>
              <w:pStyle w:val="Tabletext"/>
              <w:spacing w:before="0" w:after="0"/>
            </w:pPr>
            <w:r w:rsidRPr="00F97326">
              <w:t>-4,252</w:t>
            </w:r>
          </w:p>
        </w:tc>
        <w:tc>
          <w:tcPr>
            <w:tcW w:w="534" w:type="pct"/>
            <w:noWrap/>
          </w:tcPr>
          <w:p w14:paraId="4916D7B8" w14:textId="77777777" w:rsidR="00BE6F39" w:rsidRPr="008C554B" w:rsidRDefault="00BE6F39" w:rsidP="001F439A">
            <w:pPr>
              <w:pStyle w:val="Tabletext"/>
              <w:spacing w:before="0" w:after="0"/>
            </w:pPr>
            <w:r w:rsidRPr="00F97326">
              <w:t>-5,271</w:t>
            </w:r>
          </w:p>
        </w:tc>
        <w:tc>
          <w:tcPr>
            <w:tcW w:w="534" w:type="pct"/>
            <w:noWrap/>
          </w:tcPr>
          <w:p w14:paraId="0C5E82BE" w14:textId="77777777" w:rsidR="00BE6F39" w:rsidRPr="008C554B" w:rsidRDefault="00BE6F39" w:rsidP="001F439A">
            <w:pPr>
              <w:pStyle w:val="Tabletext"/>
              <w:spacing w:before="0" w:after="0"/>
            </w:pPr>
            <w:r w:rsidRPr="00F97326">
              <w:t>-6,351</w:t>
            </w:r>
          </w:p>
        </w:tc>
        <w:tc>
          <w:tcPr>
            <w:tcW w:w="534" w:type="pct"/>
            <w:noWrap/>
          </w:tcPr>
          <w:p w14:paraId="20CA5EC9" w14:textId="77777777" w:rsidR="00BE6F39" w:rsidRPr="008C554B" w:rsidRDefault="00BE6F39" w:rsidP="001F439A">
            <w:pPr>
              <w:pStyle w:val="Tabletext"/>
              <w:spacing w:before="0" w:after="0"/>
            </w:pPr>
            <w:r w:rsidRPr="00F97326">
              <w:t>-7,491</w:t>
            </w:r>
          </w:p>
        </w:tc>
        <w:tc>
          <w:tcPr>
            <w:tcW w:w="534" w:type="pct"/>
            <w:noWrap/>
          </w:tcPr>
          <w:p w14:paraId="0EA2FB7F" w14:textId="77777777" w:rsidR="00BE6F39" w:rsidRPr="008C554B" w:rsidRDefault="00BE6F39" w:rsidP="001F439A">
            <w:pPr>
              <w:pStyle w:val="Tabletext"/>
              <w:spacing w:before="0" w:after="0"/>
            </w:pPr>
            <w:r w:rsidRPr="00F97326">
              <w:t>-7,717</w:t>
            </w:r>
          </w:p>
        </w:tc>
        <w:tc>
          <w:tcPr>
            <w:tcW w:w="534" w:type="pct"/>
          </w:tcPr>
          <w:p w14:paraId="1D96ECA3" w14:textId="77777777" w:rsidR="00BE6F39" w:rsidRDefault="00BE6F39" w:rsidP="001F439A">
            <w:pPr>
              <w:pStyle w:val="Tabletext"/>
              <w:spacing w:before="0" w:after="0"/>
            </w:pPr>
            <w:r w:rsidRPr="00F97326">
              <w:t>-7,943</w:t>
            </w:r>
          </w:p>
        </w:tc>
        <w:tc>
          <w:tcPr>
            <w:tcW w:w="704" w:type="pct"/>
            <w:noWrap/>
          </w:tcPr>
          <w:p w14:paraId="4200F737" w14:textId="77777777" w:rsidR="00BE6F39" w:rsidRDefault="00BE6F39" w:rsidP="001F439A">
            <w:pPr>
              <w:pStyle w:val="Tabletext"/>
              <w:spacing w:before="0" w:after="0"/>
            </w:pPr>
            <w:r>
              <w:t>(G+H) x 10</w:t>
            </w:r>
          </w:p>
        </w:tc>
      </w:tr>
      <w:tr w:rsidR="00BE6F39" w:rsidRPr="00A71C83" w14:paraId="0E05BAD7" w14:textId="77777777" w:rsidTr="001833F6">
        <w:trPr>
          <w:trHeight w:val="300"/>
        </w:trPr>
        <w:tc>
          <w:tcPr>
            <w:tcW w:w="5000" w:type="pct"/>
            <w:gridSpan w:val="9"/>
          </w:tcPr>
          <w:p w14:paraId="65DDEE24" w14:textId="77777777" w:rsidR="00BE6F39" w:rsidRPr="00F97326" w:rsidRDefault="00BE6F39" w:rsidP="001F439A">
            <w:pPr>
              <w:pStyle w:val="Tabletext"/>
              <w:spacing w:before="0" w:after="0"/>
              <w:rPr>
                <w:b/>
                <w:bCs/>
              </w:rPr>
            </w:pPr>
            <w:r w:rsidRPr="00F97326">
              <w:rPr>
                <w:b/>
                <w:bCs/>
              </w:rPr>
              <w:t xml:space="preserve">Impact on MBS expenditure </w:t>
            </w:r>
          </w:p>
        </w:tc>
      </w:tr>
      <w:tr w:rsidR="00BE6F39" w:rsidRPr="00A71C83" w14:paraId="775C71BF" w14:textId="77777777" w:rsidTr="001833F6">
        <w:trPr>
          <w:trHeight w:val="300"/>
        </w:trPr>
        <w:tc>
          <w:tcPr>
            <w:tcW w:w="195" w:type="pct"/>
          </w:tcPr>
          <w:p w14:paraId="0CDD82D4" w14:textId="77777777" w:rsidR="00BE6F39" w:rsidRDefault="00BE6F39" w:rsidP="001F439A">
            <w:pPr>
              <w:pStyle w:val="Tabletext"/>
              <w:spacing w:before="0" w:after="0"/>
              <w:rPr>
                <w:color w:val="000000"/>
              </w:rPr>
            </w:pPr>
            <w:r>
              <w:rPr>
                <w:color w:val="000000"/>
              </w:rPr>
              <w:t>J</w:t>
            </w:r>
          </w:p>
        </w:tc>
        <w:tc>
          <w:tcPr>
            <w:tcW w:w="897" w:type="pct"/>
            <w:noWrap/>
          </w:tcPr>
          <w:p w14:paraId="28F0C5C0" w14:textId="77777777" w:rsidR="00BE6F39" w:rsidRPr="00012F0B" w:rsidRDefault="00BE6F39" w:rsidP="001F439A">
            <w:pPr>
              <w:pStyle w:val="Tabletext"/>
              <w:spacing w:before="0" w:after="0"/>
            </w:pPr>
            <w:r>
              <w:t xml:space="preserve">TB MBGS </w:t>
            </w:r>
          </w:p>
        </w:tc>
        <w:tc>
          <w:tcPr>
            <w:tcW w:w="534" w:type="pct"/>
            <w:noWrap/>
          </w:tcPr>
          <w:p w14:paraId="37DF1C36" w14:textId="77777777" w:rsidR="00BE6F39" w:rsidRPr="008C554B" w:rsidRDefault="00BE6F39" w:rsidP="001F439A">
            <w:pPr>
              <w:pStyle w:val="Tabletext"/>
              <w:spacing w:before="0" w:after="0"/>
            </w:pPr>
            <w:r w:rsidRPr="00F97326">
              <w:t>$297,840</w:t>
            </w:r>
          </w:p>
        </w:tc>
        <w:tc>
          <w:tcPr>
            <w:tcW w:w="534" w:type="pct"/>
            <w:noWrap/>
          </w:tcPr>
          <w:p w14:paraId="054A05B5" w14:textId="77777777" w:rsidR="00BE6F39" w:rsidRPr="008C554B" w:rsidRDefault="00BE6F39" w:rsidP="001F439A">
            <w:pPr>
              <w:pStyle w:val="Tabletext"/>
              <w:spacing w:before="0" w:after="0"/>
            </w:pPr>
            <w:r w:rsidRPr="00F97326">
              <w:t>$373,207</w:t>
            </w:r>
          </w:p>
        </w:tc>
        <w:tc>
          <w:tcPr>
            <w:tcW w:w="534" w:type="pct"/>
            <w:noWrap/>
          </w:tcPr>
          <w:p w14:paraId="03C9AC2D" w14:textId="77777777" w:rsidR="00BE6F39" w:rsidRPr="008C554B" w:rsidRDefault="00BE6F39" w:rsidP="001F439A">
            <w:pPr>
              <w:pStyle w:val="Tabletext"/>
              <w:spacing w:before="0" w:after="0"/>
            </w:pPr>
            <w:r w:rsidRPr="00F97326">
              <w:t>$452,730</w:t>
            </w:r>
          </w:p>
        </w:tc>
        <w:tc>
          <w:tcPr>
            <w:tcW w:w="534" w:type="pct"/>
            <w:noWrap/>
          </w:tcPr>
          <w:p w14:paraId="6ADEEF65" w14:textId="77777777" w:rsidR="00BE6F39" w:rsidRPr="008C554B" w:rsidRDefault="00BE6F39" w:rsidP="001F439A">
            <w:pPr>
              <w:pStyle w:val="Tabletext"/>
              <w:spacing w:before="0" w:after="0"/>
            </w:pPr>
            <w:r w:rsidRPr="00F97326">
              <w:t>$536,411</w:t>
            </w:r>
          </w:p>
        </w:tc>
        <w:tc>
          <w:tcPr>
            <w:tcW w:w="534" w:type="pct"/>
            <w:noWrap/>
          </w:tcPr>
          <w:p w14:paraId="0592E69D" w14:textId="77777777" w:rsidR="00BE6F39" w:rsidRPr="008C554B" w:rsidRDefault="00BE6F39" w:rsidP="001F439A">
            <w:pPr>
              <w:pStyle w:val="Tabletext"/>
              <w:spacing w:before="0" w:after="0"/>
            </w:pPr>
            <w:r w:rsidRPr="00F97326">
              <w:t>$557,198</w:t>
            </w:r>
          </w:p>
        </w:tc>
        <w:tc>
          <w:tcPr>
            <w:tcW w:w="534" w:type="pct"/>
          </w:tcPr>
          <w:p w14:paraId="6FA5BE51" w14:textId="77777777" w:rsidR="00BE6F39" w:rsidRDefault="00BE6F39" w:rsidP="001F439A">
            <w:pPr>
              <w:pStyle w:val="Tabletext"/>
              <w:spacing w:before="0" w:after="0"/>
            </w:pPr>
            <w:r w:rsidRPr="00F97326">
              <w:t>$577,985</w:t>
            </w:r>
          </w:p>
        </w:tc>
        <w:tc>
          <w:tcPr>
            <w:tcW w:w="704" w:type="pct"/>
            <w:noWrap/>
          </w:tcPr>
          <w:p w14:paraId="44832CDA" w14:textId="77777777" w:rsidR="00BE6F39" w:rsidRDefault="00BE6F39" w:rsidP="001F439A">
            <w:pPr>
              <w:pStyle w:val="Tabletext"/>
              <w:spacing w:before="0" w:after="0"/>
            </w:pPr>
            <w:r>
              <w:t>F * $533.00 (75% benefit)</w:t>
            </w:r>
          </w:p>
        </w:tc>
      </w:tr>
      <w:tr w:rsidR="00BE6F39" w:rsidRPr="00A71C83" w14:paraId="1663010E" w14:textId="77777777" w:rsidTr="001833F6">
        <w:trPr>
          <w:trHeight w:val="300"/>
        </w:trPr>
        <w:tc>
          <w:tcPr>
            <w:tcW w:w="195" w:type="pct"/>
          </w:tcPr>
          <w:p w14:paraId="3084A253" w14:textId="77777777" w:rsidR="00BE6F39" w:rsidRDefault="00BE6F39" w:rsidP="001F439A">
            <w:pPr>
              <w:pStyle w:val="Tabletext"/>
              <w:spacing w:before="0" w:after="0"/>
              <w:rPr>
                <w:color w:val="000000"/>
              </w:rPr>
            </w:pPr>
            <w:r>
              <w:rPr>
                <w:color w:val="000000"/>
              </w:rPr>
              <w:t>K</w:t>
            </w:r>
          </w:p>
        </w:tc>
        <w:tc>
          <w:tcPr>
            <w:tcW w:w="897" w:type="pct"/>
            <w:noWrap/>
          </w:tcPr>
          <w:p w14:paraId="6B542064" w14:textId="77777777" w:rsidR="00BE6F39" w:rsidRPr="00012F0B" w:rsidRDefault="00BE6F39" w:rsidP="001F439A">
            <w:pPr>
              <w:pStyle w:val="Tabletext"/>
              <w:spacing w:before="0" w:after="0"/>
            </w:pPr>
            <w:r>
              <w:t>Trabeculectomy initial (MBS 42746)</w:t>
            </w:r>
          </w:p>
        </w:tc>
        <w:tc>
          <w:tcPr>
            <w:tcW w:w="534" w:type="pct"/>
            <w:noWrap/>
          </w:tcPr>
          <w:p w14:paraId="156B9F28" w14:textId="77777777" w:rsidR="00BE6F39" w:rsidRPr="008C554B" w:rsidRDefault="00BE6F39" w:rsidP="001F439A">
            <w:pPr>
              <w:pStyle w:val="Tabletext"/>
              <w:spacing w:before="0" w:after="0"/>
            </w:pPr>
            <w:r w:rsidRPr="00F97326">
              <w:t>-$322,396</w:t>
            </w:r>
          </w:p>
        </w:tc>
        <w:tc>
          <w:tcPr>
            <w:tcW w:w="534" w:type="pct"/>
            <w:noWrap/>
          </w:tcPr>
          <w:p w14:paraId="5CC57AB3" w14:textId="77777777" w:rsidR="00BE6F39" w:rsidRPr="008C554B" w:rsidRDefault="00BE6F39" w:rsidP="001F439A">
            <w:pPr>
              <w:pStyle w:val="Tabletext"/>
              <w:spacing w:before="0" w:after="0"/>
            </w:pPr>
            <w:r w:rsidRPr="00F97326">
              <w:t>-$400,567</w:t>
            </w:r>
          </w:p>
        </w:tc>
        <w:tc>
          <w:tcPr>
            <w:tcW w:w="534" w:type="pct"/>
            <w:noWrap/>
          </w:tcPr>
          <w:p w14:paraId="1F011592" w14:textId="77777777" w:rsidR="00BE6F39" w:rsidRPr="008C554B" w:rsidRDefault="00BE6F39" w:rsidP="001F439A">
            <w:pPr>
              <w:pStyle w:val="Tabletext"/>
              <w:spacing w:before="0" w:after="0"/>
            </w:pPr>
            <w:r w:rsidRPr="00F97326">
              <w:t>-$483,302</w:t>
            </w:r>
          </w:p>
        </w:tc>
        <w:tc>
          <w:tcPr>
            <w:tcW w:w="534" w:type="pct"/>
            <w:noWrap/>
          </w:tcPr>
          <w:p w14:paraId="07A55523" w14:textId="77777777" w:rsidR="00BE6F39" w:rsidRPr="008C554B" w:rsidRDefault="00BE6F39" w:rsidP="001F439A">
            <w:pPr>
              <w:pStyle w:val="Tabletext"/>
              <w:spacing w:before="0" w:after="0"/>
            </w:pPr>
            <w:r w:rsidRPr="00F97326">
              <w:t>-$570,600</w:t>
            </w:r>
          </w:p>
        </w:tc>
        <w:tc>
          <w:tcPr>
            <w:tcW w:w="534" w:type="pct"/>
            <w:noWrap/>
          </w:tcPr>
          <w:p w14:paraId="6CBFE40C" w14:textId="77777777" w:rsidR="00BE6F39" w:rsidRPr="008C554B" w:rsidRDefault="00BE6F39" w:rsidP="001F439A">
            <w:pPr>
              <w:pStyle w:val="Tabletext"/>
              <w:spacing w:before="0" w:after="0"/>
            </w:pPr>
            <w:r w:rsidRPr="00F97326">
              <w:t>-$588,856</w:t>
            </w:r>
          </w:p>
        </w:tc>
        <w:tc>
          <w:tcPr>
            <w:tcW w:w="534" w:type="pct"/>
          </w:tcPr>
          <w:p w14:paraId="189C9361" w14:textId="77777777" w:rsidR="00BE6F39" w:rsidRDefault="00BE6F39" w:rsidP="001F439A">
            <w:pPr>
              <w:pStyle w:val="Tabletext"/>
              <w:spacing w:before="0" w:after="0"/>
            </w:pPr>
            <w:r w:rsidRPr="00F97326">
              <w:t>-$607,111</w:t>
            </w:r>
          </w:p>
        </w:tc>
        <w:tc>
          <w:tcPr>
            <w:tcW w:w="704" w:type="pct"/>
            <w:noWrap/>
          </w:tcPr>
          <w:p w14:paraId="49CE9CD2" w14:textId="77777777" w:rsidR="00BE6F39" w:rsidRDefault="00BE6F39" w:rsidP="001F439A">
            <w:pPr>
              <w:pStyle w:val="Tabletext"/>
              <w:spacing w:before="0" w:after="0"/>
            </w:pPr>
            <w:r>
              <w:t>G * $727.75 (75% benefit)</w:t>
            </w:r>
          </w:p>
        </w:tc>
      </w:tr>
      <w:tr w:rsidR="00BE6F39" w:rsidRPr="00A71C83" w14:paraId="75E1689C" w14:textId="77777777" w:rsidTr="001833F6">
        <w:trPr>
          <w:trHeight w:val="300"/>
        </w:trPr>
        <w:tc>
          <w:tcPr>
            <w:tcW w:w="195" w:type="pct"/>
          </w:tcPr>
          <w:p w14:paraId="6F2C249D" w14:textId="77777777" w:rsidR="00BE6F39" w:rsidRDefault="00BE6F39" w:rsidP="001F439A">
            <w:pPr>
              <w:pStyle w:val="Tabletext"/>
              <w:spacing w:before="0" w:after="0"/>
              <w:rPr>
                <w:color w:val="000000"/>
              </w:rPr>
            </w:pPr>
            <w:r>
              <w:rPr>
                <w:color w:val="000000"/>
              </w:rPr>
              <w:t>L</w:t>
            </w:r>
          </w:p>
        </w:tc>
        <w:tc>
          <w:tcPr>
            <w:tcW w:w="897" w:type="pct"/>
            <w:noWrap/>
          </w:tcPr>
          <w:p w14:paraId="0B859386" w14:textId="77777777" w:rsidR="00BE6F39" w:rsidRPr="00012F0B" w:rsidRDefault="00BE6F39" w:rsidP="001F439A">
            <w:pPr>
              <w:pStyle w:val="Tabletext"/>
              <w:spacing w:before="0" w:after="0"/>
            </w:pPr>
            <w:r>
              <w:t>Trabeculectomy revision (MBS 42749)</w:t>
            </w:r>
          </w:p>
        </w:tc>
        <w:tc>
          <w:tcPr>
            <w:tcW w:w="534" w:type="pct"/>
            <w:noWrap/>
          </w:tcPr>
          <w:p w14:paraId="1E793228" w14:textId="77777777" w:rsidR="00BE6F39" w:rsidRPr="008C554B" w:rsidRDefault="00BE6F39" w:rsidP="001F439A">
            <w:pPr>
              <w:pStyle w:val="Tabletext"/>
              <w:spacing w:before="0" w:after="0"/>
            </w:pPr>
            <w:r w:rsidRPr="00F97326">
              <w:t>-$85,624</w:t>
            </w:r>
          </w:p>
        </w:tc>
        <w:tc>
          <w:tcPr>
            <w:tcW w:w="534" w:type="pct"/>
            <w:noWrap/>
          </w:tcPr>
          <w:p w14:paraId="2A85DE08" w14:textId="77777777" w:rsidR="00BE6F39" w:rsidRPr="008C554B" w:rsidRDefault="00BE6F39" w:rsidP="001F439A">
            <w:pPr>
              <w:pStyle w:val="Tabletext"/>
              <w:spacing w:before="0" w:after="0"/>
            </w:pPr>
            <w:r w:rsidRPr="00F97326">
              <w:t>-$106,385</w:t>
            </w:r>
          </w:p>
        </w:tc>
        <w:tc>
          <w:tcPr>
            <w:tcW w:w="534" w:type="pct"/>
            <w:noWrap/>
          </w:tcPr>
          <w:p w14:paraId="6CA3A6E7" w14:textId="77777777" w:rsidR="00BE6F39" w:rsidRPr="008C554B" w:rsidRDefault="00BE6F39" w:rsidP="001F439A">
            <w:pPr>
              <w:pStyle w:val="Tabletext"/>
              <w:spacing w:before="0" w:after="0"/>
            </w:pPr>
            <w:r w:rsidRPr="00F97326">
              <w:t>-$128,359</w:t>
            </w:r>
          </w:p>
        </w:tc>
        <w:tc>
          <w:tcPr>
            <w:tcW w:w="534" w:type="pct"/>
            <w:noWrap/>
          </w:tcPr>
          <w:p w14:paraId="5D46EF7E" w14:textId="77777777" w:rsidR="00BE6F39" w:rsidRPr="008C554B" w:rsidRDefault="00BE6F39" w:rsidP="001F439A">
            <w:pPr>
              <w:pStyle w:val="Tabletext"/>
              <w:spacing w:before="0" w:after="0"/>
            </w:pPr>
            <w:r w:rsidRPr="00F97326">
              <w:t>-$151,544</w:t>
            </w:r>
          </w:p>
        </w:tc>
        <w:tc>
          <w:tcPr>
            <w:tcW w:w="534" w:type="pct"/>
            <w:noWrap/>
          </w:tcPr>
          <w:p w14:paraId="055E8D1E" w14:textId="77777777" w:rsidR="00BE6F39" w:rsidRPr="008C554B" w:rsidRDefault="00BE6F39" w:rsidP="001F439A">
            <w:pPr>
              <w:pStyle w:val="Tabletext"/>
              <w:spacing w:before="0" w:after="0"/>
            </w:pPr>
            <w:r w:rsidRPr="00F97326">
              <w:t>-$156,392</w:t>
            </w:r>
          </w:p>
        </w:tc>
        <w:tc>
          <w:tcPr>
            <w:tcW w:w="534" w:type="pct"/>
          </w:tcPr>
          <w:p w14:paraId="1758714C" w14:textId="77777777" w:rsidR="00BE6F39" w:rsidRDefault="00BE6F39" w:rsidP="001F439A">
            <w:pPr>
              <w:pStyle w:val="Tabletext"/>
              <w:spacing w:before="0" w:after="0"/>
            </w:pPr>
            <w:r w:rsidRPr="00F97326">
              <w:t>-$161,241</w:t>
            </w:r>
          </w:p>
        </w:tc>
        <w:tc>
          <w:tcPr>
            <w:tcW w:w="704" w:type="pct"/>
            <w:noWrap/>
          </w:tcPr>
          <w:p w14:paraId="36FF2955" w14:textId="77777777" w:rsidR="00BE6F39" w:rsidRDefault="00BE6F39" w:rsidP="001F439A">
            <w:pPr>
              <w:pStyle w:val="Tabletext"/>
              <w:spacing w:before="0" w:after="0"/>
            </w:pPr>
            <w:r>
              <w:t>H * $911.15 (75% benefit)</w:t>
            </w:r>
          </w:p>
        </w:tc>
      </w:tr>
      <w:tr w:rsidR="00BE6F39" w:rsidRPr="00A71C83" w14:paraId="4808CE68" w14:textId="77777777" w:rsidTr="001833F6">
        <w:trPr>
          <w:trHeight w:val="300"/>
        </w:trPr>
        <w:tc>
          <w:tcPr>
            <w:tcW w:w="195" w:type="pct"/>
          </w:tcPr>
          <w:p w14:paraId="6377147E" w14:textId="77777777" w:rsidR="00BE6F39" w:rsidRDefault="00BE6F39" w:rsidP="001F439A">
            <w:pPr>
              <w:pStyle w:val="Tabletext"/>
              <w:spacing w:before="0" w:after="0"/>
              <w:rPr>
                <w:color w:val="000000"/>
              </w:rPr>
            </w:pPr>
            <w:r>
              <w:rPr>
                <w:color w:val="000000"/>
              </w:rPr>
              <w:t>M</w:t>
            </w:r>
          </w:p>
        </w:tc>
        <w:tc>
          <w:tcPr>
            <w:tcW w:w="897" w:type="pct"/>
            <w:noWrap/>
          </w:tcPr>
          <w:p w14:paraId="6A5A0E4C" w14:textId="77777777" w:rsidR="00BE6F39" w:rsidRPr="00012F0B" w:rsidRDefault="00BE6F39" w:rsidP="001F439A">
            <w:pPr>
              <w:pStyle w:val="Tabletext"/>
              <w:spacing w:before="0" w:after="0"/>
            </w:pPr>
            <w:r>
              <w:t>Follow-up items (MBS 105)</w:t>
            </w:r>
          </w:p>
        </w:tc>
        <w:tc>
          <w:tcPr>
            <w:tcW w:w="534" w:type="pct"/>
            <w:noWrap/>
          </w:tcPr>
          <w:p w14:paraId="1BE3625D" w14:textId="77777777" w:rsidR="00BE6F39" w:rsidRPr="008C554B" w:rsidRDefault="00BE6F39" w:rsidP="001F439A">
            <w:pPr>
              <w:pStyle w:val="Tabletext"/>
              <w:spacing w:before="0" w:after="0"/>
            </w:pPr>
            <w:r w:rsidRPr="00F97326">
              <w:t>-$160,307</w:t>
            </w:r>
          </w:p>
        </w:tc>
        <w:tc>
          <w:tcPr>
            <w:tcW w:w="534" w:type="pct"/>
            <w:noWrap/>
          </w:tcPr>
          <w:p w14:paraId="7D413AB6" w14:textId="77777777" w:rsidR="00BE6F39" w:rsidRPr="008C554B" w:rsidRDefault="00BE6F39" w:rsidP="001F439A">
            <w:pPr>
              <w:pStyle w:val="Tabletext"/>
              <w:spacing w:before="0" w:after="0"/>
            </w:pPr>
            <w:r w:rsidRPr="00F97326">
              <w:t>-$198,731</w:t>
            </w:r>
          </w:p>
        </w:tc>
        <w:tc>
          <w:tcPr>
            <w:tcW w:w="534" w:type="pct"/>
            <w:noWrap/>
          </w:tcPr>
          <w:p w14:paraId="4A764969" w14:textId="77777777" w:rsidR="00BE6F39" w:rsidRPr="008C554B" w:rsidRDefault="00BE6F39" w:rsidP="001F439A">
            <w:pPr>
              <w:pStyle w:val="Tabletext"/>
              <w:spacing w:before="0" w:after="0"/>
            </w:pPr>
            <w:r w:rsidRPr="00F97326">
              <w:t>-$239,432</w:t>
            </w:r>
          </w:p>
        </w:tc>
        <w:tc>
          <w:tcPr>
            <w:tcW w:w="534" w:type="pct"/>
            <w:noWrap/>
          </w:tcPr>
          <w:p w14:paraId="36EB0D33" w14:textId="77777777" w:rsidR="00BE6F39" w:rsidRPr="008C554B" w:rsidRDefault="00BE6F39" w:rsidP="001F439A">
            <w:pPr>
              <w:pStyle w:val="Tabletext"/>
              <w:spacing w:before="0" w:after="0"/>
            </w:pPr>
            <w:r w:rsidRPr="00F97326">
              <w:t>-$282,412</w:t>
            </w:r>
          </w:p>
        </w:tc>
        <w:tc>
          <w:tcPr>
            <w:tcW w:w="534" w:type="pct"/>
            <w:noWrap/>
          </w:tcPr>
          <w:p w14:paraId="72661F03" w14:textId="77777777" w:rsidR="00BE6F39" w:rsidRPr="008C554B" w:rsidRDefault="00BE6F39" w:rsidP="001F439A">
            <w:pPr>
              <w:pStyle w:val="Tabletext"/>
              <w:spacing w:before="0" w:after="0"/>
            </w:pPr>
            <w:r w:rsidRPr="00F97326">
              <w:t>-$290,934</w:t>
            </w:r>
          </w:p>
        </w:tc>
        <w:tc>
          <w:tcPr>
            <w:tcW w:w="534" w:type="pct"/>
          </w:tcPr>
          <w:p w14:paraId="52C0ACDA" w14:textId="77777777" w:rsidR="00BE6F39" w:rsidRDefault="00BE6F39" w:rsidP="001F439A">
            <w:pPr>
              <w:pStyle w:val="Tabletext"/>
              <w:spacing w:before="0" w:after="0"/>
            </w:pPr>
            <w:r w:rsidRPr="00F97326">
              <w:t>-$299,457</w:t>
            </w:r>
          </w:p>
        </w:tc>
        <w:tc>
          <w:tcPr>
            <w:tcW w:w="704" w:type="pct"/>
            <w:noWrap/>
          </w:tcPr>
          <w:p w14:paraId="44B3FD4A" w14:textId="77777777" w:rsidR="00BE6F39" w:rsidRDefault="00BE6F39" w:rsidP="001F439A">
            <w:pPr>
              <w:pStyle w:val="Tabletext"/>
              <w:spacing w:before="0" w:after="0"/>
            </w:pPr>
            <w:r>
              <w:t>I * $37.70 (85% benefit)</w:t>
            </w:r>
          </w:p>
        </w:tc>
      </w:tr>
      <w:tr w:rsidR="00BE6F39" w:rsidRPr="00A71C83" w14:paraId="2416A145" w14:textId="77777777" w:rsidTr="001833F6">
        <w:trPr>
          <w:trHeight w:val="300"/>
        </w:trPr>
        <w:tc>
          <w:tcPr>
            <w:tcW w:w="195" w:type="pct"/>
          </w:tcPr>
          <w:p w14:paraId="14E35369" w14:textId="77777777" w:rsidR="00BE6F39" w:rsidRDefault="00BE6F39" w:rsidP="001F439A">
            <w:pPr>
              <w:pStyle w:val="Tabletext"/>
              <w:spacing w:before="0" w:after="0"/>
              <w:rPr>
                <w:color w:val="000000"/>
              </w:rPr>
            </w:pPr>
            <w:r>
              <w:rPr>
                <w:color w:val="000000"/>
              </w:rPr>
              <w:t>N</w:t>
            </w:r>
          </w:p>
        </w:tc>
        <w:tc>
          <w:tcPr>
            <w:tcW w:w="897" w:type="pct"/>
            <w:noWrap/>
          </w:tcPr>
          <w:p w14:paraId="70039EA3" w14:textId="77777777" w:rsidR="00BE6F39" w:rsidRDefault="00BE6F39" w:rsidP="001F439A">
            <w:pPr>
              <w:pStyle w:val="Tabletext"/>
              <w:spacing w:before="0" w:after="0"/>
            </w:pPr>
            <w:r>
              <w:t xml:space="preserve">TOTAL IMPACT </w:t>
            </w:r>
          </w:p>
        </w:tc>
        <w:tc>
          <w:tcPr>
            <w:tcW w:w="534" w:type="pct"/>
            <w:noWrap/>
          </w:tcPr>
          <w:p w14:paraId="55E9B598" w14:textId="77777777" w:rsidR="00BE6F39" w:rsidRPr="008C554B" w:rsidRDefault="00BE6F39" w:rsidP="001F439A">
            <w:pPr>
              <w:pStyle w:val="Tabletext"/>
              <w:spacing w:before="0" w:after="0"/>
            </w:pPr>
            <w:r w:rsidRPr="00F97326">
              <w:t>-$270,487</w:t>
            </w:r>
          </w:p>
        </w:tc>
        <w:tc>
          <w:tcPr>
            <w:tcW w:w="534" w:type="pct"/>
            <w:noWrap/>
          </w:tcPr>
          <w:p w14:paraId="01E87518" w14:textId="77777777" w:rsidR="00BE6F39" w:rsidRPr="008C554B" w:rsidRDefault="00BE6F39" w:rsidP="001F439A">
            <w:pPr>
              <w:pStyle w:val="Tabletext"/>
              <w:spacing w:before="0" w:after="0"/>
            </w:pPr>
            <w:r w:rsidRPr="00F97326">
              <w:t>-$332,477</w:t>
            </w:r>
          </w:p>
        </w:tc>
        <w:tc>
          <w:tcPr>
            <w:tcW w:w="534" w:type="pct"/>
            <w:noWrap/>
          </w:tcPr>
          <w:p w14:paraId="4DE0CA46" w14:textId="77777777" w:rsidR="00BE6F39" w:rsidRPr="008C554B" w:rsidRDefault="00BE6F39" w:rsidP="001F439A">
            <w:pPr>
              <w:pStyle w:val="Tabletext"/>
              <w:spacing w:before="0" w:after="0"/>
            </w:pPr>
            <w:r w:rsidRPr="00F97326">
              <w:t>-$398,362</w:t>
            </w:r>
          </w:p>
        </w:tc>
        <w:tc>
          <w:tcPr>
            <w:tcW w:w="534" w:type="pct"/>
            <w:noWrap/>
          </w:tcPr>
          <w:p w14:paraId="43BCADE2" w14:textId="77777777" w:rsidR="00BE6F39" w:rsidRPr="008C554B" w:rsidRDefault="00BE6F39" w:rsidP="001F439A">
            <w:pPr>
              <w:pStyle w:val="Tabletext"/>
              <w:spacing w:before="0" w:after="0"/>
            </w:pPr>
            <w:r w:rsidRPr="00F97326">
              <w:t>-$468,145</w:t>
            </w:r>
          </w:p>
        </w:tc>
        <w:tc>
          <w:tcPr>
            <w:tcW w:w="534" w:type="pct"/>
            <w:noWrap/>
          </w:tcPr>
          <w:p w14:paraId="38678866" w14:textId="77777777" w:rsidR="00BE6F39" w:rsidRPr="008C554B" w:rsidRDefault="00BE6F39" w:rsidP="001F439A">
            <w:pPr>
              <w:pStyle w:val="Tabletext"/>
              <w:spacing w:before="0" w:after="0"/>
            </w:pPr>
            <w:r w:rsidRPr="00F97326">
              <w:t>-$478,984</w:t>
            </w:r>
          </w:p>
        </w:tc>
        <w:tc>
          <w:tcPr>
            <w:tcW w:w="534" w:type="pct"/>
          </w:tcPr>
          <w:p w14:paraId="76E88DF6" w14:textId="77777777" w:rsidR="00BE6F39" w:rsidRDefault="00BE6F39" w:rsidP="001F439A">
            <w:pPr>
              <w:pStyle w:val="Tabletext"/>
              <w:spacing w:before="0" w:after="0"/>
            </w:pPr>
            <w:r w:rsidRPr="00F97326">
              <w:t>-$489,823</w:t>
            </w:r>
          </w:p>
        </w:tc>
        <w:tc>
          <w:tcPr>
            <w:tcW w:w="704" w:type="pct"/>
            <w:noWrap/>
          </w:tcPr>
          <w:p w14:paraId="529B1F8F" w14:textId="77777777" w:rsidR="00BE6F39" w:rsidRDefault="00BE6F39" w:rsidP="001F439A">
            <w:pPr>
              <w:pStyle w:val="Tabletext"/>
              <w:spacing w:before="0" w:after="0"/>
            </w:pPr>
            <w:r>
              <w:t>J + K + L + M</w:t>
            </w:r>
          </w:p>
        </w:tc>
      </w:tr>
    </w:tbl>
    <w:p w14:paraId="4CDCAD56" w14:textId="13A12E2F" w:rsidR="00D75DA3" w:rsidRPr="00135961" w:rsidRDefault="00BE6F39" w:rsidP="00A345B5">
      <w:pPr>
        <w:pStyle w:val="Tablenotes"/>
        <w:keepLines w:val="0"/>
        <w:spacing w:after="240"/>
      </w:pPr>
      <w:r>
        <w:t>See budget impact spreadsheet for calculation details (</w:t>
      </w:r>
      <w:r w:rsidRPr="004D22A4">
        <w:t>MBGSstandalone</w:t>
      </w:r>
      <w:r w:rsidRPr="00FF4740">
        <w:t>_costmin&amp;budgetimpact</w:t>
      </w:r>
      <w:r>
        <w:t>_July2019</w:t>
      </w:r>
      <w:r w:rsidRPr="00FF4740">
        <w:t>.xls</w:t>
      </w:r>
      <w:r>
        <w:t>)</w:t>
      </w:r>
    </w:p>
    <w:p w14:paraId="1F910E5F" w14:textId="77777777" w:rsidR="00D75DA3" w:rsidRPr="006F0C7D" w:rsidRDefault="00D75DA3" w:rsidP="00A345B5">
      <w:pPr>
        <w:pStyle w:val="Heading2"/>
        <w:keepNext w:val="0"/>
        <w:keepLines w:val="0"/>
        <w:rPr>
          <w:b/>
        </w:rPr>
      </w:pPr>
      <w:r w:rsidRPr="006F0C7D">
        <w:rPr>
          <w:b/>
        </w:rPr>
        <w:t>November 2018 MSAC consideration</w:t>
      </w:r>
    </w:p>
    <w:p w14:paraId="2E0475DA" w14:textId="17F01D96" w:rsidR="000422F2" w:rsidRDefault="009E4530" w:rsidP="00A345B5">
      <w:pPr>
        <w:spacing w:before="120" w:after="240"/>
      </w:pPr>
      <w:r>
        <w:t>A</w:t>
      </w:r>
      <w:r w:rsidRPr="009E4530">
        <w:t xml:space="preserve">n updated budget impact analysis </w:t>
      </w:r>
      <w:r>
        <w:t>was</w:t>
      </w:r>
      <w:r w:rsidRPr="009E4530">
        <w:t xml:space="preserve"> presented in this resubmission</w:t>
      </w:r>
      <w:r>
        <w:t xml:space="preserve"> using an </w:t>
      </w:r>
      <w:r w:rsidRPr="009E4530">
        <w:t>epidemiological approach to estimate the size of the population eli</w:t>
      </w:r>
      <w:r>
        <w:t xml:space="preserve">gible for MBGS implantation (in </w:t>
      </w:r>
      <w:r w:rsidRPr="009E4530">
        <w:t>either the ca</w:t>
      </w:r>
      <w:r>
        <w:t>taract or stand-alone settings).</w:t>
      </w:r>
      <w:bookmarkEnd w:id="33"/>
      <w:bookmarkEnd w:id="34"/>
    </w:p>
    <w:p w14:paraId="6E70AFE7" w14:textId="526147D8" w:rsidR="00D40571" w:rsidRDefault="000422F2" w:rsidP="00CC1A26">
      <w:r w:rsidRPr="00BC446B">
        <w:t xml:space="preserve">The financial implications to Government and non-Government health budgets from the proposed MBS listing of </w:t>
      </w:r>
      <w:r>
        <w:t>MB</w:t>
      </w:r>
      <w:r w:rsidRPr="00BC446B">
        <w:t xml:space="preserve">GS stent implantation </w:t>
      </w:r>
      <w:r>
        <w:t>are</w:t>
      </w:r>
      <w:r w:rsidRPr="00BC446B">
        <w:t xml:space="preserve"> summarised </w:t>
      </w:r>
      <w:r w:rsidRPr="000422F2">
        <w:t xml:space="preserve">in </w:t>
      </w:r>
      <w:r w:rsidR="00BE6F39">
        <w:t xml:space="preserve">Table </w:t>
      </w:r>
      <w:r w:rsidR="001D1929">
        <w:t>13</w:t>
      </w:r>
      <w:r w:rsidRPr="000422F2">
        <w:t>.</w:t>
      </w:r>
    </w:p>
    <w:p w14:paraId="7419237B" w14:textId="64C80CC3" w:rsidR="00667114" w:rsidRPr="00F36A11" w:rsidRDefault="00667114" w:rsidP="00667114">
      <w:pPr>
        <w:keepNext/>
        <w:spacing w:before="240"/>
        <w:ind w:left="1134" w:hanging="1134"/>
        <w:rPr>
          <w:rFonts w:ascii="Arial Narrow" w:hAnsi="Arial Narrow"/>
          <w:b/>
          <w:bCs/>
          <w:sz w:val="20"/>
        </w:rPr>
      </w:pPr>
      <w:bookmarkStart w:id="37" w:name="_Ref529525047"/>
      <w:r w:rsidRPr="00F36A11">
        <w:rPr>
          <w:rFonts w:ascii="Arial Narrow" w:hAnsi="Arial Narrow"/>
          <w:b/>
          <w:bCs/>
          <w:sz w:val="20"/>
        </w:rPr>
        <w:lastRenderedPageBreak/>
        <w:t xml:space="preserve">Table </w:t>
      </w:r>
      <w:bookmarkEnd w:id="37"/>
      <w:r w:rsidR="001D1929">
        <w:rPr>
          <w:rFonts w:ascii="Arial Narrow" w:hAnsi="Arial Narrow"/>
          <w:b/>
          <w:bCs/>
          <w:sz w:val="20"/>
        </w:rPr>
        <w:t>13</w:t>
      </w:r>
      <w:r w:rsidRPr="00F36A11">
        <w:rPr>
          <w:rFonts w:ascii="Arial Narrow" w:hAnsi="Arial Narrow"/>
          <w:b/>
          <w:bCs/>
          <w:sz w:val="20"/>
        </w:rPr>
        <w:tab/>
        <w:t>Net budget impact of MBGS listing on public and private healthcare</w:t>
      </w:r>
    </w:p>
    <w:tbl>
      <w:tblPr>
        <w:tblStyle w:val="TableGrid13"/>
        <w:tblW w:w="0" w:type="auto"/>
        <w:tblLook w:val="04A0" w:firstRow="1" w:lastRow="0" w:firstColumn="1" w:lastColumn="0" w:noHBand="0" w:noVBand="1"/>
        <w:tblDescription w:val="Estimated net financial impact to the MBS, PBS, private health funds and total healthcare overall cost."/>
      </w:tblPr>
      <w:tblGrid>
        <w:gridCol w:w="3242"/>
        <w:gridCol w:w="1129"/>
        <w:gridCol w:w="1129"/>
        <w:gridCol w:w="1172"/>
        <w:gridCol w:w="1172"/>
        <w:gridCol w:w="1172"/>
      </w:tblGrid>
      <w:tr w:rsidR="007B2156" w:rsidRPr="00F36A11" w14:paraId="12FFD902" w14:textId="77777777" w:rsidTr="0014441A">
        <w:trPr>
          <w:cnfStyle w:val="100000000000" w:firstRow="1" w:lastRow="0" w:firstColumn="0" w:lastColumn="0" w:oddVBand="0" w:evenVBand="0" w:oddHBand="0" w:evenHBand="0" w:firstRowFirstColumn="0" w:firstRowLastColumn="0" w:lastRowFirstColumn="0" w:lastRowLastColumn="0"/>
          <w:trHeight w:val="291"/>
          <w:tblHeader/>
        </w:trPr>
        <w:tc>
          <w:tcPr>
            <w:tcW w:w="0" w:type="auto"/>
            <w:hideMark/>
          </w:tcPr>
          <w:p w14:paraId="03731B8D" w14:textId="77777777" w:rsidR="007B2156" w:rsidRPr="00F36A11" w:rsidRDefault="007B2156" w:rsidP="001F439A">
            <w:pPr>
              <w:keepNext/>
              <w:spacing w:before="0" w:after="0"/>
              <w:rPr>
                <w:rFonts w:ascii="Arial Narrow" w:hAnsi="Arial Narrow"/>
                <w:b/>
                <w:sz w:val="20"/>
              </w:rPr>
            </w:pPr>
            <w:r w:rsidRPr="00F36A11">
              <w:rPr>
                <w:rFonts w:ascii="Arial Narrow" w:hAnsi="Arial Narrow"/>
                <w:b/>
                <w:sz w:val="20"/>
              </w:rPr>
              <w:t>Service/Budget</w:t>
            </w:r>
          </w:p>
        </w:tc>
        <w:tc>
          <w:tcPr>
            <w:tcW w:w="0" w:type="auto"/>
            <w:hideMark/>
          </w:tcPr>
          <w:p w14:paraId="71F4990E" w14:textId="77777777" w:rsidR="007B2156" w:rsidRPr="00F36A11" w:rsidRDefault="007B2156" w:rsidP="001F439A">
            <w:pPr>
              <w:keepNext/>
              <w:spacing w:before="0" w:after="0"/>
              <w:rPr>
                <w:rFonts w:ascii="Arial Narrow" w:hAnsi="Arial Narrow"/>
                <w:b/>
                <w:sz w:val="20"/>
              </w:rPr>
            </w:pPr>
            <w:r w:rsidRPr="00F36A11">
              <w:rPr>
                <w:rFonts w:ascii="Arial Narrow" w:hAnsi="Arial Narrow"/>
                <w:b/>
                <w:sz w:val="20"/>
              </w:rPr>
              <w:t>2019</w:t>
            </w:r>
          </w:p>
        </w:tc>
        <w:tc>
          <w:tcPr>
            <w:tcW w:w="0" w:type="auto"/>
            <w:hideMark/>
          </w:tcPr>
          <w:p w14:paraId="4FA0AE10" w14:textId="77777777" w:rsidR="007B2156" w:rsidRPr="00F36A11" w:rsidRDefault="007B2156" w:rsidP="001F439A">
            <w:pPr>
              <w:keepNext/>
              <w:spacing w:before="0" w:after="0"/>
              <w:rPr>
                <w:rFonts w:ascii="Arial Narrow" w:hAnsi="Arial Narrow"/>
                <w:b/>
                <w:sz w:val="20"/>
              </w:rPr>
            </w:pPr>
            <w:r w:rsidRPr="00F36A11">
              <w:rPr>
                <w:rFonts w:ascii="Arial Narrow" w:hAnsi="Arial Narrow"/>
                <w:b/>
                <w:sz w:val="20"/>
              </w:rPr>
              <w:t>2020</w:t>
            </w:r>
          </w:p>
        </w:tc>
        <w:tc>
          <w:tcPr>
            <w:tcW w:w="0" w:type="auto"/>
            <w:hideMark/>
          </w:tcPr>
          <w:p w14:paraId="62427EF1" w14:textId="77777777" w:rsidR="007B2156" w:rsidRPr="00F36A11" w:rsidRDefault="007B2156" w:rsidP="001F439A">
            <w:pPr>
              <w:keepNext/>
              <w:spacing w:before="0" w:after="0"/>
              <w:rPr>
                <w:rFonts w:ascii="Arial Narrow" w:hAnsi="Arial Narrow"/>
                <w:b/>
                <w:sz w:val="20"/>
              </w:rPr>
            </w:pPr>
            <w:r w:rsidRPr="00F36A11">
              <w:rPr>
                <w:rFonts w:ascii="Arial Narrow" w:hAnsi="Arial Narrow"/>
                <w:b/>
                <w:sz w:val="20"/>
              </w:rPr>
              <w:t>2021</w:t>
            </w:r>
          </w:p>
        </w:tc>
        <w:tc>
          <w:tcPr>
            <w:tcW w:w="0" w:type="auto"/>
            <w:hideMark/>
          </w:tcPr>
          <w:p w14:paraId="2C0CC94E" w14:textId="77777777" w:rsidR="007B2156" w:rsidRPr="00F36A11" w:rsidRDefault="007B2156" w:rsidP="001F439A">
            <w:pPr>
              <w:keepNext/>
              <w:spacing w:before="0" w:after="0"/>
              <w:rPr>
                <w:rFonts w:ascii="Arial Narrow" w:hAnsi="Arial Narrow"/>
                <w:b/>
                <w:sz w:val="20"/>
              </w:rPr>
            </w:pPr>
            <w:r w:rsidRPr="00F36A11">
              <w:rPr>
                <w:rFonts w:ascii="Arial Narrow" w:hAnsi="Arial Narrow"/>
                <w:b/>
                <w:sz w:val="20"/>
              </w:rPr>
              <w:t>2022</w:t>
            </w:r>
          </w:p>
        </w:tc>
        <w:tc>
          <w:tcPr>
            <w:tcW w:w="0" w:type="auto"/>
            <w:hideMark/>
          </w:tcPr>
          <w:p w14:paraId="01938271" w14:textId="77777777" w:rsidR="007B2156" w:rsidRPr="00F36A11" w:rsidRDefault="007B2156" w:rsidP="001F439A">
            <w:pPr>
              <w:keepNext/>
              <w:spacing w:before="0" w:after="0"/>
              <w:rPr>
                <w:rFonts w:ascii="Arial Narrow" w:hAnsi="Arial Narrow"/>
                <w:b/>
                <w:sz w:val="20"/>
              </w:rPr>
            </w:pPr>
            <w:r w:rsidRPr="00F36A11">
              <w:rPr>
                <w:rFonts w:ascii="Arial Narrow" w:hAnsi="Arial Narrow"/>
                <w:b/>
                <w:sz w:val="20"/>
              </w:rPr>
              <w:t>2023</w:t>
            </w:r>
          </w:p>
        </w:tc>
      </w:tr>
      <w:tr w:rsidR="007B2156" w:rsidRPr="00F36A11" w14:paraId="653E97C9" w14:textId="77777777" w:rsidTr="0014441A">
        <w:trPr>
          <w:cnfStyle w:val="100000000000" w:firstRow="1" w:lastRow="0" w:firstColumn="0" w:lastColumn="0" w:oddVBand="0" w:evenVBand="0" w:oddHBand="0" w:evenHBand="0" w:firstRowFirstColumn="0" w:firstRowLastColumn="0" w:lastRowFirstColumn="0" w:lastRowLastColumn="0"/>
          <w:trHeight w:val="291"/>
          <w:tblHeader/>
        </w:trPr>
        <w:tc>
          <w:tcPr>
            <w:tcW w:w="0" w:type="auto"/>
          </w:tcPr>
          <w:p w14:paraId="7C34DECA" w14:textId="77777777" w:rsidR="007B2156" w:rsidRPr="00F36A11" w:rsidRDefault="007B2156" w:rsidP="001F439A">
            <w:pPr>
              <w:keepNext/>
              <w:spacing w:before="0" w:after="0"/>
              <w:rPr>
                <w:rFonts w:ascii="Arial Narrow" w:hAnsi="Arial Narrow"/>
                <w:sz w:val="20"/>
              </w:rPr>
            </w:pPr>
            <w:r w:rsidRPr="00F36A11">
              <w:rPr>
                <w:rFonts w:ascii="Arial Narrow" w:hAnsi="Arial Narrow"/>
                <w:b/>
                <w:sz w:val="20"/>
              </w:rPr>
              <w:t>Service utilisation</w:t>
            </w:r>
          </w:p>
        </w:tc>
        <w:tc>
          <w:tcPr>
            <w:tcW w:w="0" w:type="auto"/>
          </w:tcPr>
          <w:p w14:paraId="1353F883" w14:textId="77777777" w:rsidR="007B2156" w:rsidRPr="00F36A11" w:rsidRDefault="007B2156" w:rsidP="001F439A">
            <w:pPr>
              <w:keepNext/>
              <w:spacing w:before="0" w:after="0"/>
              <w:rPr>
                <w:rFonts w:ascii="Arial Narrow" w:hAnsi="Arial Narrow"/>
                <w:sz w:val="20"/>
              </w:rPr>
            </w:pPr>
          </w:p>
        </w:tc>
        <w:tc>
          <w:tcPr>
            <w:tcW w:w="0" w:type="auto"/>
          </w:tcPr>
          <w:p w14:paraId="177184E5" w14:textId="77777777" w:rsidR="007B2156" w:rsidRPr="00F36A11" w:rsidRDefault="007B2156" w:rsidP="001F439A">
            <w:pPr>
              <w:keepNext/>
              <w:spacing w:before="0" w:after="0"/>
              <w:rPr>
                <w:rFonts w:ascii="Arial Narrow" w:hAnsi="Arial Narrow"/>
                <w:sz w:val="20"/>
              </w:rPr>
            </w:pPr>
          </w:p>
        </w:tc>
        <w:tc>
          <w:tcPr>
            <w:tcW w:w="0" w:type="auto"/>
          </w:tcPr>
          <w:p w14:paraId="79040DB8" w14:textId="77777777" w:rsidR="007B2156" w:rsidRPr="00F36A11" w:rsidRDefault="007B2156" w:rsidP="001F439A">
            <w:pPr>
              <w:keepNext/>
              <w:spacing w:before="0" w:after="0"/>
              <w:rPr>
                <w:rFonts w:ascii="Arial Narrow" w:hAnsi="Arial Narrow"/>
                <w:sz w:val="20"/>
              </w:rPr>
            </w:pPr>
          </w:p>
        </w:tc>
        <w:tc>
          <w:tcPr>
            <w:tcW w:w="0" w:type="auto"/>
          </w:tcPr>
          <w:p w14:paraId="2B8F4574" w14:textId="77777777" w:rsidR="007B2156" w:rsidRPr="00F36A11" w:rsidRDefault="007B2156" w:rsidP="001F439A">
            <w:pPr>
              <w:keepNext/>
              <w:spacing w:before="0" w:after="0"/>
              <w:rPr>
                <w:rFonts w:ascii="Arial Narrow" w:hAnsi="Arial Narrow"/>
                <w:sz w:val="20"/>
              </w:rPr>
            </w:pPr>
          </w:p>
        </w:tc>
        <w:tc>
          <w:tcPr>
            <w:tcW w:w="0" w:type="auto"/>
          </w:tcPr>
          <w:p w14:paraId="3268457D" w14:textId="77777777" w:rsidR="007B2156" w:rsidRPr="00F36A11" w:rsidRDefault="007B2156" w:rsidP="001F439A">
            <w:pPr>
              <w:keepNext/>
              <w:spacing w:before="0" w:after="0"/>
              <w:rPr>
                <w:rFonts w:ascii="Arial Narrow" w:hAnsi="Arial Narrow"/>
                <w:sz w:val="20"/>
              </w:rPr>
            </w:pPr>
          </w:p>
        </w:tc>
      </w:tr>
      <w:tr w:rsidR="007B2156" w:rsidRPr="00F36A11" w14:paraId="4690327F" w14:textId="77777777" w:rsidTr="0014441A">
        <w:trPr>
          <w:cnfStyle w:val="100000000000" w:firstRow="1" w:lastRow="0" w:firstColumn="0" w:lastColumn="0" w:oddVBand="0" w:evenVBand="0" w:oddHBand="0" w:evenHBand="0" w:firstRowFirstColumn="0" w:firstRowLastColumn="0" w:lastRowFirstColumn="0" w:lastRowLastColumn="0"/>
          <w:trHeight w:val="291"/>
          <w:tblHeader/>
        </w:trPr>
        <w:tc>
          <w:tcPr>
            <w:tcW w:w="0" w:type="auto"/>
          </w:tcPr>
          <w:p w14:paraId="2D51EFE2"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Total MBGS</w:t>
            </w:r>
          </w:p>
        </w:tc>
        <w:tc>
          <w:tcPr>
            <w:tcW w:w="0" w:type="auto"/>
          </w:tcPr>
          <w:p w14:paraId="3B6C803A"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11,944</w:t>
            </w:r>
          </w:p>
        </w:tc>
        <w:tc>
          <w:tcPr>
            <w:tcW w:w="0" w:type="auto"/>
          </w:tcPr>
          <w:p w14:paraId="4C8003B7"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12,224</w:t>
            </w:r>
          </w:p>
        </w:tc>
        <w:tc>
          <w:tcPr>
            <w:tcW w:w="0" w:type="auto"/>
          </w:tcPr>
          <w:p w14:paraId="661B6ABB"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12,500</w:t>
            </w:r>
          </w:p>
        </w:tc>
        <w:tc>
          <w:tcPr>
            <w:tcW w:w="0" w:type="auto"/>
          </w:tcPr>
          <w:p w14:paraId="44DA6D50"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12,780</w:t>
            </w:r>
          </w:p>
        </w:tc>
        <w:tc>
          <w:tcPr>
            <w:tcW w:w="0" w:type="auto"/>
          </w:tcPr>
          <w:p w14:paraId="0AA066B0"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13,072</w:t>
            </w:r>
          </w:p>
        </w:tc>
      </w:tr>
      <w:tr w:rsidR="007B2156" w:rsidRPr="00F36A11" w14:paraId="270E6350" w14:textId="77777777" w:rsidTr="0014441A">
        <w:trPr>
          <w:cnfStyle w:val="100000000000" w:firstRow="1" w:lastRow="0" w:firstColumn="0" w:lastColumn="0" w:oddVBand="0" w:evenVBand="0" w:oddHBand="0" w:evenHBand="0" w:firstRowFirstColumn="0" w:firstRowLastColumn="0" w:lastRowFirstColumn="0" w:lastRowLastColumn="0"/>
          <w:trHeight w:val="291"/>
          <w:tblHeader/>
        </w:trPr>
        <w:tc>
          <w:tcPr>
            <w:tcW w:w="0" w:type="auto"/>
          </w:tcPr>
          <w:p w14:paraId="24EE13B2"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ab/>
              <w:t>CS setting</w:t>
            </w:r>
          </w:p>
        </w:tc>
        <w:tc>
          <w:tcPr>
            <w:tcW w:w="0" w:type="auto"/>
          </w:tcPr>
          <w:p w14:paraId="5C765A2C"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10,750</w:t>
            </w:r>
          </w:p>
        </w:tc>
        <w:tc>
          <w:tcPr>
            <w:tcW w:w="0" w:type="auto"/>
          </w:tcPr>
          <w:p w14:paraId="436E20E7"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9,779</w:t>
            </w:r>
          </w:p>
        </w:tc>
        <w:tc>
          <w:tcPr>
            <w:tcW w:w="0" w:type="auto"/>
          </w:tcPr>
          <w:p w14:paraId="72F10C5D"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8,750</w:t>
            </w:r>
          </w:p>
        </w:tc>
        <w:tc>
          <w:tcPr>
            <w:tcW w:w="0" w:type="auto"/>
          </w:tcPr>
          <w:p w14:paraId="247452CF"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7,668</w:t>
            </w:r>
          </w:p>
        </w:tc>
        <w:tc>
          <w:tcPr>
            <w:tcW w:w="0" w:type="auto"/>
          </w:tcPr>
          <w:p w14:paraId="1D998EF7"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6,536</w:t>
            </w:r>
          </w:p>
        </w:tc>
      </w:tr>
      <w:tr w:rsidR="007B2156" w:rsidRPr="00F36A11" w14:paraId="0E802213" w14:textId="77777777" w:rsidTr="0014441A">
        <w:trPr>
          <w:cnfStyle w:val="100000000000" w:firstRow="1" w:lastRow="0" w:firstColumn="0" w:lastColumn="0" w:oddVBand="0" w:evenVBand="0" w:oddHBand="0" w:evenHBand="0" w:firstRowFirstColumn="0" w:firstRowLastColumn="0" w:lastRowFirstColumn="0" w:lastRowLastColumn="0"/>
          <w:trHeight w:val="291"/>
          <w:tblHeader/>
        </w:trPr>
        <w:tc>
          <w:tcPr>
            <w:tcW w:w="0" w:type="auto"/>
          </w:tcPr>
          <w:p w14:paraId="6E04B5C6"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ab/>
              <w:t>Standalone setting</w:t>
            </w:r>
          </w:p>
        </w:tc>
        <w:tc>
          <w:tcPr>
            <w:tcW w:w="0" w:type="auto"/>
          </w:tcPr>
          <w:p w14:paraId="45BE523C"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1,194</w:t>
            </w:r>
          </w:p>
        </w:tc>
        <w:tc>
          <w:tcPr>
            <w:tcW w:w="0" w:type="auto"/>
          </w:tcPr>
          <w:p w14:paraId="31659174"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2,445</w:t>
            </w:r>
          </w:p>
        </w:tc>
        <w:tc>
          <w:tcPr>
            <w:tcW w:w="0" w:type="auto"/>
          </w:tcPr>
          <w:p w14:paraId="2089D7D3"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3,750</w:t>
            </w:r>
          </w:p>
        </w:tc>
        <w:tc>
          <w:tcPr>
            <w:tcW w:w="0" w:type="auto"/>
          </w:tcPr>
          <w:p w14:paraId="63297478"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5,112</w:t>
            </w:r>
          </w:p>
        </w:tc>
        <w:tc>
          <w:tcPr>
            <w:tcW w:w="0" w:type="auto"/>
          </w:tcPr>
          <w:p w14:paraId="48660FFC"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6,536</w:t>
            </w:r>
          </w:p>
        </w:tc>
      </w:tr>
      <w:tr w:rsidR="007B2156" w:rsidRPr="00F36A11" w14:paraId="4E737C61" w14:textId="77777777" w:rsidTr="0014441A">
        <w:trPr>
          <w:cnfStyle w:val="100000000000" w:firstRow="1" w:lastRow="0" w:firstColumn="0" w:lastColumn="0" w:oddVBand="0" w:evenVBand="0" w:oddHBand="0" w:evenHBand="0" w:firstRowFirstColumn="0" w:firstRowLastColumn="0" w:lastRowFirstColumn="0" w:lastRowLastColumn="0"/>
          <w:trHeight w:val="238"/>
          <w:tblHeader/>
        </w:trPr>
        <w:tc>
          <w:tcPr>
            <w:tcW w:w="0" w:type="auto"/>
          </w:tcPr>
          <w:p w14:paraId="64A7D91D" w14:textId="77777777" w:rsidR="007B2156" w:rsidRPr="00F36A11" w:rsidRDefault="007B2156" w:rsidP="001F439A">
            <w:pPr>
              <w:keepNext/>
              <w:spacing w:before="0" w:after="0"/>
              <w:rPr>
                <w:rFonts w:ascii="Arial Narrow" w:hAnsi="Arial Narrow"/>
                <w:sz w:val="20"/>
              </w:rPr>
            </w:pPr>
            <w:r w:rsidRPr="00F36A11">
              <w:rPr>
                <w:rFonts w:ascii="Arial Narrow" w:hAnsi="Arial Narrow"/>
                <w:b/>
                <w:sz w:val="20"/>
              </w:rPr>
              <w:t>MBS perspective</w:t>
            </w:r>
          </w:p>
        </w:tc>
        <w:tc>
          <w:tcPr>
            <w:tcW w:w="0" w:type="auto"/>
          </w:tcPr>
          <w:p w14:paraId="16411FCE" w14:textId="77777777" w:rsidR="007B2156" w:rsidRPr="00F36A11" w:rsidRDefault="007B2156" w:rsidP="001F439A">
            <w:pPr>
              <w:keepNext/>
              <w:spacing w:before="0" w:after="0"/>
              <w:rPr>
                <w:rFonts w:ascii="Arial Narrow" w:hAnsi="Arial Narrow"/>
                <w:sz w:val="20"/>
              </w:rPr>
            </w:pPr>
          </w:p>
        </w:tc>
        <w:tc>
          <w:tcPr>
            <w:tcW w:w="0" w:type="auto"/>
          </w:tcPr>
          <w:p w14:paraId="5B6DD563" w14:textId="77777777" w:rsidR="007B2156" w:rsidRPr="00F36A11" w:rsidRDefault="007B2156" w:rsidP="001F439A">
            <w:pPr>
              <w:keepNext/>
              <w:spacing w:before="0" w:after="0"/>
              <w:rPr>
                <w:rFonts w:ascii="Arial Narrow" w:hAnsi="Arial Narrow"/>
                <w:sz w:val="20"/>
              </w:rPr>
            </w:pPr>
          </w:p>
        </w:tc>
        <w:tc>
          <w:tcPr>
            <w:tcW w:w="0" w:type="auto"/>
          </w:tcPr>
          <w:p w14:paraId="1FA00F9B" w14:textId="77777777" w:rsidR="007B2156" w:rsidRPr="00F36A11" w:rsidRDefault="007B2156" w:rsidP="001F439A">
            <w:pPr>
              <w:keepNext/>
              <w:spacing w:before="0" w:after="0"/>
              <w:rPr>
                <w:rFonts w:ascii="Arial Narrow" w:hAnsi="Arial Narrow"/>
                <w:sz w:val="20"/>
              </w:rPr>
            </w:pPr>
          </w:p>
        </w:tc>
        <w:tc>
          <w:tcPr>
            <w:tcW w:w="0" w:type="auto"/>
          </w:tcPr>
          <w:p w14:paraId="5A838293" w14:textId="77777777" w:rsidR="007B2156" w:rsidRPr="00F36A11" w:rsidRDefault="007B2156" w:rsidP="001F439A">
            <w:pPr>
              <w:keepNext/>
              <w:spacing w:before="0" w:after="0"/>
              <w:rPr>
                <w:rFonts w:ascii="Arial Narrow" w:hAnsi="Arial Narrow"/>
                <w:sz w:val="20"/>
              </w:rPr>
            </w:pPr>
          </w:p>
        </w:tc>
        <w:tc>
          <w:tcPr>
            <w:tcW w:w="0" w:type="auto"/>
          </w:tcPr>
          <w:p w14:paraId="0235365F" w14:textId="77777777" w:rsidR="007B2156" w:rsidRPr="00F36A11" w:rsidRDefault="007B2156" w:rsidP="001F439A">
            <w:pPr>
              <w:keepNext/>
              <w:spacing w:before="0" w:after="0"/>
              <w:rPr>
                <w:rFonts w:ascii="Arial Narrow" w:hAnsi="Arial Narrow"/>
                <w:sz w:val="20"/>
              </w:rPr>
            </w:pPr>
          </w:p>
        </w:tc>
      </w:tr>
      <w:tr w:rsidR="007B2156" w:rsidRPr="00F36A11" w14:paraId="60FA6582" w14:textId="77777777" w:rsidTr="0014441A">
        <w:trPr>
          <w:cnfStyle w:val="100000000000" w:firstRow="1" w:lastRow="0" w:firstColumn="0" w:lastColumn="0" w:oddVBand="0" w:evenVBand="0" w:oddHBand="0" w:evenHBand="0" w:firstRowFirstColumn="0" w:firstRowLastColumn="0" w:lastRowFirstColumn="0" w:lastRowLastColumn="0"/>
          <w:trHeight w:val="238"/>
          <w:tblHeader/>
        </w:trPr>
        <w:tc>
          <w:tcPr>
            <w:tcW w:w="0" w:type="auto"/>
            <w:hideMark/>
          </w:tcPr>
          <w:p w14:paraId="3F7772FA"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Cost of the service to the MBS</w:t>
            </w:r>
          </w:p>
        </w:tc>
        <w:tc>
          <w:tcPr>
            <w:tcW w:w="0" w:type="auto"/>
            <w:hideMark/>
          </w:tcPr>
          <w:p w14:paraId="6482B437"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$3,446,284</w:t>
            </w:r>
          </w:p>
        </w:tc>
        <w:tc>
          <w:tcPr>
            <w:tcW w:w="0" w:type="auto"/>
            <w:hideMark/>
          </w:tcPr>
          <w:p w14:paraId="05488231"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$3,847,713</w:t>
            </w:r>
          </w:p>
        </w:tc>
        <w:tc>
          <w:tcPr>
            <w:tcW w:w="0" w:type="auto"/>
            <w:hideMark/>
          </w:tcPr>
          <w:p w14:paraId="49B74DF8"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$4,262,237</w:t>
            </w:r>
          </w:p>
        </w:tc>
        <w:tc>
          <w:tcPr>
            <w:tcW w:w="0" w:type="auto"/>
            <w:hideMark/>
          </w:tcPr>
          <w:p w14:paraId="1836F777"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$4,692,967</w:t>
            </w:r>
          </w:p>
        </w:tc>
        <w:tc>
          <w:tcPr>
            <w:tcW w:w="0" w:type="auto"/>
            <w:hideMark/>
          </w:tcPr>
          <w:p w14:paraId="0FC057F1"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$5,143,002</w:t>
            </w:r>
          </w:p>
        </w:tc>
      </w:tr>
      <w:tr w:rsidR="007B2156" w:rsidRPr="00F36A11" w14:paraId="7043D599" w14:textId="77777777" w:rsidTr="0014441A">
        <w:trPr>
          <w:cnfStyle w:val="100000000000" w:firstRow="1" w:lastRow="0" w:firstColumn="0" w:lastColumn="0" w:oddVBand="0" w:evenVBand="0" w:oddHBand="0" w:evenHBand="0" w:firstRowFirstColumn="0" w:firstRowLastColumn="0" w:lastRowFirstColumn="0" w:lastRowLastColumn="0"/>
          <w:trHeight w:val="291"/>
          <w:tblHeader/>
        </w:trPr>
        <w:tc>
          <w:tcPr>
            <w:tcW w:w="0" w:type="auto"/>
            <w:hideMark/>
          </w:tcPr>
          <w:p w14:paraId="01150578" w14:textId="77777777" w:rsidR="007B2156" w:rsidRPr="0088376B" w:rsidRDefault="007B2156" w:rsidP="001F439A">
            <w:pPr>
              <w:keepNext/>
              <w:spacing w:before="0" w:after="0"/>
              <w:rPr>
                <w:rFonts w:ascii="Arial Narrow" w:hAnsi="Arial Narrow"/>
                <w:sz w:val="20"/>
                <w:vertAlign w:val="superscript"/>
              </w:rPr>
            </w:pPr>
            <w:r w:rsidRPr="00F36A11">
              <w:rPr>
                <w:rFonts w:ascii="Arial Narrow" w:hAnsi="Arial Narrow"/>
                <w:sz w:val="20"/>
              </w:rPr>
              <w:t>Substituted laser trabeculoplasty</w:t>
            </w:r>
            <w:r w:rsidR="0088376B">
              <w:rPr>
                <w:rFonts w:ascii="Arial Narrow" w:hAnsi="Arial Narrow"/>
                <w:sz w:val="20"/>
                <w:vertAlign w:val="superscript"/>
              </w:rPr>
              <w:t>a</w:t>
            </w:r>
          </w:p>
        </w:tc>
        <w:tc>
          <w:tcPr>
            <w:tcW w:w="0" w:type="auto"/>
            <w:hideMark/>
          </w:tcPr>
          <w:p w14:paraId="1E7F8CE2"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-$1,309,194</w:t>
            </w:r>
          </w:p>
        </w:tc>
        <w:tc>
          <w:tcPr>
            <w:tcW w:w="0" w:type="auto"/>
            <w:hideMark/>
          </w:tcPr>
          <w:p w14:paraId="1E4C8E1A"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-$1,191,008</w:t>
            </w:r>
          </w:p>
        </w:tc>
        <w:tc>
          <w:tcPr>
            <w:tcW w:w="0" w:type="auto"/>
            <w:hideMark/>
          </w:tcPr>
          <w:p w14:paraId="79F42BCF"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-$1,065,603</w:t>
            </w:r>
          </w:p>
        </w:tc>
        <w:tc>
          <w:tcPr>
            <w:tcW w:w="0" w:type="auto"/>
            <w:hideMark/>
          </w:tcPr>
          <w:p w14:paraId="27419AC6"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-$933,843</w:t>
            </w:r>
          </w:p>
        </w:tc>
        <w:tc>
          <w:tcPr>
            <w:tcW w:w="0" w:type="auto"/>
            <w:hideMark/>
          </w:tcPr>
          <w:p w14:paraId="1ADB75D3"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-$795,974</w:t>
            </w:r>
          </w:p>
        </w:tc>
      </w:tr>
      <w:tr w:rsidR="007B2156" w:rsidRPr="00F36A11" w14:paraId="58382F44" w14:textId="77777777" w:rsidTr="0014441A">
        <w:trPr>
          <w:cnfStyle w:val="100000000000" w:firstRow="1" w:lastRow="0" w:firstColumn="0" w:lastColumn="0" w:oddVBand="0" w:evenVBand="0" w:oddHBand="0" w:evenHBand="0" w:firstRowFirstColumn="0" w:firstRowLastColumn="0" w:lastRowFirstColumn="0" w:lastRowLastColumn="0"/>
          <w:trHeight w:val="291"/>
          <w:tblHeader/>
        </w:trPr>
        <w:tc>
          <w:tcPr>
            <w:tcW w:w="0" w:type="auto"/>
            <w:hideMark/>
          </w:tcPr>
          <w:p w14:paraId="75664664"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Total MBS</w:t>
            </w:r>
          </w:p>
        </w:tc>
        <w:tc>
          <w:tcPr>
            <w:tcW w:w="0" w:type="auto"/>
            <w:hideMark/>
          </w:tcPr>
          <w:p w14:paraId="6FA75540"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$2,137,090</w:t>
            </w:r>
          </w:p>
        </w:tc>
        <w:tc>
          <w:tcPr>
            <w:tcW w:w="0" w:type="auto"/>
            <w:hideMark/>
          </w:tcPr>
          <w:p w14:paraId="017E59E3"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$2,656,705</w:t>
            </w:r>
          </w:p>
        </w:tc>
        <w:tc>
          <w:tcPr>
            <w:tcW w:w="0" w:type="auto"/>
            <w:hideMark/>
          </w:tcPr>
          <w:p w14:paraId="674B00A6"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$3,196,634</w:t>
            </w:r>
          </w:p>
        </w:tc>
        <w:tc>
          <w:tcPr>
            <w:tcW w:w="0" w:type="auto"/>
            <w:hideMark/>
          </w:tcPr>
          <w:p w14:paraId="4364E06F"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$3,759,124</w:t>
            </w:r>
          </w:p>
        </w:tc>
        <w:tc>
          <w:tcPr>
            <w:tcW w:w="0" w:type="auto"/>
            <w:hideMark/>
          </w:tcPr>
          <w:p w14:paraId="1002D87F"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$4,347,029</w:t>
            </w:r>
          </w:p>
        </w:tc>
      </w:tr>
      <w:tr w:rsidR="007B2156" w:rsidRPr="00F36A11" w14:paraId="670D861D" w14:textId="77777777" w:rsidTr="0014441A">
        <w:trPr>
          <w:cnfStyle w:val="100000000000" w:firstRow="1" w:lastRow="0" w:firstColumn="0" w:lastColumn="0" w:oddVBand="0" w:evenVBand="0" w:oddHBand="0" w:evenHBand="0" w:firstRowFirstColumn="0" w:firstRowLastColumn="0" w:lastRowFirstColumn="0" w:lastRowLastColumn="0"/>
          <w:trHeight w:val="291"/>
          <w:tblHeader/>
        </w:trPr>
        <w:tc>
          <w:tcPr>
            <w:tcW w:w="0" w:type="auto"/>
          </w:tcPr>
          <w:p w14:paraId="7E7A2734" w14:textId="77777777" w:rsidR="007B2156" w:rsidRPr="00F36A11" w:rsidRDefault="007B2156" w:rsidP="001F439A">
            <w:pPr>
              <w:keepNext/>
              <w:spacing w:before="0" w:after="0"/>
              <w:rPr>
                <w:rFonts w:ascii="Arial Narrow" w:hAnsi="Arial Narrow"/>
                <w:sz w:val="20"/>
              </w:rPr>
            </w:pPr>
            <w:r w:rsidRPr="00F36A11">
              <w:rPr>
                <w:rFonts w:ascii="Arial Narrow" w:hAnsi="Arial Narrow"/>
                <w:b/>
                <w:sz w:val="20"/>
              </w:rPr>
              <w:t>PBS perspective</w:t>
            </w:r>
          </w:p>
        </w:tc>
        <w:tc>
          <w:tcPr>
            <w:tcW w:w="0" w:type="auto"/>
          </w:tcPr>
          <w:p w14:paraId="2F3EFE7C" w14:textId="77777777" w:rsidR="007B2156" w:rsidRPr="00F36A11" w:rsidRDefault="007B2156" w:rsidP="001F439A">
            <w:pPr>
              <w:keepNext/>
              <w:spacing w:before="0" w:after="0"/>
              <w:rPr>
                <w:rFonts w:ascii="Arial Narrow" w:hAnsi="Arial Narrow"/>
                <w:sz w:val="20"/>
              </w:rPr>
            </w:pPr>
          </w:p>
        </w:tc>
        <w:tc>
          <w:tcPr>
            <w:tcW w:w="0" w:type="auto"/>
          </w:tcPr>
          <w:p w14:paraId="1EB5B9FC" w14:textId="77777777" w:rsidR="007B2156" w:rsidRPr="00F36A11" w:rsidRDefault="007B2156" w:rsidP="001F439A">
            <w:pPr>
              <w:keepNext/>
              <w:spacing w:before="0" w:after="0"/>
              <w:rPr>
                <w:rFonts w:ascii="Arial Narrow" w:hAnsi="Arial Narrow"/>
                <w:sz w:val="20"/>
              </w:rPr>
            </w:pPr>
          </w:p>
        </w:tc>
        <w:tc>
          <w:tcPr>
            <w:tcW w:w="0" w:type="auto"/>
          </w:tcPr>
          <w:p w14:paraId="3CACB158" w14:textId="77777777" w:rsidR="007B2156" w:rsidRPr="00F36A11" w:rsidRDefault="007B2156" w:rsidP="001F439A">
            <w:pPr>
              <w:keepNext/>
              <w:spacing w:before="0" w:after="0"/>
              <w:rPr>
                <w:rFonts w:ascii="Arial Narrow" w:hAnsi="Arial Narrow"/>
                <w:sz w:val="20"/>
              </w:rPr>
            </w:pPr>
          </w:p>
        </w:tc>
        <w:tc>
          <w:tcPr>
            <w:tcW w:w="0" w:type="auto"/>
          </w:tcPr>
          <w:p w14:paraId="481C4AAB" w14:textId="77777777" w:rsidR="007B2156" w:rsidRPr="00F36A11" w:rsidRDefault="007B2156" w:rsidP="001F439A">
            <w:pPr>
              <w:keepNext/>
              <w:spacing w:before="0" w:after="0"/>
              <w:rPr>
                <w:rFonts w:ascii="Arial Narrow" w:hAnsi="Arial Narrow"/>
                <w:sz w:val="20"/>
              </w:rPr>
            </w:pPr>
          </w:p>
        </w:tc>
        <w:tc>
          <w:tcPr>
            <w:tcW w:w="0" w:type="auto"/>
          </w:tcPr>
          <w:p w14:paraId="006969D3" w14:textId="77777777" w:rsidR="007B2156" w:rsidRPr="00F36A11" w:rsidRDefault="007B2156" w:rsidP="001F439A">
            <w:pPr>
              <w:keepNext/>
              <w:spacing w:before="0" w:after="0"/>
              <w:rPr>
                <w:rFonts w:ascii="Arial Narrow" w:hAnsi="Arial Narrow"/>
                <w:sz w:val="20"/>
              </w:rPr>
            </w:pPr>
          </w:p>
        </w:tc>
      </w:tr>
      <w:tr w:rsidR="007B2156" w:rsidRPr="00F36A11" w14:paraId="403F68C5" w14:textId="77777777" w:rsidTr="0014441A">
        <w:trPr>
          <w:cnfStyle w:val="100000000000" w:firstRow="1" w:lastRow="0" w:firstColumn="0" w:lastColumn="0" w:oddVBand="0" w:evenVBand="0" w:oddHBand="0" w:evenHBand="0" w:firstRowFirstColumn="0" w:firstRowLastColumn="0" w:lastRowFirstColumn="0" w:lastRowLastColumn="0"/>
          <w:trHeight w:val="291"/>
          <w:tblHeader/>
        </w:trPr>
        <w:tc>
          <w:tcPr>
            <w:tcW w:w="0" w:type="auto"/>
            <w:hideMark/>
          </w:tcPr>
          <w:p w14:paraId="0CDEE4CD" w14:textId="77777777" w:rsidR="007B2156" w:rsidRPr="0088376B" w:rsidRDefault="007B2156" w:rsidP="001F439A">
            <w:pPr>
              <w:keepNext/>
              <w:spacing w:before="0" w:after="0"/>
              <w:rPr>
                <w:rFonts w:ascii="Arial Narrow" w:hAnsi="Arial Narrow"/>
                <w:sz w:val="20"/>
                <w:vertAlign w:val="superscript"/>
              </w:rPr>
            </w:pPr>
            <w:r w:rsidRPr="00F36A11">
              <w:rPr>
                <w:rFonts w:ascii="Arial Narrow" w:hAnsi="Arial Narrow"/>
                <w:sz w:val="20"/>
              </w:rPr>
              <w:t>Substituted hypotensive medication</w:t>
            </w:r>
            <w:r w:rsidR="0088376B">
              <w:rPr>
                <w:rFonts w:ascii="Arial Narrow" w:hAnsi="Arial Narrow"/>
                <w:sz w:val="20"/>
                <w:vertAlign w:val="superscript"/>
              </w:rPr>
              <w:t>a</w:t>
            </w:r>
          </w:p>
        </w:tc>
        <w:tc>
          <w:tcPr>
            <w:tcW w:w="0" w:type="auto"/>
            <w:hideMark/>
          </w:tcPr>
          <w:p w14:paraId="5DFC3B4D"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-$498,356</w:t>
            </w:r>
          </w:p>
        </w:tc>
        <w:tc>
          <w:tcPr>
            <w:tcW w:w="0" w:type="auto"/>
            <w:hideMark/>
          </w:tcPr>
          <w:p w14:paraId="307BE6F8"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-$1,196,223</w:t>
            </w:r>
          </w:p>
        </w:tc>
        <w:tc>
          <w:tcPr>
            <w:tcW w:w="0" w:type="auto"/>
            <w:hideMark/>
          </w:tcPr>
          <w:p w14:paraId="1C588473"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-$1,789,516</w:t>
            </w:r>
          </w:p>
        </w:tc>
        <w:tc>
          <w:tcPr>
            <w:tcW w:w="0" w:type="auto"/>
            <w:hideMark/>
          </w:tcPr>
          <w:p w14:paraId="0ADDE6C7"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-$2,286,465</w:t>
            </w:r>
          </w:p>
        </w:tc>
        <w:tc>
          <w:tcPr>
            <w:tcW w:w="0" w:type="auto"/>
            <w:hideMark/>
          </w:tcPr>
          <w:p w14:paraId="7DEB2034"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-$2,692,994</w:t>
            </w:r>
          </w:p>
        </w:tc>
      </w:tr>
      <w:tr w:rsidR="007B2156" w:rsidRPr="00F36A11" w14:paraId="7E4D4DA0" w14:textId="77777777" w:rsidTr="0014441A">
        <w:trPr>
          <w:cnfStyle w:val="100000000000" w:firstRow="1" w:lastRow="0" w:firstColumn="0" w:lastColumn="0" w:oddVBand="0" w:evenVBand="0" w:oddHBand="0" w:evenHBand="0" w:firstRowFirstColumn="0" w:firstRowLastColumn="0" w:lastRowFirstColumn="0" w:lastRowLastColumn="0"/>
          <w:trHeight w:val="291"/>
          <w:tblHeader/>
        </w:trPr>
        <w:tc>
          <w:tcPr>
            <w:tcW w:w="0" w:type="auto"/>
          </w:tcPr>
          <w:p w14:paraId="5BA32D66" w14:textId="77777777" w:rsidR="007B2156" w:rsidRPr="00F36A11" w:rsidRDefault="007B2156" w:rsidP="001F439A">
            <w:pPr>
              <w:keepNext/>
              <w:spacing w:before="0" w:after="0"/>
              <w:rPr>
                <w:rFonts w:ascii="Arial Narrow" w:hAnsi="Arial Narrow"/>
                <w:sz w:val="20"/>
              </w:rPr>
            </w:pPr>
            <w:r w:rsidRPr="00F36A11">
              <w:rPr>
                <w:rFonts w:ascii="Arial Narrow" w:hAnsi="Arial Narrow"/>
                <w:b/>
                <w:sz w:val="20"/>
              </w:rPr>
              <w:t>Commonwealth perspective</w:t>
            </w:r>
          </w:p>
        </w:tc>
        <w:tc>
          <w:tcPr>
            <w:tcW w:w="0" w:type="auto"/>
          </w:tcPr>
          <w:p w14:paraId="1E11881C" w14:textId="77777777" w:rsidR="007B2156" w:rsidRPr="00F36A11" w:rsidRDefault="007B2156" w:rsidP="001F439A">
            <w:pPr>
              <w:keepNext/>
              <w:spacing w:before="0" w:after="0"/>
              <w:rPr>
                <w:rFonts w:ascii="Arial Narrow" w:hAnsi="Arial Narrow"/>
                <w:sz w:val="20"/>
              </w:rPr>
            </w:pPr>
          </w:p>
        </w:tc>
        <w:tc>
          <w:tcPr>
            <w:tcW w:w="0" w:type="auto"/>
          </w:tcPr>
          <w:p w14:paraId="219F5CC9" w14:textId="77777777" w:rsidR="007B2156" w:rsidRPr="00F36A11" w:rsidRDefault="007B2156" w:rsidP="001F439A">
            <w:pPr>
              <w:keepNext/>
              <w:spacing w:before="0" w:after="0"/>
              <w:rPr>
                <w:rFonts w:ascii="Arial Narrow" w:hAnsi="Arial Narrow"/>
                <w:sz w:val="20"/>
              </w:rPr>
            </w:pPr>
          </w:p>
        </w:tc>
        <w:tc>
          <w:tcPr>
            <w:tcW w:w="0" w:type="auto"/>
          </w:tcPr>
          <w:p w14:paraId="79B750D9" w14:textId="77777777" w:rsidR="007B2156" w:rsidRPr="00F36A11" w:rsidRDefault="007B2156" w:rsidP="001F439A">
            <w:pPr>
              <w:keepNext/>
              <w:spacing w:before="0" w:after="0"/>
              <w:rPr>
                <w:rFonts w:ascii="Arial Narrow" w:hAnsi="Arial Narrow"/>
                <w:sz w:val="20"/>
              </w:rPr>
            </w:pPr>
          </w:p>
        </w:tc>
        <w:tc>
          <w:tcPr>
            <w:tcW w:w="0" w:type="auto"/>
          </w:tcPr>
          <w:p w14:paraId="08A5A021" w14:textId="77777777" w:rsidR="007B2156" w:rsidRPr="00F36A11" w:rsidRDefault="007B2156" w:rsidP="001F439A">
            <w:pPr>
              <w:keepNext/>
              <w:spacing w:before="0" w:after="0"/>
              <w:rPr>
                <w:rFonts w:ascii="Arial Narrow" w:hAnsi="Arial Narrow"/>
                <w:sz w:val="20"/>
              </w:rPr>
            </w:pPr>
          </w:p>
        </w:tc>
        <w:tc>
          <w:tcPr>
            <w:tcW w:w="0" w:type="auto"/>
          </w:tcPr>
          <w:p w14:paraId="54FCB8E0" w14:textId="77777777" w:rsidR="007B2156" w:rsidRPr="00F36A11" w:rsidRDefault="007B2156" w:rsidP="001F439A">
            <w:pPr>
              <w:keepNext/>
              <w:spacing w:before="0" w:after="0"/>
              <w:rPr>
                <w:rFonts w:ascii="Arial Narrow" w:hAnsi="Arial Narrow"/>
                <w:sz w:val="20"/>
              </w:rPr>
            </w:pPr>
          </w:p>
        </w:tc>
      </w:tr>
      <w:tr w:rsidR="007B2156" w:rsidRPr="00F36A11" w14:paraId="090EA8A8" w14:textId="77777777" w:rsidTr="0014441A">
        <w:trPr>
          <w:cnfStyle w:val="100000000000" w:firstRow="1" w:lastRow="0" w:firstColumn="0" w:lastColumn="0" w:oddVBand="0" w:evenVBand="0" w:oddHBand="0" w:evenHBand="0" w:firstRowFirstColumn="0" w:firstRowLastColumn="0" w:lastRowFirstColumn="0" w:lastRowLastColumn="0"/>
          <w:trHeight w:val="291"/>
          <w:tblHeader/>
        </w:trPr>
        <w:tc>
          <w:tcPr>
            <w:tcW w:w="0" w:type="auto"/>
            <w:hideMark/>
          </w:tcPr>
          <w:p w14:paraId="76A7F4AC"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Total cost to Commonwealth</w:t>
            </w:r>
          </w:p>
        </w:tc>
        <w:tc>
          <w:tcPr>
            <w:tcW w:w="0" w:type="auto"/>
            <w:hideMark/>
          </w:tcPr>
          <w:p w14:paraId="24626CF0"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$1,638,734</w:t>
            </w:r>
          </w:p>
        </w:tc>
        <w:tc>
          <w:tcPr>
            <w:tcW w:w="0" w:type="auto"/>
            <w:hideMark/>
          </w:tcPr>
          <w:p w14:paraId="6EF9EFCD"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$1,460,483</w:t>
            </w:r>
          </w:p>
        </w:tc>
        <w:tc>
          <w:tcPr>
            <w:tcW w:w="0" w:type="auto"/>
            <w:hideMark/>
          </w:tcPr>
          <w:p w14:paraId="057189A8"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$1,407,117</w:t>
            </w:r>
          </w:p>
        </w:tc>
        <w:tc>
          <w:tcPr>
            <w:tcW w:w="0" w:type="auto"/>
            <w:hideMark/>
          </w:tcPr>
          <w:p w14:paraId="6FBAA102"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$1,472,659</w:t>
            </w:r>
          </w:p>
        </w:tc>
        <w:tc>
          <w:tcPr>
            <w:tcW w:w="0" w:type="auto"/>
            <w:hideMark/>
          </w:tcPr>
          <w:p w14:paraId="65BFC5A8"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$1,654,034</w:t>
            </w:r>
          </w:p>
        </w:tc>
      </w:tr>
      <w:tr w:rsidR="007B2156" w:rsidRPr="00F36A11" w14:paraId="5B7E2C5D" w14:textId="77777777" w:rsidTr="0014441A">
        <w:trPr>
          <w:cnfStyle w:val="100000000000" w:firstRow="1" w:lastRow="0" w:firstColumn="0" w:lastColumn="0" w:oddVBand="0" w:evenVBand="0" w:oddHBand="0" w:evenHBand="0" w:firstRowFirstColumn="0" w:firstRowLastColumn="0" w:lastRowFirstColumn="0" w:lastRowLastColumn="0"/>
          <w:trHeight w:val="305"/>
          <w:tblHeader/>
        </w:trPr>
        <w:tc>
          <w:tcPr>
            <w:tcW w:w="0" w:type="auto"/>
          </w:tcPr>
          <w:p w14:paraId="1268FAB8" w14:textId="77777777" w:rsidR="007B2156" w:rsidRPr="00F36A11" w:rsidRDefault="007B2156" w:rsidP="001F439A">
            <w:pPr>
              <w:keepNext/>
              <w:spacing w:before="0" w:after="0"/>
              <w:rPr>
                <w:rFonts w:ascii="Arial Narrow" w:hAnsi="Arial Narrow"/>
                <w:sz w:val="20"/>
              </w:rPr>
            </w:pPr>
            <w:r w:rsidRPr="00F36A11">
              <w:rPr>
                <w:rFonts w:ascii="Arial Narrow" w:hAnsi="Arial Narrow"/>
                <w:b/>
                <w:sz w:val="20"/>
              </w:rPr>
              <w:t>Private health funds perspective</w:t>
            </w:r>
          </w:p>
        </w:tc>
        <w:tc>
          <w:tcPr>
            <w:tcW w:w="0" w:type="auto"/>
          </w:tcPr>
          <w:p w14:paraId="60671578" w14:textId="77777777" w:rsidR="007B2156" w:rsidRPr="00F36A11" w:rsidRDefault="007B2156" w:rsidP="001F439A">
            <w:pPr>
              <w:keepNext/>
              <w:spacing w:before="0" w:after="0"/>
              <w:rPr>
                <w:rFonts w:ascii="Arial Narrow" w:hAnsi="Arial Narrow"/>
                <w:sz w:val="20"/>
              </w:rPr>
            </w:pPr>
          </w:p>
        </w:tc>
        <w:tc>
          <w:tcPr>
            <w:tcW w:w="0" w:type="auto"/>
          </w:tcPr>
          <w:p w14:paraId="6DAF985F" w14:textId="77777777" w:rsidR="007B2156" w:rsidRPr="00F36A11" w:rsidRDefault="007B2156" w:rsidP="001F439A">
            <w:pPr>
              <w:keepNext/>
              <w:spacing w:before="0" w:after="0"/>
              <w:rPr>
                <w:rFonts w:ascii="Arial Narrow" w:hAnsi="Arial Narrow"/>
                <w:sz w:val="20"/>
              </w:rPr>
            </w:pPr>
          </w:p>
        </w:tc>
        <w:tc>
          <w:tcPr>
            <w:tcW w:w="0" w:type="auto"/>
          </w:tcPr>
          <w:p w14:paraId="0475776A" w14:textId="77777777" w:rsidR="007B2156" w:rsidRPr="00F36A11" w:rsidRDefault="007B2156" w:rsidP="001F439A">
            <w:pPr>
              <w:keepNext/>
              <w:spacing w:before="0" w:after="0"/>
              <w:rPr>
                <w:rFonts w:ascii="Arial Narrow" w:hAnsi="Arial Narrow"/>
                <w:sz w:val="20"/>
              </w:rPr>
            </w:pPr>
          </w:p>
        </w:tc>
        <w:tc>
          <w:tcPr>
            <w:tcW w:w="0" w:type="auto"/>
          </w:tcPr>
          <w:p w14:paraId="2972DD93" w14:textId="77777777" w:rsidR="007B2156" w:rsidRPr="00F36A11" w:rsidRDefault="007B2156" w:rsidP="001F439A">
            <w:pPr>
              <w:keepNext/>
              <w:spacing w:before="0" w:after="0"/>
              <w:rPr>
                <w:rFonts w:ascii="Arial Narrow" w:hAnsi="Arial Narrow"/>
                <w:sz w:val="20"/>
              </w:rPr>
            </w:pPr>
          </w:p>
        </w:tc>
        <w:tc>
          <w:tcPr>
            <w:tcW w:w="0" w:type="auto"/>
          </w:tcPr>
          <w:p w14:paraId="36AB0F7E" w14:textId="77777777" w:rsidR="007B2156" w:rsidRPr="00F36A11" w:rsidRDefault="007B2156" w:rsidP="001F439A">
            <w:pPr>
              <w:keepNext/>
              <w:spacing w:before="0" w:after="0"/>
              <w:rPr>
                <w:rFonts w:ascii="Arial Narrow" w:hAnsi="Arial Narrow"/>
                <w:sz w:val="20"/>
              </w:rPr>
            </w:pPr>
          </w:p>
        </w:tc>
      </w:tr>
      <w:tr w:rsidR="007B2156" w:rsidRPr="00F36A11" w14:paraId="73562F97" w14:textId="77777777" w:rsidTr="0014441A">
        <w:trPr>
          <w:cnfStyle w:val="100000000000" w:firstRow="1" w:lastRow="0" w:firstColumn="0" w:lastColumn="0" w:oddVBand="0" w:evenVBand="0" w:oddHBand="0" w:evenHBand="0" w:firstRowFirstColumn="0" w:firstRowLastColumn="0" w:lastRowFirstColumn="0" w:lastRowLastColumn="0"/>
          <w:trHeight w:val="305"/>
          <w:tblHeader/>
        </w:trPr>
        <w:tc>
          <w:tcPr>
            <w:tcW w:w="0" w:type="auto"/>
            <w:hideMark/>
          </w:tcPr>
          <w:p w14:paraId="1278D297"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MBGS device</w:t>
            </w:r>
          </w:p>
        </w:tc>
        <w:tc>
          <w:tcPr>
            <w:tcW w:w="0" w:type="auto"/>
            <w:hideMark/>
          </w:tcPr>
          <w:p w14:paraId="4033A66C"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$17,199,770</w:t>
            </w:r>
          </w:p>
        </w:tc>
        <w:tc>
          <w:tcPr>
            <w:tcW w:w="0" w:type="auto"/>
            <w:hideMark/>
          </w:tcPr>
          <w:p w14:paraId="18846696"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$17,602,957</w:t>
            </w:r>
          </w:p>
        </w:tc>
        <w:tc>
          <w:tcPr>
            <w:tcW w:w="0" w:type="auto"/>
            <w:hideMark/>
          </w:tcPr>
          <w:p w14:paraId="2A604ACE"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$17,999,415</w:t>
            </w:r>
          </w:p>
        </w:tc>
        <w:tc>
          <w:tcPr>
            <w:tcW w:w="0" w:type="auto"/>
            <w:hideMark/>
          </w:tcPr>
          <w:p w14:paraId="4B229129"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$18,402,789</w:t>
            </w:r>
          </w:p>
        </w:tc>
        <w:tc>
          <w:tcPr>
            <w:tcW w:w="0" w:type="auto"/>
            <w:hideMark/>
          </w:tcPr>
          <w:p w14:paraId="0827A0F3"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$18,823,035</w:t>
            </w:r>
          </w:p>
        </w:tc>
      </w:tr>
      <w:tr w:rsidR="007B2156" w:rsidRPr="00F36A11" w14:paraId="02ABCF93" w14:textId="77777777" w:rsidTr="0014441A">
        <w:trPr>
          <w:cnfStyle w:val="100000000000" w:firstRow="1" w:lastRow="0" w:firstColumn="0" w:lastColumn="0" w:oddVBand="0" w:evenVBand="0" w:oddHBand="0" w:evenHBand="0" w:firstRowFirstColumn="0" w:firstRowLastColumn="0" w:lastRowFirstColumn="0" w:lastRowLastColumn="0"/>
          <w:trHeight w:val="305"/>
          <w:tblHeader/>
        </w:trPr>
        <w:tc>
          <w:tcPr>
            <w:tcW w:w="0" w:type="auto"/>
            <w:hideMark/>
          </w:tcPr>
          <w:p w14:paraId="4C6C9F3A"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Stand-alone hospitalisations</w:t>
            </w:r>
          </w:p>
        </w:tc>
        <w:tc>
          <w:tcPr>
            <w:tcW w:w="0" w:type="auto"/>
            <w:hideMark/>
          </w:tcPr>
          <w:p w14:paraId="7E255925"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$1,326,711</w:t>
            </w:r>
          </w:p>
        </w:tc>
        <w:tc>
          <w:tcPr>
            <w:tcW w:w="0" w:type="auto"/>
            <w:hideMark/>
          </w:tcPr>
          <w:p w14:paraId="79D9E1EA"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$2,715,623</w:t>
            </w:r>
          </w:p>
        </w:tc>
        <w:tc>
          <w:tcPr>
            <w:tcW w:w="0" w:type="auto"/>
            <w:hideMark/>
          </w:tcPr>
          <w:p w14:paraId="36BCC96A"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$4,165,177</w:t>
            </w:r>
          </w:p>
        </w:tc>
        <w:tc>
          <w:tcPr>
            <w:tcW w:w="0" w:type="auto"/>
            <w:hideMark/>
          </w:tcPr>
          <w:p w14:paraId="0387C7A5"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$5,678,027</w:t>
            </w:r>
          </w:p>
        </w:tc>
        <w:tc>
          <w:tcPr>
            <w:tcW w:w="0" w:type="auto"/>
            <w:hideMark/>
          </w:tcPr>
          <w:p w14:paraId="0B02BA25"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$7,259,613</w:t>
            </w:r>
          </w:p>
        </w:tc>
      </w:tr>
      <w:tr w:rsidR="007B2156" w:rsidRPr="00F36A11" w14:paraId="5F15438D" w14:textId="77777777" w:rsidTr="0014441A">
        <w:trPr>
          <w:cnfStyle w:val="100000000000" w:firstRow="1" w:lastRow="0" w:firstColumn="0" w:lastColumn="0" w:oddVBand="0" w:evenVBand="0" w:oddHBand="0" w:evenHBand="0" w:firstRowFirstColumn="0" w:firstRowLastColumn="0" w:lastRowFirstColumn="0" w:lastRowLastColumn="0"/>
          <w:trHeight w:val="305"/>
          <w:tblHeader/>
        </w:trPr>
        <w:tc>
          <w:tcPr>
            <w:tcW w:w="0" w:type="auto"/>
            <w:hideMark/>
          </w:tcPr>
          <w:p w14:paraId="1446DB60"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Prevented trabeculectomy (CS setting)</w:t>
            </w:r>
          </w:p>
        </w:tc>
        <w:tc>
          <w:tcPr>
            <w:tcW w:w="0" w:type="auto"/>
            <w:hideMark/>
          </w:tcPr>
          <w:p w14:paraId="7D5AA25A"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-$2,518,413</w:t>
            </w:r>
          </w:p>
        </w:tc>
        <w:tc>
          <w:tcPr>
            <w:tcW w:w="0" w:type="auto"/>
            <w:hideMark/>
          </w:tcPr>
          <w:p w14:paraId="19135B8C"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-$2,291,065</w:t>
            </w:r>
          </w:p>
        </w:tc>
        <w:tc>
          <w:tcPr>
            <w:tcW w:w="0" w:type="auto"/>
            <w:hideMark/>
          </w:tcPr>
          <w:p w14:paraId="16ABBF49"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-$2,049,832</w:t>
            </w:r>
          </w:p>
        </w:tc>
        <w:tc>
          <w:tcPr>
            <w:tcW w:w="0" w:type="auto"/>
            <w:hideMark/>
          </w:tcPr>
          <w:p w14:paraId="55D61A8D"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-$1,796,374</w:t>
            </w:r>
          </w:p>
        </w:tc>
        <w:tc>
          <w:tcPr>
            <w:tcW w:w="0" w:type="auto"/>
            <w:hideMark/>
          </w:tcPr>
          <w:p w14:paraId="11C5748F"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-$1,531,163</w:t>
            </w:r>
          </w:p>
        </w:tc>
      </w:tr>
      <w:tr w:rsidR="007B2156" w:rsidRPr="00F36A11" w14:paraId="0E139F46" w14:textId="77777777" w:rsidTr="0014441A">
        <w:trPr>
          <w:cnfStyle w:val="100000000000" w:firstRow="1" w:lastRow="0" w:firstColumn="0" w:lastColumn="0" w:oddVBand="0" w:evenVBand="0" w:oddHBand="0" w:evenHBand="0" w:firstRowFirstColumn="0" w:firstRowLastColumn="0" w:lastRowFirstColumn="0" w:lastRowLastColumn="0"/>
          <w:trHeight w:val="305"/>
          <w:tblHeader/>
        </w:trPr>
        <w:tc>
          <w:tcPr>
            <w:tcW w:w="0" w:type="auto"/>
            <w:hideMark/>
          </w:tcPr>
          <w:p w14:paraId="4DCD5B81"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Prevented trabeculectomy (standalone setting)</w:t>
            </w:r>
          </w:p>
        </w:tc>
        <w:tc>
          <w:tcPr>
            <w:tcW w:w="0" w:type="auto"/>
            <w:hideMark/>
          </w:tcPr>
          <w:p w14:paraId="5A3C3130"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-$4,264,755</w:t>
            </w:r>
          </w:p>
        </w:tc>
        <w:tc>
          <w:tcPr>
            <w:tcW w:w="0" w:type="auto"/>
            <w:hideMark/>
          </w:tcPr>
          <w:p w14:paraId="5237E9A9"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-$8,729,453</w:t>
            </w:r>
          </w:p>
        </w:tc>
        <w:tc>
          <w:tcPr>
            <w:tcW w:w="0" w:type="auto"/>
            <w:hideMark/>
          </w:tcPr>
          <w:p w14:paraId="460BCF76"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-$13,389,090</w:t>
            </w:r>
          </w:p>
        </w:tc>
        <w:tc>
          <w:tcPr>
            <w:tcW w:w="0" w:type="auto"/>
            <w:hideMark/>
          </w:tcPr>
          <w:p w14:paraId="4E22BE41"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-$18,252,193</w:t>
            </w:r>
          </w:p>
        </w:tc>
        <w:tc>
          <w:tcPr>
            <w:tcW w:w="0" w:type="auto"/>
            <w:hideMark/>
          </w:tcPr>
          <w:p w14:paraId="25E99C08"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-$23,336,250</w:t>
            </w:r>
          </w:p>
        </w:tc>
      </w:tr>
      <w:tr w:rsidR="007B2156" w:rsidRPr="00F36A11" w14:paraId="5D3F9C38" w14:textId="77777777" w:rsidTr="0014441A">
        <w:trPr>
          <w:cnfStyle w:val="100000000000" w:firstRow="1" w:lastRow="0" w:firstColumn="0" w:lastColumn="0" w:oddVBand="0" w:evenVBand="0" w:oddHBand="0" w:evenHBand="0" w:firstRowFirstColumn="0" w:firstRowLastColumn="0" w:lastRowFirstColumn="0" w:lastRowLastColumn="0"/>
          <w:trHeight w:val="305"/>
          <w:tblHeader/>
        </w:trPr>
        <w:tc>
          <w:tcPr>
            <w:tcW w:w="0" w:type="auto"/>
            <w:hideMark/>
          </w:tcPr>
          <w:p w14:paraId="21D1F508"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Total net cost to private health</w:t>
            </w:r>
          </w:p>
        </w:tc>
        <w:tc>
          <w:tcPr>
            <w:tcW w:w="0" w:type="auto"/>
            <w:hideMark/>
          </w:tcPr>
          <w:p w14:paraId="0EB1FB04"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$11,743,314</w:t>
            </w:r>
          </w:p>
        </w:tc>
        <w:tc>
          <w:tcPr>
            <w:tcW w:w="0" w:type="auto"/>
            <w:hideMark/>
          </w:tcPr>
          <w:p w14:paraId="5CF78A63"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$9,298,062</w:t>
            </w:r>
          </w:p>
        </w:tc>
        <w:tc>
          <w:tcPr>
            <w:tcW w:w="0" w:type="auto"/>
            <w:hideMark/>
          </w:tcPr>
          <w:p w14:paraId="1F84F22D"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$6,725,671</w:t>
            </w:r>
          </w:p>
        </w:tc>
        <w:tc>
          <w:tcPr>
            <w:tcW w:w="0" w:type="auto"/>
            <w:hideMark/>
          </w:tcPr>
          <w:p w14:paraId="4A4B65A4"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$4,032,250</w:t>
            </w:r>
          </w:p>
        </w:tc>
        <w:tc>
          <w:tcPr>
            <w:tcW w:w="0" w:type="auto"/>
            <w:hideMark/>
          </w:tcPr>
          <w:p w14:paraId="49870E62"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$1,215,235</w:t>
            </w:r>
          </w:p>
        </w:tc>
      </w:tr>
      <w:tr w:rsidR="007B2156" w:rsidRPr="00F36A11" w14:paraId="657EA397" w14:textId="77777777" w:rsidTr="0014441A">
        <w:trPr>
          <w:cnfStyle w:val="100000000000" w:firstRow="1" w:lastRow="0" w:firstColumn="0" w:lastColumn="0" w:oddVBand="0" w:evenVBand="0" w:oddHBand="0" w:evenHBand="0" w:firstRowFirstColumn="0" w:firstRowLastColumn="0" w:lastRowFirstColumn="0" w:lastRowLastColumn="0"/>
          <w:trHeight w:val="305"/>
          <w:tblHeader/>
        </w:trPr>
        <w:tc>
          <w:tcPr>
            <w:tcW w:w="0" w:type="auto"/>
          </w:tcPr>
          <w:p w14:paraId="6C58E948" w14:textId="77777777" w:rsidR="007B2156" w:rsidRPr="00F36A11" w:rsidRDefault="007B2156" w:rsidP="001F439A">
            <w:pPr>
              <w:keepNext/>
              <w:spacing w:before="0" w:after="0"/>
              <w:rPr>
                <w:rFonts w:ascii="Arial Narrow" w:hAnsi="Arial Narrow"/>
                <w:sz w:val="20"/>
              </w:rPr>
            </w:pPr>
            <w:r w:rsidRPr="00F36A11">
              <w:rPr>
                <w:rFonts w:ascii="Arial Narrow" w:hAnsi="Arial Narrow"/>
                <w:b/>
                <w:sz w:val="20"/>
              </w:rPr>
              <w:t>Whole of health care perspective</w:t>
            </w:r>
          </w:p>
        </w:tc>
        <w:tc>
          <w:tcPr>
            <w:tcW w:w="0" w:type="auto"/>
          </w:tcPr>
          <w:p w14:paraId="29FA604D" w14:textId="77777777" w:rsidR="007B2156" w:rsidRPr="00F36A11" w:rsidRDefault="007B2156" w:rsidP="001F439A">
            <w:pPr>
              <w:keepNext/>
              <w:spacing w:before="0" w:after="0"/>
              <w:rPr>
                <w:rFonts w:ascii="Arial Narrow" w:hAnsi="Arial Narrow"/>
                <w:sz w:val="20"/>
              </w:rPr>
            </w:pPr>
          </w:p>
        </w:tc>
        <w:tc>
          <w:tcPr>
            <w:tcW w:w="0" w:type="auto"/>
          </w:tcPr>
          <w:p w14:paraId="054D283E" w14:textId="77777777" w:rsidR="007B2156" w:rsidRPr="00F36A11" w:rsidRDefault="007B2156" w:rsidP="001F439A">
            <w:pPr>
              <w:keepNext/>
              <w:spacing w:before="0" w:after="0"/>
              <w:rPr>
                <w:rFonts w:ascii="Arial Narrow" w:hAnsi="Arial Narrow"/>
                <w:sz w:val="20"/>
              </w:rPr>
            </w:pPr>
          </w:p>
        </w:tc>
        <w:tc>
          <w:tcPr>
            <w:tcW w:w="0" w:type="auto"/>
          </w:tcPr>
          <w:p w14:paraId="7C0D83D3" w14:textId="77777777" w:rsidR="007B2156" w:rsidRPr="00F36A11" w:rsidRDefault="007B2156" w:rsidP="001F439A">
            <w:pPr>
              <w:keepNext/>
              <w:spacing w:before="0" w:after="0"/>
              <w:rPr>
                <w:rFonts w:ascii="Arial Narrow" w:hAnsi="Arial Narrow"/>
                <w:sz w:val="20"/>
              </w:rPr>
            </w:pPr>
          </w:p>
        </w:tc>
        <w:tc>
          <w:tcPr>
            <w:tcW w:w="0" w:type="auto"/>
          </w:tcPr>
          <w:p w14:paraId="2D87236C" w14:textId="77777777" w:rsidR="007B2156" w:rsidRPr="00F36A11" w:rsidRDefault="007B2156" w:rsidP="001F439A">
            <w:pPr>
              <w:keepNext/>
              <w:spacing w:before="0" w:after="0"/>
              <w:rPr>
                <w:rFonts w:ascii="Arial Narrow" w:hAnsi="Arial Narrow"/>
                <w:sz w:val="20"/>
              </w:rPr>
            </w:pPr>
          </w:p>
        </w:tc>
        <w:tc>
          <w:tcPr>
            <w:tcW w:w="0" w:type="auto"/>
          </w:tcPr>
          <w:p w14:paraId="3466C41F" w14:textId="77777777" w:rsidR="007B2156" w:rsidRPr="00F36A11" w:rsidRDefault="007B2156" w:rsidP="001F439A">
            <w:pPr>
              <w:keepNext/>
              <w:spacing w:before="0" w:after="0"/>
              <w:rPr>
                <w:rFonts w:ascii="Arial Narrow" w:hAnsi="Arial Narrow"/>
                <w:sz w:val="20"/>
              </w:rPr>
            </w:pPr>
          </w:p>
        </w:tc>
      </w:tr>
      <w:tr w:rsidR="007B2156" w:rsidRPr="00F36A11" w14:paraId="4BEFF154" w14:textId="77777777" w:rsidTr="0014441A">
        <w:trPr>
          <w:cnfStyle w:val="100000000000" w:firstRow="1" w:lastRow="0" w:firstColumn="0" w:lastColumn="0" w:oddVBand="0" w:evenVBand="0" w:oddHBand="0" w:evenHBand="0" w:firstRowFirstColumn="0" w:firstRowLastColumn="0" w:lastRowFirstColumn="0" w:lastRowLastColumn="0"/>
          <w:trHeight w:val="305"/>
          <w:tblHeader/>
        </w:trPr>
        <w:tc>
          <w:tcPr>
            <w:tcW w:w="0" w:type="auto"/>
            <w:hideMark/>
          </w:tcPr>
          <w:p w14:paraId="4656B8E3"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Net cost overall</w:t>
            </w:r>
          </w:p>
        </w:tc>
        <w:tc>
          <w:tcPr>
            <w:tcW w:w="0" w:type="auto"/>
            <w:hideMark/>
          </w:tcPr>
          <w:p w14:paraId="07FFBEED"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$13,382,047</w:t>
            </w:r>
          </w:p>
        </w:tc>
        <w:tc>
          <w:tcPr>
            <w:tcW w:w="0" w:type="auto"/>
            <w:hideMark/>
          </w:tcPr>
          <w:p w14:paraId="794C3122"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$10,758,544</w:t>
            </w:r>
          </w:p>
        </w:tc>
        <w:tc>
          <w:tcPr>
            <w:tcW w:w="0" w:type="auto"/>
            <w:hideMark/>
          </w:tcPr>
          <w:p w14:paraId="7B05D78A"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$8,132,788</w:t>
            </w:r>
          </w:p>
        </w:tc>
        <w:tc>
          <w:tcPr>
            <w:tcW w:w="0" w:type="auto"/>
            <w:hideMark/>
          </w:tcPr>
          <w:p w14:paraId="2A2AC272"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$5,504,908</w:t>
            </w:r>
          </w:p>
        </w:tc>
        <w:tc>
          <w:tcPr>
            <w:tcW w:w="0" w:type="auto"/>
            <w:hideMark/>
          </w:tcPr>
          <w:p w14:paraId="457245E3" w14:textId="77777777" w:rsidR="007B2156" w:rsidRPr="00F36A11" w:rsidRDefault="007B2156" w:rsidP="001F439A">
            <w:pPr>
              <w:keepNext/>
              <w:spacing w:before="0" w:after="0"/>
              <w:rPr>
                <w:rFonts w:ascii="Arial Narrow" w:hAnsi="Arial Narrow"/>
                <w:sz w:val="20"/>
              </w:rPr>
            </w:pPr>
            <w:r w:rsidRPr="00F36A11">
              <w:rPr>
                <w:rFonts w:ascii="Arial Narrow" w:hAnsi="Arial Narrow"/>
                <w:sz w:val="20"/>
              </w:rPr>
              <w:t>$2,869,270</w:t>
            </w:r>
          </w:p>
        </w:tc>
      </w:tr>
    </w:tbl>
    <w:p w14:paraId="4F09F184" w14:textId="77777777" w:rsidR="00667114" w:rsidRPr="00F36A11" w:rsidRDefault="00667114" w:rsidP="00667114">
      <w:pPr>
        <w:keepLines/>
        <w:spacing w:after="360"/>
        <w:contextualSpacing/>
        <w:jc w:val="both"/>
        <w:rPr>
          <w:rFonts w:ascii="Arial Narrow" w:hAnsi="Arial Narrow" w:cs="Arial"/>
          <w:snapToGrid w:val="0"/>
          <w:sz w:val="18"/>
          <w:lang w:eastAsia="en-US"/>
        </w:rPr>
      </w:pPr>
      <w:r w:rsidRPr="00F36A11">
        <w:rPr>
          <w:rFonts w:ascii="Arial Narrow" w:hAnsi="Arial Narrow" w:cs="Arial"/>
          <w:snapToGrid w:val="0"/>
          <w:sz w:val="18"/>
          <w:vertAlign w:val="superscript"/>
          <w:lang w:eastAsia="en-US"/>
        </w:rPr>
        <w:t>a</w:t>
      </w:r>
      <w:r w:rsidRPr="00F36A11">
        <w:rPr>
          <w:rFonts w:ascii="Arial Narrow" w:hAnsi="Arial Narrow" w:cs="Arial"/>
          <w:snapToGrid w:val="0"/>
          <w:sz w:val="18"/>
          <w:lang w:eastAsia="en-US"/>
        </w:rPr>
        <w:t xml:space="preserve"> The cost savings per MBGS procedure are based on results from the economic evaluations presented in this and previous submissions. See Section E for more detail.</w:t>
      </w:r>
    </w:p>
    <w:p w14:paraId="4B83322A" w14:textId="77777777" w:rsidR="00667114" w:rsidRDefault="00667114" w:rsidP="00667114">
      <w:pPr>
        <w:keepLines/>
        <w:spacing w:after="360"/>
        <w:contextualSpacing/>
        <w:jc w:val="both"/>
        <w:rPr>
          <w:rFonts w:ascii="Arial Narrow" w:hAnsi="Arial Narrow" w:cs="Arial"/>
          <w:snapToGrid w:val="0"/>
          <w:sz w:val="18"/>
          <w:lang w:eastAsia="en-US"/>
        </w:rPr>
      </w:pPr>
      <w:r w:rsidRPr="00F36A11">
        <w:rPr>
          <w:rFonts w:ascii="Arial Narrow" w:hAnsi="Arial Narrow" w:cs="Arial"/>
          <w:snapToGrid w:val="0"/>
          <w:sz w:val="18"/>
          <w:lang w:eastAsia="en-US"/>
        </w:rPr>
        <w:t>See budget impact spreadsheet attached (MBGS resubmission_budgetimpact_June2018.xls)</w:t>
      </w:r>
    </w:p>
    <w:p w14:paraId="03284D9A" w14:textId="51C0036B" w:rsidR="006A0D97" w:rsidRDefault="006A0D97" w:rsidP="00F715D1">
      <w:pPr>
        <w:pStyle w:val="Heading1"/>
      </w:pPr>
      <w:r w:rsidRPr="00F715D1">
        <w:t>Key issues from ESC for MSAC</w:t>
      </w:r>
    </w:p>
    <w:p w14:paraId="549ED743" w14:textId="391E73A5" w:rsidR="00A276D4" w:rsidRPr="006F0C7D" w:rsidRDefault="00A276D4" w:rsidP="00D15903">
      <w:pPr>
        <w:pStyle w:val="Heading2"/>
        <w:keepNext w:val="0"/>
        <w:keepLines w:val="0"/>
        <w:spacing w:before="240" w:after="120"/>
        <w:rPr>
          <w:b/>
        </w:rPr>
      </w:pPr>
      <w:r>
        <w:rPr>
          <w:b/>
        </w:rPr>
        <w:t>August 2019</w:t>
      </w:r>
      <w:r w:rsidRPr="006F0C7D">
        <w:rPr>
          <w:b/>
        </w:rPr>
        <w:t xml:space="preserve"> MSAC consideration</w:t>
      </w:r>
    </w:p>
    <w:p w14:paraId="21AD8C92" w14:textId="1630F976" w:rsidR="00A276D4" w:rsidRDefault="00641EDB" w:rsidP="00D15903">
      <w:pPr>
        <w:spacing w:after="240"/>
      </w:pPr>
      <w:r>
        <w:rPr>
          <w:iCs/>
        </w:rPr>
        <w:t xml:space="preserve">It was agreed </w:t>
      </w:r>
      <w:r w:rsidRPr="00B1593A">
        <w:rPr>
          <w:iCs/>
        </w:rPr>
        <w:t xml:space="preserve">at the March 2019 Stakeholder meeting </w:t>
      </w:r>
      <w:r>
        <w:rPr>
          <w:iCs/>
        </w:rPr>
        <w:t xml:space="preserve">that following </w:t>
      </w:r>
      <w:r w:rsidRPr="00A276D4">
        <w:rPr>
          <w:iCs/>
        </w:rPr>
        <w:t>feedback from the MSAC Executive a new submission can be provided directly to</w:t>
      </w:r>
      <w:r>
        <w:rPr>
          <w:iCs/>
        </w:rPr>
        <w:t xml:space="preserve"> </w:t>
      </w:r>
      <w:r w:rsidRPr="00A276D4">
        <w:rPr>
          <w:iCs/>
        </w:rPr>
        <w:t>the MSAC</w:t>
      </w:r>
      <w:r>
        <w:rPr>
          <w:iCs/>
        </w:rPr>
        <w:t xml:space="preserve"> without consideration by ESC</w:t>
      </w:r>
      <w:r w:rsidRPr="00A276D4">
        <w:rPr>
          <w:iCs/>
        </w:rPr>
        <w:t>.</w:t>
      </w:r>
    </w:p>
    <w:p w14:paraId="1A45358C" w14:textId="77777777" w:rsidR="00A276D4" w:rsidRPr="006F0C7D" w:rsidRDefault="00A276D4" w:rsidP="00BB3AD6">
      <w:pPr>
        <w:pStyle w:val="Heading2"/>
        <w:spacing w:before="0" w:after="120"/>
        <w:rPr>
          <w:b/>
        </w:rPr>
      </w:pPr>
      <w:r w:rsidRPr="006F0C7D">
        <w:rPr>
          <w:b/>
        </w:rPr>
        <w:lastRenderedPageBreak/>
        <w:t>November 2018 MSAC consideration</w:t>
      </w:r>
    </w:p>
    <w:tbl>
      <w:tblPr>
        <w:tblStyle w:val="TableGrid"/>
        <w:tblW w:w="0" w:type="auto"/>
        <w:tblLook w:val="04A0" w:firstRow="1" w:lastRow="0" w:firstColumn="1" w:lastColumn="0" w:noHBand="0" w:noVBand="1"/>
        <w:tblCaption w:val="Key issues from ESC to MSAC"/>
        <w:tblDescription w:val="Summary of ESC issues for MSAC consideration "/>
      </w:tblPr>
      <w:tblGrid>
        <w:gridCol w:w="2830"/>
        <w:gridCol w:w="6186"/>
      </w:tblGrid>
      <w:tr w:rsidR="00E52B09" w:rsidRPr="00A345B5" w14:paraId="7F672208" w14:textId="77777777" w:rsidTr="00005445">
        <w:trPr>
          <w:tblHeader/>
        </w:trPr>
        <w:tc>
          <w:tcPr>
            <w:tcW w:w="2830" w:type="dxa"/>
            <w:tcBorders>
              <w:top w:val="single" w:sz="4" w:space="0" w:color="auto"/>
              <w:left w:val="single" w:sz="4" w:space="0" w:color="auto"/>
              <w:bottom w:val="single" w:sz="4" w:space="0" w:color="auto"/>
              <w:right w:val="single" w:sz="4" w:space="0" w:color="auto"/>
            </w:tcBorders>
            <w:hideMark/>
          </w:tcPr>
          <w:p w14:paraId="3C35C657" w14:textId="5D39B41A" w:rsidR="00E52B09" w:rsidRPr="00A345B5" w:rsidRDefault="00E52B09" w:rsidP="00BB3AD6">
            <w:pPr>
              <w:keepNext/>
              <w:keepLines/>
              <w:spacing w:before="60" w:after="60"/>
              <w:rPr>
                <w:rFonts w:ascii="Arial" w:hAnsi="Arial" w:cs="Arial"/>
                <w:b/>
                <w:bCs/>
                <w:sz w:val="20"/>
              </w:rPr>
            </w:pPr>
            <w:r w:rsidRPr="00A345B5">
              <w:rPr>
                <w:rFonts w:ascii="Arial" w:hAnsi="Arial" w:cs="Arial"/>
                <w:b/>
                <w:bCs/>
                <w:sz w:val="20"/>
              </w:rPr>
              <w:t>ESC key issue</w:t>
            </w:r>
          </w:p>
        </w:tc>
        <w:tc>
          <w:tcPr>
            <w:tcW w:w="6186" w:type="dxa"/>
            <w:tcBorders>
              <w:top w:val="single" w:sz="4" w:space="0" w:color="auto"/>
              <w:left w:val="single" w:sz="4" w:space="0" w:color="auto"/>
              <w:bottom w:val="single" w:sz="4" w:space="0" w:color="auto"/>
              <w:right w:val="single" w:sz="4" w:space="0" w:color="auto"/>
            </w:tcBorders>
            <w:hideMark/>
          </w:tcPr>
          <w:p w14:paraId="7606D6B0" w14:textId="77777777" w:rsidR="00E52B09" w:rsidRPr="00A345B5" w:rsidRDefault="00E52B09" w:rsidP="00BB3AD6">
            <w:pPr>
              <w:keepNext/>
              <w:keepLines/>
              <w:spacing w:before="60" w:after="60"/>
              <w:rPr>
                <w:rFonts w:ascii="Arial" w:hAnsi="Arial" w:cs="Arial"/>
                <w:b/>
                <w:bCs/>
                <w:sz w:val="20"/>
              </w:rPr>
            </w:pPr>
            <w:r w:rsidRPr="00A345B5">
              <w:rPr>
                <w:rFonts w:ascii="Arial" w:hAnsi="Arial" w:cs="Arial"/>
                <w:b/>
                <w:bCs/>
                <w:sz w:val="20"/>
              </w:rPr>
              <w:t>ESC advice to MSAC</w:t>
            </w:r>
          </w:p>
        </w:tc>
      </w:tr>
      <w:tr w:rsidR="00E52B09" w:rsidRPr="00A345B5" w14:paraId="0432869D" w14:textId="77777777" w:rsidTr="0093739E">
        <w:tc>
          <w:tcPr>
            <w:tcW w:w="2830" w:type="dxa"/>
            <w:tcBorders>
              <w:top w:val="single" w:sz="4" w:space="0" w:color="auto"/>
              <w:left w:val="single" w:sz="4" w:space="0" w:color="auto"/>
              <w:bottom w:val="single" w:sz="4" w:space="0" w:color="auto"/>
              <w:right w:val="single" w:sz="4" w:space="0" w:color="auto"/>
            </w:tcBorders>
            <w:hideMark/>
          </w:tcPr>
          <w:p w14:paraId="3291961A" w14:textId="77777777" w:rsidR="00E52B09" w:rsidRPr="00A345B5" w:rsidRDefault="00E52B09" w:rsidP="00BB3AD6">
            <w:pPr>
              <w:keepNext/>
              <w:keepLines/>
              <w:spacing w:before="60" w:after="60"/>
              <w:rPr>
                <w:rFonts w:ascii="Arial" w:hAnsi="Arial" w:cs="Arial"/>
                <w:sz w:val="20"/>
              </w:rPr>
            </w:pPr>
            <w:r w:rsidRPr="00A345B5">
              <w:rPr>
                <w:rFonts w:ascii="Arial" w:hAnsi="Arial" w:cs="Arial"/>
                <w:sz w:val="20"/>
              </w:rPr>
              <w:t>The main clinical claim  of MBGS versus trabeculectomy is “inferior” to TE in terms of effectiveness</w:t>
            </w:r>
            <w:r w:rsidRPr="00A345B5">
              <w:rPr>
                <w:rStyle w:val="CommentReference"/>
                <w:rFonts w:ascii="Arial" w:hAnsi="Arial" w:cs="Arial"/>
                <w:sz w:val="20"/>
                <w:szCs w:val="20"/>
              </w:rPr>
              <w:t xml:space="preserve"> but “superior” in terms of safety</w:t>
            </w:r>
          </w:p>
        </w:tc>
        <w:tc>
          <w:tcPr>
            <w:tcW w:w="6186" w:type="dxa"/>
            <w:tcBorders>
              <w:top w:val="single" w:sz="4" w:space="0" w:color="auto"/>
              <w:left w:val="single" w:sz="4" w:space="0" w:color="auto"/>
              <w:bottom w:val="single" w:sz="4" w:space="0" w:color="auto"/>
              <w:right w:val="single" w:sz="4" w:space="0" w:color="auto"/>
            </w:tcBorders>
            <w:hideMark/>
          </w:tcPr>
          <w:p w14:paraId="16382D67" w14:textId="77777777" w:rsidR="00E52B09" w:rsidRPr="00A345B5" w:rsidRDefault="00E52B09" w:rsidP="00BB3AD6">
            <w:pPr>
              <w:keepNext/>
              <w:keepLines/>
              <w:spacing w:before="60" w:after="60"/>
              <w:rPr>
                <w:rFonts w:ascii="Arial" w:hAnsi="Arial" w:cs="Arial"/>
                <w:sz w:val="20"/>
              </w:rPr>
            </w:pPr>
            <w:r w:rsidRPr="00A345B5">
              <w:rPr>
                <w:rFonts w:ascii="Arial" w:hAnsi="Arial" w:cs="Arial"/>
                <w:sz w:val="20"/>
              </w:rPr>
              <w:t>There is a lack of properly designed direct comparative studies to demonstrate potential safety and treatment effectiveness of MBGS stent implantation in the standalone setting compared with trabeculectomy. A compromised, naive indirect comparison presented in the SBA did not allow definitive conclusions to be drawn in terms of safety and the treatment effectiveness.</w:t>
            </w:r>
          </w:p>
        </w:tc>
      </w:tr>
      <w:tr w:rsidR="00E52B09" w:rsidRPr="00A345B5" w14:paraId="0D545C12" w14:textId="77777777" w:rsidTr="0093739E">
        <w:tc>
          <w:tcPr>
            <w:tcW w:w="2830" w:type="dxa"/>
            <w:tcBorders>
              <w:top w:val="single" w:sz="4" w:space="0" w:color="auto"/>
              <w:left w:val="single" w:sz="4" w:space="0" w:color="auto"/>
              <w:bottom w:val="single" w:sz="4" w:space="0" w:color="auto"/>
              <w:right w:val="single" w:sz="4" w:space="0" w:color="auto"/>
            </w:tcBorders>
            <w:hideMark/>
          </w:tcPr>
          <w:p w14:paraId="2162DF5F" w14:textId="77777777" w:rsidR="00E52B09" w:rsidRPr="00A345B5" w:rsidRDefault="00E52B09" w:rsidP="0093739E">
            <w:pPr>
              <w:keepNext/>
              <w:spacing w:before="60" w:after="60"/>
              <w:rPr>
                <w:rFonts w:ascii="Arial" w:hAnsi="Arial" w:cs="Arial"/>
                <w:sz w:val="20"/>
              </w:rPr>
            </w:pPr>
            <w:r w:rsidRPr="00A345B5">
              <w:rPr>
                <w:rFonts w:ascii="Arial" w:hAnsi="Arial" w:cs="Arial"/>
                <w:sz w:val="20"/>
              </w:rPr>
              <w:t>Inappropriate evidence included</w:t>
            </w:r>
          </w:p>
        </w:tc>
        <w:tc>
          <w:tcPr>
            <w:tcW w:w="6186" w:type="dxa"/>
            <w:tcBorders>
              <w:top w:val="single" w:sz="4" w:space="0" w:color="auto"/>
              <w:left w:val="single" w:sz="4" w:space="0" w:color="auto"/>
              <w:bottom w:val="single" w:sz="4" w:space="0" w:color="auto"/>
              <w:right w:val="single" w:sz="4" w:space="0" w:color="auto"/>
            </w:tcBorders>
            <w:hideMark/>
          </w:tcPr>
          <w:p w14:paraId="69200B0A" w14:textId="77777777" w:rsidR="00E52B09" w:rsidRPr="00A345B5" w:rsidRDefault="00E52B09" w:rsidP="0093739E">
            <w:pPr>
              <w:keepNext/>
              <w:spacing w:before="60" w:after="60"/>
              <w:rPr>
                <w:rFonts w:ascii="Arial" w:hAnsi="Arial" w:cs="Arial"/>
                <w:sz w:val="20"/>
              </w:rPr>
            </w:pPr>
            <w:r w:rsidRPr="00A345B5">
              <w:rPr>
                <w:rFonts w:ascii="Arial" w:hAnsi="Arial" w:cs="Arial"/>
                <w:sz w:val="20"/>
              </w:rPr>
              <w:t>Studies of newly diagnosed patients with no prior conservative treatments were incorrectly included in the evidence base. This highlights the importance of further clarification of the MSAC concern about the poorly defined population.</w:t>
            </w:r>
          </w:p>
        </w:tc>
      </w:tr>
      <w:tr w:rsidR="00E52B09" w:rsidRPr="00A345B5" w14:paraId="33FB87C6" w14:textId="77777777" w:rsidTr="0093739E">
        <w:tc>
          <w:tcPr>
            <w:tcW w:w="2830" w:type="dxa"/>
            <w:tcBorders>
              <w:top w:val="single" w:sz="4" w:space="0" w:color="auto"/>
              <w:left w:val="single" w:sz="4" w:space="0" w:color="auto"/>
              <w:bottom w:val="single" w:sz="4" w:space="0" w:color="auto"/>
              <w:right w:val="single" w:sz="4" w:space="0" w:color="auto"/>
            </w:tcBorders>
            <w:hideMark/>
          </w:tcPr>
          <w:p w14:paraId="785CE56B" w14:textId="77777777" w:rsidR="00E52B09" w:rsidRPr="00A345B5" w:rsidRDefault="00E52B09" w:rsidP="0093739E">
            <w:pPr>
              <w:keepNext/>
              <w:spacing w:before="60" w:after="60"/>
              <w:rPr>
                <w:rFonts w:ascii="Arial" w:hAnsi="Arial" w:cs="Arial"/>
                <w:sz w:val="20"/>
              </w:rPr>
            </w:pPr>
            <w:r w:rsidRPr="00A345B5">
              <w:rPr>
                <w:rFonts w:ascii="Arial" w:hAnsi="Arial" w:cs="Arial"/>
                <w:sz w:val="20"/>
              </w:rPr>
              <w:t>Eligibility criteria</w:t>
            </w:r>
          </w:p>
        </w:tc>
        <w:tc>
          <w:tcPr>
            <w:tcW w:w="6186" w:type="dxa"/>
            <w:tcBorders>
              <w:top w:val="single" w:sz="4" w:space="0" w:color="auto"/>
              <w:left w:val="single" w:sz="4" w:space="0" w:color="auto"/>
              <w:bottom w:val="single" w:sz="4" w:space="0" w:color="auto"/>
              <w:right w:val="single" w:sz="4" w:space="0" w:color="auto"/>
            </w:tcBorders>
          </w:tcPr>
          <w:p w14:paraId="1EDA33A2" w14:textId="77777777" w:rsidR="00E52B09" w:rsidRPr="00A345B5" w:rsidRDefault="00E52B09" w:rsidP="0093739E">
            <w:pPr>
              <w:keepNext/>
              <w:spacing w:before="60" w:after="60"/>
              <w:rPr>
                <w:rFonts w:ascii="Arial" w:hAnsi="Arial" w:cs="Arial"/>
                <w:sz w:val="20"/>
              </w:rPr>
            </w:pPr>
            <w:r w:rsidRPr="00A345B5">
              <w:rPr>
                <w:rFonts w:ascii="Arial" w:hAnsi="Arial" w:cs="Arial"/>
                <w:sz w:val="20"/>
              </w:rPr>
              <w:t xml:space="preserve">The proposed eligibility criteria are primarily assessed at the clinician’s discretion. MSAC may wish to define the appropriate population with more objective restrictions. Further clarification would help to address MSAC’s previous major concern on the ‘inadequately defined population’. </w:t>
            </w:r>
          </w:p>
        </w:tc>
      </w:tr>
      <w:tr w:rsidR="00E52B09" w:rsidRPr="00A345B5" w14:paraId="7AFF53AD" w14:textId="77777777" w:rsidTr="0093739E">
        <w:tc>
          <w:tcPr>
            <w:tcW w:w="2830" w:type="dxa"/>
            <w:tcBorders>
              <w:top w:val="single" w:sz="4" w:space="0" w:color="auto"/>
              <w:left w:val="single" w:sz="4" w:space="0" w:color="auto"/>
              <w:bottom w:val="single" w:sz="4" w:space="0" w:color="auto"/>
              <w:right w:val="single" w:sz="4" w:space="0" w:color="auto"/>
            </w:tcBorders>
            <w:hideMark/>
          </w:tcPr>
          <w:p w14:paraId="53947A11" w14:textId="77777777" w:rsidR="00E52B09" w:rsidRPr="00A345B5" w:rsidRDefault="00E52B09" w:rsidP="0093739E">
            <w:pPr>
              <w:keepNext/>
              <w:spacing w:before="60" w:after="60"/>
              <w:rPr>
                <w:rFonts w:ascii="Arial" w:hAnsi="Arial" w:cs="Arial"/>
                <w:sz w:val="20"/>
              </w:rPr>
            </w:pPr>
            <w:r w:rsidRPr="00A345B5">
              <w:rPr>
                <w:rFonts w:ascii="Arial" w:hAnsi="Arial" w:cs="Arial"/>
                <w:sz w:val="20"/>
              </w:rPr>
              <w:t>Comparator</w:t>
            </w:r>
          </w:p>
        </w:tc>
        <w:tc>
          <w:tcPr>
            <w:tcW w:w="6186" w:type="dxa"/>
            <w:tcBorders>
              <w:top w:val="single" w:sz="4" w:space="0" w:color="auto"/>
              <w:left w:val="single" w:sz="4" w:space="0" w:color="auto"/>
              <w:bottom w:val="single" w:sz="4" w:space="0" w:color="auto"/>
              <w:right w:val="single" w:sz="4" w:space="0" w:color="auto"/>
            </w:tcBorders>
          </w:tcPr>
          <w:p w14:paraId="021BAE6E" w14:textId="77777777" w:rsidR="00E52B09" w:rsidRPr="00A345B5" w:rsidRDefault="00E52B09" w:rsidP="0093739E">
            <w:pPr>
              <w:keepNext/>
              <w:spacing w:before="60" w:after="60"/>
              <w:rPr>
                <w:rFonts w:ascii="Arial" w:hAnsi="Arial" w:cs="Arial"/>
                <w:sz w:val="20"/>
              </w:rPr>
            </w:pPr>
            <w:r w:rsidRPr="00A345B5">
              <w:rPr>
                <w:rFonts w:ascii="Arial" w:hAnsi="Arial" w:cs="Arial"/>
                <w:sz w:val="20"/>
              </w:rPr>
              <w:t>The comparator, clinical algorithm and eligibility should be clarified as the MBGS standalone procedure may also replace further incisional surgery and aqueous tube shunt implantation. Whether MBGS would follow these procedures should also be clarified.</w:t>
            </w:r>
          </w:p>
        </w:tc>
      </w:tr>
      <w:tr w:rsidR="00E52B09" w:rsidRPr="00A345B5" w14:paraId="1585EF08" w14:textId="77777777" w:rsidTr="0093739E">
        <w:tc>
          <w:tcPr>
            <w:tcW w:w="2830" w:type="dxa"/>
            <w:hideMark/>
          </w:tcPr>
          <w:p w14:paraId="303A0A03" w14:textId="77777777" w:rsidR="00E52B09" w:rsidRPr="00A345B5" w:rsidRDefault="00E52B09" w:rsidP="0093739E">
            <w:pPr>
              <w:keepNext/>
              <w:spacing w:before="60" w:after="60"/>
              <w:rPr>
                <w:rFonts w:ascii="Arial" w:hAnsi="Arial" w:cs="Arial"/>
                <w:sz w:val="20"/>
              </w:rPr>
            </w:pPr>
            <w:r w:rsidRPr="00A345B5">
              <w:rPr>
                <w:rFonts w:ascii="Arial" w:hAnsi="Arial" w:cs="Arial"/>
                <w:sz w:val="20"/>
              </w:rPr>
              <w:t>Choice of economic evaluation</w:t>
            </w:r>
          </w:p>
        </w:tc>
        <w:tc>
          <w:tcPr>
            <w:tcW w:w="6186" w:type="dxa"/>
          </w:tcPr>
          <w:p w14:paraId="3D9EF0BA" w14:textId="77777777" w:rsidR="00E52B09" w:rsidRPr="00A345B5" w:rsidRDefault="00E52B09" w:rsidP="0093739E">
            <w:pPr>
              <w:keepNext/>
              <w:spacing w:before="60" w:after="60"/>
              <w:rPr>
                <w:rFonts w:ascii="Arial" w:hAnsi="Arial" w:cs="Arial"/>
                <w:sz w:val="20"/>
              </w:rPr>
            </w:pPr>
            <w:r w:rsidRPr="00A345B5">
              <w:rPr>
                <w:rFonts w:ascii="Arial" w:hAnsi="Arial" w:cs="Arial"/>
                <w:sz w:val="20"/>
              </w:rPr>
              <w:t>Cost analysis is not appropriate; based on the clinical claims, a cost-utility analysis is required.</w:t>
            </w:r>
          </w:p>
        </w:tc>
      </w:tr>
      <w:tr w:rsidR="00E52B09" w:rsidRPr="00A345B5" w14:paraId="250B51DC" w14:textId="77777777" w:rsidTr="0093739E">
        <w:tc>
          <w:tcPr>
            <w:tcW w:w="2830" w:type="dxa"/>
          </w:tcPr>
          <w:p w14:paraId="4E2FC91E" w14:textId="77777777" w:rsidR="00E52B09" w:rsidRPr="00A345B5" w:rsidRDefault="00E52B09" w:rsidP="0093739E">
            <w:pPr>
              <w:keepNext/>
              <w:spacing w:before="60" w:after="60"/>
              <w:rPr>
                <w:rFonts w:ascii="Arial" w:hAnsi="Arial" w:cs="Arial"/>
                <w:sz w:val="20"/>
              </w:rPr>
            </w:pPr>
            <w:r w:rsidRPr="00A345B5">
              <w:rPr>
                <w:rFonts w:ascii="Arial" w:hAnsi="Arial" w:cs="Arial"/>
                <w:sz w:val="20"/>
              </w:rPr>
              <w:t>Financial estimates are uncertain</w:t>
            </w:r>
          </w:p>
        </w:tc>
        <w:tc>
          <w:tcPr>
            <w:tcW w:w="6186" w:type="dxa"/>
          </w:tcPr>
          <w:p w14:paraId="1A435B1E" w14:textId="77777777" w:rsidR="00E52B09" w:rsidRPr="00A345B5" w:rsidRDefault="00E52B09" w:rsidP="0093739E">
            <w:pPr>
              <w:keepNext/>
              <w:spacing w:before="60" w:after="60"/>
              <w:rPr>
                <w:rFonts w:ascii="Arial" w:hAnsi="Arial" w:cs="Arial"/>
                <w:sz w:val="20"/>
              </w:rPr>
            </w:pPr>
            <w:r w:rsidRPr="00A345B5">
              <w:rPr>
                <w:rFonts w:ascii="Arial" w:hAnsi="Arial" w:cs="Arial"/>
                <w:sz w:val="20"/>
              </w:rPr>
              <w:t>Financial estimates are based on an estimate of the expected number of MBGS procedures and changes in use of other services (including medication and trabeculectomy or other surgeries), which are uncertain.</w:t>
            </w:r>
          </w:p>
        </w:tc>
      </w:tr>
    </w:tbl>
    <w:p w14:paraId="122D6F16" w14:textId="38083A2A" w:rsidR="00AF0BDE" w:rsidRPr="0019152F" w:rsidRDefault="00AF0BDE" w:rsidP="0019152F">
      <w:pPr>
        <w:spacing w:before="240" w:after="240"/>
        <w:rPr>
          <w:b/>
          <w:u w:val="single"/>
        </w:rPr>
      </w:pPr>
      <w:r w:rsidRPr="00AF0BDE">
        <w:rPr>
          <w:b/>
          <w:u w:val="single"/>
        </w:rPr>
        <w:t>ESC discussion</w:t>
      </w:r>
    </w:p>
    <w:p w14:paraId="73EB7A4B" w14:textId="4F489012" w:rsidR="00AF0BDE" w:rsidRDefault="00AF0BDE" w:rsidP="0019152F">
      <w:pPr>
        <w:spacing w:after="240"/>
      </w:pPr>
      <w:r>
        <w:t xml:space="preserve">ESC noted that MBGS devices include a variety of implanted, minimally invasive ocular stents and scaffolds that are placed via a corneal incision into the trabecular meshwork (TB MBGS) or suprachoroidal space (SC MBGS) of the eye. The exact positioning of implantation is specific to each device. These devices aim to improve aqueous humour outflow and lower intraocular pressure, which in turn reduces the reliance on topical hypotensive medication. </w:t>
      </w:r>
    </w:p>
    <w:p w14:paraId="2BBF8CC1" w14:textId="77777777" w:rsidR="00AF0BDE" w:rsidRDefault="00AF0BDE" w:rsidP="00AF0BDE">
      <w:r>
        <w:t>ESC noted that although MBGS devices differ in design and manufacturer specifications, the complexity and resource burden of the implantation procedure is comparable.</w:t>
      </w:r>
    </w:p>
    <w:p w14:paraId="6E87852D" w14:textId="77777777" w:rsidR="00AF0BDE" w:rsidRDefault="00AF0BDE" w:rsidP="00AF0BDE">
      <w:r>
        <w:t xml:space="preserve">Three TB MBGS devices are available in the Australian market that are relevant to the current application. An SC MBGS device (CyPass Micro-Stent; Alcon) was previously available in Australia but was withdrawn from the global market in August 2018 due to major safety concerns (based on analysis of 5-year post-surgery data). ESC noted that much of the available evidence for effectiveness of MBGS devices is based on the CyPass SC MBGS device. </w:t>
      </w:r>
    </w:p>
    <w:p w14:paraId="6F03773E" w14:textId="60E518AD" w:rsidR="00AF0BDE" w:rsidRDefault="00AF0BDE" w:rsidP="00A345B5">
      <w:pPr>
        <w:spacing w:before="240" w:after="240"/>
      </w:pPr>
      <w:r>
        <w:t>ESC noted that Glaukos (the manufactures of iStent which is not affected by the withdrawal) has indicated to MSAC that they can provide more information related to iStent and corneal endothelial health and endothelial cell density (the reason for the Cypass withdrawal.). ESC also noted that the applicant is waiting for MSAC advice about whether data for the Cypass SC MBGS device should be removed from the application. ESC noted that the two types of MBGS devices (TB and SC), although similar, work by different mechanisms.</w:t>
      </w:r>
    </w:p>
    <w:p w14:paraId="73027923" w14:textId="77777777" w:rsidR="00AF0BDE" w:rsidRDefault="00AF0BDE" w:rsidP="00AF0BDE">
      <w:r>
        <w:lastRenderedPageBreak/>
        <w:t>ESC recalled that MSAC previously accepted that the two types of MBGS devices are comparable and should be covered under one MBS item in the cataract surgery setting.</w:t>
      </w:r>
    </w:p>
    <w:p w14:paraId="091D403B" w14:textId="0F20C5E4" w:rsidR="00AF0BDE" w:rsidRDefault="00AF0BDE" w:rsidP="0019152F">
      <w:pPr>
        <w:spacing w:after="240"/>
      </w:pPr>
      <w:r>
        <w:t>ESC noted that, in line with this, the current application for use in the standalone setting includes a single submission-based assessment (SBA) evaluating the evidence and cost-effective</w:t>
      </w:r>
      <w:r w:rsidR="0019152F">
        <w:t>ness for both types of devices.</w:t>
      </w:r>
    </w:p>
    <w:p w14:paraId="2576B5A7" w14:textId="5B34136E" w:rsidR="00AF0BDE" w:rsidRDefault="00AF0BDE" w:rsidP="0019152F">
      <w:pPr>
        <w:spacing w:after="240"/>
      </w:pPr>
      <w:r>
        <w:t>ESC noted that, although MSAC did not support use of TB and SC MBGS as a standalone procedure in previous Applications 1483 and 1496, the SBA for Application 1541 is largely consistent with documents previously submitted to ESC/MSAC for MBGS as a standalone procedure. ESC noted that the current application should be considered with reference to the original applications, but also noted some key changes from the original applications.</w:t>
      </w:r>
    </w:p>
    <w:p w14:paraId="5623997D" w14:textId="77777777" w:rsidR="00AF0BDE" w:rsidRDefault="00AF0BDE" w:rsidP="00AF0BDE">
      <w:r>
        <w:t>In Section A.1 – PICO Confirmation:</w:t>
      </w:r>
    </w:p>
    <w:p w14:paraId="2EC437BD" w14:textId="77777777" w:rsidR="00AF0BDE" w:rsidRDefault="00AF0BDE" w:rsidP="00AF0BDE">
      <w:pPr>
        <w:pStyle w:val="ListParagraph"/>
        <w:numPr>
          <w:ilvl w:val="0"/>
          <w:numId w:val="26"/>
        </w:numPr>
      </w:pPr>
      <w:r>
        <w:t>The resubmission is based on amendments made to the original SBAs for Applications 1483 and 1496 in response to comments by MSAC.</w:t>
      </w:r>
    </w:p>
    <w:p w14:paraId="389B13A5" w14:textId="77777777" w:rsidR="00AF0BDE" w:rsidRDefault="00AF0BDE" w:rsidP="00AF0BDE">
      <w:pPr>
        <w:pStyle w:val="ListParagraph"/>
        <w:numPr>
          <w:ilvl w:val="0"/>
          <w:numId w:val="26"/>
        </w:numPr>
      </w:pPr>
      <w:r>
        <w:t xml:space="preserve"> Documents supporting MBGS as a standalone procedure were submitted to MSAC in April 2018. The MSAC Executive Committee agreed a ‘fit for purpose’ pathway was appropriate for the new submission and a PICO Confirmation for use of standalone MBGS in Australian clinical practice was not presented to, or ratified by, PASC.</w:t>
      </w:r>
    </w:p>
    <w:p w14:paraId="304D6D72" w14:textId="77777777" w:rsidR="00AF0BDE" w:rsidRDefault="00AF0BDE" w:rsidP="00F5113C">
      <w:pPr>
        <w:spacing w:before="240"/>
      </w:pPr>
      <w:r>
        <w:t>In Section A.2 – Proposed service:</w:t>
      </w:r>
    </w:p>
    <w:p w14:paraId="256C735A" w14:textId="77777777" w:rsidR="00AF0BDE" w:rsidRDefault="00AF0BDE" w:rsidP="00AF0BDE">
      <w:pPr>
        <w:pStyle w:val="ListParagraph"/>
        <w:numPr>
          <w:ilvl w:val="0"/>
          <w:numId w:val="27"/>
        </w:numPr>
      </w:pPr>
      <w:r>
        <w:t>Additional information has been provided following queries raised during commentaries on the previous applications, but information relating to MBGS standalone stent implantation in this section remains relatively unchanged.</w:t>
      </w:r>
    </w:p>
    <w:p w14:paraId="4C91FB5E" w14:textId="77777777" w:rsidR="00AF0BDE" w:rsidRDefault="00AF0BDE" w:rsidP="00F5113C">
      <w:pPr>
        <w:spacing w:before="240"/>
      </w:pPr>
      <w:r>
        <w:t>In Section A.3 – Proposal for MBS funding:</w:t>
      </w:r>
    </w:p>
    <w:p w14:paraId="17651D6B" w14:textId="77777777" w:rsidR="00AF0BDE" w:rsidRDefault="00AF0BDE" w:rsidP="00AF0BDE">
      <w:pPr>
        <w:pStyle w:val="ListParagraph"/>
        <w:numPr>
          <w:ilvl w:val="0"/>
          <w:numId w:val="27"/>
        </w:numPr>
      </w:pPr>
      <w:r>
        <w:t>The MBS item descriptor has been revised to more adequately define the patient population who would meet eligibility for the intervention in clinical practice, using the same criteria as used to determine eligibility for current incisional procedures.</w:t>
      </w:r>
    </w:p>
    <w:p w14:paraId="1D26444D" w14:textId="77777777" w:rsidR="00AF0BDE" w:rsidRDefault="00AF0BDE" w:rsidP="00AF0BDE">
      <w:pPr>
        <w:pStyle w:val="ListParagraph"/>
        <w:numPr>
          <w:ilvl w:val="0"/>
          <w:numId w:val="27"/>
        </w:numPr>
      </w:pPr>
      <w:r>
        <w:t>The revised wording is modelled on MBS item 42746 (trabeculectomy), which reflects the intended positioning of MBGS standalone in the OAG treatment pathway.</w:t>
      </w:r>
    </w:p>
    <w:p w14:paraId="6016FAD0" w14:textId="77777777" w:rsidR="00AF0BDE" w:rsidRDefault="00AF0BDE" w:rsidP="00AF0BDE">
      <w:pPr>
        <w:pStyle w:val="ListParagraph"/>
        <w:numPr>
          <w:ilvl w:val="0"/>
          <w:numId w:val="27"/>
        </w:numPr>
      </w:pPr>
      <w:r>
        <w:t>ESC noted that the Department has proposed a revised fee of $300.75 for the standalone MBGS implantation procedure (down from $699.45 requested).</w:t>
      </w:r>
    </w:p>
    <w:p w14:paraId="6CA0EA48" w14:textId="77777777" w:rsidR="00AF0BDE" w:rsidRDefault="00AF0BDE" w:rsidP="00AF0BDE">
      <w:pPr>
        <w:pStyle w:val="ListParagraph"/>
        <w:numPr>
          <w:ilvl w:val="0"/>
          <w:numId w:val="27"/>
        </w:numPr>
      </w:pPr>
      <w:r>
        <w:t>ESC noted that an item descriptor for MBGS stent removal is also proposed but with no requested fee. ESC noted that, in the review of Applications 1483 and 1496, MSAC recommended a fee of $300.75 for stent removal regardless of whether the stent is replaced.</w:t>
      </w:r>
    </w:p>
    <w:p w14:paraId="7448BB7F" w14:textId="77777777" w:rsidR="00AF0BDE" w:rsidRDefault="00AF0BDE" w:rsidP="00F5113C">
      <w:pPr>
        <w:spacing w:before="240"/>
      </w:pPr>
      <w:r>
        <w:t>In Section A.4 – Proposed population:</w:t>
      </w:r>
    </w:p>
    <w:p w14:paraId="254DF458" w14:textId="77777777" w:rsidR="00AF0BDE" w:rsidRDefault="00AF0BDE" w:rsidP="00AF0BDE">
      <w:pPr>
        <w:pStyle w:val="ListParagraph"/>
        <w:numPr>
          <w:ilvl w:val="0"/>
          <w:numId w:val="28"/>
        </w:numPr>
      </w:pPr>
      <w:r>
        <w:t>The proposed population has been redefined in accordance with 2018 ANZGS Guidelines and advice from clinical experts.</w:t>
      </w:r>
    </w:p>
    <w:p w14:paraId="3AA39B87" w14:textId="77777777" w:rsidR="00AF0BDE" w:rsidRDefault="00AF0BDE" w:rsidP="00AF0BDE">
      <w:pPr>
        <w:pStyle w:val="ListParagraph"/>
        <w:numPr>
          <w:ilvl w:val="0"/>
          <w:numId w:val="28"/>
        </w:numPr>
      </w:pPr>
      <w:r>
        <w:t>The rationale given for the addition of MBGS as a standalone procedure in the OAG treatment pathway is to provide an alternative treatment option for:</w:t>
      </w:r>
    </w:p>
    <w:p w14:paraId="31924F6E" w14:textId="77777777" w:rsidR="00AF0BDE" w:rsidRDefault="00AF0BDE" w:rsidP="00AF0BDE">
      <w:pPr>
        <w:pStyle w:val="ListParagraph"/>
        <w:numPr>
          <w:ilvl w:val="1"/>
          <w:numId w:val="28"/>
        </w:numPr>
      </w:pPr>
      <w:r>
        <w:t>patients who are currently being considered for incisional surgical procedures, and</w:t>
      </w:r>
    </w:p>
    <w:p w14:paraId="54FDEA14" w14:textId="77777777" w:rsidR="00AF0BDE" w:rsidRDefault="00AF0BDE" w:rsidP="00AF0BDE">
      <w:pPr>
        <w:pStyle w:val="ListParagraph"/>
        <w:numPr>
          <w:ilvl w:val="1"/>
          <w:numId w:val="28"/>
        </w:numPr>
      </w:pPr>
      <w:r>
        <w:t xml:space="preserve"> patients in whom second-line therapies are indicated but currently available incisional procedures are not possible due to the associated risks.</w:t>
      </w:r>
    </w:p>
    <w:p w14:paraId="2C09E72B" w14:textId="77777777" w:rsidR="00AF0BDE" w:rsidRDefault="00AF0BDE" w:rsidP="00AF0BDE">
      <w:pPr>
        <w:pStyle w:val="ListParagraph"/>
        <w:numPr>
          <w:ilvl w:val="0"/>
          <w:numId w:val="28"/>
        </w:numPr>
      </w:pPr>
      <w:r>
        <w:t xml:space="preserve">ESC noted concerns regarding leakage arising from eligibility criteria being largely assessed at the clinician’s discretion. The critique queried whether, given the redefined population are those at a later stage of OAG and precautions listed in the ANZGS Guidelines for managing glaucoma with MBGS, MSAC may consider whether the proposed target population should be restricted to patients with more </w:t>
      </w:r>
      <w:r>
        <w:lastRenderedPageBreak/>
        <w:t>severe or advanced OAG. ESC noted that the applicant rebutted both these concerns in their pre-ESC response.</w:t>
      </w:r>
    </w:p>
    <w:p w14:paraId="12F637A9" w14:textId="30DBDE24" w:rsidR="00BB08F7" w:rsidRDefault="00BB08F7" w:rsidP="00F5113C">
      <w:pPr>
        <w:pStyle w:val="Bullet"/>
        <w:numPr>
          <w:ilvl w:val="0"/>
          <w:numId w:val="0"/>
        </w:numPr>
        <w:spacing w:before="240"/>
        <w:ind w:left="360"/>
      </w:pPr>
      <w:r>
        <w:t xml:space="preserve">ESC noted further revision to the item descriptor proposed by the Department </w:t>
      </w:r>
      <w:r w:rsidRPr="00DD6C9E">
        <w:t>to define the eligible population w</w:t>
      </w:r>
      <w:r>
        <w:t>ith more objective restrictions:</w:t>
      </w:r>
    </w:p>
    <w:p w14:paraId="0AC21C79" w14:textId="3775AFB4" w:rsidR="00BB08F7" w:rsidRDefault="00BB08F7" w:rsidP="00BB08F7">
      <w:pPr>
        <w:tabs>
          <w:tab w:val="num" w:pos="720"/>
        </w:tabs>
      </w:pPr>
      <w:r w:rsidRPr="00880DCB">
        <w:rPr>
          <w:noProof/>
        </w:rPr>
        <w:drawing>
          <wp:inline distT="0" distB="0" distL="0" distR="0" wp14:anchorId="012FDF07" wp14:editId="288D3F11">
            <wp:extent cx="5895975" cy="4073640"/>
            <wp:effectExtent l="0" t="0" r="0" b="3175"/>
            <wp:docPr id="6" name="Picture 5" descr="Proposed MBS item descriptor incorporating Department revisions.">
              <a:extLst xmlns:a="http://schemas.openxmlformats.org/drawingml/2006/main">
                <a:ext uri="{FF2B5EF4-FFF2-40B4-BE49-F238E27FC236}">
                  <a16:creationId xmlns:a16="http://schemas.microsoft.com/office/drawing/2014/main" id="{14720F36-F5DF-4686-AD13-4FE7410832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4720F36-F5DF-4686-AD13-4FE741083240}"/>
                        </a:ext>
                      </a:extLst>
                    </pic:cNvPr>
                    <pic:cNvPicPr>
                      <a:picLocks noChangeAspect="1"/>
                    </pic:cNvPicPr>
                  </pic:nvPicPr>
                  <pic:blipFill>
                    <a:blip r:embed="rId11"/>
                    <a:stretch>
                      <a:fillRect/>
                    </a:stretch>
                  </pic:blipFill>
                  <pic:spPr>
                    <a:xfrm>
                      <a:off x="0" y="0"/>
                      <a:ext cx="5898589" cy="4075446"/>
                    </a:xfrm>
                    <a:prstGeom prst="rect">
                      <a:avLst/>
                    </a:prstGeom>
                  </pic:spPr>
                </pic:pic>
              </a:graphicData>
            </a:graphic>
          </wp:inline>
        </w:drawing>
      </w:r>
    </w:p>
    <w:p w14:paraId="53CB0BC6" w14:textId="77777777" w:rsidR="00BB08F7" w:rsidRDefault="00BB08F7" w:rsidP="00BB08F7">
      <w:pPr>
        <w:pStyle w:val="NormalBeforeBullet"/>
      </w:pPr>
      <w:r>
        <w:t xml:space="preserve">In </w:t>
      </w:r>
      <w:r w:rsidRPr="000E4721">
        <w:t>Section A.5</w:t>
      </w:r>
      <w:r>
        <w:t xml:space="preserve"> – Comparator:</w:t>
      </w:r>
    </w:p>
    <w:p w14:paraId="2F8F7F27" w14:textId="77777777" w:rsidR="00AF0BDE" w:rsidRDefault="00AF0BDE" w:rsidP="00BB08F7">
      <w:pPr>
        <w:pStyle w:val="ListParagraph"/>
        <w:numPr>
          <w:ilvl w:val="0"/>
          <w:numId w:val="28"/>
        </w:numPr>
      </w:pPr>
      <w:r>
        <w:t xml:space="preserve">ESC noted that the most appropriate comparator to MBGS is trabeculectomy. </w:t>
      </w:r>
    </w:p>
    <w:p w14:paraId="2F0DB4F0" w14:textId="77777777" w:rsidR="00AF0BDE" w:rsidRDefault="00AF0BDE" w:rsidP="00AF0BDE">
      <w:pPr>
        <w:pStyle w:val="ListParagraph"/>
        <w:numPr>
          <w:ilvl w:val="0"/>
          <w:numId w:val="30"/>
        </w:numPr>
      </w:pPr>
      <w:r>
        <w:t>ESC noted that because MBGS is a second-line option, additional comparators suggested in the PICO of the original applications (e.g. continuation of topical medical therapy, laser trabeculoplasty, the alternative MBGS device) are not considered relevant in this resubmission.</w:t>
      </w:r>
    </w:p>
    <w:p w14:paraId="3BE336C0" w14:textId="77777777" w:rsidR="00AF0BDE" w:rsidRDefault="00AF0BDE" w:rsidP="00AF0BDE">
      <w:pPr>
        <w:pStyle w:val="ListParagraph"/>
        <w:numPr>
          <w:ilvl w:val="0"/>
          <w:numId w:val="30"/>
        </w:numPr>
      </w:pPr>
      <w:r>
        <w:t>ESC noted advice in the critique that glaucoma filtering surgery may include aqueous tube shunt implantation in addition to any incisional surgery. The critique suggested that the comparator should be clarified, as the MBGS standalone procedure may also replace further incisional surgery and aqueous tube shunt implantation.</w:t>
      </w:r>
    </w:p>
    <w:p w14:paraId="16B83C3E" w14:textId="77777777" w:rsidR="00AF0BDE" w:rsidRDefault="00AF0BDE" w:rsidP="005351C0">
      <w:pPr>
        <w:spacing w:before="240"/>
      </w:pPr>
      <w:r>
        <w:t>In Section A.7 – Delivery of proposed service:</w:t>
      </w:r>
    </w:p>
    <w:p w14:paraId="34EBDDDB" w14:textId="77777777" w:rsidR="00AF0BDE" w:rsidRDefault="00AF0BDE" w:rsidP="00AF0BDE">
      <w:pPr>
        <w:pStyle w:val="ListParagraph"/>
        <w:numPr>
          <w:ilvl w:val="0"/>
          <w:numId w:val="31"/>
        </w:numPr>
      </w:pPr>
      <w:r>
        <w:t>ESC noted a discrepancy in the estimated time required for MBGS stent implantation as a standalone procedure. The SBA includes an estimated time of 45–60 minutes (including preparation, stent implantation and post-operative requirements). However, ESC noted that public consultation feedback in the critique for previous Applications 1483 and 1496 indicated that it might take less than 15 minutes of the surgeon’s time.</w:t>
      </w:r>
    </w:p>
    <w:p w14:paraId="57AAF166" w14:textId="77777777" w:rsidR="00AF0BDE" w:rsidRDefault="00AF0BDE" w:rsidP="00F5113C">
      <w:pPr>
        <w:spacing w:before="240"/>
      </w:pPr>
      <w:r>
        <w:t>In Section A.8 – Clinical claim:</w:t>
      </w:r>
    </w:p>
    <w:p w14:paraId="7C973354" w14:textId="51CD28FC" w:rsidR="00AF0BDE" w:rsidRDefault="00AF0BDE" w:rsidP="0019152F">
      <w:pPr>
        <w:pStyle w:val="ListParagraph"/>
        <w:numPr>
          <w:ilvl w:val="0"/>
          <w:numId w:val="31"/>
        </w:numPr>
        <w:spacing w:after="240"/>
      </w:pPr>
      <w:r>
        <w:t>ESC noted the clinical claim that MBGS is potentially inferior to trabeculectomy in terms of comparative effectiveness, and superior in terms of comparative safety.</w:t>
      </w:r>
    </w:p>
    <w:p w14:paraId="41D93936" w14:textId="399106E3" w:rsidR="00AF0BDE" w:rsidRDefault="00AF0BDE" w:rsidP="0019152F">
      <w:pPr>
        <w:spacing w:after="240"/>
      </w:pPr>
      <w:r>
        <w:lastRenderedPageBreak/>
        <w:t>ESC noted that, according to the clinical algorithm provided, patients can undergo an MBGS standalone procedure following trabeculectomy or further incisional surgery/aqueous tube shunt implantation. The appropriateness of, and the evidence base for these treatment pathways, needs further clarification. ESC noted that clarification is also required as to how many MBGS procedures may be performed per eye.ESC noted no issues with the revised PICO provided in the SBA for the current application.</w:t>
      </w:r>
    </w:p>
    <w:p w14:paraId="27D7C008" w14:textId="670FB7DE" w:rsidR="00AF0BDE" w:rsidRDefault="00AF0BDE" w:rsidP="0019152F">
      <w:pPr>
        <w:spacing w:after="240"/>
      </w:pPr>
      <w:r>
        <w:t>ESC noted that the systematic review of published and unpublished literature has not been updated in the new application, and that the critique had concerns about the process of study selection in the systematic review because literature annotation was done by only one reviewer. ESC noted that the three-stage approach for evidence appraisal requested in MSAC guidelines was poorly performed, and a GRADE evidence profile was not provided in the SBA. ESC noted that, overall, the literature review and evidence appraisal are incomplete.</w:t>
      </w:r>
    </w:p>
    <w:p w14:paraId="51B6A0A9" w14:textId="63E018E8" w:rsidR="00AF0BDE" w:rsidRDefault="00AF0BDE" w:rsidP="0019152F">
      <w:pPr>
        <w:spacing w:after="240"/>
      </w:pPr>
      <w:r>
        <w:t xml:space="preserve">ESC noted that the evidence base comprised only two </w:t>
      </w:r>
      <w:r w:rsidR="00D05FED">
        <w:t>RCTs (</w:t>
      </w:r>
      <w:r>
        <w:t>three publications) and 11 non-randomised studies for MBGS standalone, and the two UK National Trabeculectomy Surveys for trabeculectomy. ESC noted that the critique recommended that RCTs in treatment naive patients (Vold 2016 for MBGS, and Burr 2012 systematic review that included the Collaborative Initial Glaucoma Treatment Study [CIGTS] f</w:t>
      </w:r>
      <w:r w:rsidR="0019152F">
        <w:t>or trabeculectomy) be excluded.</w:t>
      </w:r>
    </w:p>
    <w:p w14:paraId="663E4776" w14:textId="77777777" w:rsidR="00AF0BDE" w:rsidRDefault="00AF0BDE" w:rsidP="00AF0BDE">
      <w:r>
        <w:t>ESC noted that the quality of evidence provided in the SBA is poor for a number of reasons:</w:t>
      </w:r>
    </w:p>
    <w:p w14:paraId="7E48726C" w14:textId="77777777" w:rsidR="00AF0BDE" w:rsidRDefault="00AF0BDE" w:rsidP="00AF0BDE">
      <w:pPr>
        <w:pStyle w:val="ListParagraph"/>
        <w:numPr>
          <w:ilvl w:val="0"/>
          <w:numId w:val="31"/>
        </w:numPr>
      </w:pPr>
      <w:r>
        <w:t>There are no direct RCTs comparing MBGS stent implantation and trabeculectomy in OAG patients. The vast majority of evidence is from non-randomised studies.</w:t>
      </w:r>
    </w:p>
    <w:p w14:paraId="3C5AA367" w14:textId="77777777" w:rsidR="00AF0BDE" w:rsidRDefault="00AF0BDE" w:rsidP="00AF0BDE">
      <w:pPr>
        <w:pStyle w:val="ListParagraph"/>
        <w:numPr>
          <w:ilvl w:val="0"/>
          <w:numId w:val="31"/>
        </w:numPr>
      </w:pPr>
      <w:r>
        <w:t>Studies in treatment-naive patients were included, so the applicability of results to the proposed population (MBGS as second-line treatment in patients with uncontrolled intraocular pressure following prior conservative treatments) is uncertain. Heterogeneity in study design limited any definitive conclusions about reduction in topical medications.</w:t>
      </w:r>
    </w:p>
    <w:p w14:paraId="7C3B7E28" w14:textId="77777777" w:rsidR="00AF0BDE" w:rsidRDefault="00AF0BDE" w:rsidP="00AF0BDE">
      <w:pPr>
        <w:pStyle w:val="ListParagraph"/>
        <w:numPr>
          <w:ilvl w:val="0"/>
          <w:numId w:val="31"/>
        </w:numPr>
      </w:pPr>
      <w:r>
        <w:t>Safety outcomes were poorly reported in RCTs of MBGS stent implantation, which restricts the direct comparison of MBGS with topical medications. Safety outcomes reported in non-randomised cohort studies were considered low-level evidence.</w:t>
      </w:r>
    </w:p>
    <w:p w14:paraId="1163B946" w14:textId="77777777" w:rsidR="00AF0BDE" w:rsidRDefault="00AF0BDE" w:rsidP="00AF0BDE">
      <w:pPr>
        <w:pStyle w:val="ListParagraph"/>
        <w:numPr>
          <w:ilvl w:val="0"/>
          <w:numId w:val="31"/>
        </w:numPr>
      </w:pPr>
      <w:r>
        <w:t>The UK National Trabeculectomy Survey included as the key evidence for safety of trabeculectomy was conducted in 1996. ESC agreed with the critique that a more recent UK survey with a minimum follow-up of 2 years (Kirwan 2013) should be included, as it more accurately captures the reduced complications and improved outcomes of trabeculectomy over time.</w:t>
      </w:r>
    </w:p>
    <w:p w14:paraId="39C765E8" w14:textId="77777777" w:rsidR="00AF0BDE" w:rsidRDefault="00AF0BDE" w:rsidP="00AF0BDE">
      <w:pPr>
        <w:pStyle w:val="ListParagraph"/>
        <w:numPr>
          <w:ilvl w:val="0"/>
          <w:numId w:val="31"/>
        </w:numPr>
      </w:pPr>
      <w:r>
        <w:t>Given the lack of a common reference arm in datasets for MBGS and trabeculectomy, a formal indirect comparison was not possible. The SBA therefore presented an informal, naive indirect comparison, which was compromised by heterogeneous populations and study designs, limited exchangeability, different follow-up times and out-of-date evidence. This meant that the claimed superiority in safety (incidence of surgical complications and other adverse effects) of MBGS compared with trabeculectomy is highly uncertain, and the claimed superiority in effectiveness (control of intraocular pressure) of trabeculectomy compared with MBGS is uncertain.</w:t>
      </w:r>
    </w:p>
    <w:p w14:paraId="79B7D807" w14:textId="0969082B" w:rsidR="00AF0BDE" w:rsidRDefault="00AF0BDE" w:rsidP="0019152F">
      <w:pPr>
        <w:spacing w:before="240" w:after="240"/>
      </w:pPr>
      <w:r>
        <w:t xml:space="preserve">ESC noted that, in terms of safety, data from the SBA indicate that MBGS stent implantation demonstrates a different profile of potential adverse events to trabeculectomy, which is consistent with the less invasive nature of MBGS. The two RCTs of MBGS reported surgical complications in 3.2% and 3.7% of procedures. For trabeculectomy, the CIGTS RCT reported event rates for a number of single adverse events of over 10%. The UK National Trabeculectomy Survey for 1996 reported adverse event rates of 20%; however, the more </w:t>
      </w:r>
      <w:r>
        <w:lastRenderedPageBreak/>
        <w:t>recent survey (Kirwan 2013) showed a substantial reduction in adverse events due to improved intraoperative techniques and professionally trained specialists.</w:t>
      </w:r>
    </w:p>
    <w:p w14:paraId="771ED91A" w14:textId="088B7454" w:rsidR="00AF0BDE" w:rsidRDefault="00AF0BDE" w:rsidP="0019152F">
      <w:pPr>
        <w:spacing w:after="240"/>
      </w:pPr>
      <w:r>
        <w:t xml:space="preserve">ESC noted that in terms of effectiveness, data from the SBA indicate that the standalone MBGS procedure was associated with reduced intraocular pressure and reduced need for ocular hypotensive therapy. The reduction in intraocular pressure was maintained until 5 years after implantation, and the majority of patients maintained intraocular pressure without additional hypotensive medication. ESC noted that outcomes reported in the Burr 2012 systematic review showed trabeculectomy to be associated with a significantly greater mean change in intraocular pressure from baseline compared with medical therapy. </w:t>
      </w:r>
    </w:p>
    <w:p w14:paraId="24A07C0E" w14:textId="50DF728E" w:rsidR="00AF0BDE" w:rsidRDefault="00AF0BDE" w:rsidP="0019152F">
      <w:pPr>
        <w:spacing w:after="240"/>
      </w:pPr>
      <w:r>
        <w:t xml:space="preserve">ESC noted the suggestion in the critique that a non-randomised, prospective, comparative cohort study of MBGS versus trabeculectomy in OAG patients (Pahlitzsch 2017) may provide valid comparative outcomes for the purpose of an informal indirect comparison. This study demonstrated trabeculectomy to give superior control of intraocular pressure in the early stage following surgery (p = 0.046) and consistently significantly lower glaucoma medications up to 6 months post-operatively (p &lt; 0.001). </w:t>
      </w:r>
    </w:p>
    <w:p w14:paraId="64A54EFB" w14:textId="46CD384E" w:rsidR="00AF0BDE" w:rsidRDefault="00AF0BDE" w:rsidP="000244D0">
      <w:pPr>
        <w:spacing w:after="240"/>
      </w:pPr>
      <w:r>
        <w:t>ESC noted that, although the study was prone to bias due to the non-randomised design, the clinical claim of superior effectiveness associated with trabeculectomy appears appropriate. ESC noted that a number of current trials may provide more data in future,</w:t>
      </w:r>
      <w:r w:rsidR="000244D0">
        <w:t xml:space="preserve"> though not in the short term. </w:t>
      </w:r>
    </w:p>
    <w:p w14:paraId="3F754DEF" w14:textId="417344CA" w:rsidR="00AF0BDE" w:rsidRDefault="00AF0BDE" w:rsidP="000244D0">
      <w:pPr>
        <w:spacing w:after="240"/>
      </w:pPr>
      <w:r>
        <w:t>ESC noted that, given the proposed service is likely to be a day procedure, the most appropriate categorisation for standalone MBGS in the Private Health Insurance (Benefit Requirement) Rules</w:t>
      </w:r>
      <w:r w:rsidR="000244D0">
        <w:t xml:space="preserve"> is Type B (Non Band Specific).</w:t>
      </w:r>
    </w:p>
    <w:p w14:paraId="123BA311" w14:textId="77777777" w:rsidR="00AF0BDE" w:rsidRDefault="00AF0BDE" w:rsidP="00AF0BDE">
      <w:r>
        <w:t>ESC noted the following clinical policy issues for MSAC:</w:t>
      </w:r>
    </w:p>
    <w:p w14:paraId="14EB8378" w14:textId="77777777" w:rsidR="00AF0BDE" w:rsidRDefault="00AF0BDE" w:rsidP="00AF0BDE">
      <w:pPr>
        <w:pStyle w:val="ListParagraph"/>
        <w:numPr>
          <w:ilvl w:val="0"/>
          <w:numId w:val="32"/>
        </w:numPr>
      </w:pPr>
      <w:r>
        <w:t xml:space="preserve">The population who would be eligible for the service is still inadequately defined. </w:t>
      </w:r>
    </w:p>
    <w:p w14:paraId="2A1F403A" w14:textId="77777777" w:rsidR="00AF0BDE" w:rsidRDefault="00AF0BDE" w:rsidP="00AF0BDE">
      <w:pPr>
        <w:pStyle w:val="ListParagraph"/>
        <w:numPr>
          <w:ilvl w:val="0"/>
          <w:numId w:val="32"/>
        </w:numPr>
      </w:pPr>
      <w:r>
        <w:t xml:space="preserve">Unlike the current listing for glaucoma filtering surgery, no separate MBS item number is proposed for repeated MBGS implantation. The frequency of repeated MBGS implantation per eye has not been specified. </w:t>
      </w:r>
    </w:p>
    <w:p w14:paraId="0BEFBC4D" w14:textId="77777777" w:rsidR="00AF0BDE" w:rsidRDefault="00AF0BDE" w:rsidP="00AF0BDE">
      <w:pPr>
        <w:pStyle w:val="ListParagraph"/>
        <w:numPr>
          <w:ilvl w:val="0"/>
          <w:numId w:val="32"/>
        </w:numPr>
      </w:pPr>
      <w:r>
        <w:t>Issues remain with wording of the item descriptor</w:t>
      </w:r>
    </w:p>
    <w:p w14:paraId="0717978A" w14:textId="77777777" w:rsidR="00AF0BDE" w:rsidRDefault="00AF0BDE" w:rsidP="00AF0BDE">
      <w:pPr>
        <w:pStyle w:val="ListParagraph"/>
        <w:numPr>
          <w:ilvl w:val="1"/>
          <w:numId w:val="32"/>
        </w:numPr>
      </w:pPr>
      <w:r>
        <w:t>the stated concept of ‘likely to fail’ is of concern; without an objective threshold by which a treatment failure could be predicted, the criterion is open to broad interpretation and misuse</w:t>
      </w:r>
    </w:p>
    <w:p w14:paraId="2F1D3A23" w14:textId="77777777" w:rsidR="00AF0BDE" w:rsidRDefault="00AF0BDE" w:rsidP="00AF0BDE">
      <w:pPr>
        <w:pStyle w:val="ListParagraph"/>
        <w:numPr>
          <w:ilvl w:val="1"/>
          <w:numId w:val="32"/>
        </w:numPr>
      </w:pPr>
      <w:r>
        <w:t xml:space="preserve"> similarly, ‘conservative therapies’ could be more prescriptive to explicitly encompass topical medication, oral medication and laser trabeculoplasty, which would be considered prior to MBGS as outlined in the assessment report (p. 28)</w:t>
      </w:r>
    </w:p>
    <w:p w14:paraId="0F4C229D" w14:textId="77777777" w:rsidR="00AF0BDE" w:rsidRDefault="00AF0BDE" w:rsidP="00AF0BDE">
      <w:pPr>
        <w:pStyle w:val="ListParagraph"/>
        <w:numPr>
          <w:ilvl w:val="0"/>
          <w:numId w:val="32"/>
        </w:numPr>
      </w:pPr>
      <w:r>
        <w:t>Explicit direction of whether or not the item applies per eye is required.</w:t>
      </w:r>
    </w:p>
    <w:p w14:paraId="76D8A8F7" w14:textId="77777777" w:rsidR="00AF0BDE" w:rsidRDefault="00AF0BDE" w:rsidP="00AF0BDE">
      <w:pPr>
        <w:pStyle w:val="ListParagraph"/>
        <w:numPr>
          <w:ilvl w:val="0"/>
          <w:numId w:val="32"/>
        </w:numPr>
      </w:pPr>
      <w:r>
        <w:t>ESC noted that the economic evaluation presented is a cost analysis, which is inappropriate for the clinical claim of inferior effectiveness and superior safety.  The choice and quantification of outcomes were not documented or justified which, taken with the poor quality of the evidence, makes assumptions within and conclusions from the cost analysis highly uncertain... ESC considered that a cost-utility analysis is required to evaluate net benefits.</w:t>
      </w:r>
    </w:p>
    <w:p w14:paraId="0159CAF6" w14:textId="399198D8" w:rsidR="00AF0BDE" w:rsidRDefault="00AF0BDE" w:rsidP="000244D0">
      <w:pPr>
        <w:pStyle w:val="ListParagraph"/>
        <w:numPr>
          <w:ilvl w:val="0"/>
          <w:numId w:val="32"/>
        </w:numPr>
        <w:spacing w:after="240"/>
      </w:pPr>
      <w:r>
        <w:t xml:space="preserve">ESC noted that the cost analysis included two pathways for MBGS, assuming that all non-responders to MBGS would receive a trabeculectomy. ESC noted that the cost analysis assumed a success rate for MBGS of 83%; the remaining 17% were assumed to receive subsequent trabeculectomy. The success rate of trabeculectomy was assumed to be 100% regardless of the pathway (with or without prior MBGS). </w:t>
      </w:r>
      <w:r>
        <w:lastRenderedPageBreak/>
        <w:t>However, ESC noted issues with the definition of ‘success’: different studies use different measures of success, and the success rate of interventions is very dependent on the definition of success, the timepoint at which success is</w:t>
      </w:r>
      <w:r w:rsidR="000244D0">
        <w:t xml:space="preserve"> calculated and the population.</w:t>
      </w:r>
    </w:p>
    <w:p w14:paraId="64953825" w14:textId="3D43CE7D" w:rsidR="00AF0BDE" w:rsidRDefault="00AF0BDE" w:rsidP="000244D0">
      <w:pPr>
        <w:spacing w:after="240"/>
      </w:pPr>
      <w:r>
        <w:t>ESC noted that the cost analysis assumed quality of life benefits of avoiding adverse events were the same regardless of the pathway, but this was not quantified. ESC noted statements in the applicant’s pre-ESC response that ‘quantification of incremental life years and QALYs accrued as a result of the interventions is not necessary’, with inadequate jus</w:t>
      </w:r>
      <w:r w:rsidR="000244D0">
        <w:t xml:space="preserve">tification. . </w:t>
      </w:r>
    </w:p>
    <w:p w14:paraId="187BB6DD" w14:textId="631A2505" w:rsidR="00AF0BDE" w:rsidRDefault="00AF0BDE" w:rsidP="000244D0">
      <w:pPr>
        <w:spacing w:after="240"/>
      </w:pPr>
      <w:r>
        <w:t>ESC noted that key inputs to the cost analysis were costs of the respective procedures, incidence and costs of associated adverse events, and the proportion of MBGS patients requir</w:t>
      </w:r>
      <w:r w:rsidR="000244D0">
        <w:t>ing subsequent trabeculectomy.</w:t>
      </w:r>
    </w:p>
    <w:p w14:paraId="228E03E8" w14:textId="3B2699CB" w:rsidR="00AF0BDE" w:rsidRDefault="00AF0BDE" w:rsidP="000244D0">
      <w:pPr>
        <w:spacing w:after="240"/>
      </w:pPr>
      <w:r>
        <w:t>ESC noted that the cost analysis found the total cost per patient for MBGS to be less than for trabeculectomy (due to cost offsets from reduced costs of the intervention and managing adverse events). However, ESC noted that the difference was very small ($87) which highlights the importance of unc</w:t>
      </w:r>
      <w:r w:rsidR="000244D0">
        <w:t>ertainty around the key inputs.</w:t>
      </w:r>
    </w:p>
    <w:p w14:paraId="41EB4A8F" w14:textId="49D51CF9" w:rsidR="001C4C38" w:rsidRDefault="00AF0BDE" w:rsidP="000244D0">
      <w:pPr>
        <w:spacing w:after="240"/>
      </w:pPr>
      <w:r>
        <w:t>ESC noted that the cost input for trabeculectomy included 12 post-operative follow-up consultations. ESC considered this to be excessive; most studies of trabeculectomy include around nine post-operative cons</w:t>
      </w:r>
      <w:r w:rsidR="000244D0">
        <w:t xml:space="preserve">ultations. </w:t>
      </w:r>
      <w:r>
        <w:t>ESC also noted that the input cost of the MBGS device ($1440) is an average of the prices of the different devices available.</w:t>
      </w:r>
    </w:p>
    <w:p w14:paraId="3768E002" w14:textId="1C3A2F8F" w:rsidR="00AF0BDE" w:rsidRDefault="00AF0BDE" w:rsidP="000244D0">
      <w:pPr>
        <w:spacing w:after="240"/>
      </w:pPr>
      <w:r>
        <w:t>ESC noted that costs related to adverse events associated with trabeculectomy were derived from the 1996 UK National Trabeculectomy Survey and the Burr 2012 systematic review (that included OAG patients with no prior treatments). However, ESC noted that using adverse events data from the more recent UK survey (Kirwan 2013) reduced the cost saving of MBGS compared to tra</w:t>
      </w:r>
      <w:r w:rsidR="000244D0">
        <w:t>beculectomy from $87 to $31.58.</w:t>
      </w:r>
    </w:p>
    <w:p w14:paraId="706AC42C" w14:textId="7DAAECF2" w:rsidR="00AF0BDE" w:rsidRDefault="00AF0BDE" w:rsidP="000244D0">
      <w:pPr>
        <w:spacing w:after="240"/>
      </w:pPr>
      <w:r>
        <w:t>ESC noted that the estimate of the proportion of patients who would require trabeculectomy due to MBGS failure (17.1%) was derived from the DUETTE study (an open-label, single-arm study of uncertain quality). Costs of subsequent trabeculectomy were calculated by applying this percentage to the costs of the trabeculectomy procedure an</w:t>
      </w:r>
      <w:r w:rsidR="000244D0">
        <w:t>d of associated adverse events.</w:t>
      </w:r>
    </w:p>
    <w:p w14:paraId="4AF4D208" w14:textId="77777777" w:rsidR="00AF0BDE" w:rsidRDefault="00AF0BDE" w:rsidP="00AF0BDE">
      <w:r>
        <w:t xml:space="preserve">ESC noted that the cost analysis was highly sensitive to small changes in key inputs. ESC noted the following threshold analysis (no cost saving): </w:t>
      </w:r>
    </w:p>
    <w:p w14:paraId="2D2A5519" w14:textId="77777777" w:rsidR="00AF0BDE" w:rsidRDefault="00AF0BDE" w:rsidP="00AF0BDE">
      <w:pPr>
        <w:pStyle w:val="ListParagraph"/>
        <w:numPr>
          <w:ilvl w:val="0"/>
          <w:numId w:val="35"/>
        </w:numPr>
      </w:pPr>
      <w:r>
        <w:t>using Kirwan (2013) adverse events data and an MBGS failure rate of 18</w:t>
      </w:r>
    </w:p>
    <w:p w14:paraId="4C0F71E7" w14:textId="77777777" w:rsidR="00AF0BDE" w:rsidRDefault="00AF0BDE" w:rsidP="00AF0BDE">
      <w:pPr>
        <w:pStyle w:val="ListParagraph"/>
        <w:numPr>
          <w:ilvl w:val="0"/>
          <w:numId w:val="35"/>
        </w:numPr>
      </w:pPr>
      <w:r>
        <w:t>using the cost of one of the available MBGS devices (iStent, $1536) instead of an average price;</w:t>
      </w:r>
    </w:p>
    <w:p w14:paraId="0791923F" w14:textId="77777777" w:rsidR="00AF0BDE" w:rsidRDefault="00AF0BDE" w:rsidP="00AF0BDE">
      <w:pPr>
        <w:pStyle w:val="ListParagraph"/>
        <w:numPr>
          <w:ilvl w:val="0"/>
          <w:numId w:val="35"/>
        </w:numPr>
      </w:pPr>
      <w:r>
        <w:t>using nine follow-up consultations for trabeculectomy instead of 12 (Rodriguez-Una et al. 2016)</w:t>
      </w:r>
    </w:p>
    <w:p w14:paraId="16597784" w14:textId="398BDFCA" w:rsidR="00AF0BDE" w:rsidRDefault="00AF0BDE" w:rsidP="000244D0">
      <w:pPr>
        <w:spacing w:before="240" w:after="240"/>
      </w:pPr>
      <w:r>
        <w:t>ESC noted that use of concurrent medications with interventions has not been included in the evaluation. ESC noted that this may push the potential impact on healthcare costs and quality of life in favour of MBGS. ESC noted the study by Pahlitzsch et al. (2017) (a prospective observational study) that showed a significant decrease in the number of glaucoma medications at all post-operative timepoints in favour of trabeculectomy (versus MBGS).</w:t>
      </w:r>
      <w:r w:rsidR="001C4C38">
        <w:t xml:space="preserve"> </w:t>
      </w:r>
      <w:r>
        <w:t>ESC noted the applicant’s pre-ESC response that ‘due to a lack of randomised comparative data, there is uncertainty as to whether any differences would be observed in the capacity to reduce the need for ocular hypotensive therapy between MBGS and trabeculectomy post-intervent</w:t>
      </w:r>
      <w:r w:rsidR="000244D0">
        <w:t>ion’.</w:t>
      </w:r>
    </w:p>
    <w:p w14:paraId="014AC7F7" w14:textId="77777777" w:rsidR="00AF0BDE" w:rsidRDefault="00AF0BDE" w:rsidP="00AF0BDE">
      <w:r>
        <w:lastRenderedPageBreak/>
        <w:t>ESC noted that the net cost to the MBS was estimated to be $2.1 million in year 1, rising to $4.3 million in year 5. However, ESC noted that the financial and budgetary impacts are uncertain due to:</w:t>
      </w:r>
    </w:p>
    <w:p w14:paraId="2CE60D5F" w14:textId="77777777" w:rsidR="00AF0BDE" w:rsidRDefault="00AF0BDE" w:rsidP="00AF0BDE">
      <w:pPr>
        <w:pStyle w:val="ListParagraph"/>
        <w:numPr>
          <w:ilvl w:val="0"/>
          <w:numId w:val="36"/>
        </w:numPr>
      </w:pPr>
      <w:r>
        <w:t xml:space="preserve">uncertainty about the estimated number of MBGS procedures per year </w:t>
      </w:r>
    </w:p>
    <w:p w14:paraId="109BC9A9" w14:textId="77777777" w:rsidR="00AF0BDE" w:rsidRDefault="00AF0BDE" w:rsidP="00AF0BDE">
      <w:pPr>
        <w:pStyle w:val="ListParagraph"/>
        <w:numPr>
          <w:ilvl w:val="1"/>
          <w:numId w:val="36"/>
        </w:numPr>
      </w:pPr>
      <w:r>
        <w:t>the estimate of between 12,000 (year 1) and 13,000 (year 5) includes both standalone and combined settings; in calculating costs, it was assumed that standalone MBGS would constitute 10% of the total in year 1, rising to 50% in year 5 which is uncertain</w:t>
      </w:r>
    </w:p>
    <w:p w14:paraId="439416B3" w14:textId="77777777" w:rsidR="00AF0BDE" w:rsidRDefault="00AF0BDE" w:rsidP="00AF0BDE">
      <w:pPr>
        <w:pStyle w:val="ListParagraph"/>
        <w:numPr>
          <w:ilvl w:val="1"/>
          <w:numId w:val="36"/>
        </w:numPr>
      </w:pPr>
      <w:r>
        <w:t>the estimate included only privately insured patients; there is uncertainty about the number of patients who may receive MBGS in the public hospital setting and the resultant impact on government budgets</w:t>
      </w:r>
    </w:p>
    <w:p w14:paraId="23379900" w14:textId="77777777" w:rsidR="00AF0BDE" w:rsidRDefault="00AF0BDE" w:rsidP="00AF0BDE">
      <w:pPr>
        <w:pStyle w:val="ListParagraph"/>
        <w:numPr>
          <w:ilvl w:val="0"/>
          <w:numId w:val="36"/>
        </w:numPr>
      </w:pPr>
      <w:r>
        <w:t>uncertainty about the effect of a change in cost of other services, for example</w:t>
      </w:r>
    </w:p>
    <w:p w14:paraId="26F54734" w14:textId="77777777" w:rsidR="00AF0BDE" w:rsidRDefault="00AF0BDE" w:rsidP="00AF0BDE">
      <w:pPr>
        <w:pStyle w:val="ListParagraph"/>
        <w:numPr>
          <w:ilvl w:val="1"/>
          <w:numId w:val="36"/>
        </w:numPr>
      </w:pPr>
      <w:r>
        <w:t>reductions in medication use and trabeculectomy</w:t>
      </w:r>
    </w:p>
    <w:p w14:paraId="2AB96431" w14:textId="77777777" w:rsidR="00AF0BDE" w:rsidRDefault="00AF0BDE" w:rsidP="00AF0BDE">
      <w:pPr>
        <w:pStyle w:val="ListParagraph"/>
        <w:numPr>
          <w:ilvl w:val="1"/>
          <w:numId w:val="36"/>
        </w:numPr>
      </w:pPr>
      <w:r>
        <w:t>cost-saving associated with avoidance of laser trabeculoplasty should not be included because they are not relevant to the target population</w:t>
      </w:r>
    </w:p>
    <w:p w14:paraId="25457E86" w14:textId="77777777" w:rsidR="00AF0BDE" w:rsidRDefault="00AF0BDE" w:rsidP="00AF0BDE">
      <w:pPr>
        <w:pStyle w:val="ListParagraph"/>
        <w:numPr>
          <w:ilvl w:val="0"/>
          <w:numId w:val="36"/>
        </w:numPr>
      </w:pPr>
      <w:r>
        <w:t>the exclusion of costs for subsequent trabeculectomy after MBGS failure.</w:t>
      </w:r>
    </w:p>
    <w:p w14:paraId="6A4F4306" w14:textId="1FACF60D" w:rsidR="00AF0BDE" w:rsidRDefault="00AF0BDE" w:rsidP="000244D0">
      <w:pPr>
        <w:spacing w:before="240" w:after="240"/>
      </w:pPr>
      <w:r>
        <w:t>ESC also noted that the lower proposed fee in revised item descriptors will have an imp</w:t>
      </w:r>
      <w:r w:rsidR="000244D0">
        <w:t>act on the economic evaluation.</w:t>
      </w:r>
    </w:p>
    <w:p w14:paraId="7DCB34B0" w14:textId="77777777" w:rsidR="00AF0BDE" w:rsidRDefault="00AF0BDE" w:rsidP="00AF0BDE">
      <w:r>
        <w:t>ESC noted the following key economic issues for MSAC:</w:t>
      </w:r>
    </w:p>
    <w:p w14:paraId="77B13946" w14:textId="77777777" w:rsidR="00AF0BDE" w:rsidRDefault="00AF0BDE" w:rsidP="00AF0BDE">
      <w:pPr>
        <w:pStyle w:val="ListParagraph"/>
        <w:numPr>
          <w:ilvl w:val="0"/>
          <w:numId w:val="38"/>
        </w:numPr>
      </w:pPr>
      <w:r>
        <w:t>Cost analysis is not appropriate.</w:t>
      </w:r>
    </w:p>
    <w:p w14:paraId="64EF1DA6" w14:textId="77777777" w:rsidR="00AF0BDE" w:rsidRDefault="00AF0BDE" w:rsidP="00AF0BDE">
      <w:pPr>
        <w:pStyle w:val="ListParagraph"/>
        <w:numPr>
          <w:ilvl w:val="0"/>
          <w:numId w:val="38"/>
        </w:numPr>
      </w:pPr>
      <w:r>
        <w:t>Results of the economic evaluation are highly uncertain due to the poor quality of evidence and analysis, the inclusion of inappropriate evidence, and the high level of uncertainty in key inputs.</w:t>
      </w:r>
    </w:p>
    <w:p w14:paraId="445166CF" w14:textId="77777777" w:rsidR="00AF0BDE" w:rsidRDefault="00AF0BDE" w:rsidP="00AF0BDE">
      <w:pPr>
        <w:pStyle w:val="ListParagraph"/>
        <w:numPr>
          <w:ilvl w:val="0"/>
          <w:numId w:val="38"/>
        </w:numPr>
      </w:pPr>
      <w:r>
        <w:t>Financial estimates are uncertain due to uncertainty about the expected number of MBGS procedures and the potential changes in use of other services.</w:t>
      </w:r>
    </w:p>
    <w:p w14:paraId="01E1F68F" w14:textId="77777777" w:rsidR="00AF0BDE" w:rsidRDefault="00AF0BDE" w:rsidP="000244D0">
      <w:pPr>
        <w:spacing w:before="240"/>
      </w:pPr>
      <w:r>
        <w:t>ESC also noted a health technology assessment commissioned by the Canadian Agency for Drugs and Technologies in Health (CADTH), looking at the optimal use of minimally invasive glaucoma surgery. ESC suggested that it would be useful for MSAC to refer to the 12 research questions outlined in the project proposal to inform their deliberations.</w:t>
      </w:r>
    </w:p>
    <w:p w14:paraId="54BC79E1" w14:textId="77777777" w:rsidR="00D90A38" w:rsidRPr="00F715D1" w:rsidRDefault="00BC1364" w:rsidP="00F715D1">
      <w:pPr>
        <w:pStyle w:val="Heading1"/>
      </w:pPr>
      <w:r w:rsidRPr="00F715D1">
        <w:t>Other significant factors</w:t>
      </w:r>
    </w:p>
    <w:p w14:paraId="5D9C93D7" w14:textId="77777777" w:rsidR="00BC1364" w:rsidRPr="005351C0" w:rsidRDefault="00BC1364" w:rsidP="00F715D1">
      <w:pPr>
        <w:spacing w:after="240"/>
        <w:rPr>
          <w:szCs w:val="24"/>
        </w:rPr>
      </w:pPr>
      <w:r w:rsidRPr="005351C0">
        <w:rPr>
          <w:szCs w:val="24"/>
        </w:rPr>
        <w:t>Nil</w:t>
      </w:r>
    </w:p>
    <w:p w14:paraId="5AE08D8C" w14:textId="77777777" w:rsidR="00BC1364" w:rsidRPr="00F715D1" w:rsidRDefault="00BC1364" w:rsidP="00F715D1">
      <w:pPr>
        <w:pStyle w:val="Heading1"/>
      </w:pPr>
      <w:r w:rsidRPr="00F715D1">
        <w:t xml:space="preserve">Applicant’s comments on MSAC’s </w:t>
      </w:r>
      <w:r w:rsidR="00DA56AA" w:rsidRPr="00F715D1">
        <w:t>Public Summary Document</w:t>
      </w:r>
    </w:p>
    <w:p w14:paraId="5F9AC1B6" w14:textId="77777777" w:rsidR="00A276D4" w:rsidRPr="006F0C7D" w:rsidRDefault="00A276D4" w:rsidP="00BB3AD6">
      <w:pPr>
        <w:pStyle w:val="Heading2"/>
        <w:keepNext w:val="0"/>
        <w:keepLines w:val="0"/>
        <w:spacing w:before="240" w:after="120"/>
        <w:rPr>
          <w:b/>
        </w:rPr>
      </w:pPr>
      <w:r>
        <w:rPr>
          <w:b/>
        </w:rPr>
        <w:t>August 2019</w:t>
      </w:r>
      <w:r w:rsidRPr="006F0C7D">
        <w:rPr>
          <w:b/>
        </w:rPr>
        <w:t xml:space="preserve"> MSAC consideration</w:t>
      </w:r>
    </w:p>
    <w:p w14:paraId="23A61225" w14:textId="77777777" w:rsidR="00205CAB" w:rsidRDefault="00205CAB" w:rsidP="00205CAB">
      <w:r>
        <w:t>This is welcome news and the lead applicant, the Australian Society of Ophthalmologists, on behalf of all the applicants and of our patients are grateful for MSAC’s recommendation after multiple attempts.</w:t>
      </w:r>
    </w:p>
    <w:p w14:paraId="0EC3FAD7" w14:textId="09FF289B" w:rsidR="00205CAB" w:rsidRDefault="00205CAB" w:rsidP="00BB3AD6">
      <w:pPr>
        <w:spacing w:before="240"/>
      </w:pPr>
      <w:r>
        <w:t>We look forward to finalising the arrangements</w:t>
      </w:r>
      <w:r w:rsidR="00CE0549">
        <w:t xml:space="preserve">, </w:t>
      </w:r>
      <w:r>
        <w:t>particularly with regard to the proposed MBS fee and the proposed registry referred to by MSAC</w:t>
      </w:r>
      <w:r w:rsidR="00CE0549">
        <w:t xml:space="preserve">, </w:t>
      </w:r>
      <w:r>
        <w:t>and including implantation of micro-bypass glaucoma surgery devices as a standalone procedure on the MBS.</w:t>
      </w:r>
    </w:p>
    <w:p w14:paraId="33612714" w14:textId="77777777" w:rsidR="00A276D4" w:rsidRPr="006F0C7D" w:rsidRDefault="00A276D4" w:rsidP="00BB3AD6">
      <w:pPr>
        <w:pStyle w:val="Heading2"/>
        <w:keepNext w:val="0"/>
        <w:keepLines w:val="0"/>
        <w:spacing w:before="240" w:after="120"/>
        <w:rPr>
          <w:b/>
        </w:rPr>
      </w:pPr>
      <w:r w:rsidRPr="006F0C7D">
        <w:rPr>
          <w:b/>
        </w:rPr>
        <w:t>November 2018 MSAC consideration</w:t>
      </w:r>
    </w:p>
    <w:p w14:paraId="58527C0F" w14:textId="3941F014" w:rsidR="0080477D" w:rsidRDefault="0080477D" w:rsidP="000244D0">
      <w:pPr>
        <w:spacing w:after="240"/>
      </w:pPr>
      <w:r>
        <w:t xml:space="preserve">The applicant is disappointed with MSAC’s decision not to recommend the micro-bypass glaucoma surgery (MBGS) device implantation as a standalone procedure in patients with open angle glaucoma for inclusion on the MBS. The applicant is concerned MSAC’s </w:t>
      </w:r>
      <w:r>
        <w:lastRenderedPageBreak/>
        <w:t>reasoning the effectiveness of MBGS is uncertain is inconsistent with the previous recommendation to include MBGS on the MBS in patients undergoing cataract surgery and are concerned this inconsistency will potentially confuse patients and contribute to inequitable access. The applicant are disappointed MSAC considered the eligibility criteria to be poorly defined because we based it on the criteria developed by MSAC for the more invasive and costly trabeculectomy procedure. The applicant believes the cost-analysis provides a good basis for MSAC decision making because it appropriately incorporates the costs of the potentially inferior effectiveness of MBGS relative to trabeculectomy. The applicant looks forward to better understanding MSAC’s position on these issues and will continue to work with the department and with MSAC to ensure equitabl</w:t>
      </w:r>
      <w:r w:rsidR="000244D0">
        <w:t>e access to MBGS in the future.</w:t>
      </w:r>
    </w:p>
    <w:p w14:paraId="01A13933" w14:textId="1D1B1233" w:rsidR="00DA1406" w:rsidRPr="00DA1406" w:rsidRDefault="00DA1406" w:rsidP="0080477D">
      <w:r w:rsidRPr="00DA1406">
        <w:t>Glaucoma Australia disagree with the MSAC decision which now limits access to the new glaucoma drainage stents, a valuable tool to lower eye pressure, for those who do not need cataract surgery, or already have had cataract surgery. Please see the Glaucoma Australia website for more information (</w:t>
      </w:r>
      <w:hyperlink r:id="rId12" w:tooltip="Link to Glaucoma Australia website" w:history="1">
        <w:r w:rsidRPr="009617D3">
          <w:rPr>
            <w:rStyle w:val="Hyperlink"/>
          </w:rPr>
          <w:t>www.glaucoma.org.au</w:t>
        </w:r>
      </w:hyperlink>
      <w:r>
        <w:t>).</w:t>
      </w:r>
      <w:r w:rsidRPr="00DA1406" w:rsidDel="00DA1406">
        <w:t xml:space="preserve"> </w:t>
      </w:r>
    </w:p>
    <w:p w14:paraId="558FECD0" w14:textId="77777777" w:rsidR="00BC1364" w:rsidRPr="00F715D1" w:rsidRDefault="00271F18" w:rsidP="00F715D1">
      <w:pPr>
        <w:pStyle w:val="Heading1"/>
      </w:pPr>
      <w:r w:rsidRPr="00F715D1">
        <w:t>Further information on MSAC</w:t>
      </w:r>
    </w:p>
    <w:p w14:paraId="0D7CD017" w14:textId="3295F58F"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3"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4"/>
      <w:headerReference w:type="default" r:id="rId15"/>
      <w:footerReference w:type="even" r:id="rId16"/>
      <w:footerReference w:type="default" r:id="rId17"/>
      <w:headerReference w:type="first" r:id="rId18"/>
      <w:footerReference w:type="first" r:id="rId19"/>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3EB571" w16cid:durableId="21593819"/>
  <w16cid:commentId w16cid:paraId="33FB0D17" w16cid:durableId="215938E8"/>
  <w16cid:commentId w16cid:paraId="6F4C6D13" w16cid:durableId="215058D6"/>
  <w16cid:commentId w16cid:paraId="3DFA5048" w16cid:durableId="21505A10"/>
  <w16cid:commentId w16cid:paraId="3C128614" w16cid:durableId="21505AC1"/>
  <w16cid:commentId w16cid:paraId="7E987C35" w16cid:durableId="21505D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9821D" w14:textId="77777777" w:rsidR="00D15903" w:rsidRDefault="00D15903" w:rsidP="00065623">
      <w:r>
        <w:separator/>
      </w:r>
    </w:p>
  </w:endnote>
  <w:endnote w:type="continuationSeparator" w:id="0">
    <w:p w14:paraId="45F83DCB" w14:textId="77777777" w:rsidR="00D15903" w:rsidRDefault="00D15903"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71C91" w14:textId="77777777" w:rsidR="00A03499" w:rsidRDefault="00A03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081A36BA" w14:textId="687ED0B6" w:rsidR="00D15903" w:rsidRDefault="00D15903">
        <w:pPr>
          <w:pStyle w:val="Footer"/>
          <w:jc w:val="right"/>
        </w:pPr>
        <w:r>
          <w:fldChar w:fldCharType="begin"/>
        </w:r>
        <w:r>
          <w:instrText xml:space="preserve"> PAGE   \* MERGEFORMAT </w:instrText>
        </w:r>
        <w:r>
          <w:fldChar w:fldCharType="separate"/>
        </w:r>
        <w:r w:rsidR="001F2547">
          <w:rPr>
            <w:noProof/>
          </w:rPr>
          <w:t>1</w:t>
        </w:r>
        <w:r>
          <w:rPr>
            <w:noProof/>
          </w:rPr>
          <w:fldChar w:fldCharType="end"/>
        </w:r>
      </w:p>
    </w:sdtContent>
  </w:sdt>
  <w:p w14:paraId="70B22E32" w14:textId="77777777" w:rsidR="00D15903" w:rsidRDefault="00D159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4DDEC" w14:textId="77777777" w:rsidR="00A03499" w:rsidRDefault="00A03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8849F" w14:textId="77777777" w:rsidR="00D15903" w:rsidRDefault="00D15903" w:rsidP="00065623">
      <w:r>
        <w:separator/>
      </w:r>
    </w:p>
  </w:footnote>
  <w:footnote w:type="continuationSeparator" w:id="0">
    <w:p w14:paraId="4F17EC64" w14:textId="77777777" w:rsidR="00D15903" w:rsidRDefault="00D15903"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45855" w14:textId="77777777" w:rsidR="00A03499" w:rsidRDefault="00A03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DBD3F" w14:textId="77777777" w:rsidR="00A03499" w:rsidRDefault="00A03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959A1" w14:textId="77777777" w:rsidR="00A03499" w:rsidRDefault="00A03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6AD"/>
    <w:multiLevelType w:val="hybridMultilevel"/>
    <w:tmpl w:val="3968AE1E"/>
    <w:lvl w:ilvl="0" w:tplc="6A9C50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336EAA"/>
    <w:multiLevelType w:val="hybridMultilevel"/>
    <w:tmpl w:val="7F3ED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B4059C"/>
    <w:multiLevelType w:val="hybridMultilevel"/>
    <w:tmpl w:val="981E30D4"/>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DF1B00"/>
    <w:multiLevelType w:val="hybridMultilevel"/>
    <w:tmpl w:val="7724099E"/>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BE6BF6"/>
    <w:multiLevelType w:val="hybridMultilevel"/>
    <w:tmpl w:val="890E636E"/>
    <w:lvl w:ilvl="0" w:tplc="0C090001">
      <w:start w:val="1"/>
      <w:numFmt w:val="bullet"/>
      <w:lvlText w:val=""/>
      <w:lvlJc w:val="left"/>
      <w:pPr>
        <w:ind w:left="720" w:hanging="360"/>
      </w:pPr>
      <w:rPr>
        <w:rFonts w:ascii="Symbol" w:hAnsi="Symbol" w:hint="default"/>
      </w:rPr>
    </w:lvl>
    <w:lvl w:ilvl="1" w:tplc="EC840366">
      <w:start w:val="1"/>
      <w:numFmt w:val="bullet"/>
      <w:lvlText w:val="–"/>
      <w:lvlJc w:val="left"/>
      <w:pPr>
        <w:ind w:left="1440" w:hanging="360"/>
      </w:pPr>
      <w:rPr>
        <w:rFonts w:ascii="Times New Roman" w:hAnsi="Times New Roman" w:cs="Times New Roman"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3AF7DBC"/>
    <w:multiLevelType w:val="hybridMultilevel"/>
    <w:tmpl w:val="C526B9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001BDE"/>
    <w:multiLevelType w:val="hybridMultilevel"/>
    <w:tmpl w:val="9EC0D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A06E0D"/>
    <w:multiLevelType w:val="hybridMultilevel"/>
    <w:tmpl w:val="536CAEA4"/>
    <w:lvl w:ilvl="0" w:tplc="EC840366">
      <w:start w:val="1"/>
      <w:numFmt w:val="bullet"/>
      <w:lvlText w:val="–"/>
      <w:lvlJc w:val="left"/>
      <w:pPr>
        <w:ind w:left="360" w:hanging="360"/>
      </w:pPr>
      <w:rPr>
        <w:rFonts w:ascii="Times New Roman" w:hAnsi="Times New Roman" w:cs="Times New Roman"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0426F90"/>
    <w:multiLevelType w:val="hybridMultilevel"/>
    <w:tmpl w:val="27FC5B68"/>
    <w:lvl w:ilvl="0" w:tplc="0C090001">
      <w:start w:val="1"/>
      <w:numFmt w:val="bullet"/>
      <w:lvlText w:val=""/>
      <w:lvlJc w:val="left"/>
      <w:pPr>
        <w:ind w:left="1080" w:hanging="360"/>
      </w:pPr>
      <w:rPr>
        <w:rFonts w:ascii="Symbol" w:hAnsi="Symbol" w:hint="default"/>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6CD6DF8"/>
    <w:multiLevelType w:val="hybridMultilevel"/>
    <w:tmpl w:val="26866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F036F0"/>
    <w:multiLevelType w:val="hybridMultilevel"/>
    <w:tmpl w:val="4462D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4AF02D6"/>
    <w:multiLevelType w:val="hybridMultilevel"/>
    <w:tmpl w:val="5B763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78148A"/>
    <w:multiLevelType w:val="hybridMultilevel"/>
    <w:tmpl w:val="41BAC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EA7429"/>
    <w:multiLevelType w:val="hybridMultilevel"/>
    <w:tmpl w:val="A3ACA12C"/>
    <w:lvl w:ilvl="0" w:tplc="0C090001">
      <w:start w:val="1"/>
      <w:numFmt w:val="bullet"/>
      <w:lvlText w:val=""/>
      <w:lvlJc w:val="left"/>
      <w:pPr>
        <w:ind w:left="720" w:hanging="360"/>
      </w:pPr>
      <w:rPr>
        <w:rFonts w:ascii="Symbol" w:hAnsi="Symbol" w:hint="default"/>
      </w:rPr>
    </w:lvl>
    <w:lvl w:ilvl="1" w:tplc="EC840366">
      <w:start w:val="1"/>
      <w:numFmt w:val="bullet"/>
      <w:lvlText w:val="–"/>
      <w:lvlJc w:val="left"/>
      <w:pPr>
        <w:ind w:left="1440" w:hanging="360"/>
      </w:pPr>
      <w:rPr>
        <w:rFonts w:ascii="Times New Roman" w:hAnsi="Times New Roman" w:cs="Times New Roman"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83D8F"/>
    <w:multiLevelType w:val="hybridMultilevel"/>
    <w:tmpl w:val="D1FC6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1137D9"/>
    <w:multiLevelType w:val="hybridMultilevel"/>
    <w:tmpl w:val="9A2C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0671D14"/>
    <w:multiLevelType w:val="hybridMultilevel"/>
    <w:tmpl w:val="79C61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6B77E9"/>
    <w:multiLevelType w:val="hybridMultilevel"/>
    <w:tmpl w:val="FB72E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FF60C4"/>
    <w:multiLevelType w:val="hybridMultilevel"/>
    <w:tmpl w:val="70329BFE"/>
    <w:lvl w:ilvl="0" w:tplc="0C090001">
      <w:start w:val="1"/>
      <w:numFmt w:val="bullet"/>
      <w:lvlText w:val=""/>
      <w:lvlJc w:val="left"/>
      <w:pPr>
        <w:ind w:left="720" w:hanging="360"/>
      </w:pPr>
      <w:rPr>
        <w:rFonts w:ascii="Symbol" w:hAnsi="Symbol" w:hint="default"/>
      </w:rPr>
    </w:lvl>
    <w:lvl w:ilvl="1" w:tplc="EC840366">
      <w:start w:val="1"/>
      <w:numFmt w:val="bullet"/>
      <w:lvlText w:val="–"/>
      <w:lvlJc w:val="left"/>
      <w:pPr>
        <w:ind w:left="1440" w:hanging="360"/>
      </w:pPr>
      <w:rPr>
        <w:rFonts w:ascii="Times New Roman" w:hAnsi="Times New Roman" w:cs="Times New Roman" w:hint="default"/>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6EA7509C"/>
    <w:multiLevelType w:val="hybridMultilevel"/>
    <w:tmpl w:val="514E91A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4"/>
  </w:num>
  <w:num w:numId="3">
    <w:abstractNumId w:val="4"/>
  </w:num>
  <w:num w:numId="4">
    <w:abstractNumId w:val="29"/>
  </w:num>
  <w:num w:numId="5">
    <w:abstractNumId w:val="16"/>
  </w:num>
  <w:num w:numId="6">
    <w:abstractNumId w:val="26"/>
  </w:num>
  <w:num w:numId="7">
    <w:abstractNumId w:val="36"/>
  </w:num>
  <w:num w:numId="8">
    <w:abstractNumId w:val="21"/>
  </w:num>
  <w:num w:numId="9">
    <w:abstractNumId w:val="45"/>
  </w:num>
  <w:num w:numId="10">
    <w:abstractNumId w:val="3"/>
  </w:num>
  <w:num w:numId="11">
    <w:abstractNumId w:val="33"/>
  </w:num>
  <w:num w:numId="12">
    <w:abstractNumId w:val="37"/>
  </w:num>
  <w:num w:numId="13">
    <w:abstractNumId w:val="8"/>
  </w:num>
  <w:num w:numId="14">
    <w:abstractNumId w:val="42"/>
  </w:num>
  <w:num w:numId="15">
    <w:abstractNumId w:val="32"/>
  </w:num>
  <w:num w:numId="16">
    <w:abstractNumId w:val="38"/>
  </w:num>
  <w:num w:numId="17">
    <w:abstractNumId w:val="22"/>
  </w:num>
  <w:num w:numId="18">
    <w:abstractNumId w:val="23"/>
  </w:num>
  <w:num w:numId="19">
    <w:abstractNumId w:val="40"/>
  </w:num>
  <w:num w:numId="20">
    <w:abstractNumId w:val="39"/>
  </w:num>
  <w:num w:numId="21">
    <w:abstractNumId w:val="7"/>
  </w:num>
  <w:num w:numId="22">
    <w:abstractNumId w:val="14"/>
  </w:num>
  <w:num w:numId="23">
    <w:abstractNumId w:val="5"/>
  </w:num>
  <w:num w:numId="24">
    <w:abstractNumId w:val="12"/>
  </w:num>
  <w:num w:numId="25">
    <w:abstractNumId w:val="10"/>
  </w:num>
  <w:num w:numId="26">
    <w:abstractNumId w:val="19"/>
  </w:num>
  <w:num w:numId="27">
    <w:abstractNumId w:val="25"/>
  </w:num>
  <w:num w:numId="28">
    <w:abstractNumId w:val="28"/>
  </w:num>
  <w:num w:numId="29">
    <w:abstractNumId w:val="2"/>
  </w:num>
  <w:num w:numId="30">
    <w:abstractNumId w:val="15"/>
  </w:num>
  <w:num w:numId="31">
    <w:abstractNumId w:val="20"/>
  </w:num>
  <w:num w:numId="32">
    <w:abstractNumId w:val="41"/>
  </w:num>
  <w:num w:numId="33">
    <w:abstractNumId w:val="17"/>
  </w:num>
  <w:num w:numId="34">
    <w:abstractNumId w:val="6"/>
  </w:num>
  <w:num w:numId="35">
    <w:abstractNumId w:val="30"/>
  </w:num>
  <w:num w:numId="36">
    <w:abstractNumId w:val="9"/>
  </w:num>
  <w:num w:numId="37">
    <w:abstractNumId w:val="18"/>
  </w:num>
  <w:num w:numId="38">
    <w:abstractNumId w:val="34"/>
  </w:num>
  <w:num w:numId="39">
    <w:abstractNumId w:val="31"/>
  </w:num>
  <w:num w:numId="40">
    <w:abstractNumId w:val="44"/>
  </w:num>
  <w:num w:numId="41">
    <w:abstractNumId w:val="27"/>
  </w:num>
  <w:num w:numId="42">
    <w:abstractNumId w:val="0"/>
  </w:num>
  <w:num w:numId="43">
    <w:abstractNumId w:val="43"/>
  </w:num>
  <w:num w:numId="44">
    <w:abstractNumId w:val="1"/>
  </w:num>
  <w:num w:numId="45">
    <w:abstractNumId w:val="35"/>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2B4E"/>
    <w:rsid w:val="00005445"/>
    <w:rsid w:val="00007312"/>
    <w:rsid w:val="000074B5"/>
    <w:rsid w:val="00007C3B"/>
    <w:rsid w:val="00011A36"/>
    <w:rsid w:val="000217A7"/>
    <w:rsid w:val="000244D0"/>
    <w:rsid w:val="000317F2"/>
    <w:rsid w:val="00032DAF"/>
    <w:rsid w:val="000362D1"/>
    <w:rsid w:val="000422F2"/>
    <w:rsid w:val="00047606"/>
    <w:rsid w:val="00052DDE"/>
    <w:rsid w:val="0006248B"/>
    <w:rsid w:val="00065623"/>
    <w:rsid w:val="00067E87"/>
    <w:rsid w:val="0007054C"/>
    <w:rsid w:val="000756B9"/>
    <w:rsid w:val="0009127E"/>
    <w:rsid w:val="00091B9D"/>
    <w:rsid w:val="00096B67"/>
    <w:rsid w:val="00096DAF"/>
    <w:rsid w:val="000A1DCA"/>
    <w:rsid w:val="000A5E3C"/>
    <w:rsid w:val="000C2B84"/>
    <w:rsid w:val="000C2F47"/>
    <w:rsid w:val="000D2B9A"/>
    <w:rsid w:val="000D6C00"/>
    <w:rsid w:val="000E180A"/>
    <w:rsid w:val="000E4E04"/>
    <w:rsid w:val="000F14B4"/>
    <w:rsid w:val="000F75DF"/>
    <w:rsid w:val="001023DC"/>
    <w:rsid w:val="00102893"/>
    <w:rsid w:val="00124811"/>
    <w:rsid w:val="0012548F"/>
    <w:rsid w:val="001328FA"/>
    <w:rsid w:val="00135961"/>
    <w:rsid w:val="00136720"/>
    <w:rsid w:val="00142C14"/>
    <w:rsid w:val="0014441A"/>
    <w:rsid w:val="00147AAF"/>
    <w:rsid w:val="001531DC"/>
    <w:rsid w:val="001552C0"/>
    <w:rsid w:val="001640B1"/>
    <w:rsid w:val="00182C9E"/>
    <w:rsid w:val="001833F6"/>
    <w:rsid w:val="0018435E"/>
    <w:rsid w:val="001844ED"/>
    <w:rsid w:val="0019152F"/>
    <w:rsid w:val="001B2569"/>
    <w:rsid w:val="001C4C38"/>
    <w:rsid w:val="001D1929"/>
    <w:rsid w:val="001D2D70"/>
    <w:rsid w:val="001D3D13"/>
    <w:rsid w:val="001D6E8F"/>
    <w:rsid w:val="001D78C2"/>
    <w:rsid w:val="001E6425"/>
    <w:rsid w:val="001F2547"/>
    <w:rsid w:val="001F2E8F"/>
    <w:rsid w:val="001F439A"/>
    <w:rsid w:val="002041A1"/>
    <w:rsid w:val="002054F0"/>
    <w:rsid w:val="00205CAB"/>
    <w:rsid w:val="002061E9"/>
    <w:rsid w:val="002159F8"/>
    <w:rsid w:val="002236D9"/>
    <w:rsid w:val="00230D6B"/>
    <w:rsid w:val="00231B02"/>
    <w:rsid w:val="00232068"/>
    <w:rsid w:val="002330F2"/>
    <w:rsid w:val="002430D8"/>
    <w:rsid w:val="00243D9E"/>
    <w:rsid w:val="00247F33"/>
    <w:rsid w:val="00253B66"/>
    <w:rsid w:val="00253E24"/>
    <w:rsid w:val="00261DF1"/>
    <w:rsid w:val="00271F18"/>
    <w:rsid w:val="00274A11"/>
    <w:rsid w:val="00282779"/>
    <w:rsid w:val="0028334D"/>
    <w:rsid w:val="002B7FFA"/>
    <w:rsid w:val="002C2BCF"/>
    <w:rsid w:val="002E60E7"/>
    <w:rsid w:val="002E61A8"/>
    <w:rsid w:val="002F279D"/>
    <w:rsid w:val="002F43B8"/>
    <w:rsid w:val="00303BC7"/>
    <w:rsid w:val="0033628D"/>
    <w:rsid w:val="00336856"/>
    <w:rsid w:val="0034554D"/>
    <w:rsid w:val="0034593A"/>
    <w:rsid w:val="00352224"/>
    <w:rsid w:val="003671E6"/>
    <w:rsid w:val="00384272"/>
    <w:rsid w:val="003845FB"/>
    <w:rsid w:val="00386D67"/>
    <w:rsid w:val="003945B8"/>
    <w:rsid w:val="003D3037"/>
    <w:rsid w:val="003D7F29"/>
    <w:rsid w:val="00405A6B"/>
    <w:rsid w:val="0040632E"/>
    <w:rsid w:val="00407B1F"/>
    <w:rsid w:val="0041184F"/>
    <w:rsid w:val="00414C57"/>
    <w:rsid w:val="0041758C"/>
    <w:rsid w:val="004239F3"/>
    <w:rsid w:val="00434EB1"/>
    <w:rsid w:val="0044261D"/>
    <w:rsid w:val="0045114A"/>
    <w:rsid w:val="00451415"/>
    <w:rsid w:val="004539DE"/>
    <w:rsid w:val="004859F6"/>
    <w:rsid w:val="004A2658"/>
    <w:rsid w:val="004A2CF1"/>
    <w:rsid w:val="004A46B1"/>
    <w:rsid w:val="004B29E8"/>
    <w:rsid w:val="004C29D4"/>
    <w:rsid w:val="004C3035"/>
    <w:rsid w:val="004C307F"/>
    <w:rsid w:val="004E4BA8"/>
    <w:rsid w:val="004E5BEE"/>
    <w:rsid w:val="004F2698"/>
    <w:rsid w:val="004F340F"/>
    <w:rsid w:val="004F7B7C"/>
    <w:rsid w:val="0050404C"/>
    <w:rsid w:val="005045DF"/>
    <w:rsid w:val="0051582C"/>
    <w:rsid w:val="00515B7A"/>
    <w:rsid w:val="0052243D"/>
    <w:rsid w:val="00532435"/>
    <w:rsid w:val="005351C0"/>
    <w:rsid w:val="00536FEC"/>
    <w:rsid w:val="00542FD5"/>
    <w:rsid w:val="00550354"/>
    <w:rsid w:val="00563C43"/>
    <w:rsid w:val="00571236"/>
    <w:rsid w:val="00595171"/>
    <w:rsid w:val="005953A1"/>
    <w:rsid w:val="005A0419"/>
    <w:rsid w:val="005A4362"/>
    <w:rsid w:val="005B5434"/>
    <w:rsid w:val="005D0332"/>
    <w:rsid w:val="005D0D8C"/>
    <w:rsid w:val="00602081"/>
    <w:rsid w:val="00616CD3"/>
    <w:rsid w:val="00634969"/>
    <w:rsid w:val="00637325"/>
    <w:rsid w:val="00641EDB"/>
    <w:rsid w:val="00647D5C"/>
    <w:rsid w:val="00655756"/>
    <w:rsid w:val="00667114"/>
    <w:rsid w:val="0067729C"/>
    <w:rsid w:val="006776AE"/>
    <w:rsid w:val="006A0D97"/>
    <w:rsid w:val="006B1F86"/>
    <w:rsid w:val="006C0A91"/>
    <w:rsid w:val="006C62CE"/>
    <w:rsid w:val="006E327C"/>
    <w:rsid w:val="007054BB"/>
    <w:rsid w:val="00705BFF"/>
    <w:rsid w:val="00707064"/>
    <w:rsid w:val="00717D01"/>
    <w:rsid w:val="007223A4"/>
    <w:rsid w:val="00730683"/>
    <w:rsid w:val="00742C86"/>
    <w:rsid w:val="00747D56"/>
    <w:rsid w:val="0075261F"/>
    <w:rsid w:val="0075468E"/>
    <w:rsid w:val="007665D8"/>
    <w:rsid w:val="00766E36"/>
    <w:rsid w:val="007765F4"/>
    <w:rsid w:val="00776633"/>
    <w:rsid w:val="00781CE4"/>
    <w:rsid w:val="00784D53"/>
    <w:rsid w:val="00797797"/>
    <w:rsid w:val="007A27D8"/>
    <w:rsid w:val="007A63C9"/>
    <w:rsid w:val="007B027E"/>
    <w:rsid w:val="007B2156"/>
    <w:rsid w:val="007B32D1"/>
    <w:rsid w:val="007B7095"/>
    <w:rsid w:val="007D0122"/>
    <w:rsid w:val="007D1631"/>
    <w:rsid w:val="007D24E1"/>
    <w:rsid w:val="007D4338"/>
    <w:rsid w:val="007D6288"/>
    <w:rsid w:val="007F4CE9"/>
    <w:rsid w:val="007F4E20"/>
    <w:rsid w:val="0080477D"/>
    <w:rsid w:val="00816C4B"/>
    <w:rsid w:val="00822C7E"/>
    <w:rsid w:val="00847060"/>
    <w:rsid w:val="00847A36"/>
    <w:rsid w:val="008548AB"/>
    <w:rsid w:val="00856A33"/>
    <w:rsid w:val="00871BB7"/>
    <w:rsid w:val="0088376B"/>
    <w:rsid w:val="00892620"/>
    <w:rsid w:val="0089371E"/>
    <w:rsid w:val="008A11FE"/>
    <w:rsid w:val="008C7D37"/>
    <w:rsid w:val="008D0A28"/>
    <w:rsid w:val="008D5885"/>
    <w:rsid w:val="00912C50"/>
    <w:rsid w:val="00923FA2"/>
    <w:rsid w:val="00925793"/>
    <w:rsid w:val="009368B8"/>
    <w:rsid w:val="0093739E"/>
    <w:rsid w:val="0096060D"/>
    <w:rsid w:val="00972AB1"/>
    <w:rsid w:val="0097341B"/>
    <w:rsid w:val="00974A50"/>
    <w:rsid w:val="0097585A"/>
    <w:rsid w:val="00975BC5"/>
    <w:rsid w:val="009924B0"/>
    <w:rsid w:val="009942C9"/>
    <w:rsid w:val="009B30B3"/>
    <w:rsid w:val="009B35C4"/>
    <w:rsid w:val="009C1D66"/>
    <w:rsid w:val="009C630A"/>
    <w:rsid w:val="009E0815"/>
    <w:rsid w:val="009E0D98"/>
    <w:rsid w:val="009E1D7F"/>
    <w:rsid w:val="009E4530"/>
    <w:rsid w:val="009F60D2"/>
    <w:rsid w:val="00A00F58"/>
    <w:rsid w:val="00A03499"/>
    <w:rsid w:val="00A068A1"/>
    <w:rsid w:val="00A1207D"/>
    <w:rsid w:val="00A12FD8"/>
    <w:rsid w:val="00A276D4"/>
    <w:rsid w:val="00A32FC0"/>
    <w:rsid w:val="00A345B5"/>
    <w:rsid w:val="00A346FC"/>
    <w:rsid w:val="00A3542F"/>
    <w:rsid w:val="00A46D77"/>
    <w:rsid w:val="00A749B4"/>
    <w:rsid w:val="00A846F2"/>
    <w:rsid w:val="00A84F93"/>
    <w:rsid w:val="00AA7DCD"/>
    <w:rsid w:val="00AB1AC5"/>
    <w:rsid w:val="00AB3BFC"/>
    <w:rsid w:val="00AB4D6F"/>
    <w:rsid w:val="00AC4F2E"/>
    <w:rsid w:val="00AD0C37"/>
    <w:rsid w:val="00AD385F"/>
    <w:rsid w:val="00AE6E2A"/>
    <w:rsid w:val="00AF0BDE"/>
    <w:rsid w:val="00B03EAB"/>
    <w:rsid w:val="00B1593A"/>
    <w:rsid w:val="00B165A2"/>
    <w:rsid w:val="00B23686"/>
    <w:rsid w:val="00B31E9C"/>
    <w:rsid w:val="00B32061"/>
    <w:rsid w:val="00B34881"/>
    <w:rsid w:val="00B35595"/>
    <w:rsid w:val="00B442EA"/>
    <w:rsid w:val="00B51C6D"/>
    <w:rsid w:val="00B5346A"/>
    <w:rsid w:val="00B55843"/>
    <w:rsid w:val="00B6765F"/>
    <w:rsid w:val="00B83DD2"/>
    <w:rsid w:val="00B86D64"/>
    <w:rsid w:val="00B9661C"/>
    <w:rsid w:val="00BA3BB0"/>
    <w:rsid w:val="00BA4AC5"/>
    <w:rsid w:val="00BB08F7"/>
    <w:rsid w:val="00BB17E0"/>
    <w:rsid w:val="00BB2D14"/>
    <w:rsid w:val="00BB3AD6"/>
    <w:rsid w:val="00BC1364"/>
    <w:rsid w:val="00BC2667"/>
    <w:rsid w:val="00BC7DE9"/>
    <w:rsid w:val="00BE6F39"/>
    <w:rsid w:val="00BF16D5"/>
    <w:rsid w:val="00BF479B"/>
    <w:rsid w:val="00C01C92"/>
    <w:rsid w:val="00C02577"/>
    <w:rsid w:val="00C204FB"/>
    <w:rsid w:val="00C20BEE"/>
    <w:rsid w:val="00C2158D"/>
    <w:rsid w:val="00C67DD2"/>
    <w:rsid w:val="00C72160"/>
    <w:rsid w:val="00C725CB"/>
    <w:rsid w:val="00C76F5C"/>
    <w:rsid w:val="00C96BAD"/>
    <w:rsid w:val="00CA6944"/>
    <w:rsid w:val="00CB0F8E"/>
    <w:rsid w:val="00CB7E7D"/>
    <w:rsid w:val="00CC1A26"/>
    <w:rsid w:val="00CC2911"/>
    <w:rsid w:val="00CC37CD"/>
    <w:rsid w:val="00CD0BF4"/>
    <w:rsid w:val="00CE0549"/>
    <w:rsid w:val="00CE265B"/>
    <w:rsid w:val="00CF0C6D"/>
    <w:rsid w:val="00CF0E2E"/>
    <w:rsid w:val="00CF7307"/>
    <w:rsid w:val="00CF7C68"/>
    <w:rsid w:val="00D05FED"/>
    <w:rsid w:val="00D101D8"/>
    <w:rsid w:val="00D124FA"/>
    <w:rsid w:val="00D13880"/>
    <w:rsid w:val="00D15903"/>
    <w:rsid w:val="00D17153"/>
    <w:rsid w:val="00D228F6"/>
    <w:rsid w:val="00D340DE"/>
    <w:rsid w:val="00D40571"/>
    <w:rsid w:val="00D46D87"/>
    <w:rsid w:val="00D46FFF"/>
    <w:rsid w:val="00D51375"/>
    <w:rsid w:val="00D55723"/>
    <w:rsid w:val="00D62FAD"/>
    <w:rsid w:val="00D64355"/>
    <w:rsid w:val="00D70450"/>
    <w:rsid w:val="00D75DA3"/>
    <w:rsid w:val="00D83BFD"/>
    <w:rsid w:val="00D90A38"/>
    <w:rsid w:val="00D9223F"/>
    <w:rsid w:val="00D965D9"/>
    <w:rsid w:val="00DA0515"/>
    <w:rsid w:val="00DA1406"/>
    <w:rsid w:val="00DA171E"/>
    <w:rsid w:val="00DA56AA"/>
    <w:rsid w:val="00DB5833"/>
    <w:rsid w:val="00DC0CA0"/>
    <w:rsid w:val="00DD0F7F"/>
    <w:rsid w:val="00DD2858"/>
    <w:rsid w:val="00DF2AE7"/>
    <w:rsid w:val="00E03E33"/>
    <w:rsid w:val="00E059E0"/>
    <w:rsid w:val="00E3642A"/>
    <w:rsid w:val="00E36E9C"/>
    <w:rsid w:val="00E415C4"/>
    <w:rsid w:val="00E43599"/>
    <w:rsid w:val="00E43D73"/>
    <w:rsid w:val="00E50016"/>
    <w:rsid w:val="00E50EAA"/>
    <w:rsid w:val="00E52B09"/>
    <w:rsid w:val="00E656D6"/>
    <w:rsid w:val="00E669AD"/>
    <w:rsid w:val="00E74CC7"/>
    <w:rsid w:val="00E977EE"/>
    <w:rsid w:val="00EA2F24"/>
    <w:rsid w:val="00EA31E3"/>
    <w:rsid w:val="00EA67A2"/>
    <w:rsid w:val="00EB6217"/>
    <w:rsid w:val="00EB630F"/>
    <w:rsid w:val="00EB6B6F"/>
    <w:rsid w:val="00EC4F98"/>
    <w:rsid w:val="00ED5B19"/>
    <w:rsid w:val="00EE0DD5"/>
    <w:rsid w:val="00EE322A"/>
    <w:rsid w:val="00F000AB"/>
    <w:rsid w:val="00F04D99"/>
    <w:rsid w:val="00F12F02"/>
    <w:rsid w:val="00F16235"/>
    <w:rsid w:val="00F32E0D"/>
    <w:rsid w:val="00F33D9C"/>
    <w:rsid w:val="00F35134"/>
    <w:rsid w:val="00F368A7"/>
    <w:rsid w:val="00F37B9C"/>
    <w:rsid w:val="00F41812"/>
    <w:rsid w:val="00F463CA"/>
    <w:rsid w:val="00F5113C"/>
    <w:rsid w:val="00F61BE4"/>
    <w:rsid w:val="00F66D01"/>
    <w:rsid w:val="00F715D1"/>
    <w:rsid w:val="00F72715"/>
    <w:rsid w:val="00F73333"/>
    <w:rsid w:val="00F92AD1"/>
    <w:rsid w:val="00F95D8F"/>
    <w:rsid w:val="00FB350A"/>
    <w:rsid w:val="00FB4C5D"/>
    <w:rsid w:val="00FD26D6"/>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345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B5346A"/>
    <w:pPr>
      <w:keepNext/>
      <w:keepLines/>
      <w:spacing w:before="200"/>
      <w:outlineLvl w:val="1"/>
    </w:pPr>
    <w:rPr>
      <w:rFonts w:eastAsiaTheme="majorEastAsia" w:cstheme="majorBidi"/>
      <w:bCs/>
      <w:i/>
      <w:szCs w:val="26"/>
    </w:rPr>
  </w:style>
  <w:style w:type="paragraph" w:styleId="Heading3">
    <w:name w:val="heading 3"/>
    <w:basedOn w:val="Normal"/>
    <w:next w:val="Normal"/>
    <w:link w:val="Heading3Char"/>
    <w:unhideWhenUsed/>
    <w:qFormat/>
    <w:locked/>
    <w:rsid w:val="00871BB7"/>
    <w:pPr>
      <w:keepNext/>
      <w:keepLines/>
      <w:spacing w:before="4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B5346A"/>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E52B0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 Char,Caption Char Char Char,Caption Char1 Char Char Char,Caption Char Char Char Char Char,Caption ChaCaption,Caption Char Char1 Char,Caption Char1 Char1,Caption Char Char Char1,Caption Char1,Caption Char Char,Table and Figure Name"/>
    <w:basedOn w:val="Normal"/>
    <w:next w:val="Normal"/>
    <w:link w:val="CaptionChar"/>
    <w:unhideWhenUsed/>
    <w:qFormat/>
    <w:locked/>
    <w:rsid w:val="00E52B09"/>
    <w:pPr>
      <w:spacing w:after="200"/>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Caption Char,Caption Char Char1 Char Char,Caption Char1 Char1 Char,Caption Char Char Char1 Char"/>
    <w:basedOn w:val="DefaultParagraphFont"/>
    <w:link w:val="Caption"/>
    <w:locked/>
    <w:rsid w:val="00CC37CD"/>
    <w:rPr>
      <w:rFonts w:ascii="Arial Narrow" w:eastAsia="Times New Roman" w:hAnsi="Arial Narrow"/>
      <w:b/>
      <w:bCs/>
      <w:sz w:val="20"/>
      <w:szCs w:val="18"/>
    </w:rPr>
  </w:style>
  <w:style w:type="paragraph" w:customStyle="1" w:styleId="BulletBeforeDash">
    <w:name w:val="BulletBeforeDash"/>
    <w:basedOn w:val="Normal"/>
    <w:rsid w:val="00BB08F7"/>
    <w:pPr>
      <w:numPr>
        <w:numId w:val="40"/>
      </w:numPr>
    </w:pPr>
    <w:rPr>
      <w:color w:val="000000"/>
    </w:rPr>
  </w:style>
  <w:style w:type="paragraph" w:customStyle="1" w:styleId="Bullet">
    <w:name w:val="Bullet"/>
    <w:basedOn w:val="BulletBeforeDash"/>
    <w:qFormat/>
    <w:rsid w:val="00BB08F7"/>
    <w:pPr>
      <w:spacing w:after="120"/>
    </w:pPr>
  </w:style>
  <w:style w:type="paragraph" w:customStyle="1" w:styleId="NormalBeforeBullet">
    <w:name w:val="NormalBeforeBullet"/>
    <w:basedOn w:val="Normal"/>
    <w:qFormat/>
    <w:rsid w:val="00BB08F7"/>
    <w:pPr>
      <w:keepNext/>
      <w:spacing w:after="120"/>
    </w:pPr>
    <w:rPr>
      <w:color w:val="000000"/>
    </w:rPr>
  </w:style>
  <w:style w:type="paragraph" w:customStyle="1" w:styleId="TableHeading">
    <w:name w:val="TableHeading"/>
    <w:basedOn w:val="Normal"/>
    <w:link w:val="TableHeadingChar"/>
    <w:qFormat/>
    <w:rsid w:val="0093739E"/>
    <w:pPr>
      <w:keepNext/>
      <w:spacing w:before="40" w:after="40"/>
    </w:pPr>
    <w:rPr>
      <w:rFonts w:ascii="Arial Narrow" w:hAnsi="Arial Narrow" w:cs="Tahoma"/>
      <w:b/>
      <w:sz w:val="20"/>
    </w:rPr>
  </w:style>
  <w:style w:type="character" w:customStyle="1" w:styleId="TableHeadingChar">
    <w:name w:val="TableHeading Char"/>
    <w:link w:val="TableHeading"/>
    <w:rsid w:val="0093739E"/>
    <w:rPr>
      <w:rFonts w:ascii="Arial Narrow" w:eastAsia="Times New Roman" w:hAnsi="Arial Narrow" w:cs="Tahoma"/>
      <w:b/>
      <w:sz w:val="20"/>
      <w:szCs w:val="20"/>
    </w:rPr>
  </w:style>
  <w:style w:type="paragraph" w:customStyle="1" w:styleId="Tabletext">
    <w:name w:val="Table text"/>
    <w:basedOn w:val="Normal"/>
    <w:link w:val="TabletextChar"/>
    <w:qFormat/>
    <w:rsid w:val="0093739E"/>
    <w:pPr>
      <w:keepNext/>
      <w:spacing w:before="40" w:after="40"/>
    </w:pPr>
    <w:rPr>
      <w:rFonts w:ascii="Arial Narrow" w:hAnsi="Arial Narrow" w:cs="Tahoma"/>
      <w:sz w:val="20"/>
    </w:rPr>
  </w:style>
  <w:style w:type="character" w:customStyle="1" w:styleId="TabletextChar">
    <w:name w:val="Table text Char"/>
    <w:link w:val="Tabletext"/>
    <w:rsid w:val="0093739E"/>
    <w:rPr>
      <w:rFonts w:ascii="Arial Narrow" w:eastAsia="Times New Roman" w:hAnsi="Arial Narrow" w:cs="Tahoma"/>
      <w:sz w:val="20"/>
      <w:szCs w:val="20"/>
    </w:rPr>
  </w:style>
  <w:style w:type="paragraph" w:customStyle="1" w:styleId="Tablenotes">
    <w:name w:val="Tablenotes"/>
    <w:basedOn w:val="Normal"/>
    <w:link w:val="TablenotesChar"/>
    <w:qFormat/>
    <w:rsid w:val="0093739E"/>
    <w:pPr>
      <w:keepLines/>
      <w:spacing w:after="360"/>
      <w:contextualSpacing/>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93739E"/>
    <w:rPr>
      <w:rFonts w:ascii="Arial Narrow" w:eastAsia="Times New Roman" w:hAnsi="Arial Narrow" w:cs="Arial"/>
      <w:snapToGrid w:val="0"/>
      <w:sz w:val="18"/>
      <w:szCs w:val="20"/>
      <w:lang w:eastAsia="en-US"/>
    </w:rPr>
  </w:style>
  <w:style w:type="table" w:customStyle="1" w:styleId="TableGrid13">
    <w:name w:val="Table Grid13"/>
    <w:basedOn w:val="TableNormal"/>
    <w:next w:val="TableGrid"/>
    <w:uiPriority w:val="59"/>
    <w:rsid w:val="00CD0BF4"/>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ahoma" w:hAnsi="Tahoma"/>
        <w:b w:val="0"/>
        <w:sz w:val="20"/>
      </w:rPr>
    </w:tblStylePr>
  </w:style>
  <w:style w:type="character" w:styleId="Emphasis">
    <w:name w:val="Emphasis"/>
    <w:basedOn w:val="DefaultParagraphFont"/>
    <w:uiPriority w:val="20"/>
    <w:qFormat/>
    <w:locked/>
    <w:rsid w:val="00634969"/>
    <w:rPr>
      <w:b/>
      <w:bCs/>
      <w:i w:val="0"/>
      <w:iCs w:val="0"/>
    </w:rPr>
  </w:style>
  <w:style w:type="paragraph" w:customStyle="1" w:styleId="BodyText">
    <w:name w:val="BodyText"/>
    <w:basedOn w:val="Normal"/>
    <w:link w:val="BodyTextChar"/>
    <w:qFormat/>
    <w:rsid w:val="009368B8"/>
    <w:pPr>
      <w:spacing w:after="120" w:line="288" w:lineRule="auto"/>
      <w:jc w:val="both"/>
    </w:pPr>
    <w:rPr>
      <w:rFonts w:ascii="Calibri" w:hAnsi="Calibri" w:cs="Tahoma"/>
      <w:sz w:val="22"/>
      <w:szCs w:val="22"/>
    </w:rPr>
  </w:style>
  <w:style w:type="character" w:customStyle="1" w:styleId="BodyTextChar">
    <w:name w:val="BodyText Char"/>
    <w:basedOn w:val="DefaultParagraphFont"/>
    <w:link w:val="BodyText"/>
    <w:rsid w:val="009368B8"/>
    <w:rPr>
      <w:rFonts w:ascii="Calibri" w:eastAsia="Times New Roman" w:hAnsi="Calibri" w:cs="Tahoma"/>
    </w:rPr>
  </w:style>
  <w:style w:type="table" w:customStyle="1" w:styleId="TableGrid2">
    <w:name w:val="Table Grid2"/>
    <w:basedOn w:val="TableNormal"/>
    <w:next w:val="TableGrid"/>
    <w:rsid w:val="00B1593A"/>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ahoma" w:hAnsi="Tahoma"/>
        <w:b w:val="0"/>
        <w:sz w:val="20"/>
      </w:rPr>
    </w:tblStylePr>
  </w:style>
  <w:style w:type="character" w:customStyle="1" w:styleId="ListParagraphChar">
    <w:name w:val="List Paragraph Char"/>
    <w:basedOn w:val="DefaultParagraphFont"/>
    <w:link w:val="ListParagraph"/>
    <w:uiPriority w:val="34"/>
    <w:rsid w:val="00B1593A"/>
    <w:rPr>
      <w:rFonts w:eastAsia="Times New Roman"/>
      <w:sz w:val="24"/>
      <w:szCs w:val="20"/>
    </w:rPr>
  </w:style>
  <w:style w:type="table" w:customStyle="1" w:styleId="TableGrid5">
    <w:name w:val="Table Grid5"/>
    <w:basedOn w:val="TableNormal"/>
    <w:next w:val="TableGrid"/>
    <w:uiPriority w:val="39"/>
    <w:rsid w:val="00B1593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71BB7"/>
    <w:rPr>
      <w:rFonts w:eastAsiaTheme="majorEastAsia" w:cstheme="majorBidi"/>
      <w:sz w:val="24"/>
      <w:szCs w:val="24"/>
      <w:u w:val="single"/>
    </w:rPr>
  </w:style>
  <w:style w:type="table" w:customStyle="1" w:styleId="TableGrid1">
    <w:name w:val="Table Grid1"/>
    <w:basedOn w:val="TableNormal"/>
    <w:next w:val="TableGrid"/>
    <w:uiPriority w:val="59"/>
    <w:rsid w:val="00871BB7"/>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ahoma" w:hAnsi="Tahoma"/>
        <w:b w:val="0"/>
        <w:sz w:val="20"/>
      </w:rPr>
    </w:tblStylePr>
  </w:style>
  <w:style w:type="paragraph" w:styleId="Revision">
    <w:name w:val="Revision"/>
    <w:hidden/>
    <w:uiPriority w:val="99"/>
    <w:semiHidden/>
    <w:rsid w:val="001D78C2"/>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83396">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83228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www.msac.gov.a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glaucoma.org.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health.gov.au/internet/main/publishing.nsf/content/health-privatehealth-prostheseslist.htm" TargetMode="Externa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9563</Words>
  <Characters>55484</Characters>
  <Application>Microsoft Office Word</Application>
  <DocSecurity>0</DocSecurity>
  <Lines>462</Lines>
  <Paragraphs>129</Paragraphs>
  <ScaleCrop>false</ScaleCrop>
  <Company/>
  <LinksUpToDate>false</LinksUpToDate>
  <CharactersWithSpaces>64918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2019-10-23T04:19:00Z</dcterms:created>
  <dcterms:modified xsi:type="dcterms:W3CDTF">2019-10-23T04:19:00Z</dcterms:modified>
</cp:coreProperties>
</file>