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BC09A"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469E481D" wp14:editId="41414AB7">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2E8CF5B"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38678FC1" w14:textId="262471EA" w:rsidR="00BC1364" w:rsidRPr="00F715D1" w:rsidRDefault="00BC1364" w:rsidP="002B77DF">
      <w:pPr>
        <w:pStyle w:val="Subtitle"/>
      </w:pPr>
      <w:r w:rsidRPr="00F715D1">
        <w:t xml:space="preserve">Application No. </w:t>
      </w:r>
      <w:r w:rsidR="00221AF6">
        <w:t>1431.1</w:t>
      </w:r>
      <w:r w:rsidRPr="00F715D1">
        <w:t xml:space="preserve"> </w:t>
      </w:r>
      <w:r w:rsidRPr="003533B8">
        <w:t xml:space="preserve">– </w:t>
      </w:r>
      <w:r w:rsidR="00221AF6" w:rsidRPr="00221AF6">
        <w:t>HbA1c point of care test for the management of diabetes mellitus</w:t>
      </w:r>
    </w:p>
    <w:p w14:paraId="7802B3B5" w14:textId="35E272E2"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2B77DF">
        <w:rPr>
          <w:rFonts w:ascii="Arial" w:hAnsi="Arial" w:cs="Arial"/>
          <w:b/>
          <w:szCs w:val="24"/>
        </w:rPr>
        <w:t>:</w:t>
      </w:r>
      <w:r w:rsidR="00221AF6">
        <w:rPr>
          <w:rFonts w:ascii="Arial" w:hAnsi="Arial" w:cs="Arial"/>
          <w:b/>
          <w:szCs w:val="24"/>
        </w:rPr>
        <w:tab/>
      </w:r>
      <w:r w:rsidR="00744B1D" w:rsidRPr="00744B1D">
        <w:rPr>
          <w:rFonts w:ascii="Arial" w:hAnsi="Arial" w:cs="Arial"/>
          <w:b/>
          <w:szCs w:val="24"/>
        </w:rPr>
        <w:t>Pathology Technology Australia Limited</w:t>
      </w:r>
    </w:p>
    <w:p w14:paraId="27425B95" w14:textId="79089E2D" w:rsidR="004B6F5F" w:rsidRDefault="004B6F5F" w:rsidP="004C771E">
      <w:pPr>
        <w:tabs>
          <w:tab w:val="left" w:pos="3686"/>
          <w:tab w:val="left" w:pos="5103"/>
        </w:tabs>
        <w:rPr>
          <w:rFonts w:ascii="Arial" w:hAnsi="Arial" w:cs="Arial"/>
          <w:b/>
          <w:szCs w:val="24"/>
        </w:rPr>
      </w:pPr>
      <w:r>
        <w:rPr>
          <w:rFonts w:ascii="Arial" w:hAnsi="Arial" w:cs="Arial"/>
          <w:b/>
          <w:szCs w:val="24"/>
        </w:rPr>
        <w:t>Dates of MSAC Executive consideration:</w:t>
      </w:r>
      <w:r>
        <w:rPr>
          <w:rFonts w:ascii="Arial" w:hAnsi="Arial" w:cs="Arial"/>
          <w:b/>
          <w:szCs w:val="24"/>
        </w:rPr>
        <w:tab/>
        <w:t>9 December 2019 and</w:t>
      </w:r>
    </w:p>
    <w:p w14:paraId="37C02C69" w14:textId="393E4EB2" w:rsidR="004B6F5F" w:rsidRDefault="004B6F5F" w:rsidP="004C771E">
      <w:pPr>
        <w:tabs>
          <w:tab w:val="left" w:pos="3686"/>
          <w:tab w:val="left" w:pos="5103"/>
        </w:tabs>
        <w:rPr>
          <w:rFonts w:ascii="Arial" w:hAnsi="Arial" w:cs="Arial"/>
          <w:b/>
          <w:szCs w:val="24"/>
        </w:rPr>
      </w:pPr>
      <w:r>
        <w:rPr>
          <w:rFonts w:ascii="Arial" w:hAnsi="Arial" w:cs="Arial"/>
          <w:b/>
          <w:szCs w:val="24"/>
        </w:rPr>
        <w:tab/>
      </w:r>
      <w:r>
        <w:rPr>
          <w:rFonts w:ascii="Arial" w:hAnsi="Arial" w:cs="Arial"/>
          <w:b/>
          <w:szCs w:val="24"/>
        </w:rPr>
        <w:tab/>
        <w:t>6 March 2020</w:t>
      </w:r>
    </w:p>
    <w:p w14:paraId="5884EEE4" w14:textId="5EB69F62" w:rsidR="00453868" w:rsidRPr="00F715D1" w:rsidRDefault="00BC1364" w:rsidP="004C771E">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6119D9">
        <w:rPr>
          <w:rFonts w:ascii="Arial" w:hAnsi="Arial" w:cs="Arial"/>
          <w:b/>
          <w:szCs w:val="24"/>
        </w:rPr>
        <w:t>75</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6119D9">
        <w:rPr>
          <w:rFonts w:ascii="Arial" w:hAnsi="Arial" w:cs="Arial"/>
          <w:b/>
          <w:szCs w:val="24"/>
        </w:rPr>
        <w:t>28-29 March 2019</w:t>
      </w:r>
    </w:p>
    <w:p w14:paraId="30C16C7B" w14:textId="77777777" w:rsidR="0041184F" w:rsidRPr="00B03EAB" w:rsidRDefault="006A0D97" w:rsidP="004C771E">
      <w:pPr>
        <w:spacing w:before="240"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076B667B" w14:textId="77777777" w:rsidR="003D7F29" w:rsidRDefault="003D7F29" w:rsidP="00F715D1">
      <w:pPr>
        <w:pStyle w:val="Heading1"/>
      </w:pPr>
      <w:r w:rsidRPr="00F715D1">
        <w:t>Purpose of application</w:t>
      </w:r>
      <w:r w:rsidR="00822C7E" w:rsidRPr="00F715D1">
        <w:t xml:space="preserve"> </w:t>
      </w:r>
    </w:p>
    <w:p w14:paraId="3E472E36" w14:textId="20A7E9AF" w:rsidR="009A1034" w:rsidRPr="009A1034" w:rsidRDefault="009A1034" w:rsidP="009A1034">
      <w:r>
        <w:t xml:space="preserve">An application for the resubmission of </w:t>
      </w:r>
      <w:r w:rsidRPr="009E2BCD">
        <w:t>glycated haemoglobin (</w:t>
      </w:r>
      <w:r w:rsidRPr="009E2BCD">
        <w:rPr>
          <w:rFonts w:eastAsia="SimSun"/>
          <w:lang w:eastAsia="zh-CN"/>
        </w:rPr>
        <w:t>HbA1c) Point of Care (</w:t>
      </w:r>
      <w:proofErr w:type="spellStart"/>
      <w:r w:rsidRPr="009E2BCD">
        <w:rPr>
          <w:rFonts w:eastAsia="SimSun"/>
          <w:lang w:eastAsia="zh-CN"/>
        </w:rPr>
        <w:t>PoC</w:t>
      </w:r>
      <w:proofErr w:type="spellEnd"/>
      <w:r w:rsidRPr="009E2BCD">
        <w:rPr>
          <w:rFonts w:eastAsia="SimSun"/>
          <w:lang w:eastAsia="zh-CN"/>
        </w:rPr>
        <w:t>) testing for the management of patients with diabetes mellitus</w:t>
      </w:r>
      <w:r>
        <w:rPr>
          <w:rFonts w:eastAsia="SimSun"/>
          <w:lang w:eastAsia="zh-CN"/>
        </w:rPr>
        <w:t xml:space="preserve"> </w:t>
      </w:r>
      <w:r w:rsidRPr="009E2BCD">
        <w:t xml:space="preserve">was received from </w:t>
      </w:r>
      <w:proofErr w:type="spellStart"/>
      <w:r w:rsidR="00407E0C">
        <w:t>HTAnalysts</w:t>
      </w:r>
      <w:proofErr w:type="spellEnd"/>
      <w:r w:rsidR="00407E0C" w:rsidRPr="009E2BCD">
        <w:t xml:space="preserve"> </w:t>
      </w:r>
      <w:proofErr w:type="gramStart"/>
      <w:r w:rsidRPr="009E2BCD">
        <w:t>for</w:t>
      </w:r>
      <w:proofErr w:type="gramEnd"/>
      <w:r w:rsidRPr="009E2BCD">
        <w:t xml:space="preserve"> IVD Australia</w:t>
      </w:r>
      <w:r w:rsidRPr="00B94DB5">
        <w:t xml:space="preserve"> by the Department of Health</w:t>
      </w:r>
      <w:r w:rsidRPr="00F12C67">
        <w:t>.</w:t>
      </w:r>
      <w:r w:rsidR="00C164FD">
        <w:t xml:space="preserve"> Sponsorship of the application </w:t>
      </w:r>
      <w:r w:rsidR="004C009F">
        <w:t>was subsequently</w:t>
      </w:r>
      <w:r w:rsidR="00C164FD">
        <w:t xml:space="preserve"> taken over by Pathology Technology Australia Limited.</w:t>
      </w:r>
    </w:p>
    <w:p w14:paraId="4BC4A9EE" w14:textId="77777777" w:rsidR="00E977EE" w:rsidRPr="00F715D1" w:rsidRDefault="00E977EE" w:rsidP="00F715D1">
      <w:pPr>
        <w:pStyle w:val="Heading1"/>
      </w:pPr>
      <w:r w:rsidRPr="00F715D1">
        <w:t>MSAC’s advice to the Minister</w:t>
      </w:r>
    </w:p>
    <w:p w14:paraId="4BC7ED95" w14:textId="0AE96AFC" w:rsidR="002A0C52" w:rsidRPr="003157F6" w:rsidRDefault="002A0C52" w:rsidP="005C7F8E">
      <w:pPr>
        <w:spacing w:before="240"/>
        <w:rPr>
          <w:b/>
          <w:i/>
          <w:szCs w:val="24"/>
        </w:rPr>
      </w:pPr>
      <w:r w:rsidRPr="003157F6">
        <w:rPr>
          <w:b/>
          <w:i/>
          <w:szCs w:val="24"/>
        </w:rPr>
        <w:t>March 2020 MSAC Executive consideration</w:t>
      </w:r>
    </w:p>
    <w:p w14:paraId="28EC6DAC" w14:textId="01EC380D" w:rsidR="002A0C52" w:rsidRDefault="002A0C52" w:rsidP="005C7F8E">
      <w:pPr>
        <w:spacing w:before="240"/>
        <w:rPr>
          <w:szCs w:val="24"/>
        </w:rPr>
      </w:pPr>
      <w:r>
        <w:rPr>
          <w:szCs w:val="24"/>
        </w:rPr>
        <w:t xml:space="preserve">After </w:t>
      </w:r>
      <w:r w:rsidRPr="002A0C52">
        <w:rPr>
          <w:szCs w:val="24"/>
        </w:rPr>
        <w:t xml:space="preserve">considering the strength of the available evidence in relation to comparative safety, clinical effectiveness and cost-effectiveness, </w:t>
      </w:r>
      <w:r>
        <w:rPr>
          <w:szCs w:val="24"/>
        </w:rPr>
        <w:t xml:space="preserve">the </w:t>
      </w:r>
      <w:r w:rsidRPr="002A0C52">
        <w:rPr>
          <w:szCs w:val="24"/>
        </w:rPr>
        <w:t xml:space="preserve">MSAC </w:t>
      </w:r>
      <w:r>
        <w:rPr>
          <w:szCs w:val="24"/>
        </w:rPr>
        <w:t xml:space="preserve">executive </w:t>
      </w:r>
      <w:r w:rsidR="00392BDE">
        <w:rPr>
          <w:szCs w:val="24"/>
        </w:rPr>
        <w:t xml:space="preserve">supported the </w:t>
      </w:r>
      <w:r w:rsidRPr="002A0C52">
        <w:rPr>
          <w:szCs w:val="24"/>
        </w:rPr>
        <w:t xml:space="preserve">MBS listing of HbA1c </w:t>
      </w:r>
      <w:proofErr w:type="spellStart"/>
      <w:r w:rsidRPr="002A0C52">
        <w:rPr>
          <w:szCs w:val="24"/>
        </w:rPr>
        <w:t>PoC</w:t>
      </w:r>
      <w:proofErr w:type="spellEnd"/>
      <w:r w:rsidRPr="002A0C52">
        <w:rPr>
          <w:szCs w:val="24"/>
        </w:rPr>
        <w:t xml:space="preserve"> testing for the management and monitoring of established diabetes mellitus, including in pregnancy</w:t>
      </w:r>
      <w:r>
        <w:rPr>
          <w:szCs w:val="24"/>
        </w:rPr>
        <w:t>.</w:t>
      </w:r>
      <w:r w:rsidRPr="002A0C52">
        <w:rPr>
          <w:szCs w:val="24"/>
        </w:rPr>
        <w:t xml:space="preserve"> </w:t>
      </w:r>
    </w:p>
    <w:p w14:paraId="14C2D422" w14:textId="536B51FC" w:rsidR="00C5240E" w:rsidRDefault="00C5240E" w:rsidP="005C7F8E">
      <w:pPr>
        <w:spacing w:before="240"/>
        <w:rPr>
          <w:szCs w:val="24"/>
        </w:rPr>
      </w:pPr>
      <w:r>
        <w:rPr>
          <w:szCs w:val="24"/>
        </w:rPr>
        <w:t xml:space="preserve">The MSAC executive recalled </w:t>
      </w:r>
      <w:r w:rsidR="00700058">
        <w:rPr>
          <w:szCs w:val="24"/>
        </w:rPr>
        <w:t>MSA</w:t>
      </w:r>
      <w:r w:rsidR="00035CD4">
        <w:rPr>
          <w:szCs w:val="24"/>
        </w:rPr>
        <w:t xml:space="preserve">C had previously concluded that, based on currently available evidence, </w:t>
      </w:r>
      <w:proofErr w:type="spellStart"/>
      <w:r w:rsidR="00035CD4">
        <w:rPr>
          <w:szCs w:val="24"/>
        </w:rPr>
        <w:t>P</w:t>
      </w:r>
      <w:r w:rsidR="00700058">
        <w:rPr>
          <w:szCs w:val="24"/>
        </w:rPr>
        <w:t>oC</w:t>
      </w:r>
      <w:proofErr w:type="spellEnd"/>
      <w:r w:rsidR="00700058">
        <w:rPr>
          <w:szCs w:val="24"/>
        </w:rPr>
        <w:t xml:space="preserve"> testing </w:t>
      </w:r>
      <w:r w:rsidR="00035CD4">
        <w:rPr>
          <w:szCs w:val="24"/>
        </w:rPr>
        <w:t>for</w:t>
      </w:r>
      <w:r w:rsidR="00035CD4" w:rsidRPr="00035CD4">
        <w:rPr>
          <w:szCs w:val="24"/>
        </w:rPr>
        <w:t xml:space="preserve"> manag</w:t>
      </w:r>
      <w:r w:rsidR="00035CD4">
        <w:rPr>
          <w:szCs w:val="24"/>
        </w:rPr>
        <w:t>ing</w:t>
      </w:r>
      <w:r w:rsidR="00035CD4" w:rsidRPr="00035CD4">
        <w:rPr>
          <w:szCs w:val="24"/>
        </w:rPr>
        <w:t xml:space="preserve"> and monitor</w:t>
      </w:r>
      <w:r w:rsidR="00035CD4">
        <w:rPr>
          <w:szCs w:val="24"/>
        </w:rPr>
        <w:t>ing</w:t>
      </w:r>
      <w:r w:rsidR="00035CD4" w:rsidRPr="00035CD4">
        <w:rPr>
          <w:szCs w:val="24"/>
        </w:rPr>
        <w:t xml:space="preserve"> established diabetes </w:t>
      </w:r>
      <w:r w:rsidR="00700058">
        <w:rPr>
          <w:szCs w:val="24"/>
        </w:rPr>
        <w:t xml:space="preserve">was associated with no differences in health outcomes compared with laboratory based testing. </w:t>
      </w:r>
      <w:r w:rsidR="00035CD4">
        <w:rPr>
          <w:szCs w:val="24"/>
        </w:rPr>
        <w:t xml:space="preserve">In other words, both test methodologies can be successfully used to manage and monitor </w:t>
      </w:r>
      <w:r w:rsidR="00682FCD">
        <w:rPr>
          <w:szCs w:val="24"/>
        </w:rPr>
        <w:t xml:space="preserve">patients with </w:t>
      </w:r>
      <w:r w:rsidR="00035CD4">
        <w:rPr>
          <w:szCs w:val="24"/>
        </w:rPr>
        <w:t xml:space="preserve">diabetes, and neither method </w:t>
      </w:r>
      <w:r w:rsidR="006D6A0C">
        <w:rPr>
          <w:szCs w:val="24"/>
        </w:rPr>
        <w:t>has been demonstrated to</w:t>
      </w:r>
      <w:r w:rsidR="00035CD4">
        <w:rPr>
          <w:szCs w:val="24"/>
        </w:rPr>
        <w:t xml:space="preserve"> </w:t>
      </w:r>
      <w:r w:rsidR="006D6A0C">
        <w:rPr>
          <w:szCs w:val="24"/>
        </w:rPr>
        <w:t>deliver</w:t>
      </w:r>
      <w:r w:rsidR="00035CD4">
        <w:rPr>
          <w:szCs w:val="24"/>
        </w:rPr>
        <w:t xml:space="preserve"> better </w:t>
      </w:r>
      <w:r w:rsidR="00951D99">
        <w:rPr>
          <w:szCs w:val="24"/>
        </w:rPr>
        <w:t>patient</w:t>
      </w:r>
      <w:r w:rsidR="00035CD4">
        <w:rPr>
          <w:szCs w:val="24"/>
        </w:rPr>
        <w:t xml:space="preserve"> </w:t>
      </w:r>
      <w:r w:rsidR="006D6A0C">
        <w:rPr>
          <w:szCs w:val="24"/>
        </w:rPr>
        <w:t xml:space="preserve">health </w:t>
      </w:r>
      <w:r w:rsidR="00035CD4">
        <w:rPr>
          <w:szCs w:val="24"/>
        </w:rPr>
        <w:t>outcomes.</w:t>
      </w:r>
      <w:r w:rsidR="00EB0158">
        <w:rPr>
          <w:szCs w:val="24"/>
        </w:rPr>
        <w:t xml:space="preserve"> The MSAC executive recalled the applicant has previously accepted this conclusion.</w:t>
      </w:r>
    </w:p>
    <w:p w14:paraId="4B0579D5" w14:textId="5BF4C45C" w:rsidR="00FA7BE7" w:rsidRDefault="002A0C52" w:rsidP="005C7F8E">
      <w:pPr>
        <w:spacing w:before="240"/>
        <w:rPr>
          <w:szCs w:val="24"/>
        </w:rPr>
      </w:pPr>
      <w:r>
        <w:rPr>
          <w:szCs w:val="24"/>
        </w:rPr>
        <w:t xml:space="preserve">The MSAC executive advised that the cost-effective price </w:t>
      </w:r>
      <w:r w:rsidR="00951D99">
        <w:rPr>
          <w:szCs w:val="24"/>
        </w:rPr>
        <w:t xml:space="preserve">for HbA1c </w:t>
      </w:r>
      <w:proofErr w:type="spellStart"/>
      <w:r w:rsidR="00951D99">
        <w:rPr>
          <w:szCs w:val="24"/>
        </w:rPr>
        <w:t>PoC</w:t>
      </w:r>
      <w:proofErr w:type="spellEnd"/>
      <w:r w:rsidR="00951D99">
        <w:rPr>
          <w:szCs w:val="24"/>
        </w:rPr>
        <w:t xml:space="preserve"> </w:t>
      </w:r>
      <w:r>
        <w:rPr>
          <w:szCs w:val="24"/>
        </w:rPr>
        <w:t>would be between $7.84 and $11.80 per test</w:t>
      </w:r>
      <w:r w:rsidR="00A219C8">
        <w:rPr>
          <w:szCs w:val="24"/>
        </w:rPr>
        <w:t xml:space="preserve">. At a price in this range, the average annual cost of the two approaches, </w:t>
      </w:r>
      <w:proofErr w:type="spellStart"/>
      <w:r w:rsidR="00A219C8">
        <w:rPr>
          <w:szCs w:val="24"/>
        </w:rPr>
        <w:t>PoC</w:t>
      </w:r>
      <w:proofErr w:type="spellEnd"/>
      <w:r w:rsidR="00A219C8">
        <w:rPr>
          <w:szCs w:val="24"/>
        </w:rPr>
        <w:t xml:space="preserve"> with one laboratory test per year versus laboratory testing for all tests, would be similar</w:t>
      </w:r>
      <w:r w:rsidR="00392BDE">
        <w:rPr>
          <w:szCs w:val="24"/>
        </w:rPr>
        <w:t xml:space="preserve"> The MSAC executive further advised that, even at a price in this range, there is potential for the inclusion of </w:t>
      </w:r>
      <w:r w:rsidR="00C5240E">
        <w:rPr>
          <w:szCs w:val="24"/>
        </w:rPr>
        <w:t>HbA</w:t>
      </w:r>
      <w:r w:rsidR="00700058">
        <w:rPr>
          <w:szCs w:val="24"/>
        </w:rPr>
        <w:t>1</w:t>
      </w:r>
      <w:r w:rsidR="00C5240E">
        <w:rPr>
          <w:szCs w:val="24"/>
        </w:rPr>
        <w:t xml:space="preserve">c </w:t>
      </w:r>
      <w:proofErr w:type="spellStart"/>
      <w:r w:rsidR="00392BDE">
        <w:rPr>
          <w:szCs w:val="24"/>
        </w:rPr>
        <w:t>PoC</w:t>
      </w:r>
      <w:proofErr w:type="spellEnd"/>
      <w:r w:rsidR="00392BDE">
        <w:rPr>
          <w:szCs w:val="24"/>
        </w:rPr>
        <w:t xml:space="preserve"> testing on the M</w:t>
      </w:r>
      <w:r w:rsidR="00C5240E">
        <w:rPr>
          <w:szCs w:val="24"/>
        </w:rPr>
        <w:t xml:space="preserve">BS to result in a higher overall cost to Government than with current laboratory </w:t>
      </w:r>
      <w:r w:rsidR="00700058">
        <w:rPr>
          <w:szCs w:val="24"/>
        </w:rPr>
        <w:t xml:space="preserve">based </w:t>
      </w:r>
      <w:r w:rsidR="00C5240E">
        <w:rPr>
          <w:szCs w:val="24"/>
        </w:rPr>
        <w:t xml:space="preserve">testing. </w:t>
      </w:r>
      <w:r w:rsidR="00700058">
        <w:rPr>
          <w:szCs w:val="24"/>
        </w:rPr>
        <w:t xml:space="preserve">This is because the </w:t>
      </w:r>
      <w:r w:rsidR="00700058">
        <w:rPr>
          <w:szCs w:val="24"/>
        </w:rPr>
        <w:lastRenderedPageBreak/>
        <w:t>overall number of HbA1c tests conducted in any year may increase</w:t>
      </w:r>
      <w:r w:rsidR="00035CD4">
        <w:rPr>
          <w:szCs w:val="24"/>
        </w:rPr>
        <w:t xml:space="preserve"> above current levels</w:t>
      </w:r>
      <w:r w:rsidR="004C771E">
        <w:rPr>
          <w:szCs w:val="24"/>
        </w:rPr>
        <w:t xml:space="preserve">, </w:t>
      </w:r>
      <w:r w:rsidR="006D6A0C">
        <w:rPr>
          <w:szCs w:val="24"/>
        </w:rPr>
        <w:t>without evidence that the increased testing improves health outcomes.</w:t>
      </w:r>
    </w:p>
    <w:p w14:paraId="4A60472A" w14:textId="3DC48A6A" w:rsidR="00E47D94" w:rsidRDefault="00E47D94" w:rsidP="005C7F8E">
      <w:pPr>
        <w:spacing w:before="240"/>
        <w:rPr>
          <w:szCs w:val="24"/>
        </w:rPr>
      </w:pPr>
      <w:r>
        <w:rPr>
          <w:szCs w:val="24"/>
        </w:rPr>
        <w:t>The MSAC executive considered there is currently no justification, on cost-effectiveness grounds, for paying the applicant’s requested price of $19.50</w:t>
      </w:r>
      <w:r w:rsidR="00427FD3">
        <w:rPr>
          <w:szCs w:val="24"/>
        </w:rPr>
        <w:t xml:space="preserve"> per test</w:t>
      </w:r>
      <w:r>
        <w:rPr>
          <w:szCs w:val="24"/>
        </w:rPr>
        <w:t xml:space="preserve">. The MSAC executive considered that if the applicant wished to pursue a price that is any higher than the range </w:t>
      </w:r>
      <w:r w:rsidR="00155B2F">
        <w:rPr>
          <w:szCs w:val="24"/>
        </w:rPr>
        <w:t xml:space="preserve">recommended above, it would need to provide evidence that </w:t>
      </w:r>
      <w:proofErr w:type="spellStart"/>
      <w:r w:rsidR="00155B2F">
        <w:rPr>
          <w:szCs w:val="24"/>
        </w:rPr>
        <w:t>PoC</w:t>
      </w:r>
      <w:proofErr w:type="spellEnd"/>
      <w:r w:rsidR="00155B2F">
        <w:rPr>
          <w:szCs w:val="24"/>
        </w:rPr>
        <w:t xml:space="preserve"> HbA1c testing results in better health outcomes than laboratory based</w:t>
      </w:r>
      <w:r>
        <w:rPr>
          <w:szCs w:val="24"/>
        </w:rPr>
        <w:t xml:space="preserve"> </w:t>
      </w:r>
      <w:r w:rsidR="00155B2F">
        <w:rPr>
          <w:szCs w:val="24"/>
        </w:rPr>
        <w:t>HbA1c testing, and this evidence would need to be supported with an appropriate economic analysis.</w:t>
      </w:r>
    </w:p>
    <w:p w14:paraId="339BBB4E" w14:textId="5E1C29DC" w:rsidR="00E47D94" w:rsidRDefault="00700058" w:rsidP="005C7F8E">
      <w:pPr>
        <w:spacing w:before="240"/>
        <w:rPr>
          <w:szCs w:val="24"/>
        </w:rPr>
      </w:pPr>
      <w:r>
        <w:rPr>
          <w:szCs w:val="24"/>
        </w:rPr>
        <w:t>The MSAC executive noted</w:t>
      </w:r>
      <w:r w:rsidR="00682FCD">
        <w:rPr>
          <w:szCs w:val="24"/>
        </w:rPr>
        <w:t xml:space="preserve"> the Department’s advice that work on ensuring the appropriate</w:t>
      </w:r>
      <w:r w:rsidR="00682FCD" w:rsidRPr="00682FCD">
        <w:rPr>
          <w:szCs w:val="24"/>
        </w:rPr>
        <w:t xml:space="preserve"> quality assurance standards and </w:t>
      </w:r>
      <w:r w:rsidR="00682FCD">
        <w:rPr>
          <w:szCs w:val="24"/>
        </w:rPr>
        <w:t xml:space="preserve">processes for </w:t>
      </w:r>
      <w:r w:rsidR="00682FCD" w:rsidRPr="00682FCD">
        <w:rPr>
          <w:szCs w:val="24"/>
        </w:rPr>
        <w:t>accreditation of practices</w:t>
      </w:r>
      <w:r w:rsidR="00682FCD">
        <w:rPr>
          <w:szCs w:val="24"/>
        </w:rPr>
        <w:t xml:space="preserve"> </w:t>
      </w:r>
      <w:r w:rsidR="006D6A0C">
        <w:rPr>
          <w:szCs w:val="24"/>
        </w:rPr>
        <w:t>is well advanced.</w:t>
      </w:r>
      <w:r w:rsidR="00682FCD">
        <w:rPr>
          <w:szCs w:val="24"/>
        </w:rPr>
        <w:t xml:space="preserve"> </w:t>
      </w:r>
    </w:p>
    <w:p w14:paraId="186E493B" w14:textId="50DD38E0" w:rsidR="00427FD3" w:rsidRDefault="00427FD3" w:rsidP="005C7F8E">
      <w:pPr>
        <w:spacing w:before="240"/>
        <w:rPr>
          <w:b/>
          <w:i/>
          <w:szCs w:val="24"/>
        </w:rPr>
      </w:pPr>
      <w:r>
        <w:rPr>
          <w:b/>
          <w:i/>
          <w:szCs w:val="24"/>
        </w:rPr>
        <w:t>December 2019 MSAC Executive</w:t>
      </w:r>
    </w:p>
    <w:p w14:paraId="51DBC9CF" w14:textId="301E2F9C" w:rsidR="00427FD3" w:rsidRPr="00427FD3" w:rsidRDefault="00427FD3" w:rsidP="005C7F8E">
      <w:pPr>
        <w:spacing w:before="240"/>
        <w:rPr>
          <w:szCs w:val="24"/>
        </w:rPr>
      </w:pPr>
      <w:r>
        <w:rPr>
          <w:szCs w:val="24"/>
        </w:rPr>
        <w:t>The MSAC executive deferred making a recommendation for reasons set out in Section 3 of this Public Summary Document.</w:t>
      </w:r>
    </w:p>
    <w:p w14:paraId="67DBFD8B" w14:textId="66424C19" w:rsidR="002A0C52" w:rsidRPr="003157F6" w:rsidRDefault="002A0C52" w:rsidP="005C7F8E">
      <w:pPr>
        <w:spacing w:before="240"/>
        <w:rPr>
          <w:b/>
          <w:i/>
          <w:szCs w:val="24"/>
        </w:rPr>
      </w:pPr>
      <w:r w:rsidRPr="003157F6">
        <w:rPr>
          <w:b/>
          <w:i/>
          <w:szCs w:val="24"/>
        </w:rPr>
        <w:t>March 2019 MSAC consideration</w:t>
      </w:r>
    </w:p>
    <w:p w14:paraId="733C0F20" w14:textId="4D8E5191" w:rsidR="00E6602A" w:rsidRDefault="00E6602A" w:rsidP="005C7F8E">
      <w:pPr>
        <w:spacing w:before="240"/>
        <w:rPr>
          <w:bCs/>
          <w:szCs w:val="24"/>
        </w:rPr>
      </w:pPr>
      <w:r w:rsidRPr="00275289">
        <w:rPr>
          <w:szCs w:val="24"/>
        </w:rPr>
        <w:t xml:space="preserve">MSAC indicated it was </w:t>
      </w:r>
      <w:r w:rsidR="0052140E">
        <w:rPr>
          <w:szCs w:val="24"/>
        </w:rPr>
        <w:t>supportive of</w:t>
      </w:r>
      <w:r w:rsidRPr="00275289">
        <w:rPr>
          <w:szCs w:val="24"/>
        </w:rPr>
        <w:t xml:space="preserve"> MBS listing of HbA1c </w:t>
      </w:r>
      <w:proofErr w:type="spellStart"/>
      <w:r w:rsidR="005C7F8E">
        <w:rPr>
          <w:bCs/>
          <w:szCs w:val="24"/>
        </w:rPr>
        <w:t>PoC</w:t>
      </w:r>
      <w:proofErr w:type="spellEnd"/>
      <w:r w:rsidRPr="00275289">
        <w:rPr>
          <w:bCs/>
          <w:szCs w:val="24"/>
        </w:rPr>
        <w:t xml:space="preserve"> testing for the management and monitoring of established diabetes mel</w:t>
      </w:r>
      <w:r w:rsidR="005C7F8E">
        <w:rPr>
          <w:bCs/>
          <w:szCs w:val="24"/>
        </w:rPr>
        <w:t xml:space="preserve">litus, including in pregnancy. </w:t>
      </w:r>
    </w:p>
    <w:p w14:paraId="171CDB79" w14:textId="0D48F292" w:rsidR="00BC7987" w:rsidRDefault="00E6602A" w:rsidP="005C7F8E">
      <w:pPr>
        <w:spacing w:before="240"/>
        <w:rPr>
          <w:bCs/>
          <w:szCs w:val="24"/>
        </w:rPr>
      </w:pPr>
      <w:r>
        <w:rPr>
          <w:bCs/>
          <w:szCs w:val="24"/>
        </w:rPr>
        <w:t>Before</w:t>
      </w:r>
      <w:r w:rsidRPr="00275289">
        <w:rPr>
          <w:bCs/>
          <w:szCs w:val="24"/>
        </w:rPr>
        <w:t xml:space="preserve"> making a final recommendation</w:t>
      </w:r>
      <w:r w:rsidR="0052140E">
        <w:rPr>
          <w:bCs/>
          <w:szCs w:val="24"/>
        </w:rPr>
        <w:t>,</w:t>
      </w:r>
      <w:r w:rsidRPr="00275289">
        <w:rPr>
          <w:bCs/>
          <w:szCs w:val="24"/>
        </w:rPr>
        <w:t xml:space="preserve"> MSAC advised that, to ensure good</w:t>
      </w:r>
      <w:r>
        <w:rPr>
          <w:bCs/>
          <w:szCs w:val="24"/>
        </w:rPr>
        <w:t xml:space="preserve"> </w:t>
      </w:r>
      <w:r w:rsidRPr="00275289">
        <w:rPr>
          <w:bCs/>
          <w:szCs w:val="24"/>
        </w:rPr>
        <w:t>testing practice and cost-neutrality, the appropriate quality assurance standards and accreditation of pr</w:t>
      </w:r>
      <w:r w:rsidR="0084762D">
        <w:rPr>
          <w:bCs/>
          <w:szCs w:val="24"/>
        </w:rPr>
        <w:t xml:space="preserve">actices </w:t>
      </w:r>
      <w:r w:rsidRPr="00275289">
        <w:rPr>
          <w:bCs/>
          <w:szCs w:val="24"/>
        </w:rPr>
        <w:t>need</w:t>
      </w:r>
      <w:r w:rsidR="00BC7987">
        <w:rPr>
          <w:bCs/>
          <w:szCs w:val="24"/>
        </w:rPr>
        <w:t>s</w:t>
      </w:r>
      <w:r w:rsidRPr="00275289">
        <w:rPr>
          <w:bCs/>
          <w:szCs w:val="24"/>
        </w:rPr>
        <w:t xml:space="preserve"> to be determined</w:t>
      </w:r>
      <w:r>
        <w:rPr>
          <w:bCs/>
          <w:szCs w:val="24"/>
        </w:rPr>
        <w:t>,</w:t>
      </w:r>
      <w:r w:rsidRPr="00275289">
        <w:rPr>
          <w:bCs/>
          <w:szCs w:val="24"/>
        </w:rPr>
        <w:t xml:space="preserve"> along with costs. </w:t>
      </w:r>
      <w:r w:rsidR="00BC7987">
        <w:rPr>
          <w:bCs/>
          <w:szCs w:val="24"/>
        </w:rPr>
        <w:t xml:space="preserve">MSAC noted that it is desirable that there be </w:t>
      </w:r>
      <w:r w:rsidR="008A6717">
        <w:rPr>
          <w:bCs/>
          <w:szCs w:val="24"/>
        </w:rPr>
        <w:t xml:space="preserve">a </w:t>
      </w:r>
      <w:r w:rsidR="00BC7987">
        <w:rPr>
          <w:bCs/>
          <w:szCs w:val="24"/>
        </w:rPr>
        <w:t>sing</w:t>
      </w:r>
      <w:r w:rsidR="00846D51">
        <w:rPr>
          <w:bCs/>
          <w:szCs w:val="24"/>
        </w:rPr>
        <w:t>l</w:t>
      </w:r>
      <w:r w:rsidR="00BC7987">
        <w:rPr>
          <w:bCs/>
          <w:szCs w:val="24"/>
        </w:rPr>
        <w:t xml:space="preserve">e set of standards and that the </w:t>
      </w:r>
      <w:r w:rsidR="00BC7987" w:rsidRPr="002A2543">
        <w:rPr>
          <w:rFonts w:cs="Arial"/>
        </w:rPr>
        <w:t>National Pathology Accreditation Advisory Council</w:t>
      </w:r>
      <w:r w:rsidR="00BC7987">
        <w:rPr>
          <w:rFonts w:cs="Arial"/>
        </w:rPr>
        <w:t xml:space="preserve"> (NPAAC)</w:t>
      </w:r>
      <w:r w:rsidR="00BC7987" w:rsidRPr="007E752B">
        <w:rPr>
          <w:rFonts w:cs="Arial"/>
        </w:rPr>
        <w:t xml:space="preserve"> </w:t>
      </w:r>
      <w:r w:rsidR="00BC7987">
        <w:rPr>
          <w:rFonts w:cs="Arial"/>
        </w:rPr>
        <w:t>is currently undertaking</w:t>
      </w:r>
      <w:r w:rsidR="0084762D">
        <w:rPr>
          <w:rFonts w:cs="Arial"/>
        </w:rPr>
        <w:t xml:space="preserve"> a review of</w:t>
      </w:r>
      <w:r w:rsidR="00BC7987">
        <w:rPr>
          <w:rFonts w:cs="Arial"/>
        </w:rPr>
        <w:t xml:space="preserve"> its </w:t>
      </w:r>
      <w:r w:rsidR="00BC7987" w:rsidRPr="00673708">
        <w:rPr>
          <w:rFonts w:cs="Arial"/>
          <w:i/>
        </w:rPr>
        <w:t>Guidelines for point of care testing</w:t>
      </w:r>
      <w:r w:rsidR="00BC7987">
        <w:rPr>
          <w:rFonts w:cs="Arial"/>
          <w:i/>
        </w:rPr>
        <w:t>.</w:t>
      </w:r>
    </w:p>
    <w:p w14:paraId="61D2A1A8" w14:textId="09EA1B38" w:rsidR="00E6602A" w:rsidRPr="00275289" w:rsidRDefault="00E6602A" w:rsidP="005C7F8E">
      <w:pPr>
        <w:spacing w:before="240"/>
        <w:rPr>
          <w:bCs/>
          <w:szCs w:val="24"/>
        </w:rPr>
      </w:pPr>
      <w:r w:rsidRPr="00275289">
        <w:rPr>
          <w:bCs/>
          <w:szCs w:val="24"/>
        </w:rPr>
        <w:t>The cost-minimisation calculation also needs to be re-examined to take into account concerns about the coning assumptions, the updated costs of accreditation and quality assurance</w:t>
      </w:r>
      <w:r>
        <w:rPr>
          <w:bCs/>
          <w:szCs w:val="24"/>
        </w:rPr>
        <w:t>,</w:t>
      </w:r>
      <w:r w:rsidRPr="00275289">
        <w:rPr>
          <w:bCs/>
          <w:szCs w:val="24"/>
        </w:rPr>
        <w:t xml:space="preserve"> and to reflect the costs of different test devices. Further consolidation o</w:t>
      </w:r>
      <w:r w:rsidR="005C7F8E">
        <w:rPr>
          <w:bCs/>
          <w:szCs w:val="24"/>
        </w:rPr>
        <w:t xml:space="preserve">f the application’s utilisation </w:t>
      </w:r>
      <w:r w:rsidRPr="00275289">
        <w:rPr>
          <w:bCs/>
          <w:szCs w:val="24"/>
        </w:rPr>
        <w:t>estimates is also required.</w:t>
      </w:r>
    </w:p>
    <w:p w14:paraId="68909FAB" w14:textId="77777777" w:rsidR="00E6602A" w:rsidRDefault="00E6602A" w:rsidP="000934B8">
      <w:pPr>
        <w:spacing w:before="240"/>
      </w:pPr>
      <w:r w:rsidRPr="00275289">
        <w:rPr>
          <w:bCs/>
        </w:rPr>
        <w:t>MSAC requested that this information be provided to the MSAC Executive for review</w:t>
      </w:r>
      <w:r>
        <w:rPr>
          <w:bCs/>
        </w:rPr>
        <w:t>,</w:t>
      </w:r>
      <w:r w:rsidRPr="00275289">
        <w:t xml:space="preserve"> with </w:t>
      </w:r>
      <w:r>
        <w:t xml:space="preserve">reconsideration by </w:t>
      </w:r>
      <w:r w:rsidRPr="00275289">
        <w:t>MSAC out-of-session if considered necessary by the MSAC Executive</w:t>
      </w:r>
      <w:r w:rsidRPr="00275289">
        <w:rPr>
          <w:bCs/>
        </w:rPr>
        <w:t>.</w:t>
      </w:r>
    </w:p>
    <w:p w14:paraId="18F9C2E2" w14:textId="33144674" w:rsidR="00682FCD" w:rsidRDefault="00550354" w:rsidP="00682FCD">
      <w:pPr>
        <w:pStyle w:val="Heading1"/>
      </w:pPr>
      <w:r w:rsidRPr="00F715D1">
        <w:t xml:space="preserve">Summary of consideration and rationale for MSAC’s advice </w:t>
      </w:r>
    </w:p>
    <w:p w14:paraId="07D50982" w14:textId="77777777" w:rsidR="004C771E" w:rsidRPr="00427FD3" w:rsidRDefault="004C771E" w:rsidP="004C771E">
      <w:pPr>
        <w:rPr>
          <w:b/>
          <w:i/>
        </w:rPr>
      </w:pPr>
      <w:r w:rsidRPr="00427FD3">
        <w:rPr>
          <w:b/>
          <w:i/>
        </w:rPr>
        <w:t>March 2020 MSAC Executive</w:t>
      </w:r>
    </w:p>
    <w:p w14:paraId="12DA7A4D" w14:textId="77777777" w:rsidR="004C771E" w:rsidRDefault="004C771E" w:rsidP="004C771E">
      <w:pPr>
        <w:spacing w:before="240"/>
      </w:pPr>
      <w:r>
        <w:t>At its March 2020 meeting, the MSAC executive noted the applicant had proposed</w:t>
      </w:r>
      <w:r w:rsidRPr="009716BF">
        <w:t xml:space="preserve"> </w:t>
      </w:r>
      <w:r>
        <w:t xml:space="preserve">a revised test cost of $19.50. The applicant claimed this price was supported by assumptions that: </w:t>
      </w:r>
    </w:p>
    <w:p w14:paraId="629286AE" w14:textId="55D8DBBF" w:rsidR="004C771E" w:rsidRDefault="004C771E" w:rsidP="00CE53A7">
      <w:pPr>
        <w:pStyle w:val="ListParagraph"/>
        <w:numPr>
          <w:ilvl w:val="0"/>
          <w:numId w:val="35"/>
        </w:numPr>
        <w:spacing w:before="120" w:after="120"/>
        <w:ind w:left="709" w:hanging="352"/>
        <w:contextualSpacing w:val="0"/>
      </w:pPr>
      <w:r>
        <w:t xml:space="preserve">An average number of 2 HbA1c tests/year for each stable diabetic patient (in case of </w:t>
      </w:r>
      <w:proofErr w:type="spellStart"/>
      <w:r>
        <w:t>PoCT</w:t>
      </w:r>
      <w:proofErr w:type="spellEnd"/>
      <w:r>
        <w:t xml:space="preserve"> one test will be done at GP and one in a laboratory)</w:t>
      </w:r>
    </w:p>
    <w:p w14:paraId="2A45AF95" w14:textId="45E11643" w:rsidR="004C771E" w:rsidRDefault="004C771E" w:rsidP="00CE53A7">
      <w:pPr>
        <w:pStyle w:val="ListParagraph"/>
        <w:numPr>
          <w:ilvl w:val="0"/>
          <w:numId w:val="35"/>
        </w:numPr>
        <w:spacing w:before="120" w:after="120"/>
        <w:ind w:left="709" w:hanging="352"/>
        <w:contextualSpacing w:val="0"/>
      </w:pPr>
      <w:r>
        <w:t>34% of all laboratory HBA1c tests will be coned out.</w:t>
      </w:r>
    </w:p>
    <w:p w14:paraId="4E6DAFF5" w14:textId="77777777" w:rsidR="004C771E" w:rsidRDefault="004C771E" w:rsidP="004C771E">
      <w:pPr>
        <w:spacing w:before="240" w:after="240"/>
      </w:pPr>
      <w:r>
        <w:t>The applicant cited the Laurence 2009 study as evidence for the 34% coning assumption.</w:t>
      </w:r>
    </w:p>
    <w:p w14:paraId="6104391F" w14:textId="77777777" w:rsidR="004C771E" w:rsidRDefault="004C771E" w:rsidP="004C771E">
      <w:pPr>
        <w:spacing w:after="240"/>
      </w:pPr>
      <w:r>
        <w:t>The MSAC executive noted the cost-minimisation analysis results from its December 2019 advice and the applicant’s new proposal as report in Table 1 (addendum).</w:t>
      </w:r>
    </w:p>
    <w:p w14:paraId="7A104269" w14:textId="77777777" w:rsidR="004C771E" w:rsidRPr="008A2AD1" w:rsidRDefault="004C771E" w:rsidP="004C771E">
      <w:pPr>
        <w:keepNext/>
        <w:keepLines/>
        <w:autoSpaceDE w:val="0"/>
        <w:autoSpaceDN w:val="0"/>
        <w:adjustRightInd w:val="0"/>
        <w:rPr>
          <w:bCs/>
          <w:color w:val="000000"/>
          <w:szCs w:val="24"/>
        </w:rPr>
      </w:pPr>
      <w:r w:rsidRPr="008A2AD1">
        <w:rPr>
          <w:rFonts w:ascii="Arial Narrow" w:hAnsi="Arial Narrow"/>
          <w:b/>
          <w:bCs/>
          <w:color w:val="000000"/>
          <w:sz w:val="20"/>
        </w:rPr>
        <w:lastRenderedPageBreak/>
        <w:t>Table 1</w:t>
      </w:r>
      <w:r>
        <w:rPr>
          <w:rFonts w:ascii="Arial Narrow" w:hAnsi="Arial Narrow"/>
          <w:b/>
          <w:bCs/>
          <w:color w:val="000000"/>
          <w:sz w:val="20"/>
        </w:rPr>
        <w:t xml:space="preserve"> (addendum)</w:t>
      </w:r>
      <w:r w:rsidRPr="008A2AD1">
        <w:rPr>
          <w:rFonts w:ascii="Arial Narrow" w:hAnsi="Arial Narrow"/>
          <w:b/>
          <w:bCs/>
          <w:color w:val="000000"/>
          <w:sz w:val="20"/>
        </w:rPr>
        <w:t>: Comparison of MSA</w:t>
      </w:r>
      <w:r>
        <w:rPr>
          <w:rFonts w:ascii="Arial Narrow" w:hAnsi="Arial Narrow"/>
          <w:b/>
          <w:bCs/>
          <w:color w:val="000000"/>
          <w:sz w:val="20"/>
        </w:rPr>
        <w:t>C</w:t>
      </w:r>
      <w:r w:rsidRPr="008A2AD1">
        <w:rPr>
          <w:rFonts w:ascii="Arial Narrow" w:hAnsi="Arial Narrow"/>
          <w:b/>
          <w:bCs/>
          <w:color w:val="000000"/>
          <w:sz w:val="20"/>
        </w:rPr>
        <w:t xml:space="preserve"> Executive and applicant’s cost-minimisation analysis</w:t>
      </w:r>
      <w:r w:rsidRPr="008A2AD1">
        <w:rPr>
          <w:bCs/>
          <w:color w:val="00000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omparison of MSAC Executive and applicant’s cost-minimisation analysis."/>
      </w:tblPr>
      <w:tblGrid>
        <w:gridCol w:w="1538"/>
        <w:gridCol w:w="1488"/>
        <w:gridCol w:w="1488"/>
        <w:gridCol w:w="1538"/>
        <w:gridCol w:w="1488"/>
        <w:gridCol w:w="1476"/>
      </w:tblGrid>
      <w:tr w:rsidR="004C771E" w:rsidRPr="008A2AD1" w14:paraId="4AF3A87B" w14:textId="77777777" w:rsidTr="004C771E">
        <w:trPr>
          <w:trHeight w:val="357"/>
        </w:trPr>
        <w:tc>
          <w:tcPr>
            <w:tcW w:w="9576" w:type="dxa"/>
            <w:gridSpan w:val="6"/>
            <w:shd w:val="clear" w:color="auto" w:fill="auto"/>
          </w:tcPr>
          <w:p w14:paraId="5CD0A26A" w14:textId="77777777" w:rsidR="004C771E" w:rsidRPr="008A2AD1" w:rsidRDefault="004C771E" w:rsidP="004C771E">
            <w:pPr>
              <w:keepNext/>
              <w:keepLines/>
              <w:autoSpaceDE w:val="0"/>
              <w:autoSpaceDN w:val="0"/>
              <w:adjustRightInd w:val="0"/>
              <w:rPr>
                <w:rFonts w:ascii="Arial Narrow" w:hAnsi="Arial Narrow"/>
                <w:bCs/>
                <w:color w:val="000000"/>
                <w:sz w:val="20"/>
              </w:rPr>
            </w:pPr>
            <w:r w:rsidRPr="008A2AD1">
              <w:rPr>
                <w:rFonts w:ascii="Arial Narrow" w:hAnsi="Arial Narrow"/>
                <w:bCs/>
                <w:color w:val="000000"/>
                <w:sz w:val="20"/>
              </w:rPr>
              <w:t>Inputs</w:t>
            </w:r>
          </w:p>
        </w:tc>
      </w:tr>
      <w:tr w:rsidR="004C771E" w:rsidRPr="008A2AD1" w14:paraId="665B7F28" w14:textId="77777777" w:rsidTr="004C771E">
        <w:tc>
          <w:tcPr>
            <w:tcW w:w="3192" w:type="dxa"/>
            <w:gridSpan w:val="2"/>
            <w:shd w:val="clear" w:color="auto" w:fill="auto"/>
          </w:tcPr>
          <w:p w14:paraId="009346B6" w14:textId="77777777" w:rsidR="004C771E" w:rsidRPr="008A2AD1" w:rsidRDefault="004C771E" w:rsidP="004C771E">
            <w:pPr>
              <w:keepNext/>
              <w:keepLines/>
              <w:autoSpaceDE w:val="0"/>
              <w:autoSpaceDN w:val="0"/>
              <w:adjustRightInd w:val="0"/>
              <w:rPr>
                <w:rFonts w:ascii="Arial Narrow" w:hAnsi="Arial Narrow"/>
                <w:bCs/>
                <w:color w:val="000000"/>
                <w:sz w:val="20"/>
              </w:rPr>
            </w:pPr>
            <w:r w:rsidRPr="008A2AD1">
              <w:rPr>
                <w:rFonts w:ascii="Arial Narrow" w:hAnsi="Arial Narrow"/>
                <w:bCs/>
                <w:color w:val="000000"/>
                <w:sz w:val="20"/>
              </w:rPr>
              <w:t>Laboratory Test</w:t>
            </w:r>
          </w:p>
        </w:tc>
        <w:tc>
          <w:tcPr>
            <w:tcW w:w="1596" w:type="dxa"/>
            <w:shd w:val="clear" w:color="auto" w:fill="auto"/>
          </w:tcPr>
          <w:p w14:paraId="2D0C674B" w14:textId="77777777" w:rsidR="004C771E" w:rsidRPr="008A2AD1" w:rsidRDefault="004C771E" w:rsidP="004C771E">
            <w:pPr>
              <w:keepNext/>
              <w:keepLines/>
              <w:autoSpaceDE w:val="0"/>
              <w:autoSpaceDN w:val="0"/>
              <w:adjustRightInd w:val="0"/>
              <w:rPr>
                <w:rFonts w:ascii="Arial Narrow" w:hAnsi="Arial Narrow"/>
                <w:bCs/>
                <w:color w:val="000000"/>
                <w:sz w:val="20"/>
              </w:rPr>
            </w:pPr>
            <w:r w:rsidRPr="008A2AD1">
              <w:rPr>
                <w:rFonts w:ascii="Arial Narrow" w:hAnsi="Arial Narrow"/>
                <w:bCs/>
                <w:color w:val="000000"/>
                <w:sz w:val="20"/>
              </w:rPr>
              <w:t>$19.61</w:t>
            </w:r>
          </w:p>
        </w:tc>
        <w:tc>
          <w:tcPr>
            <w:tcW w:w="4788" w:type="dxa"/>
            <w:gridSpan w:val="3"/>
            <w:shd w:val="clear" w:color="auto" w:fill="auto"/>
          </w:tcPr>
          <w:p w14:paraId="4FE38469" w14:textId="77777777" w:rsidR="004C771E" w:rsidRPr="008A2AD1" w:rsidRDefault="004C771E" w:rsidP="004C771E">
            <w:pPr>
              <w:keepNext/>
              <w:keepLines/>
              <w:autoSpaceDE w:val="0"/>
              <w:autoSpaceDN w:val="0"/>
              <w:adjustRightInd w:val="0"/>
              <w:rPr>
                <w:rFonts w:ascii="Arial Narrow" w:hAnsi="Arial Narrow"/>
                <w:bCs/>
                <w:color w:val="000000"/>
                <w:sz w:val="20"/>
              </w:rPr>
            </w:pPr>
            <w:r w:rsidRPr="008A2AD1">
              <w:rPr>
                <w:rFonts w:ascii="Arial Narrow" w:hAnsi="Arial Narrow"/>
                <w:bCs/>
                <w:color w:val="000000"/>
                <w:sz w:val="20"/>
              </w:rPr>
              <w:t>Assumes MBS fee of $16.80 and PEI/BBI# of $2.81</w:t>
            </w:r>
          </w:p>
        </w:tc>
      </w:tr>
      <w:tr w:rsidR="004C771E" w:rsidRPr="008A2AD1" w14:paraId="66F0F0B6" w14:textId="77777777" w:rsidTr="004C771E">
        <w:tc>
          <w:tcPr>
            <w:tcW w:w="3192" w:type="dxa"/>
            <w:gridSpan w:val="2"/>
            <w:shd w:val="clear" w:color="auto" w:fill="auto"/>
          </w:tcPr>
          <w:p w14:paraId="5F29FCF1" w14:textId="77777777" w:rsidR="004C771E" w:rsidRPr="008A2AD1" w:rsidRDefault="004C771E" w:rsidP="004C771E">
            <w:pPr>
              <w:keepNext/>
              <w:keepLines/>
              <w:autoSpaceDE w:val="0"/>
              <w:autoSpaceDN w:val="0"/>
              <w:adjustRightInd w:val="0"/>
              <w:rPr>
                <w:rFonts w:ascii="Arial Narrow" w:hAnsi="Arial Narrow"/>
                <w:bCs/>
                <w:color w:val="000000"/>
                <w:sz w:val="20"/>
              </w:rPr>
            </w:pPr>
            <w:proofErr w:type="spellStart"/>
            <w:r w:rsidRPr="008A2AD1">
              <w:rPr>
                <w:rFonts w:ascii="Arial Narrow" w:hAnsi="Arial Narrow"/>
                <w:bCs/>
                <w:color w:val="000000"/>
                <w:sz w:val="20"/>
              </w:rPr>
              <w:t>PoCT</w:t>
            </w:r>
            <w:proofErr w:type="spellEnd"/>
            <w:r w:rsidRPr="008A2AD1">
              <w:rPr>
                <w:rFonts w:ascii="Arial Narrow" w:hAnsi="Arial Narrow"/>
                <w:bCs/>
                <w:color w:val="000000"/>
                <w:sz w:val="20"/>
              </w:rPr>
              <w:t xml:space="preserve"> Test</w:t>
            </w:r>
          </w:p>
        </w:tc>
        <w:tc>
          <w:tcPr>
            <w:tcW w:w="1596" w:type="dxa"/>
            <w:shd w:val="clear" w:color="auto" w:fill="auto"/>
          </w:tcPr>
          <w:p w14:paraId="68D99A77" w14:textId="77777777" w:rsidR="004C771E" w:rsidRPr="008A2AD1" w:rsidRDefault="004C771E" w:rsidP="004C771E">
            <w:pPr>
              <w:keepNext/>
              <w:keepLines/>
              <w:autoSpaceDE w:val="0"/>
              <w:autoSpaceDN w:val="0"/>
              <w:adjustRightInd w:val="0"/>
              <w:rPr>
                <w:rFonts w:ascii="Arial Narrow" w:hAnsi="Arial Narrow"/>
                <w:bCs/>
                <w:color w:val="000000"/>
                <w:sz w:val="20"/>
              </w:rPr>
            </w:pPr>
            <w:r w:rsidRPr="008A2AD1">
              <w:rPr>
                <w:rFonts w:ascii="Arial Narrow" w:hAnsi="Arial Narrow"/>
                <w:bCs/>
                <w:color w:val="000000"/>
                <w:sz w:val="20"/>
              </w:rPr>
              <w:t>$19.50</w:t>
            </w:r>
          </w:p>
        </w:tc>
        <w:tc>
          <w:tcPr>
            <w:tcW w:w="4788" w:type="dxa"/>
            <w:gridSpan w:val="3"/>
            <w:shd w:val="clear" w:color="auto" w:fill="auto"/>
          </w:tcPr>
          <w:p w14:paraId="7F07BD2A" w14:textId="77777777" w:rsidR="004C771E" w:rsidRPr="008A2AD1" w:rsidRDefault="004C771E" w:rsidP="004C771E">
            <w:pPr>
              <w:keepNext/>
              <w:keepLines/>
              <w:autoSpaceDE w:val="0"/>
              <w:autoSpaceDN w:val="0"/>
              <w:adjustRightInd w:val="0"/>
              <w:rPr>
                <w:rFonts w:ascii="Arial Narrow" w:hAnsi="Arial Narrow"/>
                <w:bCs/>
                <w:color w:val="000000"/>
                <w:sz w:val="20"/>
              </w:rPr>
            </w:pPr>
            <w:r w:rsidRPr="008A2AD1">
              <w:rPr>
                <w:rFonts w:ascii="Arial Narrow" w:hAnsi="Arial Narrow"/>
                <w:bCs/>
                <w:color w:val="000000"/>
                <w:sz w:val="20"/>
              </w:rPr>
              <w:t>Proposed by applicant 11 February 2020</w:t>
            </w:r>
          </w:p>
        </w:tc>
      </w:tr>
      <w:tr w:rsidR="004C771E" w:rsidRPr="008A2AD1" w14:paraId="35CBCCDC" w14:textId="77777777" w:rsidTr="004C771E">
        <w:tc>
          <w:tcPr>
            <w:tcW w:w="9576" w:type="dxa"/>
            <w:gridSpan w:val="6"/>
            <w:shd w:val="clear" w:color="auto" w:fill="auto"/>
          </w:tcPr>
          <w:p w14:paraId="444F6B15" w14:textId="77777777" w:rsidR="004C771E" w:rsidRPr="008A2AD1" w:rsidRDefault="004C771E" w:rsidP="004C771E">
            <w:pPr>
              <w:keepNext/>
              <w:keepLines/>
              <w:autoSpaceDE w:val="0"/>
              <w:autoSpaceDN w:val="0"/>
              <w:adjustRightInd w:val="0"/>
              <w:rPr>
                <w:rFonts w:ascii="Arial Narrow" w:hAnsi="Arial Narrow"/>
                <w:bCs/>
                <w:color w:val="000000"/>
                <w:sz w:val="20"/>
              </w:rPr>
            </w:pPr>
          </w:p>
        </w:tc>
      </w:tr>
      <w:tr w:rsidR="004C771E" w:rsidRPr="008A2AD1" w14:paraId="1ED0B44C" w14:textId="77777777" w:rsidTr="004C771E">
        <w:tc>
          <w:tcPr>
            <w:tcW w:w="4788" w:type="dxa"/>
            <w:gridSpan w:val="3"/>
            <w:shd w:val="clear" w:color="auto" w:fill="auto"/>
          </w:tcPr>
          <w:p w14:paraId="667EF1A8" w14:textId="77777777" w:rsidR="004C771E" w:rsidRPr="008A2AD1" w:rsidRDefault="004C771E" w:rsidP="004C771E">
            <w:pPr>
              <w:keepNext/>
              <w:keepLines/>
              <w:autoSpaceDE w:val="0"/>
              <w:autoSpaceDN w:val="0"/>
              <w:adjustRightInd w:val="0"/>
              <w:rPr>
                <w:rFonts w:ascii="Arial Narrow" w:hAnsi="Arial Narrow"/>
                <w:bCs/>
                <w:color w:val="000000"/>
                <w:sz w:val="20"/>
              </w:rPr>
            </w:pPr>
            <w:r w:rsidRPr="008A2AD1">
              <w:rPr>
                <w:rFonts w:ascii="Arial Narrow" w:hAnsi="Arial Narrow"/>
                <w:bCs/>
                <w:color w:val="000000"/>
                <w:sz w:val="20"/>
              </w:rPr>
              <w:t>MSAC Executive Cost-Minimisation Analysis December 2019</w:t>
            </w:r>
          </w:p>
        </w:tc>
        <w:tc>
          <w:tcPr>
            <w:tcW w:w="4788" w:type="dxa"/>
            <w:gridSpan w:val="3"/>
            <w:shd w:val="clear" w:color="auto" w:fill="auto"/>
          </w:tcPr>
          <w:p w14:paraId="2F099CCA" w14:textId="77777777" w:rsidR="004C771E" w:rsidRPr="008A2AD1" w:rsidRDefault="004C771E" w:rsidP="004C771E">
            <w:pPr>
              <w:keepNext/>
              <w:keepLines/>
              <w:autoSpaceDE w:val="0"/>
              <w:autoSpaceDN w:val="0"/>
              <w:adjustRightInd w:val="0"/>
              <w:rPr>
                <w:rFonts w:ascii="Arial Narrow" w:hAnsi="Arial Narrow"/>
                <w:bCs/>
                <w:color w:val="000000"/>
                <w:sz w:val="20"/>
              </w:rPr>
            </w:pPr>
            <w:r w:rsidRPr="008A2AD1">
              <w:rPr>
                <w:rFonts w:ascii="Arial Narrow" w:hAnsi="Arial Narrow"/>
                <w:bCs/>
                <w:color w:val="000000"/>
                <w:sz w:val="20"/>
              </w:rPr>
              <w:t>Applicant Cost-Minimisation Analysis February 2020</w:t>
            </w:r>
          </w:p>
        </w:tc>
      </w:tr>
      <w:tr w:rsidR="004C771E" w:rsidRPr="008A2AD1" w14:paraId="548ABD9C" w14:textId="77777777" w:rsidTr="004C771E">
        <w:tc>
          <w:tcPr>
            <w:tcW w:w="1596" w:type="dxa"/>
            <w:shd w:val="clear" w:color="auto" w:fill="auto"/>
          </w:tcPr>
          <w:p w14:paraId="47A182F4" w14:textId="77777777" w:rsidR="004C771E" w:rsidRPr="008A2AD1" w:rsidRDefault="004C771E" w:rsidP="004C771E">
            <w:pPr>
              <w:autoSpaceDE w:val="0"/>
              <w:autoSpaceDN w:val="0"/>
              <w:adjustRightInd w:val="0"/>
              <w:rPr>
                <w:rFonts w:ascii="Arial Narrow" w:hAnsi="Arial Narrow"/>
                <w:bCs/>
                <w:color w:val="000000"/>
                <w:sz w:val="20"/>
              </w:rPr>
            </w:pPr>
          </w:p>
        </w:tc>
        <w:tc>
          <w:tcPr>
            <w:tcW w:w="1596" w:type="dxa"/>
            <w:shd w:val="clear" w:color="auto" w:fill="auto"/>
          </w:tcPr>
          <w:p w14:paraId="1A299F16"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POC</w:t>
            </w:r>
          </w:p>
        </w:tc>
        <w:tc>
          <w:tcPr>
            <w:tcW w:w="1596" w:type="dxa"/>
            <w:shd w:val="clear" w:color="auto" w:fill="auto"/>
          </w:tcPr>
          <w:p w14:paraId="49C8DDAB"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Lab</w:t>
            </w:r>
          </w:p>
        </w:tc>
        <w:tc>
          <w:tcPr>
            <w:tcW w:w="1596" w:type="dxa"/>
            <w:shd w:val="clear" w:color="auto" w:fill="auto"/>
          </w:tcPr>
          <w:p w14:paraId="39ECB852" w14:textId="77777777" w:rsidR="004C771E" w:rsidRPr="008A2AD1" w:rsidRDefault="004C771E" w:rsidP="004C771E">
            <w:pPr>
              <w:autoSpaceDE w:val="0"/>
              <w:autoSpaceDN w:val="0"/>
              <w:adjustRightInd w:val="0"/>
              <w:rPr>
                <w:rFonts w:ascii="Arial Narrow" w:hAnsi="Arial Narrow"/>
                <w:bCs/>
                <w:color w:val="000000"/>
                <w:sz w:val="20"/>
              </w:rPr>
            </w:pPr>
          </w:p>
        </w:tc>
        <w:tc>
          <w:tcPr>
            <w:tcW w:w="1596" w:type="dxa"/>
            <w:shd w:val="clear" w:color="auto" w:fill="auto"/>
          </w:tcPr>
          <w:p w14:paraId="4967FB67"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POC</w:t>
            </w:r>
          </w:p>
        </w:tc>
        <w:tc>
          <w:tcPr>
            <w:tcW w:w="1596" w:type="dxa"/>
            <w:shd w:val="clear" w:color="auto" w:fill="auto"/>
          </w:tcPr>
          <w:p w14:paraId="3524818D"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Lab</w:t>
            </w:r>
          </w:p>
        </w:tc>
      </w:tr>
      <w:tr w:rsidR="004C771E" w:rsidRPr="008A2AD1" w14:paraId="396364DD" w14:textId="77777777" w:rsidTr="004C771E">
        <w:tc>
          <w:tcPr>
            <w:tcW w:w="1596" w:type="dxa"/>
            <w:shd w:val="clear" w:color="auto" w:fill="auto"/>
          </w:tcPr>
          <w:p w14:paraId="6998FD22"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 xml:space="preserve">No </w:t>
            </w:r>
            <w:proofErr w:type="spellStart"/>
            <w:r w:rsidRPr="008A2AD1">
              <w:rPr>
                <w:rFonts w:ascii="Arial Narrow" w:hAnsi="Arial Narrow"/>
                <w:bCs/>
                <w:color w:val="000000"/>
                <w:sz w:val="20"/>
              </w:rPr>
              <w:t>Poc</w:t>
            </w:r>
            <w:proofErr w:type="spellEnd"/>
            <w:r w:rsidRPr="008A2AD1">
              <w:rPr>
                <w:rFonts w:ascii="Arial Narrow" w:hAnsi="Arial Narrow"/>
                <w:bCs/>
                <w:color w:val="000000"/>
                <w:sz w:val="20"/>
              </w:rPr>
              <w:t xml:space="preserve"> Tests</w:t>
            </w:r>
          </w:p>
        </w:tc>
        <w:tc>
          <w:tcPr>
            <w:tcW w:w="1596" w:type="dxa"/>
            <w:shd w:val="clear" w:color="auto" w:fill="auto"/>
          </w:tcPr>
          <w:p w14:paraId="2D33FE09"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1.5</w:t>
            </w:r>
          </w:p>
        </w:tc>
        <w:tc>
          <w:tcPr>
            <w:tcW w:w="1596" w:type="dxa"/>
            <w:shd w:val="clear" w:color="auto" w:fill="auto"/>
          </w:tcPr>
          <w:p w14:paraId="3EA55C56" w14:textId="77777777" w:rsidR="004C771E" w:rsidRPr="008A2AD1" w:rsidRDefault="004C771E" w:rsidP="004C771E">
            <w:pPr>
              <w:autoSpaceDE w:val="0"/>
              <w:autoSpaceDN w:val="0"/>
              <w:adjustRightInd w:val="0"/>
              <w:rPr>
                <w:rFonts w:ascii="Arial Narrow" w:hAnsi="Arial Narrow"/>
                <w:bCs/>
                <w:color w:val="000000"/>
                <w:sz w:val="20"/>
              </w:rPr>
            </w:pPr>
          </w:p>
        </w:tc>
        <w:tc>
          <w:tcPr>
            <w:tcW w:w="1596" w:type="dxa"/>
            <w:shd w:val="clear" w:color="auto" w:fill="auto"/>
          </w:tcPr>
          <w:p w14:paraId="68D42A81"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 xml:space="preserve">No </w:t>
            </w:r>
            <w:proofErr w:type="spellStart"/>
            <w:r w:rsidRPr="008A2AD1">
              <w:rPr>
                <w:rFonts w:ascii="Arial Narrow" w:hAnsi="Arial Narrow"/>
                <w:bCs/>
                <w:color w:val="000000"/>
                <w:sz w:val="20"/>
              </w:rPr>
              <w:t>Poc</w:t>
            </w:r>
            <w:proofErr w:type="spellEnd"/>
            <w:r w:rsidRPr="008A2AD1">
              <w:rPr>
                <w:rFonts w:ascii="Arial Narrow" w:hAnsi="Arial Narrow"/>
                <w:bCs/>
                <w:color w:val="000000"/>
                <w:sz w:val="20"/>
              </w:rPr>
              <w:t xml:space="preserve"> Tests</w:t>
            </w:r>
          </w:p>
        </w:tc>
        <w:tc>
          <w:tcPr>
            <w:tcW w:w="1596" w:type="dxa"/>
            <w:shd w:val="clear" w:color="auto" w:fill="auto"/>
          </w:tcPr>
          <w:p w14:paraId="2E6F79D8"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1</w:t>
            </w:r>
          </w:p>
        </w:tc>
        <w:tc>
          <w:tcPr>
            <w:tcW w:w="1596" w:type="dxa"/>
            <w:shd w:val="clear" w:color="auto" w:fill="auto"/>
          </w:tcPr>
          <w:p w14:paraId="05A22B4A" w14:textId="77777777" w:rsidR="004C771E" w:rsidRPr="008A2AD1" w:rsidRDefault="004C771E" w:rsidP="004C771E">
            <w:pPr>
              <w:autoSpaceDE w:val="0"/>
              <w:autoSpaceDN w:val="0"/>
              <w:adjustRightInd w:val="0"/>
              <w:rPr>
                <w:rFonts w:ascii="Arial Narrow" w:hAnsi="Arial Narrow"/>
                <w:bCs/>
                <w:color w:val="000000"/>
                <w:sz w:val="20"/>
              </w:rPr>
            </w:pPr>
          </w:p>
        </w:tc>
      </w:tr>
      <w:tr w:rsidR="004C771E" w:rsidRPr="008A2AD1" w14:paraId="111695BE" w14:textId="77777777" w:rsidTr="004C771E">
        <w:tc>
          <w:tcPr>
            <w:tcW w:w="1596" w:type="dxa"/>
            <w:shd w:val="clear" w:color="auto" w:fill="auto"/>
          </w:tcPr>
          <w:p w14:paraId="352147DB"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No Lab Tests</w:t>
            </w:r>
          </w:p>
        </w:tc>
        <w:tc>
          <w:tcPr>
            <w:tcW w:w="1596" w:type="dxa"/>
            <w:shd w:val="clear" w:color="auto" w:fill="auto"/>
          </w:tcPr>
          <w:p w14:paraId="58CE60AB"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1</w:t>
            </w:r>
          </w:p>
        </w:tc>
        <w:tc>
          <w:tcPr>
            <w:tcW w:w="1596" w:type="dxa"/>
            <w:shd w:val="clear" w:color="auto" w:fill="auto"/>
          </w:tcPr>
          <w:p w14:paraId="005F5E3C"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2.5</w:t>
            </w:r>
          </w:p>
        </w:tc>
        <w:tc>
          <w:tcPr>
            <w:tcW w:w="1596" w:type="dxa"/>
            <w:shd w:val="clear" w:color="auto" w:fill="auto"/>
          </w:tcPr>
          <w:p w14:paraId="65AEDCAA"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No Lab Tests</w:t>
            </w:r>
          </w:p>
        </w:tc>
        <w:tc>
          <w:tcPr>
            <w:tcW w:w="1596" w:type="dxa"/>
            <w:shd w:val="clear" w:color="auto" w:fill="auto"/>
          </w:tcPr>
          <w:p w14:paraId="005460CC"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1</w:t>
            </w:r>
          </w:p>
        </w:tc>
        <w:tc>
          <w:tcPr>
            <w:tcW w:w="1596" w:type="dxa"/>
            <w:shd w:val="clear" w:color="auto" w:fill="auto"/>
          </w:tcPr>
          <w:p w14:paraId="40121759"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2</w:t>
            </w:r>
          </w:p>
        </w:tc>
      </w:tr>
      <w:tr w:rsidR="004C771E" w:rsidRPr="008A2AD1" w14:paraId="7EEE87D3" w14:textId="77777777" w:rsidTr="004C771E">
        <w:tc>
          <w:tcPr>
            <w:tcW w:w="1596" w:type="dxa"/>
            <w:shd w:val="clear" w:color="auto" w:fill="auto"/>
          </w:tcPr>
          <w:p w14:paraId="2A7B44CF"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Prop Lab coned</w:t>
            </w:r>
          </w:p>
        </w:tc>
        <w:tc>
          <w:tcPr>
            <w:tcW w:w="1596" w:type="dxa"/>
            <w:shd w:val="clear" w:color="auto" w:fill="auto"/>
          </w:tcPr>
          <w:p w14:paraId="560B882C"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60%</w:t>
            </w:r>
          </w:p>
        </w:tc>
        <w:tc>
          <w:tcPr>
            <w:tcW w:w="1596" w:type="dxa"/>
            <w:shd w:val="clear" w:color="auto" w:fill="auto"/>
          </w:tcPr>
          <w:p w14:paraId="1373EB0F"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60%</w:t>
            </w:r>
          </w:p>
        </w:tc>
        <w:tc>
          <w:tcPr>
            <w:tcW w:w="1596" w:type="dxa"/>
            <w:shd w:val="clear" w:color="auto" w:fill="auto"/>
          </w:tcPr>
          <w:p w14:paraId="610D6794"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Prop Lab coned</w:t>
            </w:r>
          </w:p>
        </w:tc>
        <w:tc>
          <w:tcPr>
            <w:tcW w:w="1596" w:type="dxa"/>
            <w:shd w:val="clear" w:color="auto" w:fill="auto"/>
          </w:tcPr>
          <w:p w14:paraId="5A4B7D65"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34%</w:t>
            </w:r>
          </w:p>
        </w:tc>
        <w:tc>
          <w:tcPr>
            <w:tcW w:w="1596" w:type="dxa"/>
            <w:shd w:val="clear" w:color="auto" w:fill="auto"/>
          </w:tcPr>
          <w:p w14:paraId="1D16635C"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34%</w:t>
            </w:r>
          </w:p>
        </w:tc>
      </w:tr>
      <w:tr w:rsidR="004C771E" w:rsidRPr="008A2AD1" w14:paraId="208D56D2" w14:textId="77777777" w:rsidTr="004C771E">
        <w:tc>
          <w:tcPr>
            <w:tcW w:w="1596" w:type="dxa"/>
            <w:shd w:val="clear" w:color="auto" w:fill="auto"/>
          </w:tcPr>
          <w:p w14:paraId="1FDDADD4"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Total cost tests at proposed price</w:t>
            </w:r>
          </w:p>
        </w:tc>
        <w:tc>
          <w:tcPr>
            <w:tcW w:w="1596" w:type="dxa"/>
            <w:shd w:val="clear" w:color="auto" w:fill="auto"/>
          </w:tcPr>
          <w:p w14:paraId="16626161"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$37.09</w:t>
            </w:r>
          </w:p>
        </w:tc>
        <w:tc>
          <w:tcPr>
            <w:tcW w:w="1596" w:type="dxa"/>
            <w:shd w:val="clear" w:color="auto" w:fill="auto"/>
          </w:tcPr>
          <w:p w14:paraId="573E8507"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$19.61</w:t>
            </w:r>
          </w:p>
        </w:tc>
        <w:tc>
          <w:tcPr>
            <w:tcW w:w="1596" w:type="dxa"/>
            <w:shd w:val="clear" w:color="auto" w:fill="auto"/>
          </w:tcPr>
          <w:p w14:paraId="14823FA1"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Total cost tests at proposed price</w:t>
            </w:r>
          </w:p>
        </w:tc>
        <w:tc>
          <w:tcPr>
            <w:tcW w:w="1596" w:type="dxa"/>
            <w:shd w:val="clear" w:color="auto" w:fill="auto"/>
          </w:tcPr>
          <w:p w14:paraId="63CFAE0C"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$32.44</w:t>
            </w:r>
          </w:p>
        </w:tc>
        <w:tc>
          <w:tcPr>
            <w:tcW w:w="1596" w:type="dxa"/>
            <w:shd w:val="clear" w:color="auto" w:fill="auto"/>
          </w:tcPr>
          <w:p w14:paraId="3154E2CB"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32.36</w:t>
            </w:r>
          </w:p>
        </w:tc>
      </w:tr>
      <w:tr w:rsidR="004C771E" w:rsidRPr="008A2AD1" w14:paraId="28DE46B6" w14:textId="77777777" w:rsidTr="004C771E">
        <w:tc>
          <w:tcPr>
            <w:tcW w:w="1596" w:type="dxa"/>
            <w:shd w:val="clear" w:color="auto" w:fill="auto"/>
          </w:tcPr>
          <w:p w14:paraId="69487E4B" w14:textId="77777777" w:rsidR="004C771E" w:rsidRPr="008A2AD1" w:rsidRDefault="004C771E" w:rsidP="004C771E">
            <w:pPr>
              <w:autoSpaceDE w:val="0"/>
              <w:autoSpaceDN w:val="0"/>
              <w:adjustRightInd w:val="0"/>
              <w:rPr>
                <w:rFonts w:ascii="Arial Narrow" w:hAnsi="Arial Narrow"/>
                <w:bCs/>
                <w:color w:val="000000"/>
                <w:sz w:val="20"/>
              </w:rPr>
            </w:pPr>
            <w:proofErr w:type="spellStart"/>
            <w:r w:rsidRPr="008A2AD1">
              <w:rPr>
                <w:rFonts w:ascii="Arial Narrow" w:hAnsi="Arial Narrow"/>
                <w:bCs/>
                <w:color w:val="000000"/>
                <w:sz w:val="20"/>
              </w:rPr>
              <w:t>PoCT</w:t>
            </w:r>
            <w:proofErr w:type="spellEnd"/>
            <w:r w:rsidRPr="008A2AD1">
              <w:rPr>
                <w:rFonts w:ascii="Arial Narrow" w:hAnsi="Arial Narrow"/>
                <w:bCs/>
                <w:color w:val="000000"/>
                <w:sz w:val="20"/>
              </w:rPr>
              <w:t xml:space="preserve"> Price to achieve cost-minimisation</w:t>
            </w:r>
          </w:p>
        </w:tc>
        <w:tc>
          <w:tcPr>
            <w:tcW w:w="1596" w:type="dxa"/>
            <w:shd w:val="clear" w:color="auto" w:fill="auto"/>
          </w:tcPr>
          <w:p w14:paraId="1D21F271"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$7.84</w:t>
            </w:r>
          </w:p>
        </w:tc>
        <w:tc>
          <w:tcPr>
            <w:tcW w:w="1596" w:type="dxa"/>
            <w:shd w:val="clear" w:color="auto" w:fill="auto"/>
          </w:tcPr>
          <w:p w14:paraId="3A5EA1CF" w14:textId="77777777" w:rsidR="004C771E" w:rsidRPr="008A2AD1" w:rsidRDefault="004C771E" w:rsidP="004C771E">
            <w:pPr>
              <w:autoSpaceDE w:val="0"/>
              <w:autoSpaceDN w:val="0"/>
              <w:adjustRightInd w:val="0"/>
              <w:rPr>
                <w:rFonts w:ascii="Arial Narrow" w:hAnsi="Arial Narrow"/>
                <w:bCs/>
                <w:color w:val="000000"/>
                <w:sz w:val="20"/>
              </w:rPr>
            </w:pPr>
          </w:p>
        </w:tc>
        <w:tc>
          <w:tcPr>
            <w:tcW w:w="1596" w:type="dxa"/>
            <w:shd w:val="clear" w:color="auto" w:fill="auto"/>
          </w:tcPr>
          <w:p w14:paraId="5B7243FC" w14:textId="77777777" w:rsidR="004C771E" w:rsidRPr="008A2AD1" w:rsidRDefault="004C771E" w:rsidP="004C771E">
            <w:pPr>
              <w:autoSpaceDE w:val="0"/>
              <w:autoSpaceDN w:val="0"/>
              <w:adjustRightInd w:val="0"/>
              <w:rPr>
                <w:rFonts w:ascii="Arial Narrow" w:hAnsi="Arial Narrow"/>
                <w:bCs/>
                <w:color w:val="000000"/>
                <w:sz w:val="20"/>
              </w:rPr>
            </w:pPr>
            <w:proofErr w:type="spellStart"/>
            <w:r w:rsidRPr="008A2AD1">
              <w:rPr>
                <w:rFonts w:ascii="Arial Narrow" w:hAnsi="Arial Narrow"/>
                <w:bCs/>
                <w:color w:val="000000"/>
                <w:sz w:val="20"/>
              </w:rPr>
              <w:t>PoCT</w:t>
            </w:r>
            <w:proofErr w:type="spellEnd"/>
            <w:r w:rsidRPr="008A2AD1">
              <w:rPr>
                <w:rFonts w:ascii="Arial Narrow" w:hAnsi="Arial Narrow"/>
                <w:bCs/>
                <w:color w:val="000000"/>
                <w:sz w:val="20"/>
              </w:rPr>
              <w:t xml:space="preserve"> Price to achieve cost-minimisation</w:t>
            </w:r>
          </w:p>
        </w:tc>
        <w:tc>
          <w:tcPr>
            <w:tcW w:w="1596" w:type="dxa"/>
            <w:shd w:val="clear" w:color="auto" w:fill="auto"/>
          </w:tcPr>
          <w:p w14:paraId="49A706D1"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$19.41</w:t>
            </w:r>
          </w:p>
        </w:tc>
        <w:tc>
          <w:tcPr>
            <w:tcW w:w="1596" w:type="dxa"/>
            <w:shd w:val="clear" w:color="auto" w:fill="auto"/>
          </w:tcPr>
          <w:p w14:paraId="27BD6BD3" w14:textId="77777777" w:rsidR="004C771E" w:rsidRPr="008A2AD1" w:rsidRDefault="004C771E" w:rsidP="004C771E">
            <w:pPr>
              <w:autoSpaceDE w:val="0"/>
              <w:autoSpaceDN w:val="0"/>
              <w:adjustRightInd w:val="0"/>
              <w:rPr>
                <w:rFonts w:ascii="Arial Narrow" w:hAnsi="Arial Narrow"/>
                <w:bCs/>
                <w:color w:val="000000"/>
                <w:sz w:val="20"/>
              </w:rPr>
            </w:pPr>
          </w:p>
        </w:tc>
      </w:tr>
    </w:tbl>
    <w:p w14:paraId="724B6B69" w14:textId="77777777" w:rsidR="004C771E" w:rsidRPr="004C771E"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#Average Patient Episode Initiation (PEI) and Bulk Billing Incentive (BBI) is based on out of hospital services.</w:t>
      </w:r>
    </w:p>
    <w:p w14:paraId="52649D4B" w14:textId="77777777" w:rsidR="004C771E" w:rsidRDefault="004C771E" w:rsidP="004C771E">
      <w:pPr>
        <w:spacing w:before="240" w:after="240"/>
      </w:pPr>
      <w:r>
        <w:t xml:space="preserve">The MSAC Executive did not accept the applicant’s revised assumptions. The executive noted the DVA data show patients receive an average of 2.4 </w:t>
      </w:r>
      <w:proofErr w:type="spellStart"/>
      <w:r>
        <w:t>HbAlc</w:t>
      </w:r>
      <w:proofErr w:type="spellEnd"/>
      <w:r>
        <w:t xml:space="preserve"> tests each year, which supports the use of 2.5 tests in the current consideration.</w:t>
      </w:r>
    </w:p>
    <w:p w14:paraId="78F333B7" w14:textId="77777777" w:rsidR="004C771E" w:rsidRDefault="004C771E" w:rsidP="004C771E">
      <w:pPr>
        <w:spacing w:after="240"/>
      </w:pPr>
      <w:r>
        <w:t xml:space="preserve">The MSAC Executive noted the coning </w:t>
      </w:r>
      <w:r w:rsidRPr="00827385">
        <w:t xml:space="preserve">estimate cited in Laurence </w:t>
      </w:r>
      <w:r>
        <w:t xml:space="preserve">2009 </w:t>
      </w:r>
      <w:r w:rsidRPr="00827385">
        <w:t xml:space="preserve">was based on reports from the pathology sector (Laurence page 265) – no data </w:t>
      </w:r>
      <w:r>
        <w:t xml:space="preserve">was </w:t>
      </w:r>
      <w:r w:rsidRPr="00827385">
        <w:t>provided in support of this claim</w:t>
      </w:r>
      <w:r>
        <w:t>.</w:t>
      </w:r>
    </w:p>
    <w:p w14:paraId="2513DBC8" w14:textId="77777777" w:rsidR="004C771E" w:rsidRDefault="004C771E" w:rsidP="004C771E">
      <w:pPr>
        <w:spacing w:after="240"/>
      </w:pPr>
      <w:r>
        <w:t xml:space="preserve">The MSAC Executive noted the </w:t>
      </w:r>
      <w:r w:rsidRPr="00827385">
        <w:t>Department has further analysed both Veteran’s Affairs data and Specialist requesting (un</w:t>
      </w:r>
      <w:r>
        <w:t>-</w:t>
      </w:r>
      <w:r w:rsidRPr="00827385">
        <w:t>coned) MBS data for MBS item 66551 (HbA1c monitoring). Based on 2018-19 data 60% -</w:t>
      </w:r>
      <w:r>
        <w:t xml:space="preserve"> </w:t>
      </w:r>
      <w:r w:rsidRPr="00827385">
        <w:t>65% of HbA1c laboratory tests would be coned.</w:t>
      </w:r>
    </w:p>
    <w:p w14:paraId="05E35B81" w14:textId="77777777" w:rsidR="004C771E" w:rsidRPr="004C771E" w:rsidRDefault="004C771E" w:rsidP="004C771E">
      <w:pPr>
        <w:spacing w:after="240"/>
      </w:pPr>
      <w:r>
        <w:t xml:space="preserve">However, the MSAC Executive considered it possible that a higher proportion of laboratory tests would be coned in the </w:t>
      </w:r>
      <w:proofErr w:type="spellStart"/>
      <w:r>
        <w:t>PoC</w:t>
      </w:r>
      <w:proofErr w:type="spellEnd"/>
      <w:r>
        <w:t xml:space="preserve"> group compared to the laboratory only group, on the basis that it is likely that when a GP orders a laboratory based HBA1c test on one occasion per year (as required by the proposed MBS listing) the GP will also order a range of other tests, increasing the likelihood that the HBA1c test will be coned out. The MSAC executive thus considered it would be reasonable to assume between 60 – 90% of laboratory HBA1c tests in the </w:t>
      </w:r>
      <w:proofErr w:type="spellStart"/>
      <w:r>
        <w:t>PoC</w:t>
      </w:r>
      <w:proofErr w:type="spellEnd"/>
      <w:r>
        <w:t xml:space="preserve"> group will be coned out. The ranges of </w:t>
      </w:r>
      <w:proofErr w:type="spellStart"/>
      <w:r>
        <w:t>PoC</w:t>
      </w:r>
      <w:proofErr w:type="spellEnd"/>
      <w:r>
        <w:t xml:space="preserve"> HBA1c prices that arise from this analysis are provided in Table 2 (addendum).</w:t>
      </w:r>
    </w:p>
    <w:p w14:paraId="7E3A2127" w14:textId="77777777" w:rsidR="004C771E" w:rsidRPr="006C1159" w:rsidRDefault="004C771E" w:rsidP="004C771E">
      <w:pPr>
        <w:rPr>
          <w:rFonts w:ascii="Arial Narrow" w:hAnsi="Arial Narrow"/>
          <w:b/>
          <w:sz w:val="20"/>
        </w:rPr>
      </w:pPr>
      <w:r w:rsidRPr="006C1159">
        <w:rPr>
          <w:rFonts w:ascii="Arial Narrow" w:hAnsi="Arial Narrow"/>
          <w:b/>
          <w:sz w:val="20"/>
        </w:rPr>
        <w:t xml:space="preserve">Table 2 (addendum) Price range at which HbA1c </w:t>
      </w:r>
      <w:proofErr w:type="spellStart"/>
      <w:r w:rsidRPr="006C1159">
        <w:rPr>
          <w:rFonts w:ascii="Arial Narrow" w:hAnsi="Arial Narrow"/>
          <w:b/>
          <w:sz w:val="20"/>
        </w:rPr>
        <w:t>PoC</w:t>
      </w:r>
      <w:proofErr w:type="spellEnd"/>
      <w:r w:rsidRPr="006C1159">
        <w:rPr>
          <w:rFonts w:ascii="Arial Narrow" w:hAnsi="Arial Narrow"/>
          <w:b/>
          <w:sz w:val="20"/>
        </w:rPr>
        <w:t xml:space="preserve"> likely to be cost-effective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ice range at which HbA1c PoC likely to be cost-effective  "/>
      </w:tblPr>
      <w:tblGrid>
        <w:gridCol w:w="2689"/>
        <w:gridCol w:w="992"/>
        <w:gridCol w:w="1276"/>
        <w:gridCol w:w="1106"/>
        <w:gridCol w:w="1477"/>
        <w:gridCol w:w="1476"/>
      </w:tblGrid>
      <w:tr w:rsidR="004C771E" w:rsidRPr="008A2AD1" w14:paraId="5F9D4AEF" w14:textId="77777777" w:rsidTr="004C771E">
        <w:trPr>
          <w:trHeight w:val="357"/>
        </w:trPr>
        <w:tc>
          <w:tcPr>
            <w:tcW w:w="9016" w:type="dxa"/>
            <w:gridSpan w:val="6"/>
            <w:shd w:val="clear" w:color="auto" w:fill="auto"/>
          </w:tcPr>
          <w:p w14:paraId="1716C557"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Inputs</w:t>
            </w:r>
          </w:p>
        </w:tc>
      </w:tr>
      <w:tr w:rsidR="004C771E" w:rsidRPr="008A2AD1" w14:paraId="28E82B59" w14:textId="77777777" w:rsidTr="004C771E">
        <w:tc>
          <w:tcPr>
            <w:tcW w:w="3681" w:type="dxa"/>
            <w:gridSpan w:val="2"/>
            <w:shd w:val="clear" w:color="auto" w:fill="auto"/>
          </w:tcPr>
          <w:p w14:paraId="305092BC"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Laboratory Test</w:t>
            </w:r>
          </w:p>
        </w:tc>
        <w:tc>
          <w:tcPr>
            <w:tcW w:w="1276" w:type="dxa"/>
            <w:shd w:val="clear" w:color="auto" w:fill="auto"/>
          </w:tcPr>
          <w:p w14:paraId="1E19FCF5"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$19.61</w:t>
            </w:r>
          </w:p>
        </w:tc>
        <w:tc>
          <w:tcPr>
            <w:tcW w:w="4059" w:type="dxa"/>
            <w:gridSpan w:val="3"/>
            <w:shd w:val="clear" w:color="auto" w:fill="auto"/>
          </w:tcPr>
          <w:p w14:paraId="660A017E"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Assumes MBS fee of $16.80 and PEI/BBI# of $2.81</w:t>
            </w:r>
          </w:p>
        </w:tc>
      </w:tr>
      <w:tr w:rsidR="004C771E" w:rsidRPr="008A2AD1" w14:paraId="7AECC411" w14:textId="77777777" w:rsidTr="004C771E">
        <w:tc>
          <w:tcPr>
            <w:tcW w:w="3681" w:type="dxa"/>
            <w:gridSpan w:val="2"/>
            <w:shd w:val="clear" w:color="auto" w:fill="auto"/>
          </w:tcPr>
          <w:p w14:paraId="6DD3B060" w14:textId="77777777" w:rsidR="004C771E" w:rsidRPr="008A2AD1" w:rsidRDefault="004C771E" w:rsidP="004C771E">
            <w:pPr>
              <w:autoSpaceDE w:val="0"/>
              <w:autoSpaceDN w:val="0"/>
              <w:adjustRightInd w:val="0"/>
              <w:rPr>
                <w:rFonts w:ascii="Arial Narrow" w:hAnsi="Arial Narrow"/>
                <w:bCs/>
                <w:color w:val="000000"/>
                <w:sz w:val="20"/>
              </w:rPr>
            </w:pPr>
            <w:proofErr w:type="spellStart"/>
            <w:r w:rsidRPr="008A2AD1">
              <w:rPr>
                <w:rFonts w:ascii="Arial Narrow" w:hAnsi="Arial Narrow"/>
                <w:bCs/>
                <w:color w:val="000000"/>
                <w:sz w:val="20"/>
              </w:rPr>
              <w:t>PoC</w:t>
            </w:r>
            <w:proofErr w:type="spellEnd"/>
            <w:r w:rsidRPr="008A2AD1">
              <w:rPr>
                <w:rFonts w:ascii="Arial Narrow" w:hAnsi="Arial Narrow"/>
                <w:bCs/>
                <w:color w:val="000000"/>
                <w:sz w:val="20"/>
              </w:rPr>
              <w:t xml:space="preserve"> Test</w:t>
            </w:r>
          </w:p>
        </w:tc>
        <w:tc>
          <w:tcPr>
            <w:tcW w:w="1276" w:type="dxa"/>
            <w:shd w:val="clear" w:color="auto" w:fill="auto"/>
          </w:tcPr>
          <w:p w14:paraId="6D2231CF"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$19.50</w:t>
            </w:r>
          </w:p>
        </w:tc>
        <w:tc>
          <w:tcPr>
            <w:tcW w:w="4059" w:type="dxa"/>
            <w:gridSpan w:val="3"/>
            <w:shd w:val="clear" w:color="auto" w:fill="auto"/>
          </w:tcPr>
          <w:p w14:paraId="53DDB16F"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Proposed by applicant 11 February 2020</w:t>
            </w:r>
          </w:p>
        </w:tc>
      </w:tr>
      <w:tr w:rsidR="004C771E" w:rsidRPr="008A2AD1" w14:paraId="47E4606F" w14:textId="77777777" w:rsidTr="004C771E">
        <w:tc>
          <w:tcPr>
            <w:tcW w:w="9016" w:type="dxa"/>
            <w:gridSpan w:val="6"/>
            <w:shd w:val="clear" w:color="auto" w:fill="auto"/>
          </w:tcPr>
          <w:p w14:paraId="682AAAB9" w14:textId="77777777" w:rsidR="004C771E" w:rsidRPr="008A2AD1" w:rsidRDefault="004C771E" w:rsidP="004C771E">
            <w:pPr>
              <w:autoSpaceDE w:val="0"/>
              <w:autoSpaceDN w:val="0"/>
              <w:adjustRightInd w:val="0"/>
              <w:rPr>
                <w:rFonts w:ascii="Arial Narrow" w:hAnsi="Arial Narrow"/>
                <w:bCs/>
                <w:color w:val="000000"/>
                <w:sz w:val="20"/>
              </w:rPr>
            </w:pPr>
          </w:p>
        </w:tc>
      </w:tr>
      <w:tr w:rsidR="004C771E" w:rsidRPr="008A2AD1" w14:paraId="04A80EAE" w14:textId="77777777" w:rsidTr="004C771E">
        <w:tc>
          <w:tcPr>
            <w:tcW w:w="9016" w:type="dxa"/>
            <w:gridSpan w:val="6"/>
            <w:shd w:val="clear" w:color="auto" w:fill="auto"/>
          </w:tcPr>
          <w:p w14:paraId="1F546B60"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 xml:space="preserve">MSAC Executive Cost-Minimisation Analysis </w:t>
            </w:r>
            <w:r>
              <w:rPr>
                <w:rFonts w:ascii="Arial Narrow" w:hAnsi="Arial Narrow"/>
                <w:bCs/>
                <w:color w:val="000000"/>
                <w:sz w:val="20"/>
              </w:rPr>
              <w:t>March 2002</w:t>
            </w:r>
          </w:p>
        </w:tc>
      </w:tr>
      <w:tr w:rsidR="004C771E" w:rsidRPr="008A2AD1" w14:paraId="393887C7" w14:textId="77777777" w:rsidTr="004C771E">
        <w:tc>
          <w:tcPr>
            <w:tcW w:w="2689" w:type="dxa"/>
            <w:shd w:val="clear" w:color="auto" w:fill="auto"/>
          </w:tcPr>
          <w:p w14:paraId="3E47E3A8" w14:textId="77777777" w:rsidR="004C771E" w:rsidRPr="008A2AD1" w:rsidRDefault="004C771E" w:rsidP="004C771E">
            <w:pPr>
              <w:autoSpaceDE w:val="0"/>
              <w:autoSpaceDN w:val="0"/>
              <w:adjustRightInd w:val="0"/>
              <w:rPr>
                <w:rFonts w:ascii="Arial Narrow" w:hAnsi="Arial Narrow"/>
                <w:bCs/>
                <w:color w:val="000000"/>
                <w:sz w:val="20"/>
              </w:rPr>
            </w:pPr>
          </w:p>
        </w:tc>
        <w:tc>
          <w:tcPr>
            <w:tcW w:w="992" w:type="dxa"/>
            <w:shd w:val="clear" w:color="auto" w:fill="auto"/>
          </w:tcPr>
          <w:p w14:paraId="66F57194"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POC</w:t>
            </w:r>
          </w:p>
        </w:tc>
        <w:tc>
          <w:tcPr>
            <w:tcW w:w="1276" w:type="dxa"/>
            <w:shd w:val="clear" w:color="auto" w:fill="auto"/>
          </w:tcPr>
          <w:p w14:paraId="71133AE4" w14:textId="77777777" w:rsidR="004C771E" w:rsidRPr="008A2AD1" w:rsidRDefault="004C771E" w:rsidP="004C771E">
            <w:pPr>
              <w:autoSpaceDE w:val="0"/>
              <w:autoSpaceDN w:val="0"/>
              <w:adjustRightInd w:val="0"/>
              <w:rPr>
                <w:rFonts w:ascii="Arial Narrow" w:hAnsi="Arial Narrow"/>
                <w:bCs/>
                <w:color w:val="000000"/>
                <w:sz w:val="20"/>
              </w:rPr>
            </w:pPr>
            <w:r>
              <w:rPr>
                <w:rFonts w:ascii="Arial Narrow" w:hAnsi="Arial Narrow"/>
                <w:bCs/>
                <w:color w:val="000000"/>
                <w:sz w:val="20"/>
              </w:rPr>
              <w:t>POC</w:t>
            </w:r>
          </w:p>
        </w:tc>
        <w:tc>
          <w:tcPr>
            <w:tcW w:w="4059" w:type="dxa"/>
            <w:gridSpan w:val="3"/>
            <w:shd w:val="clear" w:color="auto" w:fill="auto"/>
          </w:tcPr>
          <w:p w14:paraId="09C72DE6"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Lab</w:t>
            </w:r>
          </w:p>
        </w:tc>
      </w:tr>
      <w:tr w:rsidR="004C771E" w:rsidRPr="008A2AD1" w14:paraId="410D21CF" w14:textId="77777777" w:rsidTr="004C771E">
        <w:tc>
          <w:tcPr>
            <w:tcW w:w="2689" w:type="dxa"/>
            <w:shd w:val="clear" w:color="auto" w:fill="auto"/>
          </w:tcPr>
          <w:p w14:paraId="48BDB21D"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 xml:space="preserve">No </w:t>
            </w:r>
            <w:proofErr w:type="spellStart"/>
            <w:r w:rsidRPr="008A2AD1">
              <w:rPr>
                <w:rFonts w:ascii="Arial Narrow" w:hAnsi="Arial Narrow"/>
                <w:bCs/>
                <w:color w:val="000000"/>
                <w:sz w:val="20"/>
              </w:rPr>
              <w:t>Poc</w:t>
            </w:r>
            <w:proofErr w:type="spellEnd"/>
            <w:r w:rsidRPr="008A2AD1">
              <w:rPr>
                <w:rFonts w:ascii="Arial Narrow" w:hAnsi="Arial Narrow"/>
                <w:bCs/>
                <w:color w:val="000000"/>
                <w:sz w:val="20"/>
              </w:rPr>
              <w:t xml:space="preserve"> Tests</w:t>
            </w:r>
          </w:p>
        </w:tc>
        <w:tc>
          <w:tcPr>
            <w:tcW w:w="992" w:type="dxa"/>
            <w:shd w:val="clear" w:color="auto" w:fill="auto"/>
          </w:tcPr>
          <w:p w14:paraId="3066CDB1"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1.5</w:t>
            </w:r>
          </w:p>
        </w:tc>
        <w:tc>
          <w:tcPr>
            <w:tcW w:w="1276" w:type="dxa"/>
            <w:shd w:val="clear" w:color="auto" w:fill="auto"/>
          </w:tcPr>
          <w:p w14:paraId="72EDB9E4" w14:textId="77777777" w:rsidR="004C771E" w:rsidRPr="008A2AD1" w:rsidRDefault="004C771E" w:rsidP="004C771E">
            <w:pPr>
              <w:autoSpaceDE w:val="0"/>
              <w:autoSpaceDN w:val="0"/>
              <w:adjustRightInd w:val="0"/>
              <w:rPr>
                <w:rFonts w:ascii="Arial Narrow" w:hAnsi="Arial Narrow"/>
                <w:bCs/>
                <w:color w:val="000000"/>
                <w:sz w:val="20"/>
              </w:rPr>
            </w:pPr>
            <w:r>
              <w:rPr>
                <w:rFonts w:ascii="Arial Narrow" w:hAnsi="Arial Narrow"/>
                <w:bCs/>
                <w:color w:val="000000"/>
                <w:sz w:val="20"/>
              </w:rPr>
              <w:t>1.5</w:t>
            </w:r>
          </w:p>
        </w:tc>
        <w:tc>
          <w:tcPr>
            <w:tcW w:w="4059" w:type="dxa"/>
            <w:gridSpan w:val="3"/>
            <w:shd w:val="clear" w:color="auto" w:fill="auto"/>
          </w:tcPr>
          <w:p w14:paraId="250161AE" w14:textId="77777777" w:rsidR="004C771E" w:rsidRPr="008A2AD1" w:rsidRDefault="004C771E" w:rsidP="004C771E">
            <w:pPr>
              <w:autoSpaceDE w:val="0"/>
              <w:autoSpaceDN w:val="0"/>
              <w:adjustRightInd w:val="0"/>
              <w:rPr>
                <w:rFonts w:ascii="Arial Narrow" w:hAnsi="Arial Narrow"/>
                <w:bCs/>
                <w:color w:val="000000"/>
                <w:sz w:val="20"/>
              </w:rPr>
            </w:pPr>
          </w:p>
        </w:tc>
      </w:tr>
      <w:tr w:rsidR="004C771E" w:rsidRPr="008A2AD1" w14:paraId="0752AF56" w14:textId="77777777" w:rsidTr="004C771E">
        <w:tc>
          <w:tcPr>
            <w:tcW w:w="2689" w:type="dxa"/>
            <w:shd w:val="clear" w:color="auto" w:fill="auto"/>
          </w:tcPr>
          <w:p w14:paraId="2FD6D49F"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No Lab Tests</w:t>
            </w:r>
          </w:p>
        </w:tc>
        <w:tc>
          <w:tcPr>
            <w:tcW w:w="992" w:type="dxa"/>
            <w:shd w:val="clear" w:color="auto" w:fill="auto"/>
          </w:tcPr>
          <w:p w14:paraId="5FA7AA1B"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1</w:t>
            </w:r>
          </w:p>
        </w:tc>
        <w:tc>
          <w:tcPr>
            <w:tcW w:w="1276" w:type="dxa"/>
            <w:shd w:val="clear" w:color="auto" w:fill="auto"/>
          </w:tcPr>
          <w:p w14:paraId="3E35BF8D" w14:textId="77777777" w:rsidR="004C771E" w:rsidRPr="008A2AD1" w:rsidRDefault="004C771E" w:rsidP="004C771E">
            <w:pPr>
              <w:autoSpaceDE w:val="0"/>
              <w:autoSpaceDN w:val="0"/>
              <w:adjustRightInd w:val="0"/>
              <w:rPr>
                <w:rFonts w:ascii="Arial Narrow" w:hAnsi="Arial Narrow"/>
                <w:bCs/>
                <w:color w:val="000000"/>
                <w:sz w:val="20"/>
              </w:rPr>
            </w:pPr>
            <w:r>
              <w:rPr>
                <w:rFonts w:ascii="Arial Narrow" w:hAnsi="Arial Narrow"/>
                <w:bCs/>
                <w:color w:val="000000"/>
                <w:sz w:val="20"/>
              </w:rPr>
              <w:t>1</w:t>
            </w:r>
          </w:p>
        </w:tc>
        <w:tc>
          <w:tcPr>
            <w:tcW w:w="4059" w:type="dxa"/>
            <w:gridSpan w:val="3"/>
            <w:shd w:val="clear" w:color="auto" w:fill="auto"/>
          </w:tcPr>
          <w:p w14:paraId="2F0253B9"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2.5</w:t>
            </w:r>
          </w:p>
        </w:tc>
      </w:tr>
      <w:tr w:rsidR="004C771E" w:rsidRPr="008A2AD1" w14:paraId="749BA27D" w14:textId="77777777" w:rsidTr="004C771E">
        <w:tc>
          <w:tcPr>
            <w:tcW w:w="2689" w:type="dxa"/>
            <w:shd w:val="clear" w:color="auto" w:fill="auto"/>
          </w:tcPr>
          <w:p w14:paraId="0A1D2287"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Prop Lab coned</w:t>
            </w:r>
          </w:p>
        </w:tc>
        <w:tc>
          <w:tcPr>
            <w:tcW w:w="992" w:type="dxa"/>
            <w:shd w:val="clear" w:color="auto" w:fill="auto"/>
          </w:tcPr>
          <w:p w14:paraId="1AC255EF"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60%</w:t>
            </w:r>
          </w:p>
        </w:tc>
        <w:tc>
          <w:tcPr>
            <w:tcW w:w="1276" w:type="dxa"/>
            <w:shd w:val="clear" w:color="auto" w:fill="auto"/>
          </w:tcPr>
          <w:p w14:paraId="2C6770D7" w14:textId="77777777" w:rsidR="004C771E" w:rsidRPr="008A2AD1" w:rsidRDefault="004C771E" w:rsidP="004C771E">
            <w:pPr>
              <w:autoSpaceDE w:val="0"/>
              <w:autoSpaceDN w:val="0"/>
              <w:adjustRightInd w:val="0"/>
              <w:rPr>
                <w:rFonts w:ascii="Arial Narrow" w:hAnsi="Arial Narrow"/>
                <w:bCs/>
                <w:color w:val="000000"/>
                <w:sz w:val="20"/>
              </w:rPr>
            </w:pPr>
            <w:r>
              <w:rPr>
                <w:rFonts w:ascii="Arial Narrow" w:hAnsi="Arial Narrow"/>
                <w:bCs/>
                <w:color w:val="000000"/>
                <w:sz w:val="20"/>
              </w:rPr>
              <w:t>90%</w:t>
            </w:r>
          </w:p>
        </w:tc>
        <w:tc>
          <w:tcPr>
            <w:tcW w:w="4059" w:type="dxa"/>
            <w:gridSpan w:val="3"/>
            <w:shd w:val="clear" w:color="auto" w:fill="auto"/>
          </w:tcPr>
          <w:p w14:paraId="1760B8BB"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60%</w:t>
            </w:r>
          </w:p>
        </w:tc>
      </w:tr>
      <w:tr w:rsidR="004C771E" w:rsidRPr="008A2AD1" w14:paraId="103AA608" w14:textId="77777777" w:rsidTr="004C771E">
        <w:tc>
          <w:tcPr>
            <w:tcW w:w="2689" w:type="dxa"/>
            <w:shd w:val="clear" w:color="auto" w:fill="auto"/>
          </w:tcPr>
          <w:p w14:paraId="11B59D55"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Total cost tests at</w:t>
            </w:r>
            <w:r>
              <w:rPr>
                <w:rFonts w:ascii="Arial Narrow" w:hAnsi="Arial Narrow"/>
                <w:bCs/>
                <w:color w:val="000000"/>
                <w:sz w:val="20"/>
              </w:rPr>
              <w:t xml:space="preserve"> applicant’s</w:t>
            </w:r>
            <w:r w:rsidRPr="008A2AD1">
              <w:rPr>
                <w:rFonts w:ascii="Arial Narrow" w:hAnsi="Arial Narrow"/>
                <w:bCs/>
                <w:color w:val="000000"/>
                <w:sz w:val="20"/>
              </w:rPr>
              <w:t xml:space="preserve"> proposed price</w:t>
            </w:r>
          </w:p>
        </w:tc>
        <w:tc>
          <w:tcPr>
            <w:tcW w:w="992" w:type="dxa"/>
            <w:shd w:val="clear" w:color="auto" w:fill="auto"/>
          </w:tcPr>
          <w:p w14:paraId="7F618C88"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$37.09</w:t>
            </w:r>
          </w:p>
        </w:tc>
        <w:tc>
          <w:tcPr>
            <w:tcW w:w="1276" w:type="dxa"/>
            <w:shd w:val="clear" w:color="auto" w:fill="auto"/>
          </w:tcPr>
          <w:p w14:paraId="5C59489F" w14:textId="77777777" w:rsidR="004C771E" w:rsidRPr="008A2AD1" w:rsidRDefault="004C771E" w:rsidP="004C771E">
            <w:pPr>
              <w:autoSpaceDE w:val="0"/>
              <w:autoSpaceDN w:val="0"/>
              <w:adjustRightInd w:val="0"/>
              <w:rPr>
                <w:rFonts w:ascii="Arial Narrow" w:hAnsi="Arial Narrow"/>
                <w:bCs/>
                <w:color w:val="000000"/>
                <w:sz w:val="20"/>
              </w:rPr>
            </w:pPr>
            <w:r>
              <w:rPr>
                <w:rFonts w:ascii="Arial Narrow" w:hAnsi="Arial Narrow"/>
                <w:bCs/>
                <w:color w:val="000000"/>
                <w:sz w:val="20"/>
              </w:rPr>
              <w:t>$37.09</w:t>
            </w:r>
          </w:p>
        </w:tc>
        <w:tc>
          <w:tcPr>
            <w:tcW w:w="4059" w:type="dxa"/>
            <w:gridSpan w:val="3"/>
            <w:shd w:val="clear" w:color="auto" w:fill="auto"/>
          </w:tcPr>
          <w:p w14:paraId="6843E87B"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$19.61</w:t>
            </w:r>
          </w:p>
        </w:tc>
      </w:tr>
      <w:tr w:rsidR="004C771E" w:rsidRPr="008A2AD1" w14:paraId="22A20B8B" w14:textId="77777777" w:rsidTr="004C771E">
        <w:tc>
          <w:tcPr>
            <w:tcW w:w="2689" w:type="dxa"/>
            <w:shd w:val="clear" w:color="auto" w:fill="auto"/>
          </w:tcPr>
          <w:p w14:paraId="3500313C" w14:textId="77777777" w:rsidR="004C771E" w:rsidRPr="008A2AD1" w:rsidRDefault="004C771E" w:rsidP="004C771E">
            <w:pPr>
              <w:autoSpaceDE w:val="0"/>
              <w:autoSpaceDN w:val="0"/>
              <w:adjustRightInd w:val="0"/>
              <w:rPr>
                <w:rFonts w:ascii="Arial Narrow" w:hAnsi="Arial Narrow"/>
                <w:bCs/>
                <w:color w:val="000000"/>
                <w:sz w:val="20"/>
              </w:rPr>
            </w:pPr>
            <w:proofErr w:type="spellStart"/>
            <w:r w:rsidRPr="008A2AD1">
              <w:rPr>
                <w:rFonts w:ascii="Arial Narrow" w:hAnsi="Arial Narrow"/>
                <w:bCs/>
                <w:color w:val="000000"/>
                <w:sz w:val="20"/>
              </w:rPr>
              <w:t>PoC</w:t>
            </w:r>
            <w:proofErr w:type="spellEnd"/>
            <w:r>
              <w:rPr>
                <w:rFonts w:ascii="Arial Narrow" w:hAnsi="Arial Narrow"/>
                <w:bCs/>
                <w:color w:val="000000"/>
                <w:sz w:val="20"/>
              </w:rPr>
              <w:t xml:space="preserve"> test</w:t>
            </w:r>
            <w:r w:rsidRPr="008A2AD1">
              <w:rPr>
                <w:rFonts w:ascii="Arial Narrow" w:hAnsi="Arial Narrow"/>
                <w:bCs/>
                <w:color w:val="000000"/>
                <w:sz w:val="20"/>
              </w:rPr>
              <w:t xml:space="preserve"> Price to achieve cost-minimisation</w:t>
            </w:r>
          </w:p>
        </w:tc>
        <w:tc>
          <w:tcPr>
            <w:tcW w:w="992" w:type="dxa"/>
            <w:shd w:val="clear" w:color="auto" w:fill="auto"/>
          </w:tcPr>
          <w:p w14:paraId="636DAAB4" w14:textId="77777777" w:rsidR="004C771E" w:rsidRPr="008A2AD1"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$7.84</w:t>
            </w:r>
          </w:p>
        </w:tc>
        <w:tc>
          <w:tcPr>
            <w:tcW w:w="1276" w:type="dxa"/>
            <w:shd w:val="clear" w:color="auto" w:fill="auto"/>
          </w:tcPr>
          <w:p w14:paraId="013AA86A" w14:textId="77777777" w:rsidR="004C771E" w:rsidRPr="008A2AD1" w:rsidRDefault="004C771E" w:rsidP="004C771E">
            <w:pPr>
              <w:autoSpaceDE w:val="0"/>
              <w:autoSpaceDN w:val="0"/>
              <w:adjustRightInd w:val="0"/>
              <w:rPr>
                <w:rFonts w:ascii="Arial Narrow" w:hAnsi="Arial Narrow"/>
                <w:bCs/>
                <w:color w:val="000000"/>
                <w:sz w:val="20"/>
              </w:rPr>
            </w:pPr>
            <w:r>
              <w:rPr>
                <w:rFonts w:ascii="Arial Narrow" w:hAnsi="Arial Narrow"/>
                <w:bCs/>
                <w:color w:val="000000"/>
                <w:sz w:val="20"/>
              </w:rPr>
              <w:t>$11.80</w:t>
            </w:r>
          </w:p>
        </w:tc>
        <w:tc>
          <w:tcPr>
            <w:tcW w:w="1106" w:type="dxa"/>
            <w:shd w:val="clear" w:color="auto" w:fill="auto"/>
          </w:tcPr>
          <w:p w14:paraId="425BA900" w14:textId="77777777" w:rsidR="004C771E" w:rsidRPr="008A2AD1" w:rsidRDefault="004C771E" w:rsidP="004C771E">
            <w:pPr>
              <w:autoSpaceDE w:val="0"/>
              <w:autoSpaceDN w:val="0"/>
              <w:adjustRightInd w:val="0"/>
              <w:rPr>
                <w:rFonts w:ascii="Arial Narrow" w:hAnsi="Arial Narrow"/>
                <w:bCs/>
                <w:color w:val="000000"/>
                <w:sz w:val="20"/>
              </w:rPr>
            </w:pPr>
          </w:p>
        </w:tc>
        <w:tc>
          <w:tcPr>
            <w:tcW w:w="1477" w:type="dxa"/>
            <w:shd w:val="clear" w:color="auto" w:fill="auto"/>
          </w:tcPr>
          <w:p w14:paraId="516F2B35" w14:textId="77777777" w:rsidR="004C771E" w:rsidRPr="008A2AD1" w:rsidRDefault="004C771E" w:rsidP="004C771E">
            <w:pPr>
              <w:autoSpaceDE w:val="0"/>
              <w:autoSpaceDN w:val="0"/>
              <w:adjustRightInd w:val="0"/>
              <w:rPr>
                <w:rFonts w:ascii="Arial Narrow" w:hAnsi="Arial Narrow"/>
                <w:bCs/>
                <w:color w:val="000000"/>
                <w:sz w:val="20"/>
              </w:rPr>
            </w:pPr>
          </w:p>
        </w:tc>
        <w:tc>
          <w:tcPr>
            <w:tcW w:w="1476" w:type="dxa"/>
            <w:shd w:val="clear" w:color="auto" w:fill="auto"/>
          </w:tcPr>
          <w:p w14:paraId="30D97D20" w14:textId="77777777" w:rsidR="004C771E" w:rsidRPr="008A2AD1" w:rsidRDefault="004C771E" w:rsidP="004C771E">
            <w:pPr>
              <w:autoSpaceDE w:val="0"/>
              <w:autoSpaceDN w:val="0"/>
              <w:adjustRightInd w:val="0"/>
              <w:rPr>
                <w:rFonts w:ascii="Arial Narrow" w:hAnsi="Arial Narrow"/>
                <w:bCs/>
                <w:color w:val="000000"/>
                <w:sz w:val="20"/>
              </w:rPr>
            </w:pPr>
          </w:p>
        </w:tc>
      </w:tr>
    </w:tbl>
    <w:p w14:paraId="3DA1A1F2" w14:textId="77777777" w:rsidR="004C771E" w:rsidRPr="004C771E" w:rsidRDefault="004C771E" w:rsidP="004C771E">
      <w:pPr>
        <w:autoSpaceDE w:val="0"/>
        <w:autoSpaceDN w:val="0"/>
        <w:adjustRightInd w:val="0"/>
        <w:rPr>
          <w:rFonts w:ascii="Arial Narrow" w:hAnsi="Arial Narrow"/>
          <w:bCs/>
          <w:color w:val="000000"/>
          <w:sz w:val="20"/>
        </w:rPr>
      </w:pPr>
      <w:r w:rsidRPr="008A2AD1">
        <w:rPr>
          <w:rFonts w:ascii="Arial Narrow" w:hAnsi="Arial Narrow"/>
          <w:bCs/>
          <w:color w:val="000000"/>
          <w:sz w:val="20"/>
        </w:rPr>
        <w:t>#Average Patient Episode Initiation (PEI) and Bulk Billing Incentive (BBI) is based on out of hospital services.</w:t>
      </w:r>
    </w:p>
    <w:p w14:paraId="7CCEA191" w14:textId="77777777" w:rsidR="004C771E" w:rsidRDefault="004C771E" w:rsidP="004C771E">
      <w:pPr>
        <w:spacing w:before="240" w:after="240"/>
      </w:pPr>
      <w:r>
        <w:lastRenderedPageBreak/>
        <w:t>The MSAC Executive noted t</w:t>
      </w:r>
      <w:r w:rsidRPr="00D0464A">
        <w:t xml:space="preserve">he applicant </w:t>
      </w:r>
      <w:r>
        <w:t xml:space="preserve">continues to </w:t>
      </w:r>
      <w:r w:rsidRPr="00D0464A">
        <w:t>claims the Laurence 2009 study showed hospitalisations in the POC</w:t>
      </w:r>
      <w:r>
        <w:t xml:space="preserve"> test</w:t>
      </w:r>
      <w:r w:rsidRPr="00D0464A">
        <w:t xml:space="preserve"> group</w:t>
      </w:r>
      <w:r>
        <w:t xml:space="preserve"> (intervention group)</w:t>
      </w:r>
      <w:r w:rsidRPr="00D0464A">
        <w:t xml:space="preserve"> were significantly lower, at just 33% of the control </w:t>
      </w:r>
      <w:r>
        <w:t xml:space="preserve">(laboratory </w:t>
      </w:r>
      <w:r w:rsidRPr="00D0464A">
        <w:t>group</w:t>
      </w:r>
      <w:r>
        <w:t>)</w:t>
      </w:r>
      <w:r w:rsidRPr="00D0464A">
        <w:t xml:space="preserve"> (applicant submission 11 Feb 2020, pa</w:t>
      </w:r>
      <w:r>
        <w:t>ge 1).</w:t>
      </w:r>
    </w:p>
    <w:p w14:paraId="1E194405" w14:textId="6AE93F7A" w:rsidR="004C771E" w:rsidRDefault="004C771E" w:rsidP="004C771E">
      <w:pPr>
        <w:spacing w:after="240"/>
      </w:pPr>
      <w:r w:rsidRPr="00D0464A">
        <w:t xml:space="preserve">The </w:t>
      </w:r>
      <w:r>
        <w:t xml:space="preserve">MSAC Executive noted </w:t>
      </w:r>
      <w:r w:rsidRPr="00D0464A">
        <w:t>the Laurence study did not examine the rate of hospitalisations due to diabetes</w:t>
      </w:r>
      <w:r>
        <w:t xml:space="preserve"> in the intervention and control groups. However</w:t>
      </w:r>
      <w:r w:rsidR="00D2248C">
        <w:t>,</w:t>
      </w:r>
      <w:r>
        <w:t xml:space="preserve"> </w:t>
      </w:r>
      <w:r w:rsidRPr="00D0464A">
        <w:t xml:space="preserve">it did examine the rate of serious adverse events (including hospitalisations) in both the </w:t>
      </w:r>
      <w:proofErr w:type="spellStart"/>
      <w:r w:rsidRPr="00D0464A">
        <w:t>PoCT</w:t>
      </w:r>
      <w:proofErr w:type="spellEnd"/>
      <w:r w:rsidRPr="00D0464A">
        <w:t xml:space="preserve"> group and the control group. Laurence report</w:t>
      </w:r>
      <w:r>
        <w:t>ed</w:t>
      </w:r>
      <w:r w:rsidRPr="00D0464A">
        <w:t xml:space="preserve"> that a higher percentage of patients with diabetes in the control group, 10.7% were hospitalised than patients in the intervention group, 7.49% (Laurence, 2009, Table 106). However, as Laurence d</w:t>
      </w:r>
      <w:r>
        <w:t>id</w:t>
      </w:r>
      <w:r w:rsidRPr="00D0464A">
        <w:t xml:space="preserve"> not report the cause of hospitalisation, </w:t>
      </w:r>
      <w:r>
        <w:t xml:space="preserve">the MSAC Executive considered </w:t>
      </w:r>
      <w:r w:rsidRPr="00D0464A">
        <w:t xml:space="preserve">it is not possible to make any inference whether </w:t>
      </w:r>
      <w:proofErr w:type="spellStart"/>
      <w:r w:rsidRPr="00D0464A">
        <w:t>PoC</w:t>
      </w:r>
      <w:proofErr w:type="spellEnd"/>
      <w:r>
        <w:t xml:space="preserve"> HBA1c testing</w:t>
      </w:r>
      <w:r w:rsidRPr="00D0464A">
        <w:t xml:space="preserve"> leads to reduced hospitalisations</w:t>
      </w:r>
      <w:r>
        <w:t xml:space="preserve"> compared to laboratory based HbA1c testing in patients with diabetes, on the basis of the Laurence study</w:t>
      </w:r>
      <w:r w:rsidRPr="00D0464A">
        <w:t>.</w:t>
      </w:r>
    </w:p>
    <w:p w14:paraId="4A532F89" w14:textId="0FC760D5" w:rsidR="004C771E" w:rsidRDefault="004C771E" w:rsidP="004C771E">
      <w:pPr>
        <w:spacing w:after="240"/>
        <w:rPr>
          <w:lang w:val="de-DE"/>
        </w:rPr>
      </w:pPr>
      <w:r>
        <w:t xml:space="preserve">The MSAC executive noted the applicant’s most recent comments on the likely uptake of </w:t>
      </w:r>
      <w:proofErr w:type="spellStart"/>
      <w:r>
        <w:t>PoC</w:t>
      </w:r>
      <w:proofErr w:type="spellEnd"/>
      <w:r>
        <w:t xml:space="preserve"> HBA1c testing, in particular that it is a difficult estimation to make. However</w:t>
      </w:r>
      <w:r w:rsidR="00D2248C">
        <w:t>,</w:t>
      </w:r>
      <w:r>
        <w:t xml:space="preserve"> the MSAC executive noted the applicant has previously claimed only 1% to 5% of all HbA1c tests will be conducted via </w:t>
      </w:r>
      <w:proofErr w:type="spellStart"/>
      <w:r>
        <w:t>PoC</w:t>
      </w:r>
      <w:proofErr w:type="spellEnd"/>
      <w:r>
        <w:t xml:space="preserve"> testing, and that each </w:t>
      </w:r>
      <w:r>
        <w:rPr>
          <w:rFonts w:cs="Arial"/>
        </w:rPr>
        <w:t xml:space="preserve">practice that adopts </w:t>
      </w:r>
      <w:proofErr w:type="spellStart"/>
      <w:r>
        <w:rPr>
          <w:rFonts w:cs="Arial"/>
        </w:rPr>
        <w:t>PoC</w:t>
      </w:r>
      <w:proofErr w:type="spellEnd"/>
      <w:r>
        <w:rPr>
          <w:rFonts w:cs="Arial"/>
        </w:rPr>
        <w:t xml:space="preserve"> HbA1c testing will use it 6 times per week or 350 times per year for a total of </w:t>
      </w:r>
      <w:r w:rsidR="00D2248C">
        <w:rPr>
          <w:lang w:val="de-DE"/>
        </w:rPr>
        <w:t xml:space="preserve">103,306 tests per year. </w:t>
      </w:r>
      <w:r>
        <w:rPr>
          <w:lang w:val="de-DE"/>
        </w:rPr>
        <w:t>Ba</w:t>
      </w:r>
      <w:r w:rsidR="00D2248C">
        <w:rPr>
          <w:lang w:val="de-DE"/>
        </w:rPr>
        <w:t>s</w:t>
      </w:r>
      <w:r>
        <w:rPr>
          <w:lang w:val="de-DE"/>
        </w:rPr>
        <w:t>ed on these figures it would appear the applicant expects only around 295 medical practices will take up PoC testing. The executive recalled MSAC had considered these estimates implausibly low.</w:t>
      </w:r>
    </w:p>
    <w:p w14:paraId="74536BB0" w14:textId="235F84B2" w:rsidR="004C771E" w:rsidRPr="00D2248C" w:rsidRDefault="004C771E" w:rsidP="004C771E">
      <w:pPr>
        <w:spacing w:after="240"/>
        <w:rPr>
          <w:lang w:val="de-DE"/>
        </w:rPr>
      </w:pPr>
      <w:r>
        <w:rPr>
          <w:lang w:val="de-DE"/>
        </w:rPr>
        <w:t>The MSAC executive noted the Department had estimated with proposed cost of PoC HbA1c testing at both the applicant’s price of $19.50 per price and at $11.77 (the upper end of the range of prices at which the executive considered the test would be acceptably cost-effective) as presented in Table 3 (addendum).  The MSAC executive noted that at the applicant‘s requested price of $19.50 per PoC test</w:t>
      </w:r>
      <w:r w:rsidRPr="00D2248C">
        <w:rPr>
          <w:lang w:val="de-DE"/>
        </w:rPr>
        <w:t xml:space="preserve">, a </w:t>
      </w:r>
      <w:r w:rsidR="004C009F" w:rsidRPr="00D2248C">
        <w:rPr>
          <w:b/>
          <w:lang w:val="de-DE"/>
        </w:rPr>
        <w:t>redacted</w:t>
      </w:r>
      <w:r w:rsidRPr="00D2248C">
        <w:rPr>
          <w:lang w:val="de-DE"/>
        </w:rPr>
        <w:t>% swich from l</w:t>
      </w:r>
      <w:r w:rsidR="00C4154D">
        <w:rPr>
          <w:lang w:val="de-DE"/>
        </w:rPr>
        <w:t xml:space="preserve">aboratory to PoC testing would </w:t>
      </w:r>
      <w:r w:rsidRPr="00D2248C">
        <w:rPr>
          <w:lang w:val="de-DE"/>
        </w:rPr>
        <w:t>associated with an increase in the cost of Government of approximately $</w:t>
      </w:r>
      <w:r w:rsidR="004C009F" w:rsidRPr="00D2248C">
        <w:rPr>
          <w:b/>
          <w:lang w:val="de-DE"/>
        </w:rPr>
        <w:t>redacted</w:t>
      </w:r>
      <w:r w:rsidRPr="00D2248C">
        <w:rPr>
          <w:lang w:val="de-DE"/>
        </w:rPr>
        <w:t xml:space="preserve"> per annum. Addtionally, if the adoption of PoC HbA1c testing lead to an </w:t>
      </w:r>
      <w:r w:rsidR="004C009F" w:rsidRPr="00D2248C">
        <w:rPr>
          <w:b/>
          <w:lang w:val="de-DE"/>
        </w:rPr>
        <w:t>redacted</w:t>
      </w:r>
      <w:r w:rsidRPr="00D2248C">
        <w:rPr>
          <w:lang w:val="de-DE"/>
        </w:rPr>
        <w:t>% overall increase in the number of HbA1c tests conducted each year, the cost to Government would increase by between $</w:t>
      </w:r>
      <w:r w:rsidR="004C009F" w:rsidRPr="00D2248C">
        <w:rPr>
          <w:b/>
          <w:lang w:val="de-DE"/>
        </w:rPr>
        <w:t>redacted</w:t>
      </w:r>
      <w:r w:rsidR="004C009F" w:rsidRPr="00D2248C">
        <w:rPr>
          <w:lang w:val="de-DE"/>
        </w:rPr>
        <w:t xml:space="preserve"> </w:t>
      </w:r>
      <w:r w:rsidRPr="00D2248C">
        <w:rPr>
          <w:lang w:val="de-DE"/>
        </w:rPr>
        <w:t>(at MSAC recommended price) and $</w:t>
      </w:r>
      <w:r w:rsidR="004C009F" w:rsidRPr="00D2248C">
        <w:rPr>
          <w:b/>
          <w:lang w:val="de-DE"/>
        </w:rPr>
        <w:t>redacted</w:t>
      </w:r>
      <w:r w:rsidR="004C009F" w:rsidRPr="00D2248C">
        <w:rPr>
          <w:lang w:val="de-DE"/>
        </w:rPr>
        <w:t xml:space="preserve"> </w:t>
      </w:r>
      <w:r w:rsidRPr="00D2248C">
        <w:rPr>
          <w:lang w:val="de-DE"/>
        </w:rPr>
        <w:t>per annum, without evidence of improvements in health outcomes.</w:t>
      </w:r>
    </w:p>
    <w:p w14:paraId="3F5745BC" w14:textId="2FB30348" w:rsidR="004C771E" w:rsidRPr="00D2248C" w:rsidRDefault="004C771E" w:rsidP="004C771E">
      <w:pPr>
        <w:rPr>
          <w:rFonts w:ascii="Arial Narrow" w:hAnsi="Arial Narrow"/>
          <w:b/>
          <w:sz w:val="20"/>
        </w:rPr>
      </w:pPr>
      <w:r w:rsidRPr="00D2248C">
        <w:rPr>
          <w:rFonts w:ascii="Arial Narrow" w:hAnsi="Arial Narrow"/>
          <w:b/>
          <w:sz w:val="20"/>
        </w:rPr>
        <w:t>Table 3 (addendum): Estimated Cost to Government of adding HbA1c test to MBS</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Estimated Cost to Government of adding HbA1c test to MBS"/>
      </w:tblPr>
      <w:tblGrid>
        <w:gridCol w:w="2122"/>
        <w:gridCol w:w="1417"/>
        <w:gridCol w:w="1559"/>
        <w:gridCol w:w="1418"/>
        <w:gridCol w:w="1701"/>
        <w:gridCol w:w="1560"/>
      </w:tblGrid>
      <w:tr w:rsidR="004C771E" w:rsidRPr="00D2248C" w14:paraId="5BB28532" w14:textId="77777777" w:rsidTr="004C771E">
        <w:trPr>
          <w:trHeight w:val="570"/>
        </w:trPr>
        <w:tc>
          <w:tcPr>
            <w:tcW w:w="2122" w:type="dxa"/>
            <w:vMerge w:val="restart"/>
            <w:shd w:val="clear" w:color="000000" w:fill="FCE4D6"/>
            <w:vAlign w:val="bottom"/>
            <w:hideMark/>
          </w:tcPr>
          <w:p w14:paraId="121B0E73"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xml:space="preserve">Estimated total number </w:t>
            </w:r>
            <w:proofErr w:type="spellStart"/>
            <w:r w:rsidRPr="00D2248C">
              <w:rPr>
                <w:rFonts w:ascii="Arial Narrow" w:hAnsi="Arial Narrow" w:cs="Calibri"/>
                <w:color w:val="000000"/>
                <w:sz w:val="20"/>
              </w:rPr>
              <w:t>HBA!c</w:t>
            </w:r>
            <w:proofErr w:type="spellEnd"/>
            <w:r w:rsidRPr="00D2248C">
              <w:rPr>
                <w:rFonts w:ascii="Arial Narrow" w:hAnsi="Arial Narrow" w:cs="Calibri"/>
                <w:color w:val="000000"/>
                <w:sz w:val="20"/>
              </w:rPr>
              <w:t xml:space="preserve"> per annum (2018)</w:t>
            </w:r>
          </w:p>
          <w:p w14:paraId="3305FA64"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w:t>
            </w:r>
          </w:p>
        </w:tc>
        <w:tc>
          <w:tcPr>
            <w:tcW w:w="1417" w:type="dxa"/>
            <w:shd w:val="clear" w:color="000000" w:fill="FCE4D6"/>
            <w:noWrap/>
            <w:vAlign w:val="bottom"/>
            <w:hideMark/>
          </w:tcPr>
          <w:p w14:paraId="0763930B"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Price requested by applicant</w:t>
            </w:r>
          </w:p>
        </w:tc>
        <w:tc>
          <w:tcPr>
            <w:tcW w:w="1559" w:type="dxa"/>
            <w:shd w:val="clear" w:color="000000" w:fill="FCE4D6"/>
            <w:noWrap/>
            <w:vAlign w:val="bottom"/>
            <w:hideMark/>
          </w:tcPr>
          <w:p w14:paraId="120CAFC4"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Cost</w:t>
            </w:r>
          </w:p>
        </w:tc>
        <w:tc>
          <w:tcPr>
            <w:tcW w:w="1418" w:type="dxa"/>
            <w:shd w:val="clear" w:color="000000" w:fill="FCE4D6"/>
            <w:noWrap/>
            <w:vAlign w:val="bottom"/>
            <w:hideMark/>
          </w:tcPr>
          <w:p w14:paraId="0BBFB079"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Price recommended by MSAC</w:t>
            </w:r>
          </w:p>
        </w:tc>
        <w:tc>
          <w:tcPr>
            <w:tcW w:w="1701" w:type="dxa"/>
            <w:shd w:val="clear" w:color="000000" w:fill="FCE4D6"/>
            <w:noWrap/>
            <w:vAlign w:val="bottom"/>
            <w:hideMark/>
          </w:tcPr>
          <w:p w14:paraId="53E1C342"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Cost</w:t>
            </w:r>
          </w:p>
        </w:tc>
        <w:tc>
          <w:tcPr>
            <w:tcW w:w="1560" w:type="dxa"/>
            <w:shd w:val="clear" w:color="000000" w:fill="FCE4D6"/>
            <w:noWrap/>
            <w:vAlign w:val="bottom"/>
            <w:hideMark/>
          </w:tcPr>
          <w:p w14:paraId="170CA8C0"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Differential Cost</w:t>
            </w:r>
          </w:p>
        </w:tc>
      </w:tr>
      <w:tr w:rsidR="004C771E" w:rsidRPr="00D2248C" w14:paraId="5847342E" w14:textId="77777777" w:rsidTr="004C771E">
        <w:trPr>
          <w:trHeight w:val="285"/>
        </w:trPr>
        <w:tc>
          <w:tcPr>
            <w:tcW w:w="2122" w:type="dxa"/>
            <w:vMerge/>
            <w:shd w:val="clear" w:color="000000" w:fill="FCE4D6"/>
            <w:noWrap/>
            <w:vAlign w:val="bottom"/>
            <w:hideMark/>
          </w:tcPr>
          <w:p w14:paraId="6AACB8E3" w14:textId="77777777" w:rsidR="004C771E" w:rsidRPr="00D2248C" w:rsidRDefault="004C771E" w:rsidP="004C771E">
            <w:pPr>
              <w:rPr>
                <w:rFonts w:ascii="Arial Narrow" w:hAnsi="Arial Narrow" w:cs="Calibri"/>
                <w:color w:val="000000"/>
                <w:sz w:val="20"/>
              </w:rPr>
            </w:pPr>
          </w:p>
        </w:tc>
        <w:tc>
          <w:tcPr>
            <w:tcW w:w="1417" w:type="dxa"/>
            <w:shd w:val="clear" w:color="000000" w:fill="FCE4D6"/>
            <w:noWrap/>
            <w:vAlign w:val="bottom"/>
            <w:hideMark/>
          </w:tcPr>
          <w:p w14:paraId="7F3DC19D"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w:t>
            </w:r>
          </w:p>
        </w:tc>
        <w:tc>
          <w:tcPr>
            <w:tcW w:w="1559" w:type="dxa"/>
            <w:shd w:val="clear" w:color="000000" w:fill="FCE4D6"/>
            <w:noWrap/>
            <w:vAlign w:val="bottom"/>
            <w:hideMark/>
          </w:tcPr>
          <w:p w14:paraId="7F39AC7A"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w:t>
            </w:r>
          </w:p>
        </w:tc>
        <w:tc>
          <w:tcPr>
            <w:tcW w:w="1418" w:type="dxa"/>
            <w:shd w:val="clear" w:color="000000" w:fill="FCE4D6"/>
            <w:noWrap/>
            <w:vAlign w:val="bottom"/>
            <w:hideMark/>
          </w:tcPr>
          <w:p w14:paraId="629ABBAE"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w:t>
            </w:r>
          </w:p>
        </w:tc>
        <w:tc>
          <w:tcPr>
            <w:tcW w:w="1701" w:type="dxa"/>
            <w:shd w:val="clear" w:color="000000" w:fill="FCE4D6"/>
            <w:noWrap/>
            <w:vAlign w:val="bottom"/>
            <w:hideMark/>
          </w:tcPr>
          <w:p w14:paraId="651EE9AF"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w:t>
            </w:r>
          </w:p>
        </w:tc>
        <w:tc>
          <w:tcPr>
            <w:tcW w:w="1560" w:type="dxa"/>
            <w:shd w:val="clear" w:color="000000" w:fill="FCE4D6"/>
            <w:noWrap/>
            <w:vAlign w:val="bottom"/>
            <w:hideMark/>
          </w:tcPr>
          <w:p w14:paraId="6DF7D8DB"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w:t>
            </w:r>
          </w:p>
        </w:tc>
      </w:tr>
      <w:tr w:rsidR="004C771E" w:rsidRPr="00D2248C" w14:paraId="3D7E9DB4" w14:textId="77777777" w:rsidTr="004C771E">
        <w:trPr>
          <w:trHeight w:val="285"/>
        </w:trPr>
        <w:tc>
          <w:tcPr>
            <w:tcW w:w="2122" w:type="dxa"/>
            <w:shd w:val="clear" w:color="000000" w:fill="FCE4D6"/>
            <w:noWrap/>
            <w:vAlign w:val="bottom"/>
            <w:hideMark/>
          </w:tcPr>
          <w:p w14:paraId="3EA9B4D5" w14:textId="77777777" w:rsidR="004C771E" w:rsidRPr="00D2248C" w:rsidRDefault="004C771E" w:rsidP="004C771E">
            <w:pPr>
              <w:jc w:val="right"/>
              <w:rPr>
                <w:rFonts w:ascii="Arial Narrow" w:hAnsi="Arial Narrow" w:cs="Calibri"/>
                <w:color w:val="000000"/>
                <w:sz w:val="20"/>
              </w:rPr>
            </w:pPr>
            <w:r w:rsidRPr="00D2248C">
              <w:rPr>
                <w:rFonts w:ascii="Arial Narrow" w:hAnsi="Arial Narrow" w:cs="Calibri"/>
                <w:color w:val="000000"/>
                <w:sz w:val="20"/>
              </w:rPr>
              <w:t>2,936,812</w:t>
            </w:r>
          </w:p>
        </w:tc>
        <w:tc>
          <w:tcPr>
            <w:tcW w:w="1417" w:type="dxa"/>
            <w:shd w:val="clear" w:color="000000" w:fill="FCE4D6"/>
            <w:noWrap/>
            <w:vAlign w:val="bottom"/>
            <w:hideMark/>
          </w:tcPr>
          <w:p w14:paraId="0F8B2D58"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xml:space="preserve">$19.50 </w:t>
            </w:r>
          </w:p>
        </w:tc>
        <w:tc>
          <w:tcPr>
            <w:tcW w:w="1559" w:type="dxa"/>
            <w:shd w:val="clear" w:color="000000" w:fill="FCE4D6"/>
            <w:noWrap/>
            <w:vAlign w:val="bottom"/>
            <w:hideMark/>
          </w:tcPr>
          <w:p w14:paraId="695733E7"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w:t>
            </w:r>
          </w:p>
        </w:tc>
        <w:tc>
          <w:tcPr>
            <w:tcW w:w="1418" w:type="dxa"/>
            <w:shd w:val="clear" w:color="000000" w:fill="FCE4D6"/>
            <w:noWrap/>
            <w:vAlign w:val="bottom"/>
            <w:hideMark/>
          </w:tcPr>
          <w:p w14:paraId="516F01D4"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xml:space="preserve"> $11.77 </w:t>
            </w:r>
          </w:p>
        </w:tc>
        <w:tc>
          <w:tcPr>
            <w:tcW w:w="1701" w:type="dxa"/>
            <w:shd w:val="clear" w:color="000000" w:fill="FCE4D6"/>
            <w:noWrap/>
            <w:vAlign w:val="bottom"/>
            <w:hideMark/>
          </w:tcPr>
          <w:p w14:paraId="2AA604D9"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w:t>
            </w:r>
          </w:p>
        </w:tc>
        <w:tc>
          <w:tcPr>
            <w:tcW w:w="1560" w:type="dxa"/>
            <w:shd w:val="clear" w:color="000000" w:fill="FCE4D6"/>
            <w:noWrap/>
            <w:vAlign w:val="bottom"/>
            <w:hideMark/>
          </w:tcPr>
          <w:p w14:paraId="3E14C2B6"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w:t>
            </w:r>
          </w:p>
        </w:tc>
      </w:tr>
      <w:tr w:rsidR="004C771E" w:rsidRPr="00D2248C" w14:paraId="45AB998D" w14:textId="77777777" w:rsidTr="004C771E">
        <w:trPr>
          <w:trHeight w:val="285"/>
        </w:trPr>
        <w:tc>
          <w:tcPr>
            <w:tcW w:w="2122" w:type="dxa"/>
            <w:shd w:val="clear" w:color="000000" w:fill="FCE4D6"/>
            <w:noWrap/>
            <w:vAlign w:val="bottom"/>
            <w:hideMark/>
          </w:tcPr>
          <w:p w14:paraId="3D74D736"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xml:space="preserve">Proportion </w:t>
            </w:r>
            <w:proofErr w:type="spellStart"/>
            <w:r w:rsidRPr="00D2248C">
              <w:rPr>
                <w:rFonts w:ascii="Arial Narrow" w:hAnsi="Arial Narrow" w:cs="Calibri"/>
                <w:color w:val="000000"/>
                <w:sz w:val="20"/>
              </w:rPr>
              <w:t>PoC</w:t>
            </w:r>
            <w:proofErr w:type="spellEnd"/>
            <w:r w:rsidRPr="00D2248C">
              <w:rPr>
                <w:rFonts w:ascii="Arial Narrow" w:hAnsi="Arial Narrow" w:cs="Calibri"/>
                <w:color w:val="000000"/>
                <w:sz w:val="20"/>
              </w:rPr>
              <w:t xml:space="preserve"> </w:t>
            </w:r>
          </w:p>
        </w:tc>
        <w:tc>
          <w:tcPr>
            <w:tcW w:w="1417" w:type="dxa"/>
            <w:shd w:val="clear" w:color="000000" w:fill="FCE4D6"/>
            <w:noWrap/>
            <w:vAlign w:val="bottom"/>
            <w:hideMark/>
          </w:tcPr>
          <w:p w14:paraId="4670FDC5"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w:t>
            </w:r>
          </w:p>
        </w:tc>
        <w:tc>
          <w:tcPr>
            <w:tcW w:w="1559" w:type="dxa"/>
            <w:shd w:val="clear" w:color="000000" w:fill="FCE4D6"/>
            <w:noWrap/>
            <w:vAlign w:val="bottom"/>
            <w:hideMark/>
          </w:tcPr>
          <w:p w14:paraId="77C44F85"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w:t>
            </w:r>
          </w:p>
        </w:tc>
        <w:tc>
          <w:tcPr>
            <w:tcW w:w="1418" w:type="dxa"/>
            <w:shd w:val="clear" w:color="000000" w:fill="FCE4D6"/>
            <w:noWrap/>
            <w:vAlign w:val="bottom"/>
            <w:hideMark/>
          </w:tcPr>
          <w:p w14:paraId="412BA32B"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w:t>
            </w:r>
          </w:p>
        </w:tc>
        <w:tc>
          <w:tcPr>
            <w:tcW w:w="1701" w:type="dxa"/>
            <w:shd w:val="clear" w:color="000000" w:fill="FCE4D6"/>
            <w:noWrap/>
            <w:vAlign w:val="bottom"/>
            <w:hideMark/>
          </w:tcPr>
          <w:p w14:paraId="421F7A38"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w:t>
            </w:r>
          </w:p>
        </w:tc>
        <w:tc>
          <w:tcPr>
            <w:tcW w:w="1560" w:type="dxa"/>
            <w:shd w:val="clear" w:color="000000" w:fill="FCE4D6"/>
            <w:noWrap/>
            <w:vAlign w:val="bottom"/>
            <w:hideMark/>
          </w:tcPr>
          <w:p w14:paraId="4CA088C4"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w:t>
            </w:r>
          </w:p>
        </w:tc>
      </w:tr>
      <w:tr w:rsidR="004C009F" w:rsidRPr="00D2248C" w14:paraId="7E173BFF" w14:textId="77777777" w:rsidTr="00574EDE">
        <w:trPr>
          <w:trHeight w:val="285"/>
        </w:trPr>
        <w:tc>
          <w:tcPr>
            <w:tcW w:w="2122" w:type="dxa"/>
            <w:shd w:val="clear" w:color="000000" w:fill="FCE4D6"/>
            <w:noWrap/>
            <w:vAlign w:val="bottom"/>
            <w:hideMark/>
          </w:tcPr>
          <w:p w14:paraId="632E8199" w14:textId="368CC0C3" w:rsidR="004C009F" w:rsidRPr="00D2248C" w:rsidRDefault="004C009F" w:rsidP="004C009F">
            <w:pPr>
              <w:jc w:val="right"/>
              <w:rPr>
                <w:rFonts w:ascii="Arial Narrow" w:hAnsi="Arial Narrow" w:cs="Calibri"/>
                <w:color w:val="000000"/>
                <w:sz w:val="20"/>
              </w:rPr>
            </w:pPr>
            <w:r w:rsidRPr="00D2248C">
              <w:rPr>
                <w:rFonts w:ascii="Arial Narrow" w:hAnsi="Arial Narrow" w:cs="Calibri"/>
                <w:color w:val="000000"/>
                <w:sz w:val="20"/>
              </w:rPr>
              <w:t>redacted%</w:t>
            </w:r>
          </w:p>
        </w:tc>
        <w:tc>
          <w:tcPr>
            <w:tcW w:w="1417" w:type="dxa"/>
            <w:shd w:val="clear" w:color="000000" w:fill="FCE4D6"/>
            <w:noWrap/>
            <w:vAlign w:val="bottom"/>
            <w:hideMark/>
          </w:tcPr>
          <w:p w14:paraId="0A2EC073" w14:textId="77777777"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w:t>
            </w:r>
          </w:p>
        </w:tc>
        <w:tc>
          <w:tcPr>
            <w:tcW w:w="1559" w:type="dxa"/>
            <w:shd w:val="clear" w:color="000000" w:fill="FCE4D6"/>
            <w:noWrap/>
            <w:vAlign w:val="bottom"/>
            <w:hideMark/>
          </w:tcPr>
          <w:p w14:paraId="3E99A48A" w14:textId="767A24F1"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xml:space="preserve">$redacted </w:t>
            </w:r>
          </w:p>
        </w:tc>
        <w:tc>
          <w:tcPr>
            <w:tcW w:w="1418" w:type="dxa"/>
            <w:shd w:val="clear" w:color="000000" w:fill="FCE4D6"/>
            <w:noWrap/>
            <w:vAlign w:val="bottom"/>
            <w:hideMark/>
          </w:tcPr>
          <w:p w14:paraId="274A14C8" w14:textId="77777777"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w:t>
            </w:r>
          </w:p>
        </w:tc>
        <w:tc>
          <w:tcPr>
            <w:tcW w:w="1701" w:type="dxa"/>
            <w:shd w:val="clear" w:color="000000" w:fill="FCE4D6"/>
            <w:noWrap/>
            <w:hideMark/>
          </w:tcPr>
          <w:p w14:paraId="600BFD8B" w14:textId="208486E0"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xml:space="preserve">$redacted </w:t>
            </w:r>
          </w:p>
        </w:tc>
        <w:tc>
          <w:tcPr>
            <w:tcW w:w="1560" w:type="dxa"/>
            <w:shd w:val="clear" w:color="000000" w:fill="FCE4D6"/>
            <w:noWrap/>
            <w:hideMark/>
          </w:tcPr>
          <w:p w14:paraId="470AA2E0" w14:textId="04CC5B9F"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xml:space="preserve">$redacted </w:t>
            </w:r>
          </w:p>
        </w:tc>
      </w:tr>
      <w:tr w:rsidR="004C009F" w:rsidRPr="00D2248C" w14:paraId="0293015C" w14:textId="77777777" w:rsidTr="00574EDE">
        <w:trPr>
          <w:trHeight w:val="285"/>
        </w:trPr>
        <w:tc>
          <w:tcPr>
            <w:tcW w:w="2122" w:type="dxa"/>
            <w:shd w:val="clear" w:color="000000" w:fill="FCE4D6"/>
            <w:noWrap/>
            <w:hideMark/>
          </w:tcPr>
          <w:p w14:paraId="5C65908F" w14:textId="440CF91A" w:rsidR="004C009F" w:rsidRPr="00D2248C" w:rsidRDefault="004C009F" w:rsidP="004C009F">
            <w:pPr>
              <w:jc w:val="right"/>
              <w:rPr>
                <w:rFonts w:ascii="Arial Narrow" w:hAnsi="Arial Narrow" w:cs="Calibri"/>
                <w:color w:val="000000"/>
                <w:sz w:val="20"/>
              </w:rPr>
            </w:pPr>
            <w:r w:rsidRPr="00D2248C">
              <w:rPr>
                <w:rFonts w:ascii="Arial Narrow" w:hAnsi="Arial Narrow" w:cs="Calibri"/>
                <w:color w:val="000000"/>
                <w:sz w:val="20"/>
              </w:rPr>
              <w:t>redacted%</w:t>
            </w:r>
          </w:p>
        </w:tc>
        <w:tc>
          <w:tcPr>
            <w:tcW w:w="1417" w:type="dxa"/>
            <w:shd w:val="clear" w:color="000000" w:fill="FCE4D6"/>
            <w:noWrap/>
            <w:vAlign w:val="bottom"/>
            <w:hideMark/>
          </w:tcPr>
          <w:p w14:paraId="3F679F95" w14:textId="77777777"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w:t>
            </w:r>
          </w:p>
        </w:tc>
        <w:tc>
          <w:tcPr>
            <w:tcW w:w="1559" w:type="dxa"/>
            <w:shd w:val="clear" w:color="000000" w:fill="FCE4D6"/>
            <w:noWrap/>
            <w:hideMark/>
          </w:tcPr>
          <w:p w14:paraId="0561E49C" w14:textId="277795CE"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xml:space="preserve">$redacted </w:t>
            </w:r>
          </w:p>
        </w:tc>
        <w:tc>
          <w:tcPr>
            <w:tcW w:w="1418" w:type="dxa"/>
            <w:shd w:val="clear" w:color="000000" w:fill="FCE4D6"/>
            <w:noWrap/>
            <w:vAlign w:val="bottom"/>
            <w:hideMark/>
          </w:tcPr>
          <w:p w14:paraId="178BE11B" w14:textId="77777777"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w:t>
            </w:r>
          </w:p>
        </w:tc>
        <w:tc>
          <w:tcPr>
            <w:tcW w:w="1701" w:type="dxa"/>
            <w:shd w:val="clear" w:color="000000" w:fill="FCE4D6"/>
            <w:noWrap/>
            <w:hideMark/>
          </w:tcPr>
          <w:p w14:paraId="6C4797A1" w14:textId="36621514"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xml:space="preserve">$redacted </w:t>
            </w:r>
          </w:p>
        </w:tc>
        <w:tc>
          <w:tcPr>
            <w:tcW w:w="1560" w:type="dxa"/>
            <w:shd w:val="clear" w:color="000000" w:fill="FCE4D6"/>
            <w:noWrap/>
            <w:hideMark/>
          </w:tcPr>
          <w:p w14:paraId="1190FEFE" w14:textId="6C692F6F"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xml:space="preserve">$redacted </w:t>
            </w:r>
          </w:p>
        </w:tc>
      </w:tr>
      <w:tr w:rsidR="004C009F" w:rsidRPr="00D2248C" w14:paraId="2C08D90D" w14:textId="77777777" w:rsidTr="00574EDE">
        <w:trPr>
          <w:trHeight w:val="285"/>
        </w:trPr>
        <w:tc>
          <w:tcPr>
            <w:tcW w:w="2122" w:type="dxa"/>
            <w:shd w:val="clear" w:color="000000" w:fill="FCE4D6"/>
            <w:noWrap/>
            <w:hideMark/>
          </w:tcPr>
          <w:p w14:paraId="5CA7EAE8" w14:textId="371E1416" w:rsidR="004C009F" w:rsidRPr="00D2248C" w:rsidRDefault="004C009F" w:rsidP="004C009F">
            <w:pPr>
              <w:jc w:val="right"/>
              <w:rPr>
                <w:rFonts w:ascii="Arial Narrow" w:hAnsi="Arial Narrow" w:cs="Calibri"/>
                <w:color w:val="000000"/>
                <w:sz w:val="20"/>
              </w:rPr>
            </w:pPr>
            <w:r w:rsidRPr="00D2248C">
              <w:rPr>
                <w:rFonts w:ascii="Arial Narrow" w:hAnsi="Arial Narrow" w:cs="Calibri"/>
                <w:color w:val="000000"/>
                <w:sz w:val="20"/>
              </w:rPr>
              <w:t>redacted%</w:t>
            </w:r>
          </w:p>
        </w:tc>
        <w:tc>
          <w:tcPr>
            <w:tcW w:w="1417" w:type="dxa"/>
            <w:shd w:val="clear" w:color="000000" w:fill="FCE4D6"/>
            <w:noWrap/>
            <w:vAlign w:val="bottom"/>
            <w:hideMark/>
          </w:tcPr>
          <w:p w14:paraId="30EBA0E0" w14:textId="77777777"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w:t>
            </w:r>
          </w:p>
        </w:tc>
        <w:tc>
          <w:tcPr>
            <w:tcW w:w="1559" w:type="dxa"/>
            <w:shd w:val="clear" w:color="000000" w:fill="FCE4D6"/>
            <w:noWrap/>
            <w:hideMark/>
          </w:tcPr>
          <w:p w14:paraId="5A876CA4" w14:textId="64B9DBFF"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xml:space="preserve">$redacted </w:t>
            </w:r>
          </w:p>
        </w:tc>
        <w:tc>
          <w:tcPr>
            <w:tcW w:w="1418" w:type="dxa"/>
            <w:shd w:val="clear" w:color="000000" w:fill="FCE4D6"/>
            <w:noWrap/>
            <w:vAlign w:val="bottom"/>
            <w:hideMark/>
          </w:tcPr>
          <w:p w14:paraId="185FC36C" w14:textId="77777777"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w:t>
            </w:r>
          </w:p>
        </w:tc>
        <w:tc>
          <w:tcPr>
            <w:tcW w:w="1701" w:type="dxa"/>
            <w:shd w:val="clear" w:color="000000" w:fill="FCE4D6"/>
            <w:noWrap/>
            <w:hideMark/>
          </w:tcPr>
          <w:p w14:paraId="2CD8B2AB" w14:textId="0F6CE7ED"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xml:space="preserve">$redacted </w:t>
            </w:r>
          </w:p>
        </w:tc>
        <w:tc>
          <w:tcPr>
            <w:tcW w:w="1560" w:type="dxa"/>
            <w:shd w:val="clear" w:color="000000" w:fill="FCE4D6"/>
            <w:noWrap/>
            <w:hideMark/>
          </w:tcPr>
          <w:p w14:paraId="104B18F3" w14:textId="2E6879C3"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xml:space="preserve">$redacted </w:t>
            </w:r>
          </w:p>
        </w:tc>
      </w:tr>
      <w:tr w:rsidR="004C771E" w:rsidRPr="00D2248C" w14:paraId="60D7BD98" w14:textId="77777777" w:rsidTr="004C771E">
        <w:trPr>
          <w:trHeight w:val="285"/>
        </w:trPr>
        <w:tc>
          <w:tcPr>
            <w:tcW w:w="2122" w:type="dxa"/>
            <w:shd w:val="clear" w:color="000000" w:fill="FCE4D6"/>
            <w:noWrap/>
            <w:vAlign w:val="bottom"/>
            <w:hideMark/>
          </w:tcPr>
          <w:p w14:paraId="6A7B9918"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w:t>
            </w:r>
          </w:p>
        </w:tc>
        <w:tc>
          <w:tcPr>
            <w:tcW w:w="1417" w:type="dxa"/>
            <w:shd w:val="clear" w:color="000000" w:fill="FCE4D6"/>
            <w:noWrap/>
            <w:vAlign w:val="bottom"/>
            <w:hideMark/>
          </w:tcPr>
          <w:p w14:paraId="22AD119A"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w:t>
            </w:r>
          </w:p>
        </w:tc>
        <w:tc>
          <w:tcPr>
            <w:tcW w:w="1559" w:type="dxa"/>
            <w:shd w:val="clear" w:color="000000" w:fill="FCE4D6"/>
            <w:noWrap/>
            <w:vAlign w:val="bottom"/>
            <w:hideMark/>
          </w:tcPr>
          <w:p w14:paraId="6488F94A"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w:t>
            </w:r>
          </w:p>
        </w:tc>
        <w:tc>
          <w:tcPr>
            <w:tcW w:w="1418" w:type="dxa"/>
            <w:shd w:val="clear" w:color="000000" w:fill="FCE4D6"/>
            <w:noWrap/>
            <w:vAlign w:val="bottom"/>
            <w:hideMark/>
          </w:tcPr>
          <w:p w14:paraId="75D07C7F"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w:t>
            </w:r>
          </w:p>
        </w:tc>
        <w:tc>
          <w:tcPr>
            <w:tcW w:w="1701" w:type="dxa"/>
            <w:shd w:val="clear" w:color="000000" w:fill="FCE4D6"/>
            <w:noWrap/>
            <w:vAlign w:val="bottom"/>
            <w:hideMark/>
          </w:tcPr>
          <w:p w14:paraId="5A451490"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w:t>
            </w:r>
          </w:p>
        </w:tc>
        <w:tc>
          <w:tcPr>
            <w:tcW w:w="1560" w:type="dxa"/>
            <w:shd w:val="clear" w:color="000000" w:fill="FCE4D6"/>
            <w:noWrap/>
            <w:vAlign w:val="bottom"/>
            <w:hideMark/>
          </w:tcPr>
          <w:p w14:paraId="2732BF0B"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w:t>
            </w:r>
          </w:p>
        </w:tc>
      </w:tr>
      <w:tr w:rsidR="004C771E" w:rsidRPr="00D2248C" w14:paraId="3EC3EFF6" w14:textId="77777777" w:rsidTr="004C771E">
        <w:trPr>
          <w:trHeight w:val="285"/>
        </w:trPr>
        <w:tc>
          <w:tcPr>
            <w:tcW w:w="2122" w:type="dxa"/>
            <w:shd w:val="clear" w:color="000000" w:fill="FCE4D6"/>
            <w:noWrap/>
            <w:vAlign w:val="bottom"/>
            <w:hideMark/>
          </w:tcPr>
          <w:p w14:paraId="4F915DB0"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Add New tests by POC only</w:t>
            </w:r>
          </w:p>
        </w:tc>
        <w:tc>
          <w:tcPr>
            <w:tcW w:w="1417" w:type="dxa"/>
            <w:shd w:val="clear" w:color="000000" w:fill="FCE4D6"/>
            <w:noWrap/>
            <w:vAlign w:val="bottom"/>
            <w:hideMark/>
          </w:tcPr>
          <w:p w14:paraId="16C4113E"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w:t>
            </w:r>
          </w:p>
        </w:tc>
        <w:tc>
          <w:tcPr>
            <w:tcW w:w="1559" w:type="dxa"/>
            <w:shd w:val="clear" w:color="000000" w:fill="FCE4D6"/>
            <w:noWrap/>
            <w:vAlign w:val="bottom"/>
            <w:hideMark/>
          </w:tcPr>
          <w:p w14:paraId="7AD62500"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w:t>
            </w:r>
          </w:p>
        </w:tc>
        <w:tc>
          <w:tcPr>
            <w:tcW w:w="1418" w:type="dxa"/>
            <w:shd w:val="clear" w:color="000000" w:fill="FCE4D6"/>
            <w:noWrap/>
            <w:vAlign w:val="bottom"/>
            <w:hideMark/>
          </w:tcPr>
          <w:p w14:paraId="04567B06"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w:t>
            </w:r>
          </w:p>
        </w:tc>
        <w:tc>
          <w:tcPr>
            <w:tcW w:w="1701" w:type="dxa"/>
            <w:shd w:val="clear" w:color="000000" w:fill="FCE4D6"/>
            <w:noWrap/>
            <w:vAlign w:val="bottom"/>
            <w:hideMark/>
          </w:tcPr>
          <w:p w14:paraId="04BA38C6"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w:t>
            </w:r>
          </w:p>
        </w:tc>
        <w:tc>
          <w:tcPr>
            <w:tcW w:w="1560" w:type="dxa"/>
            <w:shd w:val="clear" w:color="000000" w:fill="FCE4D6"/>
            <w:noWrap/>
            <w:vAlign w:val="bottom"/>
            <w:hideMark/>
          </w:tcPr>
          <w:p w14:paraId="7720C21E" w14:textId="77777777" w:rsidR="004C771E" w:rsidRPr="00D2248C" w:rsidRDefault="004C771E" w:rsidP="004C771E">
            <w:pPr>
              <w:rPr>
                <w:rFonts w:ascii="Arial Narrow" w:hAnsi="Arial Narrow" w:cs="Calibri"/>
                <w:color w:val="000000"/>
                <w:sz w:val="20"/>
              </w:rPr>
            </w:pPr>
            <w:r w:rsidRPr="00D2248C">
              <w:rPr>
                <w:rFonts w:ascii="Arial Narrow" w:hAnsi="Arial Narrow" w:cs="Calibri"/>
                <w:color w:val="000000"/>
                <w:sz w:val="20"/>
              </w:rPr>
              <w:t> </w:t>
            </w:r>
          </w:p>
        </w:tc>
      </w:tr>
      <w:tr w:rsidR="004C009F" w:rsidRPr="00D2248C" w14:paraId="667EFA13" w14:textId="77777777" w:rsidTr="00574EDE">
        <w:trPr>
          <w:trHeight w:val="285"/>
        </w:trPr>
        <w:tc>
          <w:tcPr>
            <w:tcW w:w="2122" w:type="dxa"/>
            <w:shd w:val="clear" w:color="000000" w:fill="FCE4D6"/>
            <w:noWrap/>
            <w:hideMark/>
          </w:tcPr>
          <w:p w14:paraId="7DD97BF7" w14:textId="3F2C331E" w:rsidR="004C009F" w:rsidRPr="00D2248C" w:rsidRDefault="004C009F" w:rsidP="004C009F">
            <w:pPr>
              <w:jc w:val="right"/>
              <w:rPr>
                <w:rFonts w:ascii="Arial Narrow" w:hAnsi="Arial Narrow" w:cs="Calibri"/>
                <w:color w:val="000000"/>
                <w:sz w:val="20"/>
              </w:rPr>
            </w:pPr>
            <w:r w:rsidRPr="00D2248C">
              <w:rPr>
                <w:rFonts w:ascii="Arial Narrow" w:hAnsi="Arial Narrow" w:cs="Calibri"/>
                <w:color w:val="000000"/>
                <w:sz w:val="20"/>
              </w:rPr>
              <w:t>redacted%</w:t>
            </w:r>
          </w:p>
        </w:tc>
        <w:tc>
          <w:tcPr>
            <w:tcW w:w="1417" w:type="dxa"/>
            <w:shd w:val="clear" w:color="000000" w:fill="FCE4D6"/>
            <w:noWrap/>
            <w:vAlign w:val="bottom"/>
            <w:hideMark/>
          </w:tcPr>
          <w:p w14:paraId="1B75BD80" w14:textId="77777777"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w:t>
            </w:r>
          </w:p>
        </w:tc>
        <w:tc>
          <w:tcPr>
            <w:tcW w:w="1559" w:type="dxa"/>
            <w:shd w:val="clear" w:color="000000" w:fill="FCE4D6"/>
            <w:noWrap/>
            <w:hideMark/>
          </w:tcPr>
          <w:p w14:paraId="0EF39A44" w14:textId="45B858E5"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xml:space="preserve">$redacted </w:t>
            </w:r>
          </w:p>
        </w:tc>
        <w:tc>
          <w:tcPr>
            <w:tcW w:w="1418" w:type="dxa"/>
            <w:shd w:val="clear" w:color="000000" w:fill="FCE4D6"/>
            <w:noWrap/>
            <w:vAlign w:val="bottom"/>
            <w:hideMark/>
          </w:tcPr>
          <w:p w14:paraId="3271D01C" w14:textId="77777777"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w:t>
            </w:r>
          </w:p>
        </w:tc>
        <w:tc>
          <w:tcPr>
            <w:tcW w:w="1701" w:type="dxa"/>
            <w:shd w:val="clear" w:color="000000" w:fill="FCE4D6"/>
            <w:noWrap/>
            <w:hideMark/>
          </w:tcPr>
          <w:p w14:paraId="53499EDB" w14:textId="7639A166"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xml:space="preserve">$redacted </w:t>
            </w:r>
          </w:p>
        </w:tc>
        <w:tc>
          <w:tcPr>
            <w:tcW w:w="1560" w:type="dxa"/>
            <w:shd w:val="clear" w:color="000000" w:fill="FCE4D6"/>
            <w:noWrap/>
            <w:vAlign w:val="bottom"/>
            <w:hideMark/>
          </w:tcPr>
          <w:p w14:paraId="4A602BD9" w14:textId="77777777"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w:t>
            </w:r>
          </w:p>
        </w:tc>
      </w:tr>
      <w:tr w:rsidR="004C009F" w:rsidRPr="00D2248C" w14:paraId="0023A0A5" w14:textId="77777777" w:rsidTr="00574EDE">
        <w:trPr>
          <w:trHeight w:val="285"/>
        </w:trPr>
        <w:tc>
          <w:tcPr>
            <w:tcW w:w="2122" w:type="dxa"/>
            <w:shd w:val="clear" w:color="000000" w:fill="FCE4D6"/>
            <w:noWrap/>
            <w:hideMark/>
          </w:tcPr>
          <w:p w14:paraId="304C875D" w14:textId="48CAAAE5" w:rsidR="004C009F" w:rsidRPr="00D2248C" w:rsidRDefault="004C009F" w:rsidP="004C009F">
            <w:pPr>
              <w:jc w:val="right"/>
              <w:rPr>
                <w:rFonts w:ascii="Arial Narrow" w:hAnsi="Arial Narrow" w:cs="Calibri"/>
                <w:color w:val="000000"/>
                <w:sz w:val="20"/>
              </w:rPr>
            </w:pPr>
            <w:r w:rsidRPr="00D2248C">
              <w:rPr>
                <w:rFonts w:ascii="Arial Narrow" w:hAnsi="Arial Narrow" w:cs="Calibri"/>
                <w:color w:val="000000"/>
                <w:sz w:val="20"/>
              </w:rPr>
              <w:t>redacted%</w:t>
            </w:r>
          </w:p>
        </w:tc>
        <w:tc>
          <w:tcPr>
            <w:tcW w:w="1417" w:type="dxa"/>
            <w:shd w:val="clear" w:color="000000" w:fill="FCE4D6"/>
            <w:noWrap/>
            <w:vAlign w:val="bottom"/>
            <w:hideMark/>
          </w:tcPr>
          <w:p w14:paraId="02F1DA2C" w14:textId="77777777"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w:t>
            </w:r>
          </w:p>
        </w:tc>
        <w:tc>
          <w:tcPr>
            <w:tcW w:w="1559" w:type="dxa"/>
            <w:shd w:val="clear" w:color="000000" w:fill="FCE4D6"/>
            <w:noWrap/>
            <w:hideMark/>
          </w:tcPr>
          <w:p w14:paraId="134B863B" w14:textId="7808D571"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xml:space="preserve">$redacted </w:t>
            </w:r>
          </w:p>
        </w:tc>
        <w:tc>
          <w:tcPr>
            <w:tcW w:w="1418" w:type="dxa"/>
            <w:shd w:val="clear" w:color="000000" w:fill="FCE4D6"/>
            <w:noWrap/>
            <w:vAlign w:val="bottom"/>
            <w:hideMark/>
          </w:tcPr>
          <w:p w14:paraId="53693A69" w14:textId="77777777"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w:t>
            </w:r>
          </w:p>
        </w:tc>
        <w:tc>
          <w:tcPr>
            <w:tcW w:w="1701" w:type="dxa"/>
            <w:shd w:val="clear" w:color="000000" w:fill="FCE4D6"/>
            <w:noWrap/>
            <w:hideMark/>
          </w:tcPr>
          <w:p w14:paraId="06F2A8BD" w14:textId="25808174"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xml:space="preserve">$redacted </w:t>
            </w:r>
          </w:p>
        </w:tc>
        <w:tc>
          <w:tcPr>
            <w:tcW w:w="1560" w:type="dxa"/>
            <w:shd w:val="clear" w:color="000000" w:fill="FCE4D6"/>
            <w:noWrap/>
            <w:vAlign w:val="bottom"/>
            <w:hideMark/>
          </w:tcPr>
          <w:p w14:paraId="263FFEED" w14:textId="77777777"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w:t>
            </w:r>
          </w:p>
        </w:tc>
      </w:tr>
      <w:tr w:rsidR="004C009F" w:rsidRPr="008C3879" w14:paraId="5D0455B1" w14:textId="77777777" w:rsidTr="00574EDE">
        <w:trPr>
          <w:trHeight w:val="293"/>
        </w:trPr>
        <w:tc>
          <w:tcPr>
            <w:tcW w:w="2122" w:type="dxa"/>
            <w:shd w:val="clear" w:color="000000" w:fill="FCE4D6"/>
            <w:noWrap/>
            <w:hideMark/>
          </w:tcPr>
          <w:p w14:paraId="71D6858C" w14:textId="1B3F1A89" w:rsidR="004C009F" w:rsidRPr="00D2248C" w:rsidRDefault="004C009F" w:rsidP="004C009F">
            <w:pPr>
              <w:jc w:val="right"/>
              <w:rPr>
                <w:rFonts w:ascii="Arial Narrow" w:hAnsi="Arial Narrow" w:cs="Calibri"/>
                <w:color w:val="000000"/>
                <w:sz w:val="20"/>
              </w:rPr>
            </w:pPr>
            <w:r w:rsidRPr="00D2248C">
              <w:rPr>
                <w:rFonts w:ascii="Arial Narrow" w:hAnsi="Arial Narrow" w:cs="Calibri"/>
                <w:color w:val="000000"/>
                <w:sz w:val="20"/>
              </w:rPr>
              <w:t>redacted%</w:t>
            </w:r>
          </w:p>
        </w:tc>
        <w:tc>
          <w:tcPr>
            <w:tcW w:w="1417" w:type="dxa"/>
            <w:shd w:val="clear" w:color="000000" w:fill="FCE4D6"/>
            <w:noWrap/>
            <w:vAlign w:val="bottom"/>
            <w:hideMark/>
          </w:tcPr>
          <w:p w14:paraId="4DCE4120" w14:textId="77777777"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w:t>
            </w:r>
          </w:p>
        </w:tc>
        <w:tc>
          <w:tcPr>
            <w:tcW w:w="1559" w:type="dxa"/>
            <w:shd w:val="clear" w:color="000000" w:fill="FCE4D6"/>
            <w:noWrap/>
            <w:hideMark/>
          </w:tcPr>
          <w:p w14:paraId="7CA534D3" w14:textId="12988248"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xml:space="preserve">$redacted </w:t>
            </w:r>
          </w:p>
        </w:tc>
        <w:tc>
          <w:tcPr>
            <w:tcW w:w="1418" w:type="dxa"/>
            <w:shd w:val="clear" w:color="000000" w:fill="FCE4D6"/>
            <w:noWrap/>
            <w:vAlign w:val="bottom"/>
            <w:hideMark/>
          </w:tcPr>
          <w:p w14:paraId="68E87870" w14:textId="77777777"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w:t>
            </w:r>
          </w:p>
        </w:tc>
        <w:tc>
          <w:tcPr>
            <w:tcW w:w="1701" w:type="dxa"/>
            <w:shd w:val="clear" w:color="000000" w:fill="FCE4D6"/>
            <w:noWrap/>
            <w:hideMark/>
          </w:tcPr>
          <w:p w14:paraId="39614F35" w14:textId="7D40FE55"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xml:space="preserve">$redacted </w:t>
            </w:r>
          </w:p>
        </w:tc>
        <w:tc>
          <w:tcPr>
            <w:tcW w:w="1560" w:type="dxa"/>
            <w:shd w:val="clear" w:color="000000" w:fill="FCE4D6"/>
            <w:noWrap/>
            <w:vAlign w:val="bottom"/>
            <w:hideMark/>
          </w:tcPr>
          <w:p w14:paraId="65287B05" w14:textId="77777777" w:rsidR="004C009F" w:rsidRPr="00D2248C" w:rsidRDefault="004C009F" w:rsidP="004C009F">
            <w:pPr>
              <w:rPr>
                <w:rFonts w:ascii="Arial Narrow" w:hAnsi="Arial Narrow" w:cs="Calibri"/>
                <w:color w:val="000000"/>
                <w:sz w:val="20"/>
              </w:rPr>
            </w:pPr>
            <w:r w:rsidRPr="00D2248C">
              <w:rPr>
                <w:rFonts w:ascii="Arial Narrow" w:hAnsi="Arial Narrow" w:cs="Calibri"/>
                <w:color w:val="000000"/>
                <w:sz w:val="20"/>
              </w:rPr>
              <w:t> </w:t>
            </w:r>
          </w:p>
        </w:tc>
      </w:tr>
    </w:tbl>
    <w:p w14:paraId="78D29D90" w14:textId="62CEB61E" w:rsidR="004C771E" w:rsidRDefault="004C771E">
      <w:pPr>
        <w:rPr>
          <w:b/>
          <w:i/>
        </w:rPr>
      </w:pPr>
      <w:r>
        <w:rPr>
          <w:b/>
          <w:i/>
        </w:rPr>
        <w:br w:type="page"/>
      </w:r>
    </w:p>
    <w:p w14:paraId="351145F0" w14:textId="6662D6AD" w:rsidR="00682FCD" w:rsidRDefault="00427FD3" w:rsidP="004C771E">
      <w:pPr>
        <w:spacing w:after="240"/>
        <w:rPr>
          <w:i/>
        </w:rPr>
      </w:pPr>
      <w:r>
        <w:rPr>
          <w:b/>
          <w:i/>
        </w:rPr>
        <w:lastRenderedPageBreak/>
        <w:t>December 2019</w:t>
      </w:r>
      <w:r w:rsidR="00682FCD">
        <w:rPr>
          <w:b/>
          <w:i/>
        </w:rPr>
        <w:t xml:space="preserve"> MSAC Executive</w:t>
      </w:r>
    </w:p>
    <w:p w14:paraId="7D93C1AD" w14:textId="6EF9E28A" w:rsidR="0065417B" w:rsidRPr="004C771E" w:rsidRDefault="0065417B" w:rsidP="004C771E">
      <w:pPr>
        <w:spacing w:after="240"/>
      </w:pPr>
      <w:r w:rsidRPr="003157F6">
        <w:t xml:space="preserve">The MSAC executive recalled that in December 2019, it had noted that </w:t>
      </w:r>
      <w:proofErr w:type="spellStart"/>
      <w:r w:rsidRPr="003157F6">
        <w:t>PoC</w:t>
      </w:r>
      <w:proofErr w:type="spellEnd"/>
      <w:r w:rsidRPr="003157F6">
        <w:t xml:space="preserve"> HBA1c testing will only be cost-effective (value for money) if the cost of delivering testing with this approach is no more than the cost of delivering testing through a laboratory based approach.</w:t>
      </w:r>
    </w:p>
    <w:p w14:paraId="41E84573" w14:textId="41E6802B" w:rsidR="0065417B" w:rsidRDefault="0065417B" w:rsidP="004C771E">
      <w:pPr>
        <w:spacing w:after="240"/>
      </w:pPr>
      <w:r>
        <w:t>In December 2019, the</w:t>
      </w:r>
      <w:r w:rsidRPr="0065417B">
        <w:t xml:space="preserve"> MSAC Executive</w:t>
      </w:r>
      <w:r>
        <w:t xml:space="preserve"> also </w:t>
      </w:r>
      <w:r w:rsidRPr="0065417B">
        <w:t xml:space="preserve">noted the key input variables for determining a cost-effective price for </w:t>
      </w:r>
      <w:proofErr w:type="spellStart"/>
      <w:r w:rsidRPr="0065417B">
        <w:t>PoC</w:t>
      </w:r>
      <w:proofErr w:type="spellEnd"/>
      <w:r w:rsidRPr="0065417B">
        <w:t xml:space="preserve"> HBA1c are the number of tests conducted each year and the extent to which laboratory tests are coned.</w:t>
      </w:r>
    </w:p>
    <w:p w14:paraId="1ED56F11" w14:textId="40C5B7D1" w:rsidR="0065417B" w:rsidRDefault="0065417B" w:rsidP="0065417B">
      <w:r>
        <w:t>At that time</w:t>
      </w:r>
      <w:r w:rsidR="00F62E35">
        <w:t>,</w:t>
      </w:r>
      <w:r>
        <w:t xml:space="preserve"> the MSAC executive considered it was </w:t>
      </w:r>
      <w:r w:rsidRPr="0065417B">
        <w:t>it was reasonable to assume that on average, a patient would receive 2.5 HbA1c tests each year</w:t>
      </w:r>
      <w:r w:rsidR="00427FD3">
        <w:t xml:space="preserve"> for the management and monitoring of diabetes, with, in the case of </w:t>
      </w:r>
      <w:proofErr w:type="spellStart"/>
      <w:r w:rsidR="00427FD3">
        <w:t>PoC</w:t>
      </w:r>
      <w:proofErr w:type="spellEnd"/>
      <w:r w:rsidR="00427FD3">
        <w:t xml:space="preserve"> testing, 1.5</w:t>
      </w:r>
      <w:r w:rsidR="00427FD3" w:rsidRPr="008A2AD1">
        <w:t xml:space="preserve"> test</w:t>
      </w:r>
      <w:r w:rsidR="00427FD3">
        <w:t>s</w:t>
      </w:r>
      <w:r w:rsidR="00427FD3" w:rsidRPr="008A2AD1">
        <w:t xml:space="preserve"> done at </w:t>
      </w:r>
      <w:r w:rsidR="00427FD3">
        <w:t>the GP and one in a laboratory. This is less than</w:t>
      </w:r>
      <w:r w:rsidRPr="0065417B">
        <w:t xml:space="preserve"> the 4 </w:t>
      </w:r>
      <w:r w:rsidR="00427FD3">
        <w:t>annual tests (</w:t>
      </w:r>
      <w:proofErr w:type="spellStart"/>
      <w:r w:rsidR="00427FD3">
        <w:t>PoC</w:t>
      </w:r>
      <w:proofErr w:type="spellEnd"/>
      <w:r w:rsidR="00427FD3">
        <w:t xml:space="preserve"> or laboratory) </w:t>
      </w:r>
      <w:r w:rsidRPr="0065417B">
        <w:t>proposed</w:t>
      </w:r>
      <w:r>
        <w:t xml:space="preserve"> by the applicant </w:t>
      </w:r>
      <w:r w:rsidR="00427FD3">
        <w:t>to the March 2019 MSAC meeting.</w:t>
      </w:r>
    </w:p>
    <w:p w14:paraId="6A9757C8" w14:textId="5FF73E6F" w:rsidR="00F62E35" w:rsidRDefault="009716BF" w:rsidP="00CE53A7">
      <w:pPr>
        <w:spacing w:before="240" w:after="240"/>
      </w:pPr>
      <w:r>
        <w:t>In December 2019, t</w:t>
      </w:r>
      <w:r w:rsidR="0065417B">
        <w:t xml:space="preserve">he MSAC Executive further considered it was reasonable to use the available Department of Veteran Affairs data on number of HBA1c tests </w:t>
      </w:r>
      <w:r w:rsidR="00F62E35">
        <w:t>(un-coned) to estimate the proportion of coned GP requested HbA1c tests under the MBS. The MSAC noted this proportion was 60%.</w:t>
      </w:r>
    </w:p>
    <w:p w14:paraId="7508C102" w14:textId="4E748EAD" w:rsidR="0065417B" w:rsidRPr="004C771E" w:rsidRDefault="00F62E35" w:rsidP="004C771E">
      <w:pPr>
        <w:spacing w:after="240"/>
      </w:pPr>
      <w:r>
        <w:t xml:space="preserve">The MSAC executive deferred making a recommendation </w:t>
      </w:r>
      <w:r w:rsidR="009716BF">
        <w:t>at</w:t>
      </w:r>
      <w:r>
        <w:t xml:space="preserve"> its December 2019 executive meeting to allow the applicant to update its cost-minimisation analysis and financial analysis in response to this advice.</w:t>
      </w:r>
    </w:p>
    <w:p w14:paraId="2BDFACAE" w14:textId="157DCCAB" w:rsidR="00682FCD" w:rsidRPr="003157F6" w:rsidRDefault="00682FCD" w:rsidP="004C771E">
      <w:pPr>
        <w:spacing w:before="240"/>
        <w:rPr>
          <w:i/>
        </w:rPr>
      </w:pPr>
      <w:r w:rsidRPr="003157F6">
        <w:rPr>
          <w:b/>
          <w:i/>
        </w:rPr>
        <w:t>March 2019 MSAC Consideration</w:t>
      </w:r>
    </w:p>
    <w:p w14:paraId="2F142F67" w14:textId="5AB325DB" w:rsidR="00200E40" w:rsidRDefault="00200E40" w:rsidP="005C1607">
      <w:pPr>
        <w:spacing w:before="120" w:after="120"/>
      </w:pPr>
      <w:r>
        <w:t xml:space="preserve">MSAC noted that this is </w:t>
      </w:r>
      <w:r w:rsidR="009F27BF">
        <w:t xml:space="preserve">a </w:t>
      </w:r>
      <w:r>
        <w:t>resubmission of Application 1431. MSAC recalled that, in July</w:t>
      </w:r>
      <w:r w:rsidR="00EC542E">
        <w:t> </w:t>
      </w:r>
      <w:r>
        <w:t>2017, MSAC considered the safety, clinical effectiveness and cost-effective</w:t>
      </w:r>
      <w:r w:rsidR="005C7F8E">
        <w:t xml:space="preserve">ness of HbA1c </w:t>
      </w:r>
      <w:proofErr w:type="spellStart"/>
      <w:r>
        <w:t>PoC</w:t>
      </w:r>
      <w:proofErr w:type="spellEnd"/>
      <w:r>
        <w:t xml:space="preserve"> testing as an alternative to HbA1c testing in an accredited pathology laboratory for the diagnosis and management of diabetes. MSAC recalled that it did not support public funding for HbA1c </w:t>
      </w:r>
      <w:proofErr w:type="spellStart"/>
      <w:r>
        <w:t>PoC</w:t>
      </w:r>
      <w:proofErr w:type="spellEnd"/>
      <w:r>
        <w:t xml:space="preserve"> tests for the diagnosis of diabetes and deferred its advice for the monitoring of glycaemic management in patients with established diabetes, pending:</w:t>
      </w:r>
    </w:p>
    <w:p w14:paraId="346B422F" w14:textId="77777777" w:rsidR="00200E40" w:rsidRDefault="00200E40" w:rsidP="005C1607">
      <w:pPr>
        <w:pStyle w:val="Bullet"/>
        <w:numPr>
          <w:ilvl w:val="0"/>
          <w:numId w:val="32"/>
        </w:numPr>
        <w:tabs>
          <w:tab w:val="clear" w:pos="360"/>
        </w:tabs>
        <w:spacing w:before="120"/>
        <w:ind w:left="1135" w:hanging="284"/>
      </w:pPr>
      <w:r>
        <w:t>further data and advice on an accreditation framework</w:t>
      </w:r>
      <w:r w:rsidR="00D0322A">
        <w:t>;</w:t>
      </w:r>
    </w:p>
    <w:p w14:paraId="11D6CEA8" w14:textId="77777777" w:rsidR="00200E40" w:rsidRDefault="00200E40" w:rsidP="005C1607">
      <w:pPr>
        <w:pStyle w:val="Bullet"/>
        <w:numPr>
          <w:ilvl w:val="0"/>
          <w:numId w:val="32"/>
        </w:numPr>
        <w:tabs>
          <w:tab w:val="clear" w:pos="360"/>
        </w:tabs>
        <w:spacing w:before="120"/>
        <w:ind w:left="1135" w:hanging="284"/>
      </w:pPr>
      <w:r>
        <w:t xml:space="preserve">a reduction in, or further justification of, the proposed fee for HbA1c </w:t>
      </w:r>
      <w:proofErr w:type="spellStart"/>
      <w:r>
        <w:t>PoC</w:t>
      </w:r>
      <w:proofErr w:type="spellEnd"/>
      <w:r>
        <w:t xml:space="preserve"> testing compared with the laboratory test fee</w:t>
      </w:r>
      <w:r w:rsidR="00D0322A">
        <w:t>; and</w:t>
      </w:r>
    </w:p>
    <w:p w14:paraId="22C7CBB2" w14:textId="77777777" w:rsidR="005C1607" w:rsidRDefault="00200E40" w:rsidP="005C1607">
      <w:pPr>
        <w:pStyle w:val="BulletBeforeDash"/>
        <w:numPr>
          <w:ilvl w:val="0"/>
          <w:numId w:val="32"/>
        </w:numPr>
        <w:tabs>
          <w:tab w:val="clear" w:pos="360"/>
        </w:tabs>
        <w:spacing w:before="120" w:after="120"/>
        <w:ind w:left="1135" w:hanging="284"/>
      </w:pPr>
      <w:proofErr w:type="gramStart"/>
      <w:r>
        <w:t>an</w:t>
      </w:r>
      <w:proofErr w:type="gramEnd"/>
      <w:r>
        <w:t xml:space="preserve"> updated economic evaluation. </w:t>
      </w:r>
    </w:p>
    <w:p w14:paraId="63029253" w14:textId="52DDD1D5" w:rsidR="009A3690" w:rsidRDefault="009A3690" w:rsidP="000934B8">
      <w:pPr>
        <w:pStyle w:val="BulletLast"/>
        <w:numPr>
          <w:ilvl w:val="0"/>
          <w:numId w:val="0"/>
        </w:numPr>
      </w:pPr>
      <w:r>
        <w:t>MSAC noted that no new literature has been identified since the original submission and that therefore the clinical claim (non-inferior clinical safety and non-inferior effectiveness) remains unchanged from the original submission.</w:t>
      </w:r>
    </w:p>
    <w:p w14:paraId="74B46A2B" w14:textId="701EEAE7" w:rsidR="00200E40" w:rsidRDefault="00200E40" w:rsidP="005C1607">
      <w:pPr>
        <w:spacing w:before="240"/>
      </w:pPr>
      <w:r>
        <w:t>MSAC noted the proposed item descriptor in this resubmission</w:t>
      </w:r>
      <w:r w:rsidR="00135EA6">
        <w:t xml:space="preserve"> sets out test performance and accreditation requirements aimed at quality service provision which are discussed bel</w:t>
      </w:r>
      <w:r w:rsidR="005C1607">
        <w:t xml:space="preserve">ow. </w:t>
      </w:r>
      <w:r w:rsidR="00135EA6">
        <w:t>The proposed item</w:t>
      </w:r>
      <w:r w:rsidR="005C1607">
        <w:t xml:space="preserve"> </w:t>
      </w:r>
      <w:r>
        <w:t xml:space="preserve">is </w:t>
      </w:r>
      <w:r w:rsidRPr="0097670B">
        <w:t>consistent with existing MBS HbA1c items</w:t>
      </w:r>
      <w:r>
        <w:t xml:space="preserve">. </w:t>
      </w:r>
    </w:p>
    <w:p w14:paraId="2AF3A25E" w14:textId="1E2B74D8" w:rsidR="00200E40" w:rsidRDefault="00135EA6" w:rsidP="000934B8">
      <w:pPr>
        <w:spacing w:before="240" w:after="240"/>
        <w:rPr>
          <w:rFonts w:cs="Arial"/>
        </w:rPr>
      </w:pPr>
      <w:r>
        <w:rPr>
          <w:rFonts w:cs="Arial"/>
        </w:rPr>
        <w:t>In contrast to testing for diagnosis of diabetes where diagnostic accur</w:t>
      </w:r>
      <w:r w:rsidR="00BC7987">
        <w:rPr>
          <w:rFonts w:cs="Arial"/>
        </w:rPr>
        <w:t>a</w:t>
      </w:r>
      <w:r>
        <w:rPr>
          <w:rFonts w:cs="Arial"/>
        </w:rPr>
        <w:t xml:space="preserve">cy of the test is critical, </w:t>
      </w:r>
      <w:r w:rsidR="00200E40">
        <w:rPr>
          <w:rFonts w:cs="Arial"/>
        </w:rPr>
        <w:t xml:space="preserve">MSAC noted that the accuracy of the </w:t>
      </w:r>
      <w:r>
        <w:rPr>
          <w:rFonts w:cs="Arial"/>
        </w:rPr>
        <w:t xml:space="preserve">test in </w:t>
      </w:r>
      <w:r w:rsidR="007A156B">
        <w:rPr>
          <w:rFonts w:cs="Arial"/>
        </w:rPr>
        <w:t>m</w:t>
      </w:r>
      <w:r w:rsidR="007A156B">
        <w:t>onitoring</w:t>
      </w:r>
      <w:r w:rsidR="007A156B">
        <w:rPr>
          <w:rFonts w:cs="Arial"/>
        </w:rPr>
        <w:t xml:space="preserve"> patients with established diabetes is not</w:t>
      </w:r>
      <w:r w:rsidR="00200E40">
        <w:rPr>
          <w:rFonts w:cs="Arial"/>
        </w:rPr>
        <w:t xml:space="preserve"> critical</w:t>
      </w:r>
      <w:r w:rsidR="00D0322A">
        <w:rPr>
          <w:rFonts w:cs="Arial"/>
        </w:rPr>
        <w:t xml:space="preserve"> as long as the patient continues to be monitored by the same method</w:t>
      </w:r>
      <w:r>
        <w:rPr>
          <w:rFonts w:cs="Arial"/>
        </w:rPr>
        <w:t>. However, MSAC note</w:t>
      </w:r>
      <w:r w:rsidR="00BC7987">
        <w:rPr>
          <w:rFonts w:cs="Arial"/>
        </w:rPr>
        <w:t>d</w:t>
      </w:r>
      <w:r>
        <w:rPr>
          <w:rFonts w:cs="Arial"/>
        </w:rPr>
        <w:t xml:space="preserve"> that</w:t>
      </w:r>
      <w:r w:rsidR="00200E40">
        <w:rPr>
          <w:rFonts w:cs="Arial"/>
        </w:rPr>
        <w:t xml:space="preserve"> </w:t>
      </w:r>
      <w:r>
        <w:rPr>
          <w:rFonts w:cs="Arial"/>
        </w:rPr>
        <w:t xml:space="preserve">the applicant had advised requirements for test performance </w:t>
      </w:r>
      <w:r w:rsidR="009F27BF">
        <w:rPr>
          <w:rFonts w:cs="Arial"/>
        </w:rPr>
        <w:t xml:space="preserve">and these </w:t>
      </w:r>
      <w:r>
        <w:rPr>
          <w:rFonts w:cs="Arial"/>
        </w:rPr>
        <w:t>appeared reasonable.</w:t>
      </w:r>
    </w:p>
    <w:p w14:paraId="38F55A69" w14:textId="642A6412" w:rsidR="00200E40" w:rsidRDefault="00200E40" w:rsidP="000934B8">
      <w:pPr>
        <w:spacing w:after="240"/>
      </w:pPr>
      <w:r>
        <w:lastRenderedPageBreak/>
        <w:t xml:space="preserve">MSAC noted that </w:t>
      </w:r>
      <w:r w:rsidRPr="00D0370F">
        <w:t>compar</w:t>
      </w:r>
      <w:r w:rsidR="009A3690">
        <w:t xml:space="preserve">ed to </w:t>
      </w:r>
      <w:r w:rsidRPr="00D0370F">
        <w:t>pathology laboratory testing</w:t>
      </w:r>
      <w:r w:rsidR="009A3690">
        <w:t xml:space="preserve">, </w:t>
      </w:r>
      <w:r w:rsidRPr="00D0370F">
        <w:t>key</w:t>
      </w:r>
      <w:r w:rsidR="009A3690">
        <w:t xml:space="preserve"> </w:t>
      </w:r>
      <w:r w:rsidRPr="00D0370F">
        <w:t xml:space="preserve">issues are whether </w:t>
      </w:r>
      <w:r w:rsidR="009A3690">
        <w:t xml:space="preserve">the </w:t>
      </w:r>
      <w:r>
        <w:t>cost</w:t>
      </w:r>
      <w:r w:rsidRPr="00D0370F">
        <w:t xml:space="preserve"> </w:t>
      </w:r>
      <w:r w:rsidR="009A3690">
        <w:t xml:space="preserve">of </w:t>
      </w:r>
      <w:proofErr w:type="spellStart"/>
      <w:r w:rsidR="009A3690">
        <w:t>P</w:t>
      </w:r>
      <w:r w:rsidR="00270974">
        <w:t>o</w:t>
      </w:r>
      <w:r w:rsidR="009A3690">
        <w:t>C</w:t>
      </w:r>
      <w:proofErr w:type="spellEnd"/>
      <w:r w:rsidR="00270974">
        <w:t xml:space="preserve"> test</w:t>
      </w:r>
      <w:r w:rsidR="009A3690">
        <w:t xml:space="preserve"> </w:t>
      </w:r>
      <w:r w:rsidRPr="00D0370F">
        <w:t xml:space="preserve">can be </w:t>
      </w:r>
      <w:r>
        <w:t>offset</w:t>
      </w:r>
      <w:r w:rsidRPr="00D0370F">
        <w:t xml:space="preserve"> </w:t>
      </w:r>
      <w:r w:rsidR="009A3690">
        <w:t xml:space="preserve">by reduced numbers of consultations </w:t>
      </w:r>
      <w:r w:rsidR="009F27BF">
        <w:t>because</w:t>
      </w:r>
      <w:r w:rsidR="009A3690">
        <w:t xml:space="preserve"> attendance to discuss the outcome of testing </w:t>
      </w:r>
      <w:r w:rsidR="009F27BF">
        <w:t xml:space="preserve">are no longer required. Further </w:t>
      </w:r>
      <w:r w:rsidR="009A3690">
        <w:t>benefit</w:t>
      </w:r>
      <w:r w:rsidR="009F27BF">
        <w:t>s</w:t>
      </w:r>
      <w:r w:rsidRPr="00D0370F">
        <w:t xml:space="preserve"> </w:t>
      </w:r>
      <w:r>
        <w:t>to</w:t>
      </w:r>
      <w:r w:rsidRPr="00D0370F">
        <w:t xml:space="preserve"> patients </w:t>
      </w:r>
      <w:r w:rsidR="009F27BF">
        <w:t xml:space="preserve">flow from </w:t>
      </w:r>
      <w:r w:rsidRPr="00D0370F">
        <w:t>not having to return for another appointment</w:t>
      </w:r>
      <w:r w:rsidR="00596625">
        <w:t>.</w:t>
      </w:r>
      <w:r w:rsidRPr="00D0370F">
        <w:t xml:space="preserve"> </w:t>
      </w:r>
      <w:r w:rsidR="007A156B">
        <w:t xml:space="preserve">As well as improving convenience, </w:t>
      </w:r>
      <w:proofErr w:type="spellStart"/>
      <w:r w:rsidR="007A156B">
        <w:t>P</w:t>
      </w:r>
      <w:r w:rsidR="00270974">
        <w:t>o</w:t>
      </w:r>
      <w:r w:rsidR="007A156B">
        <w:t>C</w:t>
      </w:r>
      <w:proofErr w:type="spellEnd"/>
      <w:r w:rsidR="007A156B">
        <w:t xml:space="preserve"> testing provides an opportunity for more timely change in management and the prospect of better diabetes management</w:t>
      </w:r>
      <w:r w:rsidR="00846D51">
        <w:t>, although there are, as yet, no data to support the la</w:t>
      </w:r>
      <w:r w:rsidR="0052140E">
        <w:t>t</w:t>
      </w:r>
      <w:r w:rsidR="00846D51">
        <w:t xml:space="preserve">ter. </w:t>
      </w:r>
      <w:r>
        <w:t xml:space="preserve">MSAC noted that, although patient convenience alone should not drive decisions, </w:t>
      </w:r>
      <w:proofErr w:type="gramStart"/>
      <w:r>
        <w:t>consumers</w:t>
      </w:r>
      <w:proofErr w:type="gramEnd"/>
      <w:r>
        <w:t xml:space="preserve"> </w:t>
      </w:r>
      <w:r w:rsidR="009F27BF">
        <w:t xml:space="preserve">value ready access to </w:t>
      </w:r>
      <w:r>
        <w:t xml:space="preserve">health care professionals </w:t>
      </w:r>
      <w:r w:rsidR="009F27BF">
        <w:t>where decisions can be made at the point of care.</w:t>
      </w:r>
    </w:p>
    <w:p w14:paraId="318105FC" w14:textId="6810B97A" w:rsidR="00200E40" w:rsidRPr="000934B8" w:rsidRDefault="00200E40" w:rsidP="000934B8">
      <w:pPr>
        <w:spacing w:after="240"/>
        <w:rPr>
          <w:rFonts w:cs="Arial"/>
        </w:rPr>
      </w:pPr>
      <w:r w:rsidRPr="00D673B3">
        <w:t>In response to MSAC’s request for further economic analysis, the</w:t>
      </w:r>
      <w:r w:rsidRPr="00C27964">
        <w:rPr>
          <w:rFonts w:cs="Arial"/>
        </w:rPr>
        <w:t xml:space="preserve"> resubmission presented a cost-minimisation analysis (base case) with a cost-utility analysis presented as </w:t>
      </w:r>
      <w:r w:rsidR="005C7F8E">
        <w:rPr>
          <w:rFonts w:cs="Arial"/>
        </w:rPr>
        <w:t xml:space="preserve">a </w:t>
      </w:r>
      <w:r w:rsidRPr="00C27964">
        <w:rPr>
          <w:rFonts w:cs="Arial"/>
        </w:rPr>
        <w:t>sensitivity analysis</w:t>
      </w:r>
      <w:r>
        <w:rPr>
          <w:rFonts w:cs="Arial"/>
        </w:rPr>
        <w:t>. ESC considered the</w:t>
      </w:r>
      <w:r w:rsidR="00846D51">
        <w:rPr>
          <w:rFonts w:cs="Arial"/>
        </w:rPr>
        <w:t xml:space="preserve"> cost-minimisation approach </w:t>
      </w:r>
      <w:r>
        <w:rPr>
          <w:rFonts w:cs="Arial"/>
        </w:rPr>
        <w:t>to be appropriate</w:t>
      </w:r>
      <w:r w:rsidR="00C87F14">
        <w:rPr>
          <w:rFonts w:cs="Arial"/>
        </w:rPr>
        <w:t>.</w:t>
      </w:r>
      <w:r w:rsidRPr="00B57C9A">
        <w:rPr>
          <w:rFonts w:cs="Arial"/>
        </w:rPr>
        <w:t xml:space="preserve"> </w:t>
      </w:r>
      <w:r w:rsidR="00846D51">
        <w:rPr>
          <w:rFonts w:cs="Arial"/>
        </w:rPr>
        <w:t xml:space="preserve">However, </w:t>
      </w:r>
      <w:r w:rsidRPr="00B57C9A">
        <w:rPr>
          <w:rFonts w:cs="Arial"/>
        </w:rPr>
        <w:t xml:space="preserve">MSAC noted that </w:t>
      </w:r>
      <w:r w:rsidR="00C87F14" w:rsidRPr="00B57C9A">
        <w:rPr>
          <w:rFonts w:cs="Arial"/>
        </w:rPr>
        <w:t xml:space="preserve">at the proposed MBS fee, </w:t>
      </w:r>
      <w:r w:rsidR="0084762D">
        <w:rPr>
          <w:rFonts w:cs="Arial"/>
        </w:rPr>
        <w:t>th</w:t>
      </w:r>
      <w:r w:rsidRPr="00B57C9A">
        <w:rPr>
          <w:rFonts w:cs="Arial"/>
        </w:rPr>
        <w:t>e</w:t>
      </w:r>
      <w:r w:rsidR="00C87F14" w:rsidRPr="00B57C9A">
        <w:rPr>
          <w:rFonts w:cs="Arial"/>
        </w:rPr>
        <w:t xml:space="preserve"> applicant</w:t>
      </w:r>
      <w:r w:rsidR="008A6717">
        <w:rPr>
          <w:rFonts w:cs="Arial"/>
        </w:rPr>
        <w:t>’</w:t>
      </w:r>
      <w:r w:rsidR="00C87F14" w:rsidRPr="00B57C9A">
        <w:rPr>
          <w:rFonts w:cs="Arial"/>
        </w:rPr>
        <w:t>s claim that the</w:t>
      </w:r>
      <w:r w:rsidRPr="00B57C9A">
        <w:rPr>
          <w:rFonts w:cs="Arial"/>
        </w:rPr>
        <w:t xml:space="preserve"> </w:t>
      </w:r>
      <w:proofErr w:type="spellStart"/>
      <w:r w:rsidRPr="00B57C9A">
        <w:rPr>
          <w:rFonts w:cs="Arial"/>
        </w:rPr>
        <w:t>PoC</w:t>
      </w:r>
      <w:proofErr w:type="spellEnd"/>
      <w:r w:rsidRPr="00B57C9A">
        <w:rPr>
          <w:rFonts w:cs="Arial"/>
        </w:rPr>
        <w:t xml:space="preserve"> test </w:t>
      </w:r>
      <w:r w:rsidR="00C87F14" w:rsidRPr="00B57C9A">
        <w:rPr>
          <w:rFonts w:cs="Arial"/>
        </w:rPr>
        <w:t>will cost no more than laboratory testings is only valid if the</w:t>
      </w:r>
      <w:r w:rsidRPr="00B57C9A">
        <w:rPr>
          <w:rFonts w:cs="Arial"/>
        </w:rPr>
        <w:t xml:space="preserve"> assumption </w:t>
      </w:r>
      <w:r w:rsidR="009F27BF">
        <w:rPr>
          <w:rFonts w:cs="Arial"/>
        </w:rPr>
        <w:t xml:space="preserve">is accepted </w:t>
      </w:r>
      <w:r w:rsidRPr="00B57C9A">
        <w:rPr>
          <w:rFonts w:cs="Arial"/>
        </w:rPr>
        <w:t xml:space="preserve">that only one laboratory test per year is </w:t>
      </w:r>
      <w:r w:rsidR="00007B97">
        <w:rPr>
          <w:rFonts w:cs="Arial"/>
        </w:rPr>
        <w:t xml:space="preserve">currently </w:t>
      </w:r>
      <w:r w:rsidRPr="00B57C9A">
        <w:rPr>
          <w:rFonts w:cs="Arial"/>
        </w:rPr>
        <w:t>con</w:t>
      </w:r>
      <w:r w:rsidR="00007B97">
        <w:rPr>
          <w:rFonts w:cs="Arial"/>
        </w:rPr>
        <w:t xml:space="preserve">ed. </w:t>
      </w:r>
      <w:r w:rsidR="00C87F14" w:rsidRPr="00B57C9A">
        <w:rPr>
          <w:rFonts w:cs="Arial"/>
        </w:rPr>
        <w:t>If more than one laboratory HbA1c test is subj</w:t>
      </w:r>
      <w:r w:rsidR="00846D51">
        <w:rPr>
          <w:rFonts w:cs="Arial"/>
        </w:rPr>
        <w:t xml:space="preserve">ect to coning in a year, then </w:t>
      </w:r>
      <w:proofErr w:type="spellStart"/>
      <w:r w:rsidR="00846D51">
        <w:rPr>
          <w:rFonts w:cs="Arial"/>
        </w:rPr>
        <w:t>Po</w:t>
      </w:r>
      <w:r w:rsidR="00C87F14" w:rsidRPr="00B57C9A">
        <w:rPr>
          <w:rFonts w:cs="Arial"/>
        </w:rPr>
        <w:t>C</w:t>
      </w:r>
      <w:proofErr w:type="spellEnd"/>
      <w:r w:rsidR="00C87F14" w:rsidRPr="00B57C9A">
        <w:rPr>
          <w:rFonts w:cs="Arial"/>
        </w:rPr>
        <w:t xml:space="preserve"> testing becomes more expensive than laboratory testing</w:t>
      </w:r>
      <w:r w:rsidR="0084762D">
        <w:rPr>
          <w:rFonts w:cs="Arial"/>
        </w:rPr>
        <w:t xml:space="preserve">. </w:t>
      </w:r>
      <w:r w:rsidR="00C87F14">
        <w:rPr>
          <w:rFonts w:cs="Arial"/>
        </w:rPr>
        <w:t xml:space="preserve">MSAC considered that the applicant’s </w:t>
      </w:r>
      <w:r w:rsidR="00874DD4">
        <w:rPr>
          <w:rFonts w:cs="Arial"/>
        </w:rPr>
        <w:t>claim that</w:t>
      </w:r>
      <w:r w:rsidR="00C87F14">
        <w:rPr>
          <w:rFonts w:cs="Arial"/>
        </w:rPr>
        <w:t xml:space="preserve"> only one laboratory H</w:t>
      </w:r>
      <w:r w:rsidR="00846D51">
        <w:rPr>
          <w:rFonts w:cs="Arial"/>
        </w:rPr>
        <w:t>b</w:t>
      </w:r>
      <w:r w:rsidR="00C87F14">
        <w:rPr>
          <w:rFonts w:cs="Arial"/>
        </w:rPr>
        <w:t xml:space="preserve">A1c test per year would be subject to coning to be </w:t>
      </w:r>
      <w:r w:rsidR="00874DD4">
        <w:rPr>
          <w:rFonts w:cs="Arial"/>
        </w:rPr>
        <w:t xml:space="preserve">poorly justified.  The MSAC requested further work </w:t>
      </w:r>
      <w:r w:rsidR="00846D51">
        <w:rPr>
          <w:rFonts w:cs="Arial"/>
        </w:rPr>
        <w:t xml:space="preserve">be </w:t>
      </w:r>
      <w:r w:rsidR="00874DD4">
        <w:rPr>
          <w:rFonts w:cs="Arial"/>
        </w:rPr>
        <w:t>undertaken to determine the extent to which HbA1c tests are currently coned.</w:t>
      </w:r>
    </w:p>
    <w:p w14:paraId="3DCF55A9" w14:textId="6A24BB77" w:rsidR="00200E40" w:rsidRDefault="00200E40" w:rsidP="00200E40">
      <w:pPr>
        <w:rPr>
          <w:rFonts w:cs="Arial"/>
        </w:rPr>
      </w:pPr>
      <w:r>
        <w:rPr>
          <w:rFonts w:cs="Arial"/>
        </w:rPr>
        <w:t>The</w:t>
      </w:r>
      <w:r w:rsidRPr="009E539D">
        <w:rPr>
          <w:rFonts w:cs="Arial"/>
        </w:rPr>
        <w:t xml:space="preserve"> resubmission addressed MSAC’s concerns </w:t>
      </w:r>
      <w:r>
        <w:rPr>
          <w:rFonts w:cs="Arial"/>
        </w:rPr>
        <w:t>about</w:t>
      </w:r>
      <w:r w:rsidRPr="009E539D">
        <w:rPr>
          <w:rFonts w:cs="Arial"/>
        </w:rPr>
        <w:t xml:space="preserve"> the </w:t>
      </w:r>
      <w:r w:rsidR="00270974">
        <w:rPr>
          <w:rFonts w:cs="Arial"/>
        </w:rPr>
        <w:t xml:space="preserve">proposed MBS </w:t>
      </w:r>
      <w:r w:rsidRPr="009E539D">
        <w:rPr>
          <w:rFonts w:cs="Arial"/>
        </w:rPr>
        <w:t xml:space="preserve">fee by </w:t>
      </w:r>
      <w:r w:rsidR="00270974">
        <w:rPr>
          <w:rFonts w:cs="Arial"/>
        </w:rPr>
        <w:t xml:space="preserve">reducing the fee </w:t>
      </w:r>
      <w:r w:rsidRPr="009E539D">
        <w:rPr>
          <w:rFonts w:cs="Arial"/>
        </w:rPr>
        <w:t>$27.57 to $22.60</w:t>
      </w:r>
      <w:r>
        <w:rPr>
          <w:rFonts w:cs="Arial"/>
        </w:rPr>
        <w:t>; however,</w:t>
      </w:r>
      <w:r w:rsidRPr="009E539D">
        <w:rPr>
          <w:rFonts w:cs="Arial"/>
        </w:rPr>
        <w:t xml:space="preserve"> </w:t>
      </w:r>
      <w:r>
        <w:rPr>
          <w:rFonts w:cs="Arial"/>
        </w:rPr>
        <w:t xml:space="preserve">MSAC noted that </w:t>
      </w:r>
      <w:r w:rsidRPr="009E539D">
        <w:rPr>
          <w:rFonts w:cs="Arial"/>
        </w:rPr>
        <w:t>the fee has been largely determined b</w:t>
      </w:r>
      <w:r w:rsidR="00874DD4">
        <w:rPr>
          <w:rFonts w:cs="Arial"/>
        </w:rPr>
        <w:t>ased on</w:t>
      </w:r>
      <w:r w:rsidRPr="009E539D">
        <w:rPr>
          <w:rFonts w:cs="Arial"/>
        </w:rPr>
        <w:t xml:space="preserve"> expert opinion and assumptions</w:t>
      </w:r>
      <w:r w:rsidR="00874DD4">
        <w:rPr>
          <w:rFonts w:cs="Arial"/>
        </w:rPr>
        <w:t xml:space="preserve"> that cannot be verified.</w:t>
      </w:r>
      <w:r w:rsidRPr="009E539D">
        <w:rPr>
          <w:rFonts w:cs="Arial"/>
        </w:rPr>
        <w:t xml:space="preserve"> Training costs associated with accreditation were estimated by the applicant to be $240 per </w:t>
      </w:r>
      <w:r>
        <w:rPr>
          <w:rFonts w:cs="Arial"/>
        </w:rPr>
        <w:t>year</w:t>
      </w:r>
      <w:r w:rsidRPr="009E539D">
        <w:rPr>
          <w:rFonts w:cs="Arial"/>
        </w:rPr>
        <w:t xml:space="preserve"> per </w:t>
      </w:r>
      <w:r>
        <w:rPr>
          <w:rFonts w:cs="Arial"/>
        </w:rPr>
        <w:t>general practitioner (</w:t>
      </w:r>
      <w:r w:rsidRPr="009E539D">
        <w:rPr>
          <w:rFonts w:cs="Arial"/>
        </w:rPr>
        <w:t>GP</w:t>
      </w:r>
      <w:r>
        <w:rPr>
          <w:rFonts w:cs="Arial"/>
        </w:rPr>
        <w:t>)</w:t>
      </w:r>
      <w:r w:rsidRPr="009E539D">
        <w:rPr>
          <w:rFonts w:cs="Arial"/>
        </w:rPr>
        <w:t>, calculated over a 5</w:t>
      </w:r>
      <w:r>
        <w:rPr>
          <w:rFonts w:cs="Arial"/>
        </w:rPr>
        <w:t>-year period ($400 in Year 1 and $200 in Y</w:t>
      </w:r>
      <w:r w:rsidRPr="009E539D">
        <w:rPr>
          <w:rFonts w:cs="Arial"/>
        </w:rPr>
        <w:t>ears 2</w:t>
      </w:r>
      <w:r>
        <w:rPr>
          <w:rFonts w:cs="Arial"/>
        </w:rPr>
        <w:t>–</w:t>
      </w:r>
      <w:r w:rsidRPr="009E539D">
        <w:rPr>
          <w:rFonts w:cs="Arial"/>
        </w:rPr>
        <w:t xml:space="preserve">5). The resubmission states the costs attributed to the quality assurance (QA) program have reduced from $420 </w:t>
      </w:r>
      <w:r>
        <w:rPr>
          <w:rFonts w:cs="Arial"/>
        </w:rPr>
        <w:t>in</w:t>
      </w:r>
      <w:r w:rsidRPr="009E539D">
        <w:rPr>
          <w:rFonts w:cs="Arial"/>
        </w:rPr>
        <w:t xml:space="preserve"> the original submission to $330 based on updated costs for enrolment in</w:t>
      </w:r>
      <w:r>
        <w:rPr>
          <w:rFonts w:cs="Arial"/>
        </w:rPr>
        <w:t xml:space="preserve"> a</w:t>
      </w:r>
      <w:r w:rsidRPr="009E539D">
        <w:rPr>
          <w:rFonts w:cs="Arial"/>
        </w:rPr>
        <w:t xml:space="preserve"> </w:t>
      </w:r>
      <w:proofErr w:type="spellStart"/>
      <w:r w:rsidRPr="009E539D">
        <w:rPr>
          <w:rFonts w:cs="Arial"/>
        </w:rPr>
        <w:t>PoC</w:t>
      </w:r>
      <w:proofErr w:type="spellEnd"/>
      <w:r>
        <w:rPr>
          <w:rFonts w:cs="Arial"/>
        </w:rPr>
        <w:t xml:space="preserve"> testing </w:t>
      </w:r>
      <w:r w:rsidRPr="009E539D">
        <w:rPr>
          <w:rFonts w:cs="Arial"/>
        </w:rPr>
        <w:t xml:space="preserve">QA program. There is no indication </w:t>
      </w:r>
      <w:r>
        <w:rPr>
          <w:rFonts w:cs="Arial"/>
        </w:rPr>
        <w:t>of whether</w:t>
      </w:r>
      <w:r w:rsidRPr="009E539D">
        <w:rPr>
          <w:rFonts w:cs="Arial"/>
        </w:rPr>
        <w:t xml:space="preserve"> there are costs beyond the initial training years or ongoing QA. These costs have been incorporated into the fee</w:t>
      </w:r>
      <w:r>
        <w:rPr>
          <w:rFonts w:cs="Arial"/>
        </w:rPr>
        <w:t>;</w:t>
      </w:r>
      <w:r w:rsidRPr="009E539D">
        <w:rPr>
          <w:rFonts w:cs="Arial"/>
        </w:rPr>
        <w:t xml:space="preserve"> however</w:t>
      </w:r>
      <w:r>
        <w:rPr>
          <w:rFonts w:cs="Arial"/>
        </w:rPr>
        <w:t>,</w:t>
      </w:r>
      <w:r w:rsidRPr="009E539D">
        <w:rPr>
          <w:rFonts w:cs="Arial"/>
        </w:rPr>
        <w:t xml:space="preserve"> no data </w:t>
      </w:r>
      <w:r>
        <w:rPr>
          <w:rFonts w:cs="Arial"/>
        </w:rPr>
        <w:t xml:space="preserve">were </w:t>
      </w:r>
      <w:r w:rsidRPr="009E539D">
        <w:rPr>
          <w:rFonts w:cs="Arial"/>
        </w:rPr>
        <w:t>provided to justify these estimates.</w:t>
      </w:r>
    </w:p>
    <w:p w14:paraId="78B1589E" w14:textId="750C790A" w:rsidR="00846D51" w:rsidRDefault="00200E40" w:rsidP="000934B8">
      <w:pPr>
        <w:spacing w:before="240" w:after="240"/>
        <w:rPr>
          <w:rFonts w:cs="Arial"/>
        </w:rPr>
      </w:pPr>
      <w:r w:rsidRPr="00215FBA">
        <w:t>MSAC also noted the</w:t>
      </w:r>
      <w:r>
        <w:t xml:space="preserve"> uncertainty </w:t>
      </w:r>
      <w:r w:rsidR="00B57C9A">
        <w:t>in claimed</w:t>
      </w:r>
      <w:r w:rsidRPr="00215FBA">
        <w:t xml:space="preserve"> financial impact</w:t>
      </w:r>
      <w:r w:rsidR="008A6717">
        <w:t xml:space="preserve"> of adding </w:t>
      </w:r>
      <w:proofErr w:type="spellStart"/>
      <w:r w:rsidR="001324F9">
        <w:t>PoC</w:t>
      </w:r>
      <w:proofErr w:type="spellEnd"/>
      <w:r w:rsidR="001324F9">
        <w:t xml:space="preserve"> H</w:t>
      </w:r>
      <w:r w:rsidR="00EC28F2">
        <w:t>b</w:t>
      </w:r>
      <w:r w:rsidR="001324F9">
        <w:t>A1c test</w:t>
      </w:r>
      <w:r w:rsidR="008A6717">
        <w:t>ing</w:t>
      </w:r>
      <w:r w:rsidR="001324F9">
        <w:t xml:space="preserve"> to the MBS</w:t>
      </w:r>
      <w:r>
        <w:t>.</w:t>
      </w:r>
      <w:r w:rsidRPr="00215FBA">
        <w:t xml:space="preserve"> </w:t>
      </w:r>
      <w:r w:rsidRPr="001E5D74">
        <w:rPr>
          <w:rFonts w:cs="Arial"/>
        </w:rPr>
        <w:t>There are no data to support the</w:t>
      </w:r>
      <w:r w:rsidR="001324F9">
        <w:rPr>
          <w:rFonts w:cs="Arial"/>
        </w:rPr>
        <w:t xml:space="preserve"> claim that </w:t>
      </w:r>
      <w:r w:rsidRPr="001E5D74">
        <w:rPr>
          <w:rFonts w:cs="Arial"/>
        </w:rPr>
        <w:t xml:space="preserve">5% </w:t>
      </w:r>
      <w:r w:rsidR="00AB2662">
        <w:rPr>
          <w:rFonts w:cs="Arial"/>
        </w:rPr>
        <w:t xml:space="preserve">of </w:t>
      </w:r>
      <w:proofErr w:type="spellStart"/>
      <w:r w:rsidR="00AB2662">
        <w:rPr>
          <w:rFonts w:cs="Arial"/>
        </w:rPr>
        <w:t>unconed</w:t>
      </w:r>
      <w:proofErr w:type="spellEnd"/>
      <w:r w:rsidR="00AB2662">
        <w:rPr>
          <w:rFonts w:cs="Arial"/>
        </w:rPr>
        <w:t xml:space="preserve"> laboratory HbA1c tests</w:t>
      </w:r>
      <w:r w:rsidR="001324F9">
        <w:rPr>
          <w:rFonts w:cs="Arial"/>
        </w:rPr>
        <w:t xml:space="preserve"> will be replaced with </w:t>
      </w:r>
      <w:proofErr w:type="spellStart"/>
      <w:r w:rsidR="001324F9">
        <w:rPr>
          <w:rFonts w:cs="Arial"/>
        </w:rPr>
        <w:t>PoC</w:t>
      </w:r>
      <w:proofErr w:type="spellEnd"/>
      <w:r w:rsidR="001324F9">
        <w:rPr>
          <w:rFonts w:cs="Arial"/>
        </w:rPr>
        <w:t xml:space="preserve"> tests</w:t>
      </w:r>
      <w:r w:rsidR="00AB2662">
        <w:rPr>
          <w:rFonts w:cs="Arial"/>
        </w:rPr>
        <w:t xml:space="preserve"> </w:t>
      </w:r>
      <w:r w:rsidRPr="001E5D74">
        <w:rPr>
          <w:rFonts w:cs="Arial"/>
        </w:rPr>
        <w:t>after 5 years. In additi</w:t>
      </w:r>
      <w:r w:rsidR="005C7F8E">
        <w:rPr>
          <w:rFonts w:cs="Arial"/>
        </w:rPr>
        <w:t xml:space="preserve">on, the amortisation costs were </w:t>
      </w:r>
      <w:r w:rsidRPr="001E5D74">
        <w:rPr>
          <w:rFonts w:cs="Arial"/>
        </w:rPr>
        <w:t xml:space="preserve">calculated based on the machine being used </w:t>
      </w:r>
      <w:r>
        <w:rPr>
          <w:rFonts w:cs="Arial"/>
        </w:rPr>
        <w:t>six</w:t>
      </w:r>
      <w:r w:rsidRPr="001E5D74">
        <w:rPr>
          <w:rFonts w:cs="Arial"/>
        </w:rPr>
        <w:t> times</w:t>
      </w:r>
      <w:r>
        <w:rPr>
          <w:rFonts w:cs="Arial"/>
        </w:rPr>
        <w:t xml:space="preserve"> per </w:t>
      </w:r>
      <w:r w:rsidRPr="001E5D74">
        <w:rPr>
          <w:rFonts w:cs="Arial"/>
        </w:rPr>
        <w:t xml:space="preserve">week, but most machines will be used by group practices, not by an individual GP, and therefore </w:t>
      </w:r>
      <w:r w:rsidR="00270974">
        <w:rPr>
          <w:rFonts w:cs="Arial"/>
        </w:rPr>
        <w:t>may well</w:t>
      </w:r>
      <w:r w:rsidRPr="001E5D74">
        <w:rPr>
          <w:rFonts w:cs="Arial"/>
        </w:rPr>
        <w:t xml:space="preserve"> be used more often.</w:t>
      </w:r>
    </w:p>
    <w:p w14:paraId="41ED9B9B" w14:textId="262A5363" w:rsidR="00702A0E" w:rsidRDefault="00702A0E" w:rsidP="000934B8">
      <w:pPr>
        <w:spacing w:after="240"/>
        <w:rPr>
          <w:lang w:val="de-DE"/>
        </w:rPr>
      </w:pPr>
      <w:r>
        <w:rPr>
          <w:rFonts w:cs="Arial"/>
        </w:rPr>
        <w:t>If</w:t>
      </w:r>
      <w:r w:rsidR="00AB2662">
        <w:rPr>
          <w:rFonts w:cs="Arial"/>
        </w:rPr>
        <w:t xml:space="preserve"> the assumption around </w:t>
      </w:r>
      <w:r>
        <w:rPr>
          <w:rFonts w:cs="Arial"/>
        </w:rPr>
        <w:t xml:space="preserve">practice usage (6 times per week or 350 times per year) is considered in the context of the estimated uptake rate (5% or </w:t>
      </w:r>
      <w:r>
        <w:rPr>
          <w:lang w:val="de-DE"/>
        </w:rPr>
        <w:t xml:space="preserve">103,306 tests per year), it would appear the </w:t>
      </w:r>
      <w:r w:rsidR="00846D51">
        <w:rPr>
          <w:lang w:val="de-DE"/>
        </w:rPr>
        <w:t>applicant</w:t>
      </w:r>
      <w:r>
        <w:rPr>
          <w:lang w:val="de-DE"/>
        </w:rPr>
        <w:t xml:space="preserve"> expects only around 295 medical practices will take up PoC. </w:t>
      </w:r>
      <w:r w:rsidR="00846D51">
        <w:rPr>
          <w:lang w:val="de-DE"/>
        </w:rPr>
        <w:t xml:space="preserve"> If usage per GP practice is higher, the number of practices taking up P</w:t>
      </w:r>
      <w:r w:rsidR="00EC28F2">
        <w:rPr>
          <w:lang w:val="de-DE"/>
        </w:rPr>
        <w:t>o</w:t>
      </w:r>
      <w:r w:rsidR="00846D51">
        <w:rPr>
          <w:lang w:val="de-DE"/>
        </w:rPr>
        <w:t xml:space="preserve">C would need to be </w:t>
      </w:r>
      <w:r w:rsidR="001324F9">
        <w:rPr>
          <w:lang w:val="de-DE"/>
        </w:rPr>
        <w:t xml:space="preserve">considerably </w:t>
      </w:r>
      <w:r w:rsidR="00846D51">
        <w:rPr>
          <w:lang w:val="de-DE"/>
        </w:rPr>
        <w:t xml:space="preserve">less than 295 for overall usage to remain within the 103,306 </w:t>
      </w:r>
      <w:r w:rsidR="00EC28F2">
        <w:rPr>
          <w:lang w:val="de-DE"/>
        </w:rPr>
        <w:t>PoC</w:t>
      </w:r>
      <w:r w:rsidR="00846D51">
        <w:rPr>
          <w:lang w:val="de-DE"/>
        </w:rPr>
        <w:t xml:space="preserve"> tests estimated by the submission. </w:t>
      </w:r>
      <w:r w:rsidR="001324F9">
        <w:rPr>
          <w:lang w:val="de-DE"/>
        </w:rPr>
        <w:t>Overall, MSAC considered the applicant</w:t>
      </w:r>
      <w:r w:rsidR="00EC28F2">
        <w:rPr>
          <w:lang w:val="de-DE"/>
        </w:rPr>
        <w:t>‘</w:t>
      </w:r>
      <w:r w:rsidR="001324F9">
        <w:rPr>
          <w:lang w:val="de-DE"/>
        </w:rPr>
        <w:t xml:space="preserve">s assumptions around practice usage and uptake rates to </w:t>
      </w:r>
      <w:r w:rsidR="0052140E">
        <w:rPr>
          <w:lang w:val="de-DE"/>
        </w:rPr>
        <w:t xml:space="preserve">be </w:t>
      </w:r>
      <w:r w:rsidR="001324F9">
        <w:rPr>
          <w:lang w:val="de-DE"/>
        </w:rPr>
        <w:t>poorly jusitified.</w:t>
      </w:r>
    </w:p>
    <w:p w14:paraId="16BD29F9" w14:textId="25264B62" w:rsidR="000934B8" w:rsidRDefault="00702A0E" w:rsidP="00200E40">
      <w:pPr>
        <w:rPr>
          <w:lang w:val="de-DE"/>
        </w:rPr>
      </w:pPr>
      <w:r>
        <w:rPr>
          <w:lang w:val="de-DE"/>
        </w:rPr>
        <w:t xml:space="preserve">MSAC noted that if </w:t>
      </w:r>
      <w:r w:rsidR="001324F9">
        <w:rPr>
          <w:lang w:val="de-DE"/>
        </w:rPr>
        <w:t xml:space="preserve">both </w:t>
      </w:r>
      <w:r>
        <w:rPr>
          <w:lang w:val="de-DE"/>
        </w:rPr>
        <w:t>the uptake rates for PoC H</w:t>
      </w:r>
      <w:r w:rsidR="00EC28F2">
        <w:rPr>
          <w:lang w:val="de-DE"/>
        </w:rPr>
        <w:t>b</w:t>
      </w:r>
      <w:r>
        <w:rPr>
          <w:lang w:val="de-DE"/>
        </w:rPr>
        <w:t>A1c and the number of currently coned laboratory HbA1</w:t>
      </w:r>
      <w:r w:rsidR="008A6717">
        <w:rPr>
          <w:lang w:val="de-DE"/>
        </w:rPr>
        <w:t>c</w:t>
      </w:r>
      <w:r>
        <w:rPr>
          <w:lang w:val="de-DE"/>
        </w:rPr>
        <w:t xml:space="preserve"> services are underestimated, then the inclusion of a P</w:t>
      </w:r>
      <w:r w:rsidR="00EC28F2">
        <w:rPr>
          <w:lang w:val="de-DE"/>
        </w:rPr>
        <w:t>o</w:t>
      </w:r>
      <w:r>
        <w:rPr>
          <w:lang w:val="de-DE"/>
        </w:rPr>
        <w:t xml:space="preserve">C test in the MBS </w:t>
      </w:r>
      <w:r w:rsidR="001324F9">
        <w:rPr>
          <w:lang w:val="de-DE"/>
        </w:rPr>
        <w:t>will</w:t>
      </w:r>
      <w:r>
        <w:rPr>
          <w:lang w:val="de-DE"/>
        </w:rPr>
        <w:t xml:space="preserve"> </w:t>
      </w:r>
      <w:r w:rsidR="00846D51">
        <w:rPr>
          <w:lang w:val="de-DE"/>
        </w:rPr>
        <w:t>be associated with a large additional cost.</w:t>
      </w:r>
    </w:p>
    <w:p w14:paraId="550E5E1D" w14:textId="7E80B6F4" w:rsidR="00200E40" w:rsidRPr="007E752B" w:rsidRDefault="00200E40" w:rsidP="000934B8">
      <w:pPr>
        <w:spacing w:before="240" w:after="240"/>
        <w:rPr>
          <w:rFonts w:cs="Arial"/>
        </w:rPr>
      </w:pPr>
      <w:r>
        <w:rPr>
          <w:rFonts w:cs="Arial"/>
        </w:rPr>
        <w:t>MSAC noted that o</w:t>
      </w:r>
      <w:r w:rsidRPr="007E752B">
        <w:rPr>
          <w:rFonts w:cs="Arial"/>
        </w:rPr>
        <w:t xml:space="preserve">ne of the primary issues identified in </w:t>
      </w:r>
      <w:r>
        <w:rPr>
          <w:rFonts w:cs="Arial"/>
        </w:rPr>
        <w:t xml:space="preserve">the original application </w:t>
      </w:r>
      <w:r w:rsidRPr="007E752B">
        <w:rPr>
          <w:rFonts w:cs="Arial"/>
        </w:rPr>
        <w:t xml:space="preserve">was the lack of a quality framework for </w:t>
      </w:r>
      <w:proofErr w:type="spellStart"/>
      <w:r w:rsidRPr="007E752B">
        <w:rPr>
          <w:rFonts w:cs="Arial"/>
        </w:rPr>
        <w:t>PoC</w:t>
      </w:r>
      <w:proofErr w:type="spellEnd"/>
      <w:r>
        <w:rPr>
          <w:rFonts w:cs="Arial"/>
        </w:rPr>
        <w:t xml:space="preserve"> testing</w:t>
      </w:r>
      <w:r w:rsidRPr="007E752B">
        <w:rPr>
          <w:rFonts w:cs="Arial"/>
        </w:rPr>
        <w:t xml:space="preserve"> </w:t>
      </w:r>
      <w:r>
        <w:rPr>
          <w:rFonts w:cs="Arial"/>
        </w:rPr>
        <w:t xml:space="preserve">on which </w:t>
      </w:r>
      <w:r w:rsidRPr="007E752B">
        <w:rPr>
          <w:rFonts w:cs="Arial"/>
        </w:rPr>
        <w:t>accreditation</w:t>
      </w:r>
      <w:r>
        <w:rPr>
          <w:rFonts w:cs="Arial"/>
        </w:rPr>
        <w:t xml:space="preserve"> could be based</w:t>
      </w:r>
      <w:r w:rsidRPr="007E752B">
        <w:rPr>
          <w:rFonts w:cs="Arial"/>
        </w:rPr>
        <w:t xml:space="preserve">. </w:t>
      </w:r>
      <w:r>
        <w:rPr>
          <w:rFonts w:cs="Arial"/>
        </w:rPr>
        <w:t>The resubmission</w:t>
      </w:r>
      <w:r w:rsidRPr="007E752B">
        <w:rPr>
          <w:rFonts w:cs="Arial"/>
        </w:rPr>
        <w:t xml:space="preserve"> proposes using the </w:t>
      </w:r>
      <w:r w:rsidRPr="002A2543">
        <w:rPr>
          <w:rFonts w:cs="Arial"/>
        </w:rPr>
        <w:t xml:space="preserve">Royal Australian College of General Practitioners </w:t>
      </w:r>
      <w:r>
        <w:rPr>
          <w:rFonts w:cs="Arial"/>
        </w:rPr>
        <w:t>(</w:t>
      </w:r>
      <w:r w:rsidRPr="007E752B">
        <w:rPr>
          <w:rFonts w:cs="Arial"/>
        </w:rPr>
        <w:t>RACGP</w:t>
      </w:r>
      <w:r>
        <w:rPr>
          <w:rFonts w:cs="Arial"/>
        </w:rPr>
        <w:t>)</w:t>
      </w:r>
      <w:r w:rsidRPr="007E752B">
        <w:rPr>
          <w:rFonts w:cs="Arial"/>
        </w:rPr>
        <w:t xml:space="preserve"> </w:t>
      </w:r>
      <w:proofErr w:type="spellStart"/>
      <w:r w:rsidRPr="007E752B">
        <w:rPr>
          <w:rFonts w:cs="Arial"/>
        </w:rPr>
        <w:t>PoC</w:t>
      </w:r>
      <w:proofErr w:type="spellEnd"/>
      <w:r>
        <w:rPr>
          <w:rFonts w:cs="Arial"/>
        </w:rPr>
        <w:t xml:space="preserve"> testing </w:t>
      </w:r>
      <w:r w:rsidRPr="007E752B">
        <w:rPr>
          <w:rFonts w:cs="Arial"/>
        </w:rPr>
        <w:t>standards that were published in October 2018.</w:t>
      </w:r>
      <w:r>
        <w:rPr>
          <w:rFonts w:cs="Arial"/>
        </w:rPr>
        <w:t xml:space="preserve"> This is a </w:t>
      </w:r>
      <w:r w:rsidRPr="007E752B">
        <w:rPr>
          <w:rFonts w:cs="Arial"/>
        </w:rPr>
        <w:t xml:space="preserve">voluntary accreditation </w:t>
      </w:r>
      <w:r w:rsidRPr="007E752B">
        <w:rPr>
          <w:rFonts w:cs="Arial"/>
        </w:rPr>
        <w:lastRenderedPageBreak/>
        <w:t xml:space="preserve">module that medical practices can seek to be accredited to in addition to the main GP accreditation standards. Although ESC </w:t>
      </w:r>
      <w:r>
        <w:rPr>
          <w:rFonts w:cs="Arial"/>
        </w:rPr>
        <w:t xml:space="preserve">(at its meeting in February 2019) </w:t>
      </w:r>
      <w:r w:rsidRPr="007E752B">
        <w:rPr>
          <w:rFonts w:cs="Arial"/>
        </w:rPr>
        <w:t xml:space="preserve">indicated that they considered the RACGP </w:t>
      </w:r>
      <w:proofErr w:type="spellStart"/>
      <w:r w:rsidRPr="007E752B">
        <w:rPr>
          <w:rFonts w:cs="Arial"/>
        </w:rPr>
        <w:t>PoC</w:t>
      </w:r>
      <w:proofErr w:type="spellEnd"/>
      <w:r>
        <w:rPr>
          <w:rFonts w:cs="Arial"/>
        </w:rPr>
        <w:t xml:space="preserve"> testing </w:t>
      </w:r>
      <w:r w:rsidRPr="007E752B">
        <w:rPr>
          <w:rFonts w:cs="Arial"/>
        </w:rPr>
        <w:t xml:space="preserve">standards </w:t>
      </w:r>
      <w:r>
        <w:rPr>
          <w:rFonts w:cs="Arial"/>
        </w:rPr>
        <w:t>to be</w:t>
      </w:r>
      <w:r w:rsidRPr="007E752B">
        <w:rPr>
          <w:rFonts w:cs="Arial"/>
        </w:rPr>
        <w:t xml:space="preserve"> appropriate, </w:t>
      </w:r>
      <w:r w:rsidR="00AB2662">
        <w:rPr>
          <w:rFonts w:cs="Arial"/>
        </w:rPr>
        <w:t xml:space="preserve">MSAC </w:t>
      </w:r>
      <w:r w:rsidRPr="007E752B">
        <w:rPr>
          <w:rFonts w:cs="Arial"/>
        </w:rPr>
        <w:t xml:space="preserve">recommended that further consultation be </w:t>
      </w:r>
      <w:r w:rsidR="008A6717">
        <w:rPr>
          <w:rFonts w:cs="Arial"/>
        </w:rPr>
        <w:t>under</w:t>
      </w:r>
      <w:r w:rsidRPr="007E752B">
        <w:rPr>
          <w:rFonts w:cs="Arial"/>
        </w:rPr>
        <w:t xml:space="preserve">taken to gain insight into how the standards are being used. Since the publication of the RACGP standards in October 2018, there has yet to be a medical practice seek accreditation </w:t>
      </w:r>
      <w:r w:rsidR="0052140E">
        <w:rPr>
          <w:rFonts w:cs="Arial"/>
        </w:rPr>
        <w:t>under</w:t>
      </w:r>
      <w:r w:rsidR="0052140E" w:rsidRPr="007E752B">
        <w:rPr>
          <w:rFonts w:cs="Arial"/>
        </w:rPr>
        <w:t xml:space="preserve"> </w:t>
      </w:r>
      <w:r w:rsidRPr="007E752B">
        <w:rPr>
          <w:rFonts w:cs="Arial"/>
        </w:rPr>
        <w:t xml:space="preserve">the standards. </w:t>
      </w:r>
      <w:r>
        <w:rPr>
          <w:rFonts w:cs="Arial"/>
        </w:rPr>
        <w:t xml:space="preserve">However, </w:t>
      </w:r>
      <w:r w:rsidRPr="007E752B">
        <w:rPr>
          <w:rFonts w:cs="Arial"/>
        </w:rPr>
        <w:t>MSAC</w:t>
      </w:r>
      <w:r>
        <w:rPr>
          <w:rFonts w:cs="Arial"/>
        </w:rPr>
        <w:t xml:space="preserve"> support for this application</w:t>
      </w:r>
      <w:r w:rsidRPr="007E752B">
        <w:rPr>
          <w:rFonts w:cs="Arial"/>
        </w:rPr>
        <w:t xml:space="preserve"> may incentiv</w:t>
      </w:r>
      <w:r>
        <w:rPr>
          <w:rFonts w:cs="Arial"/>
        </w:rPr>
        <w:t>ise</w:t>
      </w:r>
      <w:r w:rsidRPr="007E752B">
        <w:rPr>
          <w:rFonts w:cs="Arial"/>
        </w:rPr>
        <w:t xml:space="preserve"> medical practices to seek accreditation to the RACGP </w:t>
      </w:r>
      <w:proofErr w:type="spellStart"/>
      <w:r w:rsidRPr="007E752B">
        <w:rPr>
          <w:rFonts w:cs="Arial"/>
        </w:rPr>
        <w:t>PoC</w:t>
      </w:r>
      <w:proofErr w:type="spellEnd"/>
      <w:r>
        <w:rPr>
          <w:rFonts w:cs="Arial"/>
        </w:rPr>
        <w:t xml:space="preserve"> testing</w:t>
      </w:r>
      <w:r w:rsidRPr="007E752B">
        <w:rPr>
          <w:rFonts w:cs="Arial"/>
        </w:rPr>
        <w:t xml:space="preserve"> standard.</w:t>
      </w:r>
    </w:p>
    <w:p w14:paraId="063A2C9B" w14:textId="693D5799" w:rsidR="00200E40" w:rsidRPr="000934B8" w:rsidRDefault="00200E40" w:rsidP="000934B8">
      <w:pPr>
        <w:spacing w:after="240"/>
      </w:pPr>
      <w:r>
        <w:rPr>
          <w:rFonts w:cs="Arial"/>
        </w:rPr>
        <w:t xml:space="preserve">MSAC also noted that the </w:t>
      </w:r>
      <w:r w:rsidRPr="002A2543">
        <w:rPr>
          <w:rFonts w:cs="Arial"/>
        </w:rPr>
        <w:t>National Pathology Accreditation Advisory Council</w:t>
      </w:r>
      <w:r>
        <w:rPr>
          <w:rFonts w:cs="Arial"/>
        </w:rPr>
        <w:t xml:space="preserve"> (NPAAC)</w:t>
      </w:r>
      <w:r w:rsidRPr="007E752B">
        <w:rPr>
          <w:rFonts w:cs="Arial"/>
        </w:rPr>
        <w:t xml:space="preserve"> published </w:t>
      </w:r>
      <w:r>
        <w:rPr>
          <w:rFonts w:cs="Arial"/>
        </w:rPr>
        <w:t>its own</w:t>
      </w:r>
      <w:r w:rsidRPr="007E752B">
        <w:rPr>
          <w:rFonts w:cs="Arial"/>
        </w:rPr>
        <w:t xml:space="preserve"> </w:t>
      </w:r>
      <w:r w:rsidRPr="00673708">
        <w:rPr>
          <w:rFonts w:cs="Arial"/>
          <w:i/>
        </w:rPr>
        <w:t>Guidelines for point of care testing</w:t>
      </w:r>
      <w:r>
        <w:rPr>
          <w:rFonts w:cs="Arial"/>
        </w:rPr>
        <w:t>,</w:t>
      </w:r>
      <w:r w:rsidRPr="007E752B">
        <w:rPr>
          <w:rFonts w:cs="Arial"/>
        </w:rPr>
        <w:t xml:space="preserve"> </w:t>
      </w:r>
      <w:r>
        <w:rPr>
          <w:rFonts w:cs="Arial"/>
        </w:rPr>
        <w:t xml:space="preserve">in </w:t>
      </w:r>
      <w:r w:rsidRPr="007E752B">
        <w:rPr>
          <w:rFonts w:cs="Arial"/>
        </w:rPr>
        <w:t>2015</w:t>
      </w:r>
      <w:r>
        <w:rPr>
          <w:rFonts w:cs="Arial"/>
        </w:rPr>
        <w:t>,</w:t>
      </w:r>
      <w:r w:rsidRPr="007E752B">
        <w:rPr>
          <w:rFonts w:cs="Arial"/>
        </w:rPr>
        <w:t xml:space="preserve"> for users of </w:t>
      </w:r>
      <w:proofErr w:type="spellStart"/>
      <w:r w:rsidRPr="007E752B">
        <w:rPr>
          <w:rFonts w:cs="Arial"/>
        </w:rPr>
        <w:t>PoC</w:t>
      </w:r>
      <w:proofErr w:type="spellEnd"/>
      <w:r>
        <w:rPr>
          <w:rFonts w:cs="Arial"/>
        </w:rPr>
        <w:t xml:space="preserve"> testing </w:t>
      </w:r>
      <w:r w:rsidR="008A6717">
        <w:rPr>
          <w:rFonts w:cs="Arial"/>
        </w:rPr>
        <w:t>in both laboratory</w:t>
      </w:r>
      <w:r w:rsidRPr="007E752B">
        <w:rPr>
          <w:rFonts w:cs="Arial"/>
        </w:rPr>
        <w:t xml:space="preserve"> and non-laboratory settings</w:t>
      </w:r>
      <w:r>
        <w:rPr>
          <w:rFonts w:cs="Arial"/>
        </w:rPr>
        <w:t xml:space="preserve">. NPAAC </w:t>
      </w:r>
      <w:r w:rsidRPr="007E752B">
        <w:rPr>
          <w:rFonts w:cs="Arial"/>
        </w:rPr>
        <w:t xml:space="preserve">recently </w:t>
      </w:r>
      <w:r>
        <w:rPr>
          <w:rFonts w:cs="Arial"/>
        </w:rPr>
        <w:t>started</w:t>
      </w:r>
      <w:r w:rsidRPr="007E752B">
        <w:rPr>
          <w:rFonts w:cs="Arial"/>
        </w:rPr>
        <w:t xml:space="preserve"> a review of </w:t>
      </w:r>
      <w:r>
        <w:rPr>
          <w:rFonts w:cs="Arial"/>
        </w:rPr>
        <w:t>these</w:t>
      </w:r>
      <w:r w:rsidR="00270974">
        <w:rPr>
          <w:rFonts w:cs="Arial"/>
        </w:rPr>
        <w:t xml:space="preserve"> guidelines</w:t>
      </w:r>
      <w:r>
        <w:rPr>
          <w:rFonts w:cs="Arial"/>
        </w:rPr>
        <w:t>,</w:t>
      </w:r>
      <w:r w:rsidRPr="007E752B">
        <w:rPr>
          <w:rFonts w:cs="Arial"/>
        </w:rPr>
        <w:t xml:space="preserve"> with the </w:t>
      </w:r>
      <w:r>
        <w:rPr>
          <w:rFonts w:cs="Arial"/>
        </w:rPr>
        <w:t>aim</w:t>
      </w:r>
      <w:r w:rsidRPr="007E752B">
        <w:rPr>
          <w:rFonts w:cs="Arial"/>
        </w:rPr>
        <w:t xml:space="preserve"> of revising them into accreditation standards that can be used </w:t>
      </w:r>
      <w:r>
        <w:rPr>
          <w:rFonts w:cs="Arial"/>
        </w:rPr>
        <w:t>to assess</w:t>
      </w:r>
      <w:r w:rsidRPr="007E752B">
        <w:rPr>
          <w:rFonts w:cs="Arial"/>
        </w:rPr>
        <w:t xml:space="preserve"> laboratories that use </w:t>
      </w:r>
      <w:proofErr w:type="spellStart"/>
      <w:r w:rsidRPr="007E752B">
        <w:rPr>
          <w:rFonts w:cs="Arial"/>
        </w:rPr>
        <w:t>PoC</w:t>
      </w:r>
      <w:proofErr w:type="spellEnd"/>
      <w:r>
        <w:rPr>
          <w:rFonts w:cs="Arial"/>
        </w:rPr>
        <w:t xml:space="preserve"> testing </w:t>
      </w:r>
      <w:r w:rsidRPr="007E752B">
        <w:rPr>
          <w:rFonts w:cs="Arial"/>
        </w:rPr>
        <w:t>devices</w:t>
      </w:r>
      <w:r>
        <w:rPr>
          <w:rFonts w:cs="Arial"/>
        </w:rPr>
        <w:t xml:space="preserve">. </w:t>
      </w:r>
      <w:r w:rsidR="00270974">
        <w:rPr>
          <w:rFonts w:cs="Arial"/>
        </w:rPr>
        <w:t>NPAAC has advised that t</w:t>
      </w:r>
      <w:r>
        <w:rPr>
          <w:rFonts w:cs="Arial"/>
        </w:rPr>
        <w:t>he guidelines could also</w:t>
      </w:r>
      <w:r w:rsidRPr="007E752B">
        <w:rPr>
          <w:rFonts w:cs="Arial"/>
        </w:rPr>
        <w:t xml:space="preserve"> provide a model for minimum best practice standards for the use of </w:t>
      </w:r>
      <w:proofErr w:type="spellStart"/>
      <w:r w:rsidRPr="007E752B">
        <w:rPr>
          <w:rFonts w:cs="Arial"/>
        </w:rPr>
        <w:t>PoC</w:t>
      </w:r>
      <w:proofErr w:type="spellEnd"/>
      <w:r>
        <w:rPr>
          <w:rFonts w:cs="Arial"/>
        </w:rPr>
        <w:t xml:space="preserve"> testing</w:t>
      </w:r>
      <w:r w:rsidRPr="007E752B">
        <w:rPr>
          <w:rFonts w:cs="Arial"/>
        </w:rPr>
        <w:t xml:space="preserve"> devices </w:t>
      </w:r>
      <w:r>
        <w:rPr>
          <w:rFonts w:cs="Arial"/>
        </w:rPr>
        <w:t>in</w:t>
      </w:r>
      <w:r w:rsidRPr="007E752B">
        <w:rPr>
          <w:rFonts w:cs="Arial"/>
        </w:rPr>
        <w:t xml:space="preserve"> other health</w:t>
      </w:r>
      <w:r>
        <w:rPr>
          <w:rFonts w:cs="Arial"/>
        </w:rPr>
        <w:t xml:space="preserve"> </w:t>
      </w:r>
      <w:r w:rsidRPr="007E752B">
        <w:rPr>
          <w:rFonts w:cs="Arial"/>
        </w:rPr>
        <w:t xml:space="preserve">care settings. </w:t>
      </w:r>
      <w:r>
        <w:rPr>
          <w:rFonts w:cs="Arial"/>
        </w:rPr>
        <w:t xml:space="preserve">MSAC questioned whether there should be two separate accreditation standards and </w:t>
      </w:r>
      <w:r w:rsidR="005C7F8E">
        <w:rPr>
          <w:rFonts w:cs="Arial"/>
        </w:rPr>
        <w:t>supports the view</w:t>
      </w:r>
      <w:r>
        <w:rPr>
          <w:rFonts w:cs="Arial"/>
        </w:rPr>
        <w:t xml:space="preserve"> that a single </w:t>
      </w:r>
      <w:r w:rsidR="00270974">
        <w:rPr>
          <w:rFonts w:cs="Arial"/>
        </w:rPr>
        <w:t xml:space="preserve">set of </w:t>
      </w:r>
      <w:r>
        <w:rPr>
          <w:rFonts w:cs="Arial"/>
        </w:rPr>
        <w:t>standard</w:t>
      </w:r>
      <w:r w:rsidR="00270974">
        <w:rPr>
          <w:rFonts w:cs="Arial"/>
        </w:rPr>
        <w:t>s</w:t>
      </w:r>
      <w:r>
        <w:rPr>
          <w:rFonts w:cs="Arial"/>
        </w:rPr>
        <w:t xml:space="preserve"> would be preferable. </w:t>
      </w:r>
      <w:r w:rsidR="00270974">
        <w:rPr>
          <w:rFonts w:cs="Arial"/>
        </w:rPr>
        <w:t>NPAAC advised and MSAC noted that the accrediting body need not be the same across the system. This function is currently undert</w:t>
      </w:r>
      <w:r w:rsidR="005C7F8E">
        <w:rPr>
          <w:rFonts w:cs="Arial"/>
        </w:rPr>
        <w:t xml:space="preserve">aken by NATA for the pathology </w:t>
      </w:r>
      <w:r w:rsidR="00270974">
        <w:rPr>
          <w:rFonts w:cs="Arial"/>
        </w:rPr>
        <w:t>sector</w:t>
      </w:r>
      <w:r w:rsidR="000934B8">
        <w:t>.</w:t>
      </w:r>
    </w:p>
    <w:p w14:paraId="56A16634" w14:textId="1C7EBDD5" w:rsidR="000934B8" w:rsidRDefault="00200E40">
      <w:pPr>
        <w:rPr>
          <w:rFonts w:cs="Arial"/>
        </w:rPr>
      </w:pPr>
      <w:r>
        <w:rPr>
          <w:rFonts w:cs="Arial"/>
        </w:rPr>
        <w:t xml:space="preserve">MSAC noted that </w:t>
      </w:r>
      <w:r w:rsidRPr="007E752B">
        <w:rPr>
          <w:rFonts w:cs="Arial"/>
        </w:rPr>
        <w:t xml:space="preserve">the Department has recently engaged a consultant to undertake an independent mapping analysis of the pathology quality standards and RACGP standards, in addition to some further exploration and analysis of </w:t>
      </w:r>
      <w:proofErr w:type="spellStart"/>
      <w:r w:rsidRPr="007E752B">
        <w:rPr>
          <w:rFonts w:cs="Arial"/>
        </w:rPr>
        <w:t>PoC</w:t>
      </w:r>
      <w:proofErr w:type="spellEnd"/>
      <w:r>
        <w:rPr>
          <w:rFonts w:cs="Arial"/>
        </w:rPr>
        <w:t xml:space="preserve"> testing </w:t>
      </w:r>
      <w:r w:rsidRPr="007E752B">
        <w:rPr>
          <w:rFonts w:cs="Arial"/>
        </w:rPr>
        <w:t>in laboratory and non-laboratory health</w:t>
      </w:r>
      <w:r>
        <w:rPr>
          <w:rFonts w:cs="Arial"/>
        </w:rPr>
        <w:t xml:space="preserve"> </w:t>
      </w:r>
      <w:r w:rsidRPr="007E752B">
        <w:rPr>
          <w:rFonts w:cs="Arial"/>
        </w:rPr>
        <w:t>care settings, which is expected to inform the Department’s policy consideration</w:t>
      </w:r>
      <w:r>
        <w:rPr>
          <w:rFonts w:cs="Arial"/>
        </w:rPr>
        <w:t xml:space="preserve">. In addition, </w:t>
      </w:r>
      <w:r w:rsidRPr="007E752B">
        <w:rPr>
          <w:rFonts w:cs="Arial"/>
        </w:rPr>
        <w:t>there are different costs associated with accreditation assessments of pathology laboratories as opposed to medical practices, which can be attributed</w:t>
      </w:r>
      <w:r>
        <w:rPr>
          <w:rFonts w:cs="Arial"/>
        </w:rPr>
        <w:t>,</w:t>
      </w:r>
      <w:r w:rsidRPr="007E752B">
        <w:rPr>
          <w:rFonts w:cs="Arial"/>
        </w:rPr>
        <w:t xml:space="preserve"> in part</w:t>
      </w:r>
      <w:r>
        <w:rPr>
          <w:rFonts w:cs="Arial"/>
        </w:rPr>
        <w:t>,</w:t>
      </w:r>
      <w:r w:rsidRPr="007E752B">
        <w:rPr>
          <w:rFonts w:cs="Arial"/>
        </w:rPr>
        <w:t xml:space="preserve"> </w:t>
      </w:r>
      <w:r w:rsidR="00EC28F2" w:rsidRPr="007E752B">
        <w:rPr>
          <w:rFonts w:cs="Arial"/>
        </w:rPr>
        <w:t xml:space="preserve">to </w:t>
      </w:r>
      <w:r w:rsidRPr="007E752B">
        <w:rPr>
          <w:rFonts w:cs="Arial"/>
        </w:rPr>
        <w:t xml:space="preserve">the number of recognised accreditation assessment bodies. This is an issue related to </w:t>
      </w:r>
      <w:proofErr w:type="spellStart"/>
      <w:r w:rsidRPr="007E752B">
        <w:rPr>
          <w:rFonts w:cs="Arial"/>
        </w:rPr>
        <w:t>PoC</w:t>
      </w:r>
      <w:proofErr w:type="spellEnd"/>
      <w:r>
        <w:rPr>
          <w:rFonts w:cs="Arial"/>
        </w:rPr>
        <w:t xml:space="preserve"> testing </w:t>
      </w:r>
      <w:r w:rsidRPr="007E752B">
        <w:rPr>
          <w:rFonts w:cs="Arial"/>
        </w:rPr>
        <w:t>that is under consideration by the Department.</w:t>
      </w:r>
    </w:p>
    <w:p w14:paraId="3527E138" w14:textId="77777777" w:rsidR="00BC1364" w:rsidRDefault="00BC1364" w:rsidP="00F715D1">
      <w:pPr>
        <w:pStyle w:val="Heading1"/>
      </w:pPr>
      <w:r w:rsidRPr="00F715D1">
        <w:t>Background</w:t>
      </w:r>
    </w:p>
    <w:p w14:paraId="0BA53ADC" w14:textId="77777777" w:rsidR="005C7F8E" w:rsidRDefault="00031241" w:rsidP="00031241">
      <w:r>
        <w:t xml:space="preserve">This is the first resubmission of Application 1431. </w:t>
      </w:r>
    </w:p>
    <w:p w14:paraId="55F7DF4F" w14:textId="0FEB5923" w:rsidR="00031241" w:rsidRDefault="00031241" w:rsidP="005C7F8E">
      <w:pPr>
        <w:spacing w:before="240"/>
      </w:pPr>
      <w:r>
        <w:t>At its July 2017 meeting, MSAC:</w:t>
      </w:r>
    </w:p>
    <w:p w14:paraId="213EBBDC" w14:textId="77777777" w:rsidR="00031241" w:rsidRDefault="00031241" w:rsidP="00031241">
      <w:pPr>
        <w:pStyle w:val="ListParagraph"/>
        <w:numPr>
          <w:ilvl w:val="0"/>
          <w:numId w:val="28"/>
        </w:numPr>
      </w:pPr>
      <w:r>
        <w:t>d</w:t>
      </w:r>
      <w:r w:rsidRPr="00B82B87">
        <w:t>eferred its advice for the monitoring of glycaemic management in patients with established diabetes (including in pregnancy) [1431 Public Summary Document (PSD) 2017, pp2-3]; and</w:t>
      </w:r>
    </w:p>
    <w:p w14:paraId="7EB99872" w14:textId="77777777" w:rsidR="00031241" w:rsidRDefault="00031241" w:rsidP="00031241">
      <w:pPr>
        <w:pStyle w:val="ListParagraph"/>
        <w:numPr>
          <w:ilvl w:val="0"/>
          <w:numId w:val="28"/>
        </w:numPr>
      </w:pPr>
      <w:r w:rsidRPr="00B82B87">
        <w:t xml:space="preserve">did not support public funding for HbA1c </w:t>
      </w:r>
      <w:proofErr w:type="spellStart"/>
      <w:r w:rsidRPr="00B82B87">
        <w:t>PoC</w:t>
      </w:r>
      <w:proofErr w:type="spellEnd"/>
      <w:r w:rsidRPr="00B82B87">
        <w:t xml:space="preserve"> testing for the diagnosis of diabetes based on insufficient evidence demonstrating accuracy in terms of analytical or clinical validity for diagnostic purposes [1431 PSD 2017, p1]. </w:t>
      </w:r>
    </w:p>
    <w:p w14:paraId="311A5017" w14:textId="44C63183" w:rsidR="00031241" w:rsidRDefault="00031241" w:rsidP="005C7F8E">
      <w:pPr>
        <w:spacing w:before="240"/>
      </w:pPr>
      <w:r w:rsidRPr="00B82B87">
        <w:t xml:space="preserve">The MSAC also noted that the application presented limited information on the use of HbA1c </w:t>
      </w:r>
      <w:proofErr w:type="spellStart"/>
      <w:r w:rsidRPr="00B82B87">
        <w:t>PoC</w:t>
      </w:r>
      <w:proofErr w:type="spellEnd"/>
      <w:r w:rsidRPr="00B82B87">
        <w:t xml:space="preserve"> testing for the diagnosis of diabetes, and no evidence for the use of HbA1c </w:t>
      </w:r>
      <w:proofErr w:type="spellStart"/>
      <w:r w:rsidRPr="00B82B87">
        <w:t>PoC</w:t>
      </w:r>
      <w:proofErr w:type="spellEnd"/>
      <w:r w:rsidRPr="00B82B87">
        <w:t xml:space="preserve"> testing in pregnant women with established diabetes [1431 PSD 2017, p2].</w:t>
      </w:r>
    </w:p>
    <w:p w14:paraId="0266547F" w14:textId="769D1192" w:rsidR="005C7F8E" w:rsidRPr="00031241" w:rsidRDefault="005C7F8E" w:rsidP="005C7F8E">
      <w:pPr>
        <w:spacing w:before="240"/>
      </w:pPr>
      <w:r>
        <w:t>Further information is available in the Public Summary Document on the MSAC website.</w:t>
      </w:r>
    </w:p>
    <w:p w14:paraId="597F53CD" w14:textId="77777777" w:rsidR="00BC1364" w:rsidRDefault="00BC1364" w:rsidP="00F715D1">
      <w:pPr>
        <w:pStyle w:val="Heading1"/>
      </w:pPr>
      <w:r w:rsidRPr="00F715D1">
        <w:t>Prerequisites to implementation of any funding advice</w:t>
      </w:r>
    </w:p>
    <w:p w14:paraId="26648661" w14:textId="79E34201" w:rsidR="00031241" w:rsidRDefault="00031241" w:rsidP="000934B8">
      <w:pPr>
        <w:spacing w:after="240"/>
        <w:rPr>
          <w:rFonts w:eastAsia="SimSun"/>
          <w:lang w:eastAsia="zh-CN"/>
        </w:rPr>
      </w:pPr>
      <w:r w:rsidRPr="00EC7748">
        <w:rPr>
          <w:rFonts w:eastAsia="SimSun"/>
          <w:lang w:eastAsia="zh-CN"/>
        </w:rPr>
        <w:t xml:space="preserve">HbA1c tests are Class 2 </w:t>
      </w:r>
      <w:r w:rsidRPr="00291183">
        <w:rPr>
          <w:rFonts w:eastAsia="SimSun"/>
          <w:i/>
          <w:lang w:eastAsia="zh-CN"/>
        </w:rPr>
        <w:t xml:space="preserve">in vitro </w:t>
      </w:r>
      <w:r w:rsidRPr="00291183">
        <w:rPr>
          <w:rFonts w:eastAsia="SimSun"/>
          <w:lang w:eastAsia="zh-CN"/>
        </w:rPr>
        <w:t>diagnostics</w:t>
      </w:r>
      <w:r w:rsidRPr="00291183">
        <w:rPr>
          <w:rFonts w:eastAsia="SimSun"/>
          <w:i/>
          <w:lang w:eastAsia="zh-CN"/>
        </w:rPr>
        <w:t xml:space="preserve"> </w:t>
      </w:r>
      <w:r>
        <w:rPr>
          <w:rFonts w:eastAsia="SimSun"/>
          <w:lang w:eastAsia="zh-CN"/>
        </w:rPr>
        <w:t>(IVD)</w:t>
      </w:r>
      <w:r w:rsidRPr="00EC7748">
        <w:rPr>
          <w:rFonts w:eastAsia="SimSun"/>
          <w:lang w:eastAsia="zh-CN"/>
        </w:rPr>
        <w:t xml:space="preserve"> and must be included on the Australian Register of Therapeutic Goods (ARTG) by the </w:t>
      </w:r>
      <w:r>
        <w:rPr>
          <w:rFonts w:eastAsia="SimSun"/>
          <w:lang w:eastAsia="zh-CN"/>
        </w:rPr>
        <w:t>Therapeutic Goods Administration (</w:t>
      </w:r>
      <w:r w:rsidRPr="00EC7748">
        <w:rPr>
          <w:rFonts w:eastAsia="SimSun"/>
          <w:lang w:eastAsia="zh-CN"/>
        </w:rPr>
        <w:t>TGA</w:t>
      </w:r>
      <w:r>
        <w:rPr>
          <w:rFonts w:eastAsia="SimSun"/>
          <w:lang w:eastAsia="zh-CN"/>
        </w:rPr>
        <w:t>)</w:t>
      </w:r>
      <w:r w:rsidRPr="00EC7748">
        <w:rPr>
          <w:rFonts w:eastAsia="SimSun"/>
          <w:lang w:eastAsia="zh-CN"/>
        </w:rPr>
        <w:t xml:space="preserve"> before bei</w:t>
      </w:r>
      <w:r>
        <w:rPr>
          <w:rFonts w:eastAsia="SimSun"/>
          <w:lang w:eastAsia="zh-CN"/>
        </w:rPr>
        <w:t xml:space="preserve">ng supplied in Australia. All </w:t>
      </w:r>
      <w:proofErr w:type="spellStart"/>
      <w:r>
        <w:rPr>
          <w:rFonts w:eastAsia="SimSun"/>
          <w:lang w:eastAsia="zh-CN"/>
        </w:rPr>
        <w:t>Po</w:t>
      </w:r>
      <w:r w:rsidRPr="00EC7748">
        <w:rPr>
          <w:rFonts w:eastAsia="SimSun"/>
          <w:lang w:eastAsia="zh-CN"/>
        </w:rPr>
        <w:t>C</w:t>
      </w:r>
      <w:proofErr w:type="spellEnd"/>
      <w:r w:rsidRPr="00EC7748">
        <w:rPr>
          <w:rFonts w:eastAsia="SimSun"/>
          <w:lang w:eastAsia="zh-CN"/>
        </w:rPr>
        <w:t xml:space="preserve"> test instruments undergo mandatory technical review by the TGA which assesses the test’s analytical performance and suitability for use at the point of care</w:t>
      </w:r>
      <w:r w:rsidR="000934B8">
        <w:rPr>
          <w:rFonts w:eastAsia="SimSun"/>
          <w:lang w:eastAsia="zh-CN"/>
        </w:rPr>
        <w:t>.</w:t>
      </w:r>
    </w:p>
    <w:p w14:paraId="58487831" w14:textId="26E0AF6C" w:rsidR="00031241" w:rsidRPr="005C7F8E" w:rsidRDefault="00031241" w:rsidP="00031241">
      <w:pPr>
        <w:rPr>
          <w:rFonts w:eastAsia="SimSun"/>
          <w:lang w:eastAsia="zh-CN"/>
        </w:rPr>
      </w:pPr>
      <w:r w:rsidRPr="00B27D37">
        <w:rPr>
          <w:rFonts w:eastAsia="SimSun"/>
          <w:lang w:eastAsia="zh-CN"/>
        </w:rPr>
        <w:lastRenderedPageBreak/>
        <w:t xml:space="preserve">It is proposed that accreditation to the </w:t>
      </w:r>
      <w:r>
        <w:rPr>
          <w:rFonts w:eastAsia="SimSun"/>
          <w:lang w:eastAsia="zh-CN"/>
        </w:rPr>
        <w:t>Royal Australian College of General Practitioners (</w:t>
      </w:r>
      <w:r w:rsidRPr="00B27D37">
        <w:rPr>
          <w:rFonts w:eastAsia="SimSun"/>
          <w:lang w:eastAsia="zh-CN"/>
        </w:rPr>
        <w:t>RACGP</w:t>
      </w:r>
      <w:r>
        <w:rPr>
          <w:rFonts w:eastAsia="SimSun"/>
          <w:lang w:eastAsia="zh-CN"/>
        </w:rPr>
        <w:t>)</w:t>
      </w:r>
      <w:r w:rsidRPr="00B27D37">
        <w:rPr>
          <w:rFonts w:eastAsia="SimSun"/>
          <w:lang w:eastAsia="zh-CN"/>
        </w:rPr>
        <w:t xml:space="preserve"> </w:t>
      </w:r>
      <w:proofErr w:type="spellStart"/>
      <w:r w:rsidRPr="00B27D37">
        <w:rPr>
          <w:rFonts w:eastAsia="SimSun"/>
          <w:lang w:eastAsia="zh-CN"/>
        </w:rPr>
        <w:t>PoC</w:t>
      </w:r>
      <w:proofErr w:type="spellEnd"/>
      <w:r w:rsidRPr="00B27D37">
        <w:rPr>
          <w:rFonts w:eastAsia="SimSun"/>
          <w:lang w:eastAsia="zh-CN"/>
        </w:rPr>
        <w:t xml:space="preserve"> testing Standards (requesting medical practitioner or medical practitioner’s organisation) will be required to claim the MBS item.</w:t>
      </w:r>
    </w:p>
    <w:p w14:paraId="6F37C1D8" w14:textId="77777777" w:rsidR="00BC1364" w:rsidRPr="00F715D1" w:rsidRDefault="00BC1364" w:rsidP="00F715D1">
      <w:pPr>
        <w:pStyle w:val="Heading1"/>
      </w:pPr>
      <w:r w:rsidRPr="00F715D1">
        <w:t>Proposal for public funding</w:t>
      </w:r>
    </w:p>
    <w:p w14:paraId="689670F9" w14:textId="0A65CC2D" w:rsidR="001046A1" w:rsidRDefault="00031241" w:rsidP="002537D5">
      <w:pPr>
        <w:spacing w:after="240"/>
      </w:pPr>
      <w:r>
        <w:t xml:space="preserve">The proposed </w:t>
      </w:r>
      <w:r w:rsidRPr="00183E4D">
        <w:t xml:space="preserve">MBS item descriptor </w:t>
      </w:r>
      <w:r>
        <w:t xml:space="preserve">for HbA1c </w:t>
      </w:r>
      <w:proofErr w:type="spellStart"/>
      <w:r>
        <w:t>PoC</w:t>
      </w:r>
      <w:proofErr w:type="spellEnd"/>
      <w:r>
        <w:t xml:space="preserve"> testing in the management of patients with established diabetes (with a maximum of three tes</w:t>
      </w:r>
      <w:r w:rsidR="005C7F8E">
        <w:t xml:space="preserve">ts per patient in 12 months) is </w:t>
      </w:r>
      <w:r>
        <w:t xml:space="preserve">presented in </w:t>
      </w:r>
      <w:r w:rsidR="001046A1" w:rsidRPr="00AE4BFA">
        <w:rPr>
          <w:szCs w:val="24"/>
        </w:rPr>
        <w:fldChar w:fldCharType="begin"/>
      </w:r>
      <w:r w:rsidR="001046A1" w:rsidRPr="00AE4BFA">
        <w:rPr>
          <w:szCs w:val="24"/>
        </w:rPr>
        <w:instrText xml:space="preserve"> REF _Ref10621984 \h </w:instrText>
      </w:r>
      <w:r w:rsidR="00AE4BFA" w:rsidRPr="00AE4BFA">
        <w:rPr>
          <w:szCs w:val="24"/>
        </w:rPr>
        <w:instrText xml:space="preserve"> \* MERGEFORMAT </w:instrText>
      </w:r>
      <w:r w:rsidR="001046A1" w:rsidRPr="00AE4BFA">
        <w:rPr>
          <w:szCs w:val="24"/>
        </w:rPr>
      </w:r>
      <w:r w:rsidR="001046A1" w:rsidRPr="00AE4BFA">
        <w:rPr>
          <w:szCs w:val="24"/>
        </w:rPr>
        <w:fldChar w:fldCharType="separate"/>
      </w:r>
      <w:r w:rsidR="00AE4BFA" w:rsidRPr="00AE4BFA">
        <w:rPr>
          <w:szCs w:val="24"/>
        </w:rPr>
        <w:t xml:space="preserve">Table </w:t>
      </w:r>
      <w:r w:rsidR="00AE4BFA" w:rsidRPr="00AE4BFA">
        <w:rPr>
          <w:noProof/>
          <w:szCs w:val="24"/>
        </w:rPr>
        <w:t>1</w:t>
      </w:r>
      <w:r w:rsidR="001046A1" w:rsidRPr="00AE4BFA">
        <w:rPr>
          <w:szCs w:val="24"/>
        </w:rPr>
        <w:fldChar w:fldCharType="end"/>
      </w:r>
      <w:r>
        <w:t>, with the descriptor notes</w:t>
      </w:r>
      <w:bookmarkStart w:id="0" w:name="_Ref532378246"/>
      <w:bookmarkStart w:id="1" w:name="_Toc534796345"/>
      <w:r w:rsidR="000934B8">
        <w:t xml:space="preserve"> provided below the descriptor.</w:t>
      </w:r>
    </w:p>
    <w:p w14:paraId="22FD7676" w14:textId="3CE2D23C" w:rsidR="00031241" w:rsidRPr="00995BBA" w:rsidRDefault="00031241" w:rsidP="00995BBA">
      <w:pPr>
        <w:rPr>
          <w:rFonts w:ascii="Arial Narrow" w:hAnsi="Arial Narrow"/>
          <w:b/>
          <w:sz w:val="20"/>
        </w:rPr>
      </w:pPr>
      <w:bookmarkStart w:id="2" w:name="_Ref10621984"/>
      <w:r w:rsidRPr="00995BBA">
        <w:rPr>
          <w:rFonts w:ascii="Arial Narrow" w:hAnsi="Arial Narrow"/>
          <w:b/>
          <w:sz w:val="20"/>
        </w:rPr>
        <w:t xml:space="preserve">Table </w:t>
      </w:r>
      <w:r w:rsidRPr="00995BBA">
        <w:rPr>
          <w:rFonts w:ascii="Arial Narrow" w:hAnsi="Arial Narrow"/>
          <w:b/>
          <w:sz w:val="20"/>
        </w:rPr>
        <w:fldChar w:fldCharType="begin"/>
      </w:r>
      <w:r w:rsidRPr="00995BBA">
        <w:rPr>
          <w:rFonts w:ascii="Arial Narrow" w:hAnsi="Arial Narrow"/>
          <w:b/>
          <w:sz w:val="20"/>
        </w:rPr>
        <w:instrText xml:space="preserve"> SEQ Table \* ARABIC </w:instrText>
      </w:r>
      <w:r w:rsidRPr="00995BBA">
        <w:rPr>
          <w:rFonts w:ascii="Arial Narrow" w:hAnsi="Arial Narrow"/>
          <w:b/>
          <w:sz w:val="20"/>
        </w:rPr>
        <w:fldChar w:fldCharType="separate"/>
      </w:r>
      <w:r w:rsidR="00AE4BFA">
        <w:rPr>
          <w:rFonts w:ascii="Arial Narrow" w:hAnsi="Arial Narrow"/>
          <w:b/>
          <w:noProof/>
          <w:sz w:val="20"/>
        </w:rPr>
        <w:t>1</w:t>
      </w:r>
      <w:r w:rsidRPr="00995BBA">
        <w:rPr>
          <w:rFonts w:ascii="Arial Narrow" w:hAnsi="Arial Narrow"/>
          <w:b/>
          <w:sz w:val="20"/>
        </w:rPr>
        <w:fldChar w:fldCharType="end"/>
      </w:r>
      <w:bookmarkEnd w:id="0"/>
      <w:bookmarkEnd w:id="2"/>
      <w:r w:rsidRPr="00995BBA">
        <w:rPr>
          <w:rFonts w:ascii="Arial Narrow" w:hAnsi="Arial Narrow"/>
          <w:b/>
          <w:sz w:val="20"/>
        </w:rPr>
        <w:tab/>
        <w:t xml:space="preserve">Proposed MBS item descriptor </w:t>
      </w:r>
      <w:bookmarkEnd w:id="1"/>
    </w:p>
    <w:tbl>
      <w:tblPr>
        <w:tblStyle w:val="Summarybox1"/>
        <w:tblW w:w="5000" w:type="pct"/>
        <w:tblLook w:val="04A0" w:firstRow="1" w:lastRow="0" w:firstColumn="1" w:lastColumn="0" w:noHBand="0" w:noVBand="1"/>
        <w:tblCaption w:val="Proposed MBS item descriptor (underlined represents applicant’s updated item descriptor)"/>
        <w:tblDescription w:val="This table provides the proposed description of the requested Medicare Benefits Schedule item."/>
      </w:tblPr>
      <w:tblGrid>
        <w:gridCol w:w="9016"/>
      </w:tblGrid>
      <w:tr w:rsidR="00031241" w:rsidRPr="00183E4D" w14:paraId="1A9B83F9" w14:textId="77777777" w:rsidTr="00995BBA">
        <w:trPr>
          <w:tblHeader/>
        </w:trPr>
        <w:tc>
          <w:tcPr>
            <w:tcW w:w="5000" w:type="pct"/>
          </w:tcPr>
          <w:p w14:paraId="70B63EFE" w14:textId="77777777" w:rsidR="00031241" w:rsidRDefault="00031241" w:rsidP="00135EA6">
            <w:pPr>
              <w:pStyle w:val="Tabletext"/>
              <w:rPr>
                <w:rFonts w:cstheme="minorBidi"/>
                <w:b/>
              </w:rPr>
            </w:pPr>
            <w:r w:rsidRPr="00EC7748">
              <w:rPr>
                <w:rFonts w:eastAsia="SimSun"/>
                <w:b/>
                <w:lang w:eastAsia="zh-CN"/>
              </w:rPr>
              <w:t>Category 6 – PATHOLOGY SERVICES</w:t>
            </w:r>
            <w:r>
              <w:rPr>
                <w:b/>
                <w:lang w:eastAsia="zh-CN"/>
              </w:rPr>
              <w:tab/>
            </w:r>
            <w:r>
              <w:rPr>
                <w:b/>
                <w:lang w:eastAsia="zh-CN"/>
              </w:rPr>
              <w:tab/>
            </w:r>
            <w:r w:rsidRPr="00EC7748">
              <w:rPr>
                <w:rFonts w:eastAsia="SimSun"/>
                <w:b/>
                <w:lang w:eastAsia="zh-CN"/>
              </w:rPr>
              <w:t>Group P9 – SIMPLE BASIC PATHOLOGY TESTS</w:t>
            </w:r>
          </w:p>
        </w:tc>
      </w:tr>
      <w:tr w:rsidR="00031241" w:rsidRPr="00183E4D" w14:paraId="28294E10" w14:textId="77777777" w:rsidTr="00995BBA">
        <w:tc>
          <w:tcPr>
            <w:tcW w:w="5000" w:type="pct"/>
          </w:tcPr>
          <w:p w14:paraId="5B2297EF" w14:textId="77777777" w:rsidR="00031241" w:rsidRDefault="00031241" w:rsidP="00135EA6">
            <w:pPr>
              <w:pStyle w:val="Tabletext"/>
            </w:pPr>
            <w:r w:rsidRPr="00EC7748">
              <w:rPr>
                <w:rFonts w:eastAsia="SimSun"/>
                <w:lang w:eastAsia="zh-CN"/>
              </w:rPr>
              <w:t>MBS [item number]</w:t>
            </w:r>
          </w:p>
          <w:p w14:paraId="78B319E6" w14:textId="3AEEF156" w:rsidR="00031241" w:rsidRDefault="00031241" w:rsidP="000934B8">
            <w:pPr>
              <w:pStyle w:val="Tabletext"/>
              <w:spacing w:after="120"/>
            </w:pPr>
            <w:r w:rsidRPr="00EC7748">
              <w:rPr>
                <w:rFonts w:eastAsia="SimSun"/>
                <w:lang w:eastAsia="zh-CN"/>
              </w:rPr>
              <w:t>Quantitation of glycated haemoglobin</w:t>
            </w:r>
            <w:r>
              <w:rPr>
                <w:rFonts w:eastAsia="SimSun"/>
              </w:rPr>
              <w:t xml:space="preserve"> (HbA1c)</w:t>
            </w:r>
            <w:r w:rsidRPr="00EC7748">
              <w:rPr>
                <w:rFonts w:eastAsia="SimSun"/>
                <w:lang w:eastAsia="zh-CN"/>
              </w:rPr>
              <w:t xml:space="preserve"> via </w:t>
            </w:r>
            <w:r>
              <w:rPr>
                <w:rFonts w:eastAsia="SimSun"/>
                <w:lang w:eastAsia="zh-CN"/>
              </w:rPr>
              <w:t>P</w:t>
            </w:r>
            <w:r w:rsidRPr="00EC7748">
              <w:rPr>
                <w:rFonts w:eastAsia="SimSun"/>
                <w:lang w:eastAsia="zh-CN"/>
              </w:rPr>
              <w:t xml:space="preserve">oint of </w:t>
            </w:r>
            <w:r>
              <w:rPr>
                <w:rFonts w:eastAsia="SimSun"/>
                <w:lang w:eastAsia="zh-CN"/>
              </w:rPr>
              <w:t>C</w:t>
            </w:r>
            <w:r w:rsidRPr="00EC7748">
              <w:rPr>
                <w:rFonts w:eastAsia="SimSun"/>
                <w:lang w:eastAsia="zh-CN"/>
              </w:rPr>
              <w:t xml:space="preserve">are testing performed using a National </w:t>
            </w:r>
            <w:proofErr w:type="spellStart"/>
            <w:r w:rsidRPr="00EC7748">
              <w:rPr>
                <w:rFonts w:eastAsia="SimSun"/>
                <w:lang w:eastAsia="zh-CN"/>
              </w:rPr>
              <w:t>Glycohemoglobin</w:t>
            </w:r>
            <w:proofErr w:type="spellEnd"/>
            <w:r w:rsidRPr="00EC7748">
              <w:rPr>
                <w:rFonts w:eastAsia="SimSun"/>
                <w:lang w:eastAsia="zh-CN"/>
              </w:rPr>
              <w:t xml:space="preserve"> Standardization Program (NGSP) certified instrument with a total coefficient of variation (CV) &lt;3.0% </w:t>
            </w:r>
            <w:r w:rsidRPr="006A3CBD">
              <w:rPr>
                <w:rFonts w:eastAsia="SimSun"/>
              </w:rPr>
              <w:t xml:space="preserve">at 48 </w:t>
            </w:r>
            <w:proofErr w:type="spellStart"/>
            <w:r w:rsidRPr="006A3CBD">
              <w:rPr>
                <w:rFonts w:eastAsia="SimSun"/>
              </w:rPr>
              <w:t>mmol</w:t>
            </w:r>
            <w:proofErr w:type="spellEnd"/>
            <w:r w:rsidRPr="006A3CBD">
              <w:rPr>
                <w:rFonts w:eastAsia="SimSun"/>
              </w:rPr>
              <w:t>/</w:t>
            </w:r>
            <w:proofErr w:type="spellStart"/>
            <w:r w:rsidRPr="006A3CBD">
              <w:rPr>
                <w:rFonts w:eastAsia="SimSun"/>
              </w:rPr>
              <w:t>mol</w:t>
            </w:r>
            <w:proofErr w:type="spellEnd"/>
            <w:r w:rsidRPr="006A3CBD">
              <w:rPr>
                <w:rFonts w:eastAsia="SimSun"/>
              </w:rPr>
              <w:t xml:space="preserve"> (6.5%) </w:t>
            </w:r>
            <w:r>
              <w:rPr>
                <w:rFonts w:eastAsia="SimSun"/>
              </w:rPr>
              <w:t>i</w:t>
            </w:r>
            <w:r w:rsidRPr="00EC7748">
              <w:rPr>
                <w:rFonts w:eastAsia="SimSun"/>
                <w:lang w:eastAsia="zh-CN"/>
              </w:rPr>
              <w:t xml:space="preserve">n the management of established diabetes; a maximum of three </w:t>
            </w:r>
            <w:r>
              <w:rPr>
                <w:rFonts w:eastAsia="SimSun"/>
                <w:lang w:eastAsia="zh-CN"/>
              </w:rPr>
              <w:t>P</w:t>
            </w:r>
            <w:r w:rsidRPr="00EC7748">
              <w:rPr>
                <w:rFonts w:eastAsia="SimSun"/>
                <w:lang w:eastAsia="zh-CN"/>
              </w:rPr>
              <w:t xml:space="preserve">oint of </w:t>
            </w:r>
            <w:r>
              <w:rPr>
                <w:rFonts w:eastAsia="SimSun"/>
                <w:lang w:eastAsia="zh-CN"/>
              </w:rPr>
              <w:t>C</w:t>
            </w:r>
            <w:r w:rsidRPr="00EC7748">
              <w:rPr>
                <w:rFonts w:eastAsia="SimSun"/>
                <w:lang w:eastAsia="zh-CN"/>
              </w:rPr>
              <w:t>are tests in a 12 month period and a maximum of four glycated haemoglobin tests in total (</w:t>
            </w:r>
            <w:r>
              <w:rPr>
                <w:rFonts w:eastAsia="SimSun"/>
              </w:rPr>
              <w:t>P</w:t>
            </w:r>
            <w:r w:rsidRPr="00EC7748">
              <w:rPr>
                <w:rFonts w:eastAsia="SimSun"/>
                <w:lang w:eastAsia="zh-CN"/>
              </w:rPr>
              <w:t xml:space="preserve">oint of </w:t>
            </w:r>
            <w:r>
              <w:rPr>
                <w:rFonts w:eastAsia="SimSun"/>
              </w:rPr>
              <w:t>C</w:t>
            </w:r>
            <w:r w:rsidRPr="00EC7748">
              <w:rPr>
                <w:rFonts w:eastAsia="SimSun"/>
                <w:lang w:eastAsia="zh-CN"/>
              </w:rPr>
              <w:t>are and laboratory) in a 12 month period. (Item is subject to rule 25).</w:t>
            </w:r>
          </w:p>
          <w:p w14:paraId="09F57229" w14:textId="77777777" w:rsidR="00031241" w:rsidRDefault="00031241" w:rsidP="00135EA6">
            <w:pPr>
              <w:pStyle w:val="Tabletext"/>
            </w:pPr>
            <w:r w:rsidRPr="00EC7748">
              <w:rPr>
                <w:rFonts w:eastAsia="SimSun"/>
                <w:lang w:eastAsia="zh-CN"/>
              </w:rPr>
              <w:t xml:space="preserve">(Item is subject to </w:t>
            </w:r>
            <w:r w:rsidRPr="006559A2">
              <w:rPr>
                <w:rFonts w:eastAsia="SimSun"/>
                <w:lang w:eastAsia="zh-CN"/>
              </w:rPr>
              <w:t>RACGP</w:t>
            </w:r>
            <w:r w:rsidRPr="00EC7748">
              <w:rPr>
                <w:rFonts w:eastAsia="SimSun"/>
                <w:lang w:eastAsia="zh-CN"/>
              </w:rPr>
              <w:t xml:space="preserve"> Point of Care Testing Standards accreditation requirements. Item is subject to restrictions in rule PR.9.X of explanatory notes to this category)</w:t>
            </w:r>
          </w:p>
        </w:tc>
      </w:tr>
      <w:tr w:rsidR="00031241" w:rsidRPr="00183E4D" w14:paraId="67035368" w14:textId="77777777" w:rsidTr="00995BBA">
        <w:tc>
          <w:tcPr>
            <w:tcW w:w="5000" w:type="pct"/>
          </w:tcPr>
          <w:p w14:paraId="53A47402" w14:textId="77777777" w:rsidR="00031241" w:rsidRDefault="00031241" w:rsidP="00135EA6">
            <w:pPr>
              <w:pStyle w:val="Tabletext"/>
              <w:rPr>
                <w:rFonts w:cstheme="minorBidi"/>
                <w:b/>
              </w:rPr>
            </w:pPr>
            <w:r w:rsidRPr="00EC7748">
              <w:rPr>
                <w:rFonts w:eastAsia="SimSun"/>
                <w:lang w:eastAsia="zh-CN"/>
              </w:rPr>
              <w:t xml:space="preserve">Fee: $22.60 </w:t>
            </w:r>
            <w:r w:rsidRPr="00EC7748">
              <w:rPr>
                <w:rFonts w:eastAsia="SimSun"/>
                <w:bCs/>
                <w:lang w:eastAsia="zh-CN"/>
              </w:rPr>
              <w:t>Benefit:</w:t>
            </w:r>
            <w:r w:rsidRPr="00EC7748">
              <w:rPr>
                <w:rFonts w:eastAsia="SimSun"/>
                <w:lang w:eastAsia="zh-CN"/>
              </w:rPr>
              <w:t> 75% =</w:t>
            </w:r>
            <w:r>
              <w:rPr>
                <w:rFonts w:eastAsia="SimSun"/>
                <w:lang w:eastAsia="zh-CN"/>
              </w:rPr>
              <w:t> </w:t>
            </w:r>
            <w:r w:rsidRPr="00EC7748">
              <w:rPr>
                <w:rFonts w:eastAsia="SimSun"/>
                <w:lang w:eastAsia="zh-CN"/>
              </w:rPr>
              <w:t>$16.95 85% =</w:t>
            </w:r>
            <w:r>
              <w:rPr>
                <w:rFonts w:eastAsia="SimSun"/>
                <w:lang w:eastAsia="zh-CN"/>
              </w:rPr>
              <w:t> </w:t>
            </w:r>
            <w:r w:rsidRPr="00EC7748">
              <w:rPr>
                <w:rFonts w:eastAsia="SimSun"/>
                <w:lang w:eastAsia="zh-CN"/>
              </w:rPr>
              <w:t>$19.20</w:t>
            </w:r>
          </w:p>
        </w:tc>
      </w:tr>
    </w:tbl>
    <w:p w14:paraId="05A39F17" w14:textId="77777777" w:rsidR="00031241" w:rsidRPr="00EF472B" w:rsidRDefault="00031241" w:rsidP="00031241">
      <w:pPr>
        <w:pStyle w:val="TableText0"/>
        <w:rPr>
          <w:rFonts w:cs="Times New Roman"/>
          <w:sz w:val="18"/>
        </w:rPr>
      </w:pPr>
      <w:r w:rsidRPr="00EF472B">
        <w:rPr>
          <w:rFonts w:eastAsia="SimSun" w:cs="Times New Roman"/>
          <w:sz w:val="18"/>
          <w:lang w:eastAsia="zh-CN"/>
        </w:rPr>
        <w:t>Proposed Use Rule and Explanatory Note:</w:t>
      </w:r>
    </w:p>
    <w:p w14:paraId="711AF4D1" w14:textId="77777777" w:rsidR="00031241" w:rsidRPr="00EF472B" w:rsidRDefault="00031241" w:rsidP="00031241">
      <w:pPr>
        <w:pStyle w:val="TableText0"/>
        <w:rPr>
          <w:rFonts w:cs="Times New Roman"/>
          <w:sz w:val="18"/>
        </w:rPr>
      </w:pPr>
      <w:r w:rsidRPr="00EF472B">
        <w:rPr>
          <w:rFonts w:eastAsia="SimSun" w:cs="Times New Roman"/>
          <w:sz w:val="18"/>
          <w:lang w:eastAsia="zh-CN"/>
        </w:rPr>
        <w:t>Rule 25(##):</w:t>
      </w:r>
      <w:r w:rsidRPr="00EF472B">
        <w:rPr>
          <w:rFonts w:cs="Times New Roman"/>
          <w:sz w:val="18"/>
          <w:lang w:eastAsia="zh-CN"/>
        </w:rPr>
        <w:tab/>
      </w:r>
      <w:r w:rsidRPr="00EF472B">
        <w:rPr>
          <w:rFonts w:eastAsia="SimSun" w:cs="Times New Roman"/>
          <w:sz w:val="18"/>
          <w:lang w:eastAsia="zh-CN"/>
        </w:rPr>
        <w:t xml:space="preserve">For any particular patient, item XXXX (HbA1c </w:t>
      </w:r>
      <w:r w:rsidRPr="00EF472B">
        <w:rPr>
          <w:rFonts w:eastAsia="SimSun" w:cs="Times New Roman"/>
          <w:sz w:val="18"/>
        </w:rPr>
        <w:t>Point of Care</w:t>
      </w:r>
      <w:r w:rsidRPr="00EF472B">
        <w:rPr>
          <w:rFonts w:eastAsia="SimSun" w:cs="Times New Roman"/>
          <w:sz w:val="18"/>
          <w:lang w:eastAsia="zh-CN"/>
        </w:rPr>
        <w:t xml:space="preserve"> testing) and item 66551 are not applicable more than four times in total in a 12 month period, and item XXXX (HbA1c </w:t>
      </w:r>
      <w:r w:rsidRPr="00EF472B">
        <w:rPr>
          <w:rFonts w:eastAsia="SimSun" w:cs="Times New Roman"/>
          <w:sz w:val="18"/>
        </w:rPr>
        <w:t>Point of Care</w:t>
      </w:r>
      <w:r w:rsidRPr="00EF472B">
        <w:rPr>
          <w:rFonts w:eastAsia="SimSun" w:cs="Times New Roman"/>
          <w:sz w:val="18"/>
          <w:lang w:eastAsia="zh-CN"/>
        </w:rPr>
        <w:t xml:space="preserve"> testing) is not applicable more than three times in a 12 month period.</w:t>
      </w:r>
    </w:p>
    <w:p w14:paraId="322EF05C" w14:textId="77777777" w:rsidR="00031241" w:rsidRPr="00EF472B" w:rsidRDefault="00031241" w:rsidP="00031241">
      <w:pPr>
        <w:rPr>
          <w:rFonts w:ascii="Arial Narrow" w:hAnsi="Arial Narrow"/>
          <w:sz w:val="18"/>
        </w:rPr>
      </w:pPr>
      <w:r w:rsidRPr="00EF472B">
        <w:rPr>
          <w:rFonts w:ascii="Arial Narrow" w:eastAsia="SimSun" w:hAnsi="Arial Narrow"/>
          <w:sz w:val="18"/>
          <w:lang w:eastAsia="zh-CN"/>
        </w:rPr>
        <w:t>PR.9</w:t>
      </w:r>
      <w:proofErr w:type="gramStart"/>
      <w:r w:rsidRPr="00EF472B">
        <w:rPr>
          <w:rFonts w:ascii="Arial Narrow" w:eastAsia="SimSun" w:hAnsi="Arial Narrow"/>
          <w:sz w:val="18"/>
          <w:lang w:eastAsia="zh-CN"/>
        </w:rPr>
        <w:t>.#</w:t>
      </w:r>
      <w:proofErr w:type="gramEnd"/>
      <w:r w:rsidRPr="00EF472B">
        <w:rPr>
          <w:rFonts w:ascii="Arial Narrow" w:eastAsia="SimSun" w:hAnsi="Arial Narrow"/>
          <w:sz w:val="18"/>
          <w:lang w:eastAsia="zh-CN"/>
        </w:rPr>
        <w:t># Point of Care in General Practice item</w:t>
      </w:r>
    </w:p>
    <w:p w14:paraId="4DC7CBC4" w14:textId="77777777" w:rsidR="00031241" w:rsidRPr="00EF472B" w:rsidRDefault="00031241" w:rsidP="00031241">
      <w:pPr>
        <w:rPr>
          <w:rFonts w:ascii="Arial Narrow" w:hAnsi="Arial Narrow"/>
          <w:sz w:val="18"/>
        </w:rPr>
      </w:pPr>
      <w:r w:rsidRPr="00EF472B">
        <w:rPr>
          <w:rFonts w:ascii="Arial Narrow" w:eastAsia="SimSun" w:hAnsi="Arial Narrow"/>
          <w:sz w:val="18"/>
          <w:lang w:eastAsia="zh-CN"/>
        </w:rPr>
        <w:t>Item number XXXX (HbA1c Point of Care testing) can only be performed in the following circumstances:</w:t>
      </w:r>
    </w:p>
    <w:p w14:paraId="04E10FF3" w14:textId="77777777" w:rsidR="00031241" w:rsidRPr="00EF472B" w:rsidRDefault="00031241" w:rsidP="00031241">
      <w:pPr>
        <w:pStyle w:val="ListParagraph"/>
        <w:numPr>
          <w:ilvl w:val="0"/>
          <w:numId w:val="29"/>
        </w:numPr>
        <w:spacing w:after="160" w:line="256" w:lineRule="auto"/>
        <w:rPr>
          <w:rFonts w:ascii="Arial Narrow" w:hAnsi="Arial Narrow"/>
          <w:sz w:val="18"/>
        </w:rPr>
      </w:pPr>
      <w:r w:rsidRPr="00EF472B">
        <w:rPr>
          <w:rFonts w:ascii="Arial Narrow" w:eastAsia="SimSun" w:hAnsi="Arial Narrow"/>
          <w:sz w:val="18"/>
          <w:lang w:eastAsia="zh-CN"/>
        </w:rPr>
        <w:t>the service is rendered by or on behalf of a medical practitioner;</w:t>
      </w:r>
    </w:p>
    <w:p w14:paraId="492D866A" w14:textId="77777777" w:rsidR="00031241" w:rsidRPr="00EF472B" w:rsidRDefault="00031241" w:rsidP="00031241">
      <w:pPr>
        <w:pStyle w:val="ListParagraph"/>
        <w:numPr>
          <w:ilvl w:val="0"/>
          <w:numId w:val="29"/>
        </w:numPr>
        <w:spacing w:after="160" w:line="256" w:lineRule="auto"/>
        <w:rPr>
          <w:rFonts w:ascii="Arial Narrow" w:hAnsi="Arial Narrow"/>
          <w:sz w:val="18"/>
        </w:rPr>
      </w:pPr>
      <w:r w:rsidRPr="00EF472B">
        <w:rPr>
          <w:rFonts w:ascii="Arial Narrow" w:eastAsia="SimSun" w:hAnsi="Arial Narrow"/>
          <w:sz w:val="18"/>
          <w:lang w:eastAsia="zh-CN"/>
        </w:rPr>
        <w:t>the practitioner referred to in paragraph (a), or the organisation for which the practitioner works, is accredited to the RACGP Point of Care Testing Standards; and</w:t>
      </w:r>
    </w:p>
    <w:p w14:paraId="728A5FA1" w14:textId="77777777" w:rsidR="00031241" w:rsidRPr="00EF472B" w:rsidRDefault="00031241" w:rsidP="00031241">
      <w:pPr>
        <w:pStyle w:val="ListParagraph"/>
        <w:numPr>
          <w:ilvl w:val="0"/>
          <w:numId w:val="29"/>
        </w:numPr>
        <w:spacing w:after="160" w:line="256" w:lineRule="auto"/>
        <w:rPr>
          <w:rFonts w:ascii="Arial Narrow" w:hAnsi="Arial Narrow"/>
          <w:sz w:val="18"/>
        </w:rPr>
      </w:pPr>
      <w:r w:rsidRPr="00EF472B">
        <w:rPr>
          <w:rFonts w:ascii="Arial Narrow" w:eastAsia="SimSun" w:hAnsi="Arial Narrow"/>
          <w:sz w:val="18"/>
          <w:lang w:eastAsia="zh-CN"/>
        </w:rPr>
        <w:t>the service is provided in accordance with that accreditation; and</w:t>
      </w:r>
    </w:p>
    <w:p w14:paraId="41839C7F" w14:textId="77777777" w:rsidR="00031241" w:rsidRPr="00031241" w:rsidRDefault="00031241" w:rsidP="00031241">
      <w:pPr>
        <w:pStyle w:val="ListParagraph"/>
        <w:numPr>
          <w:ilvl w:val="0"/>
          <w:numId w:val="29"/>
        </w:numPr>
        <w:spacing w:after="160" w:line="256" w:lineRule="auto"/>
        <w:rPr>
          <w:rFonts w:ascii="Arial Narrow" w:hAnsi="Arial Narrow"/>
          <w:sz w:val="20"/>
        </w:rPr>
      </w:pPr>
      <w:proofErr w:type="gramStart"/>
      <w:r w:rsidRPr="00EF472B">
        <w:rPr>
          <w:rFonts w:ascii="Arial Narrow" w:eastAsia="SimSun" w:hAnsi="Arial Narrow"/>
          <w:sz w:val="18"/>
          <w:lang w:eastAsia="zh-CN"/>
        </w:rPr>
        <w:t>the</w:t>
      </w:r>
      <w:proofErr w:type="gramEnd"/>
      <w:r w:rsidRPr="00EF472B">
        <w:rPr>
          <w:rFonts w:ascii="Arial Narrow" w:eastAsia="SimSun" w:hAnsi="Arial Narrow"/>
          <w:sz w:val="18"/>
          <w:lang w:eastAsia="zh-CN"/>
        </w:rPr>
        <w:t xml:space="preserve"> practitioner referred to in paragraph (a) has determined the service to be necessary for his or her patient.</w:t>
      </w:r>
    </w:p>
    <w:p w14:paraId="71179B76" w14:textId="12B703E9" w:rsidR="00031241" w:rsidRDefault="00031241" w:rsidP="00031241">
      <w:pPr>
        <w:rPr>
          <w:rFonts w:eastAsia="SimSun"/>
          <w:lang w:eastAsia="zh-CN"/>
        </w:rPr>
      </w:pPr>
      <w:r>
        <w:t xml:space="preserve">The resubmission </w:t>
      </w:r>
      <w:r w:rsidR="005C7F8E">
        <w:t>suggested</w:t>
      </w:r>
      <w:r>
        <w:t xml:space="preserve"> the proposed item is placed in </w:t>
      </w:r>
      <w:r w:rsidRPr="00EC7748">
        <w:rPr>
          <w:rFonts w:eastAsia="SimSun"/>
          <w:lang w:eastAsia="zh-CN"/>
        </w:rPr>
        <w:t xml:space="preserve">Group P9 of the </w:t>
      </w:r>
      <w:r>
        <w:rPr>
          <w:rFonts w:eastAsia="SimSun"/>
          <w:lang w:eastAsia="zh-CN"/>
        </w:rPr>
        <w:t xml:space="preserve">MBS. </w:t>
      </w:r>
      <w:r w:rsidRPr="00921398">
        <w:rPr>
          <w:rFonts w:eastAsia="SimSun"/>
          <w:lang w:eastAsia="zh-CN"/>
        </w:rPr>
        <w:t>Services in this Group may be performed by a medical practitioner in the practitioner's surgery without the need to obtain Approved Pathology Authority, Approved Pathology Practitioner or Accredited Pathology Laboratory status.</w:t>
      </w:r>
    </w:p>
    <w:p w14:paraId="5E2D0CA1"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014A75BA" w14:textId="550D8AA1" w:rsidR="00031241" w:rsidRPr="00B02E35" w:rsidRDefault="005C7F8E" w:rsidP="00031241">
      <w:r>
        <w:t>See Application 1431 - Public Summary Document on the MSAC website</w:t>
      </w:r>
      <w:r w:rsidR="00031241">
        <w:rPr>
          <w:szCs w:val="24"/>
        </w:rPr>
        <w:t>.</w:t>
      </w:r>
    </w:p>
    <w:p w14:paraId="20931001" w14:textId="77777777" w:rsidR="00BC1364" w:rsidRPr="00F715D1" w:rsidRDefault="00BC1364" w:rsidP="00F715D1">
      <w:pPr>
        <w:pStyle w:val="Heading1"/>
      </w:pPr>
      <w:r w:rsidRPr="00F715D1">
        <w:t>Proposed intervention’s place in clinical management</w:t>
      </w:r>
    </w:p>
    <w:p w14:paraId="44D9A904" w14:textId="0BC58E46" w:rsidR="00031241" w:rsidRDefault="00031241" w:rsidP="00031241">
      <w:r>
        <w:t>In summary, p</w:t>
      </w:r>
      <w:r w:rsidRPr="00E74353">
        <w:t>ractitioners would perform the proposed medical service under the same circumstances as they would order the existing HbA1c tests and hence the clinical management algorithm will remain the same as current practice.</w:t>
      </w:r>
      <w:r>
        <w:t xml:space="preserve"> Use of HbA1c </w:t>
      </w:r>
      <w:proofErr w:type="spellStart"/>
      <w:r>
        <w:t>PoC</w:t>
      </w:r>
      <w:proofErr w:type="spellEnd"/>
      <w:r>
        <w:t xml:space="preserve"> testing is expected to replace HbA1c pathology laboratory testing. This was unchanged compared with</w:t>
      </w:r>
      <w:r w:rsidRPr="00564274">
        <w:t xml:space="preserve"> the previous application.</w:t>
      </w:r>
    </w:p>
    <w:p w14:paraId="6D35DBB3" w14:textId="77777777" w:rsidR="00BC1364" w:rsidRPr="00F715D1" w:rsidRDefault="00BC1364" w:rsidP="00F715D1">
      <w:pPr>
        <w:pStyle w:val="Heading1"/>
      </w:pPr>
      <w:r w:rsidRPr="00F715D1">
        <w:t xml:space="preserve">Comparator </w:t>
      </w:r>
    </w:p>
    <w:p w14:paraId="31D6168E" w14:textId="7A421A16" w:rsidR="005C7F8E" w:rsidRDefault="00031241" w:rsidP="00031241">
      <w:pPr>
        <w:rPr>
          <w:rFonts w:eastAsia="SimSun"/>
          <w:lang w:eastAsia="zh-CN"/>
        </w:rPr>
      </w:pPr>
      <w:r w:rsidRPr="00E74353">
        <w:t xml:space="preserve">The comparator for HbA1c </w:t>
      </w:r>
      <w:proofErr w:type="spellStart"/>
      <w:r w:rsidRPr="00E74353">
        <w:t>PoC</w:t>
      </w:r>
      <w:proofErr w:type="spellEnd"/>
      <w:r w:rsidRPr="00E74353">
        <w:t xml:space="preserve"> testing is HbA1c testing performed in a laboratory, i.e.</w:t>
      </w:r>
      <w:r w:rsidR="00EC542E">
        <w:t> </w:t>
      </w:r>
      <w:r w:rsidRPr="00996235">
        <w:rPr>
          <w:rFonts w:eastAsia="SimSun"/>
          <w:lang w:eastAsia="zh-CN"/>
        </w:rPr>
        <w:t>HbA1c pathology laboratory testing</w:t>
      </w:r>
      <w:r>
        <w:rPr>
          <w:rFonts w:eastAsia="SimSun"/>
          <w:lang w:eastAsia="zh-CN"/>
        </w:rPr>
        <w:t xml:space="preserve">. </w:t>
      </w:r>
    </w:p>
    <w:p w14:paraId="463A5112" w14:textId="3716692D" w:rsidR="00031241" w:rsidRDefault="00031241" w:rsidP="005C7F8E">
      <w:pPr>
        <w:spacing w:before="240"/>
        <w:rPr>
          <w:rFonts w:eastAsia="SimSun"/>
          <w:lang w:eastAsia="zh-CN"/>
        </w:rPr>
      </w:pPr>
      <w:r>
        <w:rPr>
          <w:rFonts w:eastAsia="SimSun"/>
          <w:lang w:eastAsia="zh-CN"/>
        </w:rPr>
        <w:lastRenderedPageBreak/>
        <w:t xml:space="preserve">MBS item 66551 was listed on 1 November 1998 for management of established diabetes. </w:t>
      </w:r>
      <w:r w:rsidRPr="0040488F">
        <w:rPr>
          <w:rFonts w:eastAsia="SimSun"/>
          <w:lang w:eastAsia="zh-CN"/>
        </w:rPr>
        <w:t>In addition, MBS item 66554 was listed on the same date for the management of pre-existing diabetes where the patient is pregnant.</w:t>
      </w:r>
    </w:p>
    <w:p w14:paraId="464500DF" w14:textId="77777777" w:rsidR="00BC1364" w:rsidRPr="00F715D1" w:rsidRDefault="00BC1364" w:rsidP="00F715D1">
      <w:pPr>
        <w:pStyle w:val="Heading1"/>
      </w:pPr>
      <w:r w:rsidRPr="00F715D1">
        <w:t>Comparative safety</w:t>
      </w:r>
    </w:p>
    <w:p w14:paraId="603F42FA" w14:textId="77777777" w:rsidR="00031241" w:rsidRDefault="00031241" w:rsidP="00031241">
      <w:r>
        <w:t xml:space="preserve">No new evidence was presented in the resubmission </w:t>
      </w:r>
      <w:r w:rsidRPr="003F6DE9">
        <w:t xml:space="preserve">evaluating the safety or effectiveness of HbA1c </w:t>
      </w:r>
      <w:proofErr w:type="spellStart"/>
      <w:r w:rsidRPr="003F6DE9">
        <w:t>PoC</w:t>
      </w:r>
      <w:proofErr w:type="spellEnd"/>
      <w:r w:rsidRPr="003F6DE9">
        <w:t xml:space="preserve"> testing compared with laboratory testing in the proposed patient population</w:t>
      </w:r>
      <w:r>
        <w:t xml:space="preserve">. The </w:t>
      </w:r>
      <w:r w:rsidRPr="004B7CE1">
        <w:rPr>
          <w:rFonts w:eastAsia="SimSun"/>
          <w:lang w:eastAsia="zh-CN"/>
        </w:rPr>
        <w:t xml:space="preserve">MSAC considered that there </w:t>
      </w:r>
      <w:r>
        <w:rPr>
          <w:rFonts w:eastAsia="SimSun"/>
          <w:lang w:eastAsia="zh-CN"/>
        </w:rPr>
        <w:t>were</w:t>
      </w:r>
      <w:r w:rsidRPr="004B7CE1">
        <w:rPr>
          <w:rFonts w:eastAsia="SimSun"/>
          <w:lang w:eastAsia="zh-CN"/>
        </w:rPr>
        <w:t xml:space="preserve"> no significant acute differences in the safety of the HbA1c </w:t>
      </w:r>
      <w:proofErr w:type="spellStart"/>
      <w:r w:rsidRPr="004B7CE1">
        <w:rPr>
          <w:rFonts w:eastAsia="SimSun"/>
          <w:lang w:eastAsia="zh-CN"/>
        </w:rPr>
        <w:t>PoC</w:t>
      </w:r>
      <w:proofErr w:type="spellEnd"/>
      <w:r w:rsidRPr="004B7CE1">
        <w:rPr>
          <w:rFonts w:eastAsia="SimSun"/>
          <w:lang w:eastAsia="zh-CN"/>
        </w:rPr>
        <w:t xml:space="preserve"> testing technique o</w:t>
      </w:r>
      <w:r>
        <w:rPr>
          <w:rFonts w:eastAsia="SimSun"/>
          <w:lang w:eastAsia="zh-CN"/>
        </w:rPr>
        <w:t xml:space="preserve">ver standard laboratory testing </w:t>
      </w:r>
      <w:r>
        <w:t>[1431 PSD 2017, p2].</w:t>
      </w:r>
    </w:p>
    <w:p w14:paraId="75F95419" w14:textId="77777777" w:rsidR="00031241" w:rsidRPr="00031241" w:rsidRDefault="00BC1364" w:rsidP="00031241">
      <w:pPr>
        <w:pStyle w:val="Heading1"/>
      </w:pPr>
      <w:r w:rsidRPr="00F715D1">
        <w:t>Comparative effectiveness</w:t>
      </w:r>
    </w:p>
    <w:p w14:paraId="4A6E0ECA" w14:textId="4912DEF4" w:rsidR="00031241" w:rsidRPr="00031241" w:rsidRDefault="00031241" w:rsidP="000934B8">
      <w:pPr>
        <w:spacing w:after="240"/>
      </w:pPr>
      <w:r>
        <w:t>The resubmission present</w:t>
      </w:r>
      <w:r w:rsidR="005C7F8E">
        <w:t>ed</w:t>
      </w:r>
      <w:r>
        <w:t xml:space="preserve"> an </w:t>
      </w:r>
      <w:r w:rsidRPr="003F6DE9">
        <w:t>updated and more detailed framework in accordance with advi</w:t>
      </w:r>
      <w:r>
        <w:t>ce from MSAC [1431 PSD 2017, p1]</w:t>
      </w:r>
      <w:r w:rsidRPr="003F6DE9">
        <w:t xml:space="preserve"> which was based on the draft RACGP </w:t>
      </w:r>
      <w:proofErr w:type="spellStart"/>
      <w:r w:rsidRPr="003F6DE9">
        <w:t>PoC</w:t>
      </w:r>
      <w:proofErr w:type="spellEnd"/>
      <w:r w:rsidRPr="003F6DE9">
        <w:t xml:space="preserve"> testing Standards</w:t>
      </w:r>
      <w:r>
        <w:t xml:space="preserve">. Note, </w:t>
      </w:r>
      <w:r w:rsidRPr="00BC3E9D">
        <w:t xml:space="preserve">the final Standards were provided by the applicant during the </w:t>
      </w:r>
      <w:r>
        <w:t>Critique</w:t>
      </w:r>
      <w:r w:rsidRPr="00BC3E9D">
        <w:t>; the applicant advised that no relevant changes were found between the draft and final RACGP standards, and therefore stated no changes to the test cost were necessary.</w:t>
      </w:r>
    </w:p>
    <w:p w14:paraId="7B3A3285" w14:textId="77777777" w:rsidR="00031241" w:rsidRDefault="00F37B9C" w:rsidP="005C7F8E">
      <w:pPr>
        <w:tabs>
          <w:tab w:val="left" w:pos="720"/>
          <w:tab w:val="left" w:pos="1140"/>
        </w:tabs>
        <w:spacing w:after="120"/>
        <w:rPr>
          <w:b/>
          <w:szCs w:val="24"/>
        </w:rPr>
      </w:pPr>
      <w:r w:rsidRPr="00F37B9C">
        <w:rPr>
          <w:b/>
          <w:szCs w:val="24"/>
        </w:rPr>
        <w:t>Clinical Claim</w:t>
      </w:r>
    </w:p>
    <w:p w14:paraId="607387B6" w14:textId="71A94BF7" w:rsidR="00031241" w:rsidRDefault="00031241" w:rsidP="00F715D1">
      <w:pPr>
        <w:tabs>
          <w:tab w:val="left" w:pos="720"/>
          <w:tab w:val="left" w:pos="1140"/>
        </w:tabs>
        <w:spacing w:after="240"/>
        <w:rPr>
          <w:b/>
          <w:szCs w:val="24"/>
        </w:rPr>
      </w:pPr>
      <w:r>
        <w:rPr>
          <w:rFonts w:eastAsia="SimSun"/>
          <w:lang w:eastAsia="zh-CN"/>
        </w:rPr>
        <w:t>T</w:t>
      </w:r>
      <w:r w:rsidRPr="00EC7748">
        <w:rPr>
          <w:rFonts w:eastAsia="SimSun"/>
          <w:lang w:eastAsia="zh-CN"/>
        </w:rPr>
        <w:t xml:space="preserve">he clinical claim </w:t>
      </w:r>
      <w:r>
        <w:rPr>
          <w:rFonts w:eastAsia="SimSun"/>
          <w:lang w:eastAsia="zh-CN"/>
        </w:rPr>
        <w:t>previously</w:t>
      </w:r>
      <w:r w:rsidRPr="00EC7748">
        <w:rPr>
          <w:rFonts w:eastAsia="SimSun"/>
          <w:lang w:eastAsia="zh-CN"/>
        </w:rPr>
        <w:t xml:space="preserve"> reported remains the same for the purpose of this resubmission.</w:t>
      </w:r>
      <w:r>
        <w:rPr>
          <w:rFonts w:eastAsia="SimSun"/>
          <w:lang w:eastAsia="zh-CN"/>
        </w:rPr>
        <w:t xml:space="preserve"> Specifically, the </w:t>
      </w:r>
      <w:r w:rsidRPr="00EC7748">
        <w:rPr>
          <w:rFonts w:eastAsia="SimSun"/>
          <w:lang w:eastAsia="zh-CN"/>
        </w:rPr>
        <w:t>clinical claim</w:t>
      </w:r>
      <w:r>
        <w:rPr>
          <w:rFonts w:eastAsia="SimSun"/>
          <w:lang w:eastAsia="zh-CN"/>
        </w:rPr>
        <w:t xml:space="preserve"> was</w:t>
      </w:r>
      <w:r w:rsidRPr="00EC7748">
        <w:rPr>
          <w:rFonts w:eastAsia="SimSun"/>
          <w:lang w:eastAsia="zh-CN"/>
        </w:rPr>
        <w:t xml:space="preserve"> that relative to la</w:t>
      </w:r>
      <w:r>
        <w:rPr>
          <w:rFonts w:eastAsia="SimSun"/>
          <w:lang w:eastAsia="zh-CN"/>
        </w:rPr>
        <w:t xml:space="preserve">boratory HbA1c testing, HbA1c </w:t>
      </w:r>
      <w:proofErr w:type="spellStart"/>
      <w:r>
        <w:rPr>
          <w:rFonts w:eastAsia="SimSun"/>
          <w:lang w:eastAsia="zh-CN"/>
        </w:rPr>
        <w:t>Po</w:t>
      </w:r>
      <w:r w:rsidRPr="00EC7748">
        <w:rPr>
          <w:rFonts w:eastAsia="SimSun"/>
          <w:lang w:eastAsia="zh-CN"/>
        </w:rPr>
        <w:t>C</w:t>
      </w:r>
      <w:proofErr w:type="spellEnd"/>
      <w:r w:rsidRPr="00EC7748">
        <w:rPr>
          <w:rFonts w:eastAsia="SimSun"/>
          <w:lang w:eastAsia="zh-CN"/>
        </w:rPr>
        <w:t xml:space="preserve"> testing has non-inferior safety and effectiveness for the man</w:t>
      </w:r>
      <w:r>
        <w:rPr>
          <w:rFonts w:eastAsia="SimSun"/>
          <w:lang w:eastAsia="zh-CN"/>
        </w:rPr>
        <w:t>agement of established diabetes.</w:t>
      </w:r>
    </w:p>
    <w:p w14:paraId="4B2A4628" w14:textId="77777777" w:rsidR="00BC1364" w:rsidRPr="00F715D1" w:rsidRDefault="00BC1364" w:rsidP="00F715D1">
      <w:pPr>
        <w:pStyle w:val="Heading1"/>
      </w:pPr>
      <w:r w:rsidRPr="00F715D1">
        <w:t>Economic evaluation</w:t>
      </w:r>
    </w:p>
    <w:p w14:paraId="32BCC6D9" w14:textId="091FBEEE" w:rsidR="00031241" w:rsidRDefault="00031241" w:rsidP="000934B8">
      <w:pPr>
        <w:spacing w:after="240"/>
      </w:pPr>
      <w:r>
        <w:t xml:space="preserve">The summary of the resubmission’s economic evaluation is presented in </w:t>
      </w:r>
      <w:bookmarkStart w:id="3" w:name="_Ref379483368"/>
      <w:bookmarkStart w:id="4" w:name="_Ref394419656"/>
      <w:bookmarkStart w:id="5" w:name="_Toc534796346"/>
      <w:r w:rsidR="001046A1" w:rsidRPr="00277B4C">
        <w:rPr>
          <w:szCs w:val="24"/>
        </w:rPr>
        <w:fldChar w:fldCharType="begin"/>
      </w:r>
      <w:r w:rsidR="001046A1" w:rsidRPr="00277B4C">
        <w:rPr>
          <w:szCs w:val="24"/>
        </w:rPr>
        <w:instrText xml:space="preserve"> REF _Ref10622108 \h </w:instrText>
      </w:r>
      <w:r w:rsidR="00277B4C" w:rsidRPr="00277B4C">
        <w:rPr>
          <w:szCs w:val="24"/>
        </w:rPr>
        <w:instrText xml:space="preserve"> \* MERGEFORMAT </w:instrText>
      </w:r>
      <w:r w:rsidR="001046A1" w:rsidRPr="00277B4C">
        <w:rPr>
          <w:szCs w:val="24"/>
        </w:rPr>
      </w:r>
      <w:r w:rsidR="001046A1" w:rsidRPr="00277B4C">
        <w:rPr>
          <w:szCs w:val="24"/>
        </w:rPr>
        <w:fldChar w:fldCharType="separate"/>
      </w:r>
      <w:r w:rsidR="00AE4BFA" w:rsidRPr="00277B4C">
        <w:rPr>
          <w:szCs w:val="24"/>
        </w:rPr>
        <w:t xml:space="preserve">Table </w:t>
      </w:r>
      <w:r w:rsidR="00AE4BFA" w:rsidRPr="00277B4C">
        <w:rPr>
          <w:noProof/>
          <w:szCs w:val="24"/>
        </w:rPr>
        <w:t>2</w:t>
      </w:r>
      <w:r w:rsidR="001046A1" w:rsidRPr="00277B4C">
        <w:rPr>
          <w:szCs w:val="24"/>
        </w:rPr>
        <w:fldChar w:fldCharType="end"/>
      </w:r>
      <w:r w:rsidR="000934B8">
        <w:t>.</w:t>
      </w:r>
    </w:p>
    <w:p w14:paraId="0F25306D" w14:textId="59C9735E" w:rsidR="00031241" w:rsidRPr="00995BBA" w:rsidRDefault="00031241" w:rsidP="00995BBA">
      <w:pPr>
        <w:rPr>
          <w:rFonts w:ascii="Arial Narrow" w:hAnsi="Arial Narrow"/>
          <w:b/>
          <w:sz w:val="20"/>
        </w:rPr>
      </w:pPr>
      <w:bookmarkStart w:id="6" w:name="_Ref10622108"/>
      <w:r w:rsidRPr="00995BBA">
        <w:rPr>
          <w:rFonts w:ascii="Arial Narrow" w:hAnsi="Arial Narrow"/>
          <w:b/>
          <w:sz w:val="20"/>
        </w:rPr>
        <w:t xml:space="preserve">Table </w:t>
      </w:r>
      <w:r w:rsidRPr="00995BBA">
        <w:rPr>
          <w:rFonts w:ascii="Arial Narrow" w:hAnsi="Arial Narrow"/>
          <w:b/>
          <w:sz w:val="20"/>
        </w:rPr>
        <w:fldChar w:fldCharType="begin"/>
      </w:r>
      <w:r w:rsidRPr="00995BBA">
        <w:rPr>
          <w:rFonts w:ascii="Arial Narrow" w:hAnsi="Arial Narrow"/>
          <w:b/>
          <w:sz w:val="20"/>
        </w:rPr>
        <w:instrText xml:space="preserve"> SEQ Table \* ARABIC </w:instrText>
      </w:r>
      <w:r w:rsidRPr="00995BBA">
        <w:rPr>
          <w:rFonts w:ascii="Arial Narrow" w:hAnsi="Arial Narrow"/>
          <w:b/>
          <w:sz w:val="20"/>
        </w:rPr>
        <w:fldChar w:fldCharType="separate"/>
      </w:r>
      <w:r w:rsidR="00AE4BFA">
        <w:rPr>
          <w:rFonts w:ascii="Arial Narrow" w:hAnsi="Arial Narrow"/>
          <w:b/>
          <w:noProof/>
          <w:sz w:val="20"/>
        </w:rPr>
        <w:t>2</w:t>
      </w:r>
      <w:r w:rsidRPr="00995BBA">
        <w:rPr>
          <w:rFonts w:ascii="Arial Narrow" w:hAnsi="Arial Narrow"/>
          <w:b/>
          <w:sz w:val="20"/>
        </w:rPr>
        <w:fldChar w:fldCharType="end"/>
      </w:r>
      <w:bookmarkEnd w:id="3"/>
      <w:bookmarkEnd w:id="6"/>
      <w:r w:rsidRPr="00995BBA">
        <w:rPr>
          <w:rFonts w:ascii="Arial Narrow" w:hAnsi="Arial Narrow"/>
          <w:b/>
          <w:sz w:val="20"/>
        </w:rPr>
        <w:tab/>
        <w:t>Summary of the resubmission’s economic evaluation</w:t>
      </w:r>
      <w:bookmarkEnd w:id="4"/>
      <w:bookmarkEnd w:id="5"/>
      <w:r w:rsidRPr="00995BBA">
        <w:rPr>
          <w:rFonts w:ascii="Arial Narrow" w:hAnsi="Arial Narrow"/>
          <w:b/>
          <w:sz w:val="20"/>
        </w:rPr>
        <w:t xml:space="preserve"> </w:t>
      </w:r>
    </w:p>
    <w:tbl>
      <w:tblPr>
        <w:tblStyle w:val="Summarybox1"/>
        <w:tblW w:w="0" w:type="auto"/>
        <w:tblLook w:val="01E0" w:firstRow="1" w:lastRow="1" w:firstColumn="1" w:lastColumn="1" w:noHBand="0" w:noVBand="0"/>
        <w:tblCaption w:val="Summary of the economic evaluation"/>
        <w:tblDescription w:val="This table describes the key constructs of the economic evaluation that is provided in the assessment report."/>
      </w:tblPr>
      <w:tblGrid>
        <w:gridCol w:w="3182"/>
        <w:gridCol w:w="5834"/>
      </w:tblGrid>
      <w:tr w:rsidR="00031241" w:rsidRPr="00183E4D" w14:paraId="2C2FFE85" w14:textId="77777777" w:rsidTr="00995BBA">
        <w:trPr>
          <w:trHeight w:val="20"/>
          <w:tblHeader/>
        </w:trPr>
        <w:tc>
          <w:tcPr>
            <w:tcW w:w="3184" w:type="dxa"/>
          </w:tcPr>
          <w:p w14:paraId="20BF84EA" w14:textId="77777777" w:rsidR="00031241" w:rsidRPr="00183E4D" w:rsidRDefault="00031241" w:rsidP="00135EA6">
            <w:pPr>
              <w:pStyle w:val="Tabletext"/>
              <w:rPr>
                <w:b/>
              </w:rPr>
            </w:pPr>
            <w:r w:rsidRPr="00183E4D">
              <w:rPr>
                <w:b/>
              </w:rPr>
              <w:t>Perspective</w:t>
            </w:r>
          </w:p>
        </w:tc>
        <w:tc>
          <w:tcPr>
            <w:tcW w:w="5837" w:type="dxa"/>
          </w:tcPr>
          <w:p w14:paraId="6E5ACB23" w14:textId="77777777" w:rsidR="00031241" w:rsidRPr="00183E4D" w:rsidRDefault="00031241" w:rsidP="00135EA6">
            <w:pPr>
              <w:pStyle w:val="TableText0"/>
            </w:pPr>
            <w:r w:rsidRPr="002A5B8E">
              <w:rPr>
                <w:rFonts w:eastAsia="SimSun"/>
                <w:szCs w:val="20"/>
                <w:lang w:eastAsia="zh-CN"/>
              </w:rPr>
              <w:t>Australian government</w:t>
            </w:r>
          </w:p>
        </w:tc>
      </w:tr>
      <w:tr w:rsidR="00031241" w:rsidRPr="00183E4D" w14:paraId="06D6B4B5" w14:textId="77777777" w:rsidTr="00995BBA">
        <w:trPr>
          <w:trHeight w:val="20"/>
        </w:trPr>
        <w:tc>
          <w:tcPr>
            <w:tcW w:w="3184" w:type="dxa"/>
          </w:tcPr>
          <w:p w14:paraId="4843F115" w14:textId="77777777" w:rsidR="00031241" w:rsidRPr="00183E4D" w:rsidRDefault="00031241" w:rsidP="00135EA6">
            <w:pPr>
              <w:pStyle w:val="Tabletext"/>
              <w:rPr>
                <w:b/>
              </w:rPr>
            </w:pPr>
            <w:r w:rsidRPr="00183E4D">
              <w:rPr>
                <w:b/>
              </w:rPr>
              <w:t>Comparator</w:t>
            </w:r>
          </w:p>
        </w:tc>
        <w:tc>
          <w:tcPr>
            <w:tcW w:w="5837" w:type="dxa"/>
          </w:tcPr>
          <w:p w14:paraId="71849861" w14:textId="77777777" w:rsidR="00031241" w:rsidRPr="00183E4D" w:rsidRDefault="00031241" w:rsidP="00135EA6">
            <w:pPr>
              <w:pStyle w:val="TableText0"/>
            </w:pPr>
            <w:r w:rsidRPr="002A5B8E">
              <w:rPr>
                <w:rFonts w:eastAsia="SimSun"/>
                <w:szCs w:val="20"/>
                <w:lang w:eastAsia="zh-CN"/>
              </w:rPr>
              <w:t>HbA1c pathology laboratory testing</w:t>
            </w:r>
          </w:p>
        </w:tc>
      </w:tr>
      <w:tr w:rsidR="00031241" w:rsidRPr="00183E4D" w14:paraId="393B723A" w14:textId="77777777" w:rsidTr="00995BBA">
        <w:trPr>
          <w:trHeight w:val="20"/>
        </w:trPr>
        <w:tc>
          <w:tcPr>
            <w:tcW w:w="3184" w:type="dxa"/>
          </w:tcPr>
          <w:p w14:paraId="75DF33C8" w14:textId="77777777" w:rsidR="00031241" w:rsidRPr="00183E4D" w:rsidRDefault="00031241" w:rsidP="00135EA6">
            <w:pPr>
              <w:pStyle w:val="Tabletext"/>
              <w:rPr>
                <w:b/>
              </w:rPr>
            </w:pPr>
            <w:r w:rsidRPr="00183E4D">
              <w:rPr>
                <w:b/>
              </w:rPr>
              <w:t>Type of economic evaluation</w:t>
            </w:r>
          </w:p>
        </w:tc>
        <w:tc>
          <w:tcPr>
            <w:tcW w:w="5837" w:type="dxa"/>
          </w:tcPr>
          <w:p w14:paraId="0ED26A0F" w14:textId="77777777" w:rsidR="00031241" w:rsidRPr="00183E4D" w:rsidRDefault="00031241" w:rsidP="00135EA6">
            <w:pPr>
              <w:pStyle w:val="TableText0"/>
            </w:pPr>
            <w:r>
              <w:t>Cost-minimisation (base case); cost utility provided in sensitivity analysis</w:t>
            </w:r>
          </w:p>
        </w:tc>
      </w:tr>
      <w:tr w:rsidR="00031241" w:rsidRPr="00183E4D" w14:paraId="6C4B64ED" w14:textId="77777777" w:rsidTr="00995BBA">
        <w:trPr>
          <w:trHeight w:val="20"/>
        </w:trPr>
        <w:tc>
          <w:tcPr>
            <w:tcW w:w="3184" w:type="dxa"/>
          </w:tcPr>
          <w:p w14:paraId="3899FE6D" w14:textId="77777777" w:rsidR="00031241" w:rsidRPr="00183E4D" w:rsidRDefault="00031241" w:rsidP="00135EA6">
            <w:pPr>
              <w:pStyle w:val="Tabletext"/>
              <w:rPr>
                <w:b/>
              </w:rPr>
            </w:pPr>
            <w:r w:rsidRPr="00183E4D">
              <w:rPr>
                <w:b/>
              </w:rPr>
              <w:t>Sources of evidence</w:t>
            </w:r>
          </w:p>
        </w:tc>
        <w:tc>
          <w:tcPr>
            <w:tcW w:w="5837" w:type="dxa"/>
          </w:tcPr>
          <w:p w14:paraId="06C26FE5" w14:textId="77777777" w:rsidR="00031241" w:rsidRPr="00183E4D" w:rsidRDefault="00031241" w:rsidP="00135EA6">
            <w:pPr>
              <w:pStyle w:val="TableText0"/>
            </w:pPr>
            <w:r>
              <w:rPr>
                <w:rFonts w:eastAsia="SimSun"/>
                <w:szCs w:val="20"/>
                <w:lang w:eastAsia="zh-CN"/>
              </w:rPr>
              <w:t xml:space="preserve">RCT </w:t>
            </w:r>
            <w:r w:rsidRPr="002A5B8E">
              <w:rPr>
                <w:rFonts w:eastAsia="SimSun"/>
                <w:szCs w:val="20"/>
                <w:lang w:eastAsia="zh-CN"/>
              </w:rPr>
              <w:t xml:space="preserve">of </w:t>
            </w:r>
            <w:proofErr w:type="spellStart"/>
            <w:r w:rsidRPr="002A5B8E">
              <w:rPr>
                <w:rFonts w:eastAsia="SimSun"/>
                <w:szCs w:val="20"/>
                <w:lang w:eastAsia="zh-CN"/>
              </w:rPr>
              <w:t>PoC</w:t>
            </w:r>
            <w:proofErr w:type="spellEnd"/>
            <w:r w:rsidRPr="002A5B8E">
              <w:rPr>
                <w:rFonts w:eastAsia="SimSun"/>
                <w:szCs w:val="20"/>
                <w:lang w:eastAsia="zh-CN"/>
              </w:rPr>
              <w:t xml:space="preserve"> testing in Australia; systematic review of economic evaluations</w:t>
            </w:r>
          </w:p>
        </w:tc>
      </w:tr>
      <w:tr w:rsidR="00031241" w:rsidRPr="00183E4D" w14:paraId="5DDADDB3" w14:textId="77777777" w:rsidTr="00995BBA">
        <w:trPr>
          <w:trHeight w:val="20"/>
        </w:trPr>
        <w:tc>
          <w:tcPr>
            <w:tcW w:w="3184" w:type="dxa"/>
            <w:hideMark/>
          </w:tcPr>
          <w:p w14:paraId="236BD5E8" w14:textId="77777777" w:rsidR="00031241" w:rsidRPr="00183E4D" w:rsidRDefault="00031241" w:rsidP="00135EA6">
            <w:pPr>
              <w:pStyle w:val="Tabletext"/>
              <w:rPr>
                <w:b/>
              </w:rPr>
            </w:pPr>
            <w:r w:rsidRPr="00183E4D">
              <w:rPr>
                <w:b/>
              </w:rPr>
              <w:t>Time horizon</w:t>
            </w:r>
          </w:p>
        </w:tc>
        <w:tc>
          <w:tcPr>
            <w:tcW w:w="5837" w:type="dxa"/>
            <w:hideMark/>
          </w:tcPr>
          <w:p w14:paraId="7AF9D7DB" w14:textId="77777777" w:rsidR="00031241" w:rsidRPr="00183E4D" w:rsidRDefault="00031241" w:rsidP="00135EA6">
            <w:pPr>
              <w:pStyle w:val="TableText0"/>
            </w:pPr>
            <w:r>
              <w:t>3 years</w:t>
            </w:r>
          </w:p>
        </w:tc>
      </w:tr>
      <w:tr w:rsidR="00031241" w:rsidRPr="00183E4D" w14:paraId="42C70E6F" w14:textId="77777777" w:rsidTr="00995BBA">
        <w:trPr>
          <w:trHeight w:val="20"/>
        </w:trPr>
        <w:tc>
          <w:tcPr>
            <w:tcW w:w="3184" w:type="dxa"/>
            <w:hideMark/>
          </w:tcPr>
          <w:p w14:paraId="307800A8" w14:textId="77777777" w:rsidR="00031241" w:rsidRPr="00183E4D" w:rsidRDefault="00031241" w:rsidP="00135EA6">
            <w:pPr>
              <w:pStyle w:val="Tabletext"/>
              <w:rPr>
                <w:b/>
              </w:rPr>
            </w:pPr>
            <w:r w:rsidRPr="00183E4D">
              <w:rPr>
                <w:b/>
              </w:rPr>
              <w:t>Outcomes</w:t>
            </w:r>
          </w:p>
        </w:tc>
        <w:tc>
          <w:tcPr>
            <w:tcW w:w="5837" w:type="dxa"/>
          </w:tcPr>
          <w:p w14:paraId="06BE04B4" w14:textId="77777777" w:rsidR="00031241" w:rsidRPr="00183E4D" w:rsidRDefault="00031241" w:rsidP="00135EA6">
            <w:pPr>
              <w:pStyle w:val="TableText0"/>
            </w:pPr>
            <w:r>
              <w:t>Incremental cost</w:t>
            </w:r>
          </w:p>
        </w:tc>
      </w:tr>
      <w:tr w:rsidR="00031241" w:rsidRPr="00183E4D" w14:paraId="09633E0F" w14:textId="77777777" w:rsidTr="00995BBA">
        <w:trPr>
          <w:trHeight w:val="20"/>
        </w:trPr>
        <w:tc>
          <w:tcPr>
            <w:tcW w:w="3184" w:type="dxa"/>
            <w:hideMark/>
          </w:tcPr>
          <w:p w14:paraId="69819622" w14:textId="77777777" w:rsidR="00031241" w:rsidRPr="00183E4D" w:rsidRDefault="00031241" w:rsidP="00135EA6">
            <w:pPr>
              <w:pStyle w:val="Tabletext"/>
              <w:rPr>
                <w:b/>
              </w:rPr>
            </w:pPr>
            <w:r w:rsidRPr="00183E4D">
              <w:rPr>
                <w:b/>
              </w:rPr>
              <w:t>Methods used to generate results</w:t>
            </w:r>
          </w:p>
        </w:tc>
        <w:tc>
          <w:tcPr>
            <w:tcW w:w="5837" w:type="dxa"/>
          </w:tcPr>
          <w:p w14:paraId="2B698014" w14:textId="77777777" w:rsidR="00031241" w:rsidRPr="00183E4D" w:rsidRDefault="00031241" w:rsidP="00135EA6">
            <w:pPr>
              <w:pStyle w:val="TableText0"/>
            </w:pPr>
            <w:r>
              <w:t>Cost comparison</w:t>
            </w:r>
          </w:p>
        </w:tc>
      </w:tr>
      <w:tr w:rsidR="00031241" w:rsidRPr="00183E4D" w14:paraId="315EF7EE" w14:textId="77777777" w:rsidTr="00995BBA">
        <w:trPr>
          <w:trHeight w:val="20"/>
        </w:trPr>
        <w:tc>
          <w:tcPr>
            <w:tcW w:w="3184" w:type="dxa"/>
            <w:hideMark/>
          </w:tcPr>
          <w:p w14:paraId="3F50812B" w14:textId="77777777" w:rsidR="00031241" w:rsidRPr="00183E4D" w:rsidRDefault="00031241" w:rsidP="00135EA6">
            <w:pPr>
              <w:pStyle w:val="Tabletext"/>
              <w:rPr>
                <w:b/>
              </w:rPr>
            </w:pPr>
            <w:r w:rsidRPr="00183E4D">
              <w:rPr>
                <w:b/>
              </w:rPr>
              <w:t>Cycle length</w:t>
            </w:r>
          </w:p>
        </w:tc>
        <w:tc>
          <w:tcPr>
            <w:tcW w:w="5837" w:type="dxa"/>
          </w:tcPr>
          <w:p w14:paraId="0E781F8C" w14:textId="77777777" w:rsidR="00031241" w:rsidRPr="00183E4D" w:rsidRDefault="00031241" w:rsidP="00135EA6">
            <w:pPr>
              <w:pStyle w:val="TableText0"/>
            </w:pPr>
            <w:r>
              <w:t>3 months</w:t>
            </w:r>
          </w:p>
        </w:tc>
      </w:tr>
      <w:tr w:rsidR="00031241" w:rsidRPr="00183E4D" w14:paraId="0DB0B420" w14:textId="77777777" w:rsidTr="00995BBA">
        <w:trPr>
          <w:trHeight w:val="20"/>
        </w:trPr>
        <w:tc>
          <w:tcPr>
            <w:tcW w:w="3184" w:type="dxa"/>
            <w:hideMark/>
          </w:tcPr>
          <w:p w14:paraId="235A3689" w14:textId="77777777" w:rsidR="00031241" w:rsidRPr="00183E4D" w:rsidRDefault="00031241" w:rsidP="00135EA6">
            <w:pPr>
              <w:pStyle w:val="Tabletext"/>
              <w:rPr>
                <w:b/>
              </w:rPr>
            </w:pPr>
            <w:r w:rsidRPr="00183E4D">
              <w:rPr>
                <w:b/>
              </w:rPr>
              <w:t>Discount rate</w:t>
            </w:r>
          </w:p>
        </w:tc>
        <w:tc>
          <w:tcPr>
            <w:tcW w:w="5837" w:type="dxa"/>
          </w:tcPr>
          <w:p w14:paraId="56EAEDC6" w14:textId="77777777" w:rsidR="00031241" w:rsidRPr="00183E4D" w:rsidRDefault="00031241" w:rsidP="00135EA6">
            <w:pPr>
              <w:pStyle w:val="TableText0"/>
            </w:pPr>
            <w:r>
              <w:t>5% per annum</w:t>
            </w:r>
          </w:p>
        </w:tc>
      </w:tr>
      <w:tr w:rsidR="00031241" w:rsidRPr="00183E4D" w14:paraId="5AFE873C" w14:textId="77777777" w:rsidTr="00995BBA">
        <w:trPr>
          <w:trHeight w:val="20"/>
        </w:trPr>
        <w:tc>
          <w:tcPr>
            <w:tcW w:w="3184" w:type="dxa"/>
            <w:hideMark/>
          </w:tcPr>
          <w:p w14:paraId="4EFAF861" w14:textId="77777777" w:rsidR="00031241" w:rsidRPr="00183E4D" w:rsidRDefault="00031241" w:rsidP="00135EA6">
            <w:pPr>
              <w:pStyle w:val="Tabletext"/>
              <w:rPr>
                <w:b/>
              </w:rPr>
            </w:pPr>
            <w:r w:rsidRPr="00183E4D">
              <w:rPr>
                <w:b/>
              </w:rPr>
              <w:t>Software packages used</w:t>
            </w:r>
          </w:p>
        </w:tc>
        <w:tc>
          <w:tcPr>
            <w:tcW w:w="5837" w:type="dxa"/>
          </w:tcPr>
          <w:p w14:paraId="0D178964" w14:textId="77777777" w:rsidR="00031241" w:rsidRPr="00183E4D" w:rsidRDefault="00031241" w:rsidP="00135EA6">
            <w:pPr>
              <w:pStyle w:val="TableText0"/>
            </w:pPr>
            <w:r>
              <w:t>Microsoft Excel 2016</w:t>
            </w:r>
          </w:p>
        </w:tc>
      </w:tr>
    </w:tbl>
    <w:p w14:paraId="7196F4B1" w14:textId="77777777" w:rsidR="00031241" w:rsidRDefault="00031241" w:rsidP="00031241">
      <w:pPr>
        <w:pStyle w:val="Tablenotes"/>
        <w:rPr>
          <w:rFonts w:eastAsia="SimSun"/>
        </w:rPr>
      </w:pPr>
      <w:r w:rsidRPr="007F4B14">
        <w:rPr>
          <w:rFonts w:eastAsia="SimSun"/>
        </w:rPr>
        <w:t>Source: Extracted from Table 6</w:t>
      </w:r>
      <w:r>
        <w:rPr>
          <w:rFonts w:eastAsia="SimSun"/>
        </w:rPr>
        <w:t>, p19</w:t>
      </w:r>
      <w:r w:rsidRPr="007F4B14">
        <w:rPr>
          <w:rFonts w:eastAsia="SimSun"/>
        </w:rPr>
        <w:t xml:space="preserve"> of the resubmission</w:t>
      </w:r>
    </w:p>
    <w:p w14:paraId="473619B8" w14:textId="77777777" w:rsidR="00031241" w:rsidRDefault="00031241" w:rsidP="00031241">
      <w:pPr>
        <w:pStyle w:val="Tablenotes"/>
        <w:rPr>
          <w:rFonts w:eastAsia="SimSun"/>
        </w:rPr>
      </w:pPr>
      <w:r>
        <w:rPr>
          <w:rFonts w:eastAsia="SimSun"/>
        </w:rPr>
        <w:t xml:space="preserve">HbA1c = glycated haemoglobin; </w:t>
      </w:r>
      <w:proofErr w:type="spellStart"/>
      <w:r>
        <w:rPr>
          <w:rFonts w:eastAsia="SimSun"/>
        </w:rPr>
        <w:t>PoC</w:t>
      </w:r>
      <w:proofErr w:type="spellEnd"/>
      <w:r>
        <w:rPr>
          <w:rFonts w:eastAsia="SimSun"/>
        </w:rPr>
        <w:t xml:space="preserve"> = Point of Care; RCT = r</w:t>
      </w:r>
      <w:r w:rsidRPr="002A5B8E">
        <w:rPr>
          <w:rFonts w:eastAsia="SimSun"/>
        </w:rPr>
        <w:t>andomised controlled trial</w:t>
      </w:r>
    </w:p>
    <w:p w14:paraId="61CB3378" w14:textId="32317637" w:rsidR="00C368DD" w:rsidRPr="00C368DD" w:rsidRDefault="00031241" w:rsidP="000934B8">
      <w:pPr>
        <w:spacing w:before="240" w:after="240"/>
      </w:pPr>
      <w:r>
        <w:t>The overall costs</w:t>
      </w:r>
      <w:r w:rsidRPr="00183E4D">
        <w:t xml:space="preserve"> and incremental costs as calculated for the </w:t>
      </w:r>
      <w:r>
        <w:t>testing strategy</w:t>
      </w:r>
      <w:r w:rsidRPr="00183E4D">
        <w:t xml:space="preserve"> and comparat</w:t>
      </w:r>
      <w:r>
        <w:t>ive testing strategy</w:t>
      </w:r>
      <w:r w:rsidRPr="00183E4D">
        <w:t xml:space="preserve"> in </w:t>
      </w:r>
      <w:r>
        <w:t>the model, and using</w:t>
      </w:r>
      <w:r w:rsidRPr="00183E4D">
        <w:t xml:space="preserve"> the base case assumption</w:t>
      </w:r>
      <w:r w:rsidR="00C368DD">
        <w:t xml:space="preserve">s are shown in </w:t>
      </w:r>
      <w:r w:rsidR="00C368DD" w:rsidRPr="00446965">
        <w:rPr>
          <w:szCs w:val="24"/>
        </w:rPr>
        <w:fldChar w:fldCharType="begin"/>
      </w:r>
      <w:r w:rsidR="00C368DD" w:rsidRPr="00446965">
        <w:rPr>
          <w:szCs w:val="24"/>
        </w:rPr>
        <w:instrText xml:space="preserve"> REF _Ref531788796 \h </w:instrText>
      </w:r>
      <w:r w:rsidR="00446965" w:rsidRPr="00446965">
        <w:rPr>
          <w:szCs w:val="24"/>
        </w:rPr>
        <w:instrText xml:space="preserve"> \* MERGEFORMAT </w:instrText>
      </w:r>
      <w:r w:rsidR="00C368DD" w:rsidRPr="00446965">
        <w:rPr>
          <w:szCs w:val="24"/>
        </w:rPr>
      </w:r>
      <w:r w:rsidR="00C368DD" w:rsidRPr="00446965">
        <w:rPr>
          <w:szCs w:val="24"/>
        </w:rPr>
        <w:fldChar w:fldCharType="separate"/>
      </w:r>
      <w:r w:rsidR="00AE4BFA" w:rsidRPr="00446965">
        <w:rPr>
          <w:rFonts w:eastAsia="SimSun"/>
          <w:szCs w:val="24"/>
        </w:rPr>
        <w:t xml:space="preserve">Table </w:t>
      </w:r>
      <w:r w:rsidR="00AE4BFA" w:rsidRPr="00446965">
        <w:rPr>
          <w:noProof/>
          <w:szCs w:val="24"/>
        </w:rPr>
        <w:t>3</w:t>
      </w:r>
      <w:r w:rsidR="00C368DD" w:rsidRPr="00446965">
        <w:rPr>
          <w:szCs w:val="24"/>
        </w:rPr>
        <w:fldChar w:fldCharType="end"/>
      </w:r>
      <w:r w:rsidR="00C368DD">
        <w:t>.</w:t>
      </w:r>
    </w:p>
    <w:p w14:paraId="2B441498" w14:textId="6C2EA8AF" w:rsidR="00031241" w:rsidRPr="00995BBA" w:rsidRDefault="00031241" w:rsidP="002537D5">
      <w:pPr>
        <w:keepNext/>
        <w:keepLines/>
        <w:rPr>
          <w:rFonts w:ascii="Arial Narrow" w:hAnsi="Arial Narrow"/>
          <w:b/>
          <w:sz w:val="20"/>
        </w:rPr>
      </w:pPr>
      <w:bookmarkStart w:id="7" w:name="_Ref531788796"/>
      <w:bookmarkStart w:id="8" w:name="_Toc534796347"/>
      <w:r w:rsidRPr="00995BBA">
        <w:rPr>
          <w:rFonts w:ascii="Arial Narrow" w:eastAsia="SimSun" w:hAnsi="Arial Narrow"/>
          <w:b/>
          <w:sz w:val="20"/>
        </w:rPr>
        <w:lastRenderedPageBreak/>
        <w:t xml:space="preserve">Table </w:t>
      </w:r>
      <w:r w:rsidRPr="00995BBA">
        <w:rPr>
          <w:rFonts w:ascii="Arial Narrow" w:hAnsi="Arial Narrow"/>
          <w:b/>
          <w:sz w:val="20"/>
        </w:rPr>
        <w:fldChar w:fldCharType="begin"/>
      </w:r>
      <w:r w:rsidRPr="00995BBA">
        <w:rPr>
          <w:rFonts w:ascii="Arial Narrow" w:hAnsi="Arial Narrow"/>
          <w:b/>
          <w:sz w:val="20"/>
        </w:rPr>
        <w:instrText xml:space="preserve"> SEQ Table \* ARABIC </w:instrText>
      </w:r>
      <w:r w:rsidRPr="00995BBA">
        <w:rPr>
          <w:rFonts w:ascii="Arial Narrow" w:hAnsi="Arial Narrow"/>
          <w:b/>
          <w:sz w:val="20"/>
        </w:rPr>
        <w:fldChar w:fldCharType="separate"/>
      </w:r>
      <w:r w:rsidR="00AE4BFA">
        <w:rPr>
          <w:rFonts w:ascii="Arial Narrow" w:hAnsi="Arial Narrow"/>
          <w:b/>
          <w:noProof/>
          <w:sz w:val="20"/>
        </w:rPr>
        <w:t>3</w:t>
      </w:r>
      <w:r w:rsidRPr="00995BBA">
        <w:rPr>
          <w:rFonts w:ascii="Arial Narrow" w:hAnsi="Arial Narrow"/>
          <w:b/>
          <w:sz w:val="20"/>
        </w:rPr>
        <w:fldChar w:fldCharType="end"/>
      </w:r>
      <w:bookmarkEnd w:id="7"/>
      <w:r w:rsidRPr="00995BBA">
        <w:rPr>
          <w:rFonts w:ascii="Arial Narrow" w:hAnsi="Arial Narrow"/>
          <w:b/>
          <w:sz w:val="20"/>
        </w:rPr>
        <w:tab/>
      </w:r>
      <w:r w:rsidRPr="00995BBA">
        <w:rPr>
          <w:rFonts w:ascii="Arial Narrow" w:hAnsi="Arial Narrow"/>
          <w:b/>
          <w:sz w:val="20"/>
        </w:rPr>
        <w:tab/>
      </w:r>
      <w:r w:rsidRPr="00995BBA">
        <w:rPr>
          <w:rFonts w:ascii="Arial Narrow" w:eastAsia="SimSun" w:hAnsi="Arial Narrow"/>
          <w:b/>
          <w:sz w:val="20"/>
        </w:rPr>
        <w:t>Results of cost-minimisation analysis for HbA1c testing</w:t>
      </w:r>
      <w:bookmarkEnd w:id="8"/>
      <w:r w:rsidRPr="00995BBA">
        <w:rPr>
          <w:rFonts w:ascii="Arial Narrow" w:eastAsia="SimSun" w:hAnsi="Arial Narrow"/>
          <w:b/>
          <w:sz w:val="20"/>
        </w:rPr>
        <w:t xml:space="preserve"> </w:t>
      </w:r>
    </w:p>
    <w:tbl>
      <w:tblPr>
        <w:tblStyle w:val="Summarybox1"/>
        <w:tblW w:w="5000" w:type="pct"/>
        <w:tblLook w:val="04A0" w:firstRow="1" w:lastRow="0" w:firstColumn="1" w:lastColumn="0" w:noHBand="0" w:noVBand="1"/>
        <w:tblCaption w:val="Results of cost-minimisation analysis for HbA1c testing "/>
        <w:tblDescription w:val="discounted and undiscounted incremental cost differences"/>
      </w:tblPr>
      <w:tblGrid>
        <w:gridCol w:w="2873"/>
        <w:gridCol w:w="2048"/>
        <w:gridCol w:w="2048"/>
        <w:gridCol w:w="2047"/>
      </w:tblGrid>
      <w:tr w:rsidR="00031241" w:rsidRPr="00FC25CC" w14:paraId="2A872BBD" w14:textId="77777777" w:rsidTr="00995BBA">
        <w:trPr>
          <w:tblHeader/>
        </w:trPr>
        <w:tc>
          <w:tcPr>
            <w:tcW w:w="1593" w:type="pct"/>
          </w:tcPr>
          <w:p w14:paraId="6DD6D22C" w14:textId="77777777" w:rsidR="00031241" w:rsidRPr="00E45CBC" w:rsidRDefault="00031241" w:rsidP="002537D5">
            <w:pPr>
              <w:pStyle w:val="Tabletext"/>
              <w:keepNext/>
              <w:keepLines/>
              <w:spacing w:before="0" w:after="0"/>
              <w:rPr>
                <w:b/>
              </w:rPr>
            </w:pPr>
            <w:r w:rsidRPr="00EC7748">
              <w:rPr>
                <w:rFonts w:eastAsia="SimSun"/>
                <w:b/>
                <w:lang w:eastAsia="zh-CN"/>
              </w:rPr>
              <w:t>Step</w:t>
            </w:r>
          </w:p>
        </w:tc>
        <w:tc>
          <w:tcPr>
            <w:tcW w:w="1136" w:type="pct"/>
          </w:tcPr>
          <w:p w14:paraId="6549E2B6" w14:textId="77777777" w:rsidR="00031241" w:rsidRPr="000E1A71" w:rsidRDefault="00031241" w:rsidP="002537D5">
            <w:pPr>
              <w:pStyle w:val="Tabletext"/>
              <w:keepNext/>
              <w:keepLines/>
              <w:spacing w:before="0" w:after="0"/>
              <w:rPr>
                <w:b/>
                <w:vertAlign w:val="superscript"/>
              </w:rPr>
            </w:pPr>
            <w:proofErr w:type="spellStart"/>
            <w:r>
              <w:rPr>
                <w:rFonts w:eastAsia="SimSun"/>
                <w:b/>
                <w:lang w:eastAsia="zh-CN"/>
              </w:rPr>
              <w:t>Po</w:t>
            </w:r>
            <w:r w:rsidRPr="00EC7748">
              <w:rPr>
                <w:rFonts w:eastAsia="SimSun"/>
                <w:b/>
                <w:lang w:eastAsia="zh-CN"/>
              </w:rPr>
              <w:t>C</w:t>
            </w:r>
            <w:proofErr w:type="spellEnd"/>
            <w:r w:rsidRPr="00EC7748">
              <w:rPr>
                <w:rFonts w:eastAsia="SimSun"/>
                <w:b/>
                <w:lang w:eastAsia="zh-CN"/>
              </w:rPr>
              <w:t xml:space="preserve"> </w:t>
            </w:r>
            <w:proofErr w:type="spellStart"/>
            <w:r w:rsidRPr="00EC7748">
              <w:rPr>
                <w:rFonts w:eastAsia="SimSun"/>
                <w:b/>
                <w:lang w:eastAsia="zh-CN"/>
              </w:rPr>
              <w:t>testing</w:t>
            </w:r>
            <w:r w:rsidRPr="00E16C9F">
              <w:rPr>
                <w:rFonts w:eastAsia="SimSun"/>
                <w:b/>
                <w:i/>
                <w:vertAlign w:val="superscript"/>
                <w:lang w:eastAsia="zh-CN"/>
              </w:rPr>
              <w:t>a</w:t>
            </w:r>
            <w:proofErr w:type="spellEnd"/>
          </w:p>
        </w:tc>
        <w:tc>
          <w:tcPr>
            <w:tcW w:w="1136" w:type="pct"/>
          </w:tcPr>
          <w:p w14:paraId="5E8B3C5A" w14:textId="77777777" w:rsidR="00031241" w:rsidRPr="000E1A71" w:rsidRDefault="00031241" w:rsidP="002537D5">
            <w:pPr>
              <w:pStyle w:val="Tabletext"/>
              <w:keepNext/>
              <w:keepLines/>
              <w:spacing w:before="0" w:after="0"/>
              <w:rPr>
                <w:b/>
                <w:color w:val="C00000"/>
                <w:vertAlign w:val="superscript"/>
              </w:rPr>
            </w:pPr>
            <w:r w:rsidRPr="00EC7748">
              <w:rPr>
                <w:rFonts w:eastAsia="SimSun"/>
                <w:b/>
                <w:lang w:eastAsia="zh-CN"/>
              </w:rPr>
              <w:t xml:space="preserve">Pathology laboratory </w:t>
            </w:r>
            <w:proofErr w:type="spellStart"/>
            <w:r w:rsidRPr="00EC7748">
              <w:rPr>
                <w:rFonts w:eastAsia="SimSun"/>
                <w:b/>
                <w:lang w:eastAsia="zh-CN"/>
              </w:rPr>
              <w:t>testing</w:t>
            </w:r>
            <w:r w:rsidRPr="00BC3E9D">
              <w:rPr>
                <w:rFonts w:eastAsia="SimSun"/>
                <w:b/>
                <w:vertAlign w:val="superscript"/>
                <w:lang w:eastAsia="zh-CN"/>
              </w:rPr>
              <w:t>a</w:t>
            </w:r>
            <w:proofErr w:type="spellEnd"/>
          </w:p>
        </w:tc>
        <w:tc>
          <w:tcPr>
            <w:tcW w:w="1136" w:type="pct"/>
          </w:tcPr>
          <w:p w14:paraId="1E97398A" w14:textId="77777777" w:rsidR="00031241" w:rsidRPr="00FC25CC" w:rsidRDefault="00031241" w:rsidP="002537D5">
            <w:pPr>
              <w:pStyle w:val="Tabletext"/>
              <w:keepNext/>
              <w:keepLines/>
              <w:spacing w:before="0" w:after="0"/>
              <w:rPr>
                <w:b/>
              </w:rPr>
            </w:pPr>
            <w:r w:rsidRPr="00EC7748">
              <w:rPr>
                <w:rFonts w:eastAsia="SimSun"/>
                <w:b/>
                <w:lang w:eastAsia="zh-CN"/>
              </w:rPr>
              <w:t>Incremental difference</w:t>
            </w:r>
          </w:p>
        </w:tc>
      </w:tr>
      <w:tr w:rsidR="00031241" w:rsidRPr="00E45CBC" w14:paraId="2BB4270B" w14:textId="77777777" w:rsidTr="00995BBA">
        <w:tc>
          <w:tcPr>
            <w:tcW w:w="1593" w:type="pct"/>
          </w:tcPr>
          <w:p w14:paraId="1EA5CBE0" w14:textId="77777777" w:rsidR="00031241" w:rsidRPr="00F833E9" w:rsidRDefault="00031241" w:rsidP="002537D5">
            <w:pPr>
              <w:pStyle w:val="Tabletext"/>
              <w:keepNext/>
              <w:spacing w:before="0" w:after="0"/>
              <w:rPr>
                <w:b/>
                <w:szCs w:val="18"/>
                <w:vertAlign w:val="superscript"/>
              </w:rPr>
            </w:pPr>
            <w:r w:rsidRPr="000E361C">
              <w:rPr>
                <w:rFonts w:eastAsia="SimSun"/>
                <w:b/>
                <w:szCs w:val="18"/>
                <w:lang w:eastAsia="zh-CN"/>
              </w:rPr>
              <w:t>Step 1: 18 months (Trial-based)</w:t>
            </w:r>
            <w:r w:rsidRPr="00E16C9F">
              <w:rPr>
                <w:rFonts w:eastAsia="SimSun"/>
                <w:b/>
                <w:i/>
                <w:szCs w:val="18"/>
                <w:vertAlign w:val="superscript"/>
                <w:lang w:eastAsia="zh-CN"/>
              </w:rPr>
              <w:t>b</w:t>
            </w:r>
          </w:p>
        </w:tc>
        <w:tc>
          <w:tcPr>
            <w:tcW w:w="1136" w:type="pct"/>
          </w:tcPr>
          <w:p w14:paraId="598B1E86" w14:textId="77777777" w:rsidR="00031241" w:rsidRPr="000E361C" w:rsidRDefault="00031241" w:rsidP="002537D5">
            <w:pPr>
              <w:pStyle w:val="Tabletext"/>
              <w:keepNext/>
              <w:spacing w:before="0" w:after="0"/>
              <w:rPr>
                <w:szCs w:val="18"/>
              </w:rPr>
            </w:pPr>
          </w:p>
        </w:tc>
        <w:tc>
          <w:tcPr>
            <w:tcW w:w="1136" w:type="pct"/>
          </w:tcPr>
          <w:p w14:paraId="491EE5D4" w14:textId="77777777" w:rsidR="00031241" w:rsidRPr="000E361C" w:rsidRDefault="00031241" w:rsidP="002537D5">
            <w:pPr>
              <w:pStyle w:val="Tabletext"/>
              <w:keepNext/>
              <w:spacing w:before="0" w:after="0"/>
              <w:rPr>
                <w:szCs w:val="18"/>
              </w:rPr>
            </w:pPr>
          </w:p>
        </w:tc>
        <w:tc>
          <w:tcPr>
            <w:tcW w:w="1136" w:type="pct"/>
          </w:tcPr>
          <w:p w14:paraId="4163C61D" w14:textId="77777777" w:rsidR="00031241" w:rsidRPr="000E361C" w:rsidRDefault="00031241" w:rsidP="002537D5">
            <w:pPr>
              <w:pStyle w:val="Tabletext"/>
              <w:keepNext/>
              <w:spacing w:before="0" w:after="0"/>
              <w:rPr>
                <w:szCs w:val="18"/>
              </w:rPr>
            </w:pPr>
          </w:p>
        </w:tc>
      </w:tr>
      <w:tr w:rsidR="00031241" w:rsidRPr="00E45CBC" w14:paraId="27B1BEF1" w14:textId="77777777" w:rsidTr="00995BBA">
        <w:tc>
          <w:tcPr>
            <w:tcW w:w="1593" w:type="pct"/>
          </w:tcPr>
          <w:p w14:paraId="394AA90A" w14:textId="77777777" w:rsidR="00031241" w:rsidRPr="000E361C" w:rsidRDefault="00031241" w:rsidP="002537D5">
            <w:pPr>
              <w:pStyle w:val="Tabletext"/>
              <w:keepNext/>
              <w:spacing w:before="0" w:after="0"/>
              <w:rPr>
                <w:szCs w:val="18"/>
              </w:rPr>
            </w:pPr>
            <w:r w:rsidRPr="000E361C">
              <w:rPr>
                <w:rFonts w:eastAsia="SimSun"/>
                <w:szCs w:val="18"/>
                <w:lang w:eastAsia="zh-CN"/>
              </w:rPr>
              <w:t>Cost</w:t>
            </w:r>
          </w:p>
        </w:tc>
        <w:tc>
          <w:tcPr>
            <w:tcW w:w="1136" w:type="pct"/>
          </w:tcPr>
          <w:p w14:paraId="0043A886" w14:textId="77777777" w:rsidR="00031241" w:rsidRPr="000E361C" w:rsidRDefault="00031241" w:rsidP="002537D5">
            <w:pPr>
              <w:pStyle w:val="Tabletext"/>
              <w:keepNext/>
              <w:spacing w:before="0" w:after="0"/>
              <w:jc w:val="center"/>
              <w:rPr>
                <w:szCs w:val="18"/>
              </w:rPr>
            </w:pPr>
            <w:r w:rsidRPr="000E361C">
              <w:rPr>
                <w:rFonts w:eastAsia="SimSun"/>
                <w:szCs w:val="18"/>
                <w:lang w:eastAsia="zh-CN"/>
              </w:rPr>
              <w:t>$147.18</w:t>
            </w:r>
          </w:p>
        </w:tc>
        <w:tc>
          <w:tcPr>
            <w:tcW w:w="1136" w:type="pct"/>
          </w:tcPr>
          <w:p w14:paraId="3EA4BF86" w14:textId="77777777" w:rsidR="00031241" w:rsidRPr="000E361C" w:rsidRDefault="00031241" w:rsidP="002537D5">
            <w:pPr>
              <w:pStyle w:val="Tabletext"/>
              <w:keepNext/>
              <w:spacing w:before="0" w:after="0"/>
              <w:jc w:val="center"/>
              <w:rPr>
                <w:szCs w:val="18"/>
              </w:rPr>
            </w:pPr>
            <w:r w:rsidRPr="000E361C">
              <w:rPr>
                <w:rFonts w:eastAsia="SimSun"/>
                <w:szCs w:val="18"/>
                <w:lang w:eastAsia="zh-CN"/>
              </w:rPr>
              <w:t>$148.18</w:t>
            </w:r>
          </w:p>
        </w:tc>
        <w:tc>
          <w:tcPr>
            <w:tcW w:w="1136" w:type="pct"/>
          </w:tcPr>
          <w:p w14:paraId="51543CEA" w14:textId="77777777" w:rsidR="00031241" w:rsidRPr="000E361C" w:rsidRDefault="00031241" w:rsidP="002537D5">
            <w:pPr>
              <w:pStyle w:val="Tabletext"/>
              <w:keepNext/>
              <w:spacing w:before="0" w:after="0"/>
              <w:jc w:val="center"/>
              <w:rPr>
                <w:szCs w:val="18"/>
              </w:rPr>
            </w:pPr>
            <w:r w:rsidRPr="000E361C">
              <w:rPr>
                <w:rFonts w:eastAsia="SimSun"/>
                <w:szCs w:val="18"/>
                <w:lang w:eastAsia="zh-CN"/>
              </w:rPr>
              <w:t>-$1.00</w:t>
            </w:r>
          </w:p>
        </w:tc>
      </w:tr>
      <w:tr w:rsidR="00031241" w:rsidRPr="00E45CBC" w14:paraId="0ACBD1CC" w14:textId="77777777" w:rsidTr="00995BBA">
        <w:tc>
          <w:tcPr>
            <w:tcW w:w="1593" w:type="pct"/>
          </w:tcPr>
          <w:p w14:paraId="68F6E689" w14:textId="77777777" w:rsidR="00031241" w:rsidRPr="000E361C" w:rsidRDefault="00031241" w:rsidP="002537D5">
            <w:pPr>
              <w:pStyle w:val="Tabletext"/>
              <w:keepNext/>
              <w:spacing w:before="0" w:after="0"/>
              <w:rPr>
                <w:szCs w:val="18"/>
              </w:rPr>
            </w:pPr>
            <w:r w:rsidRPr="000E361C">
              <w:rPr>
                <w:rFonts w:eastAsia="SimSun"/>
                <w:szCs w:val="18"/>
                <w:lang w:val="en-US" w:eastAsia="zh-CN"/>
              </w:rPr>
              <w:t>Cost (discounted)</w:t>
            </w:r>
          </w:p>
        </w:tc>
        <w:tc>
          <w:tcPr>
            <w:tcW w:w="1136" w:type="pct"/>
          </w:tcPr>
          <w:p w14:paraId="62F6FE71" w14:textId="77777777" w:rsidR="00031241" w:rsidRPr="000E361C" w:rsidRDefault="00031241" w:rsidP="002537D5">
            <w:pPr>
              <w:pStyle w:val="Tabletext"/>
              <w:keepNext/>
              <w:spacing w:before="0" w:after="0"/>
              <w:jc w:val="center"/>
              <w:rPr>
                <w:szCs w:val="18"/>
              </w:rPr>
            </w:pPr>
            <w:r w:rsidRPr="000E361C">
              <w:rPr>
                <w:rFonts w:eastAsia="SimSun"/>
                <w:szCs w:val="18"/>
                <w:lang w:eastAsia="zh-CN"/>
              </w:rPr>
              <w:t>$141.80</w:t>
            </w:r>
          </w:p>
        </w:tc>
        <w:tc>
          <w:tcPr>
            <w:tcW w:w="1136" w:type="pct"/>
          </w:tcPr>
          <w:p w14:paraId="388C2BBD" w14:textId="77777777" w:rsidR="00031241" w:rsidRPr="000E361C" w:rsidRDefault="00031241" w:rsidP="002537D5">
            <w:pPr>
              <w:pStyle w:val="Tabletext"/>
              <w:keepNext/>
              <w:spacing w:before="0" w:after="0"/>
              <w:jc w:val="center"/>
              <w:rPr>
                <w:szCs w:val="18"/>
              </w:rPr>
            </w:pPr>
            <w:r w:rsidRPr="000E361C">
              <w:rPr>
                <w:rFonts w:eastAsia="SimSun"/>
                <w:szCs w:val="18"/>
                <w:lang w:eastAsia="zh-CN"/>
              </w:rPr>
              <w:t>$142.76</w:t>
            </w:r>
          </w:p>
        </w:tc>
        <w:tc>
          <w:tcPr>
            <w:tcW w:w="1136" w:type="pct"/>
          </w:tcPr>
          <w:p w14:paraId="7476C0B5" w14:textId="77777777" w:rsidR="00031241" w:rsidRPr="000E361C" w:rsidRDefault="00031241" w:rsidP="002537D5">
            <w:pPr>
              <w:pStyle w:val="Tabletext"/>
              <w:keepNext/>
              <w:spacing w:before="0" w:after="0"/>
              <w:jc w:val="center"/>
              <w:rPr>
                <w:szCs w:val="18"/>
              </w:rPr>
            </w:pPr>
            <w:r w:rsidRPr="000E361C">
              <w:rPr>
                <w:rFonts w:eastAsia="SimSun"/>
                <w:szCs w:val="18"/>
                <w:lang w:eastAsia="zh-CN"/>
              </w:rPr>
              <w:t>-$0.96</w:t>
            </w:r>
          </w:p>
        </w:tc>
      </w:tr>
      <w:tr w:rsidR="00031241" w:rsidRPr="00E45CBC" w14:paraId="1BDA803F" w14:textId="77777777" w:rsidTr="00995BBA">
        <w:tc>
          <w:tcPr>
            <w:tcW w:w="1593" w:type="pct"/>
          </w:tcPr>
          <w:p w14:paraId="483C4445" w14:textId="77777777" w:rsidR="00031241" w:rsidRPr="00F833E9" w:rsidRDefault="00031241" w:rsidP="002537D5">
            <w:pPr>
              <w:pStyle w:val="Tabletext"/>
              <w:keepNext/>
              <w:spacing w:before="0" w:after="0"/>
              <w:rPr>
                <w:b/>
                <w:szCs w:val="18"/>
                <w:vertAlign w:val="superscript"/>
              </w:rPr>
            </w:pPr>
            <w:r>
              <w:rPr>
                <w:rFonts w:eastAsia="SimSun"/>
                <w:b/>
                <w:szCs w:val="18"/>
                <w:lang w:eastAsia="zh-CN"/>
              </w:rPr>
              <w:t>Step 2: 3 years (base-case)</w:t>
            </w:r>
            <w:r w:rsidRPr="00E16C9F">
              <w:rPr>
                <w:rFonts w:eastAsia="SimSun"/>
                <w:b/>
                <w:i/>
                <w:szCs w:val="18"/>
                <w:vertAlign w:val="superscript"/>
                <w:lang w:eastAsia="zh-CN"/>
              </w:rPr>
              <w:t>b</w:t>
            </w:r>
          </w:p>
        </w:tc>
        <w:tc>
          <w:tcPr>
            <w:tcW w:w="1136" w:type="pct"/>
          </w:tcPr>
          <w:p w14:paraId="4B13D7A5" w14:textId="77777777" w:rsidR="00031241" w:rsidRPr="000E361C" w:rsidRDefault="00031241" w:rsidP="002537D5">
            <w:pPr>
              <w:pStyle w:val="Tabletext"/>
              <w:keepNext/>
              <w:spacing w:before="0" w:after="0"/>
              <w:rPr>
                <w:szCs w:val="18"/>
              </w:rPr>
            </w:pPr>
            <w:r w:rsidRPr="000E361C">
              <w:rPr>
                <w:rFonts w:eastAsia="SimSun"/>
                <w:b/>
                <w:szCs w:val="18"/>
                <w:lang w:eastAsia="zh-CN"/>
              </w:rPr>
              <w:t>(modelled)</w:t>
            </w:r>
          </w:p>
        </w:tc>
        <w:tc>
          <w:tcPr>
            <w:tcW w:w="1136" w:type="pct"/>
          </w:tcPr>
          <w:p w14:paraId="5344A0D8" w14:textId="77777777" w:rsidR="00031241" w:rsidRPr="000E361C" w:rsidRDefault="00031241" w:rsidP="002537D5">
            <w:pPr>
              <w:pStyle w:val="Tabletext"/>
              <w:keepNext/>
              <w:spacing w:before="0" w:after="0"/>
              <w:rPr>
                <w:szCs w:val="18"/>
              </w:rPr>
            </w:pPr>
          </w:p>
        </w:tc>
        <w:tc>
          <w:tcPr>
            <w:tcW w:w="1136" w:type="pct"/>
          </w:tcPr>
          <w:p w14:paraId="0ADB5863" w14:textId="77777777" w:rsidR="00031241" w:rsidRPr="000E361C" w:rsidRDefault="00031241" w:rsidP="002537D5">
            <w:pPr>
              <w:pStyle w:val="Tabletext"/>
              <w:keepNext/>
              <w:spacing w:before="0" w:after="0"/>
              <w:rPr>
                <w:szCs w:val="18"/>
              </w:rPr>
            </w:pPr>
          </w:p>
        </w:tc>
      </w:tr>
      <w:tr w:rsidR="00031241" w:rsidRPr="00E45CBC" w14:paraId="431E981D" w14:textId="77777777" w:rsidTr="00995BBA">
        <w:tc>
          <w:tcPr>
            <w:tcW w:w="1593" w:type="pct"/>
          </w:tcPr>
          <w:p w14:paraId="28769FCB" w14:textId="77777777" w:rsidR="00031241" w:rsidRPr="000E361C" w:rsidRDefault="00031241" w:rsidP="002537D5">
            <w:pPr>
              <w:pStyle w:val="Tabletext"/>
              <w:keepNext/>
              <w:spacing w:before="0" w:after="0"/>
              <w:rPr>
                <w:szCs w:val="18"/>
              </w:rPr>
            </w:pPr>
            <w:r w:rsidRPr="000E361C">
              <w:rPr>
                <w:rFonts w:eastAsia="SimSun"/>
                <w:szCs w:val="18"/>
                <w:lang w:val="en-US" w:eastAsia="zh-CN"/>
              </w:rPr>
              <w:t xml:space="preserve">Cost </w:t>
            </w:r>
          </w:p>
        </w:tc>
        <w:tc>
          <w:tcPr>
            <w:tcW w:w="1136" w:type="pct"/>
          </w:tcPr>
          <w:p w14:paraId="69DCFD58" w14:textId="77777777" w:rsidR="00031241" w:rsidRPr="000E361C" w:rsidRDefault="00031241" w:rsidP="002537D5">
            <w:pPr>
              <w:pStyle w:val="Tabletext"/>
              <w:keepNext/>
              <w:spacing w:before="0" w:after="0"/>
              <w:jc w:val="center"/>
              <w:rPr>
                <w:szCs w:val="18"/>
              </w:rPr>
            </w:pPr>
            <w:r w:rsidRPr="000E361C">
              <w:rPr>
                <w:rFonts w:eastAsia="SimSun"/>
                <w:szCs w:val="18"/>
                <w:lang w:eastAsia="zh-CN"/>
              </w:rPr>
              <w:t>$271.75</w:t>
            </w:r>
          </w:p>
        </w:tc>
        <w:tc>
          <w:tcPr>
            <w:tcW w:w="1136" w:type="pct"/>
          </w:tcPr>
          <w:p w14:paraId="5DF00790" w14:textId="77777777" w:rsidR="00031241" w:rsidRPr="000E361C" w:rsidRDefault="00031241" w:rsidP="002537D5">
            <w:pPr>
              <w:pStyle w:val="Tabletext"/>
              <w:keepNext/>
              <w:spacing w:before="0" w:after="0"/>
              <w:jc w:val="center"/>
              <w:rPr>
                <w:szCs w:val="18"/>
              </w:rPr>
            </w:pPr>
            <w:r w:rsidRPr="000E361C">
              <w:rPr>
                <w:rFonts w:eastAsia="SimSun"/>
                <w:szCs w:val="18"/>
                <w:lang w:eastAsia="zh-CN"/>
              </w:rPr>
              <w:t>$273.55</w:t>
            </w:r>
          </w:p>
        </w:tc>
        <w:tc>
          <w:tcPr>
            <w:tcW w:w="1136" w:type="pct"/>
          </w:tcPr>
          <w:p w14:paraId="5C5EFD0C" w14:textId="77777777" w:rsidR="00031241" w:rsidRPr="000E361C" w:rsidRDefault="00031241" w:rsidP="002537D5">
            <w:pPr>
              <w:pStyle w:val="Tabletext"/>
              <w:keepNext/>
              <w:spacing w:before="0" w:after="0"/>
              <w:jc w:val="center"/>
              <w:rPr>
                <w:szCs w:val="18"/>
              </w:rPr>
            </w:pPr>
            <w:r w:rsidRPr="000E361C">
              <w:rPr>
                <w:rFonts w:eastAsia="SimSun"/>
                <w:szCs w:val="18"/>
                <w:lang w:eastAsia="zh-CN"/>
              </w:rPr>
              <w:t>-$1.80</w:t>
            </w:r>
          </w:p>
        </w:tc>
      </w:tr>
      <w:tr w:rsidR="00031241" w:rsidRPr="00E45CBC" w14:paraId="6103153C" w14:textId="77777777" w:rsidTr="00995BBA">
        <w:tc>
          <w:tcPr>
            <w:tcW w:w="1593" w:type="pct"/>
          </w:tcPr>
          <w:p w14:paraId="07BE79D0" w14:textId="77777777" w:rsidR="00031241" w:rsidRPr="000E361C" w:rsidRDefault="00031241" w:rsidP="002537D5">
            <w:pPr>
              <w:pStyle w:val="Tabletext"/>
              <w:keepNext/>
              <w:spacing w:before="0" w:after="0"/>
              <w:rPr>
                <w:szCs w:val="18"/>
              </w:rPr>
            </w:pPr>
            <w:r w:rsidRPr="000E361C">
              <w:rPr>
                <w:rFonts w:eastAsia="SimSun"/>
                <w:szCs w:val="18"/>
                <w:lang w:val="en-US" w:eastAsia="zh-CN"/>
              </w:rPr>
              <w:t>Cost (discounted)</w:t>
            </w:r>
          </w:p>
        </w:tc>
        <w:tc>
          <w:tcPr>
            <w:tcW w:w="1136" w:type="pct"/>
          </w:tcPr>
          <w:p w14:paraId="3153DBE8" w14:textId="77777777" w:rsidR="00031241" w:rsidRPr="000E361C" w:rsidRDefault="00031241" w:rsidP="002537D5">
            <w:pPr>
              <w:pStyle w:val="Tabletext"/>
              <w:keepNext/>
              <w:spacing w:before="0" w:after="0"/>
              <w:jc w:val="center"/>
              <w:rPr>
                <w:szCs w:val="18"/>
              </w:rPr>
            </w:pPr>
            <w:r w:rsidRPr="000E361C">
              <w:rPr>
                <w:rFonts w:eastAsia="SimSun"/>
                <w:szCs w:val="18"/>
                <w:lang w:eastAsia="zh-CN"/>
              </w:rPr>
              <w:t>$252.83</w:t>
            </w:r>
          </w:p>
        </w:tc>
        <w:tc>
          <w:tcPr>
            <w:tcW w:w="1136" w:type="pct"/>
          </w:tcPr>
          <w:p w14:paraId="792827B9" w14:textId="77777777" w:rsidR="00031241" w:rsidRPr="000E361C" w:rsidRDefault="00031241" w:rsidP="002537D5">
            <w:pPr>
              <w:pStyle w:val="Tabletext"/>
              <w:keepNext/>
              <w:spacing w:before="0" w:after="0"/>
              <w:jc w:val="center"/>
              <w:rPr>
                <w:szCs w:val="18"/>
              </w:rPr>
            </w:pPr>
            <w:r w:rsidRPr="000E361C">
              <w:rPr>
                <w:rFonts w:eastAsia="SimSun"/>
                <w:szCs w:val="18"/>
                <w:lang w:eastAsia="zh-CN"/>
              </w:rPr>
              <w:t>$254.50</w:t>
            </w:r>
          </w:p>
        </w:tc>
        <w:tc>
          <w:tcPr>
            <w:tcW w:w="1136" w:type="pct"/>
          </w:tcPr>
          <w:p w14:paraId="1488D93F" w14:textId="77777777" w:rsidR="00031241" w:rsidRPr="000E361C" w:rsidRDefault="00031241" w:rsidP="002537D5">
            <w:pPr>
              <w:pStyle w:val="Tabletext"/>
              <w:keepNext/>
              <w:spacing w:before="0" w:after="0"/>
              <w:jc w:val="center"/>
              <w:rPr>
                <w:szCs w:val="18"/>
              </w:rPr>
            </w:pPr>
            <w:r w:rsidRPr="000E361C">
              <w:rPr>
                <w:rFonts w:eastAsia="SimSun"/>
                <w:szCs w:val="18"/>
                <w:lang w:eastAsia="zh-CN"/>
              </w:rPr>
              <w:t>-$1.67</w:t>
            </w:r>
          </w:p>
        </w:tc>
      </w:tr>
    </w:tbl>
    <w:p w14:paraId="4E528659" w14:textId="77777777" w:rsidR="00031241" w:rsidRPr="00195AAE" w:rsidRDefault="00031241" w:rsidP="00031241">
      <w:pPr>
        <w:pStyle w:val="Tablenotes"/>
        <w:rPr>
          <w:rFonts w:eastAsia="SimSun"/>
        </w:rPr>
      </w:pPr>
      <w:r>
        <w:rPr>
          <w:rFonts w:eastAsia="SimSun"/>
        </w:rPr>
        <w:t>Source: Table 12, p31 of the resubmission</w:t>
      </w:r>
    </w:p>
    <w:p w14:paraId="4EF8DF38" w14:textId="77777777" w:rsidR="00031241" w:rsidRPr="00E16C9F" w:rsidRDefault="00031241" w:rsidP="00031241">
      <w:pPr>
        <w:pStyle w:val="Tablenotes"/>
        <w:rPr>
          <w:rFonts w:eastAsia="SimSun"/>
        </w:rPr>
      </w:pPr>
      <w:r w:rsidRPr="00E16C9F">
        <w:rPr>
          <w:rFonts w:eastAsia="SimSun"/>
        </w:rPr>
        <w:t xml:space="preserve">GP = general practitioner; HbA1c = glycated haemoglobin; </w:t>
      </w:r>
      <w:proofErr w:type="spellStart"/>
      <w:r w:rsidRPr="00E16C9F">
        <w:rPr>
          <w:rFonts w:eastAsia="SimSun"/>
        </w:rPr>
        <w:t>PoC</w:t>
      </w:r>
      <w:proofErr w:type="spellEnd"/>
      <w:r w:rsidRPr="00E16C9F">
        <w:rPr>
          <w:rFonts w:eastAsia="SimSun"/>
        </w:rPr>
        <w:t xml:space="preserve"> = Point of Care</w:t>
      </w:r>
    </w:p>
    <w:p w14:paraId="3C984DD9" w14:textId="77777777" w:rsidR="00031241" w:rsidRPr="00E16C9F" w:rsidRDefault="00031241" w:rsidP="00031241">
      <w:pPr>
        <w:pStyle w:val="Tablecaption"/>
        <w:rPr>
          <w:rFonts w:eastAsia="SimSun"/>
          <w:i/>
          <w:sz w:val="18"/>
        </w:rPr>
      </w:pPr>
      <w:proofErr w:type="spellStart"/>
      <w:proofErr w:type="gramStart"/>
      <w:r w:rsidRPr="00E16C9F">
        <w:rPr>
          <w:rFonts w:eastAsia="SimSun"/>
          <w:i/>
          <w:sz w:val="18"/>
          <w:vertAlign w:val="superscript"/>
        </w:rPr>
        <w:t>a</w:t>
      </w:r>
      <w:proofErr w:type="spellEnd"/>
      <w:proofErr w:type="gramEnd"/>
      <w:r w:rsidRPr="00E16C9F">
        <w:rPr>
          <w:rFonts w:eastAsia="SimSun"/>
          <w:i/>
          <w:sz w:val="18"/>
          <w:vertAlign w:val="superscript"/>
        </w:rPr>
        <w:t xml:space="preserve"> </w:t>
      </w:r>
      <w:r w:rsidRPr="00E16C9F">
        <w:rPr>
          <w:rFonts w:eastAsia="SimSun"/>
          <w:i/>
          <w:sz w:val="18"/>
        </w:rPr>
        <w:t xml:space="preserve">In each model arm, 1 coned (34% taken from </w:t>
      </w:r>
      <w:proofErr w:type="spellStart"/>
      <w:r w:rsidRPr="00E16C9F">
        <w:rPr>
          <w:rFonts w:eastAsia="SimSun"/>
          <w:i/>
          <w:sz w:val="18"/>
        </w:rPr>
        <w:t>PoC</w:t>
      </w:r>
      <w:proofErr w:type="spellEnd"/>
      <w:r w:rsidRPr="00E16C9F">
        <w:rPr>
          <w:rFonts w:eastAsia="SimSun"/>
          <w:i/>
          <w:sz w:val="18"/>
        </w:rPr>
        <w:t xml:space="preserve"> test GP trial) pathology laboratory testing was applied annually to reflect item descriptor </w:t>
      </w:r>
    </w:p>
    <w:p w14:paraId="39EF43E4" w14:textId="77777777" w:rsidR="00031241" w:rsidRPr="00E16C9F" w:rsidRDefault="00031241" w:rsidP="00031241">
      <w:pPr>
        <w:pStyle w:val="Tablenotes"/>
        <w:spacing w:after="240"/>
        <w:rPr>
          <w:rFonts w:eastAsia="SimSun"/>
        </w:rPr>
      </w:pPr>
      <w:proofErr w:type="gramStart"/>
      <w:r w:rsidRPr="00E16C9F">
        <w:rPr>
          <w:rFonts w:eastAsia="SimSun"/>
          <w:vertAlign w:val="superscript"/>
        </w:rPr>
        <w:t>b</w:t>
      </w:r>
      <w:proofErr w:type="gramEnd"/>
      <w:r w:rsidRPr="00E16C9F">
        <w:rPr>
          <w:rFonts w:eastAsia="SimSun"/>
          <w:vertAlign w:val="superscript"/>
        </w:rPr>
        <w:t xml:space="preserve"> </w:t>
      </w:r>
      <w:r w:rsidRPr="00E16C9F">
        <w:rPr>
          <w:rFonts w:eastAsia="SimSun"/>
        </w:rPr>
        <w:t xml:space="preserve">Note the costing of HbA1c in both arms is based on the assumption that 4 HbA1c tests would be performed per patient per year (same as limits on item descriptor claims in 12 months for </w:t>
      </w:r>
      <w:proofErr w:type="spellStart"/>
      <w:r w:rsidRPr="00E16C9F">
        <w:rPr>
          <w:rFonts w:eastAsia="SimSun"/>
        </w:rPr>
        <w:t>PoC</w:t>
      </w:r>
      <w:proofErr w:type="spellEnd"/>
      <w:r w:rsidRPr="00E16C9F">
        <w:rPr>
          <w:rFonts w:eastAsia="SimSun"/>
        </w:rPr>
        <w:t xml:space="preserve"> and pathology laboratory testing)</w:t>
      </w:r>
    </w:p>
    <w:p w14:paraId="2B0C554D" w14:textId="1EDEA548" w:rsidR="00031241" w:rsidRDefault="00031241" w:rsidP="00031241">
      <w:pPr>
        <w:rPr>
          <w:rFonts w:eastAsia="SimSun"/>
          <w:lang w:eastAsia="zh-CN"/>
        </w:rPr>
      </w:pPr>
      <w:r w:rsidRPr="00E16C9F">
        <w:rPr>
          <w:rFonts w:eastAsia="SimSun"/>
          <w:lang w:eastAsia="zh-CN"/>
        </w:rPr>
        <w:t xml:space="preserve">The resubmission stated that the model was most sensitive to changes related to the number of tests coned, i.e. if two pathology laboratory tests are assumed to be coned at 34% rather than one in the pathology arm alone, HbA1c </w:t>
      </w:r>
      <w:proofErr w:type="spellStart"/>
      <w:r w:rsidRPr="00E16C9F">
        <w:rPr>
          <w:rFonts w:eastAsia="SimSun"/>
          <w:lang w:eastAsia="zh-CN"/>
        </w:rPr>
        <w:t>PoC</w:t>
      </w:r>
      <w:proofErr w:type="spellEnd"/>
      <w:r w:rsidRPr="00E16C9F">
        <w:rPr>
          <w:rFonts w:eastAsia="SimSun"/>
          <w:lang w:eastAsia="zh-CN"/>
        </w:rPr>
        <w:t xml:space="preserve"> testing is no longer a cost saving (incremental cost +$14.46 over 3 years). However, the resubmission stated that a more reasonable assumption was that the majority of patients would have a complete comprehensive pathology review (</w:t>
      </w:r>
      <w:r w:rsidR="0052140E">
        <w:rPr>
          <w:rFonts w:eastAsia="SimSun"/>
          <w:lang w:eastAsia="zh-CN"/>
        </w:rPr>
        <w:t xml:space="preserve">involving more </w:t>
      </w:r>
      <w:r w:rsidRPr="00E16C9F">
        <w:rPr>
          <w:rFonts w:eastAsia="SimSun"/>
          <w:lang w:eastAsia="zh-CN"/>
        </w:rPr>
        <w:t>than 3 tests) per 12 months.</w:t>
      </w:r>
    </w:p>
    <w:p w14:paraId="13312BCA" w14:textId="77777777" w:rsidR="00BC1364" w:rsidRPr="00F715D1" w:rsidRDefault="00BC1364" w:rsidP="00F715D1">
      <w:pPr>
        <w:pStyle w:val="Heading1"/>
      </w:pPr>
      <w:r w:rsidRPr="00F715D1">
        <w:t>Financial/budgetary impacts</w:t>
      </w:r>
    </w:p>
    <w:p w14:paraId="4EA2FCB4" w14:textId="7221241C" w:rsidR="00031241" w:rsidRPr="000934B8" w:rsidRDefault="00031241" w:rsidP="000934B8">
      <w:pPr>
        <w:spacing w:after="240"/>
      </w:pPr>
      <w:r>
        <w:t xml:space="preserve">The resubmission provided a brief update of the financial implications of listing HbA1c </w:t>
      </w:r>
      <w:proofErr w:type="spellStart"/>
      <w:r>
        <w:t>PoC</w:t>
      </w:r>
      <w:proofErr w:type="spellEnd"/>
      <w:r>
        <w:t xml:space="preserve"> testing on the MBS for the management of established diabetes. Using the same patient numbers from the previous application for the management population (MBS utilisation of item 66551 and coning an</w:t>
      </w:r>
      <w:r w:rsidR="008A6717">
        <w:t>d uptake rate assumptions), the resubmission</w:t>
      </w:r>
      <w:r>
        <w:t xml:space="preserve"> updated the budget impact </w:t>
      </w:r>
      <w:r w:rsidRPr="003A533D">
        <w:t>with the revised MBS item fee</w:t>
      </w:r>
      <w:r>
        <w:t xml:space="preserve">. Using the MBS Schedule Fees for HbA1c testing, the average cost of </w:t>
      </w:r>
      <w:proofErr w:type="spellStart"/>
      <w:r>
        <w:t>Po</w:t>
      </w:r>
      <w:r w:rsidRPr="003A533D">
        <w:t>C</w:t>
      </w:r>
      <w:proofErr w:type="spellEnd"/>
      <w:r w:rsidRPr="003A533D">
        <w:t xml:space="preserve"> testing</w:t>
      </w:r>
      <w:r>
        <w:t xml:space="preserve"> is $21.22 per quarter (3 </w:t>
      </w:r>
      <w:proofErr w:type="spellStart"/>
      <w:r>
        <w:t>Po</w:t>
      </w:r>
      <w:r w:rsidRPr="003A533D">
        <w:t>C</w:t>
      </w:r>
      <w:proofErr w:type="spellEnd"/>
      <w:r w:rsidRPr="003A533D">
        <w:t xml:space="preserve"> tests plus </w:t>
      </w:r>
      <w:r>
        <w:t>1</w:t>
      </w:r>
      <w:r w:rsidRPr="003A533D">
        <w:t xml:space="preserve"> pathology laboratory test (coned)) and the average cost of pathology laboratory testing is $21.37 (</w:t>
      </w:r>
      <w:r>
        <w:t>3</w:t>
      </w:r>
      <w:r w:rsidRPr="003A533D">
        <w:t xml:space="preserve"> pathology laboratory tests (</w:t>
      </w:r>
      <w:proofErr w:type="spellStart"/>
      <w:r>
        <w:t>unconed</w:t>
      </w:r>
      <w:proofErr w:type="spellEnd"/>
      <w:r>
        <w:t>) plus 1 test (coned</w:t>
      </w:r>
      <w:r w:rsidRPr="00166B73">
        <w:t>))</w:t>
      </w:r>
      <w:r>
        <w:t xml:space="preserve"> (</w:t>
      </w:r>
      <w:r w:rsidR="001046A1" w:rsidRPr="00453A94">
        <w:rPr>
          <w:szCs w:val="24"/>
        </w:rPr>
        <w:fldChar w:fldCharType="begin"/>
      </w:r>
      <w:r w:rsidR="001046A1" w:rsidRPr="00453A94">
        <w:rPr>
          <w:szCs w:val="24"/>
        </w:rPr>
        <w:instrText xml:space="preserve"> REF _Ref10622162 \h </w:instrText>
      </w:r>
      <w:r w:rsidR="00453A94" w:rsidRPr="00453A94">
        <w:rPr>
          <w:szCs w:val="24"/>
        </w:rPr>
        <w:instrText xml:space="preserve"> \* MERGEFORMAT </w:instrText>
      </w:r>
      <w:r w:rsidR="001046A1" w:rsidRPr="00453A94">
        <w:rPr>
          <w:szCs w:val="24"/>
        </w:rPr>
      </w:r>
      <w:r w:rsidR="001046A1" w:rsidRPr="00453A94">
        <w:rPr>
          <w:szCs w:val="24"/>
        </w:rPr>
        <w:fldChar w:fldCharType="separate"/>
      </w:r>
      <w:r w:rsidR="00AE4BFA" w:rsidRPr="00453A94">
        <w:rPr>
          <w:szCs w:val="24"/>
        </w:rPr>
        <w:t xml:space="preserve">Table </w:t>
      </w:r>
      <w:r w:rsidR="00AE4BFA" w:rsidRPr="00453A94">
        <w:rPr>
          <w:noProof/>
          <w:szCs w:val="24"/>
        </w:rPr>
        <w:t>4</w:t>
      </w:r>
      <w:r w:rsidR="001046A1" w:rsidRPr="00453A94">
        <w:rPr>
          <w:szCs w:val="24"/>
        </w:rPr>
        <w:fldChar w:fldCharType="end"/>
      </w:r>
      <w:r w:rsidR="000934B8" w:rsidRPr="00453A94">
        <w:rPr>
          <w:szCs w:val="24"/>
        </w:rPr>
        <w:t>)</w:t>
      </w:r>
      <w:r w:rsidR="000934B8">
        <w:t>.</w:t>
      </w:r>
    </w:p>
    <w:p w14:paraId="5DC56FF0" w14:textId="7BD316FB" w:rsidR="00031241" w:rsidRPr="00995BBA" w:rsidRDefault="00031241" w:rsidP="00995BBA">
      <w:pPr>
        <w:rPr>
          <w:rFonts w:ascii="Arial Narrow" w:hAnsi="Arial Narrow"/>
          <w:b/>
          <w:sz w:val="20"/>
        </w:rPr>
      </w:pPr>
      <w:bookmarkStart w:id="9" w:name="_Ref10622162"/>
      <w:r w:rsidRPr="00995BBA">
        <w:rPr>
          <w:rFonts w:ascii="Arial Narrow" w:hAnsi="Arial Narrow"/>
          <w:b/>
          <w:sz w:val="20"/>
        </w:rPr>
        <w:t xml:space="preserve">Table </w:t>
      </w:r>
      <w:r w:rsidRPr="00995BBA">
        <w:rPr>
          <w:rFonts w:ascii="Arial Narrow" w:hAnsi="Arial Narrow"/>
          <w:b/>
          <w:sz w:val="20"/>
        </w:rPr>
        <w:fldChar w:fldCharType="begin"/>
      </w:r>
      <w:r w:rsidRPr="00995BBA">
        <w:rPr>
          <w:rFonts w:ascii="Arial Narrow" w:hAnsi="Arial Narrow"/>
          <w:b/>
          <w:sz w:val="20"/>
        </w:rPr>
        <w:instrText xml:space="preserve"> SEQ Table \* ARABIC </w:instrText>
      </w:r>
      <w:r w:rsidRPr="00995BBA">
        <w:rPr>
          <w:rFonts w:ascii="Arial Narrow" w:hAnsi="Arial Narrow"/>
          <w:b/>
          <w:sz w:val="20"/>
        </w:rPr>
        <w:fldChar w:fldCharType="separate"/>
      </w:r>
      <w:r w:rsidR="00AE4BFA">
        <w:rPr>
          <w:rFonts w:ascii="Arial Narrow" w:hAnsi="Arial Narrow"/>
          <w:b/>
          <w:noProof/>
          <w:sz w:val="20"/>
        </w:rPr>
        <w:t>4</w:t>
      </w:r>
      <w:r w:rsidRPr="00995BBA">
        <w:rPr>
          <w:rFonts w:ascii="Arial Narrow" w:hAnsi="Arial Narrow"/>
          <w:b/>
          <w:sz w:val="20"/>
        </w:rPr>
        <w:fldChar w:fldCharType="end"/>
      </w:r>
      <w:bookmarkStart w:id="10" w:name="_Toc534796349"/>
      <w:bookmarkEnd w:id="9"/>
      <w:r w:rsidRPr="00995BBA">
        <w:rPr>
          <w:rFonts w:ascii="Arial Narrow" w:hAnsi="Arial Narrow"/>
          <w:b/>
          <w:sz w:val="20"/>
        </w:rPr>
        <w:tab/>
        <w:t>Budget impact estimations for HbA1c testing (using average yearly MBS Schedule fee; 100% rebate)</w:t>
      </w:r>
      <w:bookmarkEnd w:id="10"/>
    </w:p>
    <w:tbl>
      <w:tblPr>
        <w:tblStyle w:val="Summarybox1"/>
        <w:tblW w:w="9067" w:type="dxa"/>
        <w:tblLayout w:type="fixed"/>
        <w:tblCellMar>
          <w:left w:w="28" w:type="dxa"/>
          <w:right w:w="28" w:type="dxa"/>
        </w:tblCellMar>
        <w:tblLook w:val="04A0" w:firstRow="1" w:lastRow="0" w:firstColumn="1" w:lastColumn="0" w:noHBand="0" w:noVBand="1"/>
        <w:tblCaption w:val="Budget impact estimations for HbA1c testing (using average yearly MBS Schedule fee; 100% rebate)"/>
        <w:tblDescription w:val="Summary of five year budget impact of listing the proposed service"/>
      </w:tblPr>
      <w:tblGrid>
        <w:gridCol w:w="3510"/>
        <w:gridCol w:w="1118"/>
        <w:gridCol w:w="1118"/>
        <w:gridCol w:w="1118"/>
        <w:gridCol w:w="1118"/>
        <w:gridCol w:w="1085"/>
      </w:tblGrid>
      <w:tr w:rsidR="00031241" w:rsidRPr="00E16C9F" w14:paraId="583E8E31" w14:textId="77777777" w:rsidTr="00135EA6">
        <w:trPr>
          <w:trHeight w:val="375"/>
          <w:tblHeader/>
        </w:trPr>
        <w:tc>
          <w:tcPr>
            <w:tcW w:w="3510" w:type="dxa"/>
            <w:tcBorders>
              <w:top w:val="single" w:sz="4" w:space="0" w:color="auto"/>
              <w:left w:val="single" w:sz="4" w:space="0" w:color="auto"/>
              <w:bottom w:val="single" w:sz="4" w:space="0" w:color="auto"/>
              <w:right w:val="single" w:sz="4" w:space="0" w:color="auto"/>
            </w:tcBorders>
            <w:noWrap/>
          </w:tcPr>
          <w:p w14:paraId="7A642F43" w14:textId="77777777" w:rsidR="00031241" w:rsidRPr="00031241" w:rsidRDefault="00031241" w:rsidP="00031241">
            <w:pPr>
              <w:pStyle w:val="TableText0"/>
              <w:rPr>
                <w:b/>
                <w:lang w:val="de-DE"/>
              </w:rPr>
            </w:pPr>
            <w:r w:rsidRPr="00031241">
              <w:rPr>
                <w:b/>
                <w:lang w:val="de-DE"/>
              </w:rPr>
              <w:t>Net cost to MBS</w:t>
            </w:r>
          </w:p>
        </w:tc>
        <w:tc>
          <w:tcPr>
            <w:tcW w:w="1118" w:type="dxa"/>
            <w:tcBorders>
              <w:top w:val="single" w:sz="4" w:space="0" w:color="auto"/>
              <w:left w:val="single" w:sz="4" w:space="0" w:color="auto"/>
              <w:bottom w:val="single" w:sz="4" w:space="0" w:color="auto"/>
              <w:right w:val="single" w:sz="4" w:space="0" w:color="auto"/>
            </w:tcBorders>
            <w:noWrap/>
          </w:tcPr>
          <w:p w14:paraId="70761ED0" w14:textId="77777777" w:rsidR="00031241" w:rsidRPr="00031241" w:rsidRDefault="00031241" w:rsidP="00031241">
            <w:pPr>
              <w:pStyle w:val="TableText0"/>
              <w:rPr>
                <w:b/>
                <w:lang w:val="de-DE"/>
              </w:rPr>
            </w:pPr>
            <w:r w:rsidRPr="00031241">
              <w:rPr>
                <w:b/>
                <w:lang w:val="de-DE"/>
              </w:rPr>
              <w:t>Year 1</w:t>
            </w:r>
          </w:p>
        </w:tc>
        <w:tc>
          <w:tcPr>
            <w:tcW w:w="1118" w:type="dxa"/>
            <w:tcBorders>
              <w:top w:val="single" w:sz="4" w:space="0" w:color="auto"/>
              <w:left w:val="single" w:sz="4" w:space="0" w:color="auto"/>
              <w:bottom w:val="single" w:sz="4" w:space="0" w:color="auto"/>
              <w:right w:val="single" w:sz="4" w:space="0" w:color="auto"/>
            </w:tcBorders>
            <w:noWrap/>
          </w:tcPr>
          <w:p w14:paraId="7E890CF7" w14:textId="77777777" w:rsidR="00031241" w:rsidRPr="00031241" w:rsidRDefault="00031241" w:rsidP="00031241">
            <w:pPr>
              <w:pStyle w:val="TableText0"/>
              <w:rPr>
                <w:b/>
                <w:lang w:val="de-DE"/>
              </w:rPr>
            </w:pPr>
            <w:r w:rsidRPr="00031241">
              <w:rPr>
                <w:b/>
                <w:lang w:val="de-DE"/>
              </w:rPr>
              <w:t>Year 2</w:t>
            </w:r>
          </w:p>
        </w:tc>
        <w:tc>
          <w:tcPr>
            <w:tcW w:w="1118" w:type="dxa"/>
            <w:tcBorders>
              <w:top w:val="single" w:sz="4" w:space="0" w:color="auto"/>
              <w:left w:val="single" w:sz="4" w:space="0" w:color="auto"/>
              <w:bottom w:val="single" w:sz="4" w:space="0" w:color="auto"/>
              <w:right w:val="single" w:sz="4" w:space="0" w:color="auto"/>
            </w:tcBorders>
            <w:noWrap/>
          </w:tcPr>
          <w:p w14:paraId="6AC36639" w14:textId="77777777" w:rsidR="00031241" w:rsidRPr="00031241" w:rsidRDefault="00031241" w:rsidP="00031241">
            <w:pPr>
              <w:pStyle w:val="TableText0"/>
              <w:rPr>
                <w:b/>
                <w:lang w:val="de-DE"/>
              </w:rPr>
            </w:pPr>
            <w:r w:rsidRPr="00031241">
              <w:rPr>
                <w:b/>
                <w:lang w:val="de-DE"/>
              </w:rPr>
              <w:t>Year 3</w:t>
            </w:r>
          </w:p>
        </w:tc>
        <w:tc>
          <w:tcPr>
            <w:tcW w:w="1118" w:type="dxa"/>
            <w:tcBorders>
              <w:top w:val="single" w:sz="4" w:space="0" w:color="auto"/>
              <w:left w:val="single" w:sz="4" w:space="0" w:color="auto"/>
              <w:bottom w:val="single" w:sz="4" w:space="0" w:color="auto"/>
              <w:right w:val="single" w:sz="4" w:space="0" w:color="auto"/>
            </w:tcBorders>
            <w:noWrap/>
          </w:tcPr>
          <w:p w14:paraId="65359AB5" w14:textId="77777777" w:rsidR="00031241" w:rsidRPr="00031241" w:rsidRDefault="00031241" w:rsidP="00031241">
            <w:pPr>
              <w:pStyle w:val="TableText0"/>
              <w:rPr>
                <w:b/>
                <w:lang w:val="de-DE"/>
              </w:rPr>
            </w:pPr>
            <w:r w:rsidRPr="00031241">
              <w:rPr>
                <w:b/>
                <w:lang w:val="de-DE"/>
              </w:rPr>
              <w:t>Year 4</w:t>
            </w:r>
          </w:p>
        </w:tc>
        <w:tc>
          <w:tcPr>
            <w:tcW w:w="1085" w:type="dxa"/>
            <w:tcBorders>
              <w:top w:val="single" w:sz="4" w:space="0" w:color="auto"/>
              <w:left w:val="single" w:sz="4" w:space="0" w:color="auto"/>
              <w:bottom w:val="single" w:sz="4" w:space="0" w:color="auto"/>
              <w:right w:val="single" w:sz="4" w:space="0" w:color="auto"/>
            </w:tcBorders>
          </w:tcPr>
          <w:p w14:paraId="547CF136" w14:textId="77777777" w:rsidR="00031241" w:rsidRPr="00031241" w:rsidRDefault="00031241" w:rsidP="00031241">
            <w:pPr>
              <w:pStyle w:val="TableText0"/>
              <w:rPr>
                <w:b/>
                <w:lang w:val="de-DE"/>
              </w:rPr>
            </w:pPr>
            <w:r w:rsidRPr="00031241">
              <w:rPr>
                <w:b/>
                <w:lang w:val="de-DE"/>
              </w:rPr>
              <w:t>Year 5</w:t>
            </w:r>
          </w:p>
        </w:tc>
      </w:tr>
      <w:tr w:rsidR="00031241" w:rsidRPr="00E16C9F" w14:paraId="71135939" w14:textId="77777777" w:rsidTr="00135EA6">
        <w:trPr>
          <w:trHeight w:val="375"/>
          <w:tblHeader/>
        </w:trPr>
        <w:tc>
          <w:tcPr>
            <w:tcW w:w="3510" w:type="dxa"/>
            <w:tcBorders>
              <w:top w:val="single" w:sz="4" w:space="0" w:color="auto"/>
              <w:left w:val="single" w:sz="4" w:space="0" w:color="auto"/>
              <w:bottom w:val="single" w:sz="4" w:space="0" w:color="auto"/>
              <w:right w:val="single" w:sz="4" w:space="0" w:color="auto"/>
            </w:tcBorders>
            <w:noWrap/>
            <w:hideMark/>
          </w:tcPr>
          <w:p w14:paraId="72E1C504" w14:textId="77777777" w:rsidR="00031241" w:rsidRPr="00031241" w:rsidRDefault="00031241" w:rsidP="00031241">
            <w:pPr>
              <w:pStyle w:val="TableText0"/>
              <w:rPr>
                <w:b/>
                <w:lang w:val="de-DE"/>
              </w:rPr>
            </w:pPr>
            <w:r w:rsidRPr="00031241">
              <w:rPr>
                <w:b/>
                <w:lang w:val="de-DE"/>
              </w:rPr>
              <w:t>-</w:t>
            </w:r>
          </w:p>
        </w:tc>
        <w:tc>
          <w:tcPr>
            <w:tcW w:w="1118" w:type="dxa"/>
            <w:tcBorders>
              <w:top w:val="single" w:sz="4" w:space="0" w:color="auto"/>
              <w:left w:val="single" w:sz="4" w:space="0" w:color="auto"/>
              <w:bottom w:val="single" w:sz="4" w:space="0" w:color="auto"/>
              <w:right w:val="single" w:sz="4" w:space="0" w:color="auto"/>
            </w:tcBorders>
            <w:noWrap/>
            <w:hideMark/>
          </w:tcPr>
          <w:p w14:paraId="5A5014C6" w14:textId="77777777" w:rsidR="00031241" w:rsidRPr="00031241" w:rsidRDefault="00031241" w:rsidP="00031241">
            <w:pPr>
              <w:pStyle w:val="TableText0"/>
              <w:rPr>
                <w:b/>
                <w:lang w:val="de-DE"/>
              </w:rPr>
            </w:pPr>
            <w:r w:rsidRPr="00031241">
              <w:rPr>
                <w:b/>
                <w:lang w:val="de-DE"/>
              </w:rPr>
              <w:t>2018</w:t>
            </w:r>
          </w:p>
        </w:tc>
        <w:tc>
          <w:tcPr>
            <w:tcW w:w="1118" w:type="dxa"/>
            <w:tcBorders>
              <w:top w:val="single" w:sz="4" w:space="0" w:color="auto"/>
              <w:left w:val="single" w:sz="4" w:space="0" w:color="auto"/>
              <w:bottom w:val="single" w:sz="4" w:space="0" w:color="auto"/>
              <w:right w:val="single" w:sz="4" w:space="0" w:color="auto"/>
            </w:tcBorders>
            <w:noWrap/>
            <w:hideMark/>
          </w:tcPr>
          <w:p w14:paraId="4D39E68A" w14:textId="77777777" w:rsidR="00031241" w:rsidRPr="00031241" w:rsidRDefault="00031241" w:rsidP="00031241">
            <w:pPr>
              <w:pStyle w:val="TableText0"/>
              <w:rPr>
                <w:b/>
                <w:lang w:val="de-DE"/>
              </w:rPr>
            </w:pPr>
            <w:r w:rsidRPr="00031241">
              <w:rPr>
                <w:b/>
                <w:lang w:val="de-DE"/>
              </w:rPr>
              <w:t>2019</w:t>
            </w:r>
          </w:p>
        </w:tc>
        <w:tc>
          <w:tcPr>
            <w:tcW w:w="1118" w:type="dxa"/>
            <w:tcBorders>
              <w:top w:val="single" w:sz="4" w:space="0" w:color="auto"/>
              <w:left w:val="single" w:sz="4" w:space="0" w:color="auto"/>
              <w:bottom w:val="single" w:sz="4" w:space="0" w:color="auto"/>
              <w:right w:val="single" w:sz="4" w:space="0" w:color="auto"/>
            </w:tcBorders>
            <w:noWrap/>
            <w:hideMark/>
          </w:tcPr>
          <w:p w14:paraId="414E2A94" w14:textId="77777777" w:rsidR="00031241" w:rsidRPr="00031241" w:rsidRDefault="00031241" w:rsidP="00031241">
            <w:pPr>
              <w:pStyle w:val="TableText0"/>
              <w:rPr>
                <w:b/>
                <w:lang w:val="de-DE"/>
              </w:rPr>
            </w:pPr>
            <w:r w:rsidRPr="00031241">
              <w:rPr>
                <w:b/>
                <w:lang w:val="de-DE"/>
              </w:rPr>
              <w:t>2020</w:t>
            </w:r>
          </w:p>
        </w:tc>
        <w:tc>
          <w:tcPr>
            <w:tcW w:w="1118" w:type="dxa"/>
            <w:tcBorders>
              <w:top w:val="single" w:sz="4" w:space="0" w:color="auto"/>
              <w:left w:val="single" w:sz="4" w:space="0" w:color="auto"/>
              <w:bottom w:val="single" w:sz="4" w:space="0" w:color="auto"/>
              <w:right w:val="single" w:sz="4" w:space="0" w:color="auto"/>
            </w:tcBorders>
            <w:noWrap/>
            <w:hideMark/>
          </w:tcPr>
          <w:p w14:paraId="6EC43F90" w14:textId="77777777" w:rsidR="00031241" w:rsidRPr="00031241" w:rsidRDefault="00031241" w:rsidP="00031241">
            <w:pPr>
              <w:pStyle w:val="TableText0"/>
              <w:rPr>
                <w:b/>
                <w:lang w:val="de-DE"/>
              </w:rPr>
            </w:pPr>
            <w:r w:rsidRPr="00031241">
              <w:rPr>
                <w:b/>
                <w:lang w:val="de-DE"/>
              </w:rPr>
              <w:t>2021</w:t>
            </w:r>
          </w:p>
        </w:tc>
        <w:tc>
          <w:tcPr>
            <w:tcW w:w="1085" w:type="dxa"/>
            <w:tcBorders>
              <w:top w:val="single" w:sz="4" w:space="0" w:color="auto"/>
              <w:left w:val="single" w:sz="4" w:space="0" w:color="auto"/>
              <w:bottom w:val="single" w:sz="4" w:space="0" w:color="auto"/>
              <w:right w:val="single" w:sz="4" w:space="0" w:color="auto"/>
            </w:tcBorders>
          </w:tcPr>
          <w:p w14:paraId="79C7624F" w14:textId="77777777" w:rsidR="00031241" w:rsidRPr="00031241" w:rsidRDefault="00031241" w:rsidP="00031241">
            <w:pPr>
              <w:pStyle w:val="TableText0"/>
              <w:rPr>
                <w:b/>
                <w:lang w:val="de-DE"/>
              </w:rPr>
            </w:pPr>
            <w:r w:rsidRPr="00031241">
              <w:rPr>
                <w:b/>
                <w:lang w:val="de-DE"/>
              </w:rPr>
              <w:t>2022</w:t>
            </w:r>
          </w:p>
        </w:tc>
      </w:tr>
      <w:tr w:rsidR="00031241" w:rsidRPr="00E16C9F" w14:paraId="1D47B29C" w14:textId="77777777" w:rsidTr="00135EA6">
        <w:trPr>
          <w:trHeight w:val="375"/>
        </w:trPr>
        <w:tc>
          <w:tcPr>
            <w:tcW w:w="3510" w:type="dxa"/>
            <w:tcBorders>
              <w:top w:val="single" w:sz="4" w:space="0" w:color="auto"/>
              <w:left w:val="single" w:sz="4" w:space="0" w:color="auto"/>
              <w:bottom w:val="single" w:sz="4" w:space="0" w:color="auto"/>
              <w:right w:val="single" w:sz="4" w:space="0" w:color="auto"/>
            </w:tcBorders>
            <w:noWrap/>
          </w:tcPr>
          <w:p w14:paraId="0E52C889" w14:textId="77777777" w:rsidR="00031241" w:rsidRPr="00E16C9F" w:rsidRDefault="00031241" w:rsidP="00031241">
            <w:pPr>
              <w:pStyle w:val="TableText0"/>
            </w:pPr>
            <w:r w:rsidRPr="00E16C9F">
              <w:t xml:space="preserve">Uptake rate (switch to </w:t>
            </w:r>
            <w:proofErr w:type="spellStart"/>
            <w:r w:rsidRPr="00E16C9F">
              <w:t>PoC</w:t>
            </w:r>
            <w:proofErr w:type="spellEnd"/>
            <w:r w:rsidRPr="00E16C9F">
              <w:t>, from PATH)</w:t>
            </w:r>
          </w:p>
        </w:tc>
        <w:tc>
          <w:tcPr>
            <w:tcW w:w="1118" w:type="dxa"/>
            <w:tcBorders>
              <w:top w:val="single" w:sz="4" w:space="0" w:color="auto"/>
              <w:left w:val="single" w:sz="4" w:space="0" w:color="auto"/>
              <w:bottom w:val="single" w:sz="4" w:space="0" w:color="auto"/>
              <w:right w:val="single" w:sz="4" w:space="0" w:color="auto"/>
            </w:tcBorders>
            <w:noWrap/>
          </w:tcPr>
          <w:p w14:paraId="18E3E7BE" w14:textId="77777777" w:rsidR="00031241" w:rsidRPr="00E16C9F" w:rsidRDefault="00031241" w:rsidP="00031241">
            <w:pPr>
              <w:pStyle w:val="TableText0"/>
              <w:rPr>
                <w:lang w:val="de-DE"/>
              </w:rPr>
            </w:pPr>
            <w:r w:rsidRPr="00E16C9F">
              <w:rPr>
                <w:lang w:val="de-DE"/>
              </w:rPr>
              <w:t>1%</w:t>
            </w:r>
            <w:r w:rsidRPr="00E16C9F">
              <w:rPr>
                <w:vertAlign w:val="superscript"/>
                <w:lang w:val="de-DE"/>
              </w:rPr>
              <w:t>a</w:t>
            </w:r>
          </w:p>
        </w:tc>
        <w:tc>
          <w:tcPr>
            <w:tcW w:w="1118" w:type="dxa"/>
            <w:tcBorders>
              <w:top w:val="single" w:sz="4" w:space="0" w:color="auto"/>
              <w:left w:val="single" w:sz="4" w:space="0" w:color="auto"/>
              <w:bottom w:val="single" w:sz="4" w:space="0" w:color="auto"/>
              <w:right w:val="single" w:sz="4" w:space="0" w:color="auto"/>
            </w:tcBorders>
            <w:noWrap/>
          </w:tcPr>
          <w:p w14:paraId="7A3E31CC" w14:textId="77777777" w:rsidR="00031241" w:rsidRPr="00E16C9F" w:rsidRDefault="00031241" w:rsidP="00031241">
            <w:pPr>
              <w:pStyle w:val="TableText0"/>
              <w:rPr>
                <w:lang w:val="de-DE"/>
              </w:rPr>
            </w:pPr>
            <w:r w:rsidRPr="00E16C9F">
              <w:rPr>
                <w:lang w:val="de-DE"/>
              </w:rPr>
              <w:t>2%</w:t>
            </w:r>
          </w:p>
        </w:tc>
        <w:tc>
          <w:tcPr>
            <w:tcW w:w="1118" w:type="dxa"/>
            <w:tcBorders>
              <w:top w:val="single" w:sz="4" w:space="0" w:color="auto"/>
              <w:left w:val="single" w:sz="4" w:space="0" w:color="auto"/>
              <w:bottom w:val="single" w:sz="4" w:space="0" w:color="auto"/>
              <w:right w:val="single" w:sz="4" w:space="0" w:color="auto"/>
            </w:tcBorders>
            <w:noWrap/>
          </w:tcPr>
          <w:p w14:paraId="3F094DC7" w14:textId="77777777" w:rsidR="00031241" w:rsidRPr="00E16C9F" w:rsidRDefault="00031241" w:rsidP="00031241">
            <w:pPr>
              <w:pStyle w:val="TableText0"/>
              <w:rPr>
                <w:lang w:val="de-DE"/>
              </w:rPr>
            </w:pPr>
            <w:r w:rsidRPr="00E16C9F">
              <w:rPr>
                <w:lang w:val="de-DE"/>
              </w:rPr>
              <w:t>3%</w:t>
            </w:r>
          </w:p>
        </w:tc>
        <w:tc>
          <w:tcPr>
            <w:tcW w:w="1118" w:type="dxa"/>
            <w:tcBorders>
              <w:top w:val="single" w:sz="4" w:space="0" w:color="auto"/>
              <w:left w:val="single" w:sz="4" w:space="0" w:color="auto"/>
              <w:bottom w:val="single" w:sz="4" w:space="0" w:color="auto"/>
              <w:right w:val="single" w:sz="4" w:space="0" w:color="auto"/>
            </w:tcBorders>
            <w:noWrap/>
          </w:tcPr>
          <w:p w14:paraId="62F9B012" w14:textId="77777777" w:rsidR="00031241" w:rsidRPr="00E16C9F" w:rsidRDefault="00031241" w:rsidP="00031241">
            <w:pPr>
              <w:pStyle w:val="TableText0"/>
              <w:rPr>
                <w:lang w:val="de-DE"/>
              </w:rPr>
            </w:pPr>
            <w:r w:rsidRPr="00E16C9F">
              <w:rPr>
                <w:lang w:val="de-DE"/>
              </w:rPr>
              <w:t>4%</w:t>
            </w:r>
          </w:p>
        </w:tc>
        <w:tc>
          <w:tcPr>
            <w:tcW w:w="1085" w:type="dxa"/>
            <w:tcBorders>
              <w:top w:val="single" w:sz="4" w:space="0" w:color="auto"/>
              <w:left w:val="single" w:sz="4" w:space="0" w:color="auto"/>
              <w:bottom w:val="single" w:sz="4" w:space="0" w:color="auto"/>
              <w:right w:val="single" w:sz="4" w:space="0" w:color="auto"/>
            </w:tcBorders>
          </w:tcPr>
          <w:p w14:paraId="1FE48825" w14:textId="77777777" w:rsidR="00031241" w:rsidRPr="00E16C9F" w:rsidRDefault="00031241" w:rsidP="00031241">
            <w:pPr>
              <w:pStyle w:val="TableText0"/>
              <w:rPr>
                <w:lang w:val="de-DE"/>
              </w:rPr>
            </w:pPr>
            <w:r w:rsidRPr="00E16C9F">
              <w:rPr>
                <w:lang w:val="de-DE"/>
              </w:rPr>
              <w:t>5%</w:t>
            </w:r>
          </w:p>
        </w:tc>
      </w:tr>
      <w:tr w:rsidR="00031241" w:rsidRPr="00E16C9F" w14:paraId="21A72D95" w14:textId="77777777" w:rsidTr="00135EA6">
        <w:trPr>
          <w:trHeight w:val="375"/>
        </w:trPr>
        <w:tc>
          <w:tcPr>
            <w:tcW w:w="3510" w:type="dxa"/>
            <w:tcBorders>
              <w:top w:val="single" w:sz="4" w:space="0" w:color="auto"/>
              <w:left w:val="single" w:sz="4" w:space="0" w:color="auto"/>
              <w:bottom w:val="single" w:sz="4" w:space="0" w:color="auto"/>
              <w:right w:val="single" w:sz="4" w:space="0" w:color="auto"/>
            </w:tcBorders>
            <w:noWrap/>
            <w:hideMark/>
          </w:tcPr>
          <w:p w14:paraId="629BC2DE" w14:textId="77777777" w:rsidR="00031241" w:rsidRPr="00E16C9F" w:rsidRDefault="00031241" w:rsidP="00031241">
            <w:pPr>
              <w:pStyle w:val="TableText0"/>
            </w:pPr>
            <w:r w:rsidRPr="00E16C9F">
              <w:t xml:space="preserve">Number of HbA1c </w:t>
            </w:r>
            <w:proofErr w:type="spellStart"/>
            <w:r w:rsidRPr="00E16C9F">
              <w:t>PoC</w:t>
            </w:r>
            <w:proofErr w:type="spellEnd"/>
            <w:r w:rsidRPr="00E16C9F">
              <w:t xml:space="preserve"> test services substituted from PATH</w:t>
            </w:r>
          </w:p>
        </w:tc>
        <w:tc>
          <w:tcPr>
            <w:tcW w:w="1118" w:type="dxa"/>
            <w:tcBorders>
              <w:top w:val="single" w:sz="4" w:space="0" w:color="auto"/>
              <w:left w:val="single" w:sz="4" w:space="0" w:color="auto"/>
              <w:bottom w:val="single" w:sz="4" w:space="0" w:color="auto"/>
              <w:right w:val="single" w:sz="4" w:space="0" w:color="auto"/>
            </w:tcBorders>
            <w:noWrap/>
            <w:hideMark/>
          </w:tcPr>
          <w:p w14:paraId="0C8FA155" w14:textId="77777777" w:rsidR="00031241" w:rsidRPr="00E16C9F" w:rsidRDefault="00031241" w:rsidP="00031241">
            <w:pPr>
              <w:pStyle w:val="TableText0"/>
              <w:rPr>
                <w:lang w:val="de-DE"/>
              </w:rPr>
            </w:pPr>
            <w:r w:rsidRPr="00E16C9F">
              <w:rPr>
                <w:lang w:val="de-DE"/>
              </w:rPr>
              <w:t>18,662</w:t>
            </w:r>
          </w:p>
        </w:tc>
        <w:tc>
          <w:tcPr>
            <w:tcW w:w="1118" w:type="dxa"/>
            <w:tcBorders>
              <w:top w:val="single" w:sz="4" w:space="0" w:color="auto"/>
              <w:left w:val="single" w:sz="4" w:space="0" w:color="auto"/>
              <w:bottom w:val="single" w:sz="4" w:space="0" w:color="auto"/>
              <w:right w:val="single" w:sz="4" w:space="0" w:color="auto"/>
            </w:tcBorders>
            <w:noWrap/>
            <w:hideMark/>
          </w:tcPr>
          <w:p w14:paraId="7D2CF5D1" w14:textId="77777777" w:rsidR="00031241" w:rsidRPr="00E16C9F" w:rsidRDefault="00031241" w:rsidP="00031241">
            <w:pPr>
              <w:pStyle w:val="TableText0"/>
              <w:rPr>
                <w:lang w:val="de-DE"/>
              </w:rPr>
            </w:pPr>
            <w:r w:rsidRPr="00E16C9F">
              <w:rPr>
                <w:lang w:val="de-DE"/>
              </w:rPr>
              <w:t>38,285</w:t>
            </w:r>
          </w:p>
        </w:tc>
        <w:tc>
          <w:tcPr>
            <w:tcW w:w="1118" w:type="dxa"/>
            <w:tcBorders>
              <w:top w:val="single" w:sz="4" w:space="0" w:color="auto"/>
              <w:left w:val="single" w:sz="4" w:space="0" w:color="auto"/>
              <w:bottom w:val="single" w:sz="4" w:space="0" w:color="auto"/>
              <w:right w:val="single" w:sz="4" w:space="0" w:color="auto"/>
            </w:tcBorders>
            <w:noWrap/>
            <w:hideMark/>
          </w:tcPr>
          <w:p w14:paraId="40DF5F1E" w14:textId="77777777" w:rsidR="00031241" w:rsidRPr="00E16C9F" w:rsidRDefault="00031241" w:rsidP="00031241">
            <w:pPr>
              <w:pStyle w:val="TableText0"/>
              <w:rPr>
                <w:lang w:val="de-DE"/>
              </w:rPr>
            </w:pPr>
            <w:r w:rsidRPr="00E16C9F">
              <w:rPr>
                <w:lang w:val="de-DE"/>
              </w:rPr>
              <w:t>58,908</w:t>
            </w:r>
          </w:p>
        </w:tc>
        <w:tc>
          <w:tcPr>
            <w:tcW w:w="1118" w:type="dxa"/>
            <w:tcBorders>
              <w:top w:val="single" w:sz="4" w:space="0" w:color="auto"/>
              <w:left w:val="single" w:sz="4" w:space="0" w:color="auto"/>
              <w:bottom w:val="single" w:sz="4" w:space="0" w:color="auto"/>
              <w:right w:val="single" w:sz="4" w:space="0" w:color="auto"/>
            </w:tcBorders>
            <w:noWrap/>
            <w:hideMark/>
          </w:tcPr>
          <w:p w14:paraId="5450D60B" w14:textId="77777777" w:rsidR="00031241" w:rsidRPr="00E16C9F" w:rsidRDefault="00031241" w:rsidP="00031241">
            <w:pPr>
              <w:pStyle w:val="TableText0"/>
              <w:rPr>
                <w:lang w:val="de-DE"/>
              </w:rPr>
            </w:pPr>
            <w:r w:rsidRPr="00E16C9F">
              <w:rPr>
                <w:lang w:val="de-DE"/>
              </w:rPr>
              <w:t>80,568</w:t>
            </w:r>
          </w:p>
        </w:tc>
        <w:tc>
          <w:tcPr>
            <w:tcW w:w="1085" w:type="dxa"/>
            <w:tcBorders>
              <w:top w:val="single" w:sz="4" w:space="0" w:color="auto"/>
              <w:left w:val="single" w:sz="4" w:space="0" w:color="auto"/>
              <w:bottom w:val="single" w:sz="4" w:space="0" w:color="auto"/>
              <w:right w:val="single" w:sz="4" w:space="0" w:color="auto"/>
            </w:tcBorders>
          </w:tcPr>
          <w:p w14:paraId="3C303D29" w14:textId="77777777" w:rsidR="00031241" w:rsidRPr="00E16C9F" w:rsidRDefault="00031241" w:rsidP="00031241">
            <w:pPr>
              <w:pStyle w:val="TableText0"/>
              <w:rPr>
                <w:lang w:val="de-DE"/>
              </w:rPr>
            </w:pPr>
            <w:r w:rsidRPr="00E16C9F">
              <w:rPr>
                <w:lang w:val="de-DE"/>
              </w:rPr>
              <w:t>103,306</w:t>
            </w:r>
          </w:p>
        </w:tc>
      </w:tr>
      <w:tr w:rsidR="008A6717" w:rsidRPr="008A6717" w14:paraId="27C48C75" w14:textId="77777777" w:rsidTr="00135EA6">
        <w:trPr>
          <w:trHeight w:val="375"/>
        </w:trPr>
        <w:tc>
          <w:tcPr>
            <w:tcW w:w="3510" w:type="dxa"/>
            <w:tcBorders>
              <w:top w:val="single" w:sz="4" w:space="0" w:color="auto"/>
              <w:left w:val="single" w:sz="4" w:space="0" w:color="auto"/>
              <w:bottom w:val="single" w:sz="4" w:space="0" w:color="auto"/>
              <w:right w:val="single" w:sz="4" w:space="0" w:color="auto"/>
            </w:tcBorders>
            <w:noWrap/>
            <w:hideMark/>
          </w:tcPr>
          <w:p w14:paraId="258C5EE2" w14:textId="77777777" w:rsidR="00031241" w:rsidRPr="008A6717" w:rsidRDefault="00031241" w:rsidP="00031241">
            <w:pPr>
              <w:pStyle w:val="TableText0"/>
            </w:pPr>
            <w:r w:rsidRPr="008A6717">
              <w:t xml:space="preserve">Total cost of HbA1c </w:t>
            </w:r>
            <w:proofErr w:type="spellStart"/>
            <w:r w:rsidRPr="008A6717">
              <w:t>PoC</w:t>
            </w:r>
            <w:proofErr w:type="spellEnd"/>
            <w:r w:rsidRPr="008A6717">
              <w:t xml:space="preserve"> test</w:t>
            </w:r>
          </w:p>
        </w:tc>
        <w:tc>
          <w:tcPr>
            <w:tcW w:w="1118" w:type="dxa"/>
            <w:tcBorders>
              <w:top w:val="single" w:sz="4" w:space="0" w:color="auto"/>
              <w:left w:val="single" w:sz="4" w:space="0" w:color="auto"/>
              <w:bottom w:val="single" w:sz="4" w:space="0" w:color="auto"/>
              <w:right w:val="single" w:sz="4" w:space="0" w:color="auto"/>
            </w:tcBorders>
            <w:noWrap/>
            <w:hideMark/>
          </w:tcPr>
          <w:p w14:paraId="1520CEF5" w14:textId="77777777" w:rsidR="00031241" w:rsidRPr="008A6717" w:rsidRDefault="00031241" w:rsidP="00031241">
            <w:pPr>
              <w:pStyle w:val="TableText0"/>
              <w:rPr>
                <w:lang w:val="de-DE"/>
              </w:rPr>
            </w:pPr>
            <w:r w:rsidRPr="008A6717">
              <w:rPr>
                <w:lang w:val="de-DE"/>
              </w:rPr>
              <w:t>$396,036</w:t>
            </w:r>
          </w:p>
          <w:p w14:paraId="26B05217" w14:textId="77777777" w:rsidR="00031241" w:rsidRPr="008A6717" w:rsidRDefault="00031241" w:rsidP="00031241">
            <w:pPr>
              <w:pStyle w:val="TableText0"/>
              <w:rPr>
                <w:lang w:val="de-DE"/>
              </w:rPr>
            </w:pPr>
            <w:r w:rsidRPr="008A6717">
              <w:rPr>
                <w:i/>
                <w:lang w:val="de-DE"/>
              </w:rPr>
              <w:t>$396,045</w:t>
            </w:r>
          </w:p>
        </w:tc>
        <w:tc>
          <w:tcPr>
            <w:tcW w:w="1118" w:type="dxa"/>
            <w:tcBorders>
              <w:top w:val="single" w:sz="4" w:space="0" w:color="auto"/>
              <w:left w:val="single" w:sz="4" w:space="0" w:color="auto"/>
              <w:bottom w:val="single" w:sz="4" w:space="0" w:color="auto"/>
              <w:right w:val="single" w:sz="4" w:space="0" w:color="auto"/>
            </w:tcBorders>
            <w:noWrap/>
            <w:hideMark/>
          </w:tcPr>
          <w:p w14:paraId="554A01F6" w14:textId="77777777" w:rsidR="00031241" w:rsidRPr="008A6717" w:rsidRDefault="00031241" w:rsidP="00031241">
            <w:pPr>
              <w:pStyle w:val="TableText0"/>
              <w:rPr>
                <w:lang w:val="de-DE"/>
              </w:rPr>
            </w:pPr>
            <w:r w:rsidRPr="008A6717">
              <w:rPr>
                <w:lang w:val="de-DE"/>
              </w:rPr>
              <w:t>$812,487</w:t>
            </w:r>
          </w:p>
          <w:p w14:paraId="133A30C2" w14:textId="77777777" w:rsidR="00031241" w:rsidRPr="008A6717" w:rsidRDefault="00031241" w:rsidP="00031241">
            <w:pPr>
              <w:pStyle w:val="TableText0"/>
              <w:rPr>
                <w:lang w:val="de-DE"/>
              </w:rPr>
            </w:pPr>
            <w:r w:rsidRPr="008A6717">
              <w:rPr>
                <w:i/>
                <w:lang w:val="de-DE"/>
              </w:rPr>
              <w:t>$812,484</w:t>
            </w:r>
          </w:p>
        </w:tc>
        <w:tc>
          <w:tcPr>
            <w:tcW w:w="1118" w:type="dxa"/>
            <w:tcBorders>
              <w:top w:val="single" w:sz="4" w:space="0" w:color="auto"/>
              <w:left w:val="single" w:sz="4" w:space="0" w:color="auto"/>
              <w:bottom w:val="single" w:sz="4" w:space="0" w:color="auto"/>
              <w:right w:val="single" w:sz="4" w:space="0" w:color="auto"/>
            </w:tcBorders>
            <w:noWrap/>
            <w:hideMark/>
          </w:tcPr>
          <w:p w14:paraId="3A6D35A7" w14:textId="77777777" w:rsidR="00031241" w:rsidRPr="008A6717" w:rsidRDefault="00031241" w:rsidP="00031241">
            <w:pPr>
              <w:pStyle w:val="TableText0"/>
              <w:rPr>
                <w:lang w:val="de-DE"/>
              </w:rPr>
            </w:pPr>
            <w:r w:rsidRPr="008A6717">
              <w:rPr>
                <w:lang w:val="de-DE"/>
              </w:rPr>
              <w:t>$1,250,145</w:t>
            </w:r>
          </w:p>
          <w:p w14:paraId="0AB023D5" w14:textId="77777777" w:rsidR="00031241" w:rsidRPr="008A6717" w:rsidRDefault="00031241" w:rsidP="00031241">
            <w:pPr>
              <w:pStyle w:val="TableText0"/>
              <w:rPr>
                <w:lang w:val="de-DE"/>
              </w:rPr>
            </w:pPr>
            <w:r w:rsidRPr="008A6717">
              <w:rPr>
                <w:i/>
                <w:lang w:val="de-DE"/>
              </w:rPr>
              <w:t>$1,250,146</w:t>
            </w:r>
          </w:p>
        </w:tc>
        <w:tc>
          <w:tcPr>
            <w:tcW w:w="1118" w:type="dxa"/>
            <w:tcBorders>
              <w:top w:val="single" w:sz="4" w:space="0" w:color="auto"/>
              <w:left w:val="single" w:sz="4" w:space="0" w:color="auto"/>
              <w:bottom w:val="single" w:sz="4" w:space="0" w:color="auto"/>
              <w:right w:val="single" w:sz="4" w:space="0" w:color="auto"/>
            </w:tcBorders>
            <w:noWrap/>
            <w:hideMark/>
          </w:tcPr>
          <w:p w14:paraId="225B65E4" w14:textId="77777777" w:rsidR="00031241" w:rsidRPr="008A6717" w:rsidRDefault="00031241" w:rsidP="00031241">
            <w:pPr>
              <w:pStyle w:val="TableText0"/>
              <w:rPr>
                <w:lang w:val="de-DE"/>
              </w:rPr>
            </w:pPr>
            <w:r w:rsidRPr="008A6717">
              <w:rPr>
                <w:lang w:val="de-DE"/>
              </w:rPr>
              <w:t>$1,709,823</w:t>
            </w:r>
          </w:p>
          <w:p w14:paraId="2760A88E" w14:textId="77777777" w:rsidR="00031241" w:rsidRPr="008A6717" w:rsidRDefault="00031241" w:rsidP="00031241">
            <w:pPr>
              <w:pStyle w:val="TableText0"/>
              <w:rPr>
                <w:lang w:val="de-DE"/>
              </w:rPr>
            </w:pPr>
            <w:r w:rsidRPr="008A6717">
              <w:rPr>
                <w:i/>
                <w:lang w:val="de-DE"/>
              </w:rPr>
              <w:t>$1,709,814</w:t>
            </w:r>
          </w:p>
        </w:tc>
        <w:tc>
          <w:tcPr>
            <w:tcW w:w="1085" w:type="dxa"/>
            <w:tcBorders>
              <w:top w:val="single" w:sz="4" w:space="0" w:color="auto"/>
              <w:left w:val="single" w:sz="4" w:space="0" w:color="auto"/>
              <w:bottom w:val="single" w:sz="4" w:space="0" w:color="auto"/>
              <w:right w:val="single" w:sz="4" w:space="0" w:color="auto"/>
            </w:tcBorders>
          </w:tcPr>
          <w:p w14:paraId="422F296D" w14:textId="77777777" w:rsidR="00031241" w:rsidRPr="008A6717" w:rsidRDefault="00031241" w:rsidP="00031241">
            <w:pPr>
              <w:pStyle w:val="TableText0"/>
              <w:rPr>
                <w:lang w:val="de-DE"/>
              </w:rPr>
            </w:pPr>
            <w:r w:rsidRPr="008A6717">
              <w:rPr>
                <w:lang w:val="de-DE"/>
              </w:rPr>
              <w:t>$2,192,368</w:t>
            </w:r>
          </w:p>
          <w:p w14:paraId="26550C45" w14:textId="77777777" w:rsidR="00031241" w:rsidRPr="008A6717" w:rsidRDefault="00031241" w:rsidP="00031241">
            <w:pPr>
              <w:pStyle w:val="TableText0"/>
              <w:rPr>
                <w:lang w:val="de-DE"/>
              </w:rPr>
            </w:pPr>
            <w:r w:rsidRPr="008A6717">
              <w:rPr>
                <w:i/>
                <w:lang w:val="de-DE"/>
              </w:rPr>
              <w:t>$2,192,360</w:t>
            </w:r>
          </w:p>
        </w:tc>
      </w:tr>
      <w:tr w:rsidR="008A6717" w:rsidRPr="008A6717" w14:paraId="1E2D46E7" w14:textId="77777777" w:rsidTr="00135EA6">
        <w:trPr>
          <w:trHeight w:val="375"/>
        </w:trPr>
        <w:tc>
          <w:tcPr>
            <w:tcW w:w="3510" w:type="dxa"/>
            <w:tcBorders>
              <w:top w:val="single" w:sz="4" w:space="0" w:color="auto"/>
              <w:left w:val="single" w:sz="4" w:space="0" w:color="auto"/>
              <w:bottom w:val="single" w:sz="4" w:space="0" w:color="auto"/>
              <w:right w:val="single" w:sz="4" w:space="0" w:color="auto"/>
            </w:tcBorders>
            <w:noWrap/>
            <w:hideMark/>
          </w:tcPr>
          <w:p w14:paraId="3A4D32BB" w14:textId="77777777" w:rsidR="00031241" w:rsidRPr="008A6717" w:rsidRDefault="00031241" w:rsidP="00031241">
            <w:pPr>
              <w:pStyle w:val="TableText0"/>
            </w:pPr>
            <w:r w:rsidRPr="008A6717">
              <w:t>Number of HbA1c PATH tests performed</w:t>
            </w:r>
          </w:p>
        </w:tc>
        <w:tc>
          <w:tcPr>
            <w:tcW w:w="1118" w:type="dxa"/>
            <w:tcBorders>
              <w:top w:val="single" w:sz="4" w:space="0" w:color="auto"/>
              <w:left w:val="single" w:sz="4" w:space="0" w:color="auto"/>
              <w:bottom w:val="single" w:sz="4" w:space="0" w:color="auto"/>
              <w:right w:val="single" w:sz="4" w:space="0" w:color="auto"/>
            </w:tcBorders>
            <w:noWrap/>
            <w:hideMark/>
          </w:tcPr>
          <w:p w14:paraId="3E9FFBB0" w14:textId="77777777" w:rsidR="00031241" w:rsidRPr="008A6717" w:rsidRDefault="00031241" w:rsidP="00031241">
            <w:pPr>
              <w:pStyle w:val="TableText0"/>
              <w:rPr>
                <w:lang w:val="de-DE"/>
              </w:rPr>
            </w:pPr>
            <w:r w:rsidRPr="008A6717">
              <w:rPr>
                <w:lang w:val="de-DE"/>
              </w:rPr>
              <w:t>1,213,002</w:t>
            </w:r>
          </w:p>
        </w:tc>
        <w:tc>
          <w:tcPr>
            <w:tcW w:w="1118" w:type="dxa"/>
            <w:tcBorders>
              <w:top w:val="single" w:sz="4" w:space="0" w:color="auto"/>
              <w:left w:val="single" w:sz="4" w:space="0" w:color="auto"/>
              <w:bottom w:val="single" w:sz="4" w:space="0" w:color="auto"/>
              <w:right w:val="single" w:sz="4" w:space="0" w:color="auto"/>
            </w:tcBorders>
            <w:noWrap/>
            <w:hideMark/>
          </w:tcPr>
          <w:p w14:paraId="1A875AEB" w14:textId="77777777" w:rsidR="00031241" w:rsidRPr="008A6717" w:rsidRDefault="00031241" w:rsidP="00031241">
            <w:pPr>
              <w:pStyle w:val="TableText0"/>
              <w:rPr>
                <w:lang w:val="de-DE"/>
              </w:rPr>
            </w:pPr>
            <w:r w:rsidRPr="008A6717">
              <w:rPr>
                <w:lang w:val="de-DE"/>
              </w:rPr>
              <w:t>1,225,125</w:t>
            </w:r>
          </w:p>
        </w:tc>
        <w:tc>
          <w:tcPr>
            <w:tcW w:w="1118" w:type="dxa"/>
            <w:tcBorders>
              <w:top w:val="single" w:sz="4" w:space="0" w:color="auto"/>
              <w:left w:val="single" w:sz="4" w:space="0" w:color="auto"/>
              <w:bottom w:val="single" w:sz="4" w:space="0" w:color="auto"/>
              <w:right w:val="single" w:sz="4" w:space="0" w:color="auto"/>
            </w:tcBorders>
            <w:noWrap/>
            <w:hideMark/>
          </w:tcPr>
          <w:p w14:paraId="55B7A3E4" w14:textId="77777777" w:rsidR="00031241" w:rsidRPr="008A6717" w:rsidRDefault="00031241" w:rsidP="00031241">
            <w:pPr>
              <w:pStyle w:val="TableText0"/>
              <w:rPr>
                <w:lang w:val="de-DE"/>
              </w:rPr>
            </w:pPr>
            <w:r w:rsidRPr="008A6717">
              <w:rPr>
                <w:lang w:val="de-DE"/>
              </w:rPr>
              <w:t>1,237,067</w:t>
            </w:r>
          </w:p>
        </w:tc>
        <w:tc>
          <w:tcPr>
            <w:tcW w:w="1118" w:type="dxa"/>
            <w:tcBorders>
              <w:top w:val="single" w:sz="4" w:space="0" w:color="auto"/>
              <w:left w:val="single" w:sz="4" w:space="0" w:color="auto"/>
              <w:bottom w:val="single" w:sz="4" w:space="0" w:color="auto"/>
              <w:right w:val="single" w:sz="4" w:space="0" w:color="auto"/>
            </w:tcBorders>
            <w:noWrap/>
            <w:hideMark/>
          </w:tcPr>
          <w:p w14:paraId="0117365A" w14:textId="77777777" w:rsidR="00031241" w:rsidRPr="008A6717" w:rsidRDefault="00031241" w:rsidP="00031241">
            <w:pPr>
              <w:pStyle w:val="TableText0"/>
              <w:rPr>
                <w:lang w:val="de-DE"/>
              </w:rPr>
            </w:pPr>
            <w:r w:rsidRPr="008A6717">
              <w:rPr>
                <w:lang w:val="de-DE"/>
              </w:rPr>
              <w:t>1,248,811</w:t>
            </w:r>
          </w:p>
        </w:tc>
        <w:tc>
          <w:tcPr>
            <w:tcW w:w="1085" w:type="dxa"/>
            <w:tcBorders>
              <w:top w:val="single" w:sz="4" w:space="0" w:color="auto"/>
              <w:left w:val="single" w:sz="4" w:space="0" w:color="auto"/>
              <w:bottom w:val="single" w:sz="4" w:space="0" w:color="auto"/>
              <w:right w:val="single" w:sz="4" w:space="0" w:color="auto"/>
            </w:tcBorders>
          </w:tcPr>
          <w:p w14:paraId="728CC9F9" w14:textId="77777777" w:rsidR="00031241" w:rsidRPr="008A6717" w:rsidRDefault="00031241" w:rsidP="00031241">
            <w:pPr>
              <w:pStyle w:val="TableText0"/>
              <w:rPr>
                <w:lang w:val="de-DE"/>
              </w:rPr>
            </w:pPr>
            <w:r w:rsidRPr="008A6717">
              <w:rPr>
                <w:lang w:val="de-DE"/>
              </w:rPr>
              <w:t>$1,260,338</w:t>
            </w:r>
          </w:p>
        </w:tc>
      </w:tr>
      <w:tr w:rsidR="008A6717" w:rsidRPr="008A6717" w14:paraId="7E02E134" w14:textId="77777777" w:rsidTr="00135EA6">
        <w:trPr>
          <w:trHeight w:val="375"/>
        </w:trPr>
        <w:tc>
          <w:tcPr>
            <w:tcW w:w="3510" w:type="dxa"/>
            <w:tcBorders>
              <w:top w:val="single" w:sz="4" w:space="0" w:color="auto"/>
              <w:left w:val="single" w:sz="4" w:space="0" w:color="auto"/>
              <w:bottom w:val="single" w:sz="4" w:space="0" w:color="auto"/>
              <w:right w:val="single" w:sz="4" w:space="0" w:color="auto"/>
            </w:tcBorders>
            <w:noWrap/>
            <w:hideMark/>
          </w:tcPr>
          <w:p w14:paraId="4A05CB15" w14:textId="77777777" w:rsidR="00031241" w:rsidRPr="008A6717" w:rsidRDefault="00031241" w:rsidP="00031241">
            <w:pPr>
              <w:pStyle w:val="TableText0"/>
            </w:pPr>
            <w:r w:rsidRPr="008A6717">
              <w:t>Total cost of HbA1c pathology laboratory test</w:t>
            </w:r>
          </w:p>
        </w:tc>
        <w:tc>
          <w:tcPr>
            <w:tcW w:w="1118" w:type="dxa"/>
            <w:tcBorders>
              <w:top w:val="single" w:sz="4" w:space="0" w:color="auto"/>
              <w:left w:val="single" w:sz="4" w:space="0" w:color="auto"/>
              <w:bottom w:val="single" w:sz="4" w:space="0" w:color="auto"/>
              <w:right w:val="single" w:sz="4" w:space="0" w:color="auto"/>
            </w:tcBorders>
            <w:noWrap/>
            <w:hideMark/>
          </w:tcPr>
          <w:p w14:paraId="5B4CC330" w14:textId="77777777" w:rsidR="00031241" w:rsidRPr="008A6717" w:rsidRDefault="00031241" w:rsidP="00031241">
            <w:pPr>
              <w:pStyle w:val="TableText0"/>
              <w:rPr>
                <w:lang w:val="de-DE"/>
              </w:rPr>
            </w:pPr>
            <w:r w:rsidRPr="008A6717">
              <w:rPr>
                <w:lang w:val="de-DE"/>
              </w:rPr>
              <w:t>$25,924,288</w:t>
            </w:r>
          </w:p>
        </w:tc>
        <w:tc>
          <w:tcPr>
            <w:tcW w:w="1118" w:type="dxa"/>
            <w:tcBorders>
              <w:top w:val="single" w:sz="4" w:space="0" w:color="auto"/>
              <w:left w:val="single" w:sz="4" w:space="0" w:color="auto"/>
              <w:bottom w:val="single" w:sz="4" w:space="0" w:color="auto"/>
              <w:right w:val="single" w:sz="4" w:space="0" w:color="auto"/>
            </w:tcBorders>
            <w:noWrap/>
            <w:hideMark/>
          </w:tcPr>
          <w:p w14:paraId="2AE8EB1F" w14:textId="77777777" w:rsidR="00031241" w:rsidRPr="008A6717" w:rsidRDefault="00031241" w:rsidP="00031241">
            <w:pPr>
              <w:pStyle w:val="TableText0"/>
              <w:rPr>
                <w:lang w:val="de-DE"/>
              </w:rPr>
            </w:pPr>
            <w:r w:rsidRPr="008A6717">
              <w:rPr>
                <w:lang w:val="de-DE"/>
              </w:rPr>
              <w:t>$26,183,368</w:t>
            </w:r>
          </w:p>
        </w:tc>
        <w:tc>
          <w:tcPr>
            <w:tcW w:w="1118" w:type="dxa"/>
            <w:tcBorders>
              <w:top w:val="single" w:sz="4" w:space="0" w:color="auto"/>
              <w:left w:val="single" w:sz="4" w:space="0" w:color="auto"/>
              <w:bottom w:val="single" w:sz="4" w:space="0" w:color="auto"/>
              <w:right w:val="single" w:sz="4" w:space="0" w:color="auto"/>
            </w:tcBorders>
            <w:noWrap/>
            <w:hideMark/>
          </w:tcPr>
          <w:p w14:paraId="4490C034" w14:textId="77777777" w:rsidR="00031241" w:rsidRPr="008A6717" w:rsidRDefault="00031241" w:rsidP="00031241">
            <w:pPr>
              <w:pStyle w:val="TableText0"/>
              <w:rPr>
                <w:lang w:val="de-DE"/>
              </w:rPr>
            </w:pPr>
            <w:r w:rsidRPr="008A6717">
              <w:rPr>
                <w:lang w:val="de-DE"/>
              </w:rPr>
              <w:t>$26,438,597</w:t>
            </w:r>
          </w:p>
        </w:tc>
        <w:tc>
          <w:tcPr>
            <w:tcW w:w="1118" w:type="dxa"/>
            <w:tcBorders>
              <w:top w:val="single" w:sz="4" w:space="0" w:color="auto"/>
              <w:left w:val="single" w:sz="4" w:space="0" w:color="auto"/>
              <w:bottom w:val="single" w:sz="4" w:space="0" w:color="auto"/>
              <w:right w:val="single" w:sz="4" w:space="0" w:color="auto"/>
            </w:tcBorders>
            <w:noWrap/>
            <w:hideMark/>
          </w:tcPr>
          <w:p w14:paraId="002A70B9" w14:textId="77777777" w:rsidR="00031241" w:rsidRPr="008A6717" w:rsidRDefault="00031241" w:rsidP="00031241">
            <w:pPr>
              <w:pStyle w:val="TableText0"/>
              <w:rPr>
                <w:lang w:val="de-DE"/>
              </w:rPr>
            </w:pPr>
            <w:r w:rsidRPr="008A6717">
              <w:rPr>
                <w:lang w:val="de-DE"/>
              </w:rPr>
              <w:t>$26,689,580</w:t>
            </w:r>
          </w:p>
        </w:tc>
        <w:tc>
          <w:tcPr>
            <w:tcW w:w="1085" w:type="dxa"/>
            <w:tcBorders>
              <w:top w:val="single" w:sz="4" w:space="0" w:color="auto"/>
              <w:left w:val="single" w:sz="4" w:space="0" w:color="auto"/>
              <w:bottom w:val="single" w:sz="4" w:space="0" w:color="auto"/>
              <w:right w:val="single" w:sz="4" w:space="0" w:color="auto"/>
            </w:tcBorders>
          </w:tcPr>
          <w:p w14:paraId="773316E9" w14:textId="77777777" w:rsidR="00031241" w:rsidRPr="008A6717" w:rsidRDefault="00031241" w:rsidP="00031241">
            <w:pPr>
              <w:pStyle w:val="TableText0"/>
              <w:rPr>
                <w:lang w:val="de-DE"/>
              </w:rPr>
            </w:pPr>
            <w:r w:rsidRPr="008A6717">
              <w:rPr>
                <w:lang w:val="de-DE"/>
              </w:rPr>
              <w:t>$26,935,936</w:t>
            </w:r>
          </w:p>
        </w:tc>
      </w:tr>
      <w:tr w:rsidR="008A6717" w:rsidRPr="008A6717" w14:paraId="5C9AE2A8" w14:textId="77777777" w:rsidTr="00135EA6">
        <w:trPr>
          <w:trHeight w:val="375"/>
        </w:trPr>
        <w:tc>
          <w:tcPr>
            <w:tcW w:w="3510" w:type="dxa"/>
            <w:tcBorders>
              <w:top w:val="single" w:sz="4" w:space="0" w:color="auto"/>
              <w:left w:val="single" w:sz="4" w:space="0" w:color="auto"/>
              <w:bottom w:val="single" w:sz="4" w:space="0" w:color="auto"/>
              <w:right w:val="single" w:sz="4" w:space="0" w:color="auto"/>
            </w:tcBorders>
            <w:noWrap/>
            <w:hideMark/>
          </w:tcPr>
          <w:p w14:paraId="4F867A28" w14:textId="77777777" w:rsidR="00031241" w:rsidRPr="008A6717" w:rsidRDefault="00031241" w:rsidP="00031241">
            <w:pPr>
              <w:pStyle w:val="TableText0"/>
            </w:pPr>
            <w:r w:rsidRPr="008A6717">
              <w:t>Total number of services (</w:t>
            </w:r>
            <w:proofErr w:type="spellStart"/>
            <w:r w:rsidRPr="008A6717">
              <w:t>PoC</w:t>
            </w:r>
            <w:proofErr w:type="spellEnd"/>
            <w:r w:rsidRPr="008A6717">
              <w:t xml:space="preserve"> and PATH)</w:t>
            </w:r>
          </w:p>
        </w:tc>
        <w:tc>
          <w:tcPr>
            <w:tcW w:w="1118" w:type="dxa"/>
            <w:tcBorders>
              <w:top w:val="single" w:sz="4" w:space="0" w:color="auto"/>
              <w:left w:val="single" w:sz="4" w:space="0" w:color="auto"/>
              <w:bottom w:val="single" w:sz="4" w:space="0" w:color="auto"/>
              <w:right w:val="single" w:sz="4" w:space="0" w:color="auto"/>
            </w:tcBorders>
            <w:noWrap/>
            <w:hideMark/>
          </w:tcPr>
          <w:p w14:paraId="75092A84" w14:textId="77777777" w:rsidR="00031241" w:rsidRPr="008A6717" w:rsidRDefault="00031241" w:rsidP="00031241">
            <w:pPr>
              <w:pStyle w:val="TableText0"/>
              <w:rPr>
                <w:lang w:val="de-DE"/>
              </w:rPr>
            </w:pPr>
            <w:r w:rsidRPr="008A6717">
              <w:rPr>
                <w:lang w:val="de-DE"/>
              </w:rPr>
              <w:t>1,231,664</w:t>
            </w:r>
          </w:p>
        </w:tc>
        <w:tc>
          <w:tcPr>
            <w:tcW w:w="1118" w:type="dxa"/>
            <w:tcBorders>
              <w:top w:val="single" w:sz="4" w:space="0" w:color="auto"/>
              <w:left w:val="single" w:sz="4" w:space="0" w:color="auto"/>
              <w:bottom w:val="single" w:sz="4" w:space="0" w:color="auto"/>
              <w:right w:val="single" w:sz="4" w:space="0" w:color="auto"/>
            </w:tcBorders>
            <w:noWrap/>
            <w:hideMark/>
          </w:tcPr>
          <w:p w14:paraId="7BB10FEC" w14:textId="77777777" w:rsidR="00031241" w:rsidRPr="008A6717" w:rsidRDefault="00031241" w:rsidP="00031241">
            <w:pPr>
              <w:pStyle w:val="TableText0"/>
              <w:rPr>
                <w:lang w:val="de-DE"/>
              </w:rPr>
            </w:pPr>
            <w:r w:rsidRPr="008A6717">
              <w:rPr>
                <w:lang w:val="de-DE"/>
              </w:rPr>
              <w:t>1,263,410</w:t>
            </w:r>
          </w:p>
        </w:tc>
        <w:tc>
          <w:tcPr>
            <w:tcW w:w="1118" w:type="dxa"/>
            <w:tcBorders>
              <w:top w:val="single" w:sz="4" w:space="0" w:color="auto"/>
              <w:left w:val="single" w:sz="4" w:space="0" w:color="auto"/>
              <w:bottom w:val="single" w:sz="4" w:space="0" w:color="auto"/>
              <w:right w:val="single" w:sz="4" w:space="0" w:color="auto"/>
            </w:tcBorders>
            <w:noWrap/>
            <w:hideMark/>
          </w:tcPr>
          <w:p w14:paraId="52BCC83F" w14:textId="77777777" w:rsidR="00031241" w:rsidRPr="008A6717" w:rsidRDefault="00031241" w:rsidP="00031241">
            <w:pPr>
              <w:pStyle w:val="TableText0"/>
              <w:rPr>
                <w:lang w:val="de-DE"/>
              </w:rPr>
            </w:pPr>
            <w:r w:rsidRPr="008A6717">
              <w:rPr>
                <w:lang w:val="de-DE"/>
              </w:rPr>
              <w:t>1,295,975</w:t>
            </w:r>
          </w:p>
        </w:tc>
        <w:tc>
          <w:tcPr>
            <w:tcW w:w="1118" w:type="dxa"/>
            <w:tcBorders>
              <w:top w:val="single" w:sz="4" w:space="0" w:color="auto"/>
              <w:left w:val="single" w:sz="4" w:space="0" w:color="auto"/>
              <w:bottom w:val="single" w:sz="4" w:space="0" w:color="auto"/>
              <w:right w:val="single" w:sz="4" w:space="0" w:color="auto"/>
            </w:tcBorders>
            <w:noWrap/>
            <w:hideMark/>
          </w:tcPr>
          <w:p w14:paraId="2F5AE7F0" w14:textId="77777777" w:rsidR="00031241" w:rsidRPr="008A6717" w:rsidRDefault="00031241" w:rsidP="00031241">
            <w:pPr>
              <w:pStyle w:val="TableText0"/>
              <w:rPr>
                <w:lang w:val="de-DE"/>
              </w:rPr>
            </w:pPr>
            <w:r w:rsidRPr="008A6717">
              <w:rPr>
                <w:lang w:val="de-DE"/>
              </w:rPr>
              <w:t>1,329,379</w:t>
            </w:r>
          </w:p>
        </w:tc>
        <w:tc>
          <w:tcPr>
            <w:tcW w:w="1085" w:type="dxa"/>
            <w:tcBorders>
              <w:top w:val="single" w:sz="4" w:space="0" w:color="auto"/>
              <w:left w:val="single" w:sz="4" w:space="0" w:color="auto"/>
              <w:bottom w:val="single" w:sz="4" w:space="0" w:color="auto"/>
              <w:right w:val="single" w:sz="4" w:space="0" w:color="auto"/>
            </w:tcBorders>
          </w:tcPr>
          <w:p w14:paraId="4D80ADDD" w14:textId="77777777" w:rsidR="00031241" w:rsidRPr="008A6717" w:rsidRDefault="00031241" w:rsidP="00031241">
            <w:pPr>
              <w:pStyle w:val="TableText0"/>
              <w:rPr>
                <w:lang w:val="de-DE"/>
              </w:rPr>
            </w:pPr>
            <w:r w:rsidRPr="008A6717">
              <w:rPr>
                <w:lang w:val="de-DE"/>
              </w:rPr>
              <w:t>$1,363,644</w:t>
            </w:r>
          </w:p>
        </w:tc>
      </w:tr>
      <w:tr w:rsidR="008A6717" w:rsidRPr="008A6717" w14:paraId="451C1242" w14:textId="77777777" w:rsidTr="00135EA6">
        <w:trPr>
          <w:trHeight w:val="375"/>
        </w:trPr>
        <w:tc>
          <w:tcPr>
            <w:tcW w:w="3510" w:type="dxa"/>
            <w:tcBorders>
              <w:top w:val="single" w:sz="4" w:space="0" w:color="auto"/>
              <w:left w:val="single" w:sz="4" w:space="0" w:color="auto"/>
              <w:bottom w:val="single" w:sz="4" w:space="0" w:color="auto"/>
              <w:right w:val="single" w:sz="4" w:space="0" w:color="auto"/>
            </w:tcBorders>
            <w:noWrap/>
            <w:hideMark/>
          </w:tcPr>
          <w:p w14:paraId="3CF62C09" w14:textId="77777777" w:rsidR="00031241" w:rsidRPr="008A6717" w:rsidRDefault="00031241" w:rsidP="00031241">
            <w:pPr>
              <w:pStyle w:val="TableText0"/>
            </w:pPr>
            <w:r w:rsidRPr="008A6717">
              <w:t>Total costs associated with HbA1c tests (</w:t>
            </w:r>
            <w:proofErr w:type="spellStart"/>
            <w:r w:rsidRPr="008A6717">
              <w:t>PoC</w:t>
            </w:r>
            <w:proofErr w:type="spellEnd"/>
            <w:r w:rsidRPr="008A6717">
              <w:t xml:space="preserve"> and PATH)</w:t>
            </w:r>
          </w:p>
        </w:tc>
        <w:tc>
          <w:tcPr>
            <w:tcW w:w="1118" w:type="dxa"/>
            <w:tcBorders>
              <w:top w:val="single" w:sz="4" w:space="0" w:color="auto"/>
              <w:left w:val="single" w:sz="4" w:space="0" w:color="auto"/>
              <w:bottom w:val="single" w:sz="4" w:space="0" w:color="auto"/>
              <w:right w:val="single" w:sz="4" w:space="0" w:color="auto"/>
            </w:tcBorders>
            <w:noWrap/>
            <w:hideMark/>
          </w:tcPr>
          <w:p w14:paraId="4B04296A" w14:textId="77777777" w:rsidR="00031241" w:rsidRPr="008A6717" w:rsidRDefault="00031241" w:rsidP="00031241">
            <w:pPr>
              <w:pStyle w:val="TableText0"/>
              <w:rPr>
                <w:lang w:val="de-DE"/>
              </w:rPr>
            </w:pPr>
            <w:r w:rsidRPr="008A6717">
              <w:rPr>
                <w:lang w:val="de-DE"/>
              </w:rPr>
              <w:t>$26,320,324</w:t>
            </w:r>
          </w:p>
          <w:p w14:paraId="79B5A0AB" w14:textId="77777777" w:rsidR="00031241" w:rsidRPr="008A6717" w:rsidRDefault="00031241" w:rsidP="00031241">
            <w:pPr>
              <w:pStyle w:val="TableText0"/>
              <w:rPr>
                <w:lang w:val="de-DE"/>
              </w:rPr>
            </w:pPr>
            <w:r w:rsidRPr="008A6717">
              <w:rPr>
                <w:i/>
                <w:lang w:val="de-DE"/>
              </w:rPr>
              <w:t>$25,924,279</w:t>
            </w:r>
          </w:p>
        </w:tc>
        <w:tc>
          <w:tcPr>
            <w:tcW w:w="1118" w:type="dxa"/>
            <w:tcBorders>
              <w:top w:val="single" w:sz="4" w:space="0" w:color="auto"/>
              <w:left w:val="single" w:sz="4" w:space="0" w:color="auto"/>
              <w:bottom w:val="single" w:sz="4" w:space="0" w:color="auto"/>
              <w:right w:val="single" w:sz="4" w:space="0" w:color="auto"/>
            </w:tcBorders>
            <w:noWrap/>
            <w:hideMark/>
          </w:tcPr>
          <w:p w14:paraId="47E1C62B" w14:textId="77777777" w:rsidR="00031241" w:rsidRPr="008A6717" w:rsidRDefault="00031241" w:rsidP="00031241">
            <w:pPr>
              <w:pStyle w:val="TableText0"/>
              <w:rPr>
                <w:lang w:val="de-DE"/>
              </w:rPr>
            </w:pPr>
            <w:r w:rsidRPr="008A6717">
              <w:rPr>
                <w:lang w:val="de-DE"/>
              </w:rPr>
              <w:t>$26,995,856</w:t>
            </w:r>
          </w:p>
          <w:p w14:paraId="3B7C37D0" w14:textId="77777777" w:rsidR="00031241" w:rsidRPr="008A6717" w:rsidRDefault="00031241" w:rsidP="00031241">
            <w:pPr>
              <w:pStyle w:val="TableText0"/>
              <w:rPr>
                <w:lang w:val="de-DE"/>
              </w:rPr>
            </w:pPr>
            <w:r w:rsidRPr="008A6717">
              <w:rPr>
                <w:i/>
                <w:lang w:val="de-DE"/>
              </w:rPr>
              <w:t>$26,183,372</w:t>
            </w:r>
          </w:p>
        </w:tc>
        <w:tc>
          <w:tcPr>
            <w:tcW w:w="1118" w:type="dxa"/>
            <w:tcBorders>
              <w:top w:val="single" w:sz="4" w:space="0" w:color="auto"/>
              <w:left w:val="single" w:sz="4" w:space="0" w:color="auto"/>
              <w:bottom w:val="single" w:sz="4" w:space="0" w:color="auto"/>
              <w:right w:val="single" w:sz="4" w:space="0" w:color="auto"/>
            </w:tcBorders>
            <w:noWrap/>
            <w:hideMark/>
          </w:tcPr>
          <w:p w14:paraId="2775F863" w14:textId="77777777" w:rsidR="00031241" w:rsidRPr="008A6717" w:rsidRDefault="00031241" w:rsidP="00031241">
            <w:pPr>
              <w:pStyle w:val="TableText0"/>
              <w:rPr>
                <w:lang w:val="de-DE"/>
              </w:rPr>
            </w:pPr>
            <w:r w:rsidRPr="008A6717">
              <w:rPr>
                <w:lang w:val="de-DE"/>
              </w:rPr>
              <w:t>$27,688,742</w:t>
            </w:r>
          </w:p>
          <w:p w14:paraId="73C6AEED" w14:textId="77777777" w:rsidR="00031241" w:rsidRPr="008A6717" w:rsidRDefault="00031241" w:rsidP="00031241">
            <w:pPr>
              <w:pStyle w:val="TableText0"/>
              <w:rPr>
                <w:lang w:val="de-DE"/>
              </w:rPr>
            </w:pPr>
            <w:r w:rsidRPr="008A6717">
              <w:rPr>
                <w:i/>
                <w:lang w:val="de-DE"/>
              </w:rPr>
              <w:t>$27,688,742</w:t>
            </w:r>
          </w:p>
        </w:tc>
        <w:tc>
          <w:tcPr>
            <w:tcW w:w="1118" w:type="dxa"/>
            <w:tcBorders>
              <w:top w:val="single" w:sz="4" w:space="0" w:color="auto"/>
              <w:left w:val="single" w:sz="4" w:space="0" w:color="auto"/>
              <w:bottom w:val="single" w:sz="4" w:space="0" w:color="auto"/>
              <w:right w:val="single" w:sz="4" w:space="0" w:color="auto"/>
            </w:tcBorders>
            <w:noWrap/>
            <w:hideMark/>
          </w:tcPr>
          <w:p w14:paraId="2831A672" w14:textId="77777777" w:rsidR="00031241" w:rsidRPr="008A6717" w:rsidRDefault="00031241" w:rsidP="00031241">
            <w:pPr>
              <w:pStyle w:val="TableText0"/>
              <w:rPr>
                <w:lang w:val="de-DE"/>
              </w:rPr>
            </w:pPr>
            <w:r w:rsidRPr="008A6717">
              <w:rPr>
                <w:lang w:val="de-DE"/>
              </w:rPr>
              <w:t>$28,399,403</w:t>
            </w:r>
          </w:p>
          <w:p w14:paraId="13CB3012" w14:textId="77777777" w:rsidR="00031241" w:rsidRPr="008A6717" w:rsidRDefault="00031241" w:rsidP="00031241">
            <w:pPr>
              <w:pStyle w:val="TableText0"/>
              <w:rPr>
                <w:lang w:val="de-DE"/>
              </w:rPr>
            </w:pPr>
            <w:r w:rsidRPr="008A6717">
              <w:rPr>
                <w:i/>
                <w:lang w:val="de-DE"/>
              </w:rPr>
              <w:t>$26,689,589</w:t>
            </w:r>
          </w:p>
        </w:tc>
        <w:tc>
          <w:tcPr>
            <w:tcW w:w="1085" w:type="dxa"/>
            <w:tcBorders>
              <w:top w:val="single" w:sz="4" w:space="0" w:color="auto"/>
              <w:left w:val="single" w:sz="4" w:space="0" w:color="auto"/>
              <w:bottom w:val="single" w:sz="4" w:space="0" w:color="auto"/>
              <w:right w:val="single" w:sz="4" w:space="0" w:color="auto"/>
            </w:tcBorders>
          </w:tcPr>
          <w:p w14:paraId="74FFCF0B" w14:textId="77777777" w:rsidR="00031241" w:rsidRPr="008A6717" w:rsidRDefault="00031241" w:rsidP="00031241">
            <w:pPr>
              <w:pStyle w:val="TableText0"/>
              <w:rPr>
                <w:lang w:val="de-DE"/>
              </w:rPr>
            </w:pPr>
            <w:r w:rsidRPr="008A6717">
              <w:rPr>
                <w:lang w:val="de-DE"/>
              </w:rPr>
              <w:t>$29,128,304</w:t>
            </w:r>
          </w:p>
          <w:p w14:paraId="14B6D528" w14:textId="77777777" w:rsidR="00031241" w:rsidRPr="008A6717" w:rsidRDefault="00031241" w:rsidP="00031241">
            <w:pPr>
              <w:pStyle w:val="TableText0"/>
              <w:rPr>
                <w:lang w:val="de-DE"/>
              </w:rPr>
            </w:pPr>
            <w:r w:rsidRPr="008A6717">
              <w:rPr>
                <w:i/>
                <w:lang w:val="de-DE"/>
              </w:rPr>
              <w:t>$26,395,944</w:t>
            </w:r>
          </w:p>
        </w:tc>
      </w:tr>
      <w:tr w:rsidR="008A6717" w:rsidRPr="008A6717" w14:paraId="137E9958" w14:textId="77777777" w:rsidTr="00135EA6">
        <w:trPr>
          <w:trHeight w:val="300"/>
        </w:trPr>
        <w:tc>
          <w:tcPr>
            <w:tcW w:w="3510" w:type="dxa"/>
            <w:tcBorders>
              <w:top w:val="single" w:sz="4" w:space="0" w:color="auto"/>
              <w:left w:val="single" w:sz="4" w:space="0" w:color="auto"/>
              <w:bottom w:val="single" w:sz="4" w:space="0" w:color="auto"/>
              <w:right w:val="single" w:sz="4" w:space="0" w:color="auto"/>
            </w:tcBorders>
            <w:noWrap/>
            <w:hideMark/>
          </w:tcPr>
          <w:p w14:paraId="60F546B1" w14:textId="77777777" w:rsidR="00031241" w:rsidRPr="008A6717" w:rsidRDefault="00031241" w:rsidP="00031241">
            <w:pPr>
              <w:pStyle w:val="TableText0"/>
            </w:pPr>
            <w:r w:rsidRPr="008A6717">
              <w:t>Net change in test cost (</w:t>
            </w:r>
            <w:proofErr w:type="spellStart"/>
            <w:r w:rsidRPr="008A6717">
              <w:t>PoC</w:t>
            </w:r>
            <w:proofErr w:type="spellEnd"/>
            <w:r w:rsidRPr="008A6717">
              <w:t>: -$0.15 per test)</w:t>
            </w:r>
          </w:p>
        </w:tc>
        <w:tc>
          <w:tcPr>
            <w:tcW w:w="1118" w:type="dxa"/>
            <w:tcBorders>
              <w:top w:val="single" w:sz="4" w:space="0" w:color="auto"/>
              <w:left w:val="single" w:sz="4" w:space="0" w:color="auto"/>
              <w:bottom w:val="single" w:sz="4" w:space="0" w:color="auto"/>
              <w:right w:val="single" w:sz="4" w:space="0" w:color="auto"/>
            </w:tcBorders>
            <w:noWrap/>
            <w:hideMark/>
          </w:tcPr>
          <w:p w14:paraId="3CA5D08A" w14:textId="77777777" w:rsidR="00031241" w:rsidRPr="008A6717" w:rsidRDefault="00031241" w:rsidP="00031241">
            <w:pPr>
              <w:pStyle w:val="TableText0"/>
              <w:rPr>
                <w:lang w:val="de-DE"/>
              </w:rPr>
            </w:pPr>
            <w:r w:rsidRPr="008A6717">
              <w:rPr>
                <w:lang w:val="de-DE"/>
              </w:rPr>
              <w:t>-$2,799</w:t>
            </w:r>
          </w:p>
        </w:tc>
        <w:tc>
          <w:tcPr>
            <w:tcW w:w="1118" w:type="dxa"/>
            <w:tcBorders>
              <w:top w:val="single" w:sz="4" w:space="0" w:color="auto"/>
              <w:left w:val="single" w:sz="4" w:space="0" w:color="auto"/>
              <w:bottom w:val="single" w:sz="4" w:space="0" w:color="auto"/>
              <w:right w:val="single" w:sz="4" w:space="0" w:color="auto"/>
            </w:tcBorders>
            <w:noWrap/>
            <w:hideMark/>
          </w:tcPr>
          <w:p w14:paraId="403E089D" w14:textId="77777777" w:rsidR="00031241" w:rsidRPr="008A6717" w:rsidRDefault="00031241" w:rsidP="00031241">
            <w:pPr>
              <w:pStyle w:val="TableText0"/>
              <w:rPr>
                <w:lang w:val="de-DE"/>
              </w:rPr>
            </w:pPr>
            <w:r w:rsidRPr="008A6717">
              <w:rPr>
                <w:lang w:val="de-DE"/>
              </w:rPr>
              <w:t>-$5,743</w:t>
            </w:r>
          </w:p>
        </w:tc>
        <w:tc>
          <w:tcPr>
            <w:tcW w:w="1118" w:type="dxa"/>
            <w:tcBorders>
              <w:top w:val="single" w:sz="4" w:space="0" w:color="auto"/>
              <w:left w:val="single" w:sz="4" w:space="0" w:color="auto"/>
              <w:bottom w:val="single" w:sz="4" w:space="0" w:color="auto"/>
              <w:right w:val="single" w:sz="4" w:space="0" w:color="auto"/>
            </w:tcBorders>
            <w:noWrap/>
            <w:hideMark/>
          </w:tcPr>
          <w:p w14:paraId="26DD37A4" w14:textId="77777777" w:rsidR="00031241" w:rsidRPr="008A6717" w:rsidRDefault="00031241" w:rsidP="00031241">
            <w:pPr>
              <w:pStyle w:val="TableText0"/>
              <w:rPr>
                <w:lang w:val="de-DE"/>
              </w:rPr>
            </w:pPr>
            <w:r w:rsidRPr="008A6717">
              <w:rPr>
                <w:lang w:val="de-DE"/>
              </w:rPr>
              <w:t>-$8,836</w:t>
            </w:r>
          </w:p>
        </w:tc>
        <w:tc>
          <w:tcPr>
            <w:tcW w:w="1118" w:type="dxa"/>
            <w:tcBorders>
              <w:top w:val="single" w:sz="4" w:space="0" w:color="auto"/>
              <w:left w:val="single" w:sz="4" w:space="0" w:color="auto"/>
              <w:bottom w:val="single" w:sz="4" w:space="0" w:color="auto"/>
              <w:right w:val="single" w:sz="4" w:space="0" w:color="auto"/>
            </w:tcBorders>
            <w:noWrap/>
            <w:hideMark/>
          </w:tcPr>
          <w:p w14:paraId="0FAC68CC" w14:textId="77777777" w:rsidR="00031241" w:rsidRPr="008A6717" w:rsidRDefault="00031241" w:rsidP="00031241">
            <w:pPr>
              <w:pStyle w:val="TableText0"/>
              <w:rPr>
                <w:lang w:val="de-DE"/>
              </w:rPr>
            </w:pPr>
            <w:r w:rsidRPr="008A6717">
              <w:rPr>
                <w:lang w:val="de-DE"/>
              </w:rPr>
              <w:t>-$12,085</w:t>
            </w:r>
          </w:p>
        </w:tc>
        <w:tc>
          <w:tcPr>
            <w:tcW w:w="1085" w:type="dxa"/>
            <w:tcBorders>
              <w:top w:val="single" w:sz="4" w:space="0" w:color="auto"/>
              <w:left w:val="single" w:sz="4" w:space="0" w:color="auto"/>
              <w:bottom w:val="single" w:sz="4" w:space="0" w:color="auto"/>
              <w:right w:val="single" w:sz="4" w:space="0" w:color="auto"/>
            </w:tcBorders>
          </w:tcPr>
          <w:p w14:paraId="643D01E5" w14:textId="77777777" w:rsidR="00031241" w:rsidRPr="008A6717" w:rsidRDefault="00031241" w:rsidP="00031241">
            <w:pPr>
              <w:pStyle w:val="TableText0"/>
              <w:rPr>
                <w:lang w:val="de-DE"/>
              </w:rPr>
            </w:pPr>
            <w:r w:rsidRPr="008A6717">
              <w:rPr>
                <w:lang w:val="de-DE"/>
              </w:rPr>
              <w:t>-$15,496</w:t>
            </w:r>
          </w:p>
        </w:tc>
      </w:tr>
      <w:tr w:rsidR="008A6717" w:rsidRPr="008A6717" w14:paraId="0670D74E" w14:textId="77777777" w:rsidTr="00135EA6">
        <w:trPr>
          <w:trHeight w:val="300"/>
        </w:trPr>
        <w:tc>
          <w:tcPr>
            <w:tcW w:w="3510" w:type="dxa"/>
            <w:tcBorders>
              <w:top w:val="single" w:sz="4" w:space="0" w:color="auto"/>
              <w:left w:val="single" w:sz="4" w:space="0" w:color="auto"/>
              <w:bottom w:val="single" w:sz="4" w:space="0" w:color="auto"/>
              <w:right w:val="single" w:sz="4" w:space="0" w:color="auto"/>
            </w:tcBorders>
            <w:noWrap/>
            <w:hideMark/>
          </w:tcPr>
          <w:p w14:paraId="7ACD6EB3" w14:textId="77777777" w:rsidR="00031241" w:rsidRPr="008A6717" w:rsidRDefault="00031241" w:rsidP="00031241">
            <w:pPr>
              <w:pStyle w:val="TableText0"/>
            </w:pPr>
            <w:r w:rsidRPr="008A6717">
              <w:t>Total net change to the MBS</w:t>
            </w:r>
          </w:p>
        </w:tc>
        <w:tc>
          <w:tcPr>
            <w:tcW w:w="1118" w:type="dxa"/>
            <w:tcBorders>
              <w:top w:val="single" w:sz="4" w:space="0" w:color="auto"/>
              <w:left w:val="single" w:sz="4" w:space="0" w:color="auto"/>
              <w:bottom w:val="single" w:sz="4" w:space="0" w:color="auto"/>
              <w:right w:val="single" w:sz="4" w:space="0" w:color="auto"/>
            </w:tcBorders>
            <w:noWrap/>
            <w:hideMark/>
          </w:tcPr>
          <w:p w14:paraId="361CCFE6" w14:textId="77777777" w:rsidR="00031241" w:rsidRPr="008A6717" w:rsidRDefault="00031241" w:rsidP="00031241">
            <w:pPr>
              <w:pStyle w:val="TableText0"/>
              <w:rPr>
                <w:lang w:val="de-DE"/>
              </w:rPr>
            </w:pPr>
            <w:r w:rsidRPr="008A6717">
              <w:rPr>
                <w:lang w:val="de-DE"/>
              </w:rPr>
              <w:t>-$2,799</w:t>
            </w:r>
          </w:p>
        </w:tc>
        <w:tc>
          <w:tcPr>
            <w:tcW w:w="1118" w:type="dxa"/>
            <w:tcBorders>
              <w:top w:val="single" w:sz="4" w:space="0" w:color="auto"/>
              <w:left w:val="single" w:sz="4" w:space="0" w:color="auto"/>
              <w:bottom w:val="single" w:sz="4" w:space="0" w:color="auto"/>
              <w:right w:val="single" w:sz="4" w:space="0" w:color="auto"/>
            </w:tcBorders>
            <w:noWrap/>
            <w:hideMark/>
          </w:tcPr>
          <w:p w14:paraId="0A608299" w14:textId="77777777" w:rsidR="00031241" w:rsidRPr="008A6717" w:rsidRDefault="00031241" w:rsidP="00031241">
            <w:pPr>
              <w:pStyle w:val="TableText0"/>
              <w:rPr>
                <w:lang w:val="de-DE"/>
              </w:rPr>
            </w:pPr>
            <w:r w:rsidRPr="008A6717">
              <w:rPr>
                <w:lang w:val="de-DE"/>
              </w:rPr>
              <w:t>-$5,743</w:t>
            </w:r>
          </w:p>
        </w:tc>
        <w:tc>
          <w:tcPr>
            <w:tcW w:w="1118" w:type="dxa"/>
            <w:tcBorders>
              <w:top w:val="single" w:sz="4" w:space="0" w:color="auto"/>
              <w:left w:val="single" w:sz="4" w:space="0" w:color="auto"/>
              <w:bottom w:val="single" w:sz="4" w:space="0" w:color="auto"/>
              <w:right w:val="single" w:sz="4" w:space="0" w:color="auto"/>
            </w:tcBorders>
            <w:noWrap/>
            <w:hideMark/>
          </w:tcPr>
          <w:p w14:paraId="337EEB78" w14:textId="77777777" w:rsidR="00031241" w:rsidRPr="008A6717" w:rsidRDefault="00031241" w:rsidP="00031241">
            <w:pPr>
              <w:pStyle w:val="TableText0"/>
              <w:rPr>
                <w:lang w:val="de-DE"/>
              </w:rPr>
            </w:pPr>
            <w:r w:rsidRPr="008A6717">
              <w:rPr>
                <w:lang w:val="de-DE"/>
              </w:rPr>
              <w:t>-$8,836</w:t>
            </w:r>
          </w:p>
        </w:tc>
        <w:tc>
          <w:tcPr>
            <w:tcW w:w="1118" w:type="dxa"/>
            <w:tcBorders>
              <w:top w:val="single" w:sz="4" w:space="0" w:color="auto"/>
              <w:left w:val="single" w:sz="4" w:space="0" w:color="auto"/>
              <w:bottom w:val="single" w:sz="4" w:space="0" w:color="auto"/>
              <w:right w:val="single" w:sz="4" w:space="0" w:color="auto"/>
            </w:tcBorders>
            <w:noWrap/>
            <w:hideMark/>
          </w:tcPr>
          <w:p w14:paraId="271C23CD" w14:textId="77777777" w:rsidR="00031241" w:rsidRPr="008A6717" w:rsidRDefault="00031241" w:rsidP="00031241">
            <w:pPr>
              <w:pStyle w:val="TableText0"/>
              <w:rPr>
                <w:lang w:val="de-DE"/>
              </w:rPr>
            </w:pPr>
            <w:r w:rsidRPr="008A6717">
              <w:rPr>
                <w:lang w:val="de-DE"/>
              </w:rPr>
              <w:t>-$12,085</w:t>
            </w:r>
          </w:p>
        </w:tc>
        <w:tc>
          <w:tcPr>
            <w:tcW w:w="1085" w:type="dxa"/>
            <w:tcBorders>
              <w:top w:val="single" w:sz="4" w:space="0" w:color="auto"/>
              <w:left w:val="single" w:sz="4" w:space="0" w:color="auto"/>
              <w:bottom w:val="single" w:sz="4" w:space="0" w:color="auto"/>
              <w:right w:val="single" w:sz="4" w:space="0" w:color="auto"/>
            </w:tcBorders>
          </w:tcPr>
          <w:p w14:paraId="7D9634B4" w14:textId="77777777" w:rsidR="00031241" w:rsidRPr="008A6717" w:rsidRDefault="00031241" w:rsidP="00031241">
            <w:pPr>
              <w:pStyle w:val="TableText0"/>
              <w:rPr>
                <w:lang w:val="de-DE"/>
              </w:rPr>
            </w:pPr>
            <w:r w:rsidRPr="008A6717">
              <w:rPr>
                <w:lang w:val="de-DE"/>
              </w:rPr>
              <w:t>-$15,496</w:t>
            </w:r>
          </w:p>
        </w:tc>
      </w:tr>
    </w:tbl>
    <w:p w14:paraId="32006CD4" w14:textId="77777777" w:rsidR="00031241" w:rsidRPr="008A6717" w:rsidRDefault="00031241" w:rsidP="00031241">
      <w:pPr>
        <w:pStyle w:val="Tablenotes"/>
        <w:rPr>
          <w:rFonts w:eastAsia="SimSun"/>
        </w:rPr>
      </w:pPr>
      <w:r w:rsidRPr="008A6717">
        <w:rPr>
          <w:rFonts w:eastAsia="SimSun"/>
        </w:rPr>
        <w:t>Source = Table 18, p36 of the resubmission</w:t>
      </w:r>
    </w:p>
    <w:p w14:paraId="555BE246" w14:textId="77777777" w:rsidR="00031241" w:rsidRPr="008A6717" w:rsidRDefault="00031241" w:rsidP="00031241">
      <w:pPr>
        <w:pStyle w:val="TFAbbrevs0"/>
        <w:rPr>
          <w:rFonts w:eastAsia="SimSun"/>
          <w:snapToGrid w:val="0"/>
          <w:color w:val="auto"/>
          <w:lang w:eastAsia="zh-CN"/>
        </w:rPr>
      </w:pPr>
      <w:r w:rsidRPr="008A6717">
        <w:rPr>
          <w:rFonts w:eastAsia="SimSun"/>
          <w:snapToGrid w:val="0"/>
          <w:color w:val="auto"/>
          <w:lang w:eastAsia="zh-CN"/>
        </w:rPr>
        <w:t xml:space="preserve">HbA1c = glycated haemoglobin; MBS = Medicare Benefits Schedule; PATH = pathology laboratory testing; </w:t>
      </w:r>
      <w:proofErr w:type="spellStart"/>
      <w:r w:rsidRPr="008A6717">
        <w:rPr>
          <w:rFonts w:eastAsia="SimSun"/>
          <w:snapToGrid w:val="0"/>
          <w:color w:val="auto"/>
          <w:lang w:eastAsia="zh-CN"/>
        </w:rPr>
        <w:t>PoC</w:t>
      </w:r>
      <w:proofErr w:type="spellEnd"/>
      <w:r w:rsidRPr="008A6717">
        <w:rPr>
          <w:rFonts w:eastAsia="SimSun"/>
          <w:snapToGrid w:val="0"/>
          <w:color w:val="auto"/>
          <w:lang w:eastAsia="zh-CN"/>
        </w:rPr>
        <w:t xml:space="preserve"> = </w:t>
      </w:r>
      <w:r w:rsidRPr="008A6717">
        <w:rPr>
          <w:rFonts w:eastAsia="SimSun"/>
          <w:snapToGrid w:val="0"/>
          <w:color w:val="auto"/>
          <w:lang w:eastAsia="en-US"/>
        </w:rPr>
        <w:t>P</w:t>
      </w:r>
      <w:r w:rsidRPr="008A6717">
        <w:rPr>
          <w:rFonts w:eastAsia="SimSun"/>
          <w:snapToGrid w:val="0"/>
          <w:color w:val="auto"/>
          <w:lang w:eastAsia="zh-CN"/>
        </w:rPr>
        <w:t xml:space="preserve">oint of </w:t>
      </w:r>
      <w:r w:rsidRPr="008A6717">
        <w:rPr>
          <w:rFonts w:eastAsia="SimSun"/>
          <w:snapToGrid w:val="0"/>
          <w:color w:val="auto"/>
          <w:lang w:eastAsia="en-US"/>
        </w:rPr>
        <w:t>C</w:t>
      </w:r>
      <w:r w:rsidRPr="008A6717">
        <w:rPr>
          <w:rFonts w:eastAsia="SimSun"/>
          <w:snapToGrid w:val="0"/>
          <w:color w:val="auto"/>
          <w:lang w:eastAsia="zh-CN"/>
        </w:rPr>
        <w:t>are</w:t>
      </w:r>
    </w:p>
    <w:p w14:paraId="4104686D" w14:textId="77777777" w:rsidR="00031241" w:rsidRPr="008A6717" w:rsidRDefault="00031241" w:rsidP="00031241">
      <w:pPr>
        <w:pStyle w:val="TFAbbrevs0"/>
        <w:rPr>
          <w:snapToGrid w:val="0"/>
          <w:color w:val="auto"/>
        </w:rPr>
      </w:pPr>
      <w:proofErr w:type="gramStart"/>
      <w:r w:rsidRPr="008A6717">
        <w:rPr>
          <w:snapToGrid w:val="0"/>
          <w:color w:val="auto"/>
          <w:vertAlign w:val="superscript"/>
        </w:rPr>
        <w:t>a</w:t>
      </w:r>
      <w:proofErr w:type="gramEnd"/>
      <w:r w:rsidRPr="008A6717">
        <w:rPr>
          <w:snapToGrid w:val="0"/>
          <w:color w:val="auto"/>
          <w:vertAlign w:val="superscript"/>
        </w:rPr>
        <w:t xml:space="preserve"> </w:t>
      </w:r>
      <w:r w:rsidRPr="008A6717">
        <w:rPr>
          <w:snapToGrid w:val="0"/>
          <w:color w:val="auto"/>
        </w:rPr>
        <w:t xml:space="preserve">MBS utilisation of item 66551 in 2015/16 (coned: 1,200,715; coned &amp; </w:t>
      </w:r>
      <w:proofErr w:type="spellStart"/>
      <w:r w:rsidRPr="008A6717">
        <w:rPr>
          <w:snapToGrid w:val="0"/>
          <w:color w:val="auto"/>
        </w:rPr>
        <w:t>unconed</w:t>
      </w:r>
      <w:proofErr w:type="spellEnd"/>
      <w:r w:rsidRPr="008A6717">
        <w:rPr>
          <w:snapToGrid w:val="0"/>
          <w:color w:val="auto"/>
        </w:rPr>
        <w:t>: 1,866,158), with annual growth applied of 2.6%</w:t>
      </w:r>
    </w:p>
    <w:p w14:paraId="612704FF" w14:textId="77777777" w:rsidR="00031241" w:rsidRPr="008A6717" w:rsidRDefault="00031241" w:rsidP="00031241">
      <w:pPr>
        <w:pStyle w:val="Comment"/>
        <w:spacing w:after="120"/>
        <w:rPr>
          <w:rFonts w:ascii="Arial Narrow" w:hAnsi="Arial Narrow"/>
          <w:snapToGrid w:val="0"/>
          <w:color w:val="auto"/>
          <w:sz w:val="18"/>
          <w:lang w:eastAsia="en-US"/>
        </w:rPr>
      </w:pPr>
      <w:r w:rsidRPr="008A6717">
        <w:rPr>
          <w:rFonts w:ascii="Arial Narrow" w:hAnsi="Arial Narrow"/>
          <w:snapToGrid w:val="0"/>
          <w:color w:val="auto"/>
          <w:sz w:val="18"/>
          <w:lang w:eastAsia="en-US"/>
        </w:rPr>
        <w:t>Values in italics represents calculated during Critique</w:t>
      </w:r>
    </w:p>
    <w:p w14:paraId="26736206" w14:textId="33A2AC5A" w:rsidR="00031241" w:rsidRPr="000934B8" w:rsidRDefault="00031241" w:rsidP="002537D5">
      <w:pPr>
        <w:spacing w:after="240"/>
        <w:rPr>
          <w:snapToGrid w:val="0"/>
          <w:lang w:eastAsia="en-US"/>
        </w:rPr>
      </w:pPr>
      <w:r>
        <w:rPr>
          <w:snapToGrid w:val="0"/>
          <w:lang w:eastAsia="en-US"/>
        </w:rPr>
        <w:lastRenderedPageBreak/>
        <w:t>The 85% rebate level for HbA1c testing (</w:t>
      </w:r>
      <w:proofErr w:type="spellStart"/>
      <w:r>
        <w:rPr>
          <w:snapToGrid w:val="0"/>
          <w:lang w:eastAsia="en-US"/>
        </w:rPr>
        <w:t>PoC</w:t>
      </w:r>
      <w:proofErr w:type="spellEnd"/>
      <w:r>
        <w:rPr>
          <w:snapToGrid w:val="0"/>
          <w:lang w:eastAsia="en-US"/>
        </w:rPr>
        <w:t xml:space="preserve"> and pathology; </w:t>
      </w:r>
      <w:r w:rsidRPr="003C09FA">
        <w:fldChar w:fldCharType="begin"/>
      </w:r>
      <w:r w:rsidRPr="003C09FA">
        <w:instrText xml:space="preserve"> REF _Ref534706392 \h </w:instrText>
      </w:r>
      <w:r>
        <w:instrText xml:space="preserve"> \* MERGEFORMAT </w:instrText>
      </w:r>
      <w:r w:rsidRPr="003C09FA">
        <w:fldChar w:fldCharType="separate"/>
      </w:r>
      <w:r w:rsidR="00AE4BFA" w:rsidRPr="00AE4BFA">
        <w:t>Table 5</w:t>
      </w:r>
      <w:r w:rsidRPr="003C09FA">
        <w:fldChar w:fldCharType="end"/>
      </w:r>
      <w:r>
        <w:rPr>
          <w:snapToGrid w:val="0"/>
          <w:lang w:eastAsia="en-US"/>
        </w:rPr>
        <w:t xml:space="preserve">) was considered more appropriate, </w:t>
      </w:r>
      <w:r w:rsidRPr="00541B77">
        <w:rPr>
          <w:snapToGrid w:val="0"/>
          <w:lang w:eastAsia="en-US"/>
        </w:rPr>
        <w:t>based on average MBS benefits paid from utilisation of MBS item 66551 over 2013/14 to 2017/18.</w:t>
      </w:r>
      <w:r>
        <w:rPr>
          <w:snapToGrid w:val="0"/>
          <w:lang w:eastAsia="en-US"/>
        </w:rPr>
        <w:t xml:space="preserve"> However, this made negligible impact to the total net cost to the MBS (compared with resubmission’s app</w:t>
      </w:r>
      <w:r w:rsidR="000934B8">
        <w:rPr>
          <w:snapToGrid w:val="0"/>
          <w:lang w:eastAsia="en-US"/>
        </w:rPr>
        <w:t>roach using 100% rebate level).</w:t>
      </w:r>
    </w:p>
    <w:p w14:paraId="3384457D" w14:textId="0A71AAA5" w:rsidR="00031241" w:rsidRPr="00995BBA" w:rsidRDefault="00031241" w:rsidP="00995BBA">
      <w:pPr>
        <w:keepNext/>
        <w:keepLines/>
        <w:rPr>
          <w:rFonts w:ascii="Arial Narrow" w:hAnsi="Arial Narrow"/>
          <w:b/>
          <w:sz w:val="20"/>
        </w:rPr>
      </w:pPr>
      <w:bookmarkStart w:id="11" w:name="_Ref534706392"/>
      <w:bookmarkStart w:id="12" w:name="_Toc534796376"/>
      <w:r w:rsidRPr="00995BBA">
        <w:rPr>
          <w:rFonts w:ascii="Arial Narrow" w:hAnsi="Arial Narrow"/>
          <w:b/>
          <w:sz w:val="20"/>
        </w:rPr>
        <w:t xml:space="preserve">Table </w:t>
      </w:r>
      <w:r w:rsidRPr="00995BBA">
        <w:rPr>
          <w:rFonts w:ascii="Arial Narrow" w:hAnsi="Arial Narrow"/>
          <w:b/>
          <w:sz w:val="20"/>
        </w:rPr>
        <w:fldChar w:fldCharType="begin"/>
      </w:r>
      <w:r w:rsidRPr="00995BBA">
        <w:rPr>
          <w:rFonts w:ascii="Arial Narrow" w:hAnsi="Arial Narrow"/>
          <w:b/>
          <w:sz w:val="20"/>
        </w:rPr>
        <w:instrText xml:space="preserve"> SEQ Table \* ARABIC </w:instrText>
      </w:r>
      <w:r w:rsidRPr="00995BBA">
        <w:rPr>
          <w:rFonts w:ascii="Arial Narrow" w:hAnsi="Arial Narrow"/>
          <w:b/>
          <w:sz w:val="20"/>
        </w:rPr>
        <w:fldChar w:fldCharType="separate"/>
      </w:r>
      <w:r w:rsidR="00AE4BFA">
        <w:rPr>
          <w:rFonts w:ascii="Arial Narrow" w:hAnsi="Arial Narrow"/>
          <w:b/>
          <w:noProof/>
          <w:sz w:val="20"/>
        </w:rPr>
        <w:t>5</w:t>
      </w:r>
      <w:r w:rsidRPr="00995BBA">
        <w:rPr>
          <w:rFonts w:ascii="Arial Narrow" w:hAnsi="Arial Narrow"/>
          <w:b/>
          <w:sz w:val="20"/>
        </w:rPr>
        <w:fldChar w:fldCharType="end"/>
      </w:r>
      <w:bookmarkEnd w:id="11"/>
      <w:r w:rsidRPr="00995BBA">
        <w:rPr>
          <w:rFonts w:ascii="Arial Narrow" w:hAnsi="Arial Narrow"/>
          <w:b/>
          <w:sz w:val="20"/>
        </w:rPr>
        <w:tab/>
        <w:t xml:space="preserve">Budget impact estimations for HbA1c testing (using average yearly 85% rebate for HbA1c </w:t>
      </w:r>
      <w:proofErr w:type="spellStart"/>
      <w:r w:rsidRPr="00995BBA">
        <w:rPr>
          <w:rFonts w:ascii="Arial Narrow" w:hAnsi="Arial Narrow"/>
          <w:b/>
          <w:sz w:val="20"/>
        </w:rPr>
        <w:t>testinga</w:t>
      </w:r>
      <w:proofErr w:type="spellEnd"/>
      <w:r w:rsidRPr="00995BBA">
        <w:rPr>
          <w:rFonts w:ascii="Arial Narrow" w:hAnsi="Arial Narrow"/>
          <w:b/>
          <w:sz w:val="20"/>
        </w:rPr>
        <w:t>)</w:t>
      </w:r>
      <w:bookmarkEnd w:id="12"/>
    </w:p>
    <w:tbl>
      <w:tblPr>
        <w:tblStyle w:val="Summarybox1"/>
        <w:tblW w:w="9100" w:type="dxa"/>
        <w:tblLayout w:type="fixed"/>
        <w:tblCellMar>
          <w:left w:w="28" w:type="dxa"/>
          <w:right w:w="28" w:type="dxa"/>
        </w:tblCellMar>
        <w:tblLook w:val="04A0" w:firstRow="1" w:lastRow="0" w:firstColumn="1" w:lastColumn="0" w:noHBand="0" w:noVBand="1"/>
        <w:tblCaption w:val="Budget impact estimations for HbA1c testing (using average yearly 85% rebate for HbA1c testing)"/>
        <w:tblDescription w:val="Summary of five year budget impact of listing the proposed service"/>
      </w:tblPr>
      <w:tblGrid>
        <w:gridCol w:w="3397"/>
        <w:gridCol w:w="1140"/>
        <w:gridCol w:w="1141"/>
        <w:gridCol w:w="1140"/>
        <w:gridCol w:w="1141"/>
        <w:gridCol w:w="1141"/>
      </w:tblGrid>
      <w:tr w:rsidR="008A6717" w:rsidRPr="008A6717" w14:paraId="6AECDD41" w14:textId="77777777" w:rsidTr="00135EA6">
        <w:trPr>
          <w:trHeight w:val="375"/>
          <w:tblHeader/>
        </w:trPr>
        <w:tc>
          <w:tcPr>
            <w:tcW w:w="3397" w:type="dxa"/>
            <w:tcBorders>
              <w:top w:val="single" w:sz="4" w:space="0" w:color="auto"/>
              <w:left w:val="single" w:sz="4" w:space="0" w:color="auto"/>
              <w:bottom w:val="single" w:sz="4" w:space="0" w:color="auto"/>
              <w:right w:val="single" w:sz="4" w:space="0" w:color="auto"/>
            </w:tcBorders>
            <w:noWrap/>
          </w:tcPr>
          <w:p w14:paraId="746AA6EC" w14:textId="77777777" w:rsidR="00031241" w:rsidRPr="008A6717" w:rsidRDefault="00031241" w:rsidP="00995BBA">
            <w:pPr>
              <w:pStyle w:val="TableText0"/>
              <w:keepLines/>
              <w:rPr>
                <w:b/>
                <w:lang w:val="de-DE"/>
              </w:rPr>
            </w:pPr>
            <w:r w:rsidRPr="008A6717">
              <w:rPr>
                <w:b/>
                <w:lang w:val="de-DE"/>
              </w:rPr>
              <w:t>Net cost to MBS</w:t>
            </w:r>
          </w:p>
        </w:tc>
        <w:tc>
          <w:tcPr>
            <w:tcW w:w="1140" w:type="dxa"/>
            <w:tcBorders>
              <w:top w:val="single" w:sz="4" w:space="0" w:color="auto"/>
              <w:left w:val="single" w:sz="4" w:space="0" w:color="auto"/>
              <w:bottom w:val="single" w:sz="4" w:space="0" w:color="auto"/>
              <w:right w:val="single" w:sz="4" w:space="0" w:color="auto"/>
            </w:tcBorders>
            <w:noWrap/>
          </w:tcPr>
          <w:p w14:paraId="3A9295C2" w14:textId="77777777" w:rsidR="00031241" w:rsidRPr="008A6717" w:rsidRDefault="00031241" w:rsidP="00995BBA">
            <w:pPr>
              <w:pStyle w:val="TableText0"/>
              <w:keepLines/>
              <w:rPr>
                <w:b/>
                <w:lang w:val="de-DE"/>
              </w:rPr>
            </w:pPr>
            <w:r w:rsidRPr="008A6717">
              <w:rPr>
                <w:b/>
                <w:lang w:val="de-DE"/>
              </w:rPr>
              <w:t>Year 1</w:t>
            </w:r>
          </w:p>
        </w:tc>
        <w:tc>
          <w:tcPr>
            <w:tcW w:w="1141" w:type="dxa"/>
            <w:tcBorders>
              <w:top w:val="single" w:sz="4" w:space="0" w:color="auto"/>
              <w:left w:val="single" w:sz="4" w:space="0" w:color="auto"/>
              <w:bottom w:val="single" w:sz="4" w:space="0" w:color="auto"/>
              <w:right w:val="single" w:sz="4" w:space="0" w:color="auto"/>
            </w:tcBorders>
            <w:noWrap/>
          </w:tcPr>
          <w:p w14:paraId="24880E37" w14:textId="77777777" w:rsidR="00031241" w:rsidRPr="008A6717" w:rsidRDefault="00031241" w:rsidP="00995BBA">
            <w:pPr>
              <w:pStyle w:val="TableText0"/>
              <w:keepLines/>
              <w:rPr>
                <w:b/>
                <w:lang w:val="de-DE"/>
              </w:rPr>
            </w:pPr>
            <w:r w:rsidRPr="008A6717">
              <w:rPr>
                <w:b/>
                <w:lang w:val="de-DE"/>
              </w:rPr>
              <w:t>Year 2</w:t>
            </w:r>
          </w:p>
        </w:tc>
        <w:tc>
          <w:tcPr>
            <w:tcW w:w="1140" w:type="dxa"/>
            <w:tcBorders>
              <w:top w:val="single" w:sz="4" w:space="0" w:color="auto"/>
              <w:left w:val="single" w:sz="4" w:space="0" w:color="auto"/>
              <w:bottom w:val="single" w:sz="4" w:space="0" w:color="auto"/>
              <w:right w:val="single" w:sz="4" w:space="0" w:color="auto"/>
            </w:tcBorders>
            <w:noWrap/>
          </w:tcPr>
          <w:p w14:paraId="12962C8C" w14:textId="77777777" w:rsidR="00031241" w:rsidRPr="008A6717" w:rsidRDefault="00031241" w:rsidP="00995BBA">
            <w:pPr>
              <w:pStyle w:val="TableText0"/>
              <w:keepLines/>
              <w:rPr>
                <w:b/>
                <w:lang w:val="de-DE"/>
              </w:rPr>
            </w:pPr>
            <w:r w:rsidRPr="008A6717">
              <w:rPr>
                <w:b/>
                <w:lang w:val="de-DE"/>
              </w:rPr>
              <w:t>Year 3</w:t>
            </w:r>
          </w:p>
        </w:tc>
        <w:tc>
          <w:tcPr>
            <w:tcW w:w="1141" w:type="dxa"/>
            <w:tcBorders>
              <w:top w:val="single" w:sz="4" w:space="0" w:color="auto"/>
              <w:left w:val="single" w:sz="4" w:space="0" w:color="auto"/>
              <w:bottom w:val="single" w:sz="4" w:space="0" w:color="auto"/>
              <w:right w:val="single" w:sz="4" w:space="0" w:color="auto"/>
            </w:tcBorders>
            <w:noWrap/>
          </w:tcPr>
          <w:p w14:paraId="2637C529" w14:textId="77777777" w:rsidR="00031241" w:rsidRPr="008A6717" w:rsidRDefault="00031241" w:rsidP="00995BBA">
            <w:pPr>
              <w:pStyle w:val="TableText0"/>
              <w:keepLines/>
              <w:rPr>
                <w:b/>
                <w:lang w:val="de-DE"/>
              </w:rPr>
            </w:pPr>
            <w:r w:rsidRPr="008A6717">
              <w:rPr>
                <w:b/>
                <w:lang w:val="de-DE"/>
              </w:rPr>
              <w:t>Year 4</w:t>
            </w:r>
          </w:p>
        </w:tc>
        <w:tc>
          <w:tcPr>
            <w:tcW w:w="1141" w:type="dxa"/>
            <w:tcBorders>
              <w:top w:val="single" w:sz="4" w:space="0" w:color="auto"/>
              <w:left w:val="single" w:sz="4" w:space="0" w:color="auto"/>
              <w:bottom w:val="single" w:sz="4" w:space="0" w:color="auto"/>
              <w:right w:val="single" w:sz="4" w:space="0" w:color="auto"/>
            </w:tcBorders>
          </w:tcPr>
          <w:p w14:paraId="4493889E" w14:textId="77777777" w:rsidR="00031241" w:rsidRPr="008A6717" w:rsidRDefault="00031241" w:rsidP="00995BBA">
            <w:pPr>
              <w:pStyle w:val="TableText0"/>
              <w:keepLines/>
              <w:rPr>
                <w:b/>
                <w:lang w:val="de-DE"/>
              </w:rPr>
            </w:pPr>
            <w:r w:rsidRPr="008A6717">
              <w:rPr>
                <w:b/>
                <w:lang w:val="de-DE"/>
              </w:rPr>
              <w:t>Year 5</w:t>
            </w:r>
          </w:p>
        </w:tc>
      </w:tr>
      <w:tr w:rsidR="008A6717" w:rsidRPr="008A6717" w14:paraId="41147292" w14:textId="77777777" w:rsidTr="00135EA6">
        <w:trPr>
          <w:trHeight w:val="375"/>
        </w:trPr>
        <w:tc>
          <w:tcPr>
            <w:tcW w:w="3397" w:type="dxa"/>
            <w:tcBorders>
              <w:top w:val="single" w:sz="4" w:space="0" w:color="auto"/>
              <w:left w:val="single" w:sz="4" w:space="0" w:color="auto"/>
              <w:bottom w:val="single" w:sz="4" w:space="0" w:color="auto"/>
              <w:right w:val="single" w:sz="4" w:space="0" w:color="auto"/>
            </w:tcBorders>
            <w:noWrap/>
            <w:hideMark/>
          </w:tcPr>
          <w:p w14:paraId="1BF0E7DF" w14:textId="77777777" w:rsidR="00031241" w:rsidRPr="008A6717" w:rsidRDefault="00031241" w:rsidP="00995BBA">
            <w:pPr>
              <w:pStyle w:val="TableText0"/>
              <w:keepLines/>
              <w:rPr>
                <w:b/>
                <w:lang w:val="de-DE"/>
              </w:rPr>
            </w:pPr>
            <w:r w:rsidRPr="008A6717">
              <w:rPr>
                <w:b/>
                <w:lang w:val="de-DE"/>
              </w:rPr>
              <w:t>-</w:t>
            </w:r>
          </w:p>
        </w:tc>
        <w:tc>
          <w:tcPr>
            <w:tcW w:w="1140" w:type="dxa"/>
            <w:tcBorders>
              <w:top w:val="single" w:sz="4" w:space="0" w:color="auto"/>
              <w:left w:val="single" w:sz="4" w:space="0" w:color="auto"/>
              <w:bottom w:val="single" w:sz="4" w:space="0" w:color="auto"/>
              <w:right w:val="single" w:sz="4" w:space="0" w:color="auto"/>
            </w:tcBorders>
            <w:noWrap/>
            <w:hideMark/>
          </w:tcPr>
          <w:p w14:paraId="03FC272A" w14:textId="77777777" w:rsidR="00031241" w:rsidRPr="008A6717" w:rsidRDefault="00031241" w:rsidP="00995BBA">
            <w:pPr>
              <w:pStyle w:val="TableText0"/>
              <w:keepLines/>
              <w:rPr>
                <w:b/>
                <w:lang w:val="de-DE"/>
              </w:rPr>
            </w:pPr>
            <w:r w:rsidRPr="008A6717">
              <w:rPr>
                <w:b/>
                <w:lang w:val="de-DE"/>
              </w:rPr>
              <w:t>2018</w:t>
            </w:r>
          </w:p>
        </w:tc>
        <w:tc>
          <w:tcPr>
            <w:tcW w:w="1141" w:type="dxa"/>
            <w:tcBorders>
              <w:top w:val="single" w:sz="4" w:space="0" w:color="auto"/>
              <w:left w:val="single" w:sz="4" w:space="0" w:color="auto"/>
              <w:bottom w:val="single" w:sz="4" w:space="0" w:color="auto"/>
              <w:right w:val="single" w:sz="4" w:space="0" w:color="auto"/>
            </w:tcBorders>
            <w:noWrap/>
            <w:hideMark/>
          </w:tcPr>
          <w:p w14:paraId="7B771EDE" w14:textId="77777777" w:rsidR="00031241" w:rsidRPr="008A6717" w:rsidRDefault="00031241" w:rsidP="00995BBA">
            <w:pPr>
              <w:pStyle w:val="TableText0"/>
              <w:keepLines/>
              <w:rPr>
                <w:b/>
                <w:lang w:val="de-DE"/>
              </w:rPr>
            </w:pPr>
            <w:r w:rsidRPr="008A6717">
              <w:rPr>
                <w:b/>
                <w:lang w:val="de-DE"/>
              </w:rPr>
              <w:t>2019</w:t>
            </w:r>
          </w:p>
        </w:tc>
        <w:tc>
          <w:tcPr>
            <w:tcW w:w="1140" w:type="dxa"/>
            <w:tcBorders>
              <w:top w:val="single" w:sz="4" w:space="0" w:color="auto"/>
              <w:left w:val="single" w:sz="4" w:space="0" w:color="auto"/>
              <w:bottom w:val="single" w:sz="4" w:space="0" w:color="auto"/>
              <w:right w:val="single" w:sz="4" w:space="0" w:color="auto"/>
            </w:tcBorders>
            <w:noWrap/>
            <w:hideMark/>
          </w:tcPr>
          <w:p w14:paraId="23E815B9" w14:textId="77777777" w:rsidR="00031241" w:rsidRPr="008A6717" w:rsidRDefault="00031241" w:rsidP="00995BBA">
            <w:pPr>
              <w:pStyle w:val="TableText0"/>
              <w:keepLines/>
              <w:rPr>
                <w:b/>
                <w:lang w:val="de-DE"/>
              </w:rPr>
            </w:pPr>
            <w:r w:rsidRPr="008A6717">
              <w:rPr>
                <w:b/>
                <w:lang w:val="de-DE"/>
              </w:rPr>
              <w:t>2020</w:t>
            </w:r>
          </w:p>
        </w:tc>
        <w:tc>
          <w:tcPr>
            <w:tcW w:w="1141" w:type="dxa"/>
            <w:tcBorders>
              <w:top w:val="single" w:sz="4" w:space="0" w:color="auto"/>
              <w:left w:val="single" w:sz="4" w:space="0" w:color="auto"/>
              <w:bottom w:val="single" w:sz="4" w:space="0" w:color="auto"/>
              <w:right w:val="single" w:sz="4" w:space="0" w:color="auto"/>
            </w:tcBorders>
            <w:noWrap/>
            <w:hideMark/>
          </w:tcPr>
          <w:p w14:paraId="1996236A" w14:textId="77777777" w:rsidR="00031241" w:rsidRPr="008A6717" w:rsidRDefault="00031241" w:rsidP="00995BBA">
            <w:pPr>
              <w:pStyle w:val="TableText0"/>
              <w:keepLines/>
              <w:rPr>
                <w:b/>
                <w:lang w:val="de-DE"/>
              </w:rPr>
            </w:pPr>
            <w:r w:rsidRPr="008A6717">
              <w:rPr>
                <w:b/>
                <w:lang w:val="de-DE"/>
              </w:rPr>
              <w:t>2021</w:t>
            </w:r>
          </w:p>
        </w:tc>
        <w:tc>
          <w:tcPr>
            <w:tcW w:w="1141" w:type="dxa"/>
            <w:tcBorders>
              <w:top w:val="single" w:sz="4" w:space="0" w:color="auto"/>
              <w:left w:val="single" w:sz="4" w:space="0" w:color="auto"/>
              <w:bottom w:val="single" w:sz="4" w:space="0" w:color="auto"/>
              <w:right w:val="single" w:sz="4" w:space="0" w:color="auto"/>
            </w:tcBorders>
          </w:tcPr>
          <w:p w14:paraId="2FD95EBE" w14:textId="77777777" w:rsidR="00031241" w:rsidRPr="008A6717" w:rsidRDefault="00031241" w:rsidP="00995BBA">
            <w:pPr>
              <w:pStyle w:val="TableText0"/>
              <w:keepLines/>
              <w:rPr>
                <w:b/>
                <w:lang w:val="de-DE"/>
              </w:rPr>
            </w:pPr>
            <w:r w:rsidRPr="008A6717">
              <w:rPr>
                <w:b/>
                <w:lang w:val="de-DE"/>
              </w:rPr>
              <w:t>2022</w:t>
            </w:r>
          </w:p>
        </w:tc>
      </w:tr>
      <w:tr w:rsidR="008A6717" w:rsidRPr="008A6717" w14:paraId="228BF6E3" w14:textId="77777777" w:rsidTr="00135EA6">
        <w:trPr>
          <w:trHeight w:val="375"/>
        </w:trPr>
        <w:tc>
          <w:tcPr>
            <w:tcW w:w="3397" w:type="dxa"/>
            <w:tcBorders>
              <w:top w:val="single" w:sz="4" w:space="0" w:color="auto"/>
              <w:left w:val="single" w:sz="4" w:space="0" w:color="auto"/>
              <w:bottom w:val="single" w:sz="4" w:space="0" w:color="auto"/>
              <w:right w:val="single" w:sz="4" w:space="0" w:color="auto"/>
            </w:tcBorders>
            <w:noWrap/>
          </w:tcPr>
          <w:p w14:paraId="487C12D2" w14:textId="77777777" w:rsidR="00031241" w:rsidRPr="008A6717" w:rsidRDefault="00031241" w:rsidP="00031241">
            <w:pPr>
              <w:pStyle w:val="TableText0"/>
            </w:pPr>
            <w:r w:rsidRPr="008A6717">
              <w:t>Uptake rate (based on assumption)</w:t>
            </w:r>
          </w:p>
        </w:tc>
        <w:tc>
          <w:tcPr>
            <w:tcW w:w="1140" w:type="dxa"/>
            <w:tcBorders>
              <w:top w:val="single" w:sz="4" w:space="0" w:color="auto"/>
              <w:left w:val="single" w:sz="4" w:space="0" w:color="auto"/>
              <w:bottom w:val="single" w:sz="4" w:space="0" w:color="auto"/>
              <w:right w:val="single" w:sz="4" w:space="0" w:color="auto"/>
            </w:tcBorders>
            <w:noWrap/>
          </w:tcPr>
          <w:p w14:paraId="5AEADC94" w14:textId="77777777" w:rsidR="00031241" w:rsidRPr="008A6717" w:rsidRDefault="00031241" w:rsidP="00031241">
            <w:pPr>
              <w:pStyle w:val="TableText0"/>
              <w:rPr>
                <w:lang w:val="de-DE"/>
              </w:rPr>
            </w:pPr>
            <w:r w:rsidRPr="008A6717">
              <w:rPr>
                <w:lang w:val="de-DE"/>
              </w:rPr>
              <w:t>1%</w:t>
            </w:r>
          </w:p>
        </w:tc>
        <w:tc>
          <w:tcPr>
            <w:tcW w:w="1141" w:type="dxa"/>
            <w:tcBorders>
              <w:top w:val="single" w:sz="4" w:space="0" w:color="auto"/>
              <w:left w:val="single" w:sz="4" w:space="0" w:color="auto"/>
              <w:bottom w:val="single" w:sz="4" w:space="0" w:color="auto"/>
              <w:right w:val="single" w:sz="4" w:space="0" w:color="auto"/>
            </w:tcBorders>
            <w:noWrap/>
          </w:tcPr>
          <w:p w14:paraId="7F1CEEE1" w14:textId="77777777" w:rsidR="00031241" w:rsidRPr="008A6717" w:rsidRDefault="00031241" w:rsidP="00031241">
            <w:pPr>
              <w:pStyle w:val="TableText0"/>
              <w:rPr>
                <w:lang w:val="de-DE"/>
              </w:rPr>
            </w:pPr>
            <w:r w:rsidRPr="008A6717">
              <w:rPr>
                <w:lang w:val="de-DE"/>
              </w:rPr>
              <w:t>2%</w:t>
            </w:r>
          </w:p>
        </w:tc>
        <w:tc>
          <w:tcPr>
            <w:tcW w:w="1140" w:type="dxa"/>
            <w:tcBorders>
              <w:top w:val="single" w:sz="4" w:space="0" w:color="auto"/>
              <w:left w:val="single" w:sz="4" w:space="0" w:color="auto"/>
              <w:bottom w:val="single" w:sz="4" w:space="0" w:color="auto"/>
              <w:right w:val="single" w:sz="4" w:space="0" w:color="auto"/>
            </w:tcBorders>
            <w:noWrap/>
          </w:tcPr>
          <w:p w14:paraId="14053B22" w14:textId="77777777" w:rsidR="00031241" w:rsidRPr="008A6717" w:rsidRDefault="00031241" w:rsidP="00031241">
            <w:pPr>
              <w:pStyle w:val="TableText0"/>
              <w:rPr>
                <w:lang w:val="de-DE"/>
              </w:rPr>
            </w:pPr>
            <w:r w:rsidRPr="008A6717">
              <w:rPr>
                <w:lang w:val="de-DE"/>
              </w:rPr>
              <w:t>3%</w:t>
            </w:r>
          </w:p>
        </w:tc>
        <w:tc>
          <w:tcPr>
            <w:tcW w:w="1141" w:type="dxa"/>
            <w:tcBorders>
              <w:top w:val="single" w:sz="4" w:space="0" w:color="auto"/>
              <w:left w:val="single" w:sz="4" w:space="0" w:color="auto"/>
              <w:bottom w:val="single" w:sz="4" w:space="0" w:color="auto"/>
              <w:right w:val="single" w:sz="4" w:space="0" w:color="auto"/>
            </w:tcBorders>
            <w:noWrap/>
          </w:tcPr>
          <w:p w14:paraId="27BA318A" w14:textId="77777777" w:rsidR="00031241" w:rsidRPr="008A6717" w:rsidRDefault="00031241" w:rsidP="00031241">
            <w:pPr>
              <w:pStyle w:val="TableText0"/>
              <w:rPr>
                <w:lang w:val="de-DE"/>
              </w:rPr>
            </w:pPr>
            <w:r w:rsidRPr="008A6717">
              <w:rPr>
                <w:lang w:val="de-DE"/>
              </w:rPr>
              <w:t>4%</w:t>
            </w:r>
          </w:p>
        </w:tc>
        <w:tc>
          <w:tcPr>
            <w:tcW w:w="1141" w:type="dxa"/>
            <w:tcBorders>
              <w:top w:val="single" w:sz="4" w:space="0" w:color="auto"/>
              <w:left w:val="single" w:sz="4" w:space="0" w:color="auto"/>
              <w:bottom w:val="single" w:sz="4" w:space="0" w:color="auto"/>
              <w:right w:val="single" w:sz="4" w:space="0" w:color="auto"/>
            </w:tcBorders>
          </w:tcPr>
          <w:p w14:paraId="2D0B38BA" w14:textId="77777777" w:rsidR="00031241" w:rsidRPr="008A6717" w:rsidRDefault="00031241" w:rsidP="00031241">
            <w:pPr>
              <w:pStyle w:val="TableText0"/>
              <w:rPr>
                <w:lang w:val="de-DE"/>
              </w:rPr>
            </w:pPr>
            <w:r w:rsidRPr="008A6717">
              <w:rPr>
                <w:lang w:val="de-DE"/>
              </w:rPr>
              <w:t>5%</w:t>
            </w:r>
          </w:p>
        </w:tc>
      </w:tr>
      <w:tr w:rsidR="008A6717" w:rsidRPr="008A6717" w14:paraId="2C8D0AD0" w14:textId="77777777" w:rsidTr="00135EA6">
        <w:trPr>
          <w:trHeight w:val="375"/>
        </w:trPr>
        <w:tc>
          <w:tcPr>
            <w:tcW w:w="3397" w:type="dxa"/>
            <w:tcBorders>
              <w:top w:val="single" w:sz="4" w:space="0" w:color="auto"/>
              <w:left w:val="single" w:sz="4" w:space="0" w:color="auto"/>
              <w:bottom w:val="single" w:sz="4" w:space="0" w:color="auto"/>
              <w:right w:val="single" w:sz="4" w:space="0" w:color="auto"/>
            </w:tcBorders>
            <w:noWrap/>
            <w:hideMark/>
          </w:tcPr>
          <w:p w14:paraId="6E8B2898" w14:textId="77777777" w:rsidR="00031241" w:rsidRPr="008A6717" w:rsidRDefault="00031241" w:rsidP="00031241">
            <w:pPr>
              <w:pStyle w:val="TableText0"/>
            </w:pPr>
            <w:r w:rsidRPr="008A6717">
              <w:t xml:space="preserve">Number of HbA1c </w:t>
            </w:r>
            <w:proofErr w:type="spellStart"/>
            <w:r w:rsidRPr="008A6717">
              <w:t>PoC</w:t>
            </w:r>
            <w:proofErr w:type="spellEnd"/>
            <w:r w:rsidRPr="008A6717">
              <w:t xml:space="preserve"> test services substituted from pathology laboratory testing</w:t>
            </w:r>
          </w:p>
        </w:tc>
        <w:tc>
          <w:tcPr>
            <w:tcW w:w="1140" w:type="dxa"/>
            <w:tcBorders>
              <w:top w:val="single" w:sz="4" w:space="0" w:color="auto"/>
              <w:left w:val="single" w:sz="4" w:space="0" w:color="auto"/>
              <w:bottom w:val="single" w:sz="4" w:space="0" w:color="auto"/>
              <w:right w:val="single" w:sz="4" w:space="0" w:color="auto"/>
            </w:tcBorders>
            <w:noWrap/>
            <w:hideMark/>
          </w:tcPr>
          <w:p w14:paraId="6BA15005" w14:textId="77777777" w:rsidR="00031241" w:rsidRPr="008A6717" w:rsidRDefault="00031241" w:rsidP="00031241">
            <w:pPr>
              <w:pStyle w:val="TableText0"/>
              <w:rPr>
                <w:lang w:val="de-DE"/>
              </w:rPr>
            </w:pPr>
            <w:r w:rsidRPr="008A6717">
              <w:rPr>
                <w:lang w:val="de-DE"/>
              </w:rPr>
              <w:t>18,662</w:t>
            </w:r>
          </w:p>
        </w:tc>
        <w:tc>
          <w:tcPr>
            <w:tcW w:w="1141" w:type="dxa"/>
            <w:tcBorders>
              <w:top w:val="single" w:sz="4" w:space="0" w:color="auto"/>
              <w:left w:val="single" w:sz="4" w:space="0" w:color="auto"/>
              <w:bottom w:val="single" w:sz="4" w:space="0" w:color="auto"/>
              <w:right w:val="single" w:sz="4" w:space="0" w:color="auto"/>
            </w:tcBorders>
            <w:noWrap/>
            <w:hideMark/>
          </w:tcPr>
          <w:p w14:paraId="2687B2F3" w14:textId="77777777" w:rsidR="00031241" w:rsidRPr="008A6717" w:rsidRDefault="00031241" w:rsidP="00031241">
            <w:pPr>
              <w:pStyle w:val="TableText0"/>
              <w:rPr>
                <w:lang w:val="de-DE"/>
              </w:rPr>
            </w:pPr>
            <w:r w:rsidRPr="008A6717">
              <w:rPr>
                <w:lang w:val="de-DE"/>
              </w:rPr>
              <w:t>38,285</w:t>
            </w:r>
          </w:p>
        </w:tc>
        <w:tc>
          <w:tcPr>
            <w:tcW w:w="1140" w:type="dxa"/>
            <w:tcBorders>
              <w:top w:val="single" w:sz="4" w:space="0" w:color="auto"/>
              <w:left w:val="single" w:sz="4" w:space="0" w:color="auto"/>
              <w:bottom w:val="single" w:sz="4" w:space="0" w:color="auto"/>
              <w:right w:val="single" w:sz="4" w:space="0" w:color="auto"/>
            </w:tcBorders>
            <w:noWrap/>
            <w:hideMark/>
          </w:tcPr>
          <w:p w14:paraId="3EE8D3BE" w14:textId="77777777" w:rsidR="00031241" w:rsidRPr="008A6717" w:rsidRDefault="00031241" w:rsidP="00031241">
            <w:pPr>
              <w:pStyle w:val="TableText0"/>
              <w:rPr>
                <w:lang w:val="de-DE"/>
              </w:rPr>
            </w:pPr>
            <w:r w:rsidRPr="008A6717">
              <w:rPr>
                <w:lang w:val="de-DE"/>
              </w:rPr>
              <w:t>58,908</w:t>
            </w:r>
          </w:p>
        </w:tc>
        <w:tc>
          <w:tcPr>
            <w:tcW w:w="1141" w:type="dxa"/>
            <w:tcBorders>
              <w:top w:val="single" w:sz="4" w:space="0" w:color="auto"/>
              <w:left w:val="single" w:sz="4" w:space="0" w:color="auto"/>
              <w:bottom w:val="single" w:sz="4" w:space="0" w:color="auto"/>
              <w:right w:val="single" w:sz="4" w:space="0" w:color="auto"/>
            </w:tcBorders>
            <w:noWrap/>
            <w:hideMark/>
          </w:tcPr>
          <w:p w14:paraId="050FF419" w14:textId="77777777" w:rsidR="00031241" w:rsidRPr="008A6717" w:rsidRDefault="00031241" w:rsidP="00031241">
            <w:pPr>
              <w:pStyle w:val="TableText0"/>
              <w:rPr>
                <w:lang w:val="de-DE"/>
              </w:rPr>
            </w:pPr>
            <w:r w:rsidRPr="008A6717">
              <w:rPr>
                <w:lang w:val="de-DE"/>
              </w:rPr>
              <w:t>80,568</w:t>
            </w:r>
          </w:p>
        </w:tc>
        <w:tc>
          <w:tcPr>
            <w:tcW w:w="1141" w:type="dxa"/>
            <w:tcBorders>
              <w:top w:val="single" w:sz="4" w:space="0" w:color="auto"/>
              <w:left w:val="single" w:sz="4" w:space="0" w:color="auto"/>
              <w:bottom w:val="single" w:sz="4" w:space="0" w:color="auto"/>
              <w:right w:val="single" w:sz="4" w:space="0" w:color="auto"/>
            </w:tcBorders>
          </w:tcPr>
          <w:p w14:paraId="50140EEA" w14:textId="77777777" w:rsidR="00031241" w:rsidRPr="008A6717" w:rsidRDefault="00031241" w:rsidP="00031241">
            <w:pPr>
              <w:pStyle w:val="TableText0"/>
              <w:rPr>
                <w:lang w:val="de-DE"/>
              </w:rPr>
            </w:pPr>
            <w:r w:rsidRPr="008A6717">
              <w:rPr>
                <w:lang w:val="de-DE"/>
              </w:rPr>
              <w:t>103,306</w:t>
            </w:r>
          </w:p>
        </w:tc>
      </w:tr>
      <w:tr w:rsidR="008A6717" w:rsidRPr="008A6717" w14:paraId="31690D21" w14:textId="77777777" w:rsidTr="00135EA6">
        <w:trPr>
          <w:trHeight w:val="375"/>
        </w:trPr>
        <w:tc>
          <w:tcPr>
            <w:tcW w:w="3397" w:type="dxa"/>
            <w:tcBorders>
              <w:top w:val="single" w:sz="4" w:space="0" w:color="auto"/>
              <w:left w:val="single" w:sz="4" w:space="0" w:color="auto"/>
              <w:bottom w:val="single" w:sz="4" w:space="0" w:color="auto"/>
              <w:right w:val="single" w:sz="4" w:space="0" w:color="auto"/>
            </w:tcBorders>
            <w:noWrap/>
            <w:hideMark/>
          </w:tcPr>
          <w:p w14:paraId="39E4A54E" w14:textId="77777777" w:rsidR="00031241" w:rsidRPr="008A6717" w:rsidRDefault="00031241" w:rsidP="00031241">
            <w:pPr>
              <w:pStyle w:val="TableText0"/>
            </w:pPr>
            <w:r w:rsidRPr="008A6717">
              <w:t xml:space="preserve">Total cost of HbA1c </w:t>
            </w:r>
            <w:proofErr w:type="spellStart"/>
            <w:r w:rsidRPr="008A6717">
              <w:t>PoC</w:t>
            </w:r>
            <w:proofErr w:type="spellEnd"/>
            <w:r w:rsidRPr="008A6717">
              <w:t xml:space="preserve"> test  </w:t>
            </w:r>
          </w:p>
        </w:tc>
        <w:tc>
          <w:tcPr>
            <w:tcW w:w="1140" w:type="dxa"/>
            <w:tcBorders>
              <w:top w:val="single" w:sz="4" w:space="0" w:color="auto"/>
              <w:left w:val="single" w:sz="4" w:space="0" w:color="auto"/>
              <w:bottom w:val="single" w:sz="4" w:space="0" w:color="auto"/>
              <w:right w:val="single" w:sz="4" w:space="0" w:color="auto"/>
            </w:tcBorders>
            <w:noWrap/>
            <w:hideMark/>
          </w:tcPr>
          <w:p w14:paraId="13A66FB7" w14:textId="77777777" w:rsidR="00031241" w:rsidRPr="008A6717" w:rsidRDefault="00031241" w:rsidP="00031241">
            <w:pPr>
              <w:pStyle w:val="TableText0"/>
              <w:rPr>
                <w:lang w:val="de-DE"/>
              </w:rPr>
            </w:pPr>
            <w:r w:rsidRPr="008A6717">
              <w:t>$336,849</w:t>
            </w:r>
          </w:p>
        </w:tc>
        <w:tc>
          <w:tcPr>
            <w:tcW w:w="1141" w:type="dxa"/>
            <w:tcBorders>
              <w:top w:val="single" w:sz="4" w:space="0" w:color="auto"/>
              <w:left w:val="single" w:sz="4" w:space="0" w:color="auto"/>
              <w:bottom w:val="single" w:sz="4" w:space="0" w:color="auto"/>
              <w:right w:val="single" w:sz="4" w:space="0" w:color="auto"/>
            </w:tcBorders>
            <w:noWrap/>
            <w:hideMark/>
          </w:tcPr>
          <w:p w14:paraId="731872CE" w14:textId="77777777" w:rsidR="00031241" w:rsidRPr="008A6717" w:rsidRDefault="00031241" w:rsidP="00031241">
            <w:pPr>
              <w:pStyle w:val="TableText0"/>
              <w:rPr>
                <w:lang w:val="de-DE"/>
              </w:rPr>
            </w:pPr>
            <w:r w:rsidRPr="008A6717">
              <w:t>$812,484</w:t>
            </w:r>
          </w:p>
        </w:tc>
        <w:tc>
          <w:tcPr>
            <w:tcW w:w="1140" w:type="dxa"/>
            <w:tcBorders>
              <w:top w:val="single" w:sz="4" w:space="0" w:color="auto"/>
              <w:left w:val="single" w:sz="4" w:space="0" w:color="auto"/>
              <w:bottom w:val="single" w:sz="4" w:space="0" w:color="auto"/>
              <w:right w:val="single" w:sz="4" w:space="0" w:color="auto"/>
            </w:tcBorders>
            <w:noWrap/>
            <w:hideMark/>
          </w:tcPr>
          <w:p w14:paraId="0BF932F0" w14:textId="77777777" w:rsidR="00031241" w:rsidRPr="008A6717" w:rsidRDefault="00031241" w:rsidP="00031241">
            <w:pPr>
              <w:pStyle w:val="TableText0"/>
              <w:rPr>
                <w:lang w:val="de-DE"/>
              </w:rPr>
            </w:pPr>
            <w:r w:rsidRPr="008A6717">
              <w:t>$1,250,146</w:t>
            </w:r>
          </w:p>
        </w:tc>
        <w:tc>
          <w:tcPr>
            <w:tcW w:w="1141" w:type="dxa"/>
            <w:tcBorders>
              <w:top w:val="single" w:sz="4" w:space="0" w:color="auto"/>
              <w:left w:val="single" w:sz="4" w:space="0" w:color="auto"/>
              <w:bottom w:val="single" w:sz="4" w:space="0" w:color="auto"/>
              <w:right w:val="single" w:sz="4" w:space="0" w:color="auto"/>
            </w:tcBorders>
            <w:noWrap/>
            <w:hideMark/>
          </w:tcPr>
          <w:p w14:paraId="7223DC74" w14:textId="77777777" w:rsidR="00031241" w:rsidRPr="008A6717" w:rsidRDefault="00031241" w:rsidP="00031241">
            <w:pPr>
              <w:pStyle w:val="TableText0"/>
              <w:rPr>
                <w:lang w:val="de-DE"/>
              </w:rPr>
            </w:pPr>
            <w:r w:rsidRPr="008A6717">
              <w:t>$1,709,814</w:t>
            </w:r>
          </w:p>
        </w:tc>
        <w:tc>
          <w:tcPr>
            <w:tcW w:w="1141" w:type="dxa"/>
            <w:tcBorders>
              <w:top w:val="single" w:sz="4" w:space="0" w:color="auto"/>
              <w:left w:val="single" w:sz="4" w:space="0" w:color="auto"/>
              <w:bottom w:val="single" w:sz="4" w:space="0" w:color="auto"/>
              <w:right w:val="single" w:sz="4" w:space="0" w:color="auto"/>
            </w:tcBorders>
          </w:tcPr>
          <w:p w14:paraId="64CD41FA" w14:textId="77777777" w:rsidR="00031241" w:rsidRPr="008A6717" w:rsidRDefault="00031241" w:rsidP="00031241">
            <w:pPr>
              <w:pStyle w:val="TableText0"/>
              <w:rPr>
                <w:lang w:val="de-DE"/>
              </w:rPr>
            </w:pPr>
            <w:r w:rsidRPr="008A6717">
              <w:t>$2,192,360</w:t>
            </w:r>
          </w:p>
        </w:tc>
      </w:tr>
      <w:tr w:rsidR="008A6717" w:rsidRPr="008A6717" w14:paraId="4263D0BC" w14:textId="77777777" w:rsidTr="00135EA6">
        <w:trPr>
          <w:trHeight w:val="375"/>
        </w:trPr>
        <w:tc>
          <w:tcPr>
            <w:tcW w:w="3397" w:type="dxa"/>
            <w:tcBorders>
              <w:top w:val="single" w:sz="4" w:space="0" w:color="auto"/>
              <w:left w:val="single" w:sz="4" w:space="0" w:color="auto"/>
              <w:bottom w:val="single" w:sz="4" w:space="0" w:color="auto"/>
              <w:right w:val="single" w:sz="4" w:space="0" w:color="auto"/>
            </w:tcBorders>
            <w:noWrap/>
            <w:hideMark/>
          </w:tcPr>
          <w:p w14:paraId="262987C0" w14:textId="77777777" w:rsidR="00031241" w:rsidRPr="008A6717" w:rsidRDefault="00031241" w:rsidP="00031241">
            <w:pPr>
              <w:pStyle w:val="TableText0"/>
            </w:pPr>
            <w:r w:rsidRPr="008A6717">
              <w:t>Number of HbA1c PATH tests performed</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2249A5A5" w14:textId="77777777" w:rsidR="00031241" w:rsidRPr="008A6717" w:rsidRDefault="00031241" w:rsidP="00031241">
            <w:pPr>
              <w:pStyle w:val="TableText0"/>
              <w:rPr>
                <w:lang w:val="de-DE"/>
              </w:rPr>
            </w:pPr>
            <w:r w:rsidRPr="008A6717">
              <w:rPr>
                <w:lang w:val="de-DE"/>
              </w:rPr>
              <w:t>1,213,002</w:t>
            </w:r>
          </w:p>
        </w:tc>
        <w:tc>
          <w:tcPr>
            <w:tcW w:w="1141" w:type="dxa"/>
            <w:tcBorders>
              <w:top w:val="single" w:sz="4" w:space="0" w:color="auto"/>
              <w:left w:val="single" w:sz="4" w:space="0" w:color="auto"/>
              <w:bottom w:val="single" w:sz="4" w:space="0" w:color="auto"/>
              <w:right w:val="single" w:sz="4" w:space="0" w:color="auto"/>
            </w:tcBorders>
            <w:noWrap/>
            <w:vAlign w:val="bottom"/>
            <w:hideMark/>
          </w:tcPr>
          <w:p w14:paraId="7E647D0F" w14:textId="77777777" w:rsidR="00031241" w:rsidRPr="008A6717" w:rsidRDefault="00031241" w:rsidP="00031241">
            <w:pPr>
              <w:pStyle w:val="TableText0"/>
              <w:rPr>
                <w:lang w:val="de-DE"/>
              </w:rPr>
            </w:pPr>
            <w:r w:rsidRPr="008A6717">
              <w:rPr>
                <w:lang w:val="de-DE"/>
              </w:rPr>
              <w:t>1,225,125</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701EABA5" w14:textId="77777777" w:rsidR="00031241" w:rsidRPr="008A6717" w:rsidRDefault="00031241" w:rsidP="00031241">
            <w:pPr>
              <w:pStyle w:val="TableText0"/>
              <w:rPr>
                <w:lang w:val="de-DE"/>
              </w:rPr>
            </w:pPr>
            <w:r w:rsidRPr="008A6717">
              <w:rPr>
                <w:lang w:val="de-DE"/>
              </w:rPr>
              <w:t>1,237,067</w:t>
            </w:r>
          </w:p>
        </w:tc>
        <w:tc>
          <w:tcPr>
            <w:tcW w:w="1141" w:type="dxa"/>
            <w:tcBorders>
              <w:top w:val="single" w:sz="4" w:space="0" w:color="auto"/>
              <w:left w:val="single" w:sz="4" w:space="0" w:color="auto"/>
              <w:bottom w:val="single" w:sz="4" w:space="0" w:color="auto"/>
              <w:right w:val="single" w:sz="4" w:space="0" w:color="auto"/>
            </w:tcBorders>
            <w:noWrap/>
            <w:vAlign w:val="bottom"/>
            <w:hideMark/>
          </w:tcPr>
          <w:p w14:paraId="63ABDB3D" w14:textId="77777777" w:rsidR="00031241" w:rsidRPr="008A6717" w:rsidRDefault="00031241" w:rsidP="00031241">
            <w:pPr>
              <w:pStyle w:val="TableText0"/>
              <w:rPr>
                <w:lang w:val="de-DE"/>
              </w:rPr>
            </w:pPr>
            <w:r w:rsidRPr="008A6717">
              <w:rPr>
                <w:lang w:val="de-DE"/>
              </w:rPr>
              <w:t>1,248,811</w:t>
            </w:r>
          </w:p>
        </w:tc>
        <w:tc>
          <w:tcPr>
            <w:tcW w:w="1141" w:type="dxa"/>
            <w:tcBorders>
              <w:top w:val="single" w:sz="4" w:space="0" w:color="auto"/>
              <w:left w:val="single" w:sz="4" w:space="0" w:color="auto"/>
              <w:bottom w:val="single" w:sz="4" w:space="0" w:color="auto"/>
              <w:right w:val="single" w:sz="4" w:space="0" w:color="auto"/>
            </w:tcBorders>
            <w:vAlign w:val="bottom"/>
          </w:tcPr>
          <w:p w14:paraId="5306AE91" w14:textId="77777777" w:rsidR="00031241" w:rsidRPr="008A6717" w:rsidRDefault="00031241" w:rsidP="00031241">
            <w:pPr>
              <w:pStyle w:val="TableText0"/>
              <w:rPr>
                <w:lang w:val="de-DE"/>
              </w:rPr>
            </w:pPr>
            <w:r w:rsidRPr="008A6717">
              <w:rPr>
                <w:lang w:val="de-DE"/>
              </w:rPr>
              <w:t>1,260,338</w:t>
            </w:r>
          </w:p>
        </w:tc>
      </w:tr>
      <w:tr w:rsidR="008A6717" w:rsidRPr="008A6717" w14:paraId="53B396DA" w14:textId="77777777" w:rsidTr="00135EA6">
        <w:trPr>
          <w:trHeight w:val="375"/>
        </w:trPr>
        <w:tc>
          <w:tcPr>
            <w:tcW w:w="3397" w:type="dxa"/>
            <w:tcBorders>
              <w:top w:val="single" w:sz="4" w:space="0" w:color="auto"/>
              <w:left w:val="single" w:sz="4" w:space="0" w:color="auto"/>
              <w:bottom w:val="single" w:sz="4" w:space="0" w:color="auto"/>
              <w:right w:val="single" w:sz="4" w:space="0" w:color="auto"/>
            </w:tcBorders>
            <w:noWrap/>
            <w:hideMark/>
          </w:tcPr>
          <w:p w14:paraId="0A4B90E5" w14:textId="77777777" w:rsidR="00031241" w:rsidRPr="008A6717" w:rsidRDefault="00031241" w:rsidP="00031241">
            <w:pPr>
              <w:pStyle w:val="TableText0"/>
            </w:pPr>
            <w:r w:rsidRPr="008A6717">
              <w:t xml:space="preserve">Total cost of HbA1c PATH test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10025771" w14:textId="77777777" w:rsidR="00031241" w:rsidRPr="008A6717" w:rsidRDefault="00031241" w:rsidP="00031241">
            <w:pPr>
              <w:pStyle w:val="TableText0"/>
              <w:rPr>
                <w:i/>
                <w:lang w:val="de-DE"/>
              </w:rPr>
            </w:pPr>
            <w:r w:rsidRPr="008A6717">
              <w:rPr>
                <w:rFonts w:cs="Calibri"/>
                <w:i/>
                <w:lang w:val="de-DE"/>
              </w:rPr>
              <w:t>$22,049,452</w:t>
            </w:r>
          </w:p>
        </w:tc>
        <w:tc>
          <w:tcPr>
            <w:tcW w:w="1141" w:type="dxa"/>
            <w:tcBorders>
              <w:top w:val="single" w:sz="4" w:space="0" w:color="auto"/>
              <w:left w:val="single" w:sz="4" w:space="0" w:color="auto"/>
              <w:bottom w:val="single" w:sz="4" w:space="0" w:color="auto"/>
              <w:right w:val="single" w:sz="4" w:space="0" w:color="auto"/>
            </w:tcBorders>
            <w:noWrap/>
            <w:vAlign w:val="bottom"/>
            <w:hideMark/>
          </w:tcPr>
          <w:p w14:paraId="44E15102" w14:textId="77777777" w:rsidR="00031241" w:rsidRPr="008A6717" w:rsidRDefault="00031241" w:rsidP="00031241">
            <w:pPr>
              <w:pStyle w:val="TableText0"/>
              <w:rPr>
                <w:i/>
                <w:lang w:val="de-DE"/>
              </w:rPr>
            </w:pPr>
            <w:r w:rsidRPr="008A6717">
              <w:rPr>
                <w:rFonts w:cs="Calibri"/>
                <w:i/>
                <w:lang w:val="de-DE"/>
              </w:rPr>
              <w:t>$22,269,819</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12ED9418" w14:textId="77777777" w:rsidR="00031241" w:rsidRPr="008A6717" w:rsidRDefault="00031241" w:rsidP="00031241">
            <w:pPr>
              <w:pStyle w:val="TableText0"/>
              <w:rPr>
                <w:i/>
                <w:lang w:val="de-DE"/>
              </w:rPr>
            </w:pPr>
            <w:r w:rsidRPr="008A6717">
              <w:rPr>
                <w:rFonts w:cs="Calibri"/>
                <w:i/>
                <w:lang w:val="de-DE"/>
              </w:rPr>
              <w:t>$22,486,896</w:t>
            </w:r>
          </w:p>
        </w:tc>
        <w:tc>
          <w:tcPr>
            <w:tcW w:w="1141" w:type="dxa"/>
            <w:tcBorders>
              <w:top w:val="single" w:sz="4" w:space="0" w:color="auto"/>
              <w:left w:val="single" w:sz="4" w:space="0" w:color="auto"/>
              <w:bottom w:val="single" w:sz="4" w:space="0" w:color="auto"/>
              <w:right w:val="single" w:sz="4" w:space="0" w:color="auto"/>
            </w:tcBorders>
            <w:noWrap/>
            <w:vAlign w:val="bottom"/>
            <w:hideMark/>
          </w:tcPr>
          <w:p w14:paraId="3F571271" w14:textId="77777777" w:rsidR="00031241" w:rsidRPr="008A6717" w:rsidRDefault="00031241" w:rsidP="00031241">
            <w:pPr>
              <w:pStyle w:val="TableText0"/>
              <w:rPr>
                <w:i/>
                <w:lang w:val="de-DE"/>
              </w:rPr>
            </w:pPr>
            <w:r w:rsidRPr="008A6717">
              <w:rPr>
                <w:rFonts w:cs="Calibri"/>
                <w:i/>
                <w:lang w:val="de-DE"/>
              </w:rPr>
              <w:t>$22,700,374</w:t>
            </w:r>
          </w:p>
        </w:tc>
        <w:tc>
          <w:tcPr>
            <w:tcW w:w="1141" w:type="dxa"/>
            <w:tcBorders>
              <w:top w:val="single" w:sz="4" w:space="0" w:color="auto"/>
              <w:left w:val="single" w:sz="4" w:space="0" w:color="auto"/>
              <w:bottom w:val="single" w:sz="4" w:space="0" w:color="auto"/>
              <w:right w:val="single" w:sz="4" w:space="0" w:color="auto"/>
            </w:tcBorders>
            <w:vAlign w:val="bottom"/>
          </w:tcPr>
          <w:p w14:paraId="0A6B5BF6" w14:textId="77777777" w:rsidR="00031241" w:rsidRPr="008A6717" w:rsidRDefault="00031241" w:rsidP="00031241">
            <w:pPr>
              <w:pStyle w:val="TableText0"/>
              <w:rPr>
                <w:i/>
                <w:lang w:val="de-DE"/>
              </w:rPr>
            </w:pPr>
            <w:r w:rsidRPr="008A6717">
              <w:rPr>
                <w:rFonts w:cs="Calibri"/>
                <w:i/>
                <w:lang w:val="de-DE"/>
              </w:rPr>
              <w:t>$22,909,907</w:t>
            </w:r>
          </w:p>
        </w:tc>
      </w:tr>
      <w:tr w:rsidR="008A6717" w:rsidRPr="008A6717" w14:paraId="7AA6E359" w14:textId="77777777" w:rsidTr="00135EA6">
        <w:trPr>
          <w:trHeight w:val="375"/>
        </w:trPr>
        <w:tc>
          <w:tcPr>
            <w:tcW w:w="3397" w:type="dxa"/>
            <w:tcBorders>
              <w:top w:val="single" w:sz="4" w:space="0" w:color="auto"/>
              <w:left w:val="single" w:sz="4" w:space="0" w:color="auto"/>
              <w:bottom w:val="single" w:sz="4" w:space="0" w:color="auto"/>
              <w:right w:val="single" w:sz="4" w:space="0" w:color="auto"/>
            </w:tcBorders>
            <w:noWrap/>
            <w:hideMark/>
          </w:tcPr>
          <w:p w14:paraId="2BAF02A9" w14:textId="77777777" w:rsidR="00031241" w:rsidRPr="008A6717" w:rsidRDefault="00031241" w:rsidP="00031241">
            <w:pPr>
              <w:pStyle w:val="TableText0"/>
            </w:pPr>
            <w:r w:rsidRPr="008A6717">
              <w:t>Total number of services (</w:t>
            </w:r>
            <w:proofErr w:type="spellStart"/>
            <w:r w:rsidRPr="008A6717">
              <w:t>PoC</w:t>
            </w:r>
            <w:proofErr w:type="spellEnd"/>
            <w:r w:rsidRPr="008A6717">
              <w:t xml:space="preserve"> and PATH)</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7405E296" w14:textId="77777777" w:rsidR="00031241" w:rsidRPr="008A6717" w:rsidRDefault="00031241" w:rsidP="00031241">
            <w:pPr>
              <w:pStyle w:val="TableText0"/>
              <w:rPr>
                <w:lang w:val="de-DE"/>
              </w:rPr>
            </w:pPr>
            <w:r w:rsidRPr="008A6717">
              <w:rPr>
                <w:rFonts w:cs="Calibri"/>
                <w:lang w:val="de-DE"/>
              </w:rPr>
              <w:t>1,231,664</w:t>
            </w:r>
          </w:p>
        </w:tc>
        <w:tc>
          <w:tcPr>
            <w:tcW w:w="1141" w:type="dxa"/>
            <w:tcBorders>
              <w:top w:val="single" w:sz="4" w:space="0" w:color="auto"/>
              <w:left w:val="single" w:sz="4" w:space="0" w:color="auto"/>
              <w:bottom w:val="single" w:sz="4" w:space="0" w:color="auto"/>
              <w:right w:val="single" w:sz="4" w:space="0" w:color="auto"/>
            </w:tcBorders>
            <w:noWrap/>
            <w:vAlign w:val="bottom"/>
            <w:hideMark/>
          </w:tcPr>
          <w:p w14:paraId="20D2827D" w14:textId="77777777" w:rsidR="00031241" w:rsidRPr="008A6717" w:rsidRDefault="00031241" w:rsidP="00031241">
            <w:pPr>
              <w:pStyle w:val="TableText0"/>
              <w:rPr>
                <w:lang w:val="de-DE"/>
              </w:rPr>
            </w:pPr>
            <w:r w:rsidRPr="008A6717">
              <w:rPr>
                <w:rFonts w:cs="Calibri"/>
                <w:lang w:val="de-DE"/>
              </w:rPr>
              <w:t>1,263,410</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46E4C1C3" w14:textId="77777777" w:rsidR="00031241" w:rsidRPr="008A6717" w:rsidRDefault="00031241" w:rsidP="00031241">
            <w:pPr>
              <w:pStyle w:val="TableText0"/>
              <w:rPr>
                <w:lang w:val="de-DE"/>
              </w:rPr>
            </w:pPr>
            <w:r w:rsidRPr="008A6717">
              <w:rPr>
                <w:rFonts w:cs="Calibri"/>
                <w:lang w:val="de-DE"/>
              </w:rPr>
              <w:t>1,295,975</w:t>
            </w:r>
          </w:p>
        </w:tc>
        <w:tc>
          <w:tcPr>
            <w:tcW w:w="1141" w:type="dxa"/>
            <w:tcBorders>
              <w:top w:val="single" w:sz="4" w:space="0" w:color="auto"/>
              <w:left w:val="single" w:sz="4" w:space="0" w:color="auto"/>
              <w:bottom w:val="single" w:sz="4" w:space="0" w:color="auto"/>
              <w:right w:val="single" w:sz="4" w:space="0" w:color="auto"/>
            </w:tcBorders>
            <w:noWrap/>
            <w:vAlign w:val="bottom"/>
            <w:hideMark/>
          </w:tcPr>
          <w:p w14:paraId="50EA3333" w14:textId="77777777" w:rsidR="00031241" w:rsidRPr="008A6717" w:rsidRDefault="00031241" w:rsidP="00031241">
            <w:pPr>
              <w:pStyle w:val="TableText0"/>
              <w:rPr>
                <w:lang w:val="de-DE"/>
              </w:rPr>
            </w:pPr>
            <w:r w:rsidRPr="008A6717">
              <w:rPr>
                <w:rFonts w:cs="Calibri"/>
                <w:lang w:val="de-DE"/>
              </w:rPr>
              <w:t>1,329,379</w:t>
            </w:r>
          </w:p>
        </w:tc>
        <w:tc>
          <w:tcPr>
            <w:tcW w:w="1141" w:type="dxa"/>
            <w:tcBorders>
              <w:top w:val="single" w:sz="4" w:space="0" w:color="auto"/>
              <w:left w:val="single" w:sz="4" w:space="0" w:color="auto"/>
              <w:bottom w:val="single" w:sz="4" w:space="0" w:color="auto"/>
              <w:right w:val="single" w:sz="4" w:space="0" w:color="auto"/>
            </w:tcBorders>
            <w:vAlign w:val="bottom"/>
          </w:tcPr>
          <w:p w14:paraId="43BB11CE" w14:textId="77777777" w:rsidR="00031241" w:rsidRPr="008A6717" w:rsidRDefault="00031241" w:rsidP="00031241">
            <w:pPr>
              <w:pStyle w:val="TableText0"/>
              <w:rPr>
                <w:lang w:val="de-DE"/>
              </w:rPr>
            </w:pPr>
            <w:r w:rsidRPr="008A6717">
              <w:rPr>
                <w:rFonts w:cs="Calibri"/>
                <w:lang w:val="de-DE"/>
              </w:rPr>
              <w:t>1,363,644</w:t>
            </w:r>
          </w:p>
        </w:tc>
      </w:tr>
      <w:tr w:rsidR="008A6717" w:rsidRPr="008A6717" w14:paraId="2E229142" w14:textId="77777777" w:rsidTr="00135EA6">
        <w:trPr>
          <w:trHeight w:val="375"/>
        </w:trPr>
        <w:tc>
          <w:tcPr>
            <w:tcW w:w="3397" w:type="dxa"/>
            <w:tcBorders>
              <w:top w:val="single" w:sz="4" w:space="0" w:color="auto"/>
              <w:left w:val="single" w:sz="4" w:space="0" w:color="auto"/>
              <w:bottom w:val="single" w:sz="4" w:space="0" w:color="auto"/>
              <w:right w:val="single" w:sz="4" w:space="0" w:color="auto"/>
            </w:tcBorders>
            <w:noWrap/>
            <w:hideMark/>
          </w:tcPr>
          <w:p w14:paraId="6F6CD387" w14:textId="77777777" w:rsidR="00031241" w:rsidRPr="008A6717" w:rsidRDefault="00031241" w:rsidP="00031241">
            <w:pPr>
              <w:pStyle w:val="TableText0"/>
            </w:pPr>
            <w:r w:rsidRPr="008A6717">
              <w:t>Total costs of HbA1c tests (</w:t>
            </w:r>
            <w:proofErr w:type="spellStart"/>
            <w:r w:rsidRPr="008A6717">
              <w:t>PoC</w:t>
            </w:r>
            <w:proofErr w:type="spellEnd"/>
            <w:r w:rsidRPr="008A6717">
              <w:t xml:space="preserve"> and PATH)</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3CFBC82C" w14:textId="77777777" w:rsidR="00031241" w:rsidRPr="008A6717" w:rsidRDefault="00031241" w:rsidP="00031241">
            <w:pPr>
              <w:pStyle w:val="TableText0"/>
              <w:rPr>
                <w:i/>
                <w:lang w:val="de-DE"/>
              </w:rPr>
            </w:pPr>
            <w:r w:rsidRPr="008A6717">
              <w:rPr>
                <w:rFonts w:cs="Calibri"/>
                <w:i/>
                <w:lang w:val="de-DE"/>
              </w:rPr>
              <w:t>$22,386,302</w:t>
            </w:r>
          </w:p>
        </w:tc>
        <w:tc>
          <w:tcPr>
            <w:tcW w:w="1141" w:type="dxa"/>
            <w:tcBorders>
              <w:top w:val="single" w:sz="4" w:space="0" w:color="auto"/>
              <w:left w:val="single" w:sz="4" w:space="0" w:color="auto"/>
              <w:bottom w:val="single" w:sz="4" w:space="0" w:color="auto"/>
              <w:right w:val="single" w:sz="4" w:space="0" w:color="auto"/>
            </w:tcBorders>
            <w:noWrap/>
            <w:vAlign w:val="bottom"/>
            <w:hideMark/>
          </w:tcPr>
          <w:p w14:paraId="223B09A4" w14:textId="77777777" w:rsidR="00031241" w:rsidRPr="008A6717" w:rsidRDefault="00031241" w:rsidP="00031241">
            <w:pPr>
              <w:pStyle w:val="TableText0"/>
              <w:rPr>
                <w:i/>
                <w:lang w:val="de-DE"/>
              </w:rPr>
            </w:pPr>
            <w:r w:rsidRPr="008A6717">
              <w:rPr>
                <w:rFonts w:cs="Calibri"/>
                <w:i/>
                <w:lang w:val="de-DE"/>
              </w:rPr>
              <w:t>$22,960,864</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4DEDA142" w14:textId="77777777" w:rsidR="00031241" w:rsidRPr="008A6717" w:rsidRDefault="00031241" w:rsidP="00031241">
            <w:pPr>
              <w:pStyle w:val="TableText0"/>
              <w:rPr>
                <w:i/>
                <w:lang w:val="de-DE"/>
              </w:rPr>
            </w:pPr>
            <w:r w:rsidRPr="008A6717">
              <w:rPr>
                <w:rFonts w:cs="Calibri"/>
                <w:i/>
                <w:lang w:val="de-DE"/>
              </w:rPr>
              <w:t>$23,550,186</w:t>
            </w:r>
          </w:p>
        </w:tc>
        <w:tc>
          <w:tcPr>
            <w:tcW w:w="1141" w:type="dxa"/>
            <w:tcBorders>
              <w:top w:val="single" w:sz="4" w:space="0" w:color="auto"/>
              <w:left w:val="single" w:sz="4" w:space="0" w:color="auto"/>
              <w:bottom w:val="single" w:sz="4" w:space="0" w:color="auto"/>
              <w:right w:val="single" w:sz="4" w:space="0" w:color="auto"/>
            </w:tcBorders>
            <w:noWrap/>
            <w:vAlign w:val="bottom"/>
            <w:hideMark/>
          </w:tcPr>
          <w:p w14:paraId="30504229" w14:textId="77777777" w:rsidR="00031241" w:rsidRPr="008A6717" w:rsidRDefault="00031241" w:rsidP="00031241">
            <w:pPr>
              <w:pStyle w:val="TableText0"/>
              <w:rPr>
                <w:i/>
                <w:lang w:val="de-DE"/>
              </w:rPr>
            </w:pPr>
            <w:r w:rsidRPr="008A6717">
              <w:rPr>
                <w:rFonts w:cs="Calibri"/>
                <w:i/>
                <w:lang w:val="de-DE"/>
              </w:rPr>
              <w:t>$24,154,627</w:t>
            </w:r>
          </w:p>
        </w:tc>
        <w:tc>
          <w:tcPr>
            <w:tcW w:w="1141" w:type="dxa"/>
            <w:tcBorders>
              <w:top w:val="single" w:sz="4" w:space="0" w:color="auto"/>
              <w:left w:val="single" w:sz="4" w:space="0" w:color="auto"/>
              <w:bottom w:val="single" w:sz="4" w:space="0" w:color="auto"/>
              <w:right w:val="single" w:sz="4" w:space="0" w:color="auto"/>
            </w:tcBorders>
            <w:vAlign w:val="bottom"/>
          </w:tcPr>
          <w:p w14:paraId="1206E8ED" w14:textId="77777777" w:rsidR="00031241" w:rsidRPr="008A6717" w:rsidRDefault="00031241" w:rsidP="00031241">
            <w:pPr>
              <w:pStyle w:val="TableText0"/>
              <w:rPr>
                <w:i/>
                <w:lang w:val="de-DE"/>
              </w:rPr>
            </w:pPr>
            <w:r w:rsidRPr="008A6717">
              <w:rPr>
                <w:rFonts w:cs="Calibri"/>
                <w:i/>
                <w:lang w:val="de-DE"/>
              </w:rPr>
              <w:t>$24,774,581</w:t>
            </w:r>
          </w:p>
        </w:tc>
      </w:tr>
      <w:tr w:rsidR="008A6717" w:rsidRPr="008A6717" w14:paraId="55B742AF" w14:textId="77777777" w:rsidTr="00135EA6">
        <w:trPr>
          <w:trHeight w:val="300"/>
        </w:trPr>
        <w:tc>
          <w:tcPr>
            <w:tcW w:w="3397" w:type="dxa"/>
            <w:tcBorders>
              <w:top w:val="single" w:sz="4" w:space="0" w:color="auto"/>
              <w:left w:val="single" w:sz="4" w:space="0" w:color="auto"/>
              <w:bottom w:val="single" w:sz="4" w:space="0" w:color="auto"/>
              <w:right w:val="single" w:sz="4" w:space="0" w:color="auto"/>
            </w:tcBorders>
            <w:noWrap/>
            <w:hideMark/>
          </w:tcPr>
          <w:p w14:paraId="7F2B5D8D" w14:textId="77777777" w:rsidR="00031241" w:rsidRPr="008A6717" w:rsidRDefault="00031241" w:rsidP="00031241">
            <w:pPr>
              <w:pStyle w:val="TableText0"/>
            </w:pPr>
            <w:r w:rsidRPr="008A6717">
              <w:t>Net change in test cost (-$0.13 per test)</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3DB0DC7D" w14:textId="77777777" w:rsidR="00031241" w:rsidRPr="008A6717" w:rsidRDefault="00031241" w:rsidP="00031241">
            <w:pPr>
              <w:pStyle w:val="TableText0"/>
              <w:rPr>
                <w:lang w:val="de-DE"/>
              </w:rPr>
            </w:pPr>
            <w:r w:rsidRPr="008A6717">
              <w:t>-$2,381</w:t>
            </w:r>
          </w:p>
        </w:tc>
        <w:tc>
          <w:tcPr>
            <w:tcW w:w="1141" w:type="dxa"/>
            <w:tcBorders>
              <w:top w:val="single" w:sz="4" w:space="0" w:color="auto"/>
              <w:left w:val="single" w:sz="4" w:space="0" w:color="auto"/>
              <w:bottom w:val="single" w:sz="4" w:space="0" w:color="auto"/>
              <w:right w:val="single" w:sz="4" w:space="0" w:color="auto"/>
            </w:tcBorders>
            <w:noWrap/>
            <w:vAlign w:val="bottom"/>
            <w:hideMark/>
          </w:tcPr>
          <w:p w14:paraId="45078166" w14:textId="77777777" w:rsidR="00031241" w:rsidRPr="008A6717" w:rsidRDefault="00031241" w:rsidP="00031241">
            <w:pPr>
              <w:pStyle w:val="TableText0"/>
              <w:rPr>
                <w:lang w:val="de-DE"/>
              </w:rPr>
            </w:pPr>
            <w:r w:rsidRPr="008A6717">
              <w:t>-$4,884</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4BFC05AA" w14:textId="77777777" w:rsidR="00031241" w:rsidRPr="008A6717" w:rsidRDefault="00031241" w:rsidP="00031241">
            <w:pPr>
              <w:pStyle w:val="TableText0"/>
              <w:rPr>
                <w:lang w:val="de-DE"/>
              </w:rPr>
            </w:pPr>
            <w:r w:rsidRPr="008A6717">
              <w:t>-$7,515</w:t>
            </w:r>
          </w:p>
        </w:tc>
        <w:tc>
          <w:tcPr>
            <w:tcW w:w="1141" w:type="dxa"/>
            <w:tcBorders>
              <w:top w:val="single" w:sz="4" w:space="0" w:color="auto"/>
              <w:left w:val="single" w:sz="4" w:space="0" w:color="auto"/>
              <w:bottom w:val="single" w:sz="4" w:space="0" w:color="auto"/>
              <w:right w:val="single" w:sz="4" w:space="0" w:color="auto"/>
            </w:tcBorders>
            <w:noWrap/>
            <w:vAlign w:val="bottom"/>
            <w:hideMark/>
          </w:tcPr>
          <w:p w14:paraId="1E721BE8" w14:textId="77777777" w:rsidR="00031241" w:rsidRPr="008A6717" w:rsidRDefault="00031241" w:rsidP="00031241">
            <w:pPr>
              <w:pStyle w:val="TableText0"/>
              <w:rPr>
                <w:lang w:val="de-DE"/>
              </w:rPr>
            </w:pPr>
            <w:r w:rsidRPr="008A6717">
              <w:t>-$10,279</w:t>
            </w:r>
          </w:p>
        </w:tc>
        <w:tc>
          <w:tcPr>
            <w:tcW w:w="1141" w:type="dxa"/>
            <w:tcBorders>
              <w:top w:val="single" w:sz="4" w:space="0" w:color="auto"/>
              <w:left w:val="single" w:sz="4" w:space="0" w:color="auto"/>
              <w:bottom w:val="single" w:sz="4" w:space="0" w:color="auto"/>
              <w:right w:val="single" w:sz="4" w:space="0" w:color="auto"/>
            </w:tcBorders>
            <w:vAlign w:val="bottom"/>
          </w:tcPr>
          <w:p w14:paraId="1AA56242" w14:textId="77777777" w:rsidR="00031241" w:rsidRPr="008A6717" w:rsidRDefault="00031241" w:rsidP="00031241">
            <w:pPr>
              <w:pStyle w:val="TableText0"/>
              <w:rPr>
                <w:lang w:val="de-DE"/>
              </w:rPr>
            </w:pPr>
            <w:r w:rsidRPr="008A6717">
              <w:t>-$13,180</w:t>
            </w:r>
          </w:p>
        </w:tc>
      </w:tr>
      <w:tr w:rsidR="008A6717" w:rsidRPr="008A6717" w14:paraId="2EF03B9B" w14:textId="77777777" w:rsidTr="00135EA6">
        <w:trPr>
          <w:trHeight w:val="300"/>
        </w:trPr>
        <w:tc>
          <w:tcPr>
            <w:tcW w:w="3397" w:type="dxa"/>
            <w:tcBorders>
              <w:top w:val="single" w:sz="4" w:space="0" w:color="auto"/>
              <w:left w:val="single" w:sz="4" w:space="0" w:color="auto"/>
              <w:bottom w:val="single" w:sz="4" w:space="0" w:color="auto"/>
              <w:right w:val="single" w:sz="4" w:space="0" w:color="auto"/>
            </w:tcBorders>
            <w:noWrap/>
            <w:hideMark/>
          </w:tcPr>
          <w:p w14:paraId="72862311" w14:textId="77777777" w:rsidR="00031241" w:rsidRPr="008A6717" w:rsidRDefault="00031241" w:rsidP="00031241">
            <w:pPr>
              <w:pStyle w:val="TableText0"/>
            </w:pPr>
            <w:r w:rsidRPr="008A6717">
              <w:t>Total net change to the MBS</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1EFC27CF" w14:textId="77777777" w:rsidR="00031241" w:rsidRPr="008A6717" w:rsidRDefault="00031241" w:rsidP="00031241">
            <w:pPr>
              <w:pStyle w:val="TableText0"/>
              <w:rPr>
                <w:lang w:val="de-DE"/>
              </w:rPr>
            </w:pPr>
            <w:r w:rsidRPr="008A6717">
              <w:t>-$2,381</w:t>
            </w:r>
          </w:p>
        </w:tc>
        <w:tc>
          <w:tcPr>
            <w:tcW w:w="1141" w:type="dxa"/>
            <w:tcBorders>
              <w:top w:val="single" w:sz="4" w:space="0" w:color="auto"/>
              <w:left w:val="single" w:sz="4" w:space="0" w:color="auto"/>
              <w:bottom w:val="single" w:sz="4" w:space="0" w:color="auto"/>
              <w:right w:val="single" w:sz="4" w:space="0" w:color="auto"/>
            </w:tcBorders>
            <w:noWrap/>
            <w:vAlign w:val="bottom"/>
            <w:hideMark/>
          </w:tcPr>
          <w:p w14:paraId="4A8FE194" w14:textId="77777777" w:rsidR="00031241" w:rsidRPr="008A6717" w:rsidRDefault="00031241" w:rsidP="00031241">
            <w:pPr>
              <w:pStyle w:val="TableText0"/>
              <w:rPr>
                <w:lang w:val="de-DE"/>
              </w:rPr>
            </w:pPr>
            <w:r w:rsidRPr="008A6717">
              <w:t>-$4,884</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0CCDB925" w14:textId="77777777" w:rsidR="00031241" w:rsidRPr="008A6717" w:rsidRDefault="00031241" w:rsidP="00031241">
            <w:pPr>
              <w:pStyle w:val="TableText0"/>
              <w:rPr>
                <w:lang w:val="de-DE"/>
              </w:rPr>
            </w:pPr>
            <w:r w:rsidRPr="008A6717">
              <w:t>-$7,515</w:t>
            </w:r>
          </w:p>
        </w:tc>
        <w:tc>
          <w:tcPr>
            <w:tcW w:w="1141" w:type="dxa"/>
            <w:tcBorders>
              <w:top w:val="single" w:sz="4" w:space="0" w:color="auto"/>
              <w:left w:val="single" w:sz="4" w:space="0" w:color="auto"/>
              <w:bottom w:val="single" w:sz="4" w:space="0" w:color="auto"/>
              <w:right w:val="single" w:sz="4" w:space="0" w:color="auto"/>
            </w:tcBorders>
            <w:noWrap/>
            <w:vAlign w:val="bottom"/>
            <w:hideMark/>
          </w:tcPr>
          <w:p w14:paraId="4B4473C4" w14:textId="77777777" w:rsidR="00031241" w:rsidRPr="008A6717" w:rsidRDefault="00031241" w:rsidP="00031241">
            <w:pPr>
              <w:pStyle w:val="TableText0"/>
              <w:rPr>
                <w:lang w:val="de-DE"/>
              </w:rPr>
            </w:pPr>
            <w:r w:rsidRPr="008A6717">
              <w:t>-$10,279</w:t>
            </w:r>
          </w:p>
        </w:tc>
        <w:tc>
          <w:tcPr>
            <w:tcW w:w="1141" w:type="dxa"/>
            <w:tcBorders>
              <w:top w:val="single" w:sz="4" w:space="0" w:color="auto"/>
              <w:left w:val="single" w:sz="4" w:space="0" w:color="auto"/>
              <w:bottom w:val="single" w:sz="4" w:space="0" w:color="auto"/>
              <w:right w:val="single" w:sz="4" w:space="0" w:color="auto"/>
            </w:tcBorders>
            <w:vAlign w:val="bottom"/>
          </w:tcPr>
          <w:p w14:paraId="1C1A104E" w14:textId="77777777" w:rsidR="00031241" w:rsidRPr="008A6717" w:rsidRDefault="00031241" w:rsidP="00031241">
            <w:pPr>
              <w:pStyle w:val="TableText0"/>
              <w:rPr>
                <w:lang w:val="de-DE"/>
              </w:rPr>
            </w:pPr>
            <w:r w:rsidRPr="008A6717">
              <w:t>-$13,180</w:t>
            </w:r>
          </w:p>
        </w:tc>
      </w:tr>
    </w:tbl>
    <w:p w14:paraId="512B76C9" w14:textId="77777777" w:rsidR="00031241" w:rsidRPr="008A6717" w:rsidRDefault="00031241" w:rsidP="00031241">
      <w:pPr>
        <w:pStyle w:val="Tablenotes"/>
        <w:rPr>
          <w:rFonts w:eastAsia="SimSun"/>
        </w:rPr>
      </w:pPr>
      <w:r w:rsidRPr="008A6717">
        <w:rPr>
          <w:rFonts w:eastAsia="SimSun"/>
        </w:rPr>
        <w:t xml:space="preserve">Source = </w:t>
      </w:r>
      <w:r w:rsidRPr="008A6717">
        <w:rPr>
          <w:rFonts w:eastAsia="SimSun"/>
          <w:i/>
        </w:rPr>
        <w:t>Compiled during Critique from Table 18, p36 of the resubmission</w:t>
      </w:r>
    </w:p>
    <w:p w14:paraId="0B78CFD2" w14:textId="77777777" w:rsidR="00031241" w:rsidRPr="008A6717" w:rsidRDefault="00031241" w:rsidP="005C7F8E">
      <w:pPr>
        <w:pStyle w:val="TFAbbrevs0"/>
        <w:keepNext w:val="0"/>
        <w:keepLines w:val="0"/>
        <w:rPr>
          <w:rFonts w:eastAsia="SimSun"/>
          <w:snapToGrid w:val="0"/>
          <w:color w:val="auto"/>
        </w:rPr>
      </w:pPr>
      <w:r w:rsidRPr="008A6717">
        <w:rPr>
          <w:rFonts w:eastAsia="SimSun"/>
          <w:snapToGrid w:val="0"/>
          <w:color w:val="auto"/>
        </w:rPr>
        <w:t xml:space="preserve">HbA1c = glycated haemoglobin; MBS = Medicare Benefits Schedule; PATH = pathology laboratory testing; </w:t>
      </w:r>
      <w:proofErr w:type="spellStart"/>
      <w:r w:rsidRPr="008A6717">
        <w:rPr>
          <w:rFonts w:eastAsia="SimSun"/>
          <w:snapToGrid w:val="0"/>
          <w:color w:val="auto"/>
        </w:rPr>
        <w:t>PoC</w:t>
      </w:r>
      <w:proofErr w:type="spellEnd"/>
      <w:r w:rsidRPr="008A6717">
        <w:rPr>
          <w:rFonts w:eastAsia="SimSun"/>
          <w:snapToGrid w:val="0"/>
          <w:color w:val="auto"/>
        </w:rPr>
        <w:t xml:space="preserve"> = </w:t>
      </w:r>
      <w:r w:rsidRPr="008A6717">
        <w:rPr>
          <w:rFonts w:eastAsia="SimSun"/>
          <w:snapToGrid w:val="0"/>
          <w:color w:val="auto"/>
          <w:lang w:eastAsia="en-US"/>
        </w:rPr>
        <w:t>P</w:t>
      </w:r>
      <w:r w:rsidRPr="008A6717">
        <w:rPr>
          <w:rFonts w:eastAsia="SimSun"/>
          <w:snapToGrid w:val="0"/>
          <w:color w:val="auto"/>
        </w:rPr>
        <w:t xml:space="preserve">oint of </w:t>
      </w:r>
      <w:r w:rsidRPr="008A6717">
        <w:rPr>
          <w:rFonts w:eastAsia="SimSun"/>
          <w:snapToGrid w:val="0"/>
          <w:color w:val="auto"/>
          <w:lang w:eastAsia="en-US"/>
        </w:rPr>
        <w:t>C</w:t>
      </w:r>
      <w:r w:rsidRPr="008A6717">
        <w:rPr>
          <w:rFonts w:eastAsia="SimSun"/>
          <w:snapToGrid w:val="0"/>
          <w:color w:val="auto"/>
        </w:rPr>
        <w:t>are</w:t>
      </w:r>
    </w:p>
    <w:p w14:paraId="325D284E" w14:textId="011C0FAF" w:rsidR="002537D5" w:rsidRPr="002537D5" w:rsidRDefault="00031241" w:rsidP="002537D5">
      <w:pPr>
        <w:widowControl w:val="0"/>
        <w:rPr>
          <w:rFonts w:ascii="Arial Narrow" w:eastAsia="SimSun" w:hAnsi="Arial Narrow" w:cs="Arial"/>
          <w:i/>
          <w:snapToGrid w:val="0"/>
          <w:sz w:val="18"/>
          <w:lang w:eastAsia="zh-CN"/>
        </w:rPr>
      </w:pPr>
      <w:proofErr w:type="gramStart"/>
      <w:r w:rsidRPr="008A6717">
        <w:rPr>
          <w:rFonts w:ascii="Arial Narrow" w:eastAsia="SimSun" w:hAnsi="Arial Narrow" w:cs="Arial"/>
          <w:i/>
          <w:snapToGrid w:val="0"/>
          <w:sz w:val="18"/>
          <w:vertAlign w:val="superscript"/>
          <w:lang w:eastAsia="zh-CN"/>
        </w:rPr>
        <w:t>a</w:t>
      </w:r>
      <w:proofErr w:type="gramEnd"/>
      <w:r w:rsidRPr="008A6717">
        <w:rPr>
          <w:rFonts w:ascii="Arial Narrow" w:eastAsia="SimSun" w:hAnsi="Arial Narrow" w:cs="Arial"/>
          <w:i/>
          <w:snapToGrid w:val="0"/>
          <w:sz w:val="18"/>
          <w:vertAlign w:val="superscript"/>
          <w:lang w:eastAsia="zh-CN"/>
        </w:rPr>
        <w:t xml:space="preserve"> </w:t>
      </w:r>
      <w:r w:rsidRPr="008A6717">
        <w:rPr>
          <w:rFonts w:ascii="Arial Narrow" w:eastAsia="SimSun" w:hAnsi="Arial Narrow" w:cs="Arial"/>
          <w:i/>
          <w:snapToGrid w:val="0"/>
          <w:sz w:val="18"/>
          <w:lang w:eastAsia="zh-CN"/>
        </w:rPr>
        <w:t>Based from MBS utilisation for 66551 (HbA1c pathology testing in management popul</w:t>
      </w:r>
      <w:r w:rsidR="002537D5">
        <w:rPr>
          <w:rFonts w:ascii="Arial Narrow" w:eastAsia="SimSun" w:hAnsi="Arial Narrow" w:cs="Arial"/>
          <w:i/>
          <w:snapToGrid w:val="0"/>
          <w:sz w:val="18"/>
          <w:lang w:eastAsia="zh-CN"/>
        </w:rPr>
        <w:t>ation) from 2013/14 to 2017/18</w:t>
      </w:r>
      <w:r w:rsidR="002537D5">
        <w:br w:type="page"/>
      </w:r>
    </w:p>
    <w:p w14:paraId="2A9EC9E3" w14:textId="0C4AF31C" w:rsidR="006A0D97" w:rsidRPr="00F715D1" w:rsidRDefault="006A0D97" w:rsidP="005C7F8E">
      <w:pPr>
        <w:pStyle w:val="Heading1"/>
        <w:keepNext w:val="0"/>
        <w:keepLines w:val="0"/>
      </w:pPr>
      <w:r w:rsidRPr="00F715D1">
        <w:lastRenderedPageBreak/>
        <w:t>Key issues from ESC for MSAC</w:t>
      </w:r>
    </w:p>
    <w:tbl>
      <w:tblPr>
        <w:tblStyle w:val="TableGrid"/>
        <w:tblW w:w="0" w:type="auto"/>
        <w:tblCellMar>
          <w:left w:w="28" w:type="dxa"/>
          <w:right w:w="28" w:type="dxa"/>
        </w:tblCellMar>
        <w:tblLook w:val="04A0" w:firstRow="1" w:lastRow="0" w:firstColumn="1" w:lastColumn="0" w:noHBand="0" w:noVBand="1"/>
        <w:tblCaption w:val="Key issues from ESC for MSAC"/>
        <w:tblDescription w:val="Summary of key isssues"/>
      </w:tblPr>
      <w:tblGrid>
        <w:gridCol w:w="3823"/>
        <w:gridCol w:w="5193"/>
      </w:tblGrid>
      <w:tr w:rsidR="009A1034" w:rsidRPr="008A6717" w14:paraId="09FFDD7A" w14:textId="77777777" w:rsidTr="003D1B9A">
        <w:trPr>
          <w:tblHeader/>
        </w:trPr>
        <w:tc>
          <w:tcPr>
            <w:tcW w:w="0" w:type="auto"/>
            <w:tcBorders>
              <w:top w:val="single" w:sz="4" w:space="0" w:color="auto"/>
              <w:left w:val="single" w:sz="4" w:space="0" w:color="auto"/>
              <w:bottom w:val="single" w:sz="4" w:space="0" w:color="auto"/>
              <w:right w:val="single" w:sz="4" w:space="0" w:color="auto"/>
            </w:tcBorders>
            <w:hideMark/>
          </w:tcPr>
          <w:p w14:paraId="28B3DAD7" w14:textId="77777777" w:rsidR="009A1034" w:rsidRPr="008A6717" w:rsidRDefault="009A1034" w:rsidP="005C7F8E">
            <w:pPr>
              <w:pStyle w:val="Table"/>
              <w:keepNext w:val="0"/>
              <w:rPr>
                <w:rFonts w:ascii="Times New Roman" w:hAnsi="Times New Roman" w:cs="Times New Roman"/>
                <w:b/>
                <w:sz w:val="22"/>
                <w:szCs w:val="22"/>
              </w:rPr>
            </w:pPr>
            <w:r w:rsidRPr="008A6717">
              <w:rPr>
                <w:rFonts w:ascii="Times New Roman" w:hAnsi="Times New Roman" w:cs="Times New Roman"/>
                <w:b/>
                <w:sz w:val="22"/>
                <w:szCs w:val="22"/>
              </w:rPr>
              <w:t>ESC key issue</w:t>
            </w:r>
          </w:p>
        </w:tc>
        <w:tc>
          <w:tcPr>
            <w:tcW w:w="0" w:type="auto"/>
            <w:tcBorders>
              <w:top w:val="single" w:sz="4" w:space="0" w:color="auto"/>
              <w:left w:val="single" w:sz="4" w:space="0" w:color="auto"/>
              <w:bottom w:val="single" w:sz="4" w:space="0" w:color="auto"/>
              <w:right w:val="single" w:sz="4" w:space="0" w:color="auto"/>
            </w:tcBorders>
            <w:hideMark/>
          </w:tcPr>
          <w:p w14:paraId="16DF27A0" w14:textId="77777777" w:rsidR="009A1034" w:rsidRPr="008A6717" w:rsidRDefault="009A1034" w:rsidP="005C7F8E">
            <w:pPr>
              <w:pStyle w:val="Table"/>
              <w:keepNext w:val="0"/>
              <w:rPr>
                <w:rFonts w:ascii="Times New Roman" w:hAnsi="Times New Roman" w:cs="Times New Roman"/>
                <w:b/>
                <w:sz w:val="22"/>
                <w:szCs w:val="22"/>
              </w:rPr>
            </w:pPr>
            <w:r w:rsidRPr="008A6717">
              <w:rPr>
                <w:rFonts w:ascii="Times New Roman" w:hAnsi="Times New Roman" w:cs="Times New Roman"/>
                <w:b/>
                <w:sz w:val="22"/>
                <w:szCs w:val="22"/>
              </w:rPr>
              <w:t>ESC advice to MSAC</w:t>
            </w:r>
          </w:p>
        </w:tc>
      </w:tr>
      <w:tr w:rsidR="009A1034" w:rsidRPr="008A6717" w14:paraId="7EB323C9" w14:textId="77777777" w:rsidTr="00135EA6">
        <w:tc>
          <w:tcPr>
            <w:tcW w:w="0" w:type="auto"/>
            <w:tcBorders>
              <w:top w:val="single" w:sz="4" w:space="0" w:color="auto"/>
              <w:left w:val="single" w:sz="4" w:space="0" w:color="auto"/>
              <w:bottom w:val="single" w:sz="4" w:space="0" w:color="auto"/>
              <w:right w:val="single" w:sz="4" w:space="0" w:color="auto"/>
            </w:tcBorders>
            <w:hideMark/>
          </w:tcPr>
          <w:p w14:paraId="37E03536" w14:textId="77777777" w:rsidR="009A1034" w:rsidRPr="008A6717" w:rsidRDefault="009A1034" w:rsidP="005C7F8E">
            <w:pPr>
              <w:pStyle w:val="Table"/>
              <w:keepNext w:val="0"/>
              <w:rPr>
                <w:rFonts w:ascii="Times New Roman" w:hAnsi="Times New Roman" w:cs="Times New Roman"/>
                <w:sz w:val="22"/>
                <w:szCs w:val="22"/>
              </w:rPr>
            </w:pPr>
            <w:r w:rsidRPr="008A6717">
              <w:rPr>
                <w:rFonts w:ascii="Times New Roman" w:hAnsi="Times New Roman" w:cs="Times New Roman"/>
                <w:sz w:val="22"/>
                <w:szCs w:val="22"/>
              </w:rPr>
              <w:t>Including pregnant patients in the item descriptor</w:t>
            </w:r>
          </w:p>
        </w:tc>
        <w:tc>
          <w:tcPr>
            <w:tcW w:w="0" w:type="auto"/>
            <w:tcBorders>
              <w:top w:val="single" w:sz="4" w:space="0" w:color="auto"/>
              <w:left w:val="single" w:sz="4" w:space="0" w:color="auto"/>
              <w:bottom w:val="single" w:sz="4" w:space="0" w:color="auto"/>
              <w:right w:val="single" w:sz="4" w:space="0" w:color="auto"/>
            </w:tcBorders>
          </w:tcPr>
          <w:p w14:paraId="2F6632AF" w14:textId="77777777" w:rsidR="009A1034" w:rsidRPr="008A6717" w:rsidRDefault="009A1034" w:rsidP="005C7F8E">
            <w:pPr>
              <w:pStyle w:val="Table"/>
              <w:keepNext w:val="0"/>
              <w:rPr>
                <w:rFonts w:ascii="Times New Roman" w:hAnsi="Times New Roman" w:cs="Times New Roman"/>
                <w:sz w:val="22"/>
                <w:szCs w:val="22"/>
              </w:rPr>
            </w:pPr>
            <w:r w:rsidRPr="008A6717">
              <w:rPr>
                <w:rFonts w:ascii="Times New Roman" w:hAnsi="Times New Roman" w:cs="Times New Roman"/>
                <w:sz w:val="22"/>
                <w:szCs w:val="22"/>
              </w:rPr>
              <w:t>This is acceptable.</w:t>
            </w:r>
          </w:p>
        </w:tc>
      </w:tr>
      <w:tr w:rsidR="009A1034" w:rsidRPr="008A6717" w14:paraId="06131954" w14:textId="77777777" w:rsidTr="00135EA6">
        <w:tc>
          <w:tcPr>
            <w:tcW w:w="0" w:type="auto"/>
            <w:tcBorders>
              <w:top w:val="single" w:sz="4" w:space="0" w:color="auto"/>
              <w:left w:val="single" w:sz="4" w:space="0" w:color="auto"/>
              <w:bottom w:val="single" w:sz="4" w:space="0" w:color="auto"/>
              <w:right w:val="single" w:sz="4" w:space="0" w:color="auto"/>
            </w:tcBorders>
          </w:tcPr>
          <w:p w14:paraId="3970C969" w14:textId="6A752750" w:rsidR="009A1034" w:rsidRPr="008A6717" w:rsidRDefault="009A1034" w:rsidP="005C7F8E">
            <w:pPr>
              <w:pStyle w:val="Table"/>
              <w:keepNext w:val="0"/>
              <w:rPr>
                <w:rFonts w:ascii="Times New Roman" w:hAnsi="Times New Roman" w:cs="Times New Roman"/>
                <w:sz w:val="22"/>
                <w:szCs w:val="22"/>
              </w:rPr>
            </w:pPr>
            <w:r w:rsidRPr="008A6717">
              <w:rPr>
                <w:rFonts w:ascii="Times New Roman" w:hAnsi="Times New Roman" w:cs="Times New Roman"/>
                <w:sz w:val="22"/>
                <w:szCs w:val="22"/>
              </w:rPr>
              <w:t xml:space="preserve">Should the item descriptor for the </w:t>
            </w:r>
            <w:proofErr w:type="spellStart"/>
            <w:r w:rsidR="00EC28F2">
              <w:rPr>
                <w:rFonts w:ascii="Times New Roman" w:hAnsi="Times New Roman" w:cs="Times New Roman"/>
                <w:sz w:val="22"/>
                <w:szCs w:val="22"/>
              </w:rPr>
              <w:t>PoC</w:t>
            </w:r>
            <w:proofErr w:type="spellEnd"/>
            <w:r w:rsidRPr="008A6717">
              <w:rPr>
                <w:rFonts w:ascii="Times New Roman" w:hAnsi="Times New Roman" w:cs="Times New Roman"/>
                <w:sz w:val="22"/>
                <w:szCs w:val="22"/>
              </w:rPr>
              <w:t xml:space="preserve"> machine refer to the </w:t>
            </w:r>
            <w:r w:rsidR="008A6717" w:rsidRPr="008A6717">
              <w:rPr>
                <w:rFonts w:ascii="Times New Roman" w:hAnsi="Times New Roman" w:cs="Times New Roman"/>
                <w:sz w:val="22"/>
                <w:szCs w:val="22"/>
              </w:rPr>
              <w:t xml:space="preserve">National </w:t>
            </w:r>
            <w:proofErr w:type="spellStart"/>
            <w:r w:rsidR="008A6717" w:rsidRPr="008A6717">
              <w:rPr>
                <w:rFonts w:ascii="Times New Roman" w:hAnsi="Times New Roman" w:cs="Times New Roman"/>
                <w:sz w:val="22"/>
                <w:szCs w:val="22"/>
              </w:rPr>
              <w:t>Glycohemoglobin</w:t>
            </w:r>
            <w:proofErr w:type="spellEnd"/>
            <w:r w:rsidR="008A6717" w:rsidRPr="008A6717">
              <w:rPr>
                <w:rFonts w:ascii="Times New Roman" w:hAnsi="Times New Roman" w:cs="Times New Roman"/>
                <w:sz w:val="22"/>
                <w:szCs w:val="22"/>
              </w:rPr>
              <w:t xml:space="preserve"> Standardization Program (NGSP) </w:t>
            </w:r>
            <w:r w:rsidRPr="008A6717">
              <w:rPr>
                <w:rFonts w:ascii="Times New Roman" w:hAnsi="Times New Roman" w:cs="Times New Roman"/>
                <w:sz w:val="22"/>
                <w:szCs w:val="22"/>
              </w:rPr>
              <w:t>standards and the coefficient of variance?</w:t>
            </w:r>
          </w:p>
        </w:tc>
        <w:tc>
          <w:tcPr>
            <w:tcW w:w="0" w:type="auto"/>
            <w:tcBorders>
              <w:top w:val="single" w:sz="4" w:space="0" w:color="auto"/>
              <w:left w:val="single" w:sz="4" w:space="0" w:color="auto"/>
              <w:bottom w:val="single" w:sz="4" w:space="0" w:color="auto"/>
              <w:right w:val="single" w:sz="4" w:space="0" w:color="auto"/>
            </w:tcBorders>
          </w:tcPr>
          <w:p w14:paraId="36EB907F" w14:textId="2B722784" w:rsidR="009A1034" w:rsidRPr="008A6717" w:rsidRDefault="009A1034" w:rsidP="005C7F8E">
            <w:pPr>
              <w:pStyle w:val="Table"/>
              <w:keepNext w:val="0"/>
              <w:rPr>
                <w:rFonts w:ascii="Times New Roman" w:hAnsi="Times New Roman" w:cs="Times New Roman"/>
                <w:sz w:val="22"/>
                <w:szCs w:val="22"/>
              </w:rPr>
            </w:pPr>
            <w:r w:rsidRPr="008A6717">
              <w:rPr>
                <w:rFonts w:ascii="Times New Roman" w:hAnsi="Times New Roman" w:cs="Times New Roman"/>
                <w:sz w:val="22"/>
                <w:szCs w:val="22"/>
              </w:rPr>
              <w:t xml:space="preserve">Yes, it is important that the most appropriate machines are used for </w:t>
            </w:r>
            <w:proofErr w:type="spellStart"/>
            <w:r w:rsidR="00EC28F2">
              <w:rPr>
                <w:rFonts w:ascii="Times New Roman" w:hAnsi="Times New Roman" w:cs="Times New Roman"/>
                <w:sz w:val="22"/>
                <w:szCs w:val="22"/>
              </w:rPr>
              <w:t>PoC</w:t>
            </w:r>
            <w:proofErr w:type="spellEnd"/>
            <w:r w:rsidRPr="008A6717">
              <w:rPr>
                <w:rFonts w:ascii="Times New Roman" w:hAnsi="Times New Roman" w:cs="Times New Roman"/>
                <w:sz w:val="22"/>
                <w:szCs w:val="22"/>
              </w:rPr>
              <w:t xml:space="preserve"> testing.</w:t>
            </w:r>
          </w:p>
        </w:tc>
      </w:tr>
      <w:tr w:rsidR="009A1034" w:rsidRPr="008A6717" w14:paraId="1F9372C6" w14:textId="77777777" w:rsidTr="00135EA6">
        <w:tc>
          <w:tcPr>
            <w:tcW w:w="0" w:type="auto"/>
            <w:tcBorders>
              <w:top w:val="single" w:sz="4" w:space="0" w:color="auto"/>
              <w:left w:val="single" w:sz="4" w:space="0" w:color="auto"/>
              <w:bottom w:val="single" w:sz="4" w:space="0" w:color="auto"/>
              <w:right w:val="single" w:sz="4" w:space="0" w:color="auto"/>
            </w:tcBorders>
            <w:hideMark/>
          </w:tcPr>
          <w:p w14:paraId="25BF600B" w14:textId="5562CBAB" w:rsidR="009A1034" w:rsidRPr="008A6717" w:rsidRDefault="009A1034" w:rsidP="005C7F8E">
            <w:pPr>
              <w:pStyle w:val="Table"/>
              <w:keepNext w:val="0"/>
              <w:rPr>
                <w:rFonts w:ascii="Times New Roman" w:hAnsi="Times New Roman" w:cs="Times New Roman"/>
                <w:sz w:val="22"/>
                <w:szCs w:val="22"/>
              </w:rPr>
            </w:pPr>
            <w:r w:rsidRPr="008A6717">
              <w:rPr>
                <w:rFonts w:ascii="Times New Roman" w:hAnsi="Times New Roman" w:cs="Times New Roman"/>
                <w:sz w:val="22"/>
                <w:szCs w:val="22"/>
              </w:rPr>
              <w:t xml:space="preserve">Are the RACGP standards acceptable for </w:t>
            </w:r>
            <w:proofErr w:type="spellStart"/>
            <w:r w:rsidR="00EC28F2">
              <w:rPr>
                <w:rFonts w:ascii="Times New Roman" w:hAnsi="Times New Roman" w:cs="Times New Roman"/>
                <w:sz w:val="22"/>
                <w:szCs w:val="22"/>
              </w:rPr>
              <w:t>PoC</w:t>
            </w:r>
            <w:proofErr w:type="spellEnd"/>
            <w:r w:rsidRPr="008A6717">
              <w:rPr>
                <w:rFonts w:ascii="Times New Roman" w:hAnsi="Times New Roman" w:cs="Times New Roman"/>
                <w:sz w:val="22"/>
                <w:szCs w:val="22"/>
              </w:rPr>
              <w:t xml:space="preserve"> testing?</w:t>
            </w:r>
          </w:p>
        </w:tc>
        <w:tc>
          <w:tcPr>
            <w:tcW w:w="0" w:type="auto"/>
            <w:tcBorders>
              <w:top w:val="single" w:sz="4" w:space="0" w:color="auto"/>
              <w:left w:val="single" w:sz="4" w:space="0" w:color="auto"/>
              <w:bottom w:val="single" w:sz="4" w:space="0" w:color="auto"/>
              <w:right w:val="single" w:sz="4" w:space="0" w:color="auto"/>
            </w:tcBorders>
          </w:tcPr>
          <w:p w14:paraId="39D44623" w14:textId="77777777" w:rsidR="009A1034" w:rsidRPr="008A6717" w:rsidRDefault="009A1034" w:rsidP="005C7F8E">
            <w:pPr>
              <w:pStyle w:val="Table"/>
              <w:keepNext w:val="0"/>
              <w:rPr>
                <w:rFonts w:ascii="Times New Roman" w:hAnsi="Times New Roman" w:cs="Times New Roman"/>
                <w:sz w:val="22"/>
                <w:szCs w:val="22"/>
              </w:rPr>
            </w:pPr>
            <w:r w:rsidRPr="008A6717">
              <w:rPr>
                <w:rFonts w:ascii="Times New Roman" w:hAnsi="Times New Roman" w:cs="Times New Roman"/>
                <w:sz w:val="22"/>
                <w:szCs w:val="22"/>
              </w:rPr>
              <w:t>The RACGP standards are acceptable; however, since they have only recently been released, further consultation will be helpful to see how they are being used.</w:t>
            </w:r>
          </w:p>
        </w:tc>
      </w:tr>
      <w:tr w:rsidR="009A1034" w:rsidRPr="008A6717" w14:paraId="5D8516EB" w14:textId="77777777" w:rsidTr="00135EA6">
        <w:tc>
          <w:tcPr>
            <w:tcW w:w="0" w:type="auto"/>
            <w:tcBorders>
              <w:top w:val="single" w:sz="4" w:space="0" w:color="auto"/>
              <w:left w:val="single" w:sz="4" w:space="0" w:color="auto"/>
              <w:bottom w:val="single" w:sz="4" w:space="0" w:color="auto"/>
              <w:right w:val="single" w:sz="4" w:space="0" w:color="auto"/>
            </w:tcBorders>
          </w:tcPr>
          <w:p w14:paraId="76A6E966" w14:textId="77777777" w:rsidR="009A1034" w:rsidRPr="008A6717" w:rsidRDefault="009A1034" w:rsidP="005C7F8E">
            <w:pPr>
              <w:pStyle w:val="Table"/>
              <w:keepNext w:val="0"/>
              <w:rPr>
                <w:rFonts w:ascii="Times New Roman" w:hAnsi="Times New Roman" w:cs="Times New Roman"/>
                <w:sz w:val="22"/>
                <w:szCs w:val="22"/>
              </w:rPr>
            </w:pPr>
            <w:r w:rsidRPr="008A6717">
              <w:rPr>
                <w:rFonts w:ascii="Times New Roman" w:hAnsi="Times New Roman" w:cs="Times New Roman"/>
                <w:sz w:val="22"/>
                <w:szCs w:val="22"/>
              </w:rPr>
              <w:t>Cost of accreditation</w:t>
            </w:r>
          </w:p>
        </w:tc>
        <w:tc>
          <w:tcPr>
            <w:tcW w:w="0" w:type="auto"/>
            <w:tcBorders>
              <w:top w:val="single" w:sz="4" w:space="0" w:color="auto"/>
              <w:left w:val="single" w:sz="4" w:space="0" w:color="auto"/>
              <w:bottom w:val="single" w:sz="4" w:space="0" w:color="auto"/>
              <w:right w:val="single" w:sz="4" w:space="0" w:color="auto"/>
            </w:tcBorders>
          </w:tcPr>
          <w:p w14:paraId="7C54D53A" w14:textId="77777777" w:rsidR="009A1034" w:rsidRPr="008A6717" w:rsidRDefault="009A1034" w:rsidP="005C7F8E">
            <w:pPr>
              <w:pStyle w:val="Table"/>
              <w:keepNext w:val="0"/>
              <w:rPr>
                <w:rFonts w:ascii="Times New Roman" w:hAnsi="Times New Roman" w:cs="Times New Roman"/>
                <w:sz w:val="22"/>
                <w:szCs w:val="22"/>
              </w:rPr>
            </w:pPr>
            <w:r w:rsidRPr="008A6717">
              <w:rPr>
                <w:rFonts w:ascii="Times New Roman" w:hAnsi="Times New Roman" w:cs="Times New Roman"/>
                <w:sz w:val="22"/>
                <w:szCs w:val="22"/>
              </w:rPr>
              <w:t xml:space="preserve">Resubmission now has $240 per year for training, $167 per year for accreditation (part of general costs, not included) and $330 per year for quality assurance. The </w:t>
            </w:r>
            <w:r w:rsidR="00031241" w:rsidRPr="008A6717">
              <w:rPr>
                <w:rFonts w:ascii="Times New Roman" w:hAnsi="Times New Roman" w:cs="Times New Roman"/>
                <w:sz w:val="22"/>
                <w:szCs w:val="22"/>
              </w:rPr>
              <w:t>Critique</w:t>
            </w:r>
            <w:r w:rsidRPr="008A6717">
              <w:rPr>
                <w:rFonts w:ascii="Times New Roman" w:hAnsi="Times New Roman" w:cs="Times New Roman"/>
                <w:sz w:val="22"/>
                <w:szCs w:val="22"/>
              </w:rPr>
              <w:t xml:space="preserve"> estimated incremental costs over 3 years of –$0.59 to –$2.51.</w:t>
            </w:r>
          </w:p>
        </w:tc>
      </w:tr>
      <w:tr w:rsidR="009A1034" w:rsidRPr="008A6717" w14:paraId="32811D6E" w14:textId="77777777" w:rsidTr="00135EA6">
        <w:tc>
          <w:tcPr>
            <w:tcW w:w="0" w:type="auto"/>
            <w:tcBorders>
              <w:top w:val="single" w:sz="4" w:space="0" w:color="auto"/>
              <w:left w:val="single" w:sz="4" w:space="0" w:color="auto"/>
              <w:bottom w:val="single" w:sz="4" w:space="0" w:color="auto"/>
              <w:right w:val="single" w:sz="4" w:space="0" w:color="auto"/>
            </w:tcBorders>
          </w:tcPr>
          <w:p w14:paraId="55CD1128" w14:textId="77777777" w:rsidR="009A1034" w:rsidRPr="008A6717" w:rsidRDefault="009A1034" w:rsidP="005C7F8E">
            <w:pPr>
              <w:pStyle w:val="Table"/>
              <w:keepNext w:val="0"/>
              <w:rPr>
                <w:rFonts w:ascii="Times New Roman" w:hAnsi="Times New Roman" w:cs="Times New Roman"/>
                <w:sz w:val="22"/>
                <w:szCs w:val="22"/>
              </w:rPr>
            </w:pPr>
            <w:r w:rsidRPr="008A6717">
              <w:rPr>
                <w:rFonts w:ascii="Times New Roman" w:hAnsi="Times New Roman" w:cs="Times New Roman"/>
                <w:sz w:val="22"/>
                <w:szCs w:val="22"/>
              </w:rPr>
              <w:t>Cost-minimisation analysis</w:t>
            </w:r>
          </w:p>
        </w:tc>
        <w:tc>
          <w:tcPr>
            <w:tcW w:w="0" w:type="auto"/>
            <w:tcBorders>
              <w:top w:val="single" w:sz="4" w:space="0" w:color="auto"/>
              <w:left w:val="single" w:sz="4" w:space="0" w:color="auto"/>
              <w:bottom w:val="single" w:sz="4" w:space="0" w:color="auto"/>
              <w:right w:val="single" w:sz="4" w:space="0" w:color="auto"/>
            </w:tcBorders>
          </w:tcPr>
          <w:p w14:paraId="371818ED" w14:textId="4A2C3B5C" w:rsidR="009A1034" w:rsidRPr="008A6717" w:rsidRDefault="009A1034" w:rsidP="005C7F8E">
            <w:pPr>
              <w:pStyle w:val="Table"/>
              <w:keepNext w:val="0"/>
              <w:rPr>
                <w:rFonts w:ascii="Times New Roman" w:hAnsi="Times New Roman" w:cs="Times New Roman"/>
                <w:sz w:val="22"/>
                <w:szCs w:val="22"/>
              </w:rPr>
            </w:pPr>
            <w:r w:rsidRPr="008A6717">
              <w:rPr>
                <w:rFonts w:ascii="Times New Roman" w:hAnsi="Times New Roman" w:cs="Times New Roman"/>
                <w:sz w:val="22"/>
                <w:szCs w:val="22"/>
              </w:rPr>
              <w:t xml:space="preserve">From this cost-minimisation analysis, the </w:t>
            </w:r>
            <w:proofErr w:type="spellStart"/>
            <w:r w:rsidR="00EC28F2">
              <w:rPr>
                <w:rFonts w:ascii="Times New Roman" w:hAnsi="Times New Roman" w:cs="Times New Roman"/>
                <w:sz w:val="22"/>
                <w:szCs w:val="22"/>
              </w:rPr>
              <w:t>PoC</w:t>
            </w:r>
            <w:proofErr w:type="spellEnd"/>
            <w:r w:rsidRPr="008A6717">
              <w:rPr>
                <w:rFonts w:ascii="Times New Roman" w:hAnsi="Times New Roman" w:cs="Times New Roman"/>
                <w:sz w:val="22"/>
                <w:szCs w:val="22"/>
              </w:rPr>
              <w:t xml:space="preserve"> test would only be cheaper than the laboratory test if MSAC accepts the assumption that only one laboratory test per year is subject to coning.</w:t>
            </w:r>
          </w:p>
        </w:tc>
      </w:tr>
      <w:tr w:rsidR="009A1034" w:rsidRPr="008A6717" w14:paraId="4A757D90" w14:textId="77777777" w:rsidTr="00135EA6">
        <w:tc>
          <w:tcPr>
            <w:tcW w:w="0" w:type="auto"/>
            <w:tcBorders>
              <w:top w:val="single" w:sz="4" w:space="0" w:color="auto"/>
              <w:left w:val="single" w:sz="4" w:space="0" w:color="auto"/>
              <w:bottom w:val="single" w:sz="4" w:space="0" w:color="auto"/>
              <w:right w:val="single" w:sz="4" w:space="0" w:color="auto"/>
            </w:tcBorders>
            <w:hideMark/>
          </w:tcPr>
          <w:p w14:paraId="1E52DCEE" w14:textId="77777777" w:rsidR="009A1034" w:rsidRPr="008A6717" w:rsidRDefault="009A1034" w:rsidP="005C7F8E">
            <w:pPr>
              <w:pStyle w:val="Table"/>
              <w:keepNext w:val="0"/>
              <w:rPr>
                <w:rFonts w:ascii="Times New Roman" w:hAnsi="Times New Roman" w:cs="Times New Roman"/>
                <w:sz w:val="22"/>
                <w:szCs w:val="22"/>
              </w:rPr>
            </w:pPr>
            <w:r w:rsidRPr="008A6717">
              <w:rPr>
                <w:rFonts w:ascii="Times New Roman" w:hAnsi="Times New Roman" w:cs="Times New Roman"/>
                <w:sz w:val="22"/>
                <w:szCs w:val="22"/>
              </w:rPr>
              <w:t>MBS rebate (85% or 100%)</w:t>
            </w:r>
          </w:p>
        </w:tc>
        <w:tc>
          <w:tcPr>
            <w:tcW w:w="0" w:type="auto"/>
            <w:tcBorders>
              <w:top w:val="single" w:sz="4" w:space="0" w:color="auto"/>
              <w:left w:val="single" w:sz="4" w:space="0" w:color="auto"/>
              <w:bottom w:val="single" w:sz="4" w:space="0" w:color="auto"/>
              <w:right w:val="single" w:sz="4" w:space="0" w:color="auto"/>
            </w:tcBorders>
          </w:tcPr>
          <w:p w14:paraId="6BF25360" w14:textId="77777777" w:rsidR="009A1034" w:rsidRPr="008A6717" w:rsidRDefault="009A1034" w:rsidP="005C7F8E">
            <w:pPr>
              <w:pStyle w:val="Table"/>
              <w:keepNext w:val="0"/>
              <w:rPr>
                <w:rFonts w:ascii="Times New Roman" w:hAnsi="Times New Roman" w:cs="Times New Roman"/>
                <w:sz w:val="22"/>
                <w:szCs w:val="22"/>
              </w:rPr>
            </w:pPr>
            <w:r w:rsidRPr="008A6717">
              <w:rPr>
                <w:rFonts w:ascii="Times New Roman" w:hAnsi="Times New Roman" w:cs="Times New Roman"/>
                <w:sz w:val="22"/>
                <w:szCs w:val="22"/>
              </w:rPr>
              <w:t>There will be cost saving to the budget of ~$13,000 by 2022 if the 85% rebate is applied (broadly similar to resubmission’s original financial estimates using 100% rebate level) and MSAC accepts the assumption that only one laboratory test per year is subject to coning.</w:t>
            </w:r>
          </w:p>
        </w:tc>
      </w:tr>
      <w:tr w:rsidR="009A1034" w:rsidRPr="008A6717" w14:paraId="360C3C21" w14:textId="77777777" w:rsidTr="00135EA6">
        <w:tc>
          <w:tcPr>
            <w:tcW w:w="0" w:type="auto"/>
            <w:tcBorders>
              <w:top w:val="single" w:sz="4" w:space="0" w:color="auto"/>
              <w:left w:val="single" w:sz="4" w:space="0" w:color="auto"/>
              <w:bottom w:val="single" w:sz="4" w:space="0" w:color="auto"/>
              <w:right w:val="single" w:sz="4" w:space="0" w:color="auto"/>
            </w:tcBorders>
          </w:tcPr>
          <w:p w14:paraId="185EE88A" w14:textId="77777777" w:rsidR="009A1034" w:rsidRPr="008A6717" w:rsidRDefault="009A1034" w:rsidP="005C7F8E">
            <w:pPr>
              <w:pStyle w:val="Table"/>
              <w:keepNext w:val="0"/>
              <w:rPr>
                <w:rFonts w:ascii="Times New Roman" w:hAnsi="Times New Roman" w:cs="Times New Roman"/>
                <w:sz w:val="22"/>
                <w:szCs w:val="22"/>
              </w:rPr>
            </w:pPr>
            <w:r w:rsidRPr="008A6717">
              <w:rPr>
                <w:rFonts w:ascii="Times New Roman" w:hAnsi="Times New Roman" w:cs="Times New Roman"/>
                <w:sz w:val="22"/>
                <w:szCs w:val="22"/>
              </w:rPr>
              <w:t>Restriction to testing three times per year</w:t>
            </w:r>
          </w:p>
        </w:tc>
        <w:tc>
          <w:tcPr>
            <w:tcW w:w="0" w:type="auto"/>
            <w:tcBorders>
              <w:top w:val="single" w:sz="4" w:space="0" w:color="auto"/>
              <w:left w:val="single" w:sz="4" w:space="0" w:color="auto"/>
              <w:bottom w:val="single" w:sz="4" w:space="0" w:color="auto"/>
              <w:right w:val="single" w:sz="4" w:space="0" w:color="auto"/>
            </w:tcBorders>
          </w:tcPr>
          <w:p w14:paraId="0C0BA6D7" w14:textId="77777777" w:rsidR="009A1034" w:rsidRPr="008A6717" w:rsidRDefault="009A1034" w:rsidP="005C7F8E">
            <w:pPr>
              <w:pStyle w:val="Table"/>
              <w:keepNext w:val="0"/>
              <w:rPr>
                <w:rFonts w:ascii="Times New Roman" w:hAnsi="Times New Roman" w:cs="Times New Roman"/>
                <w:sz w:val="22"/>
                <w:szCs w:val="22"/>
              </w:rPr>
            </w:pPr>
            <w:r w:rsidRPr="008A6717">
              <w:rPr>
                <w:rFonts w:ascii="Times New Roman" w:hAnsi="Times New Roman" w:cs="Times New Roman"/>
                <w:sz w:val="22"/>
                <w:szCs w:val="22"/>
              </w:rPr>
              <w:t>Compliance will be an issue.</w:t>
            </w:r>
          </w:p>
        </w:tc>
      </w:tr>
    </w:tbl>
    <w:p w14:paraId="0E6B9668" w14:textId="42184477" w:rsidR="009A1034" w:rsidRPr="003D1B9A" w:rsidRDefault="009A1034" w:rsidP="005C7F8E">
      <w:pPr>
        <w:pStyle w:val="Tablefooter"/>
        <w:keepNext w:val="0"/>
        <w:spacing w:before="240"/>
        <w:rPr>
          <w:rFonts w:ascii="Times New Roman" w:hAnsi="Times New Roman" w:cs="Times New Roman"/>
          <w:b/>
          <w:sz w:val="24"/>
          <w:u w:val="single"/>
        </w:rPr>
      </w:pPr>
      <w:r w:rsidRPr="003D1B9A">
        <w:rPr>
          <w:rFonts w:ascii="Times New Roman" w:hAnsi="Times New Roman" w:cs="Times New Roman"/>
          <w:b/>
          <w:sz w:val="24"/>
          <w:u w:val="single"/>
        </w:rPr>
        <w:t>ESC Discussion</w:t>
      </w:r>
    </w:p>
    <w:p w14:paraId="5075D425" w14:textId="1DEE02E7" w:rsidR="009A1034" w:rsidRPr="00975F3F" w:rsidRDefault="009A1034" w:rsidP="005C7F8E">
      <w:pPr>
        <w:spacing w:after="240"/>
      </w:pPr>
      <w:r>
        <w:rPr>
          <w:color w:val="000000"/>
        </w:rPr>
        <w:t xml:space="preserve">ESC noted that this is a </w:t>
      </w:r>
      <w:r w:rsidRPr="00BF3B7B">
        <w:rPr>
          <w:color w:val="000000"/>
        </w:rPr>
        <w:t>resubmission</w:t>
      </w:r>
      <w:r>
        <w:rPr>
          <w:color w:val="000000"/>
        </w:rPr>
        <w:t xml:space="preserve"> of Application 1431 requesting MBS listing of</w:t>
      </w:r>
      <w:r w:rsidRPr="00113B49">
        <w:rPr>
          <w:color w:val="000000"/>
        </w:rPr>
        <w:t xml:space="preserve"> HbA1c </w:t>
      </w:r>
      <w:r>
        <w:rPr>
          <w:color w:val="000000"/>
        </w:rPr>
        <w:t>point-of-care (</w:t>
      </w:r>
      <w:proofErr w:type="spellStart"/>
      <w:r w:rsidR="00EC28F2">
        <w:rPr>
          <w:color w:val="000000"/>
        </w:rPr>
        <w:t>PoC</w:t>
      </w:r>
      <w:proofErr w:type="spellEnd"/>
      <w:r>
        <w:rPr>
          <w:color w:val="000000"/>
        </w:rPr>
        <w:t>)</w:t>
      </w:r>
      <w:r w:rsidRPr="00113B49">
        <w:rPr>
          <w:color w:val="000000"/>
        </w:rPr>
        <w:t xml:space="preserve"> testing as an alternative to HbA1c testing in an accredited pathology laboratory </w:t>
      </w:r>
      <w:r>
        <w:rPr>
          <w:color w:val="000000"/>
        </w:rPr>
        <w:t>for the diagnosis and management of diabetes</w:t>
      </w:r>
      <w:r w:rsidRPr="00975F3F">
        <w:t>.</w:t>
      </w:r>
    </w:p>
    <w:p w14:paraId="53586A67" w14:textId="4EF22086" w:rsidR="009A1034" w:rsidRDefault="009A1034" w:rsidP="009A1034">
      <w:pPr>
        <w:spacing w:after="240"/>
        <w:rPr>
          <w:color w:val="000000"/>
        </w:rPr>
      </w:pPr>
      <w:r>
        <w:rPr>
          <w:color w:val="000000"/>
        </w:rPr>
        <w:t>ESC recalled that when Application 1431 was first considered in July 2017,</w:t>
      </w:r>
      <w:r w:rsidRPr="00113B49">
        <w:rPr>
          <w:color w:val="000000"/>
        </w:rPr>
        <w:t xml:space="preserve"> MSAC did not support public funding for HbA1c </w:t>
      </w:r>
      <w:proofErr w:type="spellStart"/>
      <w:r w:rsidR="00EC28F2">
        <w:rPr>
          <w:color w:val="000000"/>
        </w:rPr>
        <w:t>PoC</w:t>
      </w:r>
      <w:proofErr w:type="spellEnd"/>
      <w:r w:rsidRPr="00113B49">
        <w:rPr>
          <w:color w:val="000000"/>
        </w:rPr>
        <w:t xml:space="preserve"> tests for the diagnosis of diabetes based on insufficient evidence demonstrating accuracy in terms of analytical or clinical validity for diagnostic purposes. MSAC noted </w:t>
      </w:r>
      <w:r>
        <w:rPr>
          <w:color w:val="000000"/>
        </w:rPr>
        <w:t xml:space="preserve">at the time that </w:t>
      </w:r>
      <w:r w:rsidRPr="00113B49">
        <w:rPr>
          <w:color w:val="000000"/>
        </w:rPr>
        <w:t>many clinicians would request a confirmatory HbA1c laboratory test as well as blood tests for other risk factors associated with diabetes.</w:t>
      </w:r>
    </w:p>
    <w:p w14:paraId="01F6DEE4" w14:textId="77777777" w:rsidR="009A1034" w:rsidRPr="00113B49" w:rsidRDefault="009A1034" w:rsidP="009A1034">
      <w:pPr>
        <w:spacing w:after="240"/>
        <w:rPr>
          <w:color w:val="000000"/>
        </w:rPr>
      </w:pPr>
      <w:r w:rsidRPr="00113B49">
        <w:rPr>
          <w:color w:val="000000"/>
        </w:rPr>
        <w:t>MSAC noted that a resubmission for diagnosis of diabetes would need to be considered by ESC with new assay performance data to support a conclusion of improved accuracy.</w:t>
      </w:r>
    </w:p>
    <w:p w14:paraId="76D192C3" w14:textId="39D68EE5" w:rsidR="009A1034" w:rsidRPr="00113B49" w:rsidRDefault="009A1034" w:rsidP="002537D5">
      <w:pPr>
        <w:keepNext/>
        <w:keepLines/>
        <w:spacing w:after="120"/>
        <w:rPr>
          <w:color w:val="000000"/>
        </w:rPr>
      </w:pPr>
      <w:r>
        <w:rPr>
          <w:color w:val="000000"/>
        </w:rPr>
        <w:lastRenderedPageBreak/>
        <w:t xml:space="preserve">ESC recalled that </w:t>
      </w:r>
      <w:r w:rsidRPr="00113B49">
        <w:rPr>
          <w:color w:val="000000"/>
        </w:rPr>
        <w:t xml:space="preserve">MSAC deferred its advice </w:t>
      </w:r>
      <w:r>
        <w:rPr>
          <w:color w:val="000000"/>
        </w:rPr>
        <w:t xml:space="preserve">regarding funding </w:t>
      </w:r>
      <w:r w:rsidRPr="00113B49">
        <w:rPr>
          <w:color w:val="000000"/>
        </w:rPr>
        <w:t xml:space="preserve">for the monitoring of glycaemic management in patients with established diabetes. This was pending further data and advice on an accreditation framework, a reduction in or further justification of the proposed fee for HbA1c </w:t>
      </w:r>
      <w:proofErr w:type="spellStart"/>
      <w:r w:rsidR="00EC28F2">
        <w:rPr>
          <w:color w:val="000000"/>
        </w:rPr>
        <w:t>PoC</w:t>
      </w:r>
      <w:proofErr w:type="spellEnd"/>
      <w:r w:rsidRPr="00113B49">
        <w:rPr>
          <w:color w:val="000000"/>
        </w:rPr>
        <w:t xml:space="preserve"> testing compared to the laboratory test fee, and an updated economic evaluation. MSAC requested that the base-case of the revised economic analyses for management of diabetes should:</w:t>
      </w:r>
    </w:p>
    <w:p w14:paraId="60F83D0C" w14:textId="77777777" w:rsidR="009A1034" w:rsidRPr="009E4DED" w:rsidRDefault="009A1034" w:rsidP="002537D5">
      <w:pPr>
        <w:pStyle w:val="ListParagraph"/>
        <w:keepNext/>
        <w:keepLines/>
        <w:numPr>
          <w:ilvl w:val="0"/>
          <w:numId w:val="27"/>
        </w:numPr>
        <w:spacing w:after="240"/>
      </w:pPr>
      <w:r w:rsidRPr="009E4DED">
        <w:t>be for management alone</w:t>
      </w:r>
    </w:p>
    <w:p w14:paraId="2E4AF005" w14:textId="3C1DB5C1" w:rsidR="009A1034" w:rsidRPr="009E4DED" w:rsidRDefault="009A1034" w:rsidP="002537D5">
      <w:pPr>
        <w:pStyle w:val="ListParagraph"/>
        <w:keepNext/>
        <w:keepLines/>
        <w:numPr>
          <w:ilvl w:val="0"/>
          <w:numId w:val="27"/>
        </w:numPr>
        <w:spacing w:after="240"/>
      </w:pPr>
      <w:r w:rsidRPr="009E4DED">
        <w:t>include reduc</w:t>
      </w:r>
      <w:r>
        <w:t>ing the</w:t>
      </w:r>
      <w:r w:rsidRPr="009E4DED">
        <w:t xml:space="preserve"> HbA1c </w:t>
      </w:r>
      <w:proofErr w:type="spellStart"/>
      <w:r w:rsidR="00EC28F2">
        <w:t>PoC</w:t>
      </w:r>
      <w:proofErr w:type="spellEnd"/>
      <w:r w:rsidRPr="009E4DED">
        <w:t xml:space="preserve"> test fee </w:t>
      </w:r>
      <w:r>
        <w:t xml:space="preserve">down </w:t>
      </w:r>
      <w:r w:rsidRPr="009E4DED">
        <w:t>to the laboratory test cost</w:t>
      </w:r>
      <w:r w:rsidRPr="002D0679">
        <w:t xml:space="preserve"> </w:t>
      </w:r>
      <w:r w:rsidRPr="009E4DED">
        <w:t>or below</w:t>
      </w:r>
    </w:p>
    <w:p w14:paraId="0BE6B08F" w14:textId="77777777" w:rsidR="009A1034" w:rsidRPr="009E4DED" w:rsidRDefault="009A1034" w:rsidP="002537D5">
      <w:pPr>
        <w:pStyle w:val="ListParagraph"/>
        <w:keepNext/>
        <w:keepLines/>
        <w:numPr>
          <w:ilvl w:val="0"/>
          <w:numId w:val="27"/>
        </w:numPr>
        <w:spacing w:after="240"/>
      </w:pPr>
      <w:r w:rsidRPr="009E4DED">
        <w:t>account for updated accreditation costs</w:t>
      </w:r>
    </w:p>
    <w:p w14:paraId="2C100F07" w14:textId="5AD27D5C" w:rsidR="009A1034" w:rsidRPr="009E4DED" w:rsidRDefault="009A1034" w:rsidP="009A1034">
      <w:pPr>
        <w:pStyle w:val="ListParagraph"/>
        <w:numPr>
          <w:ilvl w:val="0"/>
          <w:numId w:val="27"/>
        </w:numPr>
        <w:spacing w:after="240"/>
      </w:pPr>
      <w:r w:rsidRPr="009E4DED">
        <w:t xml:space="preserve">factor in a frequency of </w:t>
      </w:r>
      <w:r>
        <w:t>3</w:t>
      </w:r>
      <w:r w:rsidRPr="009E4DED">
        <w:t xml:space="preserve">-monthly HbA1c </w:t>
      </w:r>
      <w:proofErr w:type="spellStart"/>
      <w:r w:rsidR="00EC28F2">
        <w:t>PoC</w:t>
      </w:r>
      <w:proofErr w:type="spellEnd"/>
      <w:r w:rsidRPr="009E4DED">
        <w:t xml:space="preserve"> tests</w:t>
      </w:r>
    </w:p>
    <w:p w14:paraId="7F1D5868" w14:textId="77777777" w:rsidR="009A1034" w:rsidRPr="009E4DED" w:rsidRDefault="009A1034" w:rsidP="009A1034">
      <w:pPr>
        <w:pStyle w:val="ListParagraph"/>
        <w:numPr>
          <w:ilvl w:val="0"/>
          <w:numId w:val="27"/>
        </w:numPr>
        <w:spacing w:after="240"/>
      </w:pPr>
      <w:proofErr w:type="gramStart"/>
      <w:r w:rsidRPr="009E4DED">
        <w:t>factor</w:t>
      </w:r>
      <w:proofErr w:type="gramEnd"/>
      <w:r w:rsidRPr="009E4DED">
        <w:t xml:space="preserve"> in alignment with laboratory tests conducted for patients on an annual basis.</w:t>
      </w:r>
    </w:p>
    <w:p w14:paraId="23D577F5" w14:textId="77777777" w:rsidR="009A1034" w:rsidRDefault="009A1034" w:rsidP="009A1034">
      <w:pPr>
        <w:spacing w:after="120"/>
        <w:rPr>
          <w:color w:val="000000"/>
        </w:rPr>
      </w:pPr>
      <w:r>
        <w:rPr>
          <w:color w:val="000000"/>
        </w:rPr>
        <w:t>ESC noted that t</w:t>
      </w:r>
      <w:r w:rsidRPr="009B5FF5">
        <w:rPr>
          <w:color w:val="000000"/>
        </w:rPr>
        <w:t>h</w:t>
      </w:r>
      <w:r>
        <w:rPr>
          <w:color w:val="000000"/>
        </w:rPr>
        <w:t>e</w:t>
      </w:r>
      <w:r w:rsidRPr="009B5FF5">
        <w:rPr>
          <w:color w:val="000000"/>
        </w:rPr>
        <w:t xml:space="preserve"> resubmission focuse</w:t>
      </w:r>
      <w:r>
        <w:rPr>
          <w:color w:val="000000"/>
        </w:rPr>
        <w:t>d</w:t>
      </w:r>
      <w:r w:rsidRPr="009B5FF5">
        <w:rPr>
          <w:color w:val="000000"/>
        </w:rPr>
        <w:t xml:space="preserve"> on a single patient population </w:t>
      </w:r>
      <w:r>
        <w:rPr>
          <w:color w:val="000000"/>
        </w:rPr>
        <w:t>(</w:t>
      </w:r>
      <w:r w:rsidRPr="009B5FF5">
        <w:rPr>
          <w:color w:val="000000"/>
        </w:rPr>
        <w:t>i</w:t>
      </w:r>
      <w:r>
        <w:rPr>
          <w:color w:val="000000"/>
        </w:rPr>
        <w:t>.</w:t>
      </w:r>
      <w:r w:rsidRPr="009B5FF5">
        <w:rPr>
          <w:color w:val="000000"/>
        </w:rPr>
        <w:t>e</w:t>
      </w:r>
      <w:r>
        <w:rPr>
          <w:color w:val="000000"/>
        </w:rPr>
        <w:t>. </w:t>
      </w:r>
      <w:r w:rsidRPr="009B5FF5">
        <w:rPr>
          <w:color w:val="000000"/>
        </w:rPr>
        <w:t>the management of diabetes</w:t>
      </w:r>
      <w:r>
        <w:rPr>
          <w:color w:val="000000"/>
        </w:rPr>
        <w:t>)</w:t>
      </w:r>
      <w:r w:rsidRPr="009B5FF5">
        <w:rPr>
          <w:color w:val="000000"/>
        </w:rPr>
        <w:t xml:space="preserve"> in a fit-for-purpose report specifically addressing key areas outlined by MSAC.</w:t>
      </w:r>
      <w:r>
        <w:rPr>
          <w:color w:val="000000"/>
        </w:rPr>
        <w:t xml:space="preserve"> The key changes in this resubmission were:</w:t>
      </w:r>
    </w:p>
    <w:p w14:paraId="4F67B451" w14:textId="2E075E3C" w:rsidR="009A1034" w:rsidRPr="00E563BD" w:rsidRDefault="009A1034" w:rsidP="009A1034">
      <w:pPr>
        <w:pStyle w:val="ListParagraph"/>
        <w:numPr>
          <w:ilvl w:val="0"/>
          <w:numId w:val="26"/>
        </w:numPr>
        <w:spacing w:after="240"/>
      </w:pPr>
      <w:proofErr w:type="gramStart"/>
      <w:r>
        <w:t>a</w:t>
      </w:r>
      <w:proofErr w:type="gramEnd"/>
      <w:r>
        <w:t xml:space="preserve"> revised item </w:t>
      </w:r>
      <w:r w:rsidRPr="00E563BD">
        <w:t>descriptor</w:t>
      </w:r>
      <w:r>
        <w:t xml:space="preserve"> (see </w:t>
      </w:r>
      <w:r w:rsidR="001046A1">
        <w:fldChar w:fldCharType="begin"/>
      </w:r>
      <w:r w:rsidR="001046A1">
        <w:instrText xml:space="preserve"> REF _Ref10621984 \h </w:instrText>
      </w:r>
      <w:r w:rsidR="001046A1">
        <w:fldChar w:fldCharType="separate"/>
      </w:r>
      <w:r w:rsidR="00AE4BFA" w:rsidRPr="00995BBA">
        <w:rPr>
          <w:rFonts w:ascii="Arial Narrow" w:hAnsi="Arial Narrow"/>
          <w:b/>
          <w:sz w:val="20"/>
        </w:rPr>
        <w:t xml:space="preserve">Table </w:t>
      </w:r>
      <w:r w:rsidR="00AE4BFA">
        <w:rPr>
          <w:rFonts w:ascii="Arial Narrow" w:hAnsi="Arial Narrow"/>
          <w:b/>
          <w:noProof/>
          <w:sz w:val="20"/>
        </w:rPr>
        <w:t>1</w:t>
      </w:r>
      <w:r w:rsidR="001046A1">
        <w:fldChar w:fldCharType="end"/>
      </w:r>
      <w:r>
        <w:t xml:space="preserve">). </w:t>
      </w:r>
    </w:p>
    <w:p w14:paraId="587D57BF" w14:textId="77777777" w:rsidR="009A1034" w:rsidRPr="00E563BD" w:rsidRDefault="009A1034" w:rsidP="009A1034">
      <w:pPr>
        <w:pStyle w:val="ListParagraph"/>
        <w:numPr>
          <w:ilvl w:val="0"/>
          <w:numId w:val="26"/>
        </w:numPr>
        <w:spacing w:after="240"/>
      </w:pPr>
      <w:r>
        <w:t>an updated and more detailed</w:t>
      </w:r>
      <w:r w:rsidRPr="00E563BD">
        <w:t xml:space="preserve"> accreditation standards framework </w:t>
      </w:r>
    </w:p>
    <w:p w14:paraId="5B9C2FCC" w14:textId="77777777" w:rsidR="009A1034" w:rsidRPr="00E563BD" w:rsidRDefault="009A1034" w:rsidP="009A1034">
      <w:pPr>
        <w:pStyle w:val="ListParagraph"/>
        <w:numPr>
          <w:ilvl w:val="0"/>
          <w:numId w:val="26"/>
        </w:numPr>
        <w:spacing w:after="240"/>
      </w:pPr>
      <w:r>
        <w:t>revision of t</w:t>
      </w:r>
      <w:r w:rsidRPr="00E563BD">
        <w:t>he cost of the test</w:t>
      </w:r>
      <w:r>
        <w:t xml:space="preserve"> </w:t>
      </w:r>
    </w:p>
    <w:p w14:paraId="11E29727" w14:textId="77777777" w:rsidR="009A1034" w:rsidRPr="00E563BD" w:rsidRDefault="009A1034" w:rsidP="009A1034">
      <w:pPr>
        <w:pStyle w:val="ListParagraph"/>
        <w:numPr>
          <w:ilvl w:val="0"/>
          <w:numId w:val="26"/>
        </w:numPr>
        <w:spacing w:after="240"/>
      </w:pPr>
      <w:r>
        <w:t>a</w:t>
      </w:r>
      <w:r w:rsidRPr="00E563BD">
        <w:t>n updated economic model and cost</w:t>
      </w:r>
      <w:r>
        <w:t>-</w:t>
      </w:r>
      <w:r w:rsidRPr="00E563BD">
        <w:t>minimi</w:t>
      </w:r>
      <w:r>
        <w:t>s</w:t>
      </w:r>
      <w:r w:rsidRPr="00E563BD">
        <w:t>ation model</w:t>
      </w:r>
      <w:r>
        <w:t>,</w:t>
      </w:r>
      <w:r w:rsidRPr="00E563BD">
        <w:t xml:space="preserve"> and updated assumptions </w:t>
      </w:r>
    </w:p>
    <w:p w14:paraId="3CCD782D" w14:textId="77777777" w:rsidR="009A1034" w:rsidRPr="00E563BD" w:rsidRDefault="009A1034" w:rsidP="009A1034">
      <w:pPr>
        <w:pStyle w:val="ListParagraph"/>
        <w:numPr>
          <w:ilvl w:val="0"/>
          <w:numId w:val="26"/>
        </w:numPr>
        <w:spacing w:after="240"/>
      </w:pPr>
      <w:proofErr w:type="gramStart"/>
      <w:r>
        <w:t>u</w:t>
      </w:r>
      <w:r w:rsidRPr="00E563BD">
        <w:t>pdated</w:t>
      </w:r>
      <w:proofErr w:type="gramEnd"/>
      <w:r w:rsidRPr="00E563BD">
        <w:t xml:space="preserve"> budgetary impact modelling</w:t>
      </w:r>
      <w:r>
        <w:t>.</w:t>
      </w:r>
    </w:p>
    <w:p w14:paraId="31883B5A" w14:textId="77777777" w:rsidR="009A1034" w:rsidRDefault="009A1034" w:rsidP="009A1034">
      <w:pPr>
        <w:spacing w:after="240"/>
        <w:rPr>
          <w:color w:val="000000"/>
        </w:rPr>
      </w:pPr>
      <w:r>
        <w:rPr>
          <w:color w:val="000000"/>
        </w:rPr>
        <w:t>ESC noted that the resubmission’s</w:t>
      </w:r>
      <w:r w:rsidRPr="009C02B7">
        <w:rPr>
          <w:color w:val="000000"/>
        </w:rPr>
        <w:t xml:space="preserve"> updated </w:t>
      </w:r>
      <w:r>
        <w:rPr>
          <w:color w:val="000000"/>
        </w:rPr>
        <w:t xml:space="preserve">literature </w:t>
      </w:r>
      <w:r w:rsidRPr="009C02B7">
        <w:rPr>
          <w:color w:val="000000"/>
        </w:rPr>
        <w:t xml:space="preserve">review </w:t>
      </w:r>
      <w:r>
        <w:rPr>
          <w:color w:val="000000"/>
        </w:rPr>
        <w:t>did not identify any new evidence</w:t>
      </w:r>
      <w:r w:rsidRPr="009C02B7">
        <w:rPr>
          <w:color w:val="000000"/>
        </w:rPr>
        <w:t xml:space="preserve"> and the clinical claim remain</w:t>
      </w:r>
      <w:r>
        <w:rPr>
          <w:color w:val="000000"/>
        </w:rPr>
        <w:t>ed</w:t>
      </w:r>
      <w:r w:rsidRPr="009C02B7">
        <w:rPr>
          <w:color w:val="000000"/>
        </w:rPr>
        <w:t xml:space="preserve"> unchanged from the original submission.</w:t>
      </w:r>
    </w:p>
    <w:p w14:paraId="5259BFD7" w14:textId="6399B472" w:rsidR="009A1034" w:rsidRPr="00BF3B7B" w:rsidRDefault="009A1034" w:rsidP="009A1034">
      <w:pPr>
        <w:spacing w:after="240"/>
        <w:rPr>
          <w:color w:val="000000"/>
        </w:rPr>
      </w:pPr>
      <w:r>
        <w:rPr>
          <w:color w:val="000000"/>
        </w:rPr>
        <w:t xml:space="preserve">ESC noted that </w:t>
      </w:r>
      <w:r w:rsidRPr="00113B49">
        <w:rPr>
          <w:color w:val="000000"/>
        </w:rPr>
        <w:t xml:space="preserve">no evidence </w:t>
      </w:r>
      <w:r>
        <w:rPr>
          <w:color w:val="000000"/>
        </w:rPr>
        <w:t>was presented in the original submission</w:t>
      </w:r>
      <w:r w:rsidRPr="00113B49">
        <w:rPr>
          <w:color w:val="000000"/>
        </w:rPr>
        <w:t xml:space="preserve"> for the use of HbA1c </w:t>
      </w:r>
      <w:proofErr w:type="spellStart"/>
      <w:r w:rsidR="00EC28F2">
        <w:rPr>
          <w:color w:val="000000"/>
        </w:rPr>
        <w:t>PoC</w:t>
      </w:r>
      <w:proofErr w:type="spellEnd"/>
      <w:r w:rsidRPr="00113B49">
        <w:rPr>
          <w:color w:val="000000"/>
        </w:rPr>
        <w:t xml:space="preserve"> testing in pregnant women with established diabetes</w:t>
      </w:r>
      <w:r w:rsidR="008A6717">
        <w:rPr>
          <w:color w:val="000000"/>
        </w:rPr>
        <w:t>.</w:t>
      </w:r>
      <w:r>
        <w:rPr>
          <w:color w:val="000000"/>
        </w:rPr>
        <w:t xml:space="preserve"> However, ESC did not consider it problematic to include pregnant women in the revised descriptor, as this population could benefit from </w:t>
      </w:r>
      <w:proofErr w:type="spellStart"/>
      <w:r w:rsidR="00EC28F2">
        <w:rPr>
          <w:color w:val="000000"/>
        </w:rPr>
        <w:t>PoC</w:t>
      </w:r>
      <w:proofErr w:type="spellEnd"/>
      <w:r>
        <w:rPr>
          <w:color w:val="000000"/>
        </w:rPr>
        <w:t xml:space="preserve"> testing.</w:t>
      </w:r>
    </w:p>
    <w:p w14:paraId="58217445" w14:textId="77777777" w:rsidR="009A1034" w:rsidRDefault="009A1034" w:rsidP="009A1034">
      <w:pPr>
        <w:pStyle w:val="NormalWeb"/>
        <w:rPr>
          <w:color w:val="000000"/>
          <w:szCs w:val="20"/>
        </w:rPr>
      </w:pPr>
      <w:r>
        <w:rPr>
          <w:color w:val="000000"/>
          <w:szCs w:val="20"/>
        </w:rPr>
        <w:t>ESC noted t</w:t>
      </w:r>
      <w:r w:rsidRPr="00CB5B4A">
        <w:rPr>
          <w:color w:val="000000"/>
          <w:szCs w:val="20"/>
        </w:rPr>
        <w:t xml:space="preserve">he </w:t>
      </w:r>
      <w:r>
        <w:rPr>
          <w:color w:val="000000"/>
          <w:szCs w:val="20"/>
        </w:rPr>
        <w:t xml:space="preserve">statement in the </w:t>
      </w:r>
      <w:r w:rsidRPr="00CB5B4A">
        <w:rPr>
          <w:color w:val="000000"/>
          <w:szCs w:val="20"/>
        </w:rPr>
        <w:t>resubmission that MSAC</w:t>
      </w:r>
      <w:r>
        <w:rPr>
          <w:color w:val="000000"/>
          <w:szCs w:val="20"/>
        </w:rPr>
        <w:t>’</w:t>
      </w:r>
      <w:r w:rsidRPr="00CB5B4A">
        <w:rPr>
          <w:color w:val="000000"/>
          <w:szCs w:val="20"/>
        </w:rPr>
        <w:t>s concerns with the previous SBA</w:t>
      </w:r>
      <w:r>
        <w:rPr>
          <w:color w:val="000000"/>
          <w:szCs w:val="20"/>
        </w:rPr>
        <w:t xml:space="preserve"> (that</w:t>
      </w:r>
      <w:r w:rsidRPr="00CB5B4A">
        <w:rPr>
          <w:color w:val="000000"/>
          <w:szCs w:val="20"/>
        </w:rPr>
        <w:t xml:space="preserve"> proposed patients could receive four tests per year</w:t>
      </w:r>
      <w:r>
        <w:rPr>
          <w:color w:val="000000"/>
          <w:szCs w:val="20"/>
        </w:rPr>
        <w:t>)</w:t>
      </w:r>
      <w:r w:rsidRPr="00CB5B4A">
        <w:rPr>
          <w:color w:val="000000"/>
          <w:szCs w:val="20"/>
        </w:rPr>
        <w:t xml:space="preserve"> indicated that this item descriptor is subject to episode coning. Episode coning occurs generally when more than three MBS item numbers are requested for a patient in the same day</w:t>
      </w:r>
      <w:r>
        <w:rPr>
          <w:color w:val="000000"/>
          <w:szCs w:val="20"/>
        </w:rPr>
        <w:t>. This is</w:t>
      </w:r>
      <w:r w:rsidRPr="00CB5B4A">
        <w:rPr>
          <w:color w:val="000000"/>
          <w:szCs w:val="20"/>
        </w:rPr>
        <w:t xml:space="preserve"> usually via a comprehensive pathology assessment that is generally ordered for patients once every 12</w:t>
      </w:r>
      <w:r>
        <w:rPr>
          <w:color w:val="000000"/>
          <w:szCs w:val="20"/>
        </w:rPr>
        <w:t> </w:t>
      </w:r>
      <w:r w:rsidRPr="00CB5B4A">
        <w:rPr>
          <w:color w:val="000000"/>
          <w:szCs w:val="20"/>
        </w:rPr>
        <w:t>months to assess other risk factors associated with the condition, such as kidney function tests, lipid levels and liver function tests. In such situations, Medicare only pays for the three most expensive items.</w:t>
      </w:r>
    </w:p>
    <w:p w14:paraId="16765AC1" w14:textId="77777777" w:rsidR="009A1034" w:rsidRPr="00CB5B4A" w:rsidRDefault="009A1034" w:rsidP="009A1034">
      <w:pPr>
        <w:pStyle w:val="NormalWeb"/>
        <w:rPr>
          <w:color w:val="000000"/>
          <w:szCs w:val="20"/>
        </w:rPr>
      </w:pPr>
      <w:r>
        <w:rPr>
          <w:color w:val="000000"/>
          <w:szCs w:val="20"/>
        </w:rPr>
        <w:t xml:space="preserve">ESC noted that including a cap of </w:t>
      </w:r>
      <w:r w:rsidRPr="00CB5B4A">
        <w:rPr>
          <w:color w:val="000000"/>
          <w:szCs w:val="20"/>
        </w:rPr>
        <w:t xml:space="preserve">three </w:t>
      </w:r>
      <w:proofErr w:type="spellStart"/>
      <w:r w:rsidRPr="00CB5B4A">
        <w:rPr>
          <w:color w:val="000000"/>
          <w:szCs w:val="20"/>
        </w:rPr>
        <w:t>PoC</w:t>
      </w:r>
      <w:proofErr w:type="spellEnd"/>
      <w:r w:rsidRPr="00CB5B4A">
        <w:rPr>
          <w:color w:val="000000"/>
          <w:szCs w:val="20"/>
        </w:rPr>
        <w:t xml:space="preserve"> tests per 12</w:t>
      </w:r>
      <w:r>
        <w:rPr>
          <w:color w:val="000000"/>
          <w:szCs w:val="20"/>
        </w:rPr>
        <w:t> </w:t>
      </w:r>
      <w:r w:rsidRPr="00CB5B4A">
        <w:rPr>
          <w:color w:val="000000"/>
          <w:szCs w:val="20"/>
        </w:rPr>
        <w:t xml:space="preserve">months </w:t>
      </w:r>
      <w:r>
        <w:rPr>
          <w:color w:val="000000"/>
          <w:szCs w:val="20"/>
        </w:rPr>
        <w:t xml:space="preserve">in the item descriptor will </w:t>
      </w:r>
      <w:r w:rsidRPr="00CB5B4A">
        <w:rPr>
          <w:color w:val="000000"/>
          <w:szCs w:val="20"/>
        </w:rPr>
        <w:t xml:space="preserve">avoid duplication </w:t>
      </w:r>
      <w:r>
        <w:rPr>
          <w:color w:val="000000"/>
          <w:szCs w:val="20"/>
        </w:rPr>
        <w:t>of</w:t>
      </w:r>
      <w:r w:rsidRPr="00CB5B4A">
        <w:rPr>
          <w:color w:val="000000"/>
          <w:szCs w:val="20"/>
        </w:rPr>
        <w:t xml:space="preserve"> HbA1c </w:t>
      </w:r>
      <w:proofErr w:type="spellStart"/>
      <w:r w:rsidRPr="00CB5B4A">
        <w:rPr>
          <w:color w:val="000000"/>
          <w:szCs w:val="20"/>
        </w:rPr>
        <w:t>PoC</w:t>
      </w:r>
      <w:proofErr w:type="spellEnd"/>
      <w:r w:rsidRPr="00CB5B4A">
        <w:rPr>
          <w:color w:val="000000"/>
          <w:szCs w:val="20"/>
        </w:rPr>
        <w:t xml:space="preserve"> testing </w:t>
      </w:r>
      <w:r>
        <w:rPr>
          <w:color w:val="000000"/>
          <w:szCs w:val="20"/>
        </w:rPr>
        <w:t xml:space="preserve">and </w:t>
      </w:r>
      <w:r w:rsidRPr="00CB5B4A">
        <w:rPr>
          <w:color w:val="000000"/>
          <w:szCs w:val="20"/>
        </w:rPr>
        <w:t>the HbA1c pathology test ordered within the routine yearly assessment</w:t>
      </w:r>
      <w:r>
        <w:rPr>
          <w:color w:val="000000"/>
          <w:szCs w:val="20"/>
        </w:rPr>
        <w:t>.</w:t>
      </w:r>
    </w:p>
    <w:p w14:paraId="55844FDD" w14:textId="1AAC646A" w:rsidR="009A1034" w:rsidRDefault="009A1034" w:rsidP="009A1034">
      <w:pPr>
        <w:spacing w:after="240"/>
        <w:rPr>
          <w:color w:val="000000"/>
        </w:rPr>
      </w:pPr>
      <w:r>
        <w:rPr>
          <w:color w:val="000000"/>
        </w:rPr>
        <w:t xml:space="preserve">ESC noted that limiting </w:t>
      </w:r>
      <w:proofErr w:type="spellStart"/>
      <w:r w:rsidR="00EC28F2">
        <w:rPr>
          <w:color w:val="000000"/>
        </w:rPr>
        <w:t>PoC</w:t>
      </w:r>
      <w:proofErr w:type="spellEnd"/>
      <w:r>
        <w:rPr>
          <w:color w:val="000000"/>
        </w:rPr>
        <w:t xml:space="preserve"> testing to three</w:t>
      </w:r>
      <w:r w:rsidRPr="00BF3B7B">
        <w:rPr>
          <w:color w:val="000000"/>
        </w:rPr>
        <w:t xml:space="preserve"> times per year could </w:t>
      </w:r>
      <w:r>
        <w:rPr>
          <w:color w:val="000000"/>
        </w:rPr>
        <w:t>result in</w:t>
      </w:r>
      <w:r w:rsidRPr="00BF3B7B">
        <w:rPr>
          <w:color w:val="000000"/>
        </w:rPr>
        <w:t xml:space="preserve"> a</w:t>
      </w:r>
      <w:r>
        <w:rPr>
          <w:color w:val="000000"/>
        </w:rPr>
        <w:t xml:space="preserve"> </w:t>
      </w:r>
      <w:r w:rsidRPr="00BF3B7B">
        <w:rPr>
          <w:color w:val="000000"/>
        </w:rPr>
        <w:t>compliance issue</w:t>
      </w:r>
      <w:r>
        <w:rPr>
          <w:color w:val="000000"/>
        </w:rPr>
        <w:t>. Currently, general practitioners (GP’s) can try to claim for the test, only to be denied reimbursement because the patient has already been tested three times by other practitioners. Patients may not recall the previous tests or may not be forthcoming in sharing this information.</w:t>
      </w:r>
    </w:p>
    <w:p w14:paraId="4FF8C280" w14:textId="6294F8AB" w:rsidR="009A1034" w:rsidRDefault="009A1034" w:rsidP="009A1034">
      <w:pPr>
        <w:spacing w:after="240"/>
        <w:rPr>
          <w:color w:val="000000"/>
        </w:rPr>
      </w:pPr>
      <w:r>
        <w:rPr>
          <w:color w:val="000000"/>
        </w:rPr>
        <w:t xml:space="preserve">ESC noted that </w:t>
      </w:r>
      <w:r w:rsidRPr="009C02B7">
        <w:rPr>
          <w:color w:val="000000"/>
        </w:rPr>
        <w:t xml:space="preserve">the definition of the proposed medical service remains unchanged </w:t>
      </w:r>
      <w:r>
        <w:rPr>
          <w:color w:val="000000"/>
        </w:rPr>
        <w:t>from</w:t>
      </w:r>
      <w:r w:rsidRPr="009C02B7">
        <w:rPr>
          <w:color w:val="000000"/>
        </w:rPr>
        <w:t xml:space="preserve"> the original submission. The proposed item descriptor has been updated to incorporate a restriction based on the </w:t>
      </w:r>
      <w:proofErr w:type="spellStart"/>
      <w:r w:rsidR="00EC28F2">
        <w:rPr>
          <w:color w:val="000000"/>
        </w:rPr>
        <w:t>PoC</w:t>
      </w:r>
      <w:proofErr w:type="spellEnd"/>
      <w:r w:rsidRPr="009C02B7">
        <w:rPr>
          <w:color w:val="000000"/>
        </w:rPr>
        <w:t xml:space="preserve"> test device meeting generally acceptable performance criteria (i</w:t>
      </w:r>
      <w:r>
        <w:rPr>
          <w:color w:val="000000"/>
        </w:rPr>
        <w:t>.</w:t>
      </w:r>
      <w:r w:rsidRPr="009C02B7">
        <w:rPr>
          <w:color w:val="000000"/>
        </w:rPr>
        <w:t>e</w:t>
      </w:r>
      <w:r>
        <w:rPr>
          <w:color w:val="000000"/>
        </w:rPr>
        <w:t>. </w:t>
      </w:r>
      <w:r w:rsidRPr="009C02B7">
        <w:rPr>
          <w:color w:val="000000"/>
        </w:rPr>
        <w:t xml:space="preserve">a National </w:t>
      </w:r>
      <w:proofErr w:type="spellStart"/>
      <w:r w:rsidRPr="009C02B7">
        <w:rPr>
          <w:color w:val="000000"/>
        </w:rPr>
        <w:t>Glycohemoglobin</w:t>
      </w:r>
      <w:proofErr w:type="spellEnd"/>
      <w:r w:rsidRPr="009C02B7">
        <w:rPr>
          <w:color w:val="000000"/>
        </w:rPr>
        <w:t xml:space="preserve"> Standardization Program (NGSP) manufacturer </w:t>
      </w:r>
      <w:r w:rsidRPr="009C02B7">
        <w:rPr>
          <w:color w:val="000000"/>
        </w:rPr>
        <w:lastRenderedPageBreak/>
        <w:t>certification and a total coefficient of variation (CV) &lt;3.0% at 48</w:t>
      </w:r>
      <w:r>
        <w:rPr>
          <w:color w:val="000000"/>
        </w:rPr>
        <w:t> </w:t>
      </w:r>
      <w:proofErr w:type="spellStart"/>
      <w:r w:rsidRPr="009C02B7">
        <w:rPr>
          <w:color w:val="000000"/>
        </w:rPr>
        <w:t>mmol</w:t>
      </w:r>
      <w:proofErr w:type="spellEnd"/>
      <w:r w:rsidRPr="009C02B7">
        <w:rPr>
          <w:color w:val="000000"/>
        </w:rPr>
        <w:t>/</w:t>
      </w:r>
      <w:proofErr w:type="spellStart"/>
      <w:r w:rsidRPr="009C02B7">
        <w:rPr>
          <w:color w:val="000000"/>
        </w:rPr>
        <w:t>mol</w:t>
      </w:r>
      <w:proofErr w:type="spellEnd"/>
      <w:r>
        <w:rPr>
          <w:color w:val="000000"/>
        </w:rPr>
        <w:t>)</w:t>
      </w:r>
      <w:r w:rsidRPr="009C02B7">
        <w:rPr>
          <w:color w:val="000000"/>
        </w:rPr>
        <w:t>.</w:t>
      </w:r>
      <w:r>
        <w:rPr>
          <w:color w:val="000000"/>
        </w:rPr>
        <w:t xml:space="preserve"> ESC agreed with the Assessment Group that including the CV was a useful way to ensure that only suitable machines are used in this test, given the range of machines available on the market.</w:t>
      </w:r>
    </w:p>
    <w:p w14:paraId="154A93F3" w14:textId="76B09DC1" w:rsidR="009A1034" w:rsidRDefault="009A1034" w:rsidP="009A1034">
      <w:pPr>
        <w:spacing w:after="240"/>
        <w:rPr>
          <w:color w:val="000000"/>
        </w:rPr>
      </w:pPr>
      <w:r>
        <w:rPr>
          <w:color w:val="000000"/>
        </w:rPr>
        <w:t xml:space="preserve">ESC noted that </w:t>
      </w:r>
      <w:r w:rsidRPr="009C02B7">
        <w:rPr>
          <w:color w:val="000000"/>
        </w:rPr>
        <w:t xml:space="preserve">the </w:t>
      </w:r>
      <w:r w:rsidRPr="008E529E">
        <w:rPr>
          <w:color w:val="000000"/>
        </w:rPr>
        <w:t xml:space="preserve">Royal Australian College of General Practitioners </w:t>
      </w:r>
      <w:r>
        <w:rPr>
          <w:color w:val="000000"/>
        </w:rPr>
        <w:t>(</w:t>
      </w:r>
      <w:r w:rsidRPr="009C02B7">
        <w:rPr>
          <w:color w:val="000000"/>
        </w:rPr>
        <w:t>RACGP</w:t>
      </w:r>
      <w:r>
        <w:rPr>
          <w:color w:val="000000"/>
        </w:rPr>
        <w:t>)</w:t>
      </w:r>
      <w:r w:rsidRPr="009C02B7">
        <w:rPr>
          <w:color w:val="000000"/>
        </w:rPr>
        <w:t xml:space="preserve"> </w:t>
      </w:r>
      <w:proofErr w:type="spellStart"/>
      <w:r w:rsidR="00EC28F2">
        <w:rPr>
          <w:color w:val="000000"/>
        </w:rPr>
        <w:t>PoC</w:t>
      </w:r>
      <w:proofErr w:type="spellEnd"/>
      <w:r w:rsidRPr="009C02B7">
        <w:rPr>
          <w:color w:val="000000"/>
        </w:rPr>
        <w:t xml:space="preserve"> testing </w:t>
      </w:r>
      <w:r>
        <w:rPr>
          <w:color w:val="000000"/>
        </w:rPr>
        <w:t>s</w:t>
      </w:r>
      <w:r w:rsidRPr="009C02B7">
        <w:rPr>
          <w:color w:val="000000"/>
        </w:rPr>
        <w:t xml:space="preserve">tandards </w:t>
      </w:r>
      <w:r>
        <w:rPr>
          <w:color w:val="000000"/>
        </w:rPr>
        <w:t>have recently been published; further consultation with the College will be required to see how these standards are working in practice.</w:t>
      </w:r>
      <w:r w:rsidRPr="009C02B7">
        <w:rPr>
          <w:color w:val="000000"/>
        </w:rPr>
        <w:t xml:space="preserve"> </w:t>
      </w:r>
      <w:proofErr w:type="spellStart"/>
      <w:r w:rsidR="00EC28F2">
        <w:rPr>
          <w:color w:val="000000"/>
        </w:rPr>
        <w:t>PoC</w:t>
      </w:r>
      <w:proofErr w:type="spellEnd"/>
      <w:r w:rsidRPr="009C02B7">
        <w:rPr>
          <w:color w:val="000000"/>
        </w:rPr>
        <w:t xml:space="preserve"> accreditation </w:t>
      </w:r>
      <w:r>
        <w:rPr>
          <w:color w:val="000000"/>
        </w:rPr>
        <w:t>will</w:t>
      </w:r>
      <w:r w:rsidRPr="009C02B7">
        <w:rPr>
          <w:color w:val="000000"/>
        </w:rPr>
        <w:t xml:space="preserve"> be conducted as part of overall </w:t>
      </w:r>
      <w:r>
        <w:rPr>
          <w:color w:val="000000"/>
        </w:rPr>
        <w:t>GP</w:t>
      </w:r>
      <w:r w:rsidRPr="009C02B7">
        <w:rPr>
          <w:color w:val="000000"/>
        </w:rPr>
        <w:t xml:space="preserve"> </w:t>
      </w:r>
      <w:r>
        <w:rPr>
          <w:color w:val="000000"/>
        </w:rPr>
        <w:t>a</w:t>
      </w:r>
      <w:r w:rsidRPr="009C02B7">
        <w:rPr>
          <w:color w:val="000000"/>
        </w:rPr>
        <w:t>ccreditation as an optional</w:t>
      </w:r>
      <w:r w:rsidR="00F26141">
        <w:rPr>
          <w:color w:val="000000"/>
        </w:rPr>
        <w:t xml:space="preserve"> module.</w:t>
      </w:r>
      <w:r w:rsidRPr="009C02B7">
        <w:rPr>
          <w:color w:val="000000"/>
        </w:rPr>
        <w:t xml:space="preserve"> </w:t>
      </w:r>
      <w:r>
        <w:rPr>
          <w:color w:val="000000"/>
        </w:rPr>
        <w:t>ESC noted that t</w:t>
      </w:r>
      <w:r w:rsidRPr="009C02B7">
        <w:rPr>
          <w:color w:val="000000"/>
        </w:rPr>
        <w:t xml:space="preserve">he requirements </w:t>
      </w:r>
      <w:r>
        <w:rPr>
          <w:color w:val="000000"/>
        </w:rPr>
        <w:t xml:space="preserve">of </w:t>
      </w:r>
      <w:r w:rsidRPr="009C02B7">
        <w:rPr>
          <w:color w:val="000000"/>
        </w:rPr>
        <w:t xml:space="preserve">the current version of the RACGP </w:t>
      </w:r>
      <w:proofErr w:type="spellStart"/>
      <w:r w:rsidR="00EC28F2">
        <w:rPr>
          <w:color w:val="000000"/>
        </w:rPr>
        <w:t>PoC</w:t>
      </w:r>
      <w:proofErr w:type="spellEnd"/>
      <w:r w:rsidRPr="009C02B7">
        <w:rPr>
          <w:color w:val="000000"/>
        </w:rPr>
        <w:t xml:space="preserve"> testing </w:t>
      </w:r>
      <w:r>
        <w:rPr>
          <w:color w:val="000000"/>
        </w:rPr>
        <w:t>s</w:t>
      </w:r>
      <w:r w:rsidRPr="009C02B7">
        <w:rPr>
          <w:color w:val="000000"/>
        </w:rPr>
        <w:t xml:space="preserve">tandards </w:t>
      </w:r>
      <w:r>
        <w:rPr>
          <w:color w:val="000000"/>
        </w:rPr>
        <w:t>were compared with</w:t>
      </w:r>
      <w:r w:rsidRPr="009C02B7">
        <w:rPr>
          <w:color w:val="000000"/>
        </w:rPr>
        <w:t xml:space="preserve"> the National Pathology Accreditation Advisory Council (NPAAC) </w:t>
      </w:r>
      <w:proofErr w:type="spellStart"/>
      <w:r w:rsidR="00EC28F2">
        <w:rPr>
          <w:color w:val="000000"/>
        </w:rPr>
        <w:t>PoC</w:t>
      </w:r>
      <w:proofErr w:type="spellEnd"/>
      <w:r w:rsidRPr="009C02B7">
        <w:rPr>
          <w:color w:val="000000"/>
        </w:rPr>
        <w:t xml:space="preserve"> testing </w:t>
      </w:r>
      <w:r>
        <w:rPr>
          <w:color w:val="000000"/>
        </w:rPr>
        <w:t>g</w:t>
      </w:r>
      <w:r w:rsidRPr="009C02B7">
        <w:rPr>
          <w:color w:val="000000"/>
        </w:rPr>
        <w:t>uideline</w:t>
      </w:r>
      <w:r>
        <w:rPr>
          <w:color w:val="000000"/>
        </w:rPr>
        <w:t>. A</w:t>
      </w:r>
      <w:r w:rsidRPr="009C02B7">
        <w:rPr>
          <w:color w:val="000000"/>
        </w:rPr>
        <w:t xml:space="preserve">lthough the language, presentation and style are different between the two, </w:t>
      </w:r>
      <w:bookmarkStart w:id="13" w:name="_Hlk12437075"/>
      <w:r w:rsidRPr="009C02B7">
        <w:rPr>
          <w:color w:val="000000"/>
        </w:rPr>
        <w:t>the actual requirements are comparable and provide assurance of consistent quality</w:t>
      </w:r>
      <w:bookmarkEnd w:id="13"/>
      <w:r w:rsidRPr="009C02B7">
        <w:rPr>
          <w:color w:val="000000"/>
        </w:rPr>
        <w:t xml:space="preserve">. </w:t>
      </w:r>
    </w:p>
    <w:p w14:paraId="691A96E2" w14:textId="366247D3" w:rsidR="009A1034" w:rsidRPr="003B59BC" w:rsidRDefault="009A1034" w:rsidP="009A1034">
      <w:pPr>
        <w:spacing w:after="240"/>
        <w:rPr>
          <w:color w:val="000000"/>
        </w:rPr>
      </w:pPr>
      <w:r>
        <w:rPr>
          <w:color w:val="000000"/>
        </w:rPr>
        <w:t>ESC noted that t</w:t>
      </w:r>
      <w:r w:rsidRPr="003B59BC">
        <w:rPr>
          <w:color w:val="000000"/>
        </w:rPr>
        <w:t xml:space="preserve">he base-case result </w:t>
      </w:r>
      <w:r>
        <w:rPr>
          <w:color w:val="000000"/>
        </w:rPr>
        <w:t xml:space="preserve">in the original submission </w:t>
      </w:r>
      <w:r w:rsidRPr="003B59BC">
        <w:rPr>
          <w:color w:val="000000"/>
        </w:rPr>
        <w:t xml:space="preserve">showed HbA1c </w:t>
      </w:r>
      <w:proofErr w:type="spellStart"/>
      <w:r w:rsidR="00EC28F2">
        <w:rPr>
          <w:color w:val="000000"/>
        </w:rPr>
        <w:t>PoC</w:t>
      </w:r>
      <w:proofErr w:type="spellEnd"/>
      <w:r w:rsidRPr="003B59BC">
        <w:rPr>
          <w:color w:val="000000"/>
        </w:rPr>
        <w:t xml:space="preserve"> testing to be dominant (</w:t>
      </w:r>
      <w:r>
        <w:rPr>
          <w:color w:val="000000"/>
        </w:rPr>
        <w:t>i.e. </w:t>
      </w:r>
      <w:r w:rsidRPr="003B59BC">
        <w:rPr>
          <w:color w:val="000000"/>
        </w:rPr>
        <w:t xml:space="preserve">more effective and less costly) than HbA1c pathology laboratory testing (ICER </w:t>
      </w:r>
      <w:r>
        <w:rPr>
          <w:color w:val="000000"/>
        </w:rPr>
        <w:t>–</w:t>
      </w:r>
      <w:r w:rsidRPr="003B59BC">
        <w:rPr>
          <w:color w:val="000000"/>
        </w:rPr>
        <w:t>$31,747 per QALY gained)</w:t>
      </w:r>
      <w:r>
        <w:rPr>
          <w:color w:val="000000"/>
        </w:rPr>
        <w:t>. However,</w:t>
      </w:r>
      <w:r w:rsidRPr="003B59BC">
        <w:rPr>
          <w:color w:val="000000"/>
        </w:rPr>
        <w:t xml:space="preserve"> </w:t>
      </w:r>
      <w:r>
        <w:rPr>
          <w:color w:val="000000"/>
        </w:rPr>
        <w:t xml:space="preserve">MSAC considered that </w:t>
      </w:r>
      <w:r w:rsidRPr="003B59BC">
        <w:rPr>
          <w:color w:val="000000"/>
        </w:rPr>
        <w:t xml:space="preserve">there was uncertainty around the assumption that HbA1c </w:t>
      </w:r>
      <w:proofErr w:type="spellStart"/>
      <w:r w:rsidR="00EC28F2">
        <w:rPr>
          <w:color w:val="000000"/>
        </w:rPr>
        <w:t>PoC</w:t>
      </w:r>
      <w:proofErr w:type="spellEnd"/>
      <w:r w:rsidRPr="003B59BC">
        <w:rPr>
          <w:color w:val="000000"/>
        </w:rPr>
        <w:t xml:space="preserve"> testing would lead to a reduction in GP visits. </w:t>
      </w:r>
      <w:r>
        <w:rPr>
          <w:color w:val="000000"/>
        </w:rPr>
        <w:t>ESC recalled that the</w:t>
      </w:r>
      <w:r w:rsidRPr="003B59BC">
        <w:rPr>
          <w:color w:val="000000"/>
        </w:rPr>
        <w:t xml:space="preserve"> additional analysis of the economic model run by MSAC</w:t>
      </w:r>
      <w:r>
        <w:rPr>
          <w:color w:val="000000"/>
        </w:rPr>
        <w:t xml:space="preserve"> during its consideration of the original submission</w:t>
      </w:r>
      <w:r w:rsidRPr="003B59BC">
        <w:rPr>
          <w:color w:val="000000"/>
        </w:rPr>
        <w:t xml:space="preserve"> </w:t>
      </w:r>
      <w:r>
        <w:rPr>
          <w:color w:val="000000"/>
        </w:rPr>
        <w:t>showed</w:t>
      </w:r>
      <w:r w:rsidRPr="003B59BC">
        <w:rPr>
          <w:color w:val="000000"/>
        </w:rPr>
        <w:t xml:space="preserve"> no differences in hospital and pharmaceutical costs based on the non-significant cost difference results from the </w:t>
      </w:r>
      <w:proofErr w:type="spellStart"/>
      <w:r w:rsidR="00EC28F2">
        <w:rPr>
          <w:color w:val="000000"/>
        </w:rPr>
        <w:t>PoC</w:t>
      </w:r>
      <w:proofErr w:type="spellEnd"/>
      <w:r>
        <w:rPr>
          <w:color w:val="000000"/>
        </w:rPr>
        <w:t xml:space="preserve"> test</w:t>
      </w:r>
      <w:r w:rsidRPr="003B59BC">
        <w:rPr>
          <w:color w:val="000000"/>
        </w:rPr>
        <w:t xml:space="preserve"> GP </w:t>
      </w:r>
      <w:r>
        <w:rPr>
          <w:color w:val="000000"/>
        </w:rPr>
        <w:t>t</w:t>
      </w:r>
      <w:r w:rsidRPr="003B59BC">
        <w:rPr>
          <w:color w:val="000000"/>
        </w:rPr>
        <w:t xml:space="preserve">rial. </w:t>
      </w:r>
    </w:p>
    <w:p w14:paraId="3C1B527D" w14:textId="736A2FEF" w:rsidR="009A1034" w:rsidRPr="003B59BC" w:rsidRDefault="009A1034" w:rsidP="009A1034">
      <w:pPr>
        <w:spacing w:after="120"/>
        <w:rPr>
          <w:color w:val="000000"/>
        </w:rPr>
      </w:pPr>
      <w:r>
        <w:rPr>
          <w:color w:val="000000"/>
        </w:rPr>
        <w:t>ESC noted that MSAC requested t</w:t>
      </w:r>
      <w:r w:rsidRPr="003B59BC">
        <w:rPr>
          <w:color w:val="000000"/>
        </w:rPr>
        <w:t xml:space="preserve">he economic model </w:t>
      </w:r>
      <w:r>
        <w:rPr>
          <w:color w:val="000000"/>
        </w:rPr>
        <w:t xml:space="preserve">in the original submission be updated to </w:t>
      </w:r>
      <w:r w:rsidRPr="003B59BC">
        <w:rPr>
          <w:color w:val="000000"/>
        </w:rPr>
        <w:t>incorporat</w:t>
      </w:r>
      <w:r>
        <w:rPr>
          <w:color w:val="000000"/>
        </w:rPr>
        <w:t>e</w:t>
      </w:r>
      <w:r w:rsidRPr="003B59BC">
        <w:rPr>
          <w:color w:val="000000"/>
        </w:rPr>
        <w:t xml:space="preserve"> a reduced test fee. In response to MSAC’s request, the economic evaluation has been amended</w:t>
      </w:r>
      <w:r>
        <w:rPr>
          <w:color w:val="000000"/>
        </w:rPr>
        <w:t xml:space="preserve"> in the resubmission</w:t>
      </w:r>
      <w:r w:rsidRPr="003B59BC">
        <w:rPr>
          <w:color w:val="000000"/>
        </w:rPr>
        <w:t xml:space="preserve"> to a cost-minimisation analysis</w:t>
      </w:r>
      <w:r>
        <w:rPr>
          <w:color w:val="000000"/>
        </w:rPr>
        <w:t>. A</w:t>
      </w:r>
      <w:r w:rsidRPr="003B59BC">
        <w:rPr>
          <w:color w:val="000000"/>
        </w:rPr>
        <w:t xml:space="preserve"> cost-utility analysis </w:t>
      </w:r>
      <w:r>
        <w:rPr>
          <w:color w:val="000000"/>
        </w:rPr>
        <w:t xml:space="preserve">was also </w:t>
      </w:r>
      <w:r w:rsidRPr="003B59BC">
        <w:rPr>
          <w:color w:val="000000"/>
        </w:rPr>
        <w:t>presented as a sensitivity analysis</w:t>
      </w:r>
      <w:r>
        <w:rPr>
          <w:color w:val="000000"/>
        </w:rPr>
        <w:t>,</w:t>
      </w:r>
      <w:r w:rsidRPr="003B59BC">
        <w:rPr>
          <w:color w:val="000000"/>
        </w:rPr>
        <w:t xml:space="preserve"> as </w:t>
      </w:r>
      <w:proofErr w:type="spellStart"/>
      <w:r w:rsidR="00EC28F2">
        <w:rPr>
          <w:color w:val="000000"/>
        </w:rPr>
        <w:t>PoC</w:t>
      </w:r>
      <w:proofErr w:type="spellEnd"/>
      <w:r w:rsidRPr="003B59BC">
        <w:rPr>
          <w:color w:val="000000"/>
        </w:rPr>
        <w:t xml:space="preserve"> HbA1c testing has been proven to increase control of diabetes. </w:t>
      </w:r>
      <w:r>
        <w:rPr>
          <w:color w:val="000000"/>
        </w:rPr>
        <w:t>Key changes to the model included:</w:t>
      </w:r>
    </w:p>
    <w:p w14:paraId="7F385EF2" w14:textId="4B4F9B6A" w:rsidR="009A1034" w:rsidRPr="003B59BC" w:rsidRDefault="009A1034" w:rsidP="009A1034">
      <w:pPr>
        <w:pStyle w:val="ListParagraph"/>
        <w:numPr>
          <w:ilvl w:val="0"/>
          <w:numId w:val="26"/>
        </w:numPr>
        <w:spacing w:after="240"/>
      </w:pPr>
      <w:r w:rsidRPr="003B59BC">
        <w:t xml:space="preserve">for the </w:t>
      </w:r>
      <w:proofErr w:type="spellStart"/>
      <w:r w:rsidR="00EC28F2">
        <w:t>PoC</w:t>
      </w:r>
      <w:proofErr w:type="spellEnd"/>
      <w:r w:rsidRPr="003B59BC">
        <w:t xml:space="preserve"> testing arm, the number of tests per year </w:t>
      </w:r>
      <w:r>
        <w:t>was</w:t>
      </w:r>
      <w:r w:rsidRPr="003B59BC">
        <w:t xml:space="preserve"> modified to align with the cap of three </w:t>
      </w:r>
      <w:proofErr w:type="spellStart"/>
      <w:r w:rsidR="00EC28F2">
        <w:t>PoC</w:t>
      </w:r>
      <w:proofErr w:type="spellEnd"/>
      <w:r w:rsidRPr="003B59BC">
        <w:t xml:space="preserve"> tests per year in the updated proposed MBS item descriptor and included costs for a fourth HbA1c test taking place via pathology laboratory testing</w:t>
      </w:r>
      <w:r>
        <w:t>;</w:t>
      </w:r>
      <w:r w:rsidRPr="003B59BC">
        <w:t xml:space="preserve"> </w:t>
      </w:r>
      <w:r>
        <w:t>a</w:t>
      </w:r>
      <w:r w:rsidRPr="003B59BC">
        <w:t>s such, the 34% coning rate was applied to one HbA1c pathology laboratory test per year</w:t>
      </w:r>
    </w:p>
    <w:p w14:paraId="309F6C71" w14:textId="77777777" w:rsidR="009A1034" w:rsidRPr="003B59BC" w:rsidRDefault="009A1034" w:rsidP="009A1034">
      <w:pPr>
        <w:pStyle w:val="ListParagraph"/>
        <w:numPr>
          <w:ilvl w:val="0"/>
          <w:numId w:val="26"/>
        </w:numPr>
        <w:spacing w:after="240"/>
      </w:pPr>
      <w:r w:rsidRPr="003B59BC">
        <w:t>in the original submission</w:t>
      </w:r>
      <w:r>
        <w:t>,</w:t>
      </w:r>
      <w:r w:rsidRPr="003B59BC">
        <w:t xml:space="preserve"> all pathology laboratory tests</w:t>
      </w:r>
      <w:r>
        <w:t xml:space="preserve"> (MBS item 66551)</w:t>
      </w:r>
      <w:r w:rsidRPr="003B59BC">
        <w:t xml:space="preserve"> were assumed to be subject to coning</w:t>
      </w:r>
      <w:r>
        <w:t>;</w:t>
      </w:r>
      <w:r w:rsidRPr="003B59BC">
        <w:t xml:space="preserve"> however</w:t>
      </w:r>
      <w:r>
        <w:t>,</w:t>
      </w:r>
      <w:r w:rsidRPr="003B59BC">
        <w:t xml:space="preserve"> in th</w:t>
      </w:r>
      <w:r>
        <w:t>e</w:t>
      </w:r>
      <w:r w:rsidRPr="003B59BC">
        <w:t xml:space="preserve"> resubmission it was assumed that only one of these tests </w:t>
      </w:r>
      <w:r>
        <w:t xml:space="preserve">per year </w:t>
      </w:r>
      <w:r w:rsidRPr="003B59BC">
        <w:t>was subject to coning</w:t>
      </w:r>
      <w:r>
        <w:t>, resulting in the MBS-listed price of $16.80 reduced by 34% for one of the pathology laboratory tests of each model arm</w:t>
      </w:r>
      <w:r w:rsidRPr="003B59BC">
        <w:t xml:space="preserve"> (per advice from the post-</w:t>
      </w:r>
      <w:r>
        <w:t xml:space="preserve">MSAC </w:t>
      </w:r>
      <w:r w:rsidRPr="003B59BC">
        <w:t>debrief in November 2017)</w:t>
      </w:r>
      <w:r>
        <w:t xml:space="preserve">. </w:t>
      </w:r>
    </w:p>
    <w:p w14:paraId="6F0FEEB5" w14:textId="77777777" w:rsidR="009A1034" w:rsidRPr="003B59BC" w:rsidRDefault="009A1034" w:rsidP="009A1034">
      <w:pPr>
        <w:pStyle w:val="ListParagraph"/>
        <w:numPr>
          <w:ilvl w:val="0"/>
          <w:numId w:val="26"/>
        </w:numPr>
        <w:spacing w:after="240"/>
      </w:pPr>
      <w:r w:rsidRPr="003B59BC">
        <w:t>costs associated with GP visits were removed as these were assumed to be neutral across both groups</w:t>
      </w:r>
      <w:r>
        <w:t xml:space="preserve"> </w:t>
      </w:r>
    </w:p>
    <w:p w14:paraId="514596C8" w14:textId="77777777" w:rsidR="009A1034" w:rsidRPr="003B59BC" w:rsidRDefault="009A1034" w:rsidP="009A1034">
      <w:pPr>
        <w:pStyle w:val="ListParagraph"/>
        <w:numPr>
          <w:ilvl w:val="0"/>
          <w:numId w:val="26"/>
        </w:numPr>
        <w:spacing w:after="240"/>
      </w:pPr>
      <w:proofErr w:type="gramStart"/>
      <w:r w:rsidRPr="003B59BC">
        <w:t>pharmaceutical</w:t>
      </w:r>
      <w:proofErr w:type="gramEnd"/>
      <w:r>
        <w:t>-</w:t>
      </w:r>
      <w:r w:rsidRPr="003B59BC">
        <w:t xml:space="preserve"> and hospital</w:t>
      </w:r>
      <w:r>
        <w:t>-</w:t>
      </w:r>
      <w:r w:rsidRPr="003B59BC">
        <w:t>related costs were removed</w:t>
      </w:r>
      <w:r>
        <w:t>.</w:t>
      </w:r>
    </w:p>
    <w:p w14:paraId="75B64866" w14:textId="77777777" w:rsidR="009A1034" w:rsidRPr="003B59BC" w:rsidRDefault="009A1034" w:rsidP="009A1034">
      <w:pPr>
        <w:spacing w:after="120"/>
        <w:rPr>
          <w:color w:val="000000"/>
        </w:rPr>
      </w:pPr>
      <w:r w:rsidRPr="003B59BC">
        <w:rPr>
          <w:color w:val="000000"/>
        </w:rPr>
        <w:t>The updated economic evaluat</w:t>
      </w:r>
      <w:r>
        <w:rPr>
          <w:color w:val="000000"/>
        </w:rPr>
        <w:t>ion was simplified to two steps:</w:t>
      </w:r>
    </w:p>
    <w:p w14:paraId="6D0477C6" w14:textId="480A1802" w:rsidR="009A1034" w:rsidRPr="003B59BC" w:rsidRDefault="009A1034" w:rsidP="009A1034">
      <w:pPr>
        <w:pStyle w:val="ListParagraph"/>
        <w:numPr>
          <w:ilvl w:val="0"/>
          <w:numId w:val="26"/>
        </w:numPr>
        <w:spacing w:after="240"/>
      </w:pPr>
      <w:r w:rsidRPr="003B59BC">
        <w:t>Step 1 – a trial-based cost-minimisation model (</w:t>
      </w:r>
      <w:r>
        <w:t>i.e. </w:t>
      </w:r>
      <w:r w:rsidRPr="003B59BC">
        <w:t xml:space="preserve">derived from the </w:t>
      </w:r>
      <w:proofErr w:type="spellStart"/>
      <w:r w:rsidR="00EC28F2">
        <w:t>PoC</w:t>
      </w:r>
      <w:proofErr w:type="spellEnd"/>
      <w:r w:rsidRPr="003B59BC">
        <w:t xml:space="preserve"> test GP trial results over 18</w:t>
      </w:r>
      <w:r>
        <w:t> </w:t>
      </w:r>
      <w:r w:rsidRPr="003B59BC">
        <w:t>months) yielding an incremental cost</w:t>
      </w:r>
    </w:p>
    <w:p w14:paraId="5F73D78C" w14:textId="4647F126" w:rsidR="009A1034" w:rsidRPr="003B59BC" w:rsidRDefault="009A1034" w:rsidP="009A1034">
      <w:pPr>
        <w:pStyle w:val="ListParagraph"/>
        <w:numPr>
          <w:ilvl w:val="0"/>
          <w:numId w:val="26"/>
        </w:numPr>
        <w:spacing w:after="240"/>
      </w:pPr>
      <w:r w:rsidRPr="003B59BC">
        <w:t>Step 2 – a cost-minimisation model (</w:t>
      </w:r>
      <w:r>
        <w:t>i.e. </w:t>
      </w:r>
      <w:r w:rsidRPr="003B59BC">
        <w:t xml:space="preserve">derived from the </w:t>
      </w:r>
      <w:proofErr w:type="spellStart"/>
      <w:r w:rsidR="00EC28F2">
        <w:t>PoC</w:t>
      </w:r>
      <w:proofErr w:type="spellEnd"/>
      <w:r w:rsidRPr="003B59BC">
        <w:t xml:space="preserve"> test GP trial</w:t>
      </w:r>
      <w:r>
        <w:t xml:space="preserve"> results</w:t>
      </w:r>
      <w:r w:rsidRPr="003B59BC">
        <w:t xml:space="preserve"> over 18</w:t>
      </w:r>
      <w:r>
        <w:t> </w:t>
      </w:r>
      <w:r w:rsidRPr="003B59BC">
        <w:t>months and extrapolated to 3</w:t>
      </w:r>
      <w:r>
        <w:t> </w:t>
      </w:r>
      <w:r w:rsidRPr="003B59BC">
        <w:t xml:space="preserve">years) yielding an incremental cost. </w:t>
      </w:r>
    </w:p>
    <w:p w14:paraId="7A20EFFF" w14:textId="50FB1246" w:rsidR="009A1034" w:rsidRPr="00BF1859" w:rsidRDefault="009A1034" w:rsidP="009A1034">
      <w:pPr>
        <w:spacing w:after="240"/>
        <w:rPr>
          <w:color w:val="000000"/>
        </w:rPr>
      </w:pPr>
      <w:r w:rsidRPr="00BF1859">
        <w:rPr>
          <w:color w:val="000000"/>
        </w:rPr>
        <w:t xml:space="preserve">ESC confirmed that </w:t>
      </w:r>
      <w:r>
        <w:rPr>
          <w:color w:val="000000"/>
        </w:rPr>
        <w:t>the cost-minimisation approach</w:t>
      </w:r>
      <w:r w:rsidRPr="00BF1859">
        <w:rPr>
          <w:color w:val="000000"/>
        </w:rPr>
        <w:t xml:space="preserve"> </w:t>
      </w:r>
      <w:r>
        <w:rPr>
          <w:color w:val="000000"/>
        </w:rPr>
        <w:t>was</w:t>
      </w:r>
      <w:r w:rsidRPr="00BF1859">
        <w:rPr>
          <w:color w:val="000000"/>
        </w:rPr>
        <w:t xml:space="preserve"> appropriate</w:t>
      </w:r>
      <w:r>
        <w:rPr>
          <w:color w:val="000000"/>
        </w:rPr>
        <w:t>,</w:t>
      </w:r>
      <w:r w:rsidRPr="00BF1859">
        <w:rPr>
          <w:color w:val="000000"/>
        </w:rPr>
        <w:t xml:space="preserve"> a</w:t>
      </w:r>
      <w:r>
        <w:rPr>
          <w:color w:val="000000"/>
        </w:rPr>
        <w:t>s</w:t>
      </w:r>
      <w:r w:rsidRPr="00BF1859">
        <w:rPr>
          <w:color w:val="000000"/>
        </w:rPr>
        <w:t xml:space="preserve"> request</w:t>
      </w:r>
      <w:r>
        <w:rPr>
          <w:color w:val="000000"/>
        </w:rPr>
        <w:t>ed by</w:t>
      </w:r>
      <w:r w:rsidRPr="00BF1859">
        <w:rPr>
          <w:color w:val="000000"/>
        </w:rPr>
        <w:t xml:space="preserve"> MSAC.</w:t>
      </w:r>
      <w:r>
        <w:rPr>
          <w:color w:val="000000"/>
        </w:rPr>
        <w:t xml:space="preserve"> ESC advised that, from this cost-minimisation analysis, the </w:t>
      </w:r>
      <w:proofErr w:type="spellStart"/>
      <w:r w:rsidR="00EC28F2">
        <w:rPr>
          <w:color w:val="000000"/>
        </w:rPr>
        <w:t>PoC</w:t>
      </w:r>
      <w:proofErr w:type="spellEnd"/>
      <w:r>
        <w:rPr>
          <w:color w:val="000000"/>
        </w:rPr>
        <w:t xml:space="preserve"> test would only be cheaper than the laboratory test if MSAC accepts the assumption that only one laboratory test per year is subject to coning.</w:t>
      </w:r>
    </w:p>
    <w:p w14:paraId="5CA3F72E" w14:textId="77777777" w:rsidR="009A1034" w:rsidRDefault="009A1034" w:rsidP="009A1034">
      <w:pPr>
        <w:spacing w:after="240"/>
        <w:rPr>
          <w:color w:val="000000"/>
        </w:rPr>
      </w:pPr>
      <w:r>
        <w:rPr>
          <w:color w:val="000000"/>
        </w:rPr>
        <w:lastRenderedPageBreak/>
        <w:t xml:space="preserve">ESC recalled that </w:t>
      </w:r>
      <w:r w:rsidRPr="00614E79">
        <w:rPr>
          <w:color w:val="000000"/>
        </w:rPr>
        <w:t xml:space="preserve">MSAC suggested a reduced fee (or further justification of the proposed test fee </w:t>
      </w:r>
      <w:r>
        <w:rPr>
          <w:color w:val="000000"/>
        </w:rPr>
        <w:t>compared to the</w:t>
      </w:r>
      <w:r w:rsidRPr="00614E79">
        <w:rPr>
          <w:color w:val="000000"/>
        </w:rPr>
        <w:t xml:space="preserve"> laboratory test fee) be presented in the resubmission</w:t>
      </w:r>
      <w:r>
        <w:rPr>
          <w:color w:val="000000"/>
        </w:rPr>
        <w:t>.</w:t>
      </w:r>
      <w:r w:rsidRPr="00614E79">
        <w:rPr>
          <w:color w:val="000000"/>
        </w:rPr>
        <w:t xml:space="preserve"> </w:t>
      </w:r>
      <w:r>
        <w:rPr>
          <w:color w:val="000000"/>
        </w:rPr>
        <w:t>I</w:t>
      </w:r>
      <w:r w:rsidRPr="00614E79">
        <w:rPr>
          <w:color w:val="000000"/>
        </w:rPr>
        <w:t>n alignment with this recommendation</w:t>
      </w:r>
      <w:r>
        <w:rPr>
          <w:color w:val="000000"/>
        </w:rPr>
        <w:t>,</w:t>
      </w:r>
      <w:r w:rsidRPr="00614E79">
        <w:rPr>
          <w:color w:val="000000"/>
        </w:rPr>
        <w:t xml:space="preserve"> the new test cost </w:t>
      </w:r>
      <w:r>
        <w:rPr>
          <w:color w:val="000000"/>
        </w:rPr>
        <w:t>was</w:t>
      </w:r>
      <w:r w:rsidRPr="00614E79">
        <w:rPr>
          <w:color w:val="000000"/>
        </w:rPr>
        <w:t xml:space="preserve"> reduced to $22.60, a $0.20 saving compared to the current pathology laboratory testing fee (pathology test fee = $22.80). </w:t>
      </w:r>
      <w:r>
        <w:rPr>
          <w:color w:val="000000"/>
        </w:rPr>
        <w:t>ESC noted that t</w:t>
      </w:r>
      <w:r w:rsidRPr="00614E79">
        <w:rPr>
          <w:color w:val="000000"/>
        </w:rPr>
        <w:t>he proposed fee was calculated based on the costs of meeting quality assurance</w:t>
      </w:r>
      <w:r>
        <w:rPr>
          <w:color w:val="000000"/>
        </w:rPr>
        <w:t xml:space="preserve"> (QA)</w:t>
      </w:r>
      <w:r w:rsidRPr="00614E79">
        <w:rPr>
          <w:color w:val="000000"/>
        </w:rPr>
        <w:t>, training and accreditation requirements.</w:t>
      </w:r>
    </w:p>
    <w:p w14:paraId="194E8F22" w14:textId="77777777" w:rsidR="009A1034" w:rsidRDefault="009A1034" w:rsidP="009A1034">
      <w:pPr>
        <w:spacing w:after="240"/>
        <w:rPr>
          <w:color w:val="000000"/>
        </w:rPr>
      </w:pPr>
      <w:r>
        <w:rPr>
          <w:color w:val="000000"/>
        </w:rPr>
        <w:t xml:space="preserve">However, the </w:t>
      </w:r>
      <w:r w:rsidR="00031241">
        <w:rPr>
          <w:color w:val="000000"/>
        </w:rPr>
        <w:t>Critique</w:t>
      </w:r>
      <w:r>
        <w:rPr>
          <w:color w:val="000000"/>
        </w:rPr>
        <w:t xml:space="preserve"> noted that a</w:t>
      </w:r>
      <w:r w:rsidRPr="00614E79">
        <w:rPr>
          <w:color w:val="000000"/>
        </w:rPr>
        <w:t>lthough this might be appropriate, the majority of these costs were not evidence-based estimates (rather</w:t>
      </w:r>
      <w:r>
        <w:rPr>
          <w:color w:val="000000"/>
        </w:rPr>
        <w:t xml:space="preserve">, </w:t>
      </w:r>
      <w:r w:rsidRPr="00614E79">
        <w:rPr>
          <w:color w:val="000000"/>
        </w:rPr>
        <w:t>based on assumption</w:t>
      </w:r>
      <w:r>
        <w:rPr>
          <w:color w:val="000000"/>
        </w:rPr>
        <w:t>s</w:t>
      </w:r>
      <w:r w:rsidRPr="00614E79">
        <w:rPr>
          <w:color w:val="000000"/>
        </w:rPr>
        <w:t>, which could not be verified).</w:t>
      </w:r>
    </w:p>
    <w:p w14:paraId="75D5C2A5" w14:textId="77777777" w:rsidR="009A1034" w:rsidRPr="00614E79" w:rsidRDefault="009A1034" w:rsidP="009A1034">
      <w:pPr>
        <w:spacing w:after="120"/>
        <w:rPr>
          <w:color w:val="000000"/>
        </w:rPr>
      </w:pPr>
      <w:r>
        <w:rPr>
          <w:color w:val="000000"/>
        </w:rPr>
        <w:t>ESC noted the</w:t>
      </w:r>
      <w:r w:rsidRPr="00614E79">
        <w:rPr>
          <w:color w:val="000000"/>
        </w:rPr>
        <w:t xml:space="preserve"> rationale </w:t>
      </w:r>
      <w:r>
        <w:rPr>
          <w:color w:val="000000"/>
        </w:rPr>
        <w:t xml:space="preserve">used </w:t>
      </w:r>
      <w:r w:rsidRPr="00614E79">
        <w:rPr>
          <w:color w:val="000000"/>
        </w:rPr>
        <w:t>for estimati</w:t>
      </w:r>
      <w:r>
        <w:rPr>
          <w:color w:val="000000"/>
        </w:rPr>
        <w:t>ng</w:t>
      </w:r>
      <w:r w:rsidRPr="00614E79">
        <w:rPr>
          <w:color w:val="000000"/>
        </w:rPr>
        <w:t xml:space="preserve"> the updated test cost</w:t>
      </w:r>
      <w:r>
        <w:rPr>
          <w:color w:val="000000"/>
        </w:rPr>
        <w:t>s, as follows</w:t>
      </w:r>
      <w:r w:rsidRPr="00614E79">
        <w:rPr>
          <w:color w:val="000000"/>
        </w:rPr>
        <w:t>:</w:t>
      </w:r>
    </w:p>
    <w:p w14:paraId="24993618" w14:textId="09FDFD97" w:rsidR="009A1034" w:rsidRPr="00614E79" w:rsidRDefault="009A1034" w:rsidP="009A1034">
      <w:pPr>
        <w:pStyle w:val="ListParagraph"/>
        <w:numPr>
          <w:ilvl w:val="0"/>
          <w:numId w:val="26"/>
        </w:numPr>
        <w:spacing w:after="240"/>
      </w:pPr>
      <w:r>
        <w:t>it was a</w:t>
      </w:r>
      <w:r w:rsidRPr="00614E79">
        <w:t>ssum</w:t>
      </w:r>
      <w:r>
        <w:t>ed</w:t>
      </w:r>
      <w:r w:rsidRPr="00614E79">
        <w:t xml:space="preserve"> that GPs open 6 days </w:t>
      </w:r>
      <w:r>
        <w:t xml:space="preserve">a week </w:t>
      </w:r>
      <w:r w:rsidRPr="00614E79">
        <w:t>rather than 5</w:t>
      </w:r>
      <w:r>
        <w:t> </w:t>
      </w:r>
      <w:r w:rsidRPr="00614E79">
        <w:t xml:space="preserve">days and would use the HbA1c </w:t>
      </w:r>
      <w:proofErr w:type="spellStart"/>
      <w:r w:rsidR="00EC28F2">
        <w:t>PoC</w:t>
      </w:r>
      <w:proofErr w:type="spellEnd"/>
      <w:r w:rsidRPr="00614E79">
        <w:t xml:space="preserve"> test once daily, thereby increasing the number of tests conducted per year to 312 in the resubmission (compared with 260 in previous SBA) </w:t>
      </w:r>
    </w:p>
    <w:p w14:paraId="24BCFDD4" w14:textId="0433B34F" w:rsidR="009A1034" w:rsidRPr="00614E79" w:rsidRDefault="009A1034" w:rsidP="009A1034">
      <w:pPr>
        <w:pStyle w:val="ListParagraph"/>
        <w:numPr>
          <w:ilvl w:val="0"/>
          <w:numId w:val="26"/>
        </w:numPr>
        <w:spacing w:after="240"/>
      </w:pPr>
      <w:r w:rsidRPr="00614E79">
        <w:t xml:space="preserve">the cost of the device </w:t>
      </w:r>
      <w:r>
        <w:t>was a</w:t>
      </w:r>
      <w:r w:rsidRPr="00614E79">
        <w:t>mend</w:t>
      </w:r>
      <w:r>
        <w:t>ed</w:t>
      </w:r>
      <w:r w:rsidRPr="00614E79">
        <w:t xml:space="preserve"> to be amortised over </w:t>
      </w:r>
      <w:r>
        <w:t>5 </w:t>
      </w:r>
      <w:r w:rsidRPr="00614E79">
        <w:t>years (i.e.</w:t>
      </w:r>
      <w:r>
        <w:t> </w:t>
      </w:r>
      <w:r w:rsidRPr="00614E79">
        <w:t xml:space="preserve">$600 annually) based on the real-world life cycle of the </w:t>
      </w:r>
      <w:proofErr w:type="spellStart"/>
      <w:r w:rsidR="00EC28F2">
        <w:t>PoC</w:t>
      </w:r>
      <w:proofErr w:type="spellEnd"/>
      <w:r w:rsidRPr="00614E79">
        <w:t xml:space="preserve"> testing machines </w:t>
      </w:r>
    </w:p>
    <w:p w14:paraId="01626FF5" w14:textId="77777777" w:rsidR="009A1034" w:rsidRPr="00614E79" w:rsidRDefault="009A1034" w:rsidP="009A1034">
      <w:pPr>
        <w:pStyle w:val="ListParagraph"/>
        <w:numPr>
          <w:ilvl w:val="0"/>
          <w:numId w:val="26"/>
        </w:numPr>
        <w:spacing w:after="240"/>
      </w:pPr>
      <w:r>
        <w:t>t</w:t>
      </w:r>
      <w:r w:rsidRPr="00614E79">
        <w:t xml:space="preserve">raining costs were reduced to $240 (from $280 in the previous SBA) </w:t>
      </w:r>
    </w:p>
    <w:p w14:paraId="386DB77C" w14:textId="77777777" w:rsidR="009A1034" w:rsidRPr="00614E79" w:rsidRDefault="009A1034" w:rsidP="009A1034">
      <w:pPr>
        <w:pStyle w:val="ListParagraph"/>
        <w:numPr>
          <w:ilvl w:val="0"/>
          <w:numId w:val="26"/>
        </w:numPr>
        <w:spacing w:after="240"/>
      </w:pPr>
      <w:r w:rsidRPr="00614E79">
        <w:t>QA program costs were reduced to $330 (from $420 in the previous SBA)</w:t>
      </w:r>
    </w:p>
    <w:p w14:paraId="6424F3B3" w14:textId="77777777" w:rsidR="009A1034" w:rsidRPr="00614E79" w:rsidRDefault="009A1034" w:rsidP="009A1034">
      <w:pPr>
        <w:pStyle w:val="ListParagraph"/>
        <w:numPr>
          <w:ilvl w:val="0"/>
          <w:numId w:val="26"/>
        </w:numPr>
        <w:spacing w:after="240"/>
      </w:pPr>
      <w:proofErr w:type="gramStart"/>
      <w:r>
        <w:t>cost</w:t>
      </w:r>
      <w:proofErr w:type="gramEnd"/>
      <w:r>
        <w:t xml:space="preserve"> of c</w:t>
      </w:r>
      <w:r w:rsidRPr="00614E79">
        <w:t xml:space="preserve">onsumables per test </w:t>
      </w:r>
      <w:r>
        <w:t xml:space="preserve">was </w:t>
      </w:r>
      <w:r w:rsidRPr="00614E79">
        <w:t>reduced to $10 (from $11 in previous SBA).</w:t>
      </w:r>
    </w:p>
    <w:p w14:paraId="78A615A8" w14:textId="6D34FBF3" w:rsidR="009A1034" w:rsidRDefault="009A1034" w:rsidP="009A1034">
      <w:pPr>
        <w:spacing w:after="240"/>
        <w:rPr>
          <w:color w:val="000000"/>
        </w:rPr>
      </w:pPr>
      <w:r w:rsidRPr="00BF2EA8">
        <w:rPr>
          <w:color w:val="000000"/>
        </w:rPr>
        <w:t xml:space="preserve">However, </w:t>
      </w:r>
      <w:r>
        <w:rPr>
          <w:color w:val="000000"/>
        </w:rPr>
        <w:t xml:space="preserve">ESC noted that amortising the cost of the device over 5 years </w:t>
      </w:r>
      <w:r w:rsidRPr="00BF2EA8">
        <w:rPr>
          <w:color w:val="000000"/>
        </w:rPr>
        <w:t xml:space="preserve">was not appropriate for the base-case economic evaluation as the full cost of the device would not be captured in </w:t>
      </w:r>
      <w:r>
        <w:rPr>
          <w:color w:val="000000"/>
        </w:rPr>
        <w:t>the model’s</w:t>
      </w:r>
      <w:r w:rsidRPr="00BF2EA8">
        <w:rPr>
          <w:color w:val="000000"/>
        </w:rPr>
        <w:t xml:space="preserve"> </w:t>
      </w:r>
      <w:r>
        <w:rPr>
          <w:color w:val="000000"/>
        </w:rPr>
        <w:t>3</w:t>
      </w:r>
      <w:r w:rsidRPr="00BF2EA8">
        <w:rPr>
          <w:color w:val="000000"/>
        </w:rPr>
        <w:t>-year time horizon (</w:t>
      </w:r>
      <w:r>
        <w:rPr>
          <w:color w:val="000000"/>
        </w:rPr>
        <w:t xml:space="preserve">which </w:t>
      </w:r>
      <w:r w:rsidRPr="00BF2EA8">
        <w:rPr>
          <w:color w:val="000000"/>
        </w:rPr>
        <w:t xml:space="preserve">favoured HbA1c </w:t>
      </w:r>
      <w:proofErr w:type="spellStart"/>
      <w:r w:rsidR="00EC28F2">
        <w:rPr>
          <w:color w:val="000000"/>
        </w:rPr>
        <w:t>PoC</w:t>
      </w:r>
      <w:proofErr w:type="spellEnd"/>
      <w:r w:rsidRPr="00BF2EA8">
        <w:rPr>
          <w:color w:val="000000"/>
        </w:rPr>
        <w:t xml:space="preserve"> testing). Amending the cost of the device to be amortised over </w:t>
      </w:r>
      <w:r>
        <w:rPr>
          <w:color w:val="000000"/>
        </w:rPr>
        <w:t>3 </w:t>
      </w:r>
      <w:r w:rsidRPr="00BF2EA8">
        <w:rPr>
          <w:color w:val="000000"/>
        </w:rPr>
        <w:t>years (e.g.</w:t>
      </w:r>
      <w:r>
        <w:rPr>
          <w:color w:val="000000"/>
        </w:rPr>
        <w:t> </w:t>
      </w:r>
      <w:r w:rsidRPr="00BF2EA8">
        <w:rPr>
          <w:color w:val="000000"/>
        </w:rPr>
        <w:t xml:space="preserve">$1,000 annually; same as previous SBA) resulted in $1.28 higher HbA1c </w:t>
      </w:r>
      <w:proofErr w:type="spellStart"/>
      <w:r w:rsidR="00EC28F2">
        <w:rPr>
          <w:color w:val="000000"/>
        </w:rPr>
        <w:t>PoC</w:t>
      </w:r>
      <w:proofErr w:type="spellEnd"/>
      <w:r w:rsidRPr="00BF2EA8">
        <w:rPr>
          <w:color w:val="000000"/>
        </w:rPr>
        <w:t xml:space="preserve"> test cost ($23.88 vs proposed test cost of $22.60</w:t>
      </w:r>
      <w:r>
        <w:rPr>
          <w:color w:val="000000"/>
        </w:rPr>
        <w:t>)</w:t>
      </w:r>
      <w:r w:rsidRPr="00BF2EA8">
        <w:rPr>
          <w:color w:val="000000"/>
        </w:rPr>
        <w:t>.</w:t>
      </w:r>
    </w:p>
    <w:p w14:paraId="1699C2FF" w14:textId="667526C2" w:rsidR="009A1034" w:rsidRPr="00BF3B7B" w:rsidRDefault="009A1034" w:rsidP="009A1034">
      <w:pPr>
        <w:spacing w:after="240"/>
        <w:rPr>
          <w:color w:val="000000"/>
        </w:rPr>
      </w:pPr>
      <w:r>
        <w:rPr>
          <w:color w:val="000000"/>
        </w:rPr>
        <w:t>ESC noted that t</w:t>
      </w:r>
      <w:r w:rsidRPr="009E4DED">
        <w:rPr>
          <w:color w:val="000000"/>
        </w:rPr>
        <w:t xml:space="preserve">he resubmission’s economic evaluation showed that HbA1c </w:t>
      </w:r>
      <w:proofErr w:type="spellStart"/>
      <w:r w:rsidR="00EC28F2">
        <w:rPr>
          <w:color w:val="000000"/>
        </w:rPr>
        <w:t>PoC</w:t>
      </w:r>
      <w:proofErr w:type="spellEnd"/>
      <w:r w:rsidRPr="009E4DED">
        <w:rPr>
          <w:color w:val="000000"/>
        </w:rPr>
        <w:t xml:space="preserve"> testing resulted in a cost</w:t>
      </w:r>
      <w:r>
        <w:rPr>
          <w:color w:val="000000"/>
        </w:rPr>
        <w:t xml:space="preserve"> </w:t>
      </w:r>
      <w:r w:rsidRPr="009E4DED">
        <w:rPr>
          <w:color w:val="000000"/>
        </w:rPr>
        <w:t xml:space="preserve">saving of $1.67 per person over </w:t>
      </w:r>
      <w:r>
        <w:rPr>
          <w:color w:val="000000"/>
        </w:rPr>
        <w:t xml:space="preserve">the </w:t>
      </w:r>
      <w:r w:rsidRPr="009E4DED">
        <w:rPr>
          <w:color w:val="000000"/>
        </w:rPr>
        <w:t>3-year time horizon (relative to pathology laboratory</w:t>
      </w:r>
      <w:r>
        <w:rPr>
          <w:color w:val="000000"/>
        </w:rPr>
        <w:t xml:space="preserve"> </w:t>
      </w:r>
      <w:r w:rsidRPr="009E4DED">
        <w:rPr>
          <w:color w:val="000000"/>
        </w:rPr>
        <w:t xml:space="preserve">testing). However, this cost saving is likely to be overestimated due to the </w:t>
      </w:r>
      <w:r>
        <w:rPr>
          <w:color w:val="000000"/>
        </w:rPr>
        <w:t xml:space="preserve">model </w:t>
      </w:r>
      <w:r w:rsidRPr="009E4DED">
        <w:rPr>
          <w:color w:val="000000"/>
        </w:rPr>
        <w:t xml:space="preserve">assumptions that excluded the full cost of the </w:t>
      </w:r>
      <w:proofErr w:type="spellStart"/>
      <w:r w:rsidR="00EC28F2">
        <w:rPr>
          <w:color w:val="000000"/>
        </w:rPr>
        <w:t>PoC</w:t>
      </w:r>
      <w:proofErr w:type="spellEnd"/>
      <w:r w:rsidRPr="009E4DED">
        <w:rPr>
          <w:color w:val="000000"/>
        </w:rPr>
        <w:t xml:space="preserve"> machine</w:t>
      </w:r>
      <w:r>
        <w:rPr>
          <w:color w:val="000000"/>
        </w:rPr>
        <w:t xml:space="preserve"> </w:t>
      </w:r>
      <w:r w:rsidRPr="009E4DED">
        <w:rPr>
          <w:color w:val="000000"/>
        </w:rPr>
        <w:t>and</w:t>
      </w:r>
      <w:r>
        <w:rPr>
          <w:color w:val="000000"/>
        </w:rPr>
        <w:t xml:space="preserve"> the</w:t>
      </w:r>
      <w:r w:rsidRPr="009E4DED">
        <w:rPr>
          <w:color w:val="000000"/>
        </w:rPr>
        <w:t xml:space="preserve"> volume assumption that GPs would work on average 6</w:t>
      </w:r>
      <w:r>
        <w:rPr>
          <w:color w:val="000000"/>
        </w:rPr>
        <w:t> </w:t>
      </w:r>
      <w:r w:rsidRPr="009E4DED">
        <w:rPr>
          <w:color w:val="000000"/>
        </w:rPr>
        <w:t>days/</w:t>
      </w:r>
      <w:r>
        <w:rPr>
          <w:color w:val="000000"/>
        </w:rPr>
        <w:t>week</w:t>
      </w:r>
      <w:r w:rsidRPr="009E4DED">
        <w:rPr>
          <w:color w:val="000000"/>
        </w:rPr>
        <w:t xml:space="preserve"> (312</w:t>
      </w:r>
      <w:r>
        <w:rPr>
          <w:color w:val="000000"/>
        </w:rPr>
        <w:t> </w:t>
      </w:r>
      <w:r w:rsidRPr="009E4DED">
        <w:rPr>
          <w:color w:val="000000"/>
        </w:rPr>
        <w:t xml:space="preserve">tests/year). </w:t>
      </w:r>
      <w:r>
        <w:rPr>
          <w:color w:val="000000"/>
        </w:rPr>
        <w:t>ESC noted that the s</w:t>
      </w:r>
      <w:r w:rsidRPr="009E4DED">
        <w:rPr>
          <w:color w:val="000000"/>
        </w:rPr>
        <w:t>ensitivity analysis</w:t>
      </w:r>
      <w:r>
        <w:rPr>
          <w:color w:val="000000"/>
        </w:rPr>
        <w:t xml:space="preserve"> </w:t>
      </w:r>
      <w:r w:rsidRPr="009E4DED">
        <w:rPr>
          <w:color w:val="000000"/>
        </w:rPr>
        <w:t>showed that var</w:t>
      </w:r>
      <w:r>
        <w:rPr>
          <w:color w:val="000000"/>
        </w:rPr>
        <w:t>ying</w:t>
      </w:r>
      <w:r w:rsidRPr="009E4DED">
        <w:rPr>
          <w:color w:val="000000"/>
        </w:rPr>
        <w:t xml:space="preserve"> these cost inputs for </w:t>
      </w:r>
      <w:proofErr w:type="spellStart"/>
      <w:r w:rsidR="00EC28F2">
        <w:rPr>
          <w:color w:val="000000"/>
        </w:rPr>
        <w:t>PoC</w:t>
      </w:r>
      <w:proofErr w:type="spellEnd"/>
      <w:r w:rsidRPr="009E4DED">
        <w:rPr>
          <w:color w:val="000000"/>
        </w:rPr>
        <w:t xml:space="preserve"> testing resulted in </w:t>
      </w:r>
      <w:r>
        <w:rPr>
          <w:color w:val="000000"/>
        </w:rPr>
        <w:t xml:space="preserve">an </w:t>
      </w:r>
      <w:r w:rsidRPr="009E4DED">
        <w:rPr>
          <w:color w:val="000000"/>
        </w:rPr>
        <w:t>additional cost of</w:t>
      </w:r>
      <w:r>
        <w:rPr>
          <w:color w:val="000000"/>
        </w:rPr>
        <w:t xml:space="preserve"> about</w:t>
      </w:r>
      <w:r w:rsidRPr="009E4DED">
        <w:rPr>
          <w:color w:val="000000"/>
        </w:rPr>
        <w:t xml:space="preserve"> $9 to $36 over </w:t>
      </w:r>
      <w:r>
        <w:rPr>
          <w:color w:val="000000"/>
        </w:rPr>
        <w:t xml:space="preserve">the </w:t>
      </w:r>
      <w:r w:rsidRPr="009E4DED">
        <w:rPr>
          <w:color w:val="000000"/>
        </w:rPr>
        <w:t>3-year base</w:t>
      </w:r>
      <w:r>
        <w:rPr>
          <w:color w:val="000000"/>
        </w:rPr>
        <w:t>-</w:t>
      </w:r>
      <w:r w:rsidRPr="009E4DED">
        <w:rPr>
          <w:color w:val="000000"/>
        </w:rPr>
        <w:t>case model.</w:t>
      </w:r>
    </w:p>
    <w:p w14:paraId="23DA78F2" w14:textId="16E90317" w:rsidR="009A1034" w:rsidRPr="00BF3B7B" w:rsidRDefault="009A1034" w:rsidP="009A1034">
      <w:pPr>
        <w:spacing w:after="240"/>
        <w:rPr>
          <w:color w:val="000000"/>
        </w:rPr>
      </w:pPr>
      <w:r>
        <w:rPr>
          <w:color w:val="000000"/>
        </w:rPr>
        <w:t xml:space="preserve">ESC noted that different percentages for the MBS rebate were used in the resubmission and the </w:t>
      </w:r>
      <w:r w:rsidR="00031241">
        <w:rPr>
          <w:color w:val="000000"/>
        </w:rPr>
        <w:t>Critique</w:t>
      </w:r>
      <w:r>
        <w:rPr>
          <w:color w:val="000000"/>
        </w:rPr>
        <w:t xml:space="preserve">. The resubmission </w:t>
      </w:r>
      <w:r w:rsidRPr="00BF3B7B">
        <w:rPr>
          <w:color w:val="000000"/>
        </w:rPr>
        <w:t xml:space="preserve">used 100% for </w:t>
      </w:r>
      <w:r>
        <w:rPr>
          <w:color w:val="000000"/>
        </w:rPr>
        <w:t>HbA1c testing (</w:t>
      </w:r>
      <w:proofErr w:type="spellStart"/>
      <w:r w:rsidR="00EC28F2">
        <w:rPr>
          <w:color w:val="000000"/>
        </w:rPr>
        <w:t>PoC</w:t>
      </w:r>
      <w:proofErr w:type="spellEnd"/>
      <w:r>
        <w:rPr>
          <w:color w:val="000000"/>
        </w:rPr>
        <w:t xml:space="preserve"> and laboratory), compared with the </w:t>
      </w:r>
      <w:r w:rsidR="00031241">
        <w:rPr>
          <w:color w:val="000000"/>
        </w:rPr>
        <w:t>Critique</w:t>
      </w:r>
      <w:r>
        <w:rPr>
          <w:color w:val="000000"/>
        </w:rPr>
        <w:t xml:space="preserve"> which used 100% for </w:t>
      </w:r>
      <w:proofErr w:type="spellStart"/>
      <w:r w:rsidR="00EC28F2">
        <w:rPr>
          <w:color w:val="000000"/>
        </w:rPr>
        <w:t>PoC</w:t>
      </w:r>
      <w:proofErr w:type="spellEnd"/>
      <w:r>
        <w:rPr>
          <w:color w:val="000000"/>
        </w:rPr>
        <w:t xml:space="preserve"> (</w:t>
      </w:r>
      <w:r w:rsidRPr="009E4DED">
        <w:rPr>
          <w:color w:val="000000"/>
        </w:rPr>
        <w:t xml:space="preserve">as </w:t>
      </w:r>
      <w:proofErr w:type="spellStart"/>
      <w:r w:rsidR="00EC28F2">
        <w:rPr>
          <w:color w:val="000000"/>
        </w:rPr>
        <w:t>PoC</w:t>
      </w:r>
      <w:proofErr w:type="spellEnd"/>
      <w:r w:rsidRPr="009E4DED">
        <w:rPr>
          <w:color w:val="000000"/>
        </w:rPr>
        <w:t xml:space="preserve"> testing would typically be performed by </w:t>
      </w:r>
      <w:r>
        <w:rPr>
          <w:color w:val="000000"/>
        </w:rPr>
        <w:t>a</w:t>
      </w:r>
      <w:r w:rsidRPr="009E4DED">
        <w:rPr>
          <w:color w:val="000000"/>
        </w:rPr>
        <w:t xml:space="preserve"> GP</w:t>
      </w:r>
      <w:r>
        <w:rPr>
          <w:color w:val="000000"/>
        </w:rPr>
        <w:t>), and 85% for pathology laboratory testing (</w:t>
      </w:r>
      <w:r w:rsidRPr="009E4DED">
        <w:rPr>
          <w:color w:val="000000"/>
        </w:rPr>
        <w:t>based on average MBS benefits paid from utilisation of item 66551 over 2013/14 to 2017/18</w:t>
      </w:r>
      <w:r>
        <w:rPr>
          <w:color w:val="000000"/>
        </w:rPr>
        <w:t>)</w:t>
      </w:r>
      <w:r w:rsidRPr="009E4DED">
        <w:rPr>
          <w:color w:val="000000"/>
        </w:rPr>
        <w:t>.</w:t>
      </w:r>
      <w:r>
        <w:rPr>
          <w:color w:val="000000"/>
        </w:rPr>
        <w:t xml:space="preserve"> ESC considered the 85% rebate level to be appropriate for both </w:t>
      </w:r>
      <w:proofErr w:type="spellStart"/>
      <w:r w:rsidR="00EC28F2">
        <w:rPr>
          <w:color w:val="000000"/>
        </w:rPr>
        <w:t>PoC</w:t>
      </w:r>
      <w:proofErr w:type="spellEnd"/>
      <w:r>
        <w:rPr>
          <w:color w:val="000000"/>
        </w:rPr>
        <w:t xml:space="preserve"> and pathology laboratory testing, resulting in</w:t>
      </w:r>
      <w:r w:rsidRPr="009E4DED">
        <w:rPr>
          <w:color w:val="000000"/>
        </w:rPr>
        <w:t xml:space="preserve"> </w:t>
      </w:r>
      <w:r>
        <w:rPr>
          <w:color w:val="000000"/>
        </w:rPr>
        <w:t xml:space="preserve">cost savings to the MBS </w:t>
      </w:r>
      <w:r w:rsidRPr="009E4DED">
        <w:rPr>
          <w:color w:val="000000"/>
        </w:rPr>
        <w:t>of approximately $</w:t>
      </w:r>
      <w:r>
        <w:rPr>
          <w:color w:val="000000"/>
        </w:rPr>
        <w:t>2,000</w:t>
      </w:r>
      <w:r w:rsidRPr="009E4DED">
        <w:rPr>
          <w:color w:val="000000"/>
        </w:rPr>
        <w:t xml:space="preserve"> in </w:t>
      </w:r>
      <w:r>
        <w:rPr>
          <w:color w:val="000000"/>
        </w:rPr>
        <w:t>Y</w:t>
      </w:r>
      <w:r w:rsidRPr="009E4DED">
        <w:rPr>
          <w:color w:val="000000"/>
        </w:rPr>
        <w:t>ear</w:t>
      </w:r>
      <w:r>
        <w:rPr>
          <w:color w:val="000000"/>
        </w:rPr>
        <w:t> </w:t>
      </w:r>
      <w:r w:rsidRPr="009E4DED">
        <w:rPr>
          <w:color w:val="000000"/>
        </w:rPr>
        <w:t>1, increasing to $</w:t>
      </w:r>
      <w:r>
        <w:rPr>
          <w:color w:val="000000"/>
        </w:rPr>
        <w:t>13,000</w:t>
      </w:r>
      <w:r w:rsidRPr="009E4DED">
        <w:rPr>
          <w:color w:val="000000"/>
        </w:rPr>
        <w:t xml:space="preserve"> in </w:t>
      </w:r>
      <w:r>
        <w:rPr>
          <w:color w:val="000000"/>
        </w:rPr>
        <w:t>Y</w:t>
      </w:r>
      <w:r w:rsidRPr="009E4DED">
        <w:rPr>
          <w:color w:val="000000"/>
        </w:rPr>
        <w:t>ear</w:t>
      </w:r>
      <w:r>
        <w:rPr>
          <w:color w:val="000000"/>
        </w:rPr>
        <w:t> </w:t>
      </w:r>
      <w:r w:rsidRPr="009E4DED">
        <w:rPr>
          <w:color w:val="000000"/>
        </w:rPr>
        <w:t>5</w:t>
      </w:r>
      <w:r>
        <w:rPr>
          <w:color w:val="000000"/>
        </w:rPr>
        <w:t xml:space="preserve"> (similar to resubmission’s original financial estimates).</w:t>
      </w:r>
    </w:p>
    <w:p w14:paraId="0F5E9A42" w14:textId="2679FCF3" w:rsidR="009A1034" w:rsidRDefault="009A1034" w:rsidP="009A1034">
      <w:pPr>
        <w:spacing w:after="240"/>
        <w:rPr>
          <w:color w:val="000000"/>
        </w:rPr>
      </w:pPr>
      <w:r w:rsidRPr="00CB5B4A">
        <w:rPr>
          <w:color w:val="000000"/>
        </w:rPr>
        <w:t xml:space="preserve">ESC </w:t>
      </w:r>
      <w:r>
        <w:rPr>
          <w:color w:val="000000"/>
        </w:rPr>
        <w:t xml:space="preserve">noted the uncertainty around utilisation of </w:t>
      </w:r>
      <w:proofErr w:type="spellStart"/>
      <w:r w:rsidR="00EC28F2">
        <w:rPr>
          <w:color w:val="000000"/>
        </w:rPr>
        <w:t>PoC</w:t>
      </w:r>
      <w:proofErr w:type="spellEnd"/>
      <w:r w:rsidRPr="00CB5B4A">
        <w:rPr>
          <w:color w:val="000000"/>
        </w:rPr>
        <w:t xml:space="preserve"> testing</w:t>
      </w:r>
      <w:r>
        <w:rPr>
          <w:color w:val="000000"/>
        </w:rPr>
        <w:t xml:space="preserve">. ESC considered that </w:t>
      </w:r>
      <w:proofErr w:type="spellStart"/>
      <w:r w:rsidR="00EC28F2">
        <w:rPr>
          <w:color w:val="000000"/>
        </w:rPr>
        <w:t>PoC</w:t>
      </w:r>
      <w:proofErr w:type="spellEnd"/>
      <w:r>
        <w:rPr>
          <w:color w:val="000000"/>
        </w:rPr>
        <w:t xml:space="preserve"> testing</w:t>
      </w:r>
      <w:r w:rsidRPr="00CB5B4A">
        <w:rPr>
          <w:color w:val="000000"/>
        </w:rPr>
        <w:t xml:space="preserve"> is only of benefit if the patient needs immediate result</w:t>
      </w:r>
      <w:r>
        <w:rPr>
          <w:color w:val="000000"/>
        </w:rPr>
        <w:t>s</w:t>
      </w:r>
      <w:r w:rsidRPr="00CB5B4A">
        <w:rPr>
          <w:color w:val="000000"/>
        </w:rPr>
        <w:t xml:space="preserve"> and </w:t>
      </w:r>
      <w:r>
        <w:rPr>
          <w:color w:val="000000"/>
        </w:rPr>
        <w:t xml:space="preserve">subsequent </w:t>
      </w:r>
      <w:r w:rsidRPr="00CB5B4A">
        <w:rPr>
          <w:color w:val="000000"/>
        </w:rPr>
        <w:t xml:space="preserve">discussion (noting that the value of this cannot be underestimated). However, if the patient needs a </w:t>
      </w:r>
      <w:r>
        <w:rPr>
          <w:color w:val="000000"/>
        </w:rPr>
        <w:t>number of blood tests</w:t>
      </w:r>
      <w:r w:rsidRPr="00CB5B4A">
        <w:rPr>
          <w:color w:val="000000"/>
        </w:rPr>
        <w:t xml:space="preserve"> and needs to come back </w:t>
      </w:r>
      <w:r>
        <w:rPr>
          <w:color w:val="000000"/>
        </w:rPr>
        <w:t>to see their GP anyway</w:t>
      </w:r>
      <w:r w:rsidRPr="00CB5B4A">
        <w:rPr>
          <w:color w:val="000000"/>
        </w:rPr>
        <w:t xml:space="preserve">, then the question remains as to whether </w:t>
      </w:r>
      <w:proofErr w:type="spellStart"/>
      <w:r w:rsidR="00EC28F2">
        <w:rPr>
          <w:color w:val="000000"/>
        </w:rPr>
        <w:t>PoC</w:t>
      </w:r>
      <w:proofErr w:type="spellEnd"/>
      <w:r>
        <w:rPr>
          <w:color w:val="000000"/>
        </w:rPr>
        <w:t xml:space="preserve"> testing provides a</w:t>
      </w:r>
      <w:r w:rsidRPr="00CB5B4A">
        <w:rPr>
          <w:color w:val="000000"/>
        </w:rPr>
        <w:t xml:space="preserve"> benefit. From an economic perspective</w:t>
      </w:r>
      <w:r>
        <w:rPr>
          <w:color w:val="000000"/>
        </w:rPr>
        <w:t>,</w:t>
      </w:r>
      <w:r w:rsidRPr="00CB5B4A">
        <w:rPr>
          <w:color w:val="000000"/>
        </w:rPr>
        <w:t xml:space="preserve"> the </w:t>
      </w:r>
      <w:r>
        <w:rPr>
          <w:color w:val="000000"/>
        </w:rPr>
        <w:t>most expensive</w:t>
      </w:r>
      <w:r w:rsidRPr="00CB5B4A">
        <w:rPr>
          <w:color w:val="000000"/>
        </w:rPr>
        <w:t xml:space="preserve"> pathway </w:t>
      </w:r>
      <w:r>
        <w:rPr>
          <w:color w:val="000000"/>
        </w:rPr>
        <w:t>would be</w:t>
      </w:r>
      <w:r w:rsidRPr="00CB5B4A">
        <w:rPr>
          <w:color w:val="000000"/>
        </w:rPr>
        <w:t xml:space="preserve"> for the GP to do </w:t>
      </w:r>
      <w:r>
        <w:rPr>
          <w:color w:val="000000"/>
        </w:rPr>
        <w:t xml:space="preserve">the </w:t>
      </w:r>
      <w:proofErr w:type="spellStart"/>
      <w:r w:rsidR="00EC28F2">
        <w:rPr>
          <w:color w:val="000000"/>
        </w:rPr>
        <w:t>PoC</w:t>
      </w:r>
      <w:proofErr w:type="spellEnd"/>
      <w:r w:rsidRPr="00CB5B4A">
        <w:rPr>
          <w:color w:val="000000"/>
        </w:rPr>
        <w:t xml:space="preserve"> test and then </w:t>
      </w:r>
      <w:r>
        <w:rPr>
          <w:color w:val="000000"/>
        </w:rPr>
        <w:t xml:space="preserve">also </w:t>
      </w:r>
      <w:r w:rsidRPr="00CB5B4A">
        <w:rPr>
          <w:color w:val="000000"/>
        </w:rPr>
        <w:t>request</w:t>
      </w:r>
      <w:r>
        <w:rPr>
          <w:color w:val="000000"/>
        </w:rPr>
        <w:t xml:space="preserve"> </w:t>
      </w:r>
      <w:r w:rsidRPr="00CB5B4A">
        <w:rPr>
          <w:color w:val="000000"/>
        </w:rPr>
        <w:t>other tests from the pathology lab</w:t>
      </w:r>
      <w:r>
        <w:rPr>
          <w:color w:val="000000"/>
        </w:rPr>
        <w:t>oratory</w:t>
      </w:r>
      <w:r w:rsidRPr="00CB5B4A">
        <w:rPr>
          <w:color w:val="000000"/>
        </w:rPr>
        <w:t>.</w:t>
      </w:r>
    </w:p>
    <w:p w14:paraId="3B508E40" w14:textId="652FB51A" w:rsidR="009A1034" w:rsidRPr="00CB5B4A" w:rsidRDefault="009A1034" w:rsidP="009A1034">
      <w:pPr>
        <w:spacing w:after="240"/>
        <w:rPr>
          <w:color w:val="000000"/>
        </w:rPr>
      </w:pPr>
      <w:r>
        <w:rPr>
          <w:color w:val="000000"/>
        </w:rPr>
        <w:lastRenderedPageBreak/>
        <w:t>ESC noted t</w:t>
      </w:r>
      <w:r w:rsidRPr="00CB5B4A">
        <w:rPr>
          <w:color w:val="000000"/>
        </w:rPr>
        <w:t xml:space="preserve">he </w:t>
      </w:r>
      <w:r>
        <w:rPr>
          <w:color w:val="000000"/>
        </w:rPr>
        <w:t>resubmission’s</w:t>
      </w:r>
      <w:r w:rsidRPr="00CB5B4A">
        <w:rPr>
          <w:color w:val="000000"/>
        </w:rPr>
        <w:t xml:space="preserve"> claim that the average yearly cost of laboratory testing is $21.37 per quarter with three tests </w:t>
      </w:r>
      <w:proofErr w:type="spellStart"/>
      <w:r w:rsidRPr="00CB5B4A">
        <w:rPr>
          <w:color w:val="000000"/>
        </w:rPr>
        <w:t>unconed</w:t>
      </w:r>
      <w:proofErr w:type="spellEnd"/>
      <w:r w:rsidRPr="00CB5B4A">
        <w:rPr>
          <w:color w:val="000000"/>
        </w:rPr>
        <w:t xml:space="preserve"> and one coned, and </w:t>
      </w:r>
      <w:r>
        <w:rPr>
          <w:color w:val="000000"/>
        </w:rPr>
        <w:t>for</w:t>
      </w:r>
      <w:r w:rsidRPr="00CB5B4A">
        <w:rPr>
          <w:color w:val="000000"/>
        </w:rPr>
        <w:t xml:space="preserve"> </w:t>
      </w:r>
      <w:proofErr w:type="spellStart"/>
      <w:r w:rsidR="00EC28F2">
        <w:rPr>
          <w:color w:val="000000"/>
        </w:rPr>
        <w:t>PoC</w:t>
      </w:r>
      <w:proofErr w:type="spellEnd"/>
      <w:r w:rsidRPr="00CB5B4A">
        <w:rPr>
          <w:color w:val="000000"/>
        </w:rPr>
        <w:t xml:space="preserve"> is $21.22 per quarter with three </w:t>
      </w:r>
      <w:proofErr w:type="spellStart"/>
      <w:r w:rsidR="00EC28F2">
        <w:rPr>
          <w:color w:val="000000"/>
        </w:rPr>
        <w:t>PoC</w:t>
      </w:r>
      <w:proofErr w:type="spellEnd"/>
      <w:r w:rsidRPr="00CB5B4A">
        <w:rPr>
          <w:color w:val="000000"/>
        </w:rPr>
        <w:t xml:space="preserve"> and one coned laboratory test. </w:t>
      </w:r>
      <w:r>
        <w:rPr>
          <w:color w:val="000000"/>
        </w:rPr>
        <w:t>ESC noted that t</w:t>
      </w:r>
      <w:r w:rsidRPr="00CB5B4A">
        <w:rPr>
          <w:color w:val="000000"/>
        </w:rPr>
        <w:t>he current laboratory-based MBS item 66551</w:t>
      </w:r>
      <w:r>
        <w:rPr>
          <w:color w:val="000000"/>
        </w:rPr>
        <w:t xml:space="preserve"> (i.e. </w:t>
      </w:r>
      <w:r w:rsidRPr="00CB5B4A">
        <w:rPr>
          <w:color w:val="000000"/>
        </w:rPr>
        <w:t xml:space="preserve">HbA1c </w:t>
      </w:r>
      <w:r>
        <w:rPr>
          <w:color w:val="000000"/>
        </w:rPr>
        <w:t xml:space="preserve">testing </w:t>
      </w:r>
      <w:r w:rsidRPr="00CB5B4A">
        <w:rPr>
          <w:color w:val="000000"/>
        </w:rPr>
        <w:t>for the management of established diabetes</w:t>
      </w:r>
      <w:r>
        <w:rPr>
          <w:color w:val="000000"/>
        </w:rPr>
        <w:t>)</w:t>
      </w:r>
      <w:r w:rsidRPr="00CB5B4A">
        <w:rPr>
          <w:color w:val="000000"/>
        </w:rPr>
        <w:t xml:space="preserve"> is routinely requested with items that have a higher schedule fee</w:t>
      </w:r>
      <w:r>
        <w:rPr>
          <w:color w:val="000000"/>
        </w:rPr>
        <w:t xml:space="preserve">. </w:t>
      </w:r>
      <w:r w:rsidRPr="00CB5B4A">
        <w:rPr>
          <w:color w:val="000000"/>
        </w:rPr>
        <w:t>As items that are subject to coning are funded as part of the fee for the third item, the true rates at which they are requested are unknown</w:t>
      </w:r>
      <w:r>
        <w:rPr>
          <w:color w:val="000000"/>
        </w:rPr>
        <w:t xml:space="preserve"> and</w:t>
      </w:r>
      <w:r w:rsidRPr="00CB5B4A">
        <w:rPr>
          <w:color w:val="000000"/>
        </w:rPr>
        <w:t xml:space="preserve"> </w:t>
      </w:r>
      <w:r>
        <w:rPr>
          <w:color w:val="000000"/>
        </w:rPr>
        <w:t xml:space="preserve">therefore </w:t>
      </w:r>
      <w:r w:rsidRPr="00CB5B4A">
        <w:rPr>
          <w:color w:val="000000"/>
        </w:rPr>
        <w:t>the true number of HbA1c tests are not reflected in the data</w:t>
      </w:r>
      <w:r>
        <w:rPr>
          <w:color w:val="000000"/>
        </w:rPr>
        <w:t>.</w:t>
      </w:r>
      <w:r w:rsidRPr="00CB5B4A">
        <w:rPr>
          <w:color w:val="000000"/>
        </w:rPr>
        <w:t xml:space="preserve"> This means that predict</w:t>
      </w:r>
      <w:r>
        <w:rPr>
          <w:color w:val="000000"/>
        </w:rPr>
        <w:t>ed</w:t>
      </w:r>
      <w:r w:rsidRPr="00CB5B4A">
        <w:rPr>
          <w:color w:val="000000"/>
        </w:rPr>
        <w:t xml:space="preserve"> utilisation of HbA1c </w:t>
      </w:r>
      <w:proofErr w:type="spellStart"/>
      <w:r w:rsidR="00EC28F2">
        <w:rPr>
          <w:color w:val="000000"/>
        </w:rPr>
        <w:t>PoC</w:t>
      </w:r>
      <w:proofErr w:type="spellEnd"/>
      <w:r w:rsidRPr="00CB5B4A">
        <w:rPr>
          <w:color w:val="000000"/>
        </w:rPr>
        <w:t xml:space="preserve"> </w:t>
      </w:r>
      <w:r>
        <w:rPr>
          <w:color w:val="000000"/>
        </w:rPr>
        <w:t>will be</w:t>
      </w:r>
      <w:r w:rsidRPr="00CB5B4A">
        <w:rPr>
          <w:color w:val="000000"/>
        </w:rPr>
        <w:t xml:space="preserve"> underestimated.</w:t>
      </w:r>
    </w:p>
    <w:p w14:paraId="1C6DF08A" w14:textId="256BE1DD" w:rsidR="009A1034" w:rsidRPr="00CB5B4A" w:rsidRDefault="009A1034" w:rsidP="009A1034">
      <w:pPr>
        <w:spacing w:after="240"/>
        <w:rPr>
          <w:color w:val="000000"/>
        </w:rPr>
      </w:pPr>
      <w:r>
        <w:rPr>
          <w:color w:val="000000"/>
        </w:rPr>
        <w:t>ESC also noted that</w:t>
      </w:r>
      <w:r w:rsidRPr="00CB5B4A">
        <w:rPr>
          <w:color w:val="000000"/>
        </w:rPr>
        <w:t xml:space="preserve">, in circumstances where HbA1c is tested by </w:t>
      </w:r>
      <w:proofErr w:type="spellStart"/>
      <w:r w:rsidR="00EC28F2">
        <w:rPr>
          <w:color w:val="000000"/>
        </w:rPr>
        <w:t>PoC</w:t>
      </w:r>
      <w:proofErr w:type="spellEnd"/>
      <w:r w:rsidRPr="00CB5B4A">
        <w:rPr>
          <w:color w:val="000000"/>
        </w:rPr>
        <w:t xml:space="preserve"> instead of a pathology laboratory, it will not always am</w:t>
      </w:r>
      <w:bookmarkStart w:id="14" w:name="Editing"/>
      <w:bookmarkEnd w:id="14"/>
      <w:r w:rsidRPr="00CB5B4A">
        <w:rPr>
          <w:color w:val="000000"/>
        </w:rPr>
        <w:t xml:space="preserve">ount to a saving in pathology laboratory testing costs equivalent to the fee for </w:t>
      </w:r>
      <w:r>
        <w:rPr>
          <w:color w:val="000000"/>
        </w:rPr>
        <w:t xml:space="preserve">the </w:t>
      </w:r>
      <w:r w:rsidRPr="00CB5B4A">
        <w:rPr>
          <w:color w:val="000000"/>
        </w:rPr>
        <w:t>HbA1c</w:t>
      </w:r>
      <w:r>
        <w:rPr>
          <w:color w:val="000000"/>
        </w:rPr>
        <w:t xml:space="preserve"> test</w:t>
      </w:r>
      <w:r w:rsidRPr="00CB5B4A">
        <w:rPr>
          <w:color w:val="000000"/>
        </w:rPr>
        <w:t>. Coning arrangements will mean that where multiple items are requested, the HbA1c laboratory test will be substituted by another pathology test, which would result in little to no saving to the MBS.</w:t>
      </w:r>
    </w:p>
    <w:p w14:paraId="40B195F4" w14:textId="2E6917B8" w:rsidR="009A1034" w:rsidRPr="00B02E35" w:rsidRDefault="009A1034" w:rsidP="009A1034">
      <w:pPr>
        <w:tabs>
          <w:tab w:val="left" w:pos="2265"/>
          <w:tab w:val="left" w:pos="3420"/>
          <w:tab w:val="left" w:pos="4320"/>
        </w:tabs>
        <w:rPr>
          <w:b/>
        </w:rPr>
      </w:pPr>
      <w:r>
        <w:rPr>
          <w:color w:val="000000"/>
        </w:rPr>
        <w:t xml:space="preserve">ESC noted that </w:t>
      </w:r>
      <w:proofErr w:type="spellStart"/>
      <w:r w:rsidR="00EC28F2">
        <w:rPr>
          <w:color w:val="000000"/>
        </w:rPr>
        <w:t>PoC</w:t>
      </w:r>
      <w:proofErr w:type="spellEnd"/>
      <w:r w:rsidRPr="00CB5B4A">
        <w:rPr>
          <w:color w:val="000000"/>
        </w:rPr>
        <w:t xml:space="preserve"> may</w:t>
      </w:r>
      <w:r>
        <w:rPr>
          <w:color w:val="000000"/>
        </w:rPr>
        <w:t xml:space="preserve"> also</w:t>
      </w:r>
      <w:r w:rsidRPr="00CB5B4A">
        <w:rPr>
          <w:color w:val="000000"/>
        </w:rPr>
        <w:t xml:space="preserve"> drive test utilisation by providing immediate access to the service for patients</w:t>
      </w:r>
      <w:r>
        <w:rPr>
          <w:color w:val="000000"/>
        </w:rPr>
        <w:t>,</w:t>
      </w:r>
      <w:r w:rsidRPr="00CB5B4A">
        <w:rPr>
          <w:color w:val="000000"/>
        </w:rPr>
        <w:t xml:space="preserve"> </w:t>
      </w:r>
      <w:r>
        <w:rPr>
          <w:color w:val="000000"/>
        </w:rPr>
        <w:t>which</w:t>
      </w:r>
      <w:r w:rsidRPr="00CB5B4A">
        <w:rPr>
          <w:color w:val="000000"/>
        </w:rPr>
        <w:t xml:space="preserve"> needs to be taken into account. </w:t>
      </w:r>
      <w:r>
        <w:rPr>
          <w:color w:val="000000"/>
        </w:rPr>
        <w:t xml:space="preserve">ESC noted that Diabetes Australia </w:t>
      </w:r>
      <w:r w:rsidRPr="00BF3B7B">
        <w:rPr>
          <w:color w:val="000000"/>
        </w:rPr>
        <w:t>would be likely to support this</w:t>
      </w:r>
      <w:r>
        <w:rPr>
          <w:color w:val="000000"/>
        </w:rPr>
        <w:t xml:space="preserve"> resubmission; however, they were not consulted because there was no PASC process for this application.</w:t>
      </w:r>
    </w:p>
    <w:p w14:paraId="77D297D7" w14:textId="77777777" w:rsidR="00D90A38" w:rsidRPr="00F715D1" w:rsidRDefault="00BC1364" w:rsidP="00F715D1">
      <w:pPr>
        <w:pStyle w:val="Heading1"/>
      </w:pPr>
      <w:r w:rsidRPr="00F715D1">
        <w:t>Other significant factors</w:t>
      </w:r>
    </w:p>
    <w:p w14:paraId="65180A04" w14:textId="285A9A20" w:rsidR="00BC1364" w:rsidRPr="005C1607" w:rsidRDefault="00BC1364" w:rsidP="00F715D1">
      <w:pPr>
        <w:spacing w:after="240"/>
        <w:rPr>
          <w:szCs w:val="24"/>
        </w:rPr>
      </w:pPr>
      <w:r w:rsidRPr="005C1607">
        <w:rPr>
          <w:szCs w:val="24"/>
        </w:rPr>
        <w:t>Nil</w:t>
      </w:r>
    </w:p>
    <w:p w14:paraId="66451F7B" w14:textId="5C844D00" w:rsidR="00BC1364" w:rsidRPr="00F715D1" w:rsidRDefault="00BC1364" w:rsidP="00F715D1">
      <w:pPr>
        <w:pStyle w:val="Heading1"/>
      </w:pPr>
      <w:r w:rsidRPr="00F715D1">
        <w:t xml:space="preserve">Applicant’s comments on MSAC’s </w:t>
      </w:r>
      <w:r w:rsidR="00DA56AA" w:rsidRPr="00F715D1">
        <w:t>Public Summary Document</w:t>
      </w:r>
      <w:r w:rsidR="00574EDE">
        <w:t xml:space="preserve"> – </w:t>
      </w:r>
      <w:r w:rsidR="002537D5">
        <w:br/>
      </w:r>
      <w:r w:rsidR="00574EDE">
        <w:t>March 2019</w:t>
      </w:r>
    </w:p>
    <w:p w14:paraId="04D59E55" w14:textId="47B154EB" w:rsidR="00BC1364" w:rsidRPr="00F82274" w:rsidRDefault="00407E78" w:rsidP="00F715D1">
      <w:pPr>
        <w:spacing w:after="240"/>
        <w:rPr>
          <w:szCs w:val="24"/>
        </w:rPr>
      </w:pPr>
      <w:r w:rsidRPr="00F82274">
        <w:rPr>
          <w:szCs w:val="24"/>
        </w:rPr>
        <w:t xml:space="preserve">We are happy that the MSAC is supportive of MBS listing of HbA1c </w:t>
      </w:r>
      <w:proofErr w:type="spellStart"/>
      <w:r w:rsidRPr="00F82274">
        <w:rPr>
          <w:szCs w:val="24"/>
        </w:rPr>
        <w:t>PoC</w:t>
      </w:r>
      <w:proofErr w:type="spellEnd"/>
      <w:r w:rsidRPr="00F82274">
        <w:rPr>
          <w:szCs w:val="24"/>
        </w:rPr>
        <w:t xml:space="preserve"> testing for the management and monitoring of established diabetes mellitus, including in pregnancy, on the basis of its ability to improve patient health outcomes and generate cost savings to the Government. We are however, concerned that timely access to this service will be compromised if the recommendation to await the outcomes of the NPAAC review and update of its 2015 </w:t>
      </w:r>
      <w:r w:rsidRPr="00F82274">
        <w:rPr>
          <w:i/>
          <w:iCs/>
          <w:szCs w:val="24"/>
        </w:rPr>
        <w:t>Guidelines for point of care testing</w:t>
      </w:r>
      <w:r w:rsidRPr="00F82274">
        <w:rPr>
          <w:szCs w:val="24"/>
        </w:rPr>
        <w:t xml:space="preserve"> </w:t>
      </w:r>
      <w:r w:rsidR="0016294C" w:rsidRPr="00F82274">
        <w:rPr>
          <w:szCs w:val="24"/>
        </w:rPr>
        <w:t>in</w:t>
      </w:r>
      <w:r w:rsidRPr="00F82274">
        <w:rPr>
          <w:szCs w:val="24"/>
        </w:rPr>
        <w:t xml:space="preserve">to accreditation standards is enforced, particularly given the RACGP have developed Standards for </w:t>
      </w:r>
      <w:proofErr w:type="spellStart"/>
      <w:r w:rsidRPr="00F82274">
        <w:rPr>
          <w:szCs w:val="24"/>
        </w:rPr>
        <w:t>PoC</w:t>
      </w:r>
      <w:proofErr w:type="spellEnd"/>
      <w:r w:rsidRPr="00F82274">
        <w:rPr>
          <w:szCs w:val="24"/>
        </w:rPr>
        <w:t xml:space="preserve"> testing which are current, are </w:t>
      </w:r>
      <w:r w:rsidR="00856C71" w:rsidRPr="00F82274">
        <w:rPr>
          <w:szCs w:val="24"/>
        </w:rPr>
        <w:t xml:space="preserve">largely </w:t>
      </w:r>
      <w:r w:rsidRPr="00F82274">
        <w:rPr>
          <w:szCs w:val="24"/>
        </w:rPr>
        <w:t>comparable with the NPAAC Guidelines, and provide assurance of consistent quality.</w:t>
      </w:r>
    </w:p>
    <w:p w14:paraId="0F1C8FA4" w14:textId="762B2365" w:rsidR="007478D7" w:rsidRPr="00F82274" w:rsidRDefault="00034DA1" w:rsidP="00F715D1">
      <w:pPr>
        <w:spacing w:after="240"/>
        <w:rPr>
          <w:szCs w:val="24"/>
        </w:rPr>
      </w:pPr>
      <w:r w:rsidRPr="00F82274">
        <w:rPr>
          <w:szCs w:val="24"/>
        </w:rPr>
        <w:t xml:space="preserve">We note that the economic evaluation </w:t>
      </w:r>
      <w:r w:rsidR="00856C71" w:rsidRPr="00F82274">
        <w:rPr>
          <w:szCs w:val="24"/>
        </w:rPr>
        <w:t xml:space="preserve">presented in the resubmission </w:t>
      </w:r>
      <w:r w:rsidRPr="00F82274">
        <w:rPr>
          <w:szCs w:val="24"/>
        </w:rPr>
        <w:t xml:space="preserve">was </w:t>
      </w:r>
      <w:r w:rsidR="007478D7" w:rsidRPr="00F82274">
        <w:rPr>
          <w:szCs w:val="24"/>
        </w:rPr>
        <w:t xml:space="preserve">a conservative cost-minimisation analysis. While the ESC noted that an amendment to the amortisation of the device cost across three rather than five years would lead to an increase in the proposed cost of </w:t>
      </w:r>
      <w:proofErr w:type="spellStart"/>
      <w:r w:rsidR="007478D7" w:rsidRPr="00F82274">
        <w:rPr>
          <w:szCs w:val="24"/>
        </w:rPr>
        <w:t>PoC</w:t>
      </w:r>
      <w:proofErr w:type="spellEnd"/>
      <w:r w:rsidR="007478D7" w:rsidRPr="00F82274">
        <w:rPr>
          <w:szCs w:val="24"/>
        </w:rPr>
        <w:t xml:space="preserve"> by $1.28, this is not reflective of real-world practice. Anecdotal evidence suggests that there are </w:t>
      </w:r>
      <w:proofErr w:type="spellStart"/>
      <w:r w:rsidR="007478D7" w:rsidRPr="00F82274">
        <w:rPr>
          <w:szCs w:val="24"/>
        </w:rPr>
        <w:t>PoC</w:t>
      </w:r>
      <w:proofErr w:type="spellEnd"/>
      <w:r w:rsidR="007478D7" w:rsidRPr="00F82274">
        <w:rPr>
          <w:szCs w:val="24"/>
        </w:rPr>
        <w:t xml:space="preserve"> devices effectively used for five years and beyond, in which case the cost of </w:t>
      </w:r>
      <w:proofErr w:type="spellStart"/>
      <w:r w:rsidR="007478D7" w:rsidRPr="00F82274">
        <w:rPr>
          <w:szCs w:val="24"/>
        </w:rPr>
        <w:t>PoC</w:t>
      </w:r>
      <w:proofErr w:type="spellEnd"/>
      <w:r w:rsidR="007478D7" w:rsidRPr="00F82274">
        <w:rPr>
          <w:szCs w:val="24"/>
        </w:rPr>
        <w:t xml:space="preserve"> would be reduced further than that proposed</w:t>
      </w:r>
      <w:r w:rsidR="00856C71" w:rsidRPr="00F82274">
        <w:rPr>
          <w:szCs w:val="24"/>
        </w:rPr>
        <w:t xml:space="preserve"> in the submission</w:t>
      </w:r>
      <w:r w:rsidR="00F82274">
        <w:rPr>
          <w:szCs w:val="24"/>
        </w:rPr>
        <w:t>.</w:t>
      </w:r>
    </w:p>
    <w:p w14:paraId="7C1E131B" w14:textId="328CFD6C" w:rsidR="00C164FD" w:rsidRPr="00F715D1" w:rsidRDefault="00C164FD" w:rsidP="00C164FD">
      <w:pPr>
        <w:pStyle w:val="Heading1"/>
      </w:pPr>
      <w:r w:rsidRPr="00F715D1">
        <w:t>Applicant’s comments on MSAC’s Public Summary Document</w:t>
      </w:r>
      <w:r w:rsidR="00574EDE">
        <w:t xml:space="preserve"> – </w:t>
      </w:r>
      <w:r w:rsidR="002537D5">
        <w:br/>
      </w:r>
      <w:r w:rsidR="00574EDE">
        <w:t>March 2020</w:t>
      </w:r>
    </w:p>
    <w:p w14:paraId="53AE54E3" w14:textId="77777777" w:rsidR="006D191F" w:rsidRPr="006D191F" w:rsidRDefault="006D191F" w:rsidP="006D191F">
      <w:r w:rsidRPr="006D191F">
        <w:t>Pathology Technology Australia Limited (PTA) welcomes the MSAC recommendation supporting the public funding for glycated haemoglobin (HbA1c) Point of Care (</w:t>
      </w:r>
      <w:proofErr w:type="spellStart"/>
      <w:r w:rsidRPr="006D191F">
        <w:t>PoC</w:t>
      </w:r>
      <w:proofErr w:type="spellEnd"/>
      <w:r w:rsidRPr="006D191F">
        <w:t>) testing for the management of patients with diabetes mellitus.</w:t>
      </w:r>
    </w:p>
    <w:p w14:paraId="61FB7363" w14:textId="77777777" w:rsidR="006D191F" w:rsidRPr="006D191F" w:rsidRDefault="006D191F" w:rsidP="006D191F">
      <w:pPr>
        <w:spacing w:before="240"/>
      </w:pPr>
      <w:r w:rsidRPr="006D191F">
        <w:t xml:space="preserve">The applicant has continually rejected the assertion by MSAC that there is no difference in healthcare outcomes between laboratory and </w:t>
      </w:r>
      <w:proofErr w:type="spellStart"/>
      <w:r w:rsidRPr="006D191F">
        <w:t>PoC</w:t>
      </w:r>
      <w:proofErr w:type="spellEnd"/>
      <w:r w:rsidRPr="006D191F">
        <w:t xml:space="preserve"> tests. The applicant has provided evidence </w:t>
      </w:r>
      <w:r w:rsidRPr="006D191F">
        <w:lastRenderedPageBreak/>
        <w:t xml:space="preserve">of studies performed internationally (which MSAC has not recognised) and in Australia by Laurence 2009 (which MSAC interprets differently). </w:t>
      </w:r>
    </w:p>
    <w:p w14:paraId="06867E86" w14:textId="77777777" w:rsidR="006D191F" w:rsidRDefault="006D191F" w:rsidP="006D191F">
      <w:pPr>
        <w:spacing w:before="240"/>
        <w:rPr>
          <w:szCs w:val="24"/>
        </w:rPr>
      </w:pPr>
      <w:r>
        <w:rPr>
          <w:szCs w:val="24"/>
        </w:rPr>
        <w:t xml:space="preserve">The applicant does not agree with the notion that HbA1c testing at the POC will increase total tests. Data that we presented from the RACGP annual survey indicates that GPs see their diabetes patients less than twice per year on average. Studies in Europe have shown that HbA1c testing actually declines when POCT is introduced. </w:t>
      </w:r>
    </w:p>
    <w:p w14:paraId="4324855B" w14:textId="39C4A87A" w:rsidR="006D191F" w:rsidRDefault="006D191F" w:rsidP="006D191F">
      <w:pPr>
        <w:spacing w:before="240"/>
        <w:rPr>
          <w:szCs w:val="24"/>
        </w:rPr>
      </w:pPr>
      <w:r>
        <w:rPr>
          <w:lang w:val="de-DE"/>
        </w:rPr>
        <w:t>The applicant reject the assertion that POC HbA1c will significantly increase the cost of funding this service, based on the international and local evidence. Further, there is no consideration of healthcare equity and access for people who cannot easily access traditional pathology services.</w:t>
      </w:r>
    </w:p>
    <w:p w14:paraId="495ED5E2" w14:textId="186034B6" w:rsidR="006D191F" w:rsidRDefault="006D191F" w:rsidP="006D191F">
      <w:pPr>
        <w:spacing w:before="240"/>
      </w:pPr>
      <w:r>
        <w:t>The applicant wishes it be recognised that even without a proven causal link between the reduced hospitalisations and POC HbA1c testing, there is a plausible relationship that must be considered here. It is wrong, in our opinion, to dismiss this possibility out of hand and wrong not to include some measure of the reduced hospitalisation in the calculations.</w:t>
      </w:r>
    </w:p>
    <w:p w14:paraId="75E11203" w14:textId="68E69B0F" w:rsidR="006D191F" w:rsidRDefault="006D191F" w:rsidP="006D191F">
      <w:pPr>
        <w:spacing w:before="240"/>
        <w:rPr>
          <w:szCs w:val="24"/>
        </w:rPr>
      </w:pPr>
      <w:r>
        <w:rPr>
          <w:lang w:val="de-DE"/>
        </w:rPr>
        <w:t>The applicant has experience from the uptake of other POC tests to guide our expectations of a low initial uptake. The applicant has provided evidence from the QAAMS HbA1c program which has be established for 20 years and still has an extremely low uptake at around 2%. The applicant have also presented information on the most successful uptake of POCT, being POC INR, where the uptake is just over 10%. The barriers to entry are high, a reasonable reimbursement notwithstanding.</w:t>
      </w:r>
    </w:p>
    <w:p w14:paraId="107061A4" w14:textId="6FED8293" w:rsidR="006D191F" w:rsidRDefault="006D191F" w:rsidP="006D191F">
      <w:pPr>
        <w:spacing w:before="240"/>
      </w:pPr>
      <w:r>
        <w:t>PTA considers the reimbursement of the item through the MBS should not be d</w:t>
      </w:r>
      <w:r w:rsidRPr="00C164FD">
        <w:t xml:space="preserve">ependent on an NPAAC and NATA quality framework and audit process. </w:t>
      </w:r>
      <w:r>
        <w:t>PTA contends that w</w:t>
      </w:r>
      <w:r w:rsidRPr="00C164FD">
        <w:t>hile this</w:t>
      </w:r>
      <w:r>
        <w:t xml:space="preserve"> framework</w:t>
      </w:r>
      <w:r w:rsidRPr="00C164FD">
        <w:t xml:space="preserve"> </w:t>
      </w:r>
      <w:r>
        <w:t xml:space="preserve">may work in a small number of </w:t>
      </w:r>
      <w:proofErr w:type="spellStart"/>
      <w:r>
        <w:t>Po</w:t>
      </w:r>
      <w:r w:rsidRPr="00C164FD">
        <w:t>C</w:t>
      </w:r>
      <w:proofErr w:type="spellEnd"/>
      <w:r w:rsidRPr="00C164FD">
        <w:t xml:space="preserve"> settings, for the vast majority </w:t>
      </w:r>
      <w:r>
        <w:t xml:space="preserve">of settings </w:t>
      </w:r>
      <w:r w:rsidRPr="00C164FD">
        <w:t>the RACGP and AGPAL framework is fit for purpose and better matches the operational environment.</w:t>
      </w:r>
      <w:r>
        <w:t xml:space="preserve"> PTA considers that w</w:t>
      </w:r>
      <w:r w:rsidRPr="00C164FD">
        <w:t>ithout the RACGP and AGPAL quality framework option, there will be almost no uptake</w:t>
      </w:r>
      <w:r>
        <w:t xml:space="preserve"> of </w:t>
      </w:r>
      <w:proofErr w:type="spellStart"/>
      <w:r>
        <w:t>PoC</w:t>
      </w:r>
      <w:proofErr w:type="spellEnd"/>
      <w:r>
        <w:t xml:space="preserve"> in general practice.</w:t>
      </w:r>
    </w:p>
    <w:p w14:paraId="3D9B4EAA" w14:textId="268FE4EB" w:rsidR="006D191F" w:rsidRPr="00C164FD" w:rsidRDefault="006D191F" w:rsidP="006D191F">
      <w:pPr>
        <w:spacing w:before="240"/>
      </w:pPr>
      <w:bookmarkStart w:id="15" w:name="_GoBack"/>
      <w:bookmarkEnd w:id="15"/>
      <w:r>
        <w:t xml:space="preserve">PTA considers the MSAC recommended reimbursement rate for HBA1c </w:t>
      </w:r>
      <w:proofErr w:type="spellStart"/>
      <w:r>
        <w:t>PoC</w:t>
      </w:r>
      <w:proofErr w:type="spellEnd"/>
      <w:r>
        <w:t xml:space="preserve"> testing to be too low</w:t>
      </w:r>
      <w:r w:rsidRPr="00C164FD">
        <w:t xml:space="preserve"> and is likely to act as a disincentive</w:t>
      </w:r>
      <w:r>
        <w:t xml:space="preserve"> to uptake</w:t>
      </w:r>
      <w:r w:rsidRPr="00C164FD">
        <w:t>, potentially negating any benefits the item is intended to deliver.</w:t>
      </w:r>
    </w:p>
    <w:p w14:paraId="1227E4E5" w14:textId="25CCBFEF" w:rsidR="00BC1364" w:rsidRPr="00F715D1" w:rsidRDefault="00271F18" w:rsidP="00F715D1">
      <w:pPr>
        <w:pStyle w:val="Heading1"/>
      </w:pPr>
      <w:r w:rsidRPr="00F715D1">
        <w:t>Further information on MSAC</w:t>
      </w:r>
    </w:p>
    <w:p w14:paraId="7CF87AFA" w14:textId="0DC4681C" w:rsidR="0048488C" w:rsidRPr="002537D5" w:rsidRDefault="00271F18" w:rsidP="00F715D1">
      <w:pPr>
        <w:spacing w:after="240"/>
        <w:rPr>
          <w:color w:val="0000FF"/>
          <w:szCs w:val="24"/>
          <w:u w:val="single"/>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0" w:tooltip="Link to Medical Services Advisory Committee website" w:history="1">
        <w:r w:rsidR="00BC2667" w:rsidRPr="00F715D1">
          <w:rPr>
            <w:rStyle w:val="Hyperlink"/>
            <w:szCs w:val="24"/>
          </w:rPr>
          <w:t>visit the MSAC website</w:t>
        </w:r>
      </w:hyperlink>
    </w:p>
    <w:sectPr w:rsidR="0048488C" w:rsidRPr="002537D5" w:rsidSect="00271F18">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9F931" w16cid:durableId="20BE11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19957" w14:textId="77777777" w:rsidR="00574EDE" w:rsidRDefault="00574EDE" w:rsidP="00065623">
      <w:r>
        <w:separator/>
      </w:r>
    </w:p>
  </w:endnote>
  <w:endnote w:type="continuationSeparator" w:id="0">
    <w:p w14:paraId="5E200E16" w14:textId="77777777" w:rsidR="00574EDE" w:rsidRDefault="00574EDE"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48927" w14:textId="77777777" w:rsidR="009A45F7" w:rsidRDefault="009A4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3E2F0FD9" w14:textId="320ABE3F" w:rsidR="00574EDE" w:rsidRDefault="00574EDE">
        <w:pPr>
          <w:pStyle w:val="Footer"/>
          <w:jc w:val="right"/>
        </w:pPr>
        <w:r>
          <w:fldChar w:fldCharType="begin"/>
        </w:r>
        <w:r>
          <w:instrText xml:space="preserve"> PAGE   \* MERGEFORMAT </w:instrText>
        </w:r>
        <w:r>
          <w:fldChar w:fldCharType="separate"/>
        </w:r>
        <w:r w:rsidR="006D191F">
          <w:rPr>
            <w:noProof/>
          </w:rPr>
          <w:t>16</w:t>
        </w:r>
        <w:r>
          <w:rPr>
            <w:noProof/>
          </w:rPr>
          <w:fldChar w:fldCharType="end"/>
        </w:r>
      </w:p>
    </w:sdtContent>
  </w:sdt>
  <w:p w14:paraId="2E7FDCB0" w14:textId="77777777" w:rsidR="00574EDE" w:rsidRDefault="00574E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E0228" w14:textId="77777777" w:rsidR="009A45F7" w:rsidRDefault="009A4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81FD5" w14:textId="77777777" w:rsidR="00574EDE" w:rsidRDefault="00574EDE" w:rsidP="00065623">
      <w:r>
        <w:separator/>
      </w:r>
    </w:p>
  </w:footnote>
  <w:footnote w:type="continuationSeparator" w:id="0">
    <w:p w14:paraId="51092542" w14:textId="77777777" w:rsidR="00574EDE" w:rsidRDefault="00574EDE"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8E301" w14:textId="77777777" w:rsidR="009A45F7" w:rsidRDefault="009A4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117E4" w14:textId="77777777" w:rsidR="009A45F7" w:rsidRDefault="009A4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EE04F" w14:textId="77777777" w:rsidR="009A45F7" w:rsidRDefault="009A4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0D15"/>
    <w:multiLevelType w:val="hybridMultilevel"/>
    <w:tmpl w:val="B376546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16523"/>
    <w:multiLevelType w:val="hybridMultilevel"/>
    <w:tmpl w:val="6FA44E1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035378"/>
    <w:multiLevelType w:val="hybridMultilevel"/>
    <w:tmpl w:val="C6DC9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828646D"/>
    <w:multiLevelType w:val="hybridMultilevel"/>
    <w:tmpl w:val="CB6ED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F54698"/>
    <w:multiLevelType w:val="hybridMultilevel"/>
    <w:tmpl w:val="EA043EF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346DAD"/>
    <w:multiLevelType w:val="hybridMultilevel"/>
    <w:tmpl w:val="3A68369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FC5B54"/>
    <w:multiLevelType w:val="hybridMultilevel"/>
    <w:tmpl w:val="CA3605A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77401A2E"/>
    <w:multiLevelType w:val="hybridMultilevel"/>
    <w:tmpl w:val="02909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E81FDC"/>
    <w:multiLevelType w:val="hybridMultilevel"/>
    <w:tmpl w:val="608E9E86"/>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72075A"/>
    <w:multiLevelType w:val="hybridMultilevel"/>
    <w:tmpl w:val="5DFADD92"/>
    <w:lvl w:ilvl="0" w:tplc="E4449966">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9"/>
  </w:num>
  <w:num w:numId="3">
    <w:abstractNumId w:val="3"/>
  </w:num>
  <w:num w:numId="4">
    <w:abstractNumId w:val="21"/>
  </w:num>
  <w:num w:numId="5">
    <w:abstractNumId w:val="11"/>
  </w:num>
  <w:num w:numId="6">
    <w:abstractNumId w:val="20"/>
  </w:num>
  <w:num w:numId="7">
    <w:abstractNumId w:val="25"/>
  </w:num>
  <w:num w:numId="8">
    <w:abstractNumId w:val="13"/>
  </w:num>
  <w:num w:numId="9">
    <w:abstractNumId w:val="34"/>
  </w:num>
  <w:num w:numId="10">
    <w:abstractNumId w:val="2"/>
  </w:num>
  <w:num w:numId="11">
    <w:abstractNumId w:val="24"/>
  </w:num>
  <w:num w:numId="12">
    <w:abstractNumId w:val="26"/>
  </w:num>
  <w:num w:numId="13">
    <w:abstractNumId w:val="6"/>
  </w:num>
  <w:num w:numId="14">
    <w:abstractNumId w:val="30"/>
  </w:num>
  <w:num w:numId="15">
    <w:abstractNumId w:val="23"/>
  </w:num>
  <w:num w:numId="16">
    <w:abstractNumId w:val="27"/>
  </w:num>
  <w:num w:numId="17">
    <w:abstractNumId w:val="15"/>
  </w:num>
  <w:num w:numId="18">
    <w:abstractNumId w:val="18"/>
  </w:num>
  <w:num w:numId="19">
    <w:abstractNumId w:val="29"/>
  </w:num>
  <w:num w:numId="20">
    <w:abstractNumId w:val="28"/>
  </w:num>
  <w:num w:numId="21">
    <w:abstractNumId w:val="5"/>
  </w:num>
  <w:num w:numId="22">
    <w:abstractNumId w:val="10"/>
  </w:num>
  <w:num w:numId="23">
    <w:abstractNumId w:val="4"/>
  </w:num>
  <w:num w:numId="24">
    <w:abstractNumId w:val="9"/>
  </w:num>
  <w:num w:numId="25">
    <w:abstractNumId w:val="7"/>
  </w:num>
  <w:num w:numId="26">
    <w:abstractNumId w:val="14"/>
  </w:num>
  <w:num w:numId="27">
    <w:abstractNumId w:val="0"/>
  </w:num>
  <w:num w:numId="28">
    <w:abstractNumId w:val="1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2"/>
  </w:num>
  <w:num w:numId="32">
    <w:abstractNumId w:val="1"/>
  </w:num>
  <w:num w:numId="33">
    <w:abstractNumId w:val="16"/>
  </w:num>
  <w:num w:numId="34">
    <w:abstractNumId w:val="31"/>
  </w:num>
  <w:num w:numId="35">
    <w:abstractNumId w:val="33"/>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009E326-76EC-4102-8A26-AEBAD49EF6CB}"/>
    <w:docVar w:name="dgnword-eventsink" w:val="435565160"/>
  </w:docVars>
  <w:rsids>
    <w:rsidRoot w:val="00065623"/>
    <w:rsid w:val="00007312"/>
    <w:rsid w:val="00007B97"/>
    <w:rsid w:val="00011A36"/>
    <w:rsid w:val="000262F8"/>
    <w:rsid w:val="00031241"/>
    <w:rsid w:val="000317F2"/>
    <w:rsid w:val="00034DA1"/>
    <w:rsid w:val="00035CD4"/>
    <w:rsid w:val="00047606"/>
    <w:rsid w:val="00065623"/>
    <w:rsid w:val="000756B9"/>
    <w:rsid w:val="000934B8"/>
    <w:rsid w:val="00096B67"/>
    <w:rsid w:val="00096DAF"/>
    <w:rsid w:val="000B6B62"/>
    <w:rsid w:val="000C2F47"/>
    <w:rsid w:val="000D2B9A"/>
    <w:rsid w:val="000D6C00"/>
    <w:rsid w:val="000E4E04"/>
    <w:rsid w:val="000F14B4"/>
    <w:rsid w:val="000F75DF"/>
    <w:rsid w:val="001023DC"/>
    <w:rsid w:val="001046A1"/>
    <w:rsid w:val="001324F9"/>
    <w:rsid w:val="001328FA"/>
    <w:rsid w:val="00135EA6"/>
    <w:rsid w:val="00147AAF"/>
    <w:rsid w:val="001552C0"/>
    <w:rsid w:val="00155B2F"/>
    <w:rsid w:val="0016294C"/>
    <w:rsid w:val="001640B1"/>
    <w:rsid w:val="00177180"/>
    <w:rsid w:val="0018435E"/>
    <w:rsid w:val="00200E40"/>
    <w:rsid w:val="002041A1"/>
    <w:rsid w:val="002054F0"/>
    <w:rsid w:val="002172F5"/>
    <w:rsid w:val="00221AF6"/>
    <w:rsid w:val="00224AF6"/>
    <w:rsid w:val="00230D6B"/>
    <w:rsid w:val="00232068"/>
    <w:rsid w:val="002330F2"/>
    <w:rsid w:val="00243D9E"/>
    <w:rsid w:val="002537D5"/>
    <w:rsid w:val="00253B66"/>
    <w:rsid w:val="00261DF1"/>
    <w:rsid w:val="00270974"/>
    <w:rsid w:val="00271F18"/>
    <w:rsid w:val="00277B4C"/>
    <w:rsid w:val="00281955"/>
    <w:rsid w:val="00282779"/>
    <w:rsid w:val="0028334D"/>
    <w:rsid w:val="002A0C52"/>
    <w:rsid w:val="002B77DF"/>
    <w:rsid w:val="002B7FFA"/>
    <w:rsid w:val="002C2BCF"/>
    <w:rsid w:val="002F279D"/>
    <w:rsid w:val="002F43B8"/>
    <w:rsid w:val="003157F6"/>
    <w:rsid w:val="00336856"/>
    <w:rsid w:val="0034554D"/>
    <w:rsid w:val="00352224"/>
    <w:rsid w:val="003533B8"/>
    <w:rsid w:val="003605A1"/>
    <w:rsid w:val="003671E6"/>
    <w:rsid w:val="003754D2"/>
    <w:rsid w:val="00384272"/>
    <w:rsid w:val="00386D67"/>
    <w:rsid w:val="00392BDE"/>
    <w:rsid w:val="003945B8"/>
    <w:rsid w:val="00394CE7"/>
    <w:rsid w:val="003D1B9A"/>
    <w:rsid w:val="003D7F29"/>
    <w:rsid w:val="00405A6B"/>
    <w:rsid w:val="00407B1F"/>
    <w:rsid w:val="00407E0C"/>
    <w:rsid w:val="00407E78"/>
    <w:rsid w:val="0041184F"/>
    <w:rsid w:val="00412BEA"/>
    <w:rsid w:val="00414C57"/>
    <w:rsid w:val="0041758C"/>
    <w:rsid w:val="00427FD3"/>
    <w:rsid w:val="00446965"/>
    <w:rsid w:val="00453868"/>
    <w:rsid w:val="004539DE"/>
    <w:rsid w:val="00453A94"/>
    <w:rsid w:val="0048488C"/>
    <w:rsid w:val="00492637"/>
    <w:rsid w:val="004A058E"/>
    <w:rsid w:val="004A2CF1"/>
    <w:rsid w:val="004B6F5F"/>
    <w:rsid w:val="004C009F"/>
    <w:rsid w:val="004C3035"/>
    <w:rsid w:val="004C307F"/>
    <w:rsid w:val="004C771E"/>
    <w:rsid w:val="004C7FCF"/>
    <w:rsid w:val="004E4BA8"/>
    <w:rsid w:val="004F340F"/>
    <w:rsid w:val="004F7B7C"/>
    <w:rsid w:val="0052140E"/>
    <w:rsid w:val="0052243D"/>
    <w:rsid w:val="005319C3"/>
    <w:rsid w:val="00532435"/>
    <w:rsid w:val="00550354"/>
    <w:rsid w:val="00571236"/>
    <w:rsid w:val="00574EDE"/>
    <w:rsid w:val="00586044"/>
    <w:rsid w:val="005953A1"/>
    <w:rsid w:val="00596625"/>
    <w:rsid w:val="005A4362"/>
    <w:rsid w:val="005B5434"/>
    <w:rsid w:val="005C1607"/>
    <w:rsid w:val="005C7F8E"/>
    <w:rsid w:val="005D0332"/>
    <w:rsid w:val="005D0D8C"/>
    <w:rsid w:val="006119D9"/>
    <w:rsid w:val="0065417B"/>
    <w:rsid w:val="00673BCB"/>
    <w:rsid w:val="006776AE"/>
    <w:rsid w:val="00682FCD"/>
    <w:rsid w:val="00691037"/>
    <w:rsid w:val="006A0D97"/>
    <w:rsid w:val="006B0388"/>
    <w:rsid w:val="006B1F86"/>
    <w:rsid w:val="006C0A91"/>
    <w:rsid w:val="006C1159"/>
    <w:rsid w:val="006D191F"/>
    <w:rsid w:val="006D6A0C"/>
    <w:rsid w:val="006F73D0"/>
    <w:rsid w:val="00700058"/>
    <w:rsid w:val="00702A0E"/>
    <w:rsid w:val="007054BB"/>
    <w:rsid w:val="00707064"/>
    <w:rsid w:val="00730683"/>
    <w:rsid w:val="0073555F"/>
    <w:rsid w:val="00744B1D"/>
    <w:rsid w:val="007478D7"/>
    <w:rsid w:val="0075261F"/>
    <w:rsid w:val="0075468E"/>
    <w:rsid w:val="007665D8"/>
    <w:rsid w:val="00766E36"/>
    <w:rsid w:val="007765F4"/>
    <w:rsid w:val="00776633"/>
    <w:rsid w:val="00784D53"/>
    <w:rsid w:val="00797797"/>
    <w:rsid w:val="007A156B"/>
    <w:rsid w:val="007A63C9"/>
    <w:rsid w:val="007B32D1"/>
    <w:rsid w:val="007B7095"/>
    <w:rsid w:val="007C5EBA"/>
    <w:rsid w:val="007D24E1"/>
    <w:rsid w:val="007D6288"/>
    <w:rsid w:val="007D6633"/>
    <w:rsid w:val="007E1E1B"/>
    <w:rsid w:val="007F4CE9"/>
    <w:rsid w:val="007F4E20"/>
    <w:rsid w:val="008170CF"/>
    <w:rsid w:val="00822C7E"/>
    <w:rsid w:val="00827385"/>
    <w:rsid w:val="00846D51"/>
    <w:rsid w:val="00847060"/>
    <w:rsid w:val="0084762D"/>
    <w:rsid w:val="00847A36"/>
    <w:rsid w:val="00856A33"/>
    <w:rsid w:val="00856C71"/>
    <w:rsid w:val="00867624"/>
    <w:rsid w:val="00874DD4"/>
    <w:rsid w:val="00892620"/>
    <w:rsid w:val="00892D74"/>
    <w:rsid w:val="008A2AD1"/>
    <w:rsid w:val="008A6028"/>
    <w:rsid w:val="008A6717"/>
    <w:rsid w:val="008C3879"/>
    <w:rsid w:val="008C7D37"/>
    <w:rsid w:val="008D5885"/>
    <w:rsid w:val="008E03A3"/>
    <w:rsid w:val="00923FA2"/>
    <w:rsid w:val="009470FD"/>
    <w:rsid w:val="00951D99"/>
    <w:rsid w:val="0096060D"/>
    <w:rsid w:val="009716BF"/>
    <w:rsid w:val="00974A50"/>
    <w:rsid w:val="0097585A"/>
    <w:rsid w:val="009924B0"/>
    <w:rsid w:val="009929FA"/>
    <w:rsid w:val="009942C9"/>
    <w:rsid w:val="00995BBA"/>
    <w:rsid w:val="009A1034"/>
    <w:rsid w:val="009A3690"/>
    <w:rsid w:val="009A45F7"/>
    <w:rsid w:val="009B35C4"/>
    <w:rsid w:val="009C630A"/>
    <w:rsid w:val="009E0D98"/>
    <w:rsid w:val="009F27BF"/>
    <w:rsid w:val="00A068A1"/>
    <w:rsid w:val="00A1207D"/>
    <w:rsid w:val="00A12FD8"/>
    <w:rsid w:val="00A219C8"/>
    <w:rsid w:val="00A346FC"/>
    <w:rsid w:val="00A46D77"/>
    <w:rsid w:val="00A839E1"/>
    <w:rsid w:val="00A846F2"/>
    <w:rsid w:val="00A84F93"/>
    <w:rsid w:val="00AB1AC5"/>
    <w:rsid w:val="00AB2662"/>
    <w:rsid w:val="00AB3BFC"/>
    <w:rsid w:val="00AC0521"/>
    <w:rsid w:val="00AC4F2E"/>
    <w:rsid w:val="00AD0C37"/>
    <w:rsid w:val="00AD385F"/>
    <w:rsid w:val="00AE4BFA"/>
    <w:rsid w:val="00AE5485"/>
    <w:rsid w:val="00AE6E2A"/>
    <w:rsid w:val="00AF3F82"/>
    <w:rsid w:val="00B03EAB"/>
    <w:rsid w:val="00B31E9C"/>
    <w:rsid w:val="00B35595"/>
    <w:rsid w:val="00B4535D"/>
    <w:rsid w:val="00B45DF9"/>
    <w:rsid w:val="00B51C6D"/>
    <w:rsid w:val="00B57C9A"/>
    <w:rsid w:val="00B83163"/>
    <w:rsid w:val="00B83DD2"/>
    <w:rsid w:val="00B86D64"/>
    <w:rsid w:val="00BA4AC5"/>
    <w:rsid w:val="00BC1364"/>
    <w:rsid w:val="00BC2667"/>
    <w:rsid w:val="00BC7987"/>
    <w:rsid w:val="00BC7DE9"/>
    <w:rsid w:val="00BF479B"/>
    <w:rsid w:val="00C02577"/>
    <w:rsid w:val="00C12F04"/>
    <w:rsid w:val="00C164FD"/>
    <w:rsid w:val="00C204FB"/>
    <w:rsid w:val="00C20BEE"/>
    <w:rsid w:val="00C2158D"/>
    <w:rsid w:val="00C368DD"/>
    <w:rsid w:val="00C4154D"/>
    <w:rsid w:val="00C5240E"/>
    <w:rsid w:val="00C562A3"/>
    <w:rsid w:val="00C67DD2"/>
    <w:rsid w:val="00C725CB"/>
    <w:rsid w:val="00C76F5C"/>
    <w:rsid w:val="00C87F14"/>
    <w:rsid w:val="00C9221F"/>
    <w:rsid w:val="00C96BAD"/>
    <w:rsid w:val="00CA6944"/>
    <w:rsid w:val="00CB0F8E"/>
    <w:rsid w:val="00CB7E7D"/>
    <w:rsid w:val="00CC2911"/>
    <w:rsid w:val="00CE53A7"/>
    <w:rsid w:val="00CF0C6D"/>
    <w:rsid w:val="00CF7307"/>
    <w:rsid w:val="00CF7C68"/>
    <w:rsid w:val="00D0322A"/>
    <w:rsid w:val="00D0464A"/>
    <w:rsid w:val="00D124FA"/>
    <w:rsid w:val="00D2248C"/>
    <w:rsid w:val="00D340DE"/>
    <w:rsid w:val="00D55723"/>
    <w:rsid w:val="00D62FAD"/>
    <w:rsid w:val="00D64355"/>
    <w:rsid w:val="00D64CB2"/>
    <w:rsid w:val="00D70450"/>
    <w:rsid w:val="00D83BFD"/>
    <w:rsid w:val="00D84D4E"/>
    <w:rsid w:val="00D90A38"/>
    <w:rsid w:val="00DA0515"/>
    <w:rsid w:val="00DA171E"/>
    <w:rsid w:val="00DA56AA"/>
    <w:rsid w:val="00DB5833"/>
    <w:rsid w:val="00DC44E4"/>
    <w:rsid w:val="00DD2858"/>
    <w:rsid w:val="00DF1BF4"/>
    <w:rsid w:val="00E03E33"/>
    <w:rsid w:val="00E059E0"/>
    <w:rsid w:val="00E3642A"/>
    <w:rsid w:val="00E415C4"/>
    <w:rsid w:val="00E47D94"/>
    <w:rsid w:val="00E50016"/>
    <w:rsid w:val="00E50EAA"/>
    <w:rsid w:val="00E656D6"/>
    <w:rsid w:val="00E6602A"/>
    <w:rsid w:val="00E977EE"/>
    <w:rsid w:val="00EA2F24"/>
    <w:rsid w:val="00EA67A2"/>
    <w:rsid w:val="00EB0158"/>
    <w:rsid w:val="00EB630F"/>
    <w:rsid w:val="00EB6B6F"/>
    <w:rsid w:val="00EC28F2"/>
    <w:rsid w:val="00EC4F98"/>
    <w:rsid w:val="00EC542E"/>
    <w:rsid w:val="00ED1A27"/>
    <w:rsid w:val="00F12F02"/>
    <w:rsid w:val="00F13BA8"/>
    <w:rsid w:val="00F26141"/>
    <w:rsid w:val="00F32E0D"/>
    <w:rsid w:val="00F35134"/>
    <w:rsid w:val="00F37B9C"/>
    <w:rsid w:val="00F41709"/>
    <w:rsid w:val="00F41812"/>
    <w:rsid w:val="00F62E35"/>
    <w:rsid w:val="00F715D1"/>
    <w:rsid w:val="00F72715"/>
    <w:rsid w:val="00F73333"/>
    <w:rsid w:val="00F77AE0"/>
    <w:rsid w:val="00F82274"/>
    <w:rsid w:val="00F90B81"/>
    <w:rsid w:val="00F95D8F"/>
    <w:rsid w:val="00FA7BE7"/>
    <w:rsid w:val="00FB350A"/>
    <w:rsid w:val="00FB4C5D"/>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7DE6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385"/>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59"/>
    <w:locked/>
    <w:rsid w:val="009A103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
    <w:link w:val="ListParagraph"/>
    <w:uiPriority w:val="34"/>
    <w:rsid w:val="009A1034"/>
    <w:rPr>
      <w:rFonts w:eastAsia="Times New Roman"/>
      <w:sz w:val="24"/>
      <w:szCs w:val="20"/>
    </w:rPr>
  </w:style>
  <w:style w:type="paragraph" w:styleId="NormalWeb">
    <w:name w:val="Normal (Web)"/>
    <w:basedOn w:val="Normal"/>
    <w:uiPriority w:val="99"/>
    <w:unhideWhenUsed/>
    <w:rsid w:val="009A1034"/>
    <w:pPr>
      <w:spacing w:before="100" w:beforeAutospacing="1" w:after="100" w:afterAutospacing="1"/>
    </w:pPr>
    <w:rPr>
      <w:szCs w:val="24"/>
    </w:rPr>
  </w:style>
  <w:style w:type="paragraph" w:customStyle="1" w:styleId="Table">
    <w:name w:val="Table"/>
    <w:basedOn w:val="Normal"/>
    <w:qFormat/>
    <w:rsid w:val="009A1034"/>
    <w:pPr>
      <w:keepNext/>
      <w:spacing w:before="40" w:after="40"/>
      <w:outlineLvl w:val="1"/>
    </w:pPr>
    <w:rPr>
      <w:rFonts w:ascii="Arial Narrow" w:hAnsi="Arial Narrow" w:cs="Arial"/>
      <w:bCs/>
      <w:iCs/>
      <w:color w:val="000000"/>
      <w:sz w:val="20"/>
      <w:szCs w:val="28"/>
    </w:rPr>
  </w:style>
  <w:style w:type="paragraph" w:customStyle="1" w:styleId="Tablefooter">
    <w:name w:val="Table footer"/>
    <w:basedOn w:val="Table"/>
    <w:qFormat/>
    <w:rsid w:val="009A1034"/>
    <w:pPr>
      <w:spacing w:before="0" w:after="240"/>
    </w:pPr>
    <w:rPr>
      <w:sz w:val="18"/>
    </w:rPr>
  </w:style>
  <w:style w:type="paragraph" w:customStyle="1" w:styleId="Tabletext">
    <w:name w:val="Table text"/>
    <w:basedOn w:val="Normal"/>
    <w:link w:val="TabletextChar"/>
    <w:uiPriority w:val="4"/>
    <w:qFormat/>
    <w:rsid w:val="00031241"/>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uiPriority w:val="4"/>
    <w:rsid w:val="00031241"/>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99"/>
    <w:unhideWhenUsed/>
    <w:qFormat/>
    <w:locked/>
    <w:rsid w:val="00031241"/>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031241"/>
    <w:rPr>
      <w:rFonts w:ascii="Arial Narrow" w:eastAsia="Times New Roman" w:hAnsi="Arial Narrow" w:cs="Arial"/>
      <w:b/>
      <w:bCs/>
      <w:iCs/>
      <w:sz w:val="20"/>
      <w:szCs w:val="20"/>
      <w:lang w:eastAsia="en-US"/>
    </w:rPr>
  </w:style>
  <w:style w:type="paragraph" w:customStyle="1" w:styleId="TableText0">
    <w:name w:val="Table Text"/>
    <w:basedOn w:val="Normal"/>
    <w:link w:val="TableTextChar0"/>
    <w:qFormat/>
    <w:rsid w:val="00031241"/>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031241"/>
    <w:rPr>
      <w:rFonts w:ascii="Arial Narrow" w:eastAsia="Times New Roman" w:hAnsi="Arial Narrow" w:cs="Tahoma"/>
      <w:sz w:val="20"/>
      <w:lang w:eastAsia="en-US"/>
    </w:rPr>
  </w:style>
  <w:style w:type="paragraph" w:customStyle="1" w:styleId="Tablecaption">
    <w:name w:val="Table caption"/>
    <w:basedOn w:val="Normal"/>
    <w:link w:val="TablecaptionChar"/>
    <w:qFormat/>
    <w:rsid w:val="00031241"/>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031241"/>
    <w:rPr>
      <w:rFonts w:ascii="Arial Narrow" w:eastAsia="Times New Roman" w:hAnsi="Arial Narrow" w:cs="Arial"/>
      <w:sz w:val="20"/>
      <w:szCs w:val="20"/>
      <w:lang w:eastAsia="en-US"/>
    </w:rPr>
  </w:style>
  <w:style w:type="paragraph" w:customStyle="1" w:styleId="Tablenotes">
    <w:name w:val="Tablenotes"/>
    <w:basedOn w:val="Normal"/>
    <w:link w:val="TablenotesChar"/>
    <w:autoRedefine/>
    <w:qFormat/>
    <w:rsid w:val="00031241"/>
    <w:pPr>
      <w:widowControl w:val="0"/>
      <w:spacing w:before="6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031241"/>
    <w:rPr>
      <w:rFonts w:ascii="Arial Narrow" w:eastAsia="Times New Roman" w:hAnsi="Arial Narrow" w:cs="Arial"/>
      <w:snapToGrid w:val="0"/>
      <w:sz w:val="18"/>
      <w:szCs w:val="20"/>
      <w:lang w:eastAsia="en-US"/>
    </w:rPr>
  </w:style>
  <w:style w:type="paragraph" w:customStyle="1" w:styleId="Comment">
    <w:name w:val="Comment"/>
    <w:basedOn w:val="Normal"/>
    <w:link w:val="CommentChar"/>
    <w:qFormat/>
    <w:rsid w:val="00031241"/>
    <w:pPr>
      <w:tabs>
        <w:tab w:val="num" w:pos="720"/>
      </w:tabs>
      <w:spacing w:after="240" w:line="312" w:lineRule="auto"/>
      <w:jc w:val="both"/>
    </w:pPr>
    <w:rPr>
      <w:rFonts w:ascii="Calibri" w:hAnsi="Calibri" w:cs="Tahoma"/>
      <w:i/>
      <w:color w:val="C00000"/>
      <w:sz w:val="22"/>
      <w:szCs w:val="22"/>
    </w:rPr>
  </w:style>
  <w:style w:type="character" w:customStyle="1" w:styleId="CommentChar">
    <w:name w:val="Comment Char"/>
    <w:basedOn w:val="DefaultParagraphFont"/>
    <w:link w:val="Comment"/>
    <w:rsid w:val="00031241"/>
    <w:rPr>
      <w:rFonts w:ascii="Calibri" w:eastAsia="Times New Roman" w:hAnsi="Calibri" w:cs="Tahoma"/>
      <w:i/>
      <w:color w:val="C00000"/>
    </w:rPr>
  </w:style>
  <w:style w:type="paragraph" w:customStyle="1" w:styleId="TFAbbrevs0">
    <w:name w:val="TFAbbrevs+0"/>
    <w:basedOn w:val="Normal"/>
    <w:qFormat/>
    <w:rsid w:val="00031241"/>
    <w:pPr>
      <w:keepNext/>
      <w:keepLines/>
    </w:pPr>
    <w:rPr>
      <w:rFonts w:ascii="Arial Narrow" w:hAnsi="Arial Narrow"/>
      <w:color w:val="000000"/>
      <w:sz w:val="18"/>
      <w:szCs w:val="18"/>
    </w:rPr>
  </w:style>
  <w:style w:type="table" w:customStyle="1" w:styleId="Summarybox1">
    <w:name w:val="Summary box1"/>
    <w:basedOn w:val="TableNormal"/>
    <w:next w:val="TableGrid"/>
    <w:rsid w:val="00031241"/>
    <w:pPr>
      <w:spacing w:after="24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able">
    <w:name w:val="Comment Table"/>
    <w:basedOn w:val="Normal"/>
    <w:qFormat/>
    <w:rsid w:val="00031241"/>
    <w:pPr>
      <w:spacing w:before="40" w:after="40"/>
    </w:pPr>
    <w:rPr>
      <w:rFonts w:ascii="Arial Narrow" w:hAnsi="Arial Narrow" w:cs="Tahoma"/>
      <w:i/>
      <w:color w:val="C00000"/>
      <w:sz w:val="20"/>
      <w:szCs w:val="22"/>
    </w:rPr>
  </w:style>
  <w:style w:type="paragraph" w:customStyle="1" w:styleId="BulletBeforeDash">
    <w:name w:val="BulletBeforeDash"/>
    <w:basedOn w:val="Normal"/>
    <w:rsid w:val="00200E40"/>
    <w:pPr>
      <w:numPr>
        <w:numId w:val="30"/>
      </w:numPr>
    </w:pPr>
    <w:rPr>
      <w:color w:val="000000"/>
    </w:rPr>
  </w:style>
  <w:style w:type="paragraph" w:customStyle="1" w:styleId="Bullet">
    <w:name w:val="Bullet"/>
    <w:basedOn w:val="BulletBeforeDash"/>
    <w:qFormat/>
    <w:rsid w:val="00200E40"/>
    <w:pPr>
      <w:spacing w:after="120"/>
    </w:pPr>
  </w:style>
  <w:style w:type="paragraph" w:customStyle="1" w:styleId="BulletLast">
    <w:name w:val="BulletLast"/>
    <w:basedOn w:val="Bullet"/>
    <w:qFormat/>
    <w:rsid w:val="00200E40"/>
    <w:pPr>
      <w:spacing w:after="240"/>
    </w:pPr>
  </w:style>
  <w:style w:type="paragraph" w:customStyle="1" w:styleId="Char1">
    <w:name w:val="Char1"/>
    <w:basedOn w:val="Normal"/>
    <w:rsid w:val="008A2AD1"/>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446855581">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418206041">
      <w:bodyDiv w:val="1"/>
      <w:marLeft w:val="0"/>
      <w:marRight w:val="0"/>
      <w:marTop w:val="0"/>
      <w:marBottom w:val="0"/>
      <w:divBdr>
        <w:top w:val="none" w:sz="0" w:space="0" w:color="auto"/>
        <w:left w:val="none" w:sz="0" w:space="0" w:color="auto"/>
        <w:bottom w:val="none" w:sz="0" w:space="0" w:color="auto"/>
        <w:right w:val="none" w:sz="0" w:space="0" w:color="auto"/>
      </w:divBdr>
    </w:div>
    <w:div w:id="1711761517">
      <w:bodyDiv w:val="1"/>
      <w:marLeft w:val="0"/>
      <w:marRight w:val="0"/>
      <w:marTop w:val="0"/>
      <w:marBottom w:val="0"/>
      <w:divBdr>
        <w:top w:val="none" w:sz="0" w:space="0" w:color="auto"/>
        <w:left w:val="none" w:sz="0" w:space="0" w:color="auto"/>
        <w:bottom w:val="none" w:sz="0" w:space="0" w:color="auto"/>
        <w:right w:val="none" w:sz="0" w:space="0" w:color="auto"/>
      </w:divBdr>
    </w:div>
    <w:div w:id="196557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sac.gov.a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09D4B-8BCA-4F41-B70C-14D8F4B73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7936</Words>
  <Characters>43135</Characters>
  <Application>Microsoft Office Word</Application>
  <DocSecurity>0</DocSecurity>
  <Lines>1198</Lines>
  <Paragraphs>762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1431.1 Final PSD with exec addendum_redacted</dc:title>
  <dc:creator/>
  <cp:lastModifiedBy/>
  <cp:revision>1</cp:revision>
  <dcterms:created xsi:type="dcterms:W3CDTF">2020-05-26T23:23:00Z</dcterms:created>
  <dcterms:modified xsi:type="dcterms:W3CDTF">2020-06-16T05:35:00Z</dcterms:modified>
</cp:coreProperties>
</file>